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84FD4" w14:textId="77777777" w:rsidR="00D6277C" w:rsidRPr="00FD600C" w:rsidRDefault="00424FCC" w:rsidP="00BB189F">
      <w:pPr>
        <w:outlineLvl w:val="0"/>
        <w:rPr>
          <w:b/>
          <w:sz w:val="22"/>
          <w:szCs w:val="22"/>
          <w:lang w:val="en-GB"/>
        </w:rPr>
      </w:pPr>
      <w:r w:rsidRPr="00FD600C">
        <w:rPr>
          <w:b/>
          <w:sz w:val="22"/>
          <w:szCs w:val="22"/>
          <w:lang w:val="en-GB"/>
        </w:rPr>
        <w:t xml:space="preserve">Ramsar Regional Initiatives </w:t>
      </w:r>
    </w:p>
    <w:p w14:paraId="04AB4785" w14:textId="77777777" w:rsidR="0012147C" w:rsidRPr="0012147C" w:rsidRDefault="0012147C" w:rsidP="0012147C">
      <w:pPr>
        <w:rPr>
          <w:sz w:val="22"/>
          <w:szCs w:val="22"/>
          <w:lang w:val="en-US"/>
        </w:rPr>
      </w:pPr>
    </w:p>
    <w:p w14:paraId="39E36214" w14:textId="77777777" w:rsidR="00D14908" w:rsidRDefault="00CC5CEB" w:rsidP="00137ECC">
      <w:pPr>
        <w:pStyle w:val="ListParagraph"/>
        <w:numPr>
          <w:ilvl w:val="0"/>
          <w:numId w:val="1"/>
        </w:numPr>
        <w:rPr>
          <w:b/>
          <w:sz w:val="22"/>
          <w:szCs w:val="22"/>
          <w:lang w:val="en-US"/>
        </w:rPr>
      </w:pPr>
      <w:r>
        <w:rPr>
          <w:b/>
          <w:sz w:val="22"/>
          <w:szCs w:val="22"/>
          <w:lang w:val="en-US"/>
        </w:rPr>
        <w:t xml:space="preserve">Task </w:t>
      </w:r>
      <w:r w:rsidR="00D14908">
        <w:rPr>
          <w:b/>
          <w:sz w:val="22"/>
          <w:szCs w:val="22"/>
          <w:lang w:val="en-US"/>
        </w:rPr>
        <w:t xml:space="preserve"> </w:t>
      </w:r>
    </w:p>
    <w:p w14:paraId="63366BE9" w14:textId="77777777" w:rsidR="00D14908" w:rsidRDefault="00D14908" w:rsidP="00D14908">
      <w:pPr>
        <w:ind w:left="360"/>
        <w:rPr>
          <w:sz w:val="22"/>
          <w:szCs w:val="22"/>
          <w:lang w:val="en-US"/>
        </w:rPr>
      </w:pPr>
    </w:p>
    <w:p w14:paraId="39D6B0E5" w14:textId="72F0CAC7" w:rsidR="00D119E8" w:rsidRDefault="00D119E8" w:rsidP="00D14908">
      <w:pPr>
        <w:ind w:left="360"/>
        <w:rPr>
          <w:sz w:val="22"/>
          <w:szCs w:val="22"/>
          <w:lang w:val="en-US"/>
        </w:rPr>
      </w:pPr>
      <w:r>
        <w:rPr>
          <w:sz w:val="22"/>
          <w:szCs w:val="22"/>
          <w:lang w:val="en-US"/>
        </w:rPr>
        <w:t>This task has been undertaken in response to Resolution XIII.9, paragraph (</w:t>
      </w:r>
      <w:r w:rsidRPr="00D119E8">
        <w:rPr>
          <w:b/>
          <w:sz w:val="22"/>
          <w:szCs w:val="22"/>
          <w:lang w:val="en-US"/>
        </w:rPr>
        <w:t>para</w:t>
      </w:r>
      <w:r>
        <w:rPr>
          <w:sz w:val="22"/>
          <w:szCs w:val="22"/>
          <w:lang w:val="en-US"/>
        </w:rPr>
        <w:t xml:space="preserve">) </w:t>
      </w:r>
      <w:r w:rsidR="000D2106">
        <w:rPr>
          <w:sz w:val="22"/>
          <w:szCs w:val="22"/>
          <w:lang w:val="en-US"/>
        </w:rPr>
        <w:t>30</w:t>
      </w:r>
      <w:r>
        <w:rPr>
          <w:sz w:val="22"/>
          <w:szCs w:val="22"/>
          <w:lang w:val="en-US"/>
        </w:rPr>
        <w:t>, which</w:t>
      </w:r>
      <w:r w:rsidR="00D93EF4">
        <w:rPr>
          <w:sz w:val="22"/>
          <w:szCs w:val="22"/>
          <w:lang w:val="en-US"/>
        </w:rPr>
        <w:t xml:space="preserve"> is as follows</w:t>
      </w:r>
      <w:r>
        <w:rPr>
          <w:sz w:val="22"/>
          <w:szCs w:val="22"/>
          <w:lang w:val="en-US"/>
        </w:rPr>
        <w:t xml:space="preserve">: </w:t>
      </w:r>
    </w:p>
    <w:p w14:paraId="7C4D2691" w14:textId="77777777" w:rsidR="00D119E8" w:rsidRPr="00D119E8" w:rsidRDefault="00D119E8" w:rsidP="00D119E8">
      <w:pPr>
        <w:pStyle w:val="NormalWeb"/>
        <w:ind w:left="360"/>
        <w:rPr>
          <w:rFonts w:ascii="Calibri" w:hAnsi="Calibri" w:cs="Arial"/>
          <w:i/>
          <w:color w:val="000000"/>
          <w:sz w:val="22"/>
          <w:szCs w:val="22"/>
          <w:lang w:val="en-US"/>
        </w:rPr>
      </w:pPr>
      <w:r w:rsidRPr="00D119E8">
        <w:rPr>
          <w:rFonts w:asciiTheme="minorHAnsi" w:hAnsiTheme="minorHAnsi" w:cstheme="minorBidi"/>
          <w:i/>
          <w:sz w:val="22"/>
          <w:szCs w:val="22"/>
          <w:lang w:val="en-US" w:eastAsia="en-US"/>
        </w:rPr>
        <w:tab/>
      </w:r>
      <w:r w:rsidRPr="00D119E8">
        <w:rPr>
          <w:rFonts w:ascii="Calibri" w:hAnsi="Calibri" w:cs="Arial"/>
          <w:i/>
          <w:color w:val="000000"/>
          <w:sz w:val="22"/>
          <w:szCs w:val="22"/>
          <w:lang w:val="en-US"/>
        </w:rPr>
        <w:t xml:space="preserve">INSTRUCTS the Secretariat’s legal adviser to review existing relevant Resolutions and decisions, identifying the ones that are inconsistent with the </w:t>
      </w:r>
      <w:r w:rsidRPr="00D119E8">
        <w:rPr>
          <w:rFonts w:ascii="Calibri" w:hAnsi="Calibri" w:cs="Arial"/>
          <w:i/>
          <w:color w:val="000000"/>
          <w:sz w:val="22"/>
          <w:szCs w:val="22"/>
          <w:lang w:val="en-US"/>
        </w:rPr>
        <w:tab/>
        <w:t xml:space="preserve">present Resolution and relevant decisions, and propose which ones should be retired or repealed; and FURTHER DECIDES that the results of the </w:t>
      </w:r>
      <w:r w:rsidRPr="00D119E8">
        <w:rPr>
          <w:rFonts w:ascii="Calibri" w:hAnsi="Calibri" w:cs="Arial"/>
          <w:i/>
          <w:color w:val="000000"/>
          <w:sz w:val="22"/>
          <w:szCs w:val="22"/>
          <w:lang w:val="en-US"/>
        </w:rPr>
        <w:tab/>
        <w:t xml:space="preserve">review may be shared with the Working Group on the RRIs, to be consolidated and presented for the approval of the Standing Committee at its 58th </w:t>
      </w:r>
      <w:r w:rsidRPr="00D119E8">
        <w:rPr>
          <w:rFonts w:ascii="Calibri" w:hAnsi="Calibri" w:cs="Arial"/>
          <w:i/>
          <w:color w:val="000000"/>
          <w:sz w:val="22"/>
          <w:szCs w:val="22"/>
          <w:lang w:val="en-US"/>
        </w:rPr>
        <w:tab/>
        <w:t>meeting, for inclusion in a new draft resolution on RRI and subsequent retirement of relevant Resolutions, </w:t>
      </w:r>
      <w:r w:rsidRPr="00D119E8">
        <w:rPr>
          <w:rFonts w:ascii="Calibri" w:hAnsi="Calibri" w:cs="Arial"/>
          <w:i/>
          <w:iCs/>
          <w:color w:val="000000"/>
          <w:sz w:val="22"/>
          <w:szCs w:val="22"/>
          <w:lang w:val="en-US"/>
        </w:rPr>
        <w:t>inter alia</w:t>
      </w:r>
      <w:r w:rsidRPr="00D119E8">
        <w:rPr>
          <w:rFonts w:ascii="Calibri" w:hAnsi="Calibri" w:cs="Arial"/>
          <w:i/>
          <w:color w:val="000000"/>
          <w:sz w:val="22"/>
          <w:szCs w:val="22"/>
          <w:lang w:val="en-US"/>
        </w:rPr>
        <w:t>,</w:t>
      </w:r>
    </w:p>
    <w:p w14:paraId="36CD7FAA" w14:textId="77777777" w:rsidR="00D119E8" w:rsidRPr="00D119E8" w:rsidRDefault="00D119E8" w:rsidP="00137ECC">
      <w:pPr>
        <w:pStyle w:val="NormalWeb"/>
        <w:numPr>
          <w:ilvl w:val="1"/>
          <w:numId w:val="3"/>
        </w:numPr>
        <w:ind w:left="1890"/>
        <w:rPr>
          <w:rFonts w:ascii="Calibri" w:hAnsi="Calibri" w:cs="Arial"/>
          <w:i/>
          <w:color w:val="000000"/>
          <w:sz w:val="22"/>
          <w:szCs w:val="22"/>
        </w:rPr>
      </w:pPr>
      <w:proofErr w:type="spellStart"/>
      <w:r w:rsidRPr="00D119E8">
        <w:rPr>
          <w:rFonts w:ascii="Calibri" w:hAnsi="Calibri" w:cs="Arial"/>
          <w:i/>
          <w:color w:val="000000"/>
          <w:sz w:val="22"/>
          <w:szCs w:val="22"/>
        </w:rPr>
        <w:t>Resolution</w:t>
      </w:r>
      <w:proofErr w:type="spellEnd"/>
      <w:r w:rsidRPr="00D119E8">
        <w:rPr>
          <w:rFonts w:ascii="Calibri" w:hAnsi="Calibri" w:cs="Arial"/>
          <w:i/>
          <w:color w:val="000000"/>
          <w:sz w:val="22"/>
          <w:szCs w:val="22"/>
        </w:rPr>
        <w:t xml:space="preserve"> VIII.30 (2003-2005),</w:t>
      </w:r>
    </w:p>
    <w:p w14:paraId="04A76152" w14:textId="77777777" w:rsidR="00D119E8" w:rsidRPr="00D119E8" w:rsidRDefault="00D119E8" w:rsidP="00137ECC">
      <w:pPr>
        <w:pStyle w:val="NormalWeb"/>
        <w:numPr>
          <w:ilvl w:val="1"/>
          <w:numId w:val="3"/>
        </w:numPr>
        <w:ind w:left="1890"/>
        <w:rPr>
          <w:rFonts w:ascii="Calibri" w:hAnsi="Calibri" w:cs="Arial"/>
          <w:i/>
          <w:color w:val="000000"/>
          <w:sz w:val="22"/>
          <w:szCs w:val="22"/>
        </w:rPr>
      </w:pPr>
      <w:proofErr w:type="spellStart"/>
      <w:r w:rsidRPr="00D119E8">
        <w:rPr>
          <w:rFonts w:ascii="Calibri" w:hAnsi="Calibri" w:cs="Arial"/>
          <w:i/>
          <w:color w:val="000000"/>
          <w:sz w:val="22"/>
          <w:szCs w:val="22"/>
        </w:rPr>
        <w:t>Resolution</w:t>
      </w:r>
      <w:proofErr w:type="spellEnd"/>
      <w:r w:rsidRPr="00D119E8">
        <w:rPr>
          <w:rFonts w:ascii="Calibri" w:hAnsi="Calibri" w:cs="Arial"/>
          <w:i/>
          <w:color w:val="000000"/>
          <w:sz w:val="22"/>
          <w:szCs w:val="22"/>
        </w:rPr>
        <w:t xml:space="preserve"> IX.7 (2006-2008),</w:t>
      </w:r>
    </w:p>
    <w:p w14:paraId="244D41FC" w14:textId="77777777" w:rsidR="00D119E8" w:rsidRPr="00D119E8" w:rsidRDefault="00D119E8" w:rsidP="00137ECC">
      <w:pPr>
        <w:pStyle w:val="NormalWeb"/>
        <w:numPr>
          <w:ilvl w:val="1"/>
          <w:numId w:val="3"/>
        </w:numPr>
        <w:ind w:left="1890"/>
        <w:rPr>
          <w:rFonts w:ascii="Calibri" w:hAnsi="Calibri" w:cs="Arial"/>
          <w:i/>
          <w:color w:val="000000"/>
          <w:sz w:val="22"/>
          <w:szCs w:val="22"/>
        </w:rPr>
      </w:pPr>
      <w:proofErr w:type="spellStart"/>
      <w:r w:rsidRPr="00D119E8">
        <w:rPr>
          <w:rFonts w:ascii="Calibri" w:hAnsi="Calibri" w:cs="Arial"/>
          <w:i/>
          <w:color w:val="000000"/>
          <w:sz w:val="22"/>
          <w:szCs w:val="22"/>
        </w:rPr>
        <w:t>Resolution</w:t>
      </w:r>
      <w:proofErr w:type="spellEnd"/>
      <w:r w:rsidRPr="00D119E8">
        <w:rPr>
          <w:rFonts w:ascii="Calibri" w:hAnsi="Calibri" w:cs="Arial"/>
          <w:i/>
          <w:color w:val="000000"/>
          <w:sz w:val="22"/>
          <w:szCs w:val="22"/>
        </w:rPr>
        <w:t xml:space="preserve"> X.6 (2009-2012),</w:t>
      </w:r>
    </w:p>
    <w:p w14:paraId="42E9270E" w14:textId="77777777" w:rsidR="00D119E8" w:rsidRPr="00D119E8" w:rsidRDefault="00D119E8" w:rsidP="00137ECC">
      <w:pPr>
        <w:pStyle w:val="NormalWeb"/>
        <w:numPr>
          <w:ilvl w:val="1"/>
          <w:numId w:val="3"/>
        </w:numPr>
        <w:ind w:left="1890"/>
        <w:rPr>
          <w:rFonts w:ascii="Calibri" w:hAnsi="Calibri" w:cs="Arial"/>
          <w:i/>
          <w:color w:val="000000"/>
          <w:sz w:val="22"/>
          <w:szCs w:val="22"/>
        </w:rPr>
      </w:pPr>
      <w:proofErr w:type="spellStart"/>
      <w:r w:rsidRPr="00D119E8">
        <w:rPr>
          <w:rFonts w:ascii="Calibri" w:hAnsi="Calibri" w:cs="Arial"/>
          <w:i/>
          <w:color w:val="000000"/>
          <w:sz w:val="22"/>
          <w:szCs w:val="22"/>
        </w:rPr>
        <w:t>Resolution</w:t>
      </w:r>
      <w:proofErr w:type="spellEnd"/>
      <w:r w:rsidRPr="00D119E8">
        <w:rPr>
          <w:rFonts w:ascii="Calibri" w:hAnsi="Calibri" w:cs="Arial"/>
          <w:i/>
          <w:color w:val="000000"/>
          <w:sz w:val="22"/>
          <w:szCs w:val="22"/>
        </w:rPr>
        <w:t xml:space="preserve"> XI.5 (2013-2015), and</w:t>
      </w:r>
    </w:p>
    <w:p w14:paraId="058C1B02" w14:textId="77777777" w:rsidR="00D119E8" w:rsidRDefault="00D119E8" w:rsidP="00F85FDD">
      <w:pPr>
        <w:pStyle w:val="NormalWeb"/>
        <w:numPr>
          <w:ilvl w:val="1"/>
          <w:numId w:val="3"/>
        </w:numPr>
        <w:ind w:left="1890"/>
        <w:rPr>
          <w:rFonts w:ascii="Calibri" w:hAnsi="Calibri" w:cs="Arial"/>
          <w:i/>
          <w:color w:val="000000"/>
          <w:sz w:val="22"/>
          <w:szCs w:val="22"/>
        </w:rPr>
      </w:pPr>
      <w:proofErr w:type="spellStart"/>
      <w:r w:rsidRPr="00D119E8">
        <w:rPr>
          <w:rFonts w:ascii="Calibri" w:hAnsi="Calibri" w:cs="Arial"/>
          <w:i/>
          <w:color w:val="000000"/>
          <w:sz w:val="22"/>
          <w:szCs w:val="22"/>
        </w:rPr>
        <w:t>Resolution</w:t>
      </w:r>
      <w:proofErr w:type="spellEnd"/>
      <w:r w:rsidRPr="00D119E8">
        <w:rPr>
          <w:rFonts w:ascii="Calibri" w:hAnsi="Calibri" w:cs="Arial"/>
          <w:i/>
          <w:color w:val="000000"/>
          <w:sz w:val="22"/>
          <w:szCs w:val="22"/>
        </w:rPr>
        <w:t xml:space="preserve"> XII.8 (2016-2018).</w:t>
      </w:r>
    </w:p>
    <w:p w14:paraId="6AF4C3D0" w14:textId="77777777" w:rsidR="0053515C" w:rsidRPr="00474CC4" w:rsidRDefault="0053515C" w:rsidP="0053515C">
      <w:pPr>
        <w:pStyle w:val="NormalWeb"/>
        <w:ind w:left="360"/>
        <w:rPr>
          <w:rFonts w:ascii="Calibri" w:hAnsi="Calibri" w:cs="Arial"/>
          <w:color w:val="000000"/>
          <w:sz w:val="22"/>
          <w:szCs w:val="22"/>
          <w:lang w:val="en-US"/>
        </w:rPr>
      </w:pPr>
      <w:r w:rsidRPr="00474CC4">
        <w:rPr>
          <w:rFonts w:ascii="Calibri" w:hAnsi="Calibri" w:cs="Arial"/>
          <w:color w:val="000000"/>
          <w:sz w:val="22"/>
          <w:szCs w:val="22"/>
          <w:lang w:val="en-US"/>
        </w:rPr>
        <w:t xml:space="preserve">The Secretariat further instructed me to </w:t>
      </w:r>
      <w:r w:rsidR="00474CC4" w:rsidRPr="00474CC4">
        <w:rPr>
          <w:rFonts w:ascii="Calibri" w:hAnsi="Calibri" w:cs="Arial"/>
          <w:color w:val="000000"/>
          <w:sz w:val="22"/>
          <w:szCs w:val="22"/>
          <w:lang w:val="en-US"/>
        </w:rPr>
        <w:t xml:space="preserve">assist the Working Group by providing some suggestions regarding a draft Resolution concerning RRIs for COP14. </w:t>
      </w:r>
      <w:r w:rsidR="00474CC4">
        <w:rPr>
          <w:rFonts w:ascii="Calibri" w:hAnsi="Calibri" w:cs="Arial"/>
          <w:color w:val="000000"/>
          <w:sz w:val="22"/>
          <w:szCs w:val="22"/>
          <w:lang w:val="en-US"/>
        </w:rPr>
        <w:t xml:space="preserve">These suggestions can be found at </w:t>
      </w:r>
      <w:r w:rsidR="00474CC4" w:rsidRPr="00474CC4">
        <w:rPr>
          <w:rFonts w:ascii="Calibri" w:hAnsi="Calibri" w:cs="Arial"/>
          <w:b/>
          <w:color w:val="000000"/>
          <w:sz w:val="22"/>
          <w:szCs w:val="22"/>
          <w:lang w:val="en-US"/>
        </w:rPr>
        <w:t>Annex 1</w:t>
      </w:r>
      <w:r w:rsidR="00474CC4">
        <w:rPr>
          <w:rFonts w:ascii="Calibri" w:hAnsi="Calibri" w:cs="Arial"/>
          <w:color w:val="000000"/>
          <w:sz w:val="22"/>
          <w:szCs w:val="22"/>
          <w:lang w:val="en-US"/>
        </w:rPr>
        <w:t>.</w:t>
      </w:r>
    </w:p>
    <w:p w14:paraId="4B08E338" w14:textId="77777777" w:rsidR="00D119E8" w:rsidRDefault="00F00C45" w:rsidP="00137ECC">
      <w:pPr>
        <w:pStyle w:val="ListParagraph"/>
        <w:numPr>
          <w:ilvl w:val="0"/>
          <w:numId w:val="1"/>
        </w:numPr>
        <w:rPr>
          <w:b/>
          <w:sz w:val="22"/>
          <w:szCs w:val="22"/>
          <w:lang w:val="en-US"/>
        </w:rPr>
      </w:pPr>
      <w:r>
        <w:rPr>
          <w:b/>
          <w:sz w:val="22"/>
          <w:szCs w:val="22"/>
          <w:lang w:val="en-US"/>
        </w:rPr>
        <w:t xml:space="preserve">Resolutions and SC Decisions reviewed </w:t>
      </w:r>
      <w:r w:rsidR="00D119E8">
        <w:rPr>
          <w:b/>
          <w:sz w:val="22"/>
          <w:szCs w:val="22"/>
          <w:lang w:val="en-US"/>
        </w:rPr>
        <w:t xml:space="preserve"> </w:t>
      </w:r>
    </w:p>
    <w:p w14:paraId="2F01C179" w14:textId="77777777" w:rsidR="00D119E8" w:rsidRDefault="00D119E8" w:rsidP="00D119E8">
      <w:pPr>
        <w:ind w:left="360"/>
        <w:rPr>
          <w:b/>
          <w:sz w:val="22"/>
          <w:szCs w:val="22"/>
          <w:lang w:val="en-US"/>
        </w:rPr>
      </w:pPr>
    </w:p>
    <w:p w14:paraId="71680889" w14:textId="77777777" w:rsidR="00D93EF4" w:rsidRDefault="00D93EF4" w:rsidP="00D119E8">
      <w:pPr>
        <w:ind w:left="360"/>
        <w:rPr>
          <w:sz w:val="22"/>
          <w:szCs w:val="22"/>
          <w:lang w:val="en-US"/>
        </w:rPr>
      </w:pPr>
      <w:r>
        <w:rPr>
          <w:sz w:val="22"/>
          <w:szCs w:val="22"/>
          <w:lang w:val="en-US"/>
        </w:rPr>
        <w:t xml:space="preserve">In order to complete this task, I </w:t>
      </w:r>
      <w:r w:rsidR="00685389">
        <w:rPr>
          <w:sz w:val="22"/>
          <w:szCs w:val="22"/>
          <w:lang w:val="en-US"/>
        </w:rPr>
        <w:t xml:space="preserve">reviewed </w:t>
      </w:r>
      <w:r w:rsidR="005A1227">
        <w:rPr>
          <w:sz w:val="22"/>
          <w:szCs w:val="22"/>
          <w:lang w:val="en-US"/>
        </w:rPr>
        <w:t xml:space="preserve">all relevant </w:t>
      </w:r>
      <w:r w:rsidR="00685389">
        <w:rPr>
          <w:sz w:val="22"/>
          <w:szCs w:val="22"/>
          <w:lang w:val="en-US"/>
        </w:rPr>
        <w:t>Resolutions</w:t>
      </w:r>
      <w:r w:rsidR="00D24CA9">
        <w:rPr>
          <w:sz w:val="22"/>
          <w:szCs w:val="22"/>
          <w:lang w:val="en-US"/>
        </w:rPr>
        <w:t>, Recommendations</w:t>
      </w:r>
      <w:r w:rsidR="00685389">
        <w:rPr>
          <w:sz w:val="22"/>
          <w:szCs w:val="22"/>
          <w:lang w:val="en-US"/>
        </w:rPr>
        <w:t xml:space="preserve"> and </w:t>
      </w:r>
      <w:r w:rsidR="009B725B">
        <w:rPr>
          <w:sz w:val="22"/>
          <w:szCs w:val="22"/>
          <w:lang w:val="en-US"/>
        </w:rPr>
        <w:t>Standing Committee (</w:t>
      </w:r>
      <w:r w:rsidR="009B725B" w:rsidRPr="009B725B">
        <w:rPr>
          <w:b/>
          <w:sz w:val="22"/>
          <w:szCs w:val="22"/>
          <w:lang w:val="en-US"/>
        </w:rPr>
        <w:t>SC</w:t>
      </w:r>
      <w:r w:rsidR="005A1227">
        <w:rPr>
          <w:sz w:val="22"/>
          <w:szCs w:val="22"/>
          <w:lang w:val="en-US"/>
        </w:rPr>
        <w:t>) Decisions</w:t>
      </w:r>
      <w:r w:rsidR="00B3242B">
        <w:rPr>
          <w:sz w:val="22"/>
          <w:szCs w:val="22"/>
          <w:lang w:val="en-US"/>
        </w:rPr>
        <w:t>. I have divided them i</w:t>
      </w:r>
      <w:r w:rsidR="00D24CA9">
        <w:rPr>
          <w:sz w:val="22"/>
          <w:szCs w:val="22"/>
          <w:lang w:val="en-US"/>
        </w:rPr>
        <w:t xml:space="preserve">nto paragraphs from Resolutions, Recommendations </w:t>
      </w:r>
      <w:r w:rsidR="00B3242B">
        <w:rPr>
          <w:sz w:val="22"/>
          <w:szCs w:val="22"/>
          <w:lang w:val="en-US"/>
        </w:rPr>
        <w:t>and SC Decisions that</w:t>
      </w:r>
      <w:r w:rsidR="005A1227">
        <w:rPr>
          <w:sz w:val="22"/>
          <w:szCs w:val="22"/>
          <w:lang w:val="en-US"/>
        </w:rPr>
        <w:t xml:space="preserve"> are current and consistent with Resolution XIII.9,</w:t>
      </w:r>
      <w:r w:rsidR="00020857">
        <w:rPr>
          <w:rStyle w:val="FootnoteReference"/>
          <w:sz w:val="22"/>
          <w:szCs w:val="22"/>
          <w:lang w:val="en-US"/>
        </w:rPr>
        <w:footnoteReference w:id="1"/>
      </w:r>
      <w:r w:rsidR="005A1227">
        <w:rPr>
          <w:sz w:val="22"/>
          <w:szCs w:val="22"/>
          <w:lang w:val="en-US"/>
        </w:rPr>
        <w:t xml:space="preserve"> and those that are either redundant</w:t>
      </w:r>
      <w:r w:rsidR="00F85FDD">
        <w:rPr>
          <w:rStyle w:val="FootnoteReference"/>
          <w:sz w:val="22"/>
          <w:szCs w:val="22"/>
          <w:lang w:val="en-US"/>
        </w:rPr>
        <w:footnoteReference w:id="2"/>
      </w:r>
      <w:r w:rsidR="005A1227">
        <w:rPr>
          <w:sz w:val="22"/>
          <w:szCs w:val="22"/>
          <w:lang w:val="en-US"/>
        </w:rPr>
        <w:t xml:space="preserve"> or inconsistent with Resolution XIII.9. The Resolutions</w:t>
      </w:r>
      <w:r w:rsidR="00D24CA9">
        <w:rPr>
          <w:sz w:val="22"/>
          <w:szCs w:val="22"/>
          <w:lang w:val="en-US"/>
        </w:rPr>
        <w:t>, Recommendations</w:t>
      </w:r>
      <w:r w:rsidR="005A1227">
        <w:rPr>
          <w:sz w:val="22"/>
          <w:szCs w:val="22"/>
          <w:lang w:val="en-US"/>
        </w:rPr>
        <w:t xml:space="preserve"> and SC Decisions reviewed are as follows: </w:t>
      </w:r>
    </w:p>
    <w:p w14:paraId="3F1C57D8" w14:textId="77777777" w:rsidR="009B725B" w:rsidRDefault="009B725B" w:rsidP="00D119E8">
      <w:pPr>
        <w:ind w:left="360"/>
        <w:rPr>
          <w:sz w:val="22"/>
          <w:szCs w:val="22"/>
          <w:lang w:val="en-US"/>
        </w:rPr>
      </w:pPr>
    </w:p>
    <w:p w14:paraId="3D62DED9" w14:textId="77777777" w:rsidR="00AA7BC6" w:rsidRDefault="007363AC" w:rsidP="00137ECC">
      <w:pPr>
        <w:pStyle w:val="ListParagraph"/>
        <w:numPr>
          <w:ilvl w:val="0"/>
          <w:numId w:val="4"/>
        </w:numPr>
        <w:rPr>
          <w:sz w:val="22"/>
          <w:szCs w:val="22"/>
          <w:lang w:val="en-US"/>
        </w:rPr>
      </w:pPr>
      <w:r>
        <w:rPr>
          <w:sz w:val="22"/>
          <w:szCs w:val="22"/>
          <w:lang w:val="en-US"/>
        </w:rPr>
        <w:t>All Resolutions</w:t>
      </w:r>
      <w:r w:rsidR="00D24CA9">
        <w:rPr>
          <w:sz w:val="22"/>
          <w:szCs w:val="22"/>
          <w:lang w:val="en-US"/>
        </w:rPr>
        <w:t xml:space="preserve"> and Recommendations</w:t>
      </w:r>
      <w:r>
        <w:rPr>
          <w:sz w:val="22"/>
          <w:szCs w:val="22"/>
          <w:lang w:val="en-US"/>
        </w:rPr>
        <w:t xml:space="preserve"> directly concerning regional initiatives (hereafter referred to by their new nomenclature, Ramsar Regional Initiatives or </w:t>
      </w:r>
      <w:r w:rsidRPr="007363AC">
        <w:rPr>
          <w:b/>
          <w:sz w:val="22"/>
          <w:szCs w:val="22"/>
          <w:lang w:val="en-US"/>
        </w:rPr>
        <w:t>RRIs</w:t>
      </w:r>
      <w:r>
        <w:rPr>
          <w:sz w:val="22"/>
          <w:szCs w:val="22"/>
          <w:lang w:val="en-US"/>
        </w:rPr>
        <w:t xml:space="preserve">). These </w:t>
      </w:r>
      <w:r w:rsidR="00AA7BC6">
        <w:rPr>
          <w:sz w:val="22"/>
          <w:szCs w:val="22"/>
          <w:lang w:val="en-US"/>
        </w:rPr>
        <w:t xml:space="preserve">are as follows: </w:t>
      </w:r>
    </w:p>
    <w:p w14:paraId="150BFB75" w14:textId="77777777" w:rsidR="00AA7BC6" w:rsidRDefault="00AA7BC6" w:rsidP="00AA7BC6">
      <w:pPr>
        <w:ind w:left="360"/>
        <w:rPr>
          <w:sz w:val="22"/>
          <w:szCs w:val="22"/>
          <w:lang w:val="en-US"/>
        </w:rPr>
      </w:pPr>
    </w:p>
    <w:p w14:paraId="07BA7C11" w14:textId="77777777" w:rsidR="00333322" w:rsidRPr="00F01A4F" w:rsidRDefault="00333322" w:rsidP="00137ECC">
      <w:pPr>
        <w:pStyle w:val="ListParagraph"/>
        <w:numPr>
          <w:ilvl w:val="0"/>
          <w:numId w:val="5"/>
        </w:numPr>
        <w:rPr>
          <w:sz w:val="22"/>
          <w:szCs w:val="22"/>
          <w:lang w:val="en-AU"/>
        </w:rPr>
      </w:pPr>
      <w:r w:rsidRPr="00F01A4F">
        <w:rPr>
          <w:sz w:val="22"/>
          <w:szCs w:val="22"/>
          <w:lang w:val="en-AU"/>
        </w:rPr>
        <w:t xml:space="preserve">Resolution XIII.9 </w:t>
      </w:r>
      <w:r w:rsidR="00F01A4F">
        <w:rPr>
          <w:sz w:val="22"/>
          <w:szCs w:val="22"/>
          <w:lang w:val="en-AU"/>
        </w:rPr>
        <w:t>–</w:t>
      </w:r>
      <w:r w:rsidR="003902A1" w:rsidRPr="00F01A4F">
        <w:rPr>
          <w:sz w:val="22"/>
          <w:szCs w:val="22"/>
          <w:lang w:val="en-AU"/>
        </w:rPr>
        <w:t xml:space="preserve"> Ramsar Regional Initiatives 2019-2021</w:t>
      </w:r>
    </w:p>
    <w:p w14:paraId="1836535F" w14:textId="77777777" w:rsidR="00333322" w:rsidRPr="00F01A4F" w:rsidRDefault="00474CC4" w:rsidP="00137ECC">
      <w:pPr>
        <w:pStyle w:val="ListParagraph"/>
        <w:numPr>
          <w:ilvl w:val="0"/>
          <w:numId w:val="5"/>
        </w:numPr>
        <w:rPr>
          <w:sz w:val="22"/>
          <w:szCs w:val="22"/>
          <w:lang w:val="en-AU"/>
        </w:rPr>
      </w:pPr>
      <w:r>
        <w:rPr>
          <w:sz w:val="22"/>
          <w:szCs w:val="22"/>
          <w:lang w:val="en-AU"/>
        </w:rPr>
        <w:lastRenderedPageBreak/>
        <w:t>Resolution XII.8</w:t>
      </w:r>
      <w:r w:rsidR="00333322" w:rsidRPr="00F01A4F">
        <w:rPr>
          <w:sz w:val="22"/>
          <w:szCs w:val="22"/>
          <w:lang w:val="en-AU"/>
        </w:rPr>
        <w:t xml:space="preserve"> </w:t>
      </w:r>
      <w:r w:rsidR="00F01A4F">
        <w:rPr>
          <w:sz w:val="22"/>
          <w:szCs w:val="22"/>
          <w:lang w:val="en-AU"/>
        </w:rPr>
        <w:t xml:space="preserve">– </w:t>
      </w:r>
      <w:r w:rsidR="00333322" w:rsidRPr="00F01A4F">
        <w:rPr>
          <w:sz w:val="22"/>
          <w:szCs w:val="22"/>
          <w:lang w:val="en-AU"/>
        </w:rPr>
        <w:t xml:space="preserve">Regional Initiatives 2016-18 in the framework of the Ramsar Convention </w:t>
      </w:r>
    </w:p>
    <w:p w14:paraId="77292A04" w14:textId="77777777" w:rsidR="007C62EB" w:rsidRPr="007C62EB" w:rsidRDefault="00333322" w:rsidP="00137ECC">
      <w:pPr>
        <w:pStyle w:val="ListParagraph"/>
        <w:numPr>
          <w:ilvl w:val="0"/>
          <w:numId w:val="5"/>
        </w:numPr>
        <w:spacing w:before="2"/>
        <w:ind w:right="-42"/>
        <w:rPr>
          <w:rFonts w:eastAsia="Calibri" w:cs="Calibri"/>
          <w:sz w:val="22"/>
          <w:szCs w:val="22"/>
          <w:lang w:val="en-AU"/>
        </w:rPr>
      </w:pPr>
      <w:r w:rsidRPr="00F01A4F">
        <w:rPr>
          <w:rFonts w:eastAsia="Calibri" w:cs="Calibri"/>
          <w:sz w:val="22"/>
          <w:szCs w:val="22"/>
          <w:lang w:val="en-AU"/>
        </w:rPr>
        <w:t>Resolution XI.5</w:t>
      </w:r>
      <w:r w:rsidR="007C62EB">
        <w:rPr>
          <w:rFonts w:eastAsia="Calibri" w:cs="Calibri"/>
          <w:sz w:val="22"/>
          <w:szCs w:val="22"/>
          <w:lang w:val="en-AU"/>
        </w:rPr>
        <w:t xml:space="preserve"> – </w:t>
      </w:r>
      <w:r w:rsidR="007C62EB">
        <w:rPr>
          <w:sz w:val="22"/>
          <w:szCs w:val="22"/>
          <w:lang w:val="en-AU"/>
        </w:rPr>
        <w:t>Regional Initiatives 2013-15</w:t>
      </w:r>
      <w:r w:rsidR="007C62EB" w:rsidRPr="00F01A4F">
        <w:rPr>
          <w:sz w:val="22"/>
          <w:szCs w:val="22"/>
          <w:lang w:val="en-AU"/>
        </w:rPr>
        <w:t xml:space="preserve"> in the framework of the Ramsar Convention</w:t>
      </w:r>
    </w:p>
    <w:p w14:paraId="013DD8BD" w14:textId="77777777" w:rsidR="007C62EB" w:rsidRPr="007C62EB" w:rsidRDefault="00333322" w:rsidP="00137ECC">
      <w:pPr>
        <w:pStyle w:val="ListParagraph"/>
        <w:numPr>
          <w:ilvl w:val="0"/>
          <w:numId w:val="5"/>
        </w:numPr>
        <w:rPr>
          <w:sz w:val="22"/>
          <w:szCs w:val="22"/>
          <w:lang w:val="en-AU"/>
        </w:rPr>
      </w:pPr>
      <w:r w:rsidRPr="00F01A4F">
        <w:rPr>
          <w:sz w:val="22"/>
          <w:szCs w:val="22"/>
          <w:lang w:val="en-AU"/>
        </w:rPr>
        <w:t>Resolution X.6</w:t>
      </w:r>
      <w:r w:rsidR="007C62EB">
        <w:rPr>
          <w:sz w:val="22"/>
          <w:szCs w:val="22"/>
          <w:lang w:val="en-AU"/>
        </w:rPr>
        <w:t xml:space="preserve"> – </w:t>
      </w:r>
      <w:r w:rsidR="006143E5">
        <w:rPr>
          <w:sz w:val="22"/>
          <w:szCs w:val="22"/>
          <w:lang w:val="en-AU"/>
        </w:rPr>
        <w:t>Regional Initiatives 2009-12</w:t>
      </w:r>
      <w:r w:rsidR="006143E5" w:rsidRPr="00F01A4F">
        <w:rPr>
          <w:sz w:val="22"/>
          <w:szCs w:val="22"/>
          <w:lang w:val="en-AU"/>
        </w:rPr>
        <w:t xml:space="preserve"> in the framework of the Ramsar Convention</w:t>
      </w:r>
    </w:p>
    <w:p w14:paraId="3CB072BF" w14:textId="77777777" w:rsidR="006143E5" w:rsidRPr="006143E5" w:rsidRDefault="00333322" w:rsidP="00137ECC">
      <w:pPr>
        <w:pStyle w:val="ListParagraph"/>
        <w:numPr>
          <w:ilvl w:val="0"/>
          <w:numId w:val="5"/>
        </w:numPr>
        <w:rPr>
          <w:sz w:val="22"/>
          <w:szCs w:val="22"/>
          <w:lang w:val="en-AU"/>
        </w:rPr>
      </w:pPr>
      <w:r w:rsidRPr="00F01A4F">
        <w:rPr>
          <w:sz w:val="22"/>
          <w:szCs w:val="22"/>
          <w:lang w:val="en-AU"/>
        </w:rPr>
        <w:t>Resolution IX.7</w:t>
      </w:r>
      <w:r w:rsidR="006143E5">
        <w:rPr>
          <w:sz w:val="22"/>
          <w:szCs w:val="22"/>
          <w:lang w:val="en-AU"/>
        </w:rPr>
        <w:t xml:space="preserve"> – </w:t>
      </w:r>
      <w:r w:rsidR="00EB283B" w:rsidRPr="00F01A4F">
        <w:rPr>
          <w:sz w:val="22"/>
          <w:szCs w:val="22"/>
          <w:lang w:val="en-AU"/>
        </w:rPr>
        <w:t>Regional Initiatives in the framework of the Ramsar Convention</w:t>
      </w:r>
    </w:p>
    <w:p w14:paraId="582EEA0B" w14:textId="77777777" w:rsidR="00333322" w:rsidRPr="00F01A4F" w:rsidRDefault="00333322" w:rsidP="00137ECC">
      <w:pPr>
        <w:pStyle w:val="ListParagraph"/>
        <w:numPr>
          <w:ilvl w:val="0"/>
          <w:numId w:val="5"/>
        </w:numPr>
        <w:rPr>
          <w:sz w:val="22"/>
          <w:szCs w:val="22"/>
          <w:lang w:val="en-AU"/>
        </w:rPr>
      </w:pPr>
      <w:r w:rsidRPr="00F01A4F">
        <w:rPr>
          <w:bCs/>
          <w:sz w:val="22"/>
          <w:szCs w:val="22"/>
          <w:lang w:val="en-AU"/>
        </w:rPr>
        <w:t xml:space="preserve">Resolution VIII.43 </w:t>
      </w:r>
      <w:r w:rsidR="00F01A4F">
        <w:rPr>
          <w:sz w:val="22"/>
          <w:szCs w:val="22"/>
          <w:lang w:val="en-AU"/>
        </w:rPr>
        <w:t>–</w:t>
      </w:r>
      <w:r w:rsidRPr="00F01A4F">
        <w:rPr>
          <w:sz w:val="22"/>
          <w:szCs w:val="22"/>
          <w:lang w:val="en-AU"/>
        </w:rPr>
        <w:t xml:space="preserve"> </w:t>
      </w:r>
      <w:r w:rsidRPr="00F01A4F">
        <w:rPr>
          <w:bCs/>
          <w:sz w:val="22"/>
          <w:szCs w:val="22"/>
          <w:lang w:val="en-AU"/>
        </w:rPr>
        <w:t xml:space="preserve">A subregional strategy of the Ramsar Convention for South America </w:t>
      </w:r>
    </w:p>
    <w:p w14:paraId="1AD59971" w14:textId="77777777" w:rsidR="00333322" w:rsidRPr="00F01A4F" w:rsidRDefault="00333322" w:rsidP="00137ECC">
      <w:pPr>
        <w:pStyle w:val="ListParagraph"/>
        <w:numPr>
          <w:ilvl w:val="0"/>
          <w:numId w:val="5"/>
        </w:numPr>
        <w:rPr>
          <w:sz w:val="22"/>
          <w:szCs w:val="22"/>
          <w:lang w:val="en-AU"/>
        </w:rPr>
      </w:pPr>
      <w:r w:rsidRPr="00F01A4F">
        <w:rPr>
          <w:sz w:val="22"/>
          <w:szCs w:val="22"/>
          <w:lang w:val="en-AU"/>
        </w:rPr>
        <w:t xml:space="preserve">Resolution VIII.41 – Establishment of Regional Ramsar Centre for Training and Research on Wetlands in Western and Central Asia </w:t>
      </w:r>
    </w:p>
    <w:p w14:paraId="0F6C37AE" w14:textId="77777777" w:rsidR="00333322" w:rsidRPr="00333322" w:rsidRDefault="00333322" w:rsidP="00137ECC">
      <w:pPr>
        <w:pStyle w:val="ListParagraph"/>
        <w:numPr>
          <w:ilvl w:val="0"/>
          <w:numId w:val="5"/>
        </w:numPr>
        <w:rPr>
          <w:sz w:val="22"/>
          <w:szCs w:val="22"/>
          <w:lang w:val="en-US"/>
        </w:rPr>
      </w:pPr>
      <w:r w:rsidRPr="00F01A4F">
        <w:rPr>
          <w:sz w:val="22"/>
          <w:szCs w:val="22"/>
          <w:lang w:val="en-AU"/>
        </w:rPr>
        <w:t>Resolution VIII.30 – Regional initiatives</w:t>
      </w:r>
      <w:r w:rsidRPr="00333322">
        <w:rPr>
          <w:sz w:val="22"/>
          <w:szCs w:val="22"/>
          <w:lang w:val="en-US"/>
        </w:rPr>
        <w:t xml:space="preserve"> for the further implementation of the Convention </w:t>
      </w:r>
    </w:p>
    <w:p w14:paraId="45A0C775" w14:textId="77777777" w:rsidR="00333322" w:rsidRPr="00333322" w:rsidRDefault="00333322" w:rsidP="00137ECC">
      <w:pPr>
        <w:pStyle w:val="ListParagraph"/>
        <w:numPr>
          <w:ilvl w:val="0"/>
          <w:numId w:val="5"/>
        </w:numPr>
        <w:rPr>
          <w:sz w:val="22"/>
          <w:szCs w:val="22"/>
          <w:lang w:val="en-US"/>
        </w:rPr>
      </w:pPr>
      <w:r>
        <w:rPr>
          <w:sz w:val="22"/>
          <w:szCs w:val="22"/>
          <w:lang w:val="en-US"/>
        </w:rPr>
        <w:t xml:space="preserve">Resolution </w:t>
      </w:r>
      <w:r w:rsidRPr="00333322">
        <w:rPr>
          <w:sz w:val="22"/>
          <w:szCs w:val="22"/>
          <w:lang w:val="en-US"/>
        </w:rPr>
        <w:t>VII.26 – Creation of a Regional Ramsar Centre for Training and Research on Wetlands in the Western Hemisphere</w:t>
      </w:r>
    </w:p>
    <w:p w14:paraId="4410A4A7" w14:textId="77777777" w:rsidR="003902A1" w:rsidRPr="003902A1" w:rsidRDefault="003902A1" w:rsidP="00137ECC">
      <w:pPr>
        <w:pStyle w:val="ListParagraph"/>
        <w:numPr>
          <w:ilvl w:val="0"/>
          <w:numId w:val="5"/>
        </w:numPr>
        <w:rPr>
          <w:sz w:val="22"/>
          <w:szCs w:val="22"/>
          <w:lang w:val="en-US"/>
        </w:rPr>
      </w:pPr>
      <w:r>
        <w:rPr>
          <w:sz w:val="22"/>
          <w:szCs w:val="22"/>
          <w:lang w:val="en-US"/>
        </w:rPr>
        <w:t xml:space="preserve">Resolution </w:t>
      </w:r>
      <w:r w:rsidRPr="003902A1">
        <w:rPr>
          <w:sz w:val="22"/>
          <w:szCs w:val="22"/>
          <w:lang w:val="en-US"/>
        </w:rPr>
        <w:t xml:space="preserve">VII.22 – Collaborative structure for Mediterranean wetlands </w:t>
      </w:r>
    </w:p>
    <w:p w14:paraId="4D8969A4" w14:textId="77777777" w:rsidR="003902A1" w:rsidRPr="003902A1" w:rsidRDefault="003902A1" w:rsidP="00137ECC">
      <w:pPr>
        <w:pStyle w:val="ListParagraph"/>
        <w:numPr>
          <w:ilvl w:val="0"/>
          <w:numId w:val="5"/>
        </w:numPr>
        <w:rPr>
          <w:sz w:val="22"/>
          <w:szCs w:val="22"/>
          <w:lang w:val="en-US"/>
        </w:rPr>
      </w:pPr>
      <w:r w:rsidRPr="003902A1">
        <w:rPr>
          <w:sz w:val="22"/>
          <w:szCs w:val="22"/>
          <w:lang w:val="en-US"/>
        </w:rPr>
        <w:t xml:space="preserve">Recommendation 6.11: Continuing collaboration for Mediterranean wetlands </w:t>
      </w:r>
    </w:p>
    <w:p w14:paraId="2BA6A3A7" w14:textId="77777777" w:rsidR="00333322" w:rsidRPr="003902A1" w:rsidRDefault="003902A1" w:rsidP="00137ECC">
      <w:pPr>
        <w:pStyle w:val="ListParagraph"/>
        <w:numPr>
          <w:ilvl w:val="0"/>
          <w:numId w:val="5"/>
        </w:numPr>
        <w:rPr>
          <w:sz w:val="22"/>
          <w:szCs w:val="22"/>
          <w:lang w:val="en-US"/>
        </w:rPr>
      </w:pPr>
      <w:r w:rsidRPr="003902A1">
        <w:rPr>
          <w:sz w:val="22"/>
          <w:szCs w:val="22"/>
          <w:lang w:val="en-US"/>
        </w:rPr>
        <w:t xml:space="preserve">Recommendation 5.14 – Collaboration for Mediterranean Wetlands </w:t>
      </w:r>
    </w:p>
    <w:p w14:paraId="32E106CD" w14:textId="77777777" w:rsidR="00AA7BC6" w:rsidRPr="00AA7BC6" w:rsidRDefault="00AA7BC6" w:rsidP="00AA7BC6">
      <w:pPr>
        <w:ind w:left="360"/>
        <w:rPr>
          <w:sz w:val="22"/>
          <w:szCs w:val="22"/>
          <w:lang w:val="en-US"/>
        </w:rPr>
      </w:pPr>
    </w:p>
    <w:p w14:paraId="7DCEA4BC" w14:textId="77777777" w:rsidR="00AA7BC6" w:rsidRDefault="00D6277C" w:rsidP="00137ECC">
      <w:pPr>
        <w:pStyle w:val="ListParagraph"/>
        <w:numPr>
          <w:ilvl w:val="0"/>
          <w:numId w:val="4"/>
        </w:numPr>
        <w:rPr>
          <w:sz w:val="22"/>
          <w:szCs w:val="22"/>
          <w:lang w:val="en-US"/>
        </w:rPr>
      </w:pPr>
      <w:r>
        <w:rPr>
          <w:sz w:val="22"/>
          <w:szCs w:val="22"/>
          <w:lang w:val="en-US"/>
        </w:rPr>
        <w:t xml:space="preserve">All Resolutions which </w:t>
      </w:r>
      <w:r w:rsidR="00FE0B39">
        <w:rPr>
          <w:sz w:val="22"/>
          <w:szCs w:val="22"/>
          <w:lang w:val="en-US"/>
        </w:rPr>
        <w:t xml:space="preserve">include paragraphs </w:t>
      </w:r>
      <w:r w:rsidR="0038576F">
        <w:rPr>
          <w:sz w:val="22"/>
          <w:szCs w:val="22"/>
          <w:lang w:val="en-US"/>
        </w:rPr>
        <w:t>refe</w:t>
      </w:r>
      <w:r w:rsidR="00FE0B39">
        <w:rPr>
          <w:sz w:val="22"/>
          <w:szCs w:val="22"/>
          <w:lang w:val="en-US"/>
        </w:rPr>
        <w:t>r</w:t>
      </w:r>
      <w:r w:rsidR="0038576F">
        <w:rPr>
          <w:sz w:val="22"/>
          <w:szCs w:val="22"/>
          <w:lang w:val="en-US"/>
        </w:rPr>
        <w:t>r</w:t>
      </w:r>
      <w:r w:rsidR="00FE0B39">
        <w:rPr>
          <w:sz w:val="22"/>
          <w:szCs w:val="22"/>
          <w:lang w:val="en-US"/>
        </w:rPr>
        <w:t>ing</w:t>
      </w:r>
      <w:r w:rsidR="0038576F">
        <w:rPr>
          <w:sz w:val="22"/>
          <w:szCs w:val="22"/>
          <w:lang w:val="en-US"/>
        </w:rPr>
        <w:t xml:space="preserve"> to RR</w:t>
      </w:r>
      <w:r w:rsidR="00FE0B39">
        <w:rPr>
          <w:sz w:val="22"/>
          <w:szCs w:val="22"/>
          <w:lang w:val="en-US"/>
        </w:rPr>
        <w:t>I</w:t>
      </w:r>
      <w:r w:rsidR="0038576F">
        <w:rPr>
          <w:sz w:val="22"/>
          <w:szCs w:val="22"/>
          <w:lang w:val="en-US"/>
        </w:rPr>
        <w:t xml:space="preserve">s. These are as follows: </w:t>
      </w:r>
    </w:p>
    <w:p w14:paraId="7B92BE53" w14:textId="77777777" w:rsidR="0038576F" w:rsidRDefault="0038576F" w:rsidP="0038576F">
      <w:pPr>
        <w:ind w:left="360"/>
        <w:rPr>
          <w:sz w:val="22"/>
          <w:szCs w:val="22"/>
          <w:lang w:val="en-US"/>
        </w:rPr>
      </w:pPr>
    </w:p>
    <w:p w14:paraId="479C6412" w14:textId="77777777" w:rsidR="00A03E7B" w:rsidRPr="00A03E7B" w:rsidRDefault="00A03E7B" w:rsidP="00A03E7B">
      <w:pPr>
        <w:pStyle w:val="ListParagraph"/>
        <w:numPr>
          <w:ilvl w:val="0"/>
          <w:numId w:val="6"/>
        </w:numPr>
        <w:rPr>
          <w:sz w:val="22"/>
          <w:szCs w:val="22"/>
          <w:lang w:val="en-US"/>
        </w:rPr>
      </w:pPr>
      <w:r>
        <w:rPr>
          <w:sz w:val="22"/>
          <w:szCs w:val="22"/>
          <w:lang w:val="en-US"/>
        </w:rPr>
        <w:t xml:space="preserve">Resolution XIII.2 – </w:t>
      </w:r>
      <w:r w:rsidRPr="00A03E7B">
        <w:rPr>
          <w:sz w:val="22"/>
          <w:szCs w:val="22"/>
          <w:lang w:val="en-US"/>
        </w:rPr>
        <w:t xml:space="preserve"> Financial and budgetary matters</w:t>
      </w:r>
    </w:p>
    <w:p w14:paraId="55B7F25C" w14:textId="77777777" w:rsidR="00A03E7B" w:rsidRPr="00A03E7B" w:rsidRDefault="00A03E7B" w:rsidP="00A03E7B">
      <w:pPr>
        <w:pStyle w:val="ListParagraph"/>
        <w:numPr>
          <w:ilvl w:val="0"/>
          <w:numId w:val="6"/>
        </w:numPr>
        <w:rPr>
          <w:sz w:val="22"/>
          <w:szCs w:val="22"/>
          <w:lang w:val="en-US"/>
        </w:rPr>
      </w:pPr>
      <w:r>
        <w:rPr>
          <w:sz w:val="22"/>
          <w:szCs w:val="22"/>
          <w:lang w:val="en-US"/>
        </w:rPr>
        <w:t xml:space="preserve">Resolution </w:t>
      </w:r>
      <w:r w:rsidRPr="00A03E7B">
        <w:rPr>
          <w:sz w:val="22"/>
          <w:szCs w:val="22"/>
          <w:lang w:val="en-US"/>
        </w:rPr>
        <w:t xml:space="preserve">XIII.5 </w:t>
      </w:r>
      <w:r>
        <w:rPr>
          <w:sz w:val="22"/>
          <w:szCs w:val="22"/>
          <w:lang w:val="en-US"/>
        </w:rPr>
        <w:t xml:space="preserve">– </w:t>
      </w:r>
      <w:r w:rsidRPr="00A03E7B">
        <w:rPr>
          <w:sz w:val="22"/>
          <w:szCs w:val="22"/>
          <w:lang w:val="en-US"/>
        </w:rPr>
        <w:t>Review of the fourth Strategic Plan of the Ramsar Convention</w:t>
      </w:r>
    </w:p>
    <w:p w14:paraId="0CD99BE0" w14:textId="77777777" w:rsidR="00A03E7B" w:rsidRPr="008339F5" w:rsidRDefault="008339F5" w:rsidP="00A03E7B">
      <w:pPr>
        <w:pStyle w:val="ListParagraph"/>
        <w:numPr>
          <w:ilvl w:val="0"/>
          <w:numId w:val="6"/>
        </w:numPr>
        <w:rPr>
          <w:sz w:val="22"/>
          <w:szCs w:val="22"/>
          <w:lang w:val="en-US"/>
        </w:rPr>
      </w:pPr>
      <w:r>
        <w:rPr>
          <w:sz w:val="22"/>
          <w:szCs w:val="22"/>
          <w:lang w:val="en-US"/>
        </w:rPr>
        <w:t xml:space="preserve">Resolution </w:t>
      </w:r>
      <w:r w:rsidR="00A03E7B" w:rsidRPr="00A03E7B">
        <w:rPr>
          <w:sz w:val="22"/>
          <w:szCs w:val="22"/>
          <w:lang w:val="en-US"/>
        </w:rPr>
        <w:t xml:space="preserve">XIII.15 </w:t>
      </w:r>
      <w:r>
        <w:rPr>
          <w:sz w:val="22"/>
          <w:szCs w:val="22"/>
          <w:lang w:val="en-US"/>
        </w:rPr>
        <w:t xml:space="preserve">– </w:t>
      </w:r>
      <w:r w:rsidR="00A03E7B" w:rsidRPr="008339F5">
        <w:rPr>
          <w:sz w:val="22"/>
          <w:szCs w:val="22"/>
          <w:lang w:val="en-US"/>
        </w:rPr>
        <w:t>Cultural values and practices of indigenous peoples and local communities and their contribution to climate-change mitigation and adaptation in wetlands</w:t>
      </w:r>
    </w:p>
    <w:p w14:paraId="133D9BCC" w14:textId="77777777" w:rsidR="00A03E7B" w:rsidRPr="008339F5" w:rsidRDefault="008339F5" w:rsidP="00A03E7B">
      <w:pPr>
        <w:pStyle w:val="ListParagraph"/>
        <w:numPr>
          <w:ilvl w:val="0"/>
          <w:numId w:val="6"/>
        </w:numPr>
        <w:rPr>
          <w:sz w:val="22"/>
          <w:szCs w:val="22"/>
          <w:lang w:val="en-US"/>
        </w:rPr>
      </w:pPr>
      <w:r>
        <w:rPr>
          <w:sz w:val="22"/>
          <w:szCs w:val="22"/>
          <w:lang w:val="en-US"/>
        </w:rPr>
        <w:t xml:space="preserve">Resolution </w:t>
      </w:r>
      <w:r w:rsidR="00A03E7B" w:rsidRPr="00A03E7B">
        <w:rPr>
          <w:sz w:val="22"/>
          <w:szCs w:val="22"/>
          <w:lang w:val="en-US"/>
        </w:rPr>
        <w:t xml:space="preserve">XIII.22 </w:t>
      </w:r>
      <w:r>
        <w:rPr>
          <w:sz w:val="22"/>
          <w:szCs w:val="22"/>
          <w:lang w:val="en-US"/>
        </w:rPr>
        <w:t xml:space="preserve">– </w:t>
      </w:r>
      <w:r w:rsidR="00A03E7B" w:rsidRPr="008339F5">
        <w:rPr>
          <w:sz w:val="22"/>
          <w:szCs w:val="22"/>
          <w:lang w:val="en-US"/>
        </w:rPr>
        <w:t>Wetlands in West Asia</w:t>
      </w:r>
    </w:p>
    <w:p w14:paraId="3D8E9629" w14:textId="77777777" w:rsidR="00A03E7B" w:rsidRPr="008339F5" w:rsidRDefault="008339F5" w:rsidP="00137ECC">
      <w:pPr>
        <w:pStyle w:val="ListParagraph"/>
        <w:numPr>
          <w:ilvl w:val="0"/>
          <w:numId w:val="6"/>
        </w:numPr>
        <w:rPr>
          <w:sz w:val="22"/>
          <w:szCs w:val="22"/>
          <w:lang w:val="en-US"/>
        </w:rPr>
      </w:pPr>
      <w:r>
        <w:rPr>
          <w:rFonts w:ascii="Calibri" w:hAnsi="Calibri"/>
          <w:bCs/>
          <w:sz w:val="22"/>
          <w:szCs w:val="22"/>
          <w:lang w:val="en-US"/>
        </w:rPr>
        <w:t xml:space="preserve">Resolution </w:t>
      </w:r>
      <w:r w:rsidR="00A03E7B" w:rsidRPr="00A03E7B">
        <w:rPr>
          <w:rFonts w:ascii="Calibri" w:hAnsi="Calibri"/>
          <w:bCs/>
          <w:sz w:val="22"/>
          <w:szCs w:val="22"/>
          <w:lang w:val="en-US"/>
        </w:rPr>
        <w:t xml:space="preserve">XIII.24 </w:t>
      </w:r>
      <w:r>
        <w:rPr>
          <w:rFonts w:ascii="Calibri" w:hAnsi="Calibri"/>
          <w:bCs/>
          <w:sz w:val="22"/>
          <w:szCs w:val="22"/>
          <w:lang w:val="en-US"/>
        </w:rPr>
        <w:t xml:space="preserve">– </w:t>
      </w:r>
      <w:r w:rsidR="00A03E7B" w:rsidRPr="008339F5">
        <w:rPr>
          <w:rFonts w:ascii="Calibri" w:hAnsi="Calibri"/>
          <w:bCs/>
          <w:sz w:val="22"/>
          <w:szCs w:val="22"/>
          <w:lang w:val="en-US"/>
        </w:rPr>
        <w:t xml:space="preserve">The enhanced conservation of coastal marine turtle habitats and the designation of key areas as Ramsar Sites </w:t>
      </w:r>
    </w:p>
    <w:p w14:paraId="22236D73" w14:textId="77777777" w:rsidR="00FE0B39" w:rsidRPr="00FE0B39" w:rsidRDefault="00FE0B39" w:rsidP="00137ECC">
      <w:pPr>
        <w:pStyle w:val="ListParagraph"/>
        <w:numPr>
          <w:ilvl w:val="0"/>
          <w:numId w:val="6"/>
        </w:numPr>
        <w:rPr>
          <w:sz w:val="22"/>
          <w:szCs w:val="22"/>
          <w:lang w:val="en-US"/>
        </w:rPr>
      </w:pPr>
      <w:r>
        <w:rPr>
          <w:sz w:val="22"/>
          <w:szCs w:val="22"/>
          <w:lang w:val="en-US"/>
        </w:rPr>
        <w:t xml:space="preserve">Resolution </w:t>
      </w:r>
      <w:r w:rsidRPr="000D2FEB">
        <w:rPr>
          <w:sz w:val="22"/>
          <w:szCs w:val="22"/>
          <w:lang w:val="en-US"/>
        </w:rPr>
        <w:t>XII.2</w:t>
      </w:r>
      <w:r>
        <w:rPr>
          <w:sz w:val="22"/>
          <w:szCs w:val="22"/>
          <w:lang w:val="en-US"/>
        </w:rPr>
        <w:t xml:space="preserve"> – </w:t>
      </w:r>
      <w:r w:rsidRPr="00FE0B39">
        <w:rPr>
          <w:sz w:val="22"/>
          <w:szCs w:val="22"/>
          <w:lang w:val="en-US"/>
        </w:rPr>
        <w:t xml:space="preserve"> The Ramsar Strategic Plan 2016-2024 </w:t>
      </w:r>
    </w:p>
    <w:p w14:paraId="442AA45A" w14:textId="77777777" w:rsidR="00FE0B39" w:rsidRPr="00FE0B39" w:rsidRDefault="00FE0B39" w:rsidP="00137ECC">
      <w:pPr>
        <w:pStyle w:val="ListParagraph"/>
        <w:numPr>
          <w:ilvl w:val="0"/>
          <w:numId w:val="6"/>
        </w:numPr>
        <w:rPr>
          <w:sz w:val="22"/>
          <w:szCs w:val="22"/>
          <w:lang w:val="en-US"/>
        </w:rPr>
      </w:pPr>
      <w:r w:rsidRPr="00FE0B39">
        <w:rPr>
          <w:bCs/>
          <w:sz w:val="22"/>
          <w:szCs w:val="22"/>
          <w:lang w:val="en-US"/>
        </w:rPr>
        <w:t xml:space="preserve">Resolution XII.3 </w:t>
      </w:r>
      <w:r>
        <w:rPr>
          <w:sz w:val="22"/>
          <w:szCs w:val="22"/>
          <w:lang w:val="en-US"/>
        </w:rPr>
        <w:t xml:space="preserve">– </w:t>
      </w:r>
      <w:r w:rsidRPr="00FE0B39">
        <w:rPr>
          <w:bCs/>
          <w:sz w:val="22"/>
          <w:szCs w:val="22"/>
          <w:lang w:val="en-US"/>
        </w:rPr>
        <w:t xml:space="preserve">Enhancing the languages of the Convention and its visibility and stature, and increasing synergies with other multilateral environmental agreements and other international institutions </w:t>
      </w:r>
    </w:p>
    <w:p w14:paraId="32EFE6CA" w14:textId="77777777" w:rsidR="00FE0B39" w:rsidRPr="00FE0B39" w:rsidRDefault="00FE0B39" w:rsidP="00137ECC">
      <w:pPr>
        <w:pStyle w:val="ListParagraph"/>
        <w:numPr>
          <w:ilvl w:val="0"/>
          <w:numId w:val="6"/>
        </w:numPr>
        <w:rPr>
          <w:bCs/>
          <w:sz w:val="22"/>
          <w:szCs w:val="22"/>
          <w:lang w:val="en-GB"/>
        </w:rPr>
      </w:pPr>
      <w:r w:rsidRPr="00FE0B39">
        <w:rPr>
          <w:bCs/>
          <w:sz w:val="22"/>
          <w:szCs w:val="22"/>
          <w:lang w:val="en-AU"/>
        </w:rPr>
        <w:t>Resolution</w:t>
      </w:r>
      <w:r w:rsidRPr="00FE0B39">
        <w:rPr>
          <w:bCs/>
          <w:sz w:val="22"/>
          <w:szCs w:val="22"/>
          <w:lang w:val="el-GR"/>
        </w:rPr>
        <w:t xml:space="preserve"> XII.</w:t>
      </w:r>
      <w:r w:rsidRPr="00FE0B39">
        <w:rPr>
          <w:bCs/>
          <w:sz w:val="22"/>
          <w:szCs w:val="22"/>
          <w:lang w:val="en-GB"/>
        </w:rPr>
        <w:t xml:space="preserve">5 </w:t>
      </w:r>
      <w:r>
        <w:rPr>
          <w:bCs/>
          <w:sz w:val="22"/>
          <w:szCs w:val="22"/>
          <w:lang w:val="en-GB"/>
        </w:rPr>
        <w:t>–</w:t>
      </w:r>
      <w:r w:rsidRPr="00FE0B39">
        <w:rPr>
          <w:bCs/>
          <w:sz w:val="22"/>
          <w:szCs w:val="22"/>
          <w:lang w:val="en-GB"/>
        </w:rPr>
        <w:t xml:space="preserve"> </w:t>
      </w:r>
      <w:r w:rsidRPr="00FE0B39">
        <w:rPr>
          <w:sz w:val="22"/>
          <w:szCs w:val="22"/>
          <w:lang w:val="en-GB"/>
        </w:rPr>
        <w:t>New framework for delivery of scientific and technical advice and guidance on the Convention</w:t>
      </w:r>
    </w:p>
    <w:p w14:paraId="3875A1E9" w14:textId="77777777" w:rsidR="0038576F" w:rsidRPr="006C270A" w:rsidRDefault="006C270A" w:rsidP="00137ECC">
      <w:pPr>
        <w:pStyle w:val="ListParagraph"/>
        <w:numPr>
          <w:ilvl w:val="0"/>
          <w:numId w:val="6"/>
        </w:numPr>
        <w:rPr>
          <w:bCs/>
          <w:sz w:val="22"/>
          <w:szCs w:val="22"/>
          <w:lang w:val="en-GB"/>
        </w:rPr>
      </w:pPr>
      <w:r w:rsidRPr="006C270A">
        <w:rPr>
          <w:bCs/>
          <w:sz w:val="22"/>
          <w:szCs w:val="22"/>
          <w:lang w:val="en-AU"/>
        </w:rPr>
        <w:t>Resolution</w:t>
      </w:r>
      <w:r w:rsidRPr="006C270A">
        <w:rPr>
          <w:bCs/>
          <w:sz w:val="22"/>
          <w:szCs w:val="22"/>
          <w:lang w:val="el-GR"/>
        </w:rPr>
        <w:t xml:space="preserve"> XII.</w:t>
      </w:r>
      <w:r w:rsidRPr="006C270A">
        <w:rPr>
          <w:bCs/>
          <w:sz w:val="22"/>
          <w:szCs w:val="22"/>
          <w:lang w:val="en-GB"/>
        </w:rPr>
        <w:t xml:space="preserve">9 – </w:t>
      </w:r>
      <w:r w:rsidRPr="006C270A">
        <w:rPr>
          <w:sz w:val="22"/>
          <w:szCs w:val="22"/>
          <w:lang w:val="en-GB"/>
        </w:rPr>
        <w:t>The Ramsar Convention’s Programme on communication, capacity building, education, participation and awareness (CEPA) 2016‐2024</w:t>
      </w:r>
    </w:p>
    <w:p w14:paraId="13D128E9" w14:textId="77777777" w:rsidR="006C270A" w:rsidRPr="006C270A" w:rsidRDefault="006C270A" w:rsidP="00137ECC">
      <w:pPr>
        <w:pStyle w:val="ListParagraph"/>
        <w:numPr>
          <w:ilvl w:val="0"/>
          <w:numId w:val="6"/>
        </w:numPr>
        <w:rPr>
          <w:bCs/>
          <w:sz w:val="22"/>
          <w:szCs w:val="22"/>
          <w:lang w:val="en-GB"/>
        </w:rPr>
      </w:pPr>
      <w:r w:rsidRPr="006C270A">
        <w:rPr>
          <w:bCs/>
          <w:sz w:val="22"/>
          <w:szCs w:val="22"/>
          <w:lang w:val="en-GB"/>
        </w:rPr>
        <w:t xml:space="preserve">Resolution XII.11 – </w:t>
      </w:r>
      <w:r w:rsidRPr="006C270A">
        <w:rPr>
          <w:bCs/>
          <w:sz w:val="22"/>
          <w:szCs w:val="22"/>
          <w:lang w:val="en-US"/>
        </w:rPr>
        <w:t>Peatlands, climate change and wise use: Implications for the Ramsar Convention</w:t>
      </w:r>
    </w:p>
    <w:p w14:paraId="5A1B2E23" w14:textId="77777777" w:rsidR="006C270A" w:rsidRPr="006C270A" w:rsidRDefault="006C270A" w:rsidP="00137ECC">
      <w:pPr>
        <w:pStyle w:val="ListParagraph"/>
        <w:numPr>
          <w:ilvl w:val="0"/>
          <w:numId w:val="6"/>
        </w:numPr>
        <w:rPr>
          <w:bCs/>
          <w:sz w:val="22"/>
          <w:szCs w:val="22"/>
          <w:lang w:val="en-GB"/>
        </w:rPr>
      </w:pPr>
      <w:r w:rsidRPr="006C270A">
        <w:rPr>
          <w:bCs/>
          <w:sz w:val="22"/>
          <w:szCs w:val="22"/>
          <w:lang w:val="en-US"/>
        </w:rPr>
        <w:t xml:space="preserve">Resolution </w:t>
      </w:r>
      <w:r w:rsidRPr="006C270A">
        <w:rPr>
          <w:bCs/>
          <w:sz w:val="22"/>
          <w:szCs w:val="22"/>
          <w:lang w:val="en-GB"/>
        </w:rPr>
        <w:t xml:space="preserve">XII.12 – Call to action to ensure and protect the water requirements of wetlands </w:t>
      </w:r>
      <w:r w:rsidRPr="006C270A">
        <w:rPr>
          <w:bCs/>
          <w:sz w:val="22"/>
          <w:szCs w:val="22"/>
          <w:lang w:val="en-GB"/>
        </w:rPr>
        <w:br/>
        <w:t xml:space="preserve">for the present and the future </w:t>
      </w:r>
    </w:p>
    <w:p w14:paraId="5FC5D718" w14:textId="77777777" w:rsidR="006C270A" w:rsidRPr="006C270A" w:rsidRDefault="006C270A" w:rsidP="00137ECC">
      <w:pPr>
        <w:pStyle w:val="ListParagraph"/>
        <w:numPr>
          <w:ilvl w:val="0"/>
          <w:numId w:val="6"/>
        </w:numPr>
        <w:rPr>
          <w:sz w:val="22"/>
          <w:szCs w:val="22"/>
          <w:lang w:val="en-US"/>
        </w:rPr>
      </w:pPr>
      <w:r>
        <w:rPr>
          <w:sz w:val="22"/>
          <w:szCs w:val="22"/>
          <w:lang w:val="en-US"/>
        </w:rPr>
        <w:t xml:space="preserve">Resolution XI.1 – </w:t>
      </w:r>
      <w:r w:rsidRPr="006C270A">
        <w:rPr>
          <w:sz w:val="22"/>
          <w:szCs w:val="22"/>
          <w:lang w:val="en-US"/>
        </w:rPr>
        <w:t xml:space="preserve">Institutional hosting of the Ramsar Secretariat </w:t>
      </w:r>
    </w:p>
    <w:p w14:paraId="43D9A084" w14:textId="77777777" w:rsidR="006C270A" w:rsidRPr="006C270A" w:rsidRDefault="006C270A" w:rsidP="00137ECC">
      <w:pPr>
        <w:pStyle w:val="ListParagraph"/>
        <w:numPr>
          <w:ilvl w:val="0"/>
          <w:numId w:val="6"/>
        </w:numPr>
        <w:rPr>
          <w:bCs/>
          <w:sz w:val="22"/>
          <w:szCs w:val="22"/>
          <w:lang w:val="en-GB"/>
        </w:rPr>
      </w:pPr>
      <w:r>
        <w:rPr>
          <w:bCs/>
          <w:sz w:val="22"/>
          <w:szCs w:val="22"/>
          <w:lang w:val="en-GB"/>
        </w:rPr>
        <w:t xml:space="preserve">Resolution </w:t>
      </w:r>
      <w:r w:rsidRPr="006C270A">
        <w:rPr>
          <w:bCs/>
          <w:sz w:val="22"/>
          <w:szCs w:val="22"/>
          <w:lang w:val="en-GB"/>
        </w:rPr>
        <w:t xml:space="preserve">XI.2 </w:t>
      </w:r>
      <w:r>
        <w:rPr>
          <w:bCs/>
          <w:sz w:val="22"/>
          <w:szCs w:val="22"/>
          <w:lang w:val="en-GB"/>
        </w:rPr>
        <w:t xml:space="preserve">– </w:t>
      </w:r>
      <w:r w:rsidRPr="006C270A">
        <w:rPr>
          <w:bCs/>
          <w:sz w:val="22"/>
          <w:szCs w:val="22"/>
          <w:lang w:val="en-GB"/>
        </w:rPr>
        <w:t xml:space="preserve">Financial and budgetary matters </w:t>
      </w:r>
    </w:p>
    <w:p w14:paraId="0EEFB7E8" w14:textId="77777777" w:rsidR="006C270A" w:rsidRPr="006C270A" w:rsidRDefault="006C270A" w:rsidP="00137ECC">
      <w:pPr>
        <w:pStyle w:val="ListParagraph"/>
        <w:numPr>
          <w:ilvl w:val="0"/>
          <w:numId w:val="6"/>
        </w:numPr>
        <w:rPr>
          <w:bCs/>
          <w:sz w:val="22"/>
          <w:szCs w:val="22"/>
          <w:lang w:val="en-GB"/>
        </w:rPr>
      </w:pPr>
      <w:r>
        <w:rPr>
          <w:bCs/>
          <w:sz w:val="22"/>
          <w:szCs w:val="22"/>
          <w:lang w:val="en-GB"/>
        </w:rPr>
        <w:t xml:space="preserve">Resolution XI.3 – </w:t>
      </w:r>
      <w:r w:rsidRPr="006C270A">
        <w:rPr>
          <w:bCs/>
          <w:sz w:val="22"/>
          <w:szCs w:val="22"/>
          <w:lang w:val="en-GB"/>
        </w:rPr>
        <w:t>Adjustments to the Strategic Plan 2009-2015 for the 2013-2015 triennium</w:t>
      </w:r>
    </w:p>
    <w:p w14:paraId="1D6EEB7E" w14:textId="77777777" w:rsidR="006C270A" w:rsidRPr="006C270A" w:rsidRDefault="006C270A" w:rsidP="00137ECC">
      <w:pPr>
        <w:pStyle w:val="ListParagraph"/>
        <w:numPr>
          <w:ilvl w:val="0"/>
          <w:numId w:val="6"/>
        </w:numPr>
        <w:rPr>
          <w:bCs/>
          <w:sz w:val="22"/>
          <w:szCs w:val="22"/>
          <w:lang w:val="en-GB"/>
        </w:rPr>
      </w:pPr>
      <w:r>
        <w:rPr>
          <w:bCs/>
          <w:sz w:val="22"/>
          <w:szCs w:val="22"/>
          <w:lang w:val="en-GB"/>
        </w:rPr>
        <w:lastRenderedPageBreak/>
        <w:t xml:space="preserve">Resolution XI.6 – </w:t>
      </w:r>
      <w:r w:rsidRPr="006C270A">
        <w:rPr>
          <w:bCs/>
          <w:sz w:val="22"/>
          <w:szCs w:val="22"/>
          <w:lang w:val="en-GB"/>
        </w:rPr>
        <w:t xml:space="preserve">Partnerships and synergies with Multilateral Environmental Agreements and other institutions </w:t>
      </w:r>
    </w:p>
    <w:p w14:paraId="434CFAB1" w14:textId="77777777" w:rsidR="00997E70" w:rsidRPr="00997E70" w:rsidRDefault="00997E70" w:rsidP="00137ECC">
      <w:pPr>
        <w:pStyle w:val="NormalWeb"/>
        <w:numPr>
          <w:ilvl w:val="0"/>
          <w:numId w:val="6"/>
        </w:numPr>
        <w:rPr>
          <w:rFonts w:asciiTheme="minorHAnsi" w:hAnsiTheme="minorHAnsi"/>
          <w:sz w:val="22"/>
          <w:szCs w:val="22"/>
          <w:lang w:val="en-US"/>
        </w:rPr>
      </w:pPr>
      <w:r w:rsidRPr="000D2FEB">
        <w:rPr>
          <w:rFonts w:asciiTheme="minorHAnsi" w:hAnsiTheme="minorHAnsi"/>
          <w:sz w:val="22"/>
          <w:szCs w:val="22"/>
          <w:lang w:val="en-US"/>
        </w:rPr>
        <w:t xml:space="preserve">Resolution XI.10 </w:t>
      </w:r>
      <w:r>
        <w:rPr>
          <w:rFonts w:asciiTheme="minorHAnsi" w:hAnsiTheme="minorHAnsi"/>
          <w:sz w:val="22"/>
          <w:szCs w:val="22"/>
          <w:lang w:val="en-US"/>
        </w:rPr>
        <w:t xml:space="preserve">– </w:t>
      </w:r>
      <w:r w:rsidRPr="00997E70">
        <w:rPr>
          <w:rFonts w:asciiTheme="minorHAnsi" w:hAnsiTheme="minorHAnsi"/>
          <w:sz w:val="22"/>
          <w:szCs w:val="22"/>
          <w:lang w:val="en-US"/>
        </w:rPr>
        <w:t xml:space="preserve">Wetlands and energy issues </w:t>
      </w:r>
    </w:p>
    <w:p w14:paraId="7B3A41CC" w14:textId="77777777" w:rsidR="00997E70" w:rsidRPr="00997E70" w:rsidRDefault="00997E70" w:rsidP="00137ECC">
      <w:pPr>
        <w:pStyle w:val="ListParagraph"/>
        <w:numPr>
          <w:ilvl w:val="0"/>
          <w:numId w:val="6"/>
        </w:numPr>
        <w:rPr>
          <w:sz w:val="22"/>
          <w:szCs w:val="22"/>
          <w:lang w:val="en-US"/>
        </w:rPr>
      </w:pPr>
      <w:r w:rsidRPr="00997E70">
        <w:rPr>
          <w:sz w:val="22"/>
          <w:szCs w:val="22"/>
          <w:lang w:val="en-US"/>
        </w:rPr>
        <w:t xml:space="preserve">Resolution XI.11 </w:t>
      </w:r>
      <w:r>
        <w:rPr>
          <w:sz w:val="22"/>
          <w:szCs w:val="22"/>
          <w:lang w:val="en-US"/>
        </w:rPr>
        <w:t xml:space="preserve">– </w:t>
      </w:r>
      <w:r w:rsidRPr="00997E70">
        <w:rPr>
          <w:sz w:val="22"/>
          <w:szCs w:val="22"/>
          <w:lang w:val="en-US"/>
        </w:rPr>
        <w:t xml:space="preserve">Principles for the planning and management of urban and peri- urban wetlands </w:t>
      </w:r>
    </w:p>
    <w:p w14:paraId="04FB25BA" w14:textId="77777777" w:rsidR="0052029F" w:rsidRPr="0052029F" w:rsidRDefault="0052029F" w:rsidP="00137ECC">
      <w:pPr>
        <w:pStyle w:val="ListParagraph"/>
        <w:numPr>
          <w:ilvl w:val="0"/>
          <w:numId w:val="6"/>
        </w:numPr>
        <w:rPr>
          <w:sz w:val="22"/>
          <w:szCs w:val="22"/>
          <w:lang w:val="en-US"/>
        </w:rPr>
      </w:pPr>
      <w:r w:rsidRPr="0052029F">
        <w:rPr>
          <w:sz w:val="22"/>
          <w:szCs w:val="22"/>
          <w:lang w:val="en-US"/>
        </w:rPr>
        <w:t xml:space="preserve">Resolution XI.14 </w:t>
      </w:r>
      <w:r>
        <w:rPr>
          <w:sz w:val="22"/>
          <w:szCs w:val="22"/>
          <w:lang w:val="en-US"/>
        </w:rPr>
        <w:t xml:space="preserve">– </w:t>
      </w:r>
      <w:r w:rsidRPr="0052029F">
        <w:rPr>
          <w:sz w:val="22"/>
          <w:szCs w:val="22"/>
          <w:lang w:val="en-US"/>
        </w:rPr>
        <w:t xml:space="preserve">Climate change and wetlands: implications for the Ramsar Convention on Wetlands </w:t>
      </w:r>
    </w:p>
    <w:p w14:paraId="31E2F25D" w14:textId="77777777" w:rsidR="0052029F" w:rsidRPr="0052029F" w:rsidRDefault="0052029F" w:rsidP="00137ECC">
      <w:pPr>
        <w:pStyle w:val="ListParagraph"/>
        <w:numPr>
          <w:ilvl w:val="0"/>
          <w:numId w:val="6"/>
        </w:numPr>
        <w:rPr>
          <w:bCs/>
          <w:sz w:val="22"/>
          <w:szCs w:val="22"/>
          <w:lang w:val="en-GB"/>
        </w:rPr>
      </w:pPr>
      <w:r>
        <w:rPr>
          <w:bCs/>
          <w:sz w:val="22"/>
          <w:szCs w:val="22"/>
          <w:lang w:val="en-GB"/>
        </w:rPr>
        <w:t xml:space="preserve">Resolution XI.17 – </w:t>
      </w:r>
      <w:r w:rsidRPr="0052029F">
        <w:rPr>
          <w:bCs/>
          <w:sz w:val="22"/>
          <w:szCs w:val="22"/>
          <w:lang w:val="en-GB"/>
        </w:rPr>
        <w:t xml:space="preserve">Future implementation of scientific and technical aspects of the Convention for 2013-2015 </w:t>
      </w:r>
    </w:p>
    <w:p w14:paraId="6A78B08D" w14:textId="77777777" w:rsidR="0052029F" w:rsidRPr="0052029F" w:rsidRDefault="0052029F" w:rsidP="00137ECC">
      <w:pPr>
        <w:pStyle w:val="ListParagraph"/>
        <w:numPr>
          <w:ilvl w:val="0"/>
          <w:numId w:val="6"/>
        </w:numPr>
        <w:rPr>
          <w:bCs/>
          <w:sz w:val="22"/>
          <w:szCs w:val="22"/>
          <w:lang w:val="en-GB"/>
        </w:rPr>
      </w:pPr>
      <w:r w:rsidRPr="0052029F">
        <w:rPr>
          <w:bCs/>
          <w:sz w:val="22"/>
          <w:szCs w:val="22"/>
          <w:lang w:val="en-GB"/>
        </w:rPr>
        <w:t xml:space="preserve">Resolution XI.18 </w:t>
      </w:r>
      <w:r>
        <w:rPr>
          <w:bCs/>
          <w:sz w:val="22"/>
          <w:szCs w:val="22"/>
          <w:lang w:val="en-GB"/>
        </w:rPr>
        <w:t xml:space="preserve">– </w:t>
      </w:r>
      <w:r w:rsidRPr="0052029F">
        <w:rPr>
          <w:bCs/>
          <w:sz w:val="22"/>
          <w:szCs w:val="22"/>
          <w:lang w:val="en-GB"/>
        </w:rPr>
        <w:t xml:space="preserve">Adjustments to the modus operandi of the Scientific and Technical Review Panel (STRP) for the 2013-2015 triennium </w:t>
      </w:r>
    </w:p>
    <w:p w14:paraId="3319F81A" w14:textId="77777777" w:rsidR="00EB2129" w:rsidRPr="00EB2129" w:rsidRDefault="00EB2129" w:rsidP="00137ECC">
      <w:pPr>
        <w:pStyle w:val="ListParagraph"/>
        <w:numPr>
          <w:ilvl w:val="0"/>
          <w:numId w:val="6"/>
        </w:numPr>
        <w:rPr>
          <w:sz w:val="22"/>
          <w:szCs w:val="22"/>
          <w:lang w:val="en-US"/>
        </w:rPr>
      </w:pPr>
      <w:r>
        <w:rPr>
          <w:sz w:val="22"/>
          <w:szCs w:val="22"/>
          <w:lang w:val="en-US"/>
        </w:rPr>
        <w:t xml:space="preserve">Resolution </w:t>
      </w:r>
      <w:r w:rsidRPr="000D2FEB">
        <w:rPr>
          <w:sz w:val="22"/>
          <w:szCs w:val="22"/>
          <w:lang w:val="en-US"/>
        </w:rPr>
        <w:t>X.1</w:t>
      </w:r>
      <w:r>
        <w:rPr>
          <w:sz w:val="22"/>
          <w:szCs w:val="22"/>
          <w:lang w:val="en-US"/>
        </w:rPr>
        <w:t xml:space="preserve"> –</w:t>
      </w:r>
      <w:r w:rsidRPr="00EB2129">
        <w:rPr>
          <w:sz w:val="22"/>
          <w:szCs w:val="22"/>
          <w:lang w:val="en-US"/>
        </w:rPr>
        <w:t xml:space="preserve"> Strategic Plan</w:t>
      </w:r>
    </w:p>
    <w:p w14:paraId="064FBFFC" w14:textId="77777777" w:rsidR="00E118C4" w:rsidRPr="00E118C4" w:rsidRDefault="00E118C4" w:rsidP="00137ECC">
      <w:pPr>
        <w:pStyle w:val="ListParagraph"/>
        <w:numPr>
          <w:ilvl w:val="0"/>
          <w:numId w:val="6"/>
        </w:numPr>
        <w:rPr>
          <w:sz w:val="22"/>
          <w:szCs w:val="22"/>
          <w:lang w:val="en-US"/>
        </w:rPr>
      </w:pPr>
      <w:r>
        <w:rPr>
          <w:sz w:val="22"/>
          <w:szCs w:val="22"/>
          <w:lang w:val="en-US"/>
        </w:rPr>
        <w:t xml:space="preserve">Resolution – </w:t>
      </w:r>
      <w:r w:rsidRPr="00E118C4">
        <w:rPr>
          <w:sz w:val="22"/>
          <w:szCs w:val="22"/>
          <w:lang w:val="en-US"/>
        </w:rPr>
        <w:t>X.2 Financial and budgetary matters</w:t>
      </w:r>
    </w:p>
    <w:p w14:paraId="3C84E56A" w14:textId="77777777" w:rsidR="00226658" w:rsidRPr="00226658" w:rsidRDefault="00226658" w:rsidP="00137ECC">
      <w:pPr>
        <w:pStyle w:val="ListParagraph"/>
        <w:numPr>
          <w:ilvl w:val="0"/>
          <w:numId w:val="6"/>
        </w:numPr>
        <w:rPr>
          <w:bCs/>
          <w:sz w:val="22"/>
          <w:szCs w:val="22"/>
          <w:lang w:val="en-GB"/>
        </w:rPr>
      </w:pPr>
      <w:r>
        <w:rPr>
          <w:bCs/>
          <w:sz w:val="22"/>
          <w:szCs w:val="22"/>
          <w:lang w:val="en-US"/>
        </w:rPr>
        <w:t xml:space="preserve">Resolution X.3 – </w:t>
      </w:r>
      <w:r w:rsidRPr="00136295">
        <w:rPr>
          <w:bCs/>
          <w:sz w:val="22"/>
          <w:szCs w:val="22"/>
          <w:lang w:val="en-US"/>
        </w:rPr>
        <w:t>The Changwon Declaration on human well-being and wetlands</w:t>
      </w:r>
    </w:p>
    <w:p w14:paraId="5161D631" w14:textId="77777777" w:rsidR="00226658" w:rsidRPr="00226658" w:rsidRDefault="00226658" w:rsidP="00137ECC">
      <w:pPr>
        <w:pStyle w:val="ListParagraph"/>
        <w:numPr>
          <w:ilvl w:val="0"/>
          <w:numId w:val="6"/>
        </w:numPr>
        <w:rPr>
          <w:sz w:val="22"/>
          <w:szCs w:val="22"/>
          <w:lang w:val="en-US"/>
        </w:rPr>
      </w:pPr>
      <w:r w:rsidRPr="00226658">
        <w:rPr>
          <w:bCs/>
          <w:sz w:val="22"/>
          <w:szCs w:val="22"/>
          <w:lang w:val="en-US"/>
        </w:rPr>
        <w:t xml:space="preserve">Resolution X.8 </w:t>
      </w:r>
      <w:r>
        <w:rPr>
          <w:sz w:val="22"/>
          <w:szCs w:val="22"/>
          <w:lang w:val="en-US"/>
        </w:rPr>
        <w:t xml:space="preserve">– </w:t>
      </w:r>
      <w:r w:rsidRPr="00226658">
        <w:rPr>
          <w:bCs/>
          <w:sz w:val="22"/>
          <w:szCs w:val="22"/>
          <w:lang w:val="en-US"/>
        </w:rPr>
        <w:t xml:space="preserve">The Convention’s Programme on communication, education, participation and awareness (CEPA) 2009-2015 </w:t>
      </w:r>
    </w:p>
    <w:p w14:paraId="316308F7" w14:textId="77777777" w:rsidR="00226658" w:rsidRPr="00226658" w:rsidRDefault="00226658" w:rsidP="00137ECC">
      <w:pPr>
        <w:pStyle w:val="ListParagraph"/>
        <w:numPr>
          <w:ilvl w:val="0"/>
          <w:numId w:val="6"/>
        </w:numPr>
        <w:rPr>
          <w:bCs/>
          <w:sz w:val="22"/>
          <w:szCs w:val="22"/>
          <w:lang w:val="en-US"/>
        </w:rPr>
      </w:pPr>
      <w:r w:rsidRPr="00226658">
        <w:rPr>
          <w:bCs/>
          <w:sz w:val="22"/>
          <w:szCs w:val="22"/>
          <w:lang w:val="en-US"/>
        </w:rPr>
        <w:t xml:space="preserve">Resolution X.9 </w:t>
      </w:r>
      <w:r>
        <w:rPr>
          <w:bCs/>
          <w:sz w:val="22"/>
          <w:szCs w:val="22"/>
          <w:lang w:val="en-US"/>
        </w:rPr>
        <w:t xml:space="preserve">– </w:t>
      </w:r>
      <w:r w:rsidRPr="00226658">
        <w:rPr>
          <w:bCs/>
          <w:sz w:val="22"/>
          <w:szCs w:val="22"/>
          <w:lang w:val="en-US"/>
        </w:rPr>
        <w:t xml:space="preserve">Refinements to the modus operandi of the Scientific &amp; Technical Review Panel (STRP) </w:t>
      </w:r>
    </w:p>
    <w:p w14:paraId="3F5BCC8A" w14:textId="77777777" w:rsidR="0052029F" w:rsidRPr="0098085B" w:rsidRDefault="0098085B" w:rsidP="00137ECC">
      <w:pPr>
        <w:pStyle w:val="ListParagraph"/>
        <w:numPr>
          <w:ilvl w:val="0"/>
          <w:numId w:val="6"/>
        </w:numPr>
        <w:rPr>
          <w:bCs/>
          <w:sz w:val="22"/>
          <w:szCs w:val="22"/>
          <w:lang w:val="en-US"/>
        </w:rPr>
      </w:pPr>
      <w:r w:rsidRPr="0098085B">
        <w:rPr>
          <w:bCs/>
          <w:sz w:val="22"/>
          <w:szCs w:val="22"/>
          <w:lang w:val="en-US"/>
        </w:rPr>
        <w:t>Resolution X.14 – A Framework for Ramsar data and information needs</w:t>
      </w:r>
    </w:p>
    <w:p w14:paraId="3FC297AF" w14:textId="77777777" w:rsidR="00226658" w:rsidRPr="00715C02" w:rsidRDefault="000C2ED4" w:rsidP="00137ECC">
      <w:pPr>
        <w:pStyle w:val="ListParagraph"/>
        <w:numPr>
          <w:ilvl w:val="0"/>
          <w:numId w:val="6"/>
        </w:numPr>
        <w:rPr>
          <w:bCs/>
          <w:sz w:val="22"/>
          <w:szCs w:val="22"/>
          <w:lang w:val="en-US"/>
        </w:rPr>
      </w:pPr>
      <w:r>
        <w:rPr>
          <w:bCs/>
          <w:sz w:val="22"/>
          <w:szCs w:val="22"/>
          <w:lang w:val="en-US"/>
        </w:rPr>
        <w:t xml:space="preserve">Resolution </w:t>
      </w:r>
      <w:r w:rsidR="00226658" w:rsidRPr="00226658">
        <w:rPr>
          <w:bCs/>
          <w:sz w:val="22"/>
          <w:szCs w:val="22"/>
          <w:lang w:val="en-US"/>
        </w:rPr>
        <w:t xml:space="preserve">X.15 </w:t>
      </w:r>
      <w:r w:rsidR="00226658">
        <w:rPr>
          <w:bCs/>
          <w:sz w:val="22"/>
          <w:szCs w:val="22"/>
          <w:lang w:val="en-US"/>
        </w:rPr>
        <w:t xml:space="preserve">– </w:t>
      </w:r>
      <w:r w:rsidR="00226658" w:rsidRPr="00226658">
        <w:rPr>
          <w:bCs/>
          <w:sz w:val="22"/>
          <w:szCs w:val="22"/>
          <w:lang w:val="en-US"/>
        </w:rPr>
        <w:t xml:space="preserve">Describing the ecological character of wetlands, and data needs and formats for core inventory: harmonized scientific and technical guidance </w:t>
      </w:r>
    </w:p>
    <w:p w14:paraId="2741EE57" w14:textId="77777777" w:rsidR="00136295" w:rsidRPr="00136295" w:rsidRDefault="00136295" w:rsidP="00137ECC">
      <w:pPr>
        <w:pStyle w:val="ListParagraph"/>
        <w:numPr>
          <w:ilvl w:val="0"/>
          <w:numId w:val="6"/>
        </w:numPr>
        <w:rPr>
          <w:sz w:val="22"/>
          <w:szCs w:val="22"/>
          <w:lang w:val="en-US"/>
        </w:rPr>
      </w:pPr>
      <w:r w:rsidRPr="00136295">
        <w:rPr>
          <w:bCs/>
          <w:sz w:val="22"/>
          <w:szCs w:val="22"/>
          <w:lang w:val="en-US"/>
        </w:rPr>
        <w:t xml:space="preserve">Resolution X.16 </w:t>
      </w:r>
      <w:r>
        <w:rPr>
          <w:sz w:val="22"/>
          <w:szCs w:val="22"/>
          <w:lang w:val="en-US"/>
        </w:rPr>
        <w:t xml:space="preserve">– </w:t>
      </w:r>
      <w:r w:rsidRPr="00136295">
        <w:rPr>
          <w:bCs/>
          <w:sz w:val="22"/>
          <w:szCs w:val="22"/>
          <w:lang w:val="en-US"/>
        </w:rPr>
        <w:t xml:space="preserve">A Framework for processes of detecting, reporting and responding to change in wetland ecological character </w:t>
      </w:r>
    </w:p>
    <w:p w14:paraId="27614A50" w14:textId="77777777" w:rsidR="00715C02" w:rsidRPr="00715C02" w:rsidRDefault="00715C02" w:rsidP="00137ECC">
      <w:pPr>
        <w:pStyle w:val="ListParagraph"/>
        <w:numPr>
          <w:ilvl w:val="0"/>
          <w:numId w:val="6"/>
        </w:numPr>
        <w:rPr>
          <w:bCs/>
          <w:sz w:val="22"/>
          <w:szCs w:val="22"/>
          <w:lang w:val="en-US"/>
        </w:rPr>
      </w:pPr>
      <w:r w:rsidRPr="00715C02">
        <w:rPr>
          <w:bCs/>
          <w:sz w:val="22"/>
          <w:szCs w:val="22"/>
          <w:lang w:val="en-US"/>
        </w:rPr>
        <w:t xml:space="preserve">Resolution X.17 </w:t>
      </w:r>
      <w:r>
        <w:rPr>
          <w:bCs/>
          <w:sz w:val="22"/>
          <w:szCs w:val="22"/>
          <w:lang w:val="en-US"/>
        </w:rPr>
        <w:t xml:space="preserve">– </w:t>
      </w:r>
      <w:r w:rsidRPr="00715C02">
        <w:rPr>
          <w:bCs/>
          <w:sz w:val="22"/>
          <w:szCs w:val="22"/>
          <w:lang w:val="en-US"/>
        </w:rPr>
        <w:t xml:space="preserve">Environmental Impact Assessment and Strategic Environmental Assessment: updated scientific and technical guidance </w:t>
      </w:r>
    </w:p>
    <w:p w14:paraId="5A6C9635" w14:textId="77777777" w:rsidR="00715C02" w:rsidRPr="00715C02" w:rsidRDefault="00715C02" w:rsidP="00137ECC">
      <w:pPr>
        <w:pStyle w:val="ListParagraph"/>
        <w:numPr>
          <w:ilvl w:val="0"/>
          <w:numId w:val="6"/>
        </w:numPr>
        <w:rPr>
          <w:bCs/>
          <w:sz w:val="22"/>
          <w:szCs w:val="22"/>
          <w:lang w:val="en-US"/>
        </w:rPr>
      </w:pPr>
      <w:r w:rsidRPr="00715C02">
        <w:rPr>
          <w:bCs/>
          <w:sz w:val="22"/>
          <w:szCs w:val="22"/>
          <w:lang w:val="en-US"/>
        </w:rPr>
        <w:t xml:space="preserve">Resolution X.19 </w:t>
      </w:r>
      <w:r>
        <w:rPr>
          <w:bCs/>
          <w:sz w:val="22"/>
          <w:szCs w:val="22"/>
          <w:lang w:val="en-US"/>
        </w:rPr>
        <w:t>–</w:t>
      </w:r>
      <w:r w:rsidRPr="00715C02">
        <w:rPr>
          <w:bCs/>
          <w:sz w:val="22"/>
          <w:szCs w:val="22"/>
          <w:lang w:val="en-US"/>
        </w:rPr>
        <w:t xml:space="preserve">Wetlands and river basin management: consolidated scientific and technical guidance </w:t>
      </w:r>
    </w:p>
    <w:p w14:paraId="12CB6379" w14:textId="422921F3" w:rsidR="00226658" w:rsidRPr="000D2106" w:rsidRDefault="00226658" w:rsidP="00137ECC">
      <w:pPr>
        <w:pStyle w:val="ListParagraph"/>
        <w:numPr>
          <w:ilvl w:val="0"/>
          <w:numId w:val="6"/>
        </w:numPr>
        <w:rPr>
          <w:sz w:val="22"/>
          <w:szCs w:val="22"/>
          <w:lang w:val="en-US"/>
        </w:rPr>
      </w:pPr>
      <w:r w:rsidRPr="00226658">
        <w:rPr>
          <w:bCs/>
          <w:sz w:val="22"/>
          <w:szCs w:val="22"/>
          <w:lang w:val="en-US"/>
        </w:rPr>
        <w:t xml:space="preserve">Resolution X.22 </w:t>
      </w:r>
      <w:r>
        <w:rPr>
          <w:sz w:val="22"/>
          <w:szCs w:val="22"/>
          <w:lang w:val="en-US"/>
        </w:rPr>
        <w:t xml:space="preserve">– </w:t>
      </w:r>
      <w:r w:rsidRPr="00226658">
        <w:rPr>
          <w:bCs/>
          <w:sz w:val="22"/>
          <w:szCs w:val="22"/>
          <w:lang w:val="en-US"/>
        </w:rPr>
        <w:t xml:space="preserve">Promoting international cooperation for the conservation of waterbird flyways </w:t>
      </w:r>
    </w:p>
    <w:p w14:paraId="34F7CC6F" w14:textId="77777777" w:rsidR="00217036" w:rsidRDefault="000D2106" w:rsidP="00137ECC">
      <w:pPr>
        <w:pStyle w:val="ListParagraph"/>
        <w:numPr>
          <w:ilvl w:val="0"/>
          <w:numId w:val="6"/>
        </w:numPr>
        <w:rPr>
          <w:bCs/>
          <w:sz w:val="22"/>
          <w:szCs w:val="22"/>
          <w:lang w:val="en-US"/>
        </w:rPr>
      </w:pPr>
      <w:r w:rsidRPr="000D2FEB">
        <w:rPr>
          <w:bCs/>
          <w:sz w:val="22"/>
          <w:szCs w:val="22"/>
          <w:lang w:val="en-US"/>
        </w:rPr>
        <w:t xml:space="preserve">Resolution IX.1 </w:t>
      </w:r>
      <w:r>
        <w:rPr>
          <w:bCs/>
          <w:sz w:val="22"/>
          <w:szCs w:val="22"/>
          <w:lang w:val="en-US"/>
        </w:rPr>
        <w:t xml:space="preserve">– </w:t>
      </w:r>
      <w:r w:rsidRPr="00B15325">
        <w:rPr>
          <w:bCs/>
          <w:sz w:val="22"/>
          <w:szCs w:val="22"/>
          <w:lang w:val="en-US"/>
        </w:rPr>
        <w:t xml:space="preserve">Additional scientific and technical guidance for implementing the Ramsar wise use concept </w:t>
      </w:r>
    </w:p>
    <w:p w14:paraId="1FB3C1DF" w14:textId="5901CBE4" w:rsidR="001D3030" w:rsidRPr="001D3030" w:rsidRDefault="001D3030" w:rsidP="00137ECC">
      <w:pPr>
        <w:pStyle w:val="ListParagraph"/>
        <w:numPr>
          <w:ilvl w:val="0"/>
          <w:numId w:val="6"/>
        </w:numPr>
        <w:rPr>
          <w:bCs/>
          <w:sz w:val="22"/>
          <w:szCs w:val="22"/>
          <w:lang w:val="en-US"/>
        </w:rPr>
      </w:pPr>
      <w:r w:rsidRPr="001D3030">
        <w:rPr>
          <w:bCs/>
          <w:sz w:val="22"/>
          <w:szCs w:val="22"/>
          <w:lang w:val="en-US"/>
        </w:rPr>
        <w:t xml:space="preserve">Resolution IX.2 </w:t>
      </w:r>
      <w:r>
        <w:rPr>
          <w:bCs/>
          <w:sz w:val="22"/>
          <w:szCs w:val="22"/>
          <w:lang w:val="en-US"/>
        </w:rPr>
        <w:t xml:space="preserve">– </w:t>
      </w:r>
      <w:r w:rsidRPr="001D3030">
        <w:rPr>
          <w:bCs/>
          <w:sz w:val="22"/>
          <w:szCs w:val="22"/>
          <w:lang w:val="en-US"/>
        </w:rPr>
        <w:t>Future implementation of scientific and technical aspects of the Convention</w:t>
      </w:r>
    </w:p>
    <w:p w14:paraId="4E21423B" w14:textId="77777777" w:rsidR="007B031F" w:rsidRPr="007B031F" w:rsidRDefault="007B031F" w:rsidP="00137ECC">
      <w:pPr>
        <w:pStyle w:val="NormalWeb"/>
        <w:numPr>
          <w:ilvl w:val="0"/>
          <w:numId w:val="6"/>
        </w:numPr>
        <w:rPr>
          <w:rFonts w:asciiTheme="minorHAnsi" w:hAnsiTheme="minorHAnsi"/>
          <w:bCs/>
          <w:sz w:val="22"/>
          <w:szCs w:val="22"/>
          <w:lang w:val="en-US"/>
        </w:rPr>
      </w:pPr>
      <w:r w:rsidRPr="000D2FEB">
        <w:rPr>
          <w:rFonts w:asciiTheme="minorHAnsi" w:hAnsiTheme="minorHAnsi"/>
          <w:bCs/>
          <w:sz w:val="22"/>
          <w:szCs w:val="22"/>
          <w:lang w:val="en-US"/>
        </w:rPr>
        <w:t xml:space="preserve">Resolution IX.8 </w:t>
      </w:r>
      <w:r>
        <w:rPr>
          <w:rFonts w:asciiTheme="minorHAnsi" w:hAnsiTheme="minorHAnsi"/>
          <w:bCs/>
          <w:sz w:val="22"/>
          <w:szCs w:val="22"/>
          <w:lang w:val="en-US"/>
        </w:rPr>
        <w:t xml:space="preserve">– </w:t>
      </w:r>
      <w:r w:rsidRPr="007B031F">
        <w:rPr>
          <w:rFonts w:asciiTheme="minorHAnsi" w:hAnsiTheme="minorHAnsi"/>
          <w:bCs/>
          <w:sz w:val="22"/>
          <w:szCs w:val="22"/>
          <w:lang w:val="en-US"/>
        </w:rPr>
        <w:t xml:space="preserve">Streamlining the implementation of the Strategic Plan of the Convention 2003-2008 </w:t>
      </w:r>
    </w:p>
    <w:p w14:paraId="6CF6B071" w14:textId="77777777" w:rsidR="00BC5676" w:rsidRPr="00BC5676" w:rsidRDefault="00BC5676" w:rsidP="00137ECC">
      <w:pPr>
        <w:pStyle w:val="ListParagraph"/>
        <w:numPr>
          <w:ilvl w:val="0"/>
          <w:numId w:val="6"/>
        </w:numPr>
        <w:rPr>
          <w:bCs/>
          <w:sz w:val="22"/>
          <w:szCs w:val="22"/>
          <w:lang w:val="en-US"/>
        </w:rPr>
      </w:pPr>
      <w:r>
        <w:rPr>
          <w:bCs/>
          <w:sz w:val="22"/>
          <w:szCs w:val="22"/>
          <w:lang w:val="en-GB"/>
        </w:rPr>
        <w:t xml:space="preserve">Resolution IX.9 – </w:t>
      </w:r>
      <w:r w:rsidRPr="008207A9">
        <w:rPr>
          <w:bCs/>
          <w:sz w:val="22"/>
          <w:szCs w:val="22"/>
          <w:lang w:val="en-US"/>
        </w:rPr>
        <w:t>The role of the Ramsar Convention in the prevention and mitigation of impacts associated with natural phenomena, including those induced or exacerbated by human activities</w:t>
      </w:r>
      <w:r w:rsidRPr="008207A9">
        <w:rPr>
          <w:b/>
          <w:bCs/>
          <w:sz w:val="22"/>
          <w:szCs w:val="22"/>
          <w:lang w:val="en-US"/>
        </w:rPr>
        <w:t xml:space="preserve"> </w:t>
      </w:r>
    </w:p>
    <w:p w14:paraId="4EDBC52D" w14:textId="77777777" w:rsidR="008207A9" w:rsidRPr="008207A9" w:rsidRDefault="00BC5676" w:rsidP="00137ECC">
      <w:pPr>
        <w:pStyle w:val="ListParagraph"/>
        <w:numPr>
          <w:ilvl w:val="0"/>
          <w:numId w:val="6"/>
        </w:numPr>
        <w:rPr>
          <w:bCs/>
          <w:sz w:val="22"/>
          <w:szCs w:val="22"/>
          <w:lang w:val="en-US"/>
        </w:rPr>
      </w:pPr>
      <w:r>
        <w:rPr>
          <w:bCs/>
          <w:sz w:val="22"/>
          <w:szCs w:val="22"/>
          <w:lang w:val="en-US"/>
        </w:rPr>
        <w:t xml:space="preserve">Resolution </w:t>
      </w:r>
      <w:r w:rsidR="008207A9" w:rsidRPr="008207A9">
        <w:rPr>
          <w:bCs/>
          <w:sz w:val="22"/>
          <w:szCs w:val="22"/>
          <w:lang w:val="en-US"/>
        </w:rPr>
        <w:t xml:space="preserve">IX.11 </w:t>
      </w:r>
      <w:r w:rsidR="008207A9">
        <w:rPr>
          <w:bCs/>
          <w:sz w:val="22"/>
          <w:szCs w:val="22"/>
          <w:lang w:val="en-US"/>
        </w:rPr>
        <w:t xml:space="preserve">– </w:t>
      </w:r>
      <w:r w:rsidR="008207A9" w:rsidRPr="008207A9">
        <w:rPr>
          <w:bCs/>
          <w:sz w:val="22"/>
          <w:szCs w:val="22"/>
          <w:lang w:val="en-US"/>
        </w:rPr>
        <w:t>Revised modus operandi of the Scientific and Technical Review Panel (STRP) Para 37</w:t>
      </w:r>
    </w:p>
    <w:p w14:paraId="60283F5D" w14:textId="77777777" w:rsidR="00B15325" w:rsidRDefault="000F19FD" w:rsidP="00137ECC">
      <w:pPr>
        <w:pStyle w:val="ListParagraph"/>
        <w:numPr>
          <w:ilvl w:val="0"/>
          <w:numId w:val="6"/>
        </w:numPr>
        <w:rPr>
          <w:bCs/>
          <w:sz w:val="22"/>
          <w:szCs w:val="22"/>
          <w:lang w:val="en-GB"/>
        </w:rPr>
      </w:pPr>
      <w:r w:rsidRPr="000F19FD">
        <w:rPr>
          <w:bCs/>
          <w:sz w:val="22"/>
          <w:szCs w:val="22"/>
          <w:lang w:val="en-GB"/>
        </w:rPr>
        <w:t xml:space="preserve">Resolution IX.12 </w:t>
      </w:r>
      <w:r>
        <w:rPr>
          <w:bCs/>
          <w:sz w:val="22"/>
          <w:szCs w:val="22"/>
          <w:lang w:val="en-GB"/>
        </w:rPr>
        <w:t xml:space="preserve">– </w:t>
      </w:r>
      <w:r w:rsidRPr="000F19FD">
        <w:rPr>
          <w:bCs/>
          <w:sz w:val="22"/>
          <w:szCs w:val="22"/>
          <w:lang w:val="en-GB"/>
        </w:rPr>
        <w:t xml:space="preserve">Financial and Budgetary Matters </w:t>
      </w:r>
    </w:p>
    <w:p w14:paraId="0313C1D5" w14:textId="77777777" w:rsidR="00B15325" w:rsidRPr="00B15325" w:rsidRDefault="00B15325" w:rsidP="00137ECC">
      <w:pPr>
        <w:pStyle w:val="ListParagraph"/>
        <w:numPr>
          <w:ilvl w:val="0"/>
          <w:numId w:val="6"/>
        </w:numPr>
        <w:rPr>
          <w:bCs/>
          <w:sz w:val="22"/>
          <w:szCs w:val="22"/>
          <w:lang w:val="en-GB"/>
        </w:rPr>
      </w:pPr>
      <w:r w:rsidRPr="00B15325">
        <w:rPr>
          <w:bCs/>
          <w:sz w:val="22"/>
          <w:szCs w:val="22"/>
          <w:lang w:val="en-US"/>
        </w:rPr>
        <w:t xml:space="preserve">Resolution IX.19 </w:t>
      </w:r>
      <w:r>
        <w:rPr>
          <w:bCs/>
          <w:sz w:val="22"/>
          <w:szCs w:val="22"/>
          <w:lang w:val="en-US"/>
        </w:rPr>
        <w:t xml:space="preserve">– </w:t>
      </w:r>
      <w:r w:rsidRPr="00B15325">
        <w:rPr>
          <w:bCs/>
          <w:sz w:val="22"/>
          <w:szCs w:val="22"/>
          <w:lang w:val="en-US"/>
        </w:rPr>
        <w:t xml:space="preserve">The importance of regional wetland symposia in effectively implementing the Ramsar Convention </w:t>
      </w:r>
    </w:p>
    <w:p w14:paraId="19F04590" w14:textId="77777777" w:rsidR="002559DE" w:rsidRPr="002559DE" w:rsidRDefault="002559DE" w:rsidP="00137ECC">
      <w:pPr>
        <w:pStyle w:val="ListParagraph"/>
        <w:numPr>
          <w:ilvl w:val="0"/>
          <w:numId w:val="6"/>
        </w:numPr>
        <w:rPr>
          <w:sz w:val="22"/>
          <w:szCs w:val="22"/>
          <w:lang w:val="en-US"/>
        </w:rPr>
      </w:pPr>
      <w:r>
        <w:rPr>
          <w:sz w:val="22"/>
          <w:szCs w:val="22"/>
          <w:lang w:val="en-US"/>
        </w:rPr>
        <w:t xml:space="preserve">Resolution VIII.25 – </w:t>
      </w:r>
      <w:r w:rsidRPr="002559DE">
        <w:rPr>
          <w:sz w:val="22"/>
          <w:szCs w:val="22"/>
          <w:lang w:val="en-US"/>
        </w:rPr>
        <w:t xml:space="preserve"> The Ramsar Strategic Plan 2003-2008</w:t>
      </w:r>
    </w:p>
    <w:p w14:paraId="31A95B1D" w14:textId="77777777" w:rsidR="00A73F3B" w:rsidRPr="00A73F3B" w:rsidRDefault="00A73F3B" w:rsidP="00137ECC">
      <w:pPr>
        <w:pStyle w:val="ListParagraph"/>
        <w:numPr>
          <w:ilvl w:val="0"/>
          <w:numId w:val="6"/>
        </w:numPr>
        <w:rPr>
          <w:sz w:val="22"/>
          <w:szCs w:val="22"/>
          <w:lang w:val="en-US"/>
        </w:rPr>
      </w:pPr>
      <w:r>
        <w:rPr>
          <w:sz w:val="22"/>
          <w:szCs w:val="22"/>
          <w:lang w:val="en-US"/>
        </w:rPr>
        <w:t xml:space="preserve">Resolution VIII.27 – </w:t>
      </w:r>
      <w:r w:rsidRPr="00A73F3B">
        <w:rPr>
          <w:sz w:val="22"/>
          <w:szCs w:val="22"/>
          <w:lang w:val="en-US"/>
        </w:rPr>
        <w:t xml:space="preserve"> Financial and budgetary matters</w:t>
      </w:r>
    </w:p>
    <w:p w14:paraId="49192B0C" w14:textId="721FD744" w:rsidR="006C270A" w:rsidRPr="005016F9" w:rsidRDefault="0037065B" w:rsidP="00137ECC">
      <w:pPr>
        <w:pStyle w:val="ListParagraph"/>
        <w:numPr>
          <w:ilvl w:val="0"/>
          <w:numId w:val="6"/>
        </w:numPr>
        <w:rPr>
          <w:bCs/>
          <w:sz w:val="22"/>
          <w:szCs w:val="22"/>
          <w:lang w:val="en-GB"/>
        </w:rPr>
      </w:pPr>
      <w:r>
        <w:rPr>
          <w:sz w:val="22"/>
          <w:szCs w:val="22"/>
          <w:lang w:val="en-US"/>
        </w:rPr>
        <w:t>Resolution VII</w:t>
      </w:r>
      <w:r w:rsidR="005016F9">
        <w:rPr>
          <w:bCs/>
          <w:sz w:val="22"/>
          <w:szCs w:val="22"/>
          <w:lang w:val="en-GB"/>
        </w:rPr>
        <w:t xml:space="preserve">.19 – </w:t>
      </w:r>
      <w:r w:rsidR="005016F9" w:rsidRPr="005016F9">
        <w:rPr>
          <w:bCs/>
          <w:sz w:val="22"/>
          <w:szCs w:val="22"/>
          <w:lang w:val="en-GB"/>
        </w:rPr>
        <w:t>Guidelines for international cooperation under the Ramsar Convention</w:t>
      </w:r>
      <w:r w:rsidR="005016F9">
        <w:rPr>
          <w:rStyle w:val="FootnoteReference"/>
          <w:bCs/>
          <w:sz w:val="22"/>
          <w:szCs w:val="22"/>
          <w:lang w:val="en-GB"/>
        </w:rPr>
        <w:footnoteReference w:id="3"/>
      </w:r>
      <w:r w:rsidR="005016F9" w:rsidRPr="005016F9">
        <w:rPr>
          <w:bCs/>
          <w:sz w:val="22"/>
          <w:szCs w:val="22"/>
          <w:lang w:val="en-GB"/>
        </w:rPr>
        <w:t xml:space="preserve"> </w:t>
      </w:r>
      <w:r w:rsidR="005016F9" w:rsidRPr="005016F9">
        <w:rPr>
          <w:bCs/>
          <w:sz w:val="22"/>
          <w:szCs w:val="22"/>
          <w:lang w:val="en-GB"/>
        </w:rPr>
        <w:tab/>
        <w:t xml:space="preserve"> </w:t>
      </w:r>
    </w:p>
    <w:p w14:paraId="65953815" w14:textId="77777777" w:rsidR="00F00C45" w:rsidRPr="005016F9" w:rsidRDefault="00F00C45" w:rsidP="006C270A">
      <w:pPr>
        <w:rPr>
          <w:sz w:val="22"/>
          <w:szCs w:val="22"/>
          <w:lang w:val="en-GB"/>
        </w:rPr>
      </w:pPr>
    </w:p>
    <w:p w14:paraId="28957DD5" w14:textId="77777777" w:rsidR="00727D31" w:rsidRDefault="00727D31" w:rsidP="00137ECC">
      <w:pPr>
        <w:pStyle w:val="ListParagraph"/>
        <w:numPr>
          <w:ilvl w:val="0"/>
          <w:numId w:val="4"/>
        </w:numPr>
        <w:rPr>
          <w:sz w:val="22"/>
          <w:szCs w:val="22"/>
          <w:lang w:val="en-US"/>
        </w:rPr>
      </w:pPr>
      <w:r>
        <w:rPr>
          <w:sz w:val="22"/>
          <w:szCs w:val="22"/>
          <w:lang w:val="en-US"/>
        </w:rPr>
        <w:lastRenderedPageBreak/>
        <w:t xml:space="preserve">All SC Decisions which refer to RRIs. These are as follows: </w:t>
      </w:r>
    </w:p>
    <w:p w14:paraId="0A09260E" w14:textId="77777777" w:rsidR="00727D31" w:rsidRPr="00727D31" w:rsidRDefault="00727D31" w:rsidP="00727D31">
      <w:pPr>
        <w:ind w:left="360"/>
        <w:rPr>
          <w:sz w:val="22"/>
          <w:szCs w:val="22"/>
          <w:lang w:val="en-US"/>
        </w:rPr>
      </w:pPr>
    </w:p>
    <w:p w14:paraId="1C059A1D" w14:textId="77777777" w:rsidR="000F1B84" w:rsidRPr="000F1B84" w:rsidRDefault="000F1B84" w:rsidP="00137ECC">
      <w:pPr>
        <w:pStyle w:val="ListParagraph"/>
        <w:numPr>
          <w:ilvl w:val="0"/>
          <w:numId w:val="7"/>
        </w:numPr>
        <w:rPr>
          <w:sz w:val="22"/>
          <w:szCs w:val="22"/>
          <w:lang w:val="en-US"/>
        </w:rPr>
      </w:pPr>
      <w:r w:rsidRPr="000F1B84">
        <w:rPr>
          <w:rFonts w:ascii="Calibri" w:hAnsi="Calibri"/>
          <w:bCs/>
          <w:sz w:val="22"/>
          <w:szCs w:val="22"/>
          <w:lang w:val="en-US"/>
        </w:rPr>
        <w:t>SC57-11, SC57-28, SC57-29, SC57-48, SC57-49</w:t>
      </w:r>
    </w:p>
    <w:p w14:paraId="1DF618C3" w14:textId="77777777" w:rsidR="000F1B84" w:rsidRPr="000F1B84" w:rsidRDefault="000F1B84" w:rsidP="00137ECC">
      <w:pPr>
        <w:pStyle w:val="ListParagraph"/>
        <w:numPr>
          <w:ilvl w:val="0"/>
          <w:numId w:val="7"/>
        </w:numPr>
        <w:rPr>
          <w:sz w:val="22"/>
          <w:szCs w:val="22"/>
          <w:lang w:val="en-US"/>
        </w:rPr>
      </w:pPr>
      <w:r w:rsidRPr="000F1B84">
        <w:rPr>
          <w:rFonts w:ascii="Calibri" w:hAnsi="Calibri"/>
          <w:bCs/>
          <w:sz w:val="22"/>
          <w:szCs w:val="22"/>
          <w:lang w:val="en-US"/>
        </w:rPr>
        <w:t>SC56-07</w:t>
      </w:r>
    </w:p>
    <w:p w14:paraId="0520BC99" w14:textId="77777777" w:rsidR="000F1B84" w:rsidRPr="000F1B84" w:rsidRDefault="000F1B84" w:rsidP="00137ECC">
      <w:pPr>
        <w:pStyle w:val="ListParagraph"/>
        <w:numPr>
          <w:ilvl w:val="0"/>
          <w:numId w:val="7"/>
        </w:numPr>
        <w:rPr>
          <w:sz w:val="22"/>
          <w:szCs w:val="22"/>
          <w:lang w:val="en-US"/>
        </w:rPr>
      </w:pPr>
      <w:r w:rsidRPr="000F1B84">
        <w:rPr>
          <w:rFonts w:ascii="Calibri" w:hAnsi="Calibri"/>
          <w:bCs/>
          <w:sz w:val="22"/>
          <w:szCs w:val="22"/>
          <w:lang w:val="en-US"/>
        </w:rPr>
        <w:t>SC55-11</w:t>
      </w:r>
    </w:p>
    <w:p w14:paraId="53EFDF32" w14:textId="77777777" w:rsidR="00E84CA6" w:rsidRPr="000F1B84" w:rsidRDefault="00E84CA6" w:rsidP="00137ECC">
      <w:pPr>
        <w:pStyle w:val="ListParagraph"/>
        <w:numPr>
          <w:ilvl w:val="0"/>
          <w:numId w:val="7"/>
        </w:numPr>
        <w:rPr>
          <w:sz w:val="22"/>
          <w:szCs w:val="22"/>
          <w:lang w:val="en-US"/>
        </w:rPr>
      </w:pPr>
      <w:r w:rsidRPr="000F1B84">
        <w:rPr>
          <w:rFonts w:ascii="Calibri" w:hAnsi="Calibri"/>
          <w:bCs/>
          <w:sz w:val="22"/>
          <w:szCs w:val="22"/>
          <w:lang w:val="en-US"/>
        </w:rPr>
        <w:t>SC54-30</w:t>
      </w:r>
    </w:p>
    <w:p w14:paraId="3452620C" w14:textId="77777777" w:rsidR="00DF6B72" w:rsidRPr="000F1B84" w:rsidRDefault="00E84CA6" w:rsidP="00137ECC">
      <w:pPr>
        <w:pStyle w:val="ListParagraph"/>
        <w:numPr>
          <w:ilvl w:val="0"/>
          <w:numId w:val="7"/>
        </w:numPr>
        <w:rPr>
          <w:sz w:val="22"/>
          <w:szCs w:val="22"/>
          <w:lang w:val="en-US"/>
        </w:rPr>
      </w:pPr>
      <w:r w:rsidRPr="000F1B84">
        <w:rPr>
          <w:rFonts w:ascii="Calibri" w:hAnsi="Calibri"/>
          <w:bCs/>
          <w:sz w:val="22"/>
          <w:szCs w:val="22"/>
          <w:lang w:val="en-US"/>
        </w:rPr>
        <w:t xml:space="preserve">SC53-09, SC53-12, SC53-37, </w:t>
      </w:r>
      <w:r w:rsidR="000F1B84" w:rsidRPr="000F1B84">
        <w:rPr>
          <w:rFonts w:ascii="Calibri" w:hAnsi="Calibri"/>
          <w:bCs/>
          <w:sz w:val="22"/>
          <w:szCs w:val="22"/>
          <w:lang w:val="en-US"/>
        </w:rPr>
        <w:t>SC53-38</w:t>
      </w:r>
      <w:r w:rsidRPr="000F1B84">
        <w:rPr>
          <w:rFonts w:ascii="Calibri" w:hAnsi="Calibri"/>
          <w:bCs/>
          <w:sz w:val="22"/>
          <w:szCs w:val="22"/>
          <w:lang w:val="en-US"/>
        </w:rPr>
        <w:t xml:space="preserve"> </w:t>
      </w:r>
    </w:p>
    <w:p w14:paraId="57883AE1" w14:textId="77777777" w:rsidR="00DF6B72" w:rsidRDefault="00DF6B72" w:rsidP="00137ECC">
      <w:pPr>
        <w:pStyle w:val="ListParagraph"/>
        <w:numPr>
          <w:ilvl w:val="0"/>
          <w:numId w:val="7"/>
        </w:numPr>
        <w:rPr>
          <w:sz w:val="22"/>
          <w:szCs w:val="22"/>
          <w:lang w:val="en-US"/>
        </w:rPr>
      </w:pPr>
      <w:r>
        <w:rPr>
          <w:sz w:val="22"/>
          <w:szCs w:val="22"/>
          <w:lang w:val="en-US"/>
        </w:rPr>
        <w:t>SC52-16, SC52-17, SC52-18, SC52-19, SC52-20</w:t>
      </w:r>
    </w:p>
    <w:p w14:paraId="20479F62" w14:textId="77777777" w:rsidR="00EE7F46" w:rsidRPr="00DF6B72" w:rsidRDefault="00EE7F46" w:rsidP="00137ECC">
      <w:pPr>
        <w:pStyle w:val="ListParagraph"/>
        <w:numPr>
          <w:ilvl w:val="0"/>
          <w:numId w:val="7"/>
        </w:numPr>
        <w:rPr>
          <w:sz w:val="22"/>
          <w:szCs w:val="22"/>
          <w:lang w:val="en-US"/>
        </w:rPr>
      </w:pPr>
      <w:r>
        <w:rPr>
          <w:sz w:val="22"/>
          <w:szCs w:val="22"/>
          <w:lang w:val="en-US"/>
        </w:rPr>
        <w:t>SC51-11</w:t>
      </w:r>
      <w:r w:rsidR="00DF6B72">
        <w:rPr>
          <w:sz w:val="22"/>
          <w:szCs w:val="22"/>
          <w:lang w:val="en-US"/>
        </w:rPr>
        <w:t xml:space="preserve">, </w:t>
      </w:r>
      <w:r w:rsidRPr="00DF6B72">
        <w:rPr>
          <w:sz w:val="22"/>
          <w:szCs w:val="22"/>
          <w:lang w:val="en-US"/>
        </w:rPr>
        <w:t>SC51-12</w:t>
      </w:r>
      <w:r w:rsidR="00DF6B72">
        <w:rPr>
          <w:sz w:val="22"/>
          <w:szCs w:val="22"/>
          <w:lang w:val="en-US"/>
        </w:rPr>
        <w:t xml:space="preserve">, </w:t>
      </w:r>
      <w:r w:rsidRPr="00DF6B72">
        <w:rPr>
          <w:sz w:val="22"/>
          <w:szCs w:val="22"/>
          <w:lang w:val="en-US"/>
        </w:rPr>
        <w:t>SC51-13</w:t>
      </w:r>
      <w:r w:rsidR="00DF6B72">
        <w:rPr>
          <w:sz w:val="22"/>
          <w:szCs w:val="22"/>
          <w:lang w:val="en-US"/>
        </w:rPr>
        <w:t xml:space="preserve">, </w:t>
      </w:r>
      <w:r w:rsidRPr="00DF6B72">
        <w:rPr>
          <w:sz w:val="22"/>
          <w:szCs w:val="22"/>
          <w:lang w:val="en-US"/>
        </w:rPr>
        <w:t>SC51-14</w:t>
      </w:r>
    </w:p>
    <w:p w14:paraId="76BA3DAD" w14:textId="77777777" w:rsidR="00EE7F46" w:rsidRDefault="00EE7F46" w:rsidP="00137ECC">
      <w:pPr>
        <w:pStyle w:val="ListParagraph"/>
        <w:numPr>
          <w:ilvl w:val="0"/>
          <w:numId w:val="7"/>
        </w:numPr>
        <w:rPr>
          <w:sz w:val="22"/>
          <w:szCs w:val="22"/>
          <w:lang w:val="en-US"/>
        </w:rPr>
      </w:pPr>
      <w:r>
        <w:rPr>
          <w:sz w:val="22"/>
          <w:szCs w:val="22"/>
          <w:lang w:val="en-US"/>
        </w:rPr>
        <w:t>SC49-03</w:t>
      </w:r>
    </w:p>
    <w:p w14:paraId="61DD1633" w14:textId="77777777" w:rsidR="00A615D3" w:rsidRDefault="00A615D3" w:rsidP="00137ECC">
      <w:pPr>
        <w:pStyle w:val="ListParagraph"/>
        <w:numPr>
          <w:ilvl w:val="0"/>
          <w:numId w:val="7"/>
        </w:numPr>
        <w:rPr>
          <w:sz w:val="22"/>
          <w:szCs w:val="22"/>
          <w:lang w:val="en-US"/>
        </w:rPr>
      </w:pPr>
      <w:r>
        <w:rPr>
          <w:sz w:val="22"/>
          <w:szCs w:val="22"/>
          <w:lang w:val="en-US"/>
        </w:rPr>
        <w:t>SC48-</w:t>
      </w:r>
      <w:r w:rsidR="00EE7F46">
        <w:rPr>
          <w:sz w:val="22"/>
          <w:szCs w:val="22"/>
          <w:lang w:val="en-US"/>
        </w:rPr>
        <w:t>25</w:t>
      </w:r>
    </w:p>
    <w:p w14:paraId="79A98235" w14:textId="77777777" w:rsidR="00F10D6C" w:rsidRPr="00DF6B72" w:rsidRDefault="00905110" w:rsidP="00137ECC">
      <w:pPr>
        <w:pStyle w:val="ListParagraph"/>
        <w:numPr>
          <w:ilvl w:val="0"/>
          <w:numId w:val="7"/>
        </w:numPr>
        <w:rPr>
          <w:sz w:val="22"/>
          <w:szCs w:val="22"/>
          <w:lang w:val="en-US"/>
        </w:rPr>
      </w:pPr>
      <w:r>
        <w:rPr>
          <w:sz w:val="22"/>
          <w:szCs w:val="22"/>
          <w:lang w:val="en-US"/>
        </w:rPr>
        <w:t>SC47-</w:t>
      </w:r>
      <w:r w:rsidR="00A75652">
        <w:rPr>
          <w:sz w:val="22"/>
          <w:szCs w:val="22"/>
          <w:lang w:val="en-US"/>
        </w:rPr>
        <w:t>08</w:t>
      </w:r>
      <w:r w:rsidR="00DF6B72">
        <w:rPr>
          <w:sz w:val="22"/>
          <w:szCs w:val="22"/>
          <w:lang w:val="en-US"/>
        </w:rPr>
        <w:t xml:space="preserve">, </w:t>
      </w:r>
      <w:r w:rsidR="00A75652" w:rsidRPr="00DF6B72">
        <w:rPr>
          <w:sz w:val="22"/>
          <w:szCs w:val="22"/>
          <w:lang w:val="en-US"/>
        </w:rPr>
        <w:t>SC47-10</w:t>
      </w:r>
      <w:r w:rsidR="00DF6B72">
        <w:rPr>
          <w:sz w:val="22"/>
          <w:szCs w:val="22"/>
          <w:lang w:val="en-US"/>
        </w:rPr>
        <w:t xml:space="preserve">, </w:t>
      </w:r>
      <w:r w:rsidR="00F10D6C" w:rsidRPr="00DF6B72">
        <w:rPr>
          <w:sz w:val="22"/>
          <w:szCs w:val="22"/>
          <w:lang w:val="en-US"/>
        </w:rPr>
        <w:t>SC47-26</w:t>
      </w:r>
    </w:p>
    <w:p w14:paraId="76F529BB" w14:textId="77777777" w:rsidR="00905110" w:rsidRPr="00DF6B72" w:rsidRDefault="000A458F" w:rsidP="00137ECC">
      <w:pPr>
        <w:pStyle w:val="ListParagraph"/>
        <w:numPr>
          <w:ilvl w:val="0"/>
          <w:numId w:val="7"/>
        </w:numPr>
        <w:rPr>
          <w:sz w:val="22"/>
          <w:szCs w:val="22"/>
          <w:lang w:val="en-US"/>
        </w:rPr>
      </w:pPr>
      <w:r>
        <w:rPr>
          <w:sz w:val="22"/>
          <w:szCs w:val="22"/>
          <w:lang w:val="en-US"/>
        </w:rPr>
        <w:t>SC46-13</w:t>
      </w:r>
      <w:r w:rsidR="00DF6B72">
        <w:rPr>
          <w:sz w:val="22"/>
          <w:szCs w:val="22"/>
          <w:lang w:val="en-US"/>
        </w:rPr>
        <w:t xml:space="preserve">, </w:t>
      </w:r>
      <w:r w:rsidRPr="00DF6B72">
        <w:rPr>
          <w:sz w:val="22"/>
          <w:szCs w:val="22"/>
          <w:lang w:val="en-US"/>
        </w:rPr>
        <w:t>SC46-23</w:t>
      </w:r>
      <w:r w:rsidR="00DF6B72">
        <w:rPr>
          <w:sz w:val="22"/>
          <w:szCs w:val="22"/>
          <w:lang w:val="en-US"/>
        </w:rPr>
        <w:t xml:space="preserve">, </w:t>
      </w:r>
      <w:r w:rsidR="00905110" w:rsidRPr="00DF6B72">
        <w:rPr>
          <w:sz w:val="22"/>
          <w:szCs w:val="22"/>
          <w:lang w:val="en-US"/>
        </w:rPr>
        <w:t>SC46-28</w:t>
      </w:r>
    </w:p>
    <w:p w14:paraId="364EDC27" w14:textId="77777777" w:rsidR="00DF6B72" w:rsidRDefault="007D7E8C" w:rsidP="00137ECC">
      <w:pPr>
        <w:pStyle w:val="ListParagraph"/>
        <w:numPr>
          <w:ilvl w:val="0"/>
          <w:numId w:val="7"/>
        </w:numPr>
        <w:rPr>
          <w:sz w:val="22"/>
          <w:szCs w:val="22"/>
          <w:lang w:val="en-US"/>
        </w:rPr>
      </w:pPr>
      <w:r>
        <w:rPr>
          <w:sz w:val="22"/>
          <w:szCs w:val="22"/>
          <w:lang w:val="en-US"/>
        </w:rPr>
        <w:t>SC43-7</w:t>
      </w:r>
      <w:r w:rsidR="00DF6B72">
        <w:rPr>
          <w:sz w:val="22"/>
          <w:szCs w:val="22"/>
          <w:lang w:val="en-US"/>
        </w:rPr>
        <w:t xml:space="preserve">, </w:t>
      </w:r>
      <w:r w:rsidRPr="00DF6B72">
        <w:rPr>
          <w:sz w:val="22"/>
          <w:szCs w:val="22"/>
          <w:lang w:val="en-US"/>
        </w:rPr>
        <w:t>SC43-17</w:t>
      </w:r>
      <w:r w:rsidR="00DF6B72">
        <w:rPr>
          <w:sz w:val="22"/>
          <w:szCs w:val="22"/>
          <w:lang w:val="en-US"/>
        </w:rPr>
        <w:t xml:space="preserve">, </w:t>
      </w:r>
      <w:r w:rsidR="00FA5094" w:rsidRPr="00DF6B72">
        <w:rPr>
          <w:sz w:val="22"/>
          <w:szCs w:val="22"/>
          <w:lang w:val="en-US"/>
        </w:rPr>
        <w:t>SC43-21</w:t>
      </w:r>
      <w:r w:rsidR="00DF6B72">
        <w:rPr>
          <w:sz w:val="22"/>
          <w:szCs w:val="22"/>
          <w:lang w:val="en-US"/>
        </w:rPr>
        <w:t xml:space="preserve">, </w:t>
      </w:r>
      <w:r w:rsidR="000A458F" w:rsidRPr="00DF6B72">
        <w:rPr>
          <w:sz w:val="22"/>
          <w:szCs w:val="22"/>
          <w:lang w:val="en-US"/>
        </w:rPr>
        <w:t>SC43-35</w:t>
      </w:r>
    </w:p>
    <w:p w14:paraId="0A608955" w14:textId="77777777" w:rsidR="007D7E8C" w:rsidRPr="00DF6B72" w:rsidRDefault="007D7E8C" w:rsidP="00137ECC">
      <w:pPr>
        <w:pStyle w:val="ListParagraph"/>
        <w:numPr>
          <w:ilvl w:val="0"/>
          <w:numId w:val="7"/>
        </w:numPr>
        <w:rPr>
          <w:sz w:val="22"/>
          <w:szCs w:val="22"/>
          <w:lang w:val="en-US"/>
        </w:rPr>
      </w:pPr>
      <w:r w:rsidRPr="00DF6B72">
        <w:rPr>
          <w:sz w:val="22"/>
          <w:szCs w:val="22"/>
          <w:lang w:val="en-US"/>
        </w:rPr>
        <w:t>SC42-15</w:t>
      </w:r>
      <w:r w:rsidR="00DF6B72">
        <w:rPr>
          <w:sz w:val="22"/>
          <w:szCs w:val="22"/>
          <w:lang w:val="en-US"/>
        </w:rPr>
        <w:t xml:space="preserve">, </w:t>
      </w:r>
      <w:r w:rsidRPr="00DF6B72">
        <w:rPr>
          <w:sz w:val="22"/>
          <w:szCs w:val="22"/>
          <w:lang w:val="en-US"/>
        </w:rPr>
        <w:t>SC42-20</w:t>
      </w:r>
    </w:p>
    <w:p w14:paraId="34812818" w14:textId="77777777" w:rsidR="00DC08FD" w:rsidRPr="00DF6B72" w:rsidRDefault="002636F8" w:rsidP="00137ECC">
      <w:pPr>
        <w:pStyle w:val="ListParagraph"/>
        <w:numPr>
          <w:ilvl w:val="0"/>
          <w:numId w:val="7"/>
        </w:numPr>
        <w:rPr>
          <w:sz w:val="22"/>
          <w:szCs w:val="22"/>
          <w:lang w:val="en-US"/>
        </w:rPr>
      </w:pPr>
      <w:r w:rsidRPr="00DF6B72">
        <w:rPr>
          <w:sz w:val="22"/>
          <w:szCs w:val="22"/>
          <w:lang w:val="en-US"/>
        </w:rPr>
        <w:t>SC41-20</w:t>
      </w:r>
      <w:r>
        <w:rPr>
          <w:sz w:val="22"/>
          <w:szCs w:val="22"/>
          <w:lang w:val="en-US"/>
        </w:rPr>
        <w:t xml:space="preserve">, </w:t>
      </w:r>
      <w:r w:rsidRPr="00DF6B72">
        <w:rPr>
          <w:sz w:val="22"/>
          <w:szCs w:val="22"/>
          <w:lang w:val="en-US"/>
        </w:rPr>
        <w:t>SC41-21</w:t>
      </w:r>
      <w:r>
        <w:rPr>
          <w:sz w:val="22"/>
          <w:szCs w:val="22"/>
          <w:lang w:val="en-US"/>
        </w:rPr>
        <w:t xml:space="preserve">, </w:t>
      </w:r>
      <w:r w:rsidR="00DC08FD">
        <w:rPr>
          <w:sz w:val="22"/>
          <w:szCs w:val="22"/>
          <w:lang w:val="en-US"/>
        </w:rPr>
        <w:t>SC41-22</w:t>
      </w:r>
      <w:r w:rsidR="00DF6B72">
        <w:rPr>
          <w:sz w:val="22"/>
          <w:szCs w:val="22"/>
          <w:lang w:val="en-US"/>
        </w:rPr>
        <w:t xml:space="preserve">, </w:t>
      </w:r>
      <w:r>
        <w:rPr>
          <w:sz w:val="22"/>
          <w:szCs w:val="22"/>
          <w:lang w:val="en-US"/>
        </w:rPr>
        <w:t>SC41-23</w:t>
      </w:r>
    </w:p>
    <w:p w14:paraId="59EBEC9F" w14:textId="77777777" w:rsidR="0006600A" w:rsidRPr="00DF6B72" w:rsidRDefault="002636F8" w:rsidP="00137ECC">
      <w:pPr>
        <w:pStyle w:val="ListParagraph"/>
        <w:numPr>
          <w:ilvl w:val="0"/>
          <w:numId w:val="7"/>
        </w:numPr>
        <w:rPr>
          <w:sz w:val="22"/>
          <w:szCs w:val="22"/>
          <w:lang w:val="en-US"/>
        </w:rPr>
      </w:pPr>
      <w:r w:rsidRPr="00DF6B72">
        <w:rPr>
          <w:sz w:val="22"/>
          <w:szCs w:val="22"/>
          <w:lang w:val="en-US"/>
        </w:rPr>
        <w:t>SC41-18</w:t>
      </w:r>
      <w:r>
        <w:rPr>
          <w:sz w:val="22"/>
          <w:szCs w:val="22"/>
          <w:lang w:val="en-US"/>
        </w:rPr>
        <w:t xml:space="preserve">, </w:t>
      </w:r>
      <w:r w:rsidR="00DC08FD">
        <w:rPr>
          <w:sz w:val="22"/>
          <w:szCs w:val="22"/>
          <w:lang w:val="en-US"/>
        </w:rPr>
        <w:t>SC41-19</w:t>
      </w:r>
      <w:r>
        <w:rPr>
          <w:sz w:val="22"/>
          <w:szCs w:val="22"/>
          <w:lang w:val="en-US"/>
        </w:rPr>
        <w:t>,</w:t>
      </w:r>
    </w:p>
    <w:p w14:paraId="4AE169AD" w14:textId="77777777" w:rsidR="00DC08FD" w:rsidRDefault="00DC08FD" w:rsidP="00137ECC">
      <w:pPr>
        <w:pStyle w:val="ListParagraph"/>
        <w:numPr>
          <w:ilvl w:val="0"/>
          <w:numId w:val="7"/>
        </w:numPr>
        <w:rPr>
          <w:sz w:val="22"/>
          <w:szCs w:val="22"/>
          <w:lang w:val="en-US"/>
        </w:rPr>
      </w:pPr>
      <w:r w:rsidRPr="006642CE">
        <w:rPr>
          <w:sz w:val="22"/>
          <w:szCs w:val="22"/>
          <w:lang w:val="en-US"/>
        </w:rPr>
        <w:t>SC40-17</w:t>
      </w:r>
    </w:p>
    <w:p w14:paraId="449FEA7D" w14:textId="77777777" w:rsidR="00DC08FD" w:rsidRDefault="00DC08FD" w:rsidP="00137ECC">
      <w:pPr>
        <w:pStyle w:val="ListParagraph"/>
        <w:numPr>
          <w:ilvl w:val="0"/>
          <w:numId w:val="7"/>
        </w:numPr>
        <w:rPr>
          <w:sz w:val="22"/>
          <w:szCs w:val="22"/>
          <w:lang w:val="en-US"/>
        </w:rPr>
      </w:pPr>
      <w:r>
        <w:rPr>
          <w:sz w:val="22"/>
          <w:szCs w:val="22"/>
          <w:lang w:val="en-US"/>
        </w:rPr>
        <w:t>SC37-7</w:t>
      </w:r>
    </w:p>
    <w:p w14:paraId="45F392AE" w14:textId="77777777" w:rsidR="00DC08FD" w:rsidRPr="000F1B84" w:rsidRDefault="002636F8" w:rsidP="00137ECC">
      <w:pPr>
        <w:pStyle w:val="ListParagraph"/>
        <w:numPr>
          <w:ilvl w:val="0"/>
          <w:numId w:val="7"/>
        </w:numPr>
        <w:rPr>
          <w:sz w:val="22"/>
          <w:szCs w:val="22"/>
          <w:lang w:val="en-US"/>
        </w:rPr>
      </w:pPr>
      <w:r w:rsidRPr="000F1B84">
        <w:rPr>
          <w:sz w:val="22"/>
          <w:szCs w:val="22"/>
          <w:lang w:val="en-US"/>
        </w:rPr>
        <w:t>SC36-13</w:t>
      </w:r>
      <w:r>
        <w:rPr>
          <w:sz w:val="22"/>
          <w:szCs w:val="22"/>
          <w:lang w:val="en-US"/>
        </w:rPr>
        <w:t xml:space="preserve">, </w:t>
      </w:r>
      <w:r w:rsidR="00DC08FD" w:rsidRPr="000F1B84">
        <w:rPr>
          <w:sz w:val="22"/>
          <w:szCs w:val="22"/>
          <w:lang w:val="en-US"/>
        </w:rPr>
        <w:t>SC36-19</w:t>
      </w:r>
      <w:r w:rsidR="00DF6B72" w:rsidRPr="000F1B84">
        <w:rPr>
          <w:sz w:val="22"/>
          <w:szCs w:val="22"/>
          <w:lang w:val="en-US"/>
        </w:rPr>
        <w:t xml:space="preserve">, </w:t>
      </w:r>
    </w:p>
    <w:p w14:paraId="2C4EEBD0" w14:textId="77777777" w:rsidR="00DC08FD" w:rsidRPr="000F1B84" w:rsidRDefault="00DC08FD" w:rsidP="00137ECC">
      <w:pPr>
        <w:pStyle w:val="ListParagraph"/>
        <w:numPr>
          <w:ilvl w:val="0"/>
          <w:numId w:val="7"/>
        </w:numPr>
        <w:rPr>
          <w:sz w:val="22"/>
          <w:szCs w:val="22"/>
          <w:lang w:val="en-US"/>
        </w:rPr>
      </w:pPr>
      <w:r w:rsidRPr="000F1B84">
        <w:rPr>
          <w:sz w:val="22"/>
          <w:szCs w:val="22"/>
          <w:lang w:val="en-US"/>
        </w:rPr>
        <w:t>SC35-7</w:t>
      </w:r>
    </w:p>
    <w:p w14:paraId="6AB952CB" w14:textId="77777777" w:rsidR="00DC08FD" w:rsidRPr="000F1B84" w:rsidRDefault="00DC08FD" w:rsidP="00137ECC">
      <w:pPr>
        <w:pStyle w:val="ListParagraph"/>
        <w:numPr>
          <w:ilvl w:val="0"/>
          <w:numId w:val="7"/>
        </w:numPr>
        <w:rPr>
          <w:sz w:val="22"/>
          <w:szCs w:val="22"/>
          <w:lang w:val="en-US"/>
        </w:rPr>
      </w:pPr>
      <w:r w:rsidRPr="000F1B84">
        <w:rPr>
          <w:sz w:val="22"/>
          <w:szCs w:val="22"/>
          <w:lang w:val="en-US"/>
        </w:rPr>
        <w:t>SC34-21</w:t>
      </w:r>
    </w:p>
    <w:p w14:paraId="62AA137B" w14:textId="77777777" w:rsidR="00DC08FD" w:rsidRPr="000F1B84" w:rsidRDefault="00DC08FD" w:rsidP="00137ECC">
      <w:pPr>
        <w:pStyle w:val="ListParagraph"/>
        <w:numPr>
          <w:ilvl w:val="0"/>
          <w:numId w:val="7"/>
        </w:numPr>
        <w:rPr>
          <w:sz w:val="22"/>
          <w:szCs w:val="22"/>
          <w:lang w:val="en-US"/>
        </w:rPr>
      </w:pPr>
      <w:r w:rsidRPr="000F1B84">
        <w:rPr>
          <w:sz w:val="22"/>
          <w:szCs w:val="22"/>
          <w:lang w:val="en-US"/>
        </w:rPr>
        <w:t>SC31-24</w:t>
      </w:r>
    </w:p>
    <w:p w14:paraId="31BA3871" w14:textId="77777777" w:rsidR="00DC08FD" w:rsidRPr="000F1B84" w:rsidRDefault="00DC08FD" w:rsidP="00137ECC">
      <w:pPr>
        <w:pStyle w:val="ListParagraph"/>
        <w:numPr>
          <w:ilvl w:val="0"/>
          <w:numId w:val="7"/>
        </w:numPr>
        <w:rPr>
          <w:sz w:val="22"/>
          <w:szCs w:val="22"/>
          <w:lang w:val="en-US"/>
        </w:rPr>
      </w:pPr>
      <w:r w:rsidRPr="000F1B84">
        <w:rPr>
          <w:sz w:val="22"/>
          <w:szCs w:val="22"/>
          <w:lang w:val="en-US"/>
        </w:rPr>
        <w:t>SC30-18</w:t>
      </w:r>
    </w:p>
    <w:p w14:paraId="501409F6" w14:textId="77777777" w:rsidR="000F1B84" w:rsidRPr="00DB231D" w:rsidRDefault="00DC08FD" w:rsidP="00137ECC">
      <w:pPr>
        <w:pStyle w:val="ListParagraph"/>
        <w:numPr>
          <w:ilvl w:val="0"/>
          <w:numId w:val="7"/>
        </w:numPr>
        <w:rPr>
          <w:sz w:val="22"/>
          <w:szCs w:val="22"/>
          <w:lang w:val="en-US"/>
        </w:rPr>
      </w:pPr>
      <w:r w:rsidRPr="000F1B84">
        <w:rPr>
          <w:sz w:val="22"/>
          <w:szCs w:val="22"/>
          <w:lang w:val="en-US"/>
        </w:rPr>
        <w:t>SC29-4</w:t>
      </w:r>
    </w:p>
    <w:p w14:paraId="2BCF0413" w14:textId="77777777" w:rsidR="00D119E8" w:rsidRDefault="00D119E8" w:rsidP="00D119E8">
      <w:pPr>
        <w:ind w:left="360"/>
        <w:rPr>
          <w:b/>
          <w:sz w:val="22"/>
          <w:szCs w:val="22"/>
          <w:lang w:val="en-US"/>
        </w:rPr>
      </w:pPr>
    </w:p>
    <w:p w14:paraId="3FDC2159" w14:textId="77777777" w:rsidR="000D4D10" w:rsidRDefault="000D4D10" w:rsidP="00D119E8">
      <w:pPr>
        <w:ind w:left="360"/>
        <w:rPr>
          <w:b/>
          <w:sz w:val="22"/>
          <w:szCs w:val="22"/>
          <w:lang w:val="en-US"/>
        </w:rPr>
      </w:pPr>
    </w:p>
    <w:p w14:paraId="7AF82201" w14:textId="77777777" w:rsidR="000D4D10" w:rsidRDefault="000D4D10" w:rsidP="00D119E8">
      <w:pPr>
        <w:ind w:left="360"/>
        <w:rPr>
          <w:b/>
          <w:sz w:val="22"/>
          <w:szCs w:val="22"/>
          <w:lang w:val="en-US"/>
        </w:rPr>
      </w:pPr>
    </w:p>
    <w:p w14:paraId="1C3D75EE" w14:textId="77777777" w:rsidR="000D4D10" w:rsidRDefault="000D4D10" w:rsidP="00D119E8">
      <w:pPr>
        <w:ind w:left="360"/>
        <w:rPr>
          <w:b/>
          <w:sz w:val="22"/>
          <w:szCs w:val="22"/>
          <w:lang w:val="en-US"/>
        </w:rPr>
      </w:pPr>
    </w:p>
    <w:p w14:paraId="7CE1DEC9" w14:textId="77777777" w:rsidR="000D4D10" w:rsidRDefault="000D4D10" w:rsidP="00D119E8">
      <w:pPr>
        <w:ind w:left="360"/>
        <w:rPr>
          <w:b/>
          <w:sz w:val="22"/>
          <w:szCs w:val="22"/>
          <w:lang w:val="en-US"/>
        </w:rPr>
      </w:pPr>
    </w:p>
    <w:p w14:paraId="002CAF1F" w14:textId="77777777" w:rsidR="000D4D10" w:rsidRDefault="000D4D10" w:rsidP="00D119E8">
      <w:pPr>
        <w:ind w:left="360"/>
        <w:rPr>
          <w:b/>
          <w:sz w:val="22"/>
          <w:szCs w:val="22"/>
          <w:lang w:val="en-US"/>
        </w:rPr>
      </w:pPr>
    </w:p>
    <w:p w14:paraId="4D46F388" w14:textId="77777777" w:rsidR="000D4D10" w:rsidRPr="00D119E8" w:rsidRDefault="000D4D10" w:rsidP="00D119E8">
      <w:pPr>
        <w:ind w:left="360"/>
        <w:rPr>
          <w:b/>
          <w:sz w:val="22"/>
          <w:szCs w:val="22"/>
          <w:lang w:val="en-US"/>
        </w:rPr>
      </w:pPr>
    </w:p>
    <w:p w14:paraId="35F975E2" w14:textId="77777777" w:rsidR="000255D6" w:rsidRDefault="000255D6" w:rsidP="00137ECC">
      <w:pPr>
        <w:pStyle w:val="ListParagraph"/>
        <w:numPr>
          <w:ilvl w:val="0"/>
          <w:numId w:val="1"/>
        </w:numPr>
        <w:rPr>
          <w:b/>
          <w:sz w:val="22"/>
          <w:szCs w:val="22"/>
          <w:lang w:val="en-US"/>
        </w:rPr>
      </w:pPr>
      <w:r>
        <w:rPr>
          <w:b/>
          <w:sz w:val="22"/>
          <w:szCs w:val="22"/>
          <w:lang w:val="en-US"/>
        </w:rPr>
        <w:lastRenderedPageBreak/>
        <w:t>Resolutions</w:t>
      </w:r>
      <w:r w:rsidR="009713F2">
        <w:rPr>
          <w:b/>
          <w:sz w:val="22"/>
          <w:szCs w:val="22"/>
          <w:lang w:val="en-US"/>
        </w:rPr>
        <w:t xml:space="preserve"> and Recommendations</w:t>
      </w:r>
      <w:r>
        <w:rPr>
          <w:b/>
          <w:sz w:val="22"/>
          <w:szCs w:val="22"/>
          <w:lang w:val="en-US"/>
        </w:rPr>
        <w:t xml:space="preserve"> </w:t>
      </w:r>
      <w:r w:rsidR="00D93227">
        <w:rPr>
          <w:b/>
          <w:sz w:val="22"/>
          <w:szCs w:val="22"/>
          <w:lang w:val="en-US"/>
        </w:rPr>
        <w:t>directly concerning</w:t>
      </w:r>
      <w:r>
        <w:rPr>
          <w:b/>
          <w:sz w:val="22"/>
          <w:szCs w:val="22"/>
          <w:lang w:val="en-US"/>
        </w:rPr>
        <w:t xml:space="preserve"> RRIs – redundant or inconsistent with XIII.9</w:t>
      </w:r>
      <w:r w:rsidR="00E01DC1">
        <w:rPr>
          <w:b/>
          <w:sz w:val="22"/>
          <w:szCs w:val="22"/>
          <w:lang w:val="en-US"/>
        </w:rPr>
        <w:t xml:space="preserve"> </w:t>
      </w:r>
    </w:p>
    <w:p w14:paraId="3E2C4049" w14:textId="77777777" w:rsidR="00020857" w:rsidRDefault="00020857" w:rsidP="00020857">
      <w:pPr>
        <w:ind w:left="360"/>
        <w:rPr>
          <w:b/>
          <w:sz w:val="22"/>
          <w:szCs w:val="22"/>
          <w:lang w:val="en-US"/>
        </w:rPr>
      </w:pPr>
    </w:p>
    <w:p w14:paraId="42AAFA8D" w14:textId="77777777" w:rsidR="00A75E07" w:rsidRDefault="00020857" w:rsidP="00020857">
      <w:pPr>
        <w:ind w:left="360"/>
        <w:rPr>
          <w:sz w:val="22"/>
          <w:szCs w:val="22"/>
          <w:lang w:val="en-US"/>
        </w:rPr>
      </w:pPr>
      <w:r>
        <w:rPr>
          <w:sz w:val="22"/>
          <w:szCs w:val="22"/>
          <w:lang w:val="en-US"/>
        </w:rPr>
        <w:t xml:space="preserve">All </w:t>
      </w:r>
      <w:r w:rsidR="00B3242B">
        <w:rPr>
          <w:sz w:val="22"/>
          <w:szCs w:val="22"/>
          <w:lang w:val="en-US"/>
        </w:rPr>
        <w:t xml:space="preserve">paragraphs from </w:t>
      </w:r>
      <w:r>
        <w:rPr>
          <w:sz w:val="22"/>
          <w:szCs w:val="22"/>
          <w:lang w:val="en-US"/>
        </w:rPr>
        <w:t xml:space="preserve">Resolutions </w:t>
      </w:r>
      <w:r w:rsidR="009713F2">
        <w:rPr>
          <w:sz w:val="22"/>
          <w:szCs w:val="22"/>
          <w:lang w:val="en-US"/>
        </w:rPr>
        <w:t xml:space="preserve">and Recommendations </w:t>
      </w:r>
      <w:r w:rsidR="00D93227">
        <w:rPr>
          <w:sz w:val="22"/>
          <w:szCs w:val="22"/>
          <w:lang w:val="en-US"/>
        </w:rPr>
        <w:t xml:space="preserve">directly </w:t>
      </w:r>
      <w:r>
        <w:rPr>
          <w:sz w:val="22"/>
          <w:szCs w:val="22"/>
          <w:lang w:val="en-US"/>
        </w:rPr>
        <w:t>concerning RRIs that are redundant</w:t>
      </w:r>
      <w:r w:rsidR="00F85FDD">
        <w:rPr>
          <w:sz w:val="22"/>
          <w:szCs w:val="22"/>
          <w:lang w:val="en-US"/>
        </w:rPr>
        <w:t xml:space="preserve"> </w:t>
      </w:r>
      <w:r>
        <w:rPr>
          <w:sz w:val="22"/>
          <w:szCs w:val="22"/>
          <w:lang w:val="en-US"/>
        </w:rPr>
        <w:t>or inconsistent with XIII.9 are</w:t>
      </w:r>
      <w:r w:rsidR="00F00C45">
        <w:rPr>
          <w:sz w:val="22"/>
          <w:szCs w:val="22"/>
          <w:lang w:val="en-US"/>
        </w:rPr>
        <w:t xml:space="preserve"> organized thematically and</w:t>
      </w:r>
      <w:r>
        <w:rPr>
          <w:sz w:val="22"/>
          <w:szCs w:val="22"/>
          <w:lang w:val="en-US"/>
        </w:rPr>
        <w:t xml:space="preserve"> set out in </w:t>
      </w:r>
      <w:r w:rsidRPr="00020857">
        <w:rPr>
          <w:b/>
          <w:sz w:val="22"/>
          <w:szCs w:val="22"/>
          <w:lang w:val="en-US"/>
        </w:rPr>
        <w:t xml:space="preserve">Annex </w:t>
      </w:r>
      <w:r w:rsidR="00474CC4">
        <w:rPr>
          <w:b/>
          <w:sz w:val="22"/>
          <w:szCs w:val="22"/>
          <w:lang w:val="en-US"/>
        </w:rPr>
        <w:t>2</w:t>
      </w:r>
      <w:r>
        <w:rPr>
          <w:sz w:val="22"/>
          <w:szCs w:val="22"/>
          <w:lang w:val="en-US"/>
        </w:rPr>
        <w:t>.</w:t>
      </w:r>
      <w:r w:rsidR="00AF1268">
        <w:rPr>
          <w:sz w:val="22"/>
          <w:szCs w:val="22"/>
          <w:lang w:val="en-US"/>
        </w:rPr>
        <w:t xml:space="preserve"> </w:t>
      </w:r>
    </w:p>
    <w:p w14:paraId="345AB862" w14:textId="77777777" w:rsidR="00A75E07" w:rsidRDefault="00A75E07" w:rsidP="00020857">
      <w:pPr>
        <w:ind w:left="360"/>
        <w:rPr>
          <w:sz w:val="22"/>
          <w:szCs w:val="22"/>
          <w:lang w:val="en-US"/>
        </w:rPr>
      </w:pPr>
    </w:p>
    <w:tbl>
      <w:tblPr>
        <w:tblStyle w:val="TableGrid"/>
        <w:tblW w:w="0" w:type="auto"/>
        <w:tblInd w:w="360" w:type="dxa"/>
        <w:tblLook w:val="04A0" w:firstRow="1" w:lastRow="0" w:firstColumn="1" w:lastColumn="0" w:noHBand="0" w:noVBand="1"/>
      </w:tblPr>
      <w:tblGrid>
        <w:gridCol w:w="13636"/>
      </w:tblGrid>
      <w:tr w:rsidR="00474CC4" w:rsidRPr="00217036" w14:paraId="66A36AA4" w14:textId="77777777" w:rsidTr="00474CC4">
        <w:tc>
          <w:tcPr>
            <w:tcW w:w="13996" w:type="dxa"/>
          </w:tcPr>
          <w:p w14:paraId="1760542E" w14:textId="77777777" w:rsidR="00474CC4" w:rsidRDefault="00474CC4" w:rsidP="00474CC4">
            <w:pPr>
              <w:rPr>
                <w:b/>
                <w:i/>
                <w:color w:val="4472C4" w:themeColor="accent1"/>
                <w:sz w:val="22"/>
                <w:szCs w:val="22"/>
                <w:lang w:val="en-US"/>
              </w:rPr>
            </w:pPr>
            <w:r w:rsidRPr="00474CC4">
              <w:rPr>
                <w:b/>
                <w:i/>
                <w:color w:val="4472C4" w:themeColor="accent1"/>
                <w:sz w:val="22"/>
                <w:szCs w:val="22"/>
                <w:lang w:val="en-US"/>
              </w:rPr>
              <w:t>Recommendation 1</w:t>
            </w:r>
          </w:p>
          <w:p w14:paraId="658A349D" w14:textId="77777777" w:rsidR="006E651E" w:rsidRPr="006E651E" w:rsidRDefault="006E651E" w:rsidP="00474CC4">
            <w:pPr>
              <w:rPr>
                <w:b/>
                <w:i/>
                <w:color w:val="4472C4" w:themeColor="accent1"/>
                <w:sz w:val="22"/>
                <w:szCs w:val="22"/>
                <w:lang w:val="en-US"/>
              </w:rPr>
            </w:pPr>
          </w:p>
          <w:p w14:paraId="021144F4" w14:textId="77777777" w:rsidR="00474CC4" w:rsidRDefault="00474CC4" w:rsidP="00020857">
            <w:pPr>
              <w:rPr>
                <w:sz w:val="22"/>
                <w:szCs w:val="22"/>
                <w:lang w:val="en-US"/>
              </w:rPr>
            </w:pPr>
            <w:r w:rsidRPr="00A75E07">
              <w:rPr>
                <w:sz w:val="22"/>
                <w:szCs w:val="22"/>
                <w:lang w:val="en-US"/>
              </w:rPr>
              <w:t xml:space="preserve">It is my </w:t>
            </w:r>
            <w:r>
              <w:rPr>
                <w:sz w:val="22"/>
                <w:szCs w:val="22"/>
                <w:lang w:val="en-US"/>
              </w:rPr>
              <w:t>recommendation that all Resolutions</w:t>
            </w:r>
            <w:r w:rsidR="009713F2">
              <w:rPr>
                <w:sz w:val="22"/>
                <w:szCs w:val="22"/>
                <w:lang w:val="en-US"/>
              </w:rPr>
              <w:t xml:space="preserve"> and Recommendations</w:t>
            </w:r>
            <w:r>
              <w:rPr>
                <w:sz w:val="22"/>
                <w:szCs w:val="22"/>
                <w:lang w:val="en-US"/>
              </w:rPr>
              <w:t xml:space="preserve"> directly concerning RRIs up to and including XIII.9</w:t>
            </w:r>
            <w:r>
              <w:rPr>
                <w:rStyle w:val="FootnoteReference"/>
                <w:sz w:val="22"/>
                <w:szCs w:val="22"/>
                <w:lang w:val="en-US"/>
              </w:rPr>
              <w:footnoteReference w:id="4"/>
            </w:r>
            <w:r>
              <w:rPr>
                <w:sz w:val="22"/>
                <w:szCs w:val="22"/>
                <w:lang w:val="en-US"/>
              </w:rPr>
              <w:t xml:space="preserve"> be formally retired</w:t>
            </w:r>
            <w:r w:rsidR="009713F2">
              <w:rPr>
                <w:sz w:val="22"/>
                <w:szCs w:val="22"/>
                <w:lang w:val="en-US"/>
              </w:rPr>
              <w:t xml:space="preserve"> at COP14</w:t>
            </w:r>
            <w:r>
              <w:rPr>
                <w:sz w:val="22"/>
                <w:szCs w:val="22"/>
                <w:lang w:val="en-US"/>
              </w:rPr>
              <w:t xml:space="preserve">. </w:t>
            </w:r>
            <w:r w:rsidR="006E651E">
              <w:rPr>
                <w:sz w:val="22"/>
                <w:szCs w:val="22"/>
                <w:lang w:val="en-US"/>
              </w:rPr>
              <w:t>In making this recommendation, it is important to note that any paragraphs</w:t>
            </w:r>
            <w:r w:rsidR="00BD3D53">
              <w:rPr>
                <w:sz w:val="22"/>
                <w:szCs w:val="22"/>
                <w:lang w:val="en-US"/>
              </w:rPr>
              <w:t xml:space="preserve"> from earlier Resolutions</w:t>
            </w:r>
            <w:r w:rsidR="006E651E">
              <w:rPr>
                <w:sz w:val="22"/>
                <w:szCs w:val="22"/>
                <w:lang w:val="en-US"/>
              </w:rPr>
              <w:t xml:space="preserve"> that are not inconsistent with XIII.9 have been captured in the suggested draft Resolution for COP14 set out at Annex 1.</w:t>
            </w:r>
            <w:r w:rsidRPr="00A75E07">
              <w:rPr>
                <w:sz w:val="22"/>
                <w:szCs w:val="22"/>
                <w:lang w:val="en-US"/>
              </w:rPr>
              <w:t xml:space="preserve"> </w:t>
            </w:r>
            <w:r>
              <w:rPr>
                <w:sz w:val="22"/>
                <w:szCs w:val="22"/>
                <w:lang w:val="en-US"/>
              </w:rPr>
              <w:t xml:space="preserve"> </w:t>
            </w:r>
          </w:p>
          <w:p w14:paraId="6B8EF6EA" w14:textId="77777777" w:rsidR="006E651E" w:rsidRPr="00474CC4" w:rsidRDefault="006E651E" w:rsidP="00020857">
            <w:pPr>
              <w:rPr>
                <w:b/>
                <w:i/>
                <w:sz w:val="22"/>
                <w:szCs w:val="22"/>
                <w:lang w:val="en-US"/>
              </w:rPr>
            </w:pPr>
          </w:p>
        </w:tc>
      </w:tr>
    </w:tbl>
    <w:p w14:paraId="263EFB42" w14:textId="77777777" w:rsidR="00474CC4" w:rsidRDefault="00474CC4" w:rsidP="00020857">
      <w:pPr>
        <w:ind w:left="360"/>
        <w:rPr>
          <w:sz w:val="22"/>
          <w:szCs w:val="22"/>
          <w:lang w:val="en-US"/>
        </w:rPr>
      </w:pPr>
    </w:p>
    <w:p w14:paraId="5939D91C" w14:textId="77777777" w:rsidR="00F85FDD" w:rsidRPr="00020857" w:rsidRDefault="00F85FDD" w:rsidP="00020857">
      <w:pPr>
        <w:ind w:left="360"/>
        <w:rPr>
          <w:sz w:val="22"/>
          <w:szCs w:val="22"/>
          <w:lang w:val="en-US"/>
        </w:rPr>
      </w:pPr>
    </w:p>
    <w:p w14:paraId="1B4AE19D" w14:textId="77777777" w:rsidR="009F4507" w:rsidRDefault="000255D6" w:rsidP="00137ECC">
      <w:pPr>
        <w:pStyle w:val="ListParagraph"/>
        <w:numPr>
          <w:ilvl w:val="0"/>
          <w:numId w:val="1"/>
        </w:numPr>
        <w:rPr>
          <w:b/>
          <w:sz w:val="22"/>
          <w:szCs w:val="22"/>
          <w:lang w:val="en-US"/>
        </w:rPr>
      </w:pPr>
      <w:r>
        <w:rPr>
          <w:b/>
          <w:sz w:val="22"/>
          <w:szCs w:val="22"/>
          <w:lang w:val="en-US"/>
        </w:rPr>
        <w:t xml:space="preserve">SC Decisions referring to RRIs – redundant </w:t>
      </w:r>
      <w:r w:rsidR="00556C7D">
        <w:rPr>
          <w:b/>
          <w:sz w:val="22"/>
          <w:szCs w:val="22"/>
          <w:lang w:val="en-US"/>
        </w:rPr>
        <w:t>or inconsistent with XIII.9</w:t>
      </w:r>
    </w:p>
    <w:p w14:paraId="22BE00BB" w14:textId="77777777" w:rsidR="00F85FDD" w:rsidRDefault="00F85FDD" w:rsidP="00F85FDD">
      <w:pPr>
        <w:ind w:left="360"/>
        <w:rPr>
          <w:b/>
          <w:sz w:val="22"/>
          <w:szCs w:val="22"/>
          <w:lang w:val="en-US"/>
        </w:rPr>
      </w:pPr>
    </w:p>
    <w:p w14:paraId="6E2EBE5A" w14:textId="590D57DE" w:rsidR="00F85FDD" w:rsidRDefault="00F85FDD" w:rsidP="00F85FDD">
      <w:pPr>
        <w:ind w:left="360"/>
        <w:rPr>
          <w:sz w:val="22"/>
          <w:szCs w:val="22"/>
          <w:u w:val="single"/>
          <w:lang w:val="en-US"/>
        </w:rPr>
      </w:pPr>
      <w:r>
        <w:rPr>
          <w:sz w:val="22"/>
          <w:szCs w:val="22"/>
          <w:lang w:val="en-US"/>
        </w:rPr>
        <w:t xml:space="preserve">All SC Decisions concerning RRIs or referring to RRIs that are redundant are set out in </w:t>
      </w:r>
      <w:r w:rsidRPr="00020857">
        <w:rPr>
          <w:b/>
          <w:sz w:val="22"/>
          <w:szCs w:val="22"/>
          <w:lang w:val="en-US"/>
        </w:rPr>
        <w:t xml:space="preserve">Annex </w:t>
      </w:r>
      <w:r w:rsidR="00474CC4">
        <w:rPr>
          <w:b/>
          <w:sz w:val="22"/>
          <w:szCs w:val="22"/>
          <w:lang w:val="en-US"/>
        </w:rPr>
        <w:t>3</w:t>
      </w:r>
      <w:r>
        <w:rPr>
          <w:sz w:val="22"/>
          <w:szCs w:val="22"/>
          <w:lang w:val="en-US"/>
        </w:rPr>
        <w:t>.</w:t>
      </w:r>
      <w:r w:rsidR="00471217">
        <w:rPr>
          <w:sz w:val="22"/>
          <w:szCs w:val="22"/>
          <w:lang w:val="en-US"/>
        </w:rPr>
        <w:t xml:space="preserve"> </w:t>
      </w:r>
      <w:r w:rsidR="00AD57F8">
        <w:rPr>
          <w:sz w:val="22"/>
          <w:szCs w:val="22"/>
          <w:lang w:val="en-US"/>
        </w:rPr>
        <w:t xml:space="preserve">Note that no SC Decisions were found to be inconsistent with XIII.9. </w:t>
      </w:r>
    </w:p>
    <w:p w14:paraId="12497A49" w14:textId="77777777" w:rsidR="00474CC4" w:rsidRDefault="00474CC4" w:rsidP="00F85FDD">
      <w:pPr>
        <w:ind w:left="360"/>
        <w:rPr>
          <w:sz w:val="22"/>
          <w:szCs w:val="22"/>
          <w:u w:val="single"/>
          <w:lang w:val="en-US"/>
        </w:rPr>
      </w:pPr>
    </w:p>
    <w:tbl>
      <w:tblPr>
        <w:tblStyle w:val="TableGrid"/>
        <w:tblW w:w="0" w:type="auto"/>
        <w:tblInd w:w="360" w:type="dxa"/>
        <w:tblLook w:val="04A0" w:firstRow="1" w:lastRow="0" w:firstColumn="1" w:lastColumn="0" w:noHBand="0" w:noVBand="1"/>
      </w:tblPr>
      <w:tblGrid>
        <w:gridCol w:w="13636"/>
      </w:tblGrid>
      <w:tr w:rsidR="00BD3D53" w:rsidRPr="00217036" w14:paraId="1FEEFDB2" w14:textId="77777777" w:rsidTr="00BD3D53">
        <w:tc>
          <w:tcPr>
            <w:tcW w:w="13996" w:type="dxa"/>
          </w:tcPr>
          <w:p w14:paraId="27E4F21A" w14:textId="77777777" w:rsidR="00BD3D53" w:rsidRDefault="00BD3D53" w:rsidP="00BD3D53">
            <w:pPr>
              <w:rPr>
                <w:b/>
                <w:i/>
                <w:color w:val="4472C4" w:themeColor="accent1"/>
                <w:sz w:val="22"/>
                <w:szCs w:val="22"/>
                <w:lang w:val="en-US"/>
              </w:rPr>
            </w:pPr>
            <w:r w:rsidRPr="00474CC4">
              <w:rPr>
                <w:b/>
                <w:i/>
                <w:color w:val="4472C4" w:themeColor="accent1"/>
                <w:sz w:val="22"/>
                <w:szCs w:val="22"/>
                <w:lang w:val="en-US"/>
              </w:rPr>
              <w:t>Recommendation</w:t>
            </w:r>
            <w:r>
              <w:rPr>
                <w:b/>
                <w:i/>
                <w:color w:val="4472C4" w:themeColor="accent1"/>
                <w:sz w:val="22"/>
                <w:szCs w:val="22"/>
                <w:lang w:val="en-US"/>
              </w:rPr>
              <w:t xml:space="preserve"> 2</w:t>
            </w:r>
          </w:p>
          <w:p w14:paraId="15289009" w14:textId="77777777" w:rsidR="00BD3D53" w:rsidRDefault="00BD3D53" w:rsidP="00BD3D53">
            <w:pPr>
              <w:ind w:left="360"/>
              <w:rPr>
                <w:b/>
                <w:i/>
                <w:color w:val="4472C4" w:themeColor="accent1"/>
                <w:sz w:val="22"/>
                <w:szCs w:val="22"/>
                <w:lang w:val="en-US"/>
              </w:rPr>
            </w:pPr>
          </w:p>
          <w:p w14:paraId="502A72C6" w14:textId="77777777" w:rsidR="00BD3D53" w:rsidRPr="00A75E07" w:rsidRDefault="00BD3D53" w:rsidP="00BD3D53">
            <w:pPr>
              <w:rPr>
                <w:sz w:val="22"/>
                <w:szCs w:val="22"/>
                <w:lang w:val="en-US"/>
              </w:rPr>
            </w:pPr>
            <w:r w:rsidRPr="00A75E07">
              <w:rPr>
                <w:sz w:val="22"/>
                <w:szCs w:val="22"/>
                <w:lang w:val="en-US"/>
              </w:rPr>
              <w:t xml:space="preserve">It is my </w:t>
            </w:r>
            <w:r>
              <w:rPr>
                <w:sz w:val="22"/>
                <w:szCs w:val="22"/>
                <w:lang w:val="en-US"/>
              </w:rPr>
              <w:t xml:space="preserve">recommendation that </w:t>
            </w:r>
            <w:r w:rsidRPr="00A75E07">
              <w:rPr>
                <w:sz w:val="22"/>
                <w:szCs w:val="22"/>
                <w:lang w:val="en-US"/>
              </w:rPr>
              <w:t xml:space="preserve">all </w:t>
            </w:r>
            <w:r>
              <w:rPr>
                <w:sz w:val="22"/>
                <w:szCs w:val="22"/>
                <w:lang w:val="en-US"/>
              </w:rPr>
              <w:t>SC Decisions set out in Annex 3 be formally retired</w:t>
            </w:r>
            <w:r w:rsidR="009713F2">
              <w:rPr>
                <w:sz w:val="22"/>
                <w:szCs w:val="22"/>
                <w:lang w:val="en-US"/>
              </w:rPr>
              <w:t xml:space="preserve"> at COP14</w:t>
            </w:r>
            <w:r>
              <w:rPr>
                <w:sz w:val="22"/>
                <w:szCs w:val="22"/>
                <w:lang w:val="en-US"/>
              </w:rPr>
              <w:t xml:space="preserve">. </w:t>
            </w:r>
          </w:p>
          <w:p w14:paraId="0781F70A" w14:textId="77777777" w:rsidR="00BD3D53" w:rsidRDefault="00BD3D53" w:rsidP="00BD3D53">
            <w:pPr>
              <w:rPr>
                <w:sz w:val="22"/>
                <w:szCs w:val="22"/>
                <w:u w:val="single"/>
                <w:lang w:val="en-US"/>
              </w:rPr>
            </w:pPr>
          </w:p>
        </w:tc>
      </w:tr>
    </w:tbl>
    <w:p w14:paraId="2E875EF2" w14:textId="77777777" w:rsidR="00465E26" w:rsidRPr="000255D6" w:rsidRDefault="00465E26" w:rsidP="000255D6">
      <w:pPr>
        <w:ind w:left="360"/>
        <w:rPr>
          <w:b/>
          <w:sz w:val="22"/>
          <w:szCs w:val="22"/>
          <w:lang w:val="en-US"/>
        </w:rPr>
      </w:pPr>
    </w:p>
    <w:p w14:paraId="1A52361E" w14:textId="77777777" w:rsidR="0012147C" w:rsidRDefault="0012147C" w:rsidP="00137ECC">
      <w:pPr>
        <w:pStyle w:val="ListParagraph"/>
        <w:numPr>
          <w:ilvl w:val="0"/>
          <w:numId w:val="1"/>
        </w:numPr>
        <w:rPr>
          <w:b/>
          <w:sz w:val="22"/>
          <w:szCs w:val="22"/>
          <w:lang w:val="en-US"/>
        </w:rPr>
      </w:pPr>
      <w:r w:rsidRPr="0012147C">
        <w:rPr>
          <w:b/>
          <w:sz w:val="22"/>
          <w:szCs w:val="22"/>
          <w:lang w:val="en-US"/>
        </w:rPr>
        <w:t xml:space="preserve">Resolutions </w:t>
      </w:r>
      <w:r w:rsidR="00D93227">
        <w:rPr>
          <w:b/>
          <w:sz w:val="22"/>
          <w:szCs w:val="22"/>
          <w:lang w:val="en-US"/>
        </w:rPr>
        <w:t xml:space="preserve">directly </w:t>
      </w:r>
      <w:r w:rsidRPr="0012147C">
        <w:rPr>
          <w:b/>
          <w:sz w:val="22"/>
          <w:szCs w:val="22"/>
          <w:lang w:val="en-US"/>
        </w:rPr>
        <w:t>concerning RRIs</w:t>
      </w:r>
      <w:r w:rsidR="005A1227">
        <w:rPr>
          <w:b/>
          <w:sz w:val="22"/>
          <w:szCs w:val="22"/>
          <w:lang w:val="en-US"/>
        </w:rPr>
        <w:t xml:space="preserve"> – curr</w:t>
      </w:r>
      <w:r w:rsidR="00AF147D">
        <w:rPr>
          <w:b/>
          <w:sz w:val="22"/>
          <w:szCs w:val="22"/>
          <w:lang w:val="en-US"/>
        </w:rPr>
        <w:t xml:space="preserve">ent and consistent with XIII.9 </w:t>
      </w:r>
    </w:p>
    <w:p w14:paraId="5EF2EC52" w14:textId="77777777" w:rsidR="00AC199D" w:rsidRDefault="00AC199D" w:rsidP="00AC199D">
      <w:pPr>
        <w:ind w:left="360"/>
        <w:rPr>
          <w:sz w:val="22"/>
          <w:szCs w:val="22"/>
          <w:lang w:val="en-US"/>
        </w:rPr>
      </w:pPr>
    </w:p>
    <w:p w14:paraId="2860F44F" w14:textId="77777777" w:rsidR="00D93227" w:rsidRDefault="00D93227" w:rsidP="00AC199D">
      <w:pPr>
        <w:ind w:left="360"/>
        <w:rPr>
          <w:sz w:val="22"/>
          <w:szCs w:val="22"/>
          <w:lang w:val="en-US"/>
        </w:rPr>
      </w:pPr>
      <w:r>
        <w:rPr>
          <w:sz w:val="22"/>
          <w:szCs w:val="22"/>
          <w:lang w:val="en-US"/>
        </w:rPr>
        <w:t xml:space="preserve">All Resolutions directly concerning RRIs: </w:t>
      </w:r>
    </w:p>
    <w:p w14:paraId="2A895178" w14:textId="77777777" w:rsidR="00D93227" w:rsidRDefault="00D93227" w:rsidP="00AC199D">
      <w:pPr>
        <w:ind w:left="360"/>
        <w:rPr>
          <w:sz w:val="22"/>
          <w:szCs w:val="22"/>
          <w:lang w:val="en-US"/>
        </w:rPr>
      </w:pPr>
    </w:p>
    <w:p w14:paraId="7107291B" w14:textId="77777777" w:rsidR="00D93227" w:rsidRDefault="00D93227" w:rsidP="00D93227">
      <w:pPr>
        <w:pStyle w:val="ListParagraph"/>
        <w:numPr>
          <w:ilvl w:val="0"/>
          <w:numId w:val="15"/>
        </w:numPr>
        <w:rPr>
          <w:sz w:val="22"/>
          <w:szCs w:val="22"/>
          <w:lang w:val="en-US"/>
        </w:rPr>
      </w:pPr>
      <w:r>
        <w:rPr>
          <w:sz w:val="22"/>
          <w:szCs w:val="22"/>
          <w:lang w:val="en-US"/>
        </w:rPr>
        <w:t xml:space="preserve">that include paragraphs that are </w:t>
      </w:r>
      <w:r w:rsidRPr="00D93227">
        <w:rPr>
          <w:sz w:val="22"/>
          <w:szCs w:val="22"/>
          <w:lang w:val="en-US"/>
        </w:rPr>
        <w:t>consistent with XIII.9</w:t>
      </w:r>
      <w:r>
        <w:rPr>
          <w:sz w:val="22"/>
          <w:szCs w:val="22"/>
          <w:lang w:val="en-US"/>
        </w:rPr>
        <w:t xml:space="preserve">; </w:t>
      </w:r>
    </w:p>
    <w:p w14:paraId="3AC0D9B5" w14:textId="77777777" w:rsidR="00D93227" w:rsidRDefault="00D93227" w:rsidP="00D93227">
      <w:pPr>
        <w:pStyle w:val="ListParagraph"/>
        <w:numPr>
          <w:ilvl w:val="0"/>
          <w:numId w:val="15"/>
        </w:numPr>
        <w:rPr>
          <w:sz w:val="22"/>
          <w:szCs w:val="22"/>
          <w:lang w:val="en-US"/>
        </w:rPr>
      </w:pPr>
      <w:r>
        <w:rPr>
          <w:sz w:val="22"/>
          <w:szCs w:val="22"/>
          <w:lang w:val="en-US"/>
        </w:rPr>
        <w:t xml:space="preserve">that include paragraphs that are analogous (but not identical to) a paragraph or paragraphs in XIII.9; and </w:t>
      </w:r>
    </w:p>
    <w:p w14:paraId="136CD9FC" w14:textId="77777777" w:rsidR="00AC199D" w:rsidRDefault="00D93227" w:rsidP="00D93227">
      <w:pPr>
        <w:pStyle w:val="ListParagraph"/>
        <w:numPr>
          <w:ilvl w:val="0"/>
          <w:numId w:val="15"/>
        </w:numPr>
        <w:rPr>
          <w:sz w:val="22"/>
          <w:szCs w:val="22"/>
          <w:lang w:val="en-US"/>
        </w:rPr>
      </w:pPr>
      <w:r>
        <w:rPr>
          <w:sz w:val="22"/>
          <w:szCs w:val="22"/>
          <w:lang w:val="en-US"/>
        </w:rPr>
        <w:t xml:space="preserve">for which there is no equivalent in </w:t>
      </w:r>
      <w:r w:rsidRPr="00D93227">
        <w:rPr>
          <w:sz w:val="22"/>
          <w:szCs w:val="22"/>
          <w:lang w:val="en-US"/>
        </w:rPr>
        <w:t xml:space="preserve">XIII.9 but which are not inconsistent with that Resolution </w:t>
      </w:r>
    </w:p>
    <w:p w14:paraId="51F35B3B" w14:textId="77777777" w:rsidR="00F00C45" w:rsidRDefault="00F00C45" w:rsidP="00D93227">
      <w:pPr>
        <w:ind w:left="360"/>
        <w:rPr>
          <w:sz w:val="22"/>
          <w:szCs w:val="22"/>
          <w:lang w:val="en-US"/>
        </w:rPr>
      </w:pPr>
    </w:p>
    <w:p w14:paraId="7FFFD998" w14:textId="77777777" w:rsidR="00A75E07" w:rsidRDefault="00D93227" w:rsidP="00AF1268">
      <w:pPr>
        <w:ind w:left="360"/>
        <w:outlineLvl w:val="0"/>
        <w:rPr>
          <w:sz w:val="22"/>
          <w:szCs w:val="22"/>
          <w:lang w:val="en-US"/>
        </w:rPr>
      </w:pPr>
      <w:r>
        <w:rPr>
          <w:sz w:val="22"/>
          <w:szCs w:val="22"/>
          <w:lang w:val="en-US"/>
        </w:rPr>
        <w:lastRenderedPageBreak/>
        <w:t>are</w:t>
      </w:r>
      <w:r w:rsidR="00AF147D">
        <w:rPr>
          <w:sz w:val="22"/>
          <w:szCs w:val="22"/>
          <w:lang w:val="en-US"/>
        </w:rPr>
        <w:t xml:space="preserve"> organized thematically and</w:t>
      </w:r>
      <w:r>
        <w:rPr>
          <w:sz w:val="22"/>
          <w:szCs w:val="22"/>
          <w:lang w:val="en-US"/>
        </w:rPr>
        <w:t xml:space="preserve"> set out in </w:t>
      </w:r>
      <w:r w:rsidRPr="00D93227">
        <w:rPr>
          <w:b/>
          <w:sz w:val="22"/>
          <w:szCs w:val="22"/>
          <w:lang w:val="en-US"/>
        </w:rPr>
        <w:t xml:space="preserve">Annex </w:t>
      </w:r>
      <w:r w:rsidR="00BD3D53">
        <w:rPr>
          <w:b/>
          <w:sz w:val="22"/>
          <w:szCs w:val="22"/>
          <w:lang w:val="en-US"/>
        </w:rPr>
        <w:t>4</w:t>
      </w:r>
      <w:r>
        <w:rPr>
          <w:sz w:val="22"/>
          <w:szCs w:val="22"/>
          <w:lang w:val="en-US"/>
        </w:rPr>
        <w:t xml:space="preserve">. </w:t>
      </w:r>
    </w:p>
    <w:p w14:paraId="154BA364" w14:textId="77777777" w:rsidR="00A75E07" w:rsidRDefault="00A75E07" w:rsidP="00AF1268">
      <w:pPr>
        <w:ind w:left="360"/>
        <w:outlineLvl w:val="0"/>
        <w:rPr>
          <w:sz w:val="22"/>
          <w:szCs w:val="22"/>
          <w:lang w:val="en-US"/>
        </w:rPr>
      </w:pPr>
    </w:p>
    <w:tbl>
      <w:tblPr>
        <w:tblStyle w:val="TableGrid"/>
        <w:tblW w:w="0" w:type="auto"/>
        <w:tblInd w:w="360" w:type="dxa"/>
        <w:tblLook w:val="04A0" w:firstRow="1" w:lastRow="0" w:firstColumn="1" w:lastColumn="0" w:noHBand="0" w:noVBand="1"/>
      </w:tblPr>
      <w:tblGrid>
        <w:gridCol w:w="13636"/>
      </w:tblGrid>
      <w:tr w:rsidR="00BD3D53" w:rsidRPr="00217036" w14:paraId="25C9634B" w14:textId="77777777" w:rsidTr="00BD3D53">
        <w:tc>
          <w:tcPr>
            <w:tcW w:w="13996" w:type="dxa"/>
          </w:tcPr>
          <w:p w14:paraId="11C800E2" w14:textId="77777777" w:rsidR="00BD3D53" w:rsidRDefault="00BD3D53" w:rsidP="00BD3D53">
            <w:pPr>
              <w:rPr>
                <w:b/>
                <w:i/>
                <w:color w:val="4472C4" w:themeColor="accent1"/>
                <w:sz w:val="22"/>
                <w:szCs w:val="22"/>
                <w:lang w:val="en-US"/>
              </w:rPr>
            </w:pPr>
            <w:r w:rsidRPr="00474CC4">
              <w:rPr>
                <w:b/>
                <w:i/>
                <w:color w:val="4472C4" w:themeColor="accent1"/>
                <w:sz w:val="22"/>
                <w:szCs w:val="22"/>
                <w:lang w:val="en-US"/>
              </w:rPr>
              <w:t>Recommendation</w:t>
            </w:r>
            <w:r>
              <w:rPr>
                <w:b/>
                <w:i/>
                <w:color w:val="4472C4" w:themeColor="accent1"/>
                <w:sz w:val="22"/>
                <w:szCs w:val="22"/>
                <w:lang w:val="en-US"/>
              </w:rPr>
              <w:t xml:space="preserve"> 3</w:t>
            </w:r>
          </w:p>
          <w:p w14:paraId="40D69181" w14:textId="77777777" w:rsidR="00BD3D53" w:rsidRDefault="00BD3D53" w:rsidP="00BD3D53">
            <w:pPr>
              <w:rPr>
                <w:b/>
                <w:i/>
                <w:color w:val="4472C4" w:themeColor="accent1"/>
                <w:sz w:val="22"/>
                <w:szCs w:val="22"/>
                <w:lang w:val="en-US"/>
              </w:rPr>
            </w:pPr>
          </w:p>
          <w:p w14:paraId="0298CC92" w14:textId="77777777" w:rsidR="00BD3D53" w:rsidRPr="00BD3D53" w:rsidRDefault="00CB6922" w:rsidP="00BD3D53">
            <w:pPr>
              <w:rPr>
                <w:color w:val="4472C4" w:themeColor="accent1"/>
                <w:sz w:val="22"/>
                <w:szCs w:val="22"/>
                <w:lang w:val="en-US"/>
              </w:rPr>
            </w:pPr>
            <w:r w:rsidRPr="00A75E07">
              <w:rPr>
                <w:sz w:val="22"/>
                <w:szCs w:val="22"/>
                <w:lang w:val="en-US"/>
              </w:rPr>
              <w:t xml:space="preserve">It is my recommendation that relevant paragraphs </w:t>
            </w:r>
            <w:r>
              <w:rPr>
                <w:sz w:val="22"/>
                <w:szCs w:val="22"/>
                <w:lang w:val="en-US"/>
              </w:rPr>
              <w:t xml:space="preserve">from these Resolutions </w:t>
            </w:r>
            <w:r w:rsidRPr="00A75E07">
              <w:rPr>
                <w:sz w:val="22"/>
                <w:szCs w:val="22"/>
                <w:lang w:val="en-US"/>
              </w:rPr>
              <w:t xml:space="preserve">are incorporated into a new </w:t>
            </w:r>
            <w:r>
              <w:rPr>
                <w:sz w:val="22"/>
                <w:szCs w:val="22"/>
                <w:lang w:val="en-US"/>
              </w:rPr>
              <w:t xml:space="preserve">draft resolution concerning RRIs. </w:t>
            </w:r>
            <w:r w:rsidRPr="00A75E07">
              <w:rPr>
                <w:sz w:val="22"/>
                <w:szCs w:val="22"/>
                <w:lang w:val="en-US"/>
              </w:rPr>
              <w:t>See Part 8 of this d</w:t>
            </w:r>
            <w:r w:rsidRPr="00743BB9">
              <w:rPr>
                <w:sz w:val="22"/>
                <w:szCs w:val="22"/>
                <w:lang w:val="en-US"/>
              </w:rPr>
              <w:t>ocument for further advice regarding this matter.</w:t>
            </w:r>
            <w:r>
              <w:rPr>
                <w:sz w:val="22"/>
                <w:szCs w:val="22"/>
                <w:lang w:val="en-US"/>
              </w:rPr>
              <w:t xml:space="preserve"> </w:t>
            </w:r>
          </w:p>
          <w:p w14:paraId="3AECB430" w14:textId="77777777" w:rsidR="00BD3D53" w:rsidRDefault="00BD3D53" w:rsidP="00AF1268">
            <w:pPr>
              <w:outlineLvl w:val="0"/>
              <w:rPr>
                <w:sz w:val="22"/>
                <w:szCs w:val="22"/>
                <w:lang w:val="en-US"/>
              </w:rPr>
            </w:pPr>
          </w:p>
        </w:tc>
      </w:tr>
    </w:tbl>
    <w:p w14:paraId="39F2F429" w14:textId="77777777" w:rsidR="00BD3D53" w:rsidRPr="00743BB9" w:rsidRDefault="00BD3D53" w:rsidP="00085CBD">
      <w:pPr>
        <w:ind w:left="360"/>
        <w:outlineLvl w:val="0"/>
        <w:rPr>
          <w:sz w:val="22"/>
          <w:szCs w:val="22"/>
          <w:lang w:val="en-US"/>
        </w:rPr>
      </w:pPr>
    </w:p>
    <w:p w14:paraId="388DA069" w14:textId="77777777" w:rsidR="000B2543" w:rsidRPr="00743BB9" w:rsidRDefault="00AF147D" w:rsidP="00137ECC">
      <w:pPr>
        <w:pStyle w:val="ListParagraph"/>
        <w:numPr>
          <w:ilvl w:val="0"/>
          <w:numId w:val="1"/>
        </w:numPr>
        <w:rPr>
          <w:b/>
          <w:sz w:val="22"/>
          <w:szCs w:val="22"/>
          <w:lang w:val="en-US"/>
        </w:rPr>
      </w:pPr>
      <w:r w:rsidRPr="00743BB9">
        <w:rPr>
          <w:b/>
          <w:sz w:val="22"/>
          <w:szCs w:val="22"/>
          <w:lang w:val="en-US"/>
        </w:rPr>
        <w:t>Other</w:t>
      </w:r>
      <w:r w:rsidR="00374655" w:rsidRPr="00743BB9">
        <w:rPr>
          <w:b/>
          <w:sz w:val="22"/>
          <w:szCs w:val="22"/>
          <w:lang w:val="en-US"/>
        </w:rPr>
        <w:t xml:space="preserve"> Resolutions which refer to RRIs</w:t>
      </w:r>
      <w:r w:rsidR="0012147C" w:rsidRPr="00743BB9">
        <w:rPr>
          <w:b/>
          <w:sz w:val="22"/>
          <w:szCs w:val="22"/>
          <w:lang w:val="en-US"/>
        </w:rPr>
        <w:t xml:space="preserve"> </w:t>
      </w:r>
      <w:r w:rsidR="0009513B" w:rsidRPr="00743BB9">
        <w:rPr>
          <w:b/>
          <w:sz w:val="22"/>
          <w:szCs w:val="22"/>
          <w:lang w:val="en-US"/>
        </w:rPr>
        <w:t>(organized by COP)</w:t>
      </w:r>
      <w:r w:rsidRPr="00743BB9">
        <w:rPr>
          <w:b/>
          <w:sz w:val="22"/>
          <w:szCs w:val="22"/>
          <w:lang w:val="en-US"/>
        </w:rPr>
        <w:t xml:space="preserve"> – current and consistent with XIII.9</w:t>
      </w:r>
    </w:p>
    <w:p w14:paraId="2C4FBBFB" w14:textId="77777777" w:rsidR="00FE2DCC" w:rsidRPr="00743BB9" w:rsidRDefault="00FE2DCC" w:rsidP="00FE2DCC">
      <w:pPr>
        <w:ind w:left="360"/>
        <w:rPr>
          <w:sz w:val="22"/>
          <w:szCs w:val="22"/>
          <w:lang w:val="en-US"/>
        </w:rPr>
      </w:pPr>
    </w:p>
    <w:p w14:paraId="09EB4BE0" w14:textId="77777777" w:rsidR="00A75E07" w:rsidRDefault="00013ADE" w:rsidP="00BB189F">
      <w:pPr>
        <w:ind w:left="360"/>
        <w:outlineLvl w:val="0"/>
        <w:rPr>
          <w:sz w:val="22"/>
          <w:szCs w:val="22"/>
          <w:lang w:val="en-US"/>
        </w:rPr>
      </w:pPr>
      <w:r w:rsidRPr="00743BB9">
        <w:rPr>
          <w:sz w:val="22"/>
          <w:szCs w:val="22"/>
          <w:lang w:val="en-US"/>
        </w:rPr>
        <w:t xml:space="preserve">All other Resolutions which include paragraphs referring to RRIs that are still current and consistent with XIII.9 (or are likely to still be current) are set out in </w:t>
      </w:r>
      <w:r w:rsidRPr="00743BB9">
        <w:rPr>
          <w:b/>
          <w:sz w:val="22"/>
          <w:szCs w:val="22"/>
          <w:lang w:val="en-US"/>
        </w:rPr>
        <w:t xml:space="preserve">Annex </w:t>
      </w:r>
      <w:r w:rsidR="00CB6922">
        <w:rPr>
          <w:b/>
          <w:sz w:val="22"/>
          <w:szCs w:val="22"/>
          <w:lang w:val="en-US"/>
        </w:rPr>
        <w:t>5</w:t>
      </w:r>
      <w:r w:rsidRPr="00743BB9">
        <w:rPr>
          <w:sz w:val="22"/>
          <w:szCs w:val="22"/>
          <w:lang w:val="en-US"/>
        </w:rPr>
        <w:t>.</w:t>
      </w:r>
      <w:r w:rsidR="00AF1268" w:rsidRPr="00743BB9">
        <w:rPr>
          <w:sz w:val="22"/>
          <w:szCs w:val="22"/>
          <w:lang w:val="en-US"/>
        </w:rPr>
        <w:t xml:space="preserve"> </w:t>
      </w:r>
    </w:p>
    <w:p w14:paraId="22CA92FD" w14:textId="77777777" w:rsidR="00CB6922" w:rsidRDefault="00CB6922" w:rsidP="00BB189F">
      <w:pPr>
        <w:ind w:left="360"/>
        <w:outlineLvl w:val="0"/>
        <w:rPr>
          <w:sz w:val="22"/>
          <w:szCs w:val="22"/>
          <w:lang w:val="en-US"/>
        </w:rPr>
      </w:pPr>
    </w:p>
    <w:tbl>
      <w:tblPr>
        <w:tblStyle w:val="TableGrid"/>
        <w:tblW w:w="0" w:type="auto"/>
        <w:tblInd w:w="360" w:type="dxa"/>
        <w:tblLook w:val="04A0" w:firstRow="1" w:lastRow="0" w:firstColumn="1" w:lastColumn="0" w:noHBand="0" w:noVBand="1"/>
      </w:tblPr>
      <w:tblGrid>
        <w:gridCol w:w="13636"/>
      </w:tblGrid>
      <w:tr w:rsidR="00CB6922" w:rsidRPr="00217036" w14:paraId="4C9D3DE5" w14:textId="77777777" w:rsidTr="009E31F9">
        <w:trPr>
          <w:trHeight w:val="3129"/>
        </w:trPr>
        <w:tc>
          <w:tcPr>
            <w:tcW w:w="13996" w:type="dxa"/>
          </w:tcPr>
          <w:p w14:paraId="5075B9BE" w14:textId="77777777" w:rsidR="00CB6922" w:rsidRDefault="00CB6922" w:rsidP="00CB6922">
            <w:pPr>
              <w:rPr>
                <w:b/>
                <w:i/>
                <w:color w:val="4472C4" w:themeColor="accent1"/>
                <w:sz w:val="22"/>
                <w:szCs w:val="22"/>
                <w:lang w:val="en-US"/>
              </w:rPr>
            </w:pPr>
            <w:r w:rsidRPr="00474CC4">
              <w:rPr>
                <w:b/>
                <w:i/>
                <w:color w:val="4472C4" w:themeColor="accent1"/>
                <w:sz w:val="22"/>
                <w:szCs w:val="22"/>
                <w:lang w:val="en-US"/>
              </w:rPr>
              <w:t>Recommendation</w:t>
            </w:r>
            <w:r>
              <w:rPr>
                <w:b/>
                <w:i/>
                <w:color w:val="4472C4" w:themeColor="accent1"/>
                <w:sz w:val="22"/>
                <w:szCs w:val="22"/>
                <w:lang w:val="en-US"/>
              </w:rPr>
              <w:t xml:space="preserve"> 4</w:t>
            </w:r>
          </w:p>
          <w:p w14:paraId="4F6392F4" w14:textId="77777777" w:rsidR="00CB6922" w:rsidRDefault="00CB6922" w:rsidP="00CB6922">
            <w:pPr>
              <w:rPr>
                <w:b/>
                <w:i/>
                <w:color w:val="4472C4" w:themeColor="accent1"/>
                <w:sz w:val="22"/>
                <w:szCs w:val="22"/>
                <w:lang w:val="en-US"/>
              </w:rPr>
            </w:pPr>
          </w:p>
          <w:p w14:paraId="3A0967D1" w14:textId="77777777" w:rsidR="009E31F9" w:rsidRPr="00743BB9" w:rsidRDefault="009E31F9" w:rsidP="009E31F9">
            <w:pPr>
              <w:outlineLvl w:val="0"/>
              <w:rPr>
                <w:sz w:val="22"/>
                <w:szCs w:val="22"/>
                <w:lang w:val="en-US"/>
              </w:rPr>
            </w:pPr>
            <w:r w:rsidRPr="00743BB9">
              <w:rPr>
                <w:sz w:val="22"/>
                <w:szCs w:val="22"/>
                <w:lang w:val="en-US"/>
              </w:rPr>
              <w:t xml:space="preserve">It is my recommendation that the Working Group take note of those paragraphs directing or encouraging a particular action by or in relation to RRIs and consider whether: </w:t>
            </w:r>
          </w:p>
          <w:p w14:paraId="15E09A37" w14:textId="77777777" w:rsidR="009E31F9" w:rsidRPr="00743BB9" w:rsidRDefault="009E31F9" w:rsidP="009E31F9">
            <w:pPr>
              <w:ind w:left="360"/>
              <w:outlineLvl w:val="0"/>
              <w:rPr>
                <w:sz w:val="22"/>
                <w:szCs w:val="22"/>
                <w:lang w:val="en-US"/>
              </w:rPr>
            </w:pPr>
          </w:p>
          <w:p w14:paraId="6488E8ED" w14:textId="77777777" w:rsidR="009E31F9" w:rsidRPr="00743BB9" w:rsidRDefault="009E31F9" w:rsidP="009E31F9">
            <w:pPr>
              <w:pStyle w:val="ListParagraph"/>
              <w:numPr>
                <w:ilvl w:val="0"/>
                <w:numId w:val="16"/>
              </w:numPr>
              <w:outlineLvl w:val="0"/>
              <w:rPr>
                <w:sz w:val="22"/>
                <w:szCs w:val="22"/>
                <w:lang w:val="en-US"/>
              </w:rPr>
            </w:pPr>
            <w:r w:rsidRPr="00743BB9">
              <w:rPr>
                <w:sz w:val="22"/>
                <w:szCs w:val="22"/>
                <w:lang w:val="en-US"/>
              </w:rPr>
              <w:t xml:space="preserve">Those elements concerning RRIs should be formally retired; or </w:t>
            </w:r>
          </w:p>
          <w:p w14:paraId="735CA7BB" w14:textId="77777777" w:rsidR="009E31F9" w:rsidRPr="00743BB9" w:rsidRDefault="009E31F9" w:rsidP="009E31F9">
            <w:pPr>
              <w:pStyle w:val="ListParagraph"/>
              <w:numPr>
                <w:ilvl w:val="0"/>
                <w:numId w:val="16"/>
              </w:numPr>
              <w:outlineLvl w:val="0"/>
              <w:rPr>
                <w:sz w:val="22"/>
                <w:szCs w:val="22"/>
                <w:lang w:val="en-US"/>
              </w:rPr>
            </w:pPr>
            <w:r w:rsidRPr="00743BB9">
              <w:rPr>
                <w:sz w:val="22"/>
                <w:szCs w:val="22"/>
                <w:lang w:val="en-US"/>
              </w:rPr>
              <w:t xml:space="preserve">There would be utility in referring to them in an annex to a new, draft resolution concerning RRIs. </w:t>
            </w:r>
          </w:p>
          <w:p w14:paraId="449BB6C1" w14:textId="77777777" w:rsidR="009E31F9" w:rsidRPr="00743BB9" w:rsidRDefault="009E31F9" w:rsidP="009E31F9">
            <w:pPr>
              <w:ind w:left="360"/>
              <w:outlineLvl w:val="0"/>
              <w:rPr>
                <w:sz w:val="22"/>
                <w:szCs w:val="22"/>
                <w:lang w:val="en-US"/>
              </w:rPr>
            </w:pPr>
          </w:p>
          <w:p w14:paraId="24BEF3D7" w14:textId="77777777" w:rsidR="00CB6922" w:rsidRDefault="009E31F9" w:rsidP="00BB189F">
            <w:pPr>
              <w:outlineLvl w:val="0"/>
              <w:rPr>
                <w:sz w:val="22"/>
                <w:szCs w:val="22"/>
                <w:lang w:val="en-US"/>
              </w:rPr>
            </w:pPr>
            <w:r w:rsidRPr="00743BB9">
              <w:rPr>
                <w:sz w:val="22"/>
                <w:szCs w:val="22"/>
                <w:lang w:val="en-US"/>
              </w:rPr>
              <w:t xml:space="preserve">In terms of the latter, by consolidating these paragraphs in an annex, it may make it easier for Contracting Parties, relevant subsidiary bodies and RRIs themselves to follow up on necessary tasks. See Part 8 of this document for further advice regarding this matter. </w:t>
            </w:r>
          </w:p>
        </w:tc>
      </w:tr>
    </w:tbl>
    <w:p w14:paraId="475C5C46" w14:textId="77777777" w:rsidR="003D4A23" w:rsidRPr="003D4A23" w:rsidRDefault="003D4A23" w:rsidP="003D4A23">
      <w:pPr>
        <w:ind w:left="360"/>
        <w:rPr>
          <w:b/>
          <w:sz w:val="22"/>
          <w:szCs w:val="22"/>
          <w:lang w:val="en-US"/>
        </w:rPr>
      </w:pPr>
    </w:p>
    <w:p w14:paraId="3D4CBA5A" w14:textId="77777777" w:rsidR="00341A3D" w:rsidRPr="003D4A23" w:rsidRDefault="00341A3D" w:rsidP="00137ECC">
      <w:pPr>
        <w:pStyle w:val="ListParagraph"/>
        <w:numPr>
          <w:ilvl w:val="0"/>
          <w:numId w:val="1"/>
        </w:numPr>
        <w:rPr>
          <w:b/>
          <w:sz w:val="22"/>
          <w:szCs w:val="22"/>
          <w:lang w:val="en-US"/>
        </w:rPr>
      </w:pPr>
      <w:r w:rsidRPr="003D4A23">
        <w:rPr>
          <w:b/>
          <w:sz w:val="22"/>
          <w:szCs w:val="22"/>
          <w:lang w:val="en-US"/>
        </w:rPr>
        <w:t xml:space="preserve">SC Decisions </w:t>
      </w:r>
      <w:r w:rsidR="00BF7DB4" w:rsidRPr="003D4A23">
        <w:rPr>
          <w:b/>
          <w:sz w:val="22"/>
          <w:szCs w:val="22"/>
          <w:lang w:val="en-US"/>
        </w:rPr>
        <w:t>– current and consistent with XIII.9</w:t>
      </w:r>
    </w:p>
    <w:p w14:paraId="4395EF21" w14:textId="77777777" w:rsidR="00341A3D" w:rsidRPr="00743BB9" w:rsidRDefault="00341A3D" w:rsidP="00341A3D">
      <w:pPr>
        <w:rPr>
          <w:b/>
          <w:sz w:val="22"/>
          <w:szCs w:val="22"/>
          <w:lang w:val="en-US"/>
        </w:rPr>
      </w:pPr>
    </w:p>
    <w:p w14:paraId="6A03960F" w14:textId="77777777" w:rsidR="00A75E07" w:rsidRPr="00743BB9" w:rsidRDefault="00BF7DB4" w:rsidP="00BF7DB4">
      <w:pPr>
        <w:ind w:left="360"/>
        <w:rPr>
          <w:sz w:val="22"/>
          <w:szCs w:val="22"/>
          <w:lang w:val="en-US"/>
        </w:rPr>
      </w:pPr>
      <w:r w:rsidRPr="00743BB9">
        <w:rPr>
          <w:sz w:val="22"/>
          <w:szCs w:val="22"/>
          <w:lang w:val="en-US"/>
        </w:rPr>
        <w:t xml:space="preserve">All SC Decisions concerning RRIs or referring to RRIs that are current are set out in </w:t>
      </w:r>
      <w:r w:rsidRPr="00743BB9">
        <w:rPr>
          <w:b/>
          <w:sz w:val="22"/>
          <w:szCs w:val="22"/>
          <w:lang w:val="en-US"/>
        </w:rPr>
        <w:t xml:space="preserve">Annex </w:t>
      </w:r>
      <w:r w:rsidR="009E31F9">
        <w:rPr>
          <w:b/>
          <w:sz w:val="22"/>
          <w:szCs w:val="22"/>
          <w:lang w:val="en-US"/>
        </w:rPr>
        <w:t>6</w:t>
      </w:r>
      <w:r w:rsidRPr="00743BB9">
        <w:rPr>
          <w:sz w:val="22"/>
          <w:szCs w:val="22"/>
          <w:lang w:val="en-US"/>
        </w:rPr>
        <w:t>.</w:t>
      </w:r>
    </w:p>
    <w:p w14:paraId="26A0ABD2" w14:textId="77777777" w:rsidR="00A75E07" w:rsidRDefault="00A75E07" w:rsidP="00BF7DB4">
      <w:pPr>
        <w:ind w:left="360"/>
        <w:rPr>
          <w:sz w:val="22"/>
          <w:szCs w:val="22"/>
          <w:lang w:val="en-US"/>
        </w:rPr>
      </w:pPr>
    </w:p>
    <w:tbl>
      <w:tblPr>
        <w:tblStyle w:val="TableGrid"/>
        <w:tblW w:w="0" w:type="auto"/>
        <w:tblInd w:w="360" w:type="dxa"/>
        <w:tblLook w:val="04A0" w:firstRow="1" w:lastRow="0" w:firstColumn="1" w:lastColumn="0" w:noHBand="0" w:noVBand="1"/>
      </w:tblPr>
      <w:tblGrid>
        <w:gridCol w:w="13636"/>
      </w:tblGrid>
      <w:tr w:rsidR="004C2031" w:rsidRPr="00217036" w14:paraId="192862C5" w14:textId="77777777" w:rsidTr="001F2053">
        <w:trPr>
          <w:trHeight w:val="1048"/>
        </w:trPr>
        <w:tc>
          <w:tcPr>
            <w:tcW w:w="13996" w:type="dxa"/>
          </w:tcPr>
          <w:p w14:paraId="7CEC601E" w14:textId="77777777" w:rsidR="004C2031" w:rsidRPr="004C2031" w:rsidRDefault="004C2031" w:rsidP="004C2031">
            <w:pPr>
              <w:rPr>
                <w:b/>
                <w:i/>
                <w:color w:val="4472C4" w:themeColor="accent1"/>
                <w:sz w:val="22"/>
                <w:szCs w:val="22"/>
                <w:lang w:val="en-US"/>
              </w:rPr>
            </w:pPr>
            <w:r w:rsidRPr="004C2031">
              <w:rPr>
                <w:b/>
                <w:i/>
                <w:color w:val="4472C4" w:themeColor="accent1"/>
                <w:sz w:val="22"/>
                <w:szCs w:val="22"/>
                <w:lang w:val="en-US"/>
              </w:rPr>
              <w:lastRenderedPageBreak/>
              <w:t>Recommendation 5</w:t>
            </w:r>
          </w:p>
          <w:p w14:paraId="13304E05" w14:textId="77777777" w:rsidR="004C2031" w:rsidRPr="00743BB9" w:rsidRDefault="004C2031" w:rsidP="004C2031">
            <w:pPr>
              <w:ind w:left="360"/>
              <w:rPr>
                <w:sz w:val="22"/>
                <w:szCs w:val="22"/>
                <w:lang w:val="en-US"/>
              </w:rPr>
            </w:pPr>
          </w:p>
          <w:p w14:paraId="3F2DD7AE" w14:textId="68327D30" w:rsidR="004C2031" w:rsidRPr="00743BB9" w:rsidRDefault="004C2031" w:rsidP="004C2031">
            <w:pPr>
              <w:rPr>
                <w:sz w:val="22"/>
                <w:szCs w:val="22"/>
                <w:lang w:val="en-US"/>
              </w:rPr>
            </w:pPr>
            <w:r w:rsidRPr="00743BB9">
              <w:rPr>
                <w:sz w:val="22"/>
                <w:szCs w:val="22"/>
                <w:lang w:val="en-US"/>
              </w:rPr>
              <w:t xml:space="preserve">It is my recommendation that these Decisions be retired once relevant tasks have been completed. </w:t>
            </w:r>
            <w:r w:rsidR="00AD0D9D">
              <w:rPr>
                <w:sz w:val="22"/>
                <w:szCs w:val="22"/>
                <w:lang w:val="en-US"/>
              </w:rPr>
              <w:t xml:space="preserve">For the sake of clarity, it may also be useful to include them in an annex to a new, draft resolution. </w:t>
            </w:r>
          </w:p>
          <w:p w14:paraId="5CB7FB16" w14:textId="77777777" w:rsidR="004C2031" w:rsidRDefault="004C2031" w:rsidP="00BF7DB4">
            <w:pPr>
              <w:rPr>
                <w:sz w:val="22"/>
                <w:szCs w:val="22"/>
                <w:lang w:val="en-US"/>
              </w:rPr>
            </w:pPr>
          </w:p>
        </w:tc>
      </w:tr>
    </w:tbl>
    <w:p w14:paraId="749F5775" w14:textId="77777777" w:rsidR="00AD0D9D" w:rsidRPr="00AD0D9D" w:rsidRDefault="00AD0D9D" w:rsidP="00AD0D9D">
      <w:pPr>
        <w:ind w:left="360"/>
        <w:rPr>
          <w:b/>
          <w:sz w:val="22"/>
          <w:szCs w:val="22"/>
          <w:lang w:val="en-US"/>
        </w:rPr>
      </w:pPr>
    </w:p>
    <w:p w14:paraId="3D61E8FF" w14:textId="77777777" w:rsidR="00A324AF" w:rsidRPr="00743BB9" w:rsidRDefault="00F00C45" w:rsidP="00F00C45">
      <w:pPr>
        <w:pStyle w:val="ListParagraph"/>
        <w:numPr>
          <w:ilvl w:val="0"/>
          <w:numId w:val="1"/>
        </w:numPr>
        <w:rPr>
          <w:b/>
          <w:sz w:val="22"/>
          <w:szCs w:val="22"/>
          <w:lang w:val="en-US"/>
        </w:rPr>
      </w:pPr>
      <w:r w:rsidRPr="00743BB9">
        <w:rPr>
          <w:b/>
          <w:sz w:val="22"/>
          <w:szCs w:val="22"/>
          <w:lang w:val="en-US"/>
        </w:rPr>
        <w:t>Metho</w:t>
      </w:r>
      <w:r w:rsidR="00DE4A5B">
        <w:rPr>
          <w:b/>
          <w:sz w:val="22"/>
          <w:szCs w:val="22"/>
          <w:lang w:val="en-US"/>
        </w:rPr>
        <w:t xml:space="preserve">dology – suggested content </w:t>
      </w:r>
      <w:r w:rsidR="002B3BA8">
        <w:rPr>
          <w:b/>
          <w:sz w:val="22"/>
          <w:szCs w:val="22"/>
          <w:lang w:val="en-US"/>
        </w:rPr>
        <w:t xml:space="preserve">to assist the Working Group to draft a Resolution </w:t>
      </w:r>
      <w:r w:rsidRPr="00743BB9">
        <w:rPr>
          <w:b/>
          <w:sz w:val="22"/>
          <w:szCs w:val="22"/>
          <w:lang w:val="en-US"/>
        </w:rPr>
        <w:t xml:space="preserve">on RRIs for COP14 </w:t>
      </w:r>
    </w:p>
    <w:p w14:paraId="703458C6" w14:textId="77777777" w:rsidR="001D29CA" w:rsidRPr="00743BB9" w:rsidRDefault="001D29CA" w:rsidP="001D29CA">
      <w:pPr>
        <w:ind w:left="360"/>
        <w:rPr>
          <w:b/>
          <w:sz w:val="22"/>
          <w:szCs w:val="22"/>
          <w:lang w:val="en-US"/>
        </w:rPr>
      </w:pPr>
    </w:p>
    <w:p w14:paraId="233E917A" w14:textId="77777777" w:rsidR="001F2053" w:rsidRDefault="00A25256" w:rsidP="001F2053">
      <w:pPr>
        <w:pStyle w:val="ListParagraph"/>
        <w:numPr>
          <w:ilvl w:val="0"/>
          <w:numId w:val="19"/>
        </w:numPr>
        <w:rPr>
          <w:sz w:val="22"/>
          <w:szCs w:val="22"/>
          <w:lang w:val="en-US"/>
        </w:rPr>
      </w:pPr>
      <w:r w:rsidRPr="001F2053">
        <w:rPr>
          <w:sz w:val="22"/>
          <w:szCs w:val="22"/>
          <w:lang w:val="en-US"/>
        </w:rPr>
        <w:t xml:space="preserve">The content set out in Annex 1 </w:t>
      </w:r>
      <w:r w:rsidR="009F64BB" w:rsidRPr="001F2053">
        <w:rPr>
          <w:sz w:val="22"/>
          <w:szCs w:val="22"/>
          <w:lang w:val="en-US"/>
        </w:rPr>
        <w:t xml:space="preserve">is </w:t>
      </w:r>
      <w:r w:rsidR="00606367" w:rsidRPr="001F2053">
        <w:rPr>
          <w:sz w:val="22"/>
          <w:szCs w:val="22"/>
          <w:lang w:val="en-US"/>
        </w:rPr>
        <w:t xml:space="preserve">primarily </w:t>
      </w:r>
      <w:r w:rsidR="009F64BB" w:rsidRPr="001F2053">
        <w:rPr>
          <w:sz w:val="22"/>
          <w:szCs w:val="22"/>
          <w:lang w:val="en-US"/>
        </w:rPr>
        <w:t>based on</w:t>
      </w:r>
      <w:r w:rsidR="00606367" w:rsidRPr="001F2053">
        <w:rPr>
          <w:sz w:val="22"/>
          <w:szCs w:val="22"/>
          <w:lang w:val="en-US"/>
        </w:rPr>
        <w:t xml:space="preserve"> relevant paragraphs from:</w:t>
      </w:r>
      <w:r w:rsidR="009F64BB" w:rsidRPr="001F2053">
        <w:rPr>
          <w:sz w:val="22"/>
          <w:szCs w:val="22"/>
          <w:lang w:val="en-US"/>
        </w:rPr>
        <w:t xml:space="preserve"> </w:t>
      </w:r>
    </w:p>
    <w:p w14:paraId="325FBE60" w14:textId="77777777" w:rsidR="001F2053" w:rsidRPr="001F2053" w:rsidRDefault="001F2053" w:rsidP="001F2053">
      <w:pPr>
        <w:ind w:left="360"/>
        <w:rPr>
          <w:sz w:val="22"/>
          <w:szCs w:val="22"/>
          <w:lang w:val="en-US"/>
        </w:rPr>
      </w:pPr>
    </w:p>
    <w:p w14:paraId="1E17468A" w14:textId="77777777" w:rsidR="001F2053" w:rsidRDefault="001F2053" w:rsidP="001F2053">
      <w:pPr>
        <w:pStyle w:val="ListParagraph"/>
        <w:numPr>
          <w:ilvl w:val="1"/>
          <w:numId w:val="19"/>
        </w:numPr>
        <w:rPr>
          <w:sz w:val="22"/>
          <w:szCs w:val="22"/>
          <w:lang w:val="en-US"/>
        </w:rPr>
      </w:pPr>
      <w:r>
        <w:rPr>
          <w:sz w:val="22"/>
          <w:szCs w:val="22"/>
          <w:lang w:val="en-US"/>
        </w:rPr>
        <w:t xml:space="preserve">XIII.9; </w:t>
      </w:r>
      <w:r w:rsidR="00BD327C">
        <w:rPr>
          <w:sz w:val="22"/>
          <w:szCs w:val="22"/>
          <w:lang w:val="en-US"/>
        </w:rPr>
        <w:t>and</w:t>
      </w:r>
    </w:p>
    <w:p w14:paraId="7DF9D18E" w14:textId="77777777" w:rsidR="001F2053" w:rsidRPr="00606367" w:rsidRDefault="001F2053" w:rsidP="001F2053">
      <w:pPr>
        <w:pStyle w:val="ListParagraph"/>
        <w:numPr>
          <w:ilvl w:val="1"/>
          <w:numId w:val="19"/>
        </w:numPr>
        <w:rPr>
          <w:sz w:val="22"/>
          <w:szCs w:val="22"/>
          <w:lang w:val="en-US"/>
        </w:rPr>
      </w:pPr>
      <w:r w:rsidRPr="00606367">
        <w:rPr>
          <w:sz w:val="22"/>
          <w:szCs w:val="22"/>
          <w:lang w:val="en-US"/>
        </w:rPr>
        <w:t>Resolutions concerning RRIs that predate</w:t>
      </w:r>
      <w:r>
        <w:rPr>
          <w:sz w:val="22"/>
          <w:szCs w:val="22"/>
          <w:lang w:val="en-US"/>
        </w:rPr>
        <w:t xml:space="preserve"> XIII.9 but which are not inconsistent with XIII.9. </w:t>
      </w:r>
    </w:p>
    <w:p w14:paraId="73E921FA" w14:textId="77777777" w:rsidR="001F2053" w:rsidRPr="001F2053" w:rsidRDefault="001F2053" w:rsidP="001F2053">
      <w:pPr>
        <w:ind w:left="360"/>
        <w:rPr>
          <w:sz w:val="22"/>
          <w:szCs w:val="22"/>
          <w:lang w:val="en-US"/>
        </w:rPr>
      </w:pPr>
    </w:p>
    <w:p w14:paraId="51C97B84" w14:textId="77777777" w:rsidR="001F2053" w:rsidRDefault="0028619E" w:rsidP="002D40F1">
      <w:pPr>
        <w:pStyle w:val="ListParagraph"/>
        <w:numPr>
          <w:ilvl w:val="0"/>
          <w:numId w:val="19"/>
        </w:numPr>
        <w:ind w:left="1134" w:hanging="414"/>
        <w:rPr>
          <w:sz w:val="22"/>
          <w:szCs w:val="22"/>
          <w:lang w:val="en-US"/>
        </w:rPr>
      </w:pPr>
      <w:r w:rsidRPr="001F2053">
        <w:rPr>
          <w:sz w:val="22"/>
          <w:szCs w:val="22"/>
          <w:lang w:val="en-US"/>
        </w:rPr>
        <w:t>The content has been organized thematically for ease</w:t>
      </w:r>
      <w:r w:rsidR="00C84E14" w:rsidRPr="001F2053">
        <w:rPr>
          <w:sz w:val="22"/>
          <w:szCs w:val="22"/>
          <w:lang w:val="en-US"/>
        </w:rPr>
        <w:t xml:space="preserve"> of reference (noting that</w:t>
      </w:r>
      <w:r w:rsidRPr="001F2053">
        <w:rPr>
          <w:sz w:val="22"/>
          <w:szCs w:val="22"/>
          <w:lang w:val="en-US"/>
        </w:rPr>
        <w:t xml:space="preserve"> related matters – concerning funding, for example – are </w:t>
      </w:r>
      <w:r w:rsidR="00C84E14" w:rsidRPr="001F2053">
        <w:rPr>
          <w:sz w:val="22"/>
          <w:szCs w:val="22"/>
          <w:lang w:val="en-US"/>
        </w:rPr>
        <w:t>often</w:t>
      </w:r>
      <w:r w:rsidR="002D40F1">
        <w:rPr>
          <w:sz w:val="22"/>
          <w:szCs w:val="22"/>
          <w:lang w:val="en-US"/>
        </w:rPr>
        <w:t xml:space="preserve"> </w:t>
      </w:r>
      <w:r w:rsidRPr="001F2053">
        <w:rPr>
          <w:sz w:val="22"/>
          <w:szCs w:val="22"/>
          <w:lang w:val="en-US"/>
        </w:rPr>
        <w:t>scattered throughout</w:t>
      </w:r>
      <w:r w:rsidR="008E4F06" w:rsidRPr="001F2053">
        <w:rPr>
          <w:sz w:val="22"/>
          <w:szCs w:val="22"/>
          <w:lang w:val="en-US"/>
        </w:rPr>
        <w:t xml:space="preserve"> a</w:t>
      </w:r>
      <w:r w:rsidR="00C84E14" w:rsidRPr="001F2053">
        <w:rPr>
          <w:sz w:val="22"/>
          <w:szCs w:val="22"/>
          <w:lang w:val="en-US"/>
        </w:rPr>
        <w:t xml:space="preserve"> resolution, which may lead to inefficiencies)</w:t>
      </w:r>
      <w:r w:rsidRPr="001F2053">
        <w:rPr>
          <w:sz w:val="22"/>
          <w:szCs w:val="22"/>
          <w:lang w:val="en-US"/>
        </w:rPr>
        <w:t xml:space="preserve">. </w:t>
      </w:r>
    </w:p>
    <w:p w14:paraId="39944EFF" w14:textId="77777777" w:rsidR="001F2053" w:rsidRPr="001F2053" w:rsidRDefault="001F2053" w:rsidP="001F2053">
      <w:pPr>
        <w:ind w:left="360"/>
        <w:rPr>
          <w:sz w:val="22"/>
          <w:szCs w:val="22"/>
          <w:lang w:val="en-US"/>
        </w:rPr>
      </w:pPr>
    </w:p>
    <w:p w14:paraId="09A75087" w14:textId="77777777" w:rsidR="000815C7" w:rsidRDefault="00606367" w:rsidP="001F2053">
      <w:pPr>
        <w:pStyle w:val="ListParagraph"/>
        <w:numPr>
          <w:ilvl w:val="0"/>
          <w:numId w:val="19"/>
        </w:numPr>
        <w:rPr>
          <w:sz w:val="22"/>
          <w:szCs w:val="22"/>
          <w:lang w:val="en-US"/>
        </w:rPr>
      </w:pPr>
      <w:r w:rsidRPr="001F2053">
        <w:rPr>
          <w:sz w:val="22"/>
          <w:szCs w:val="22"/>
          <w:lang w:val="en-US"/>
        </w:rPr>
        <w:t xml:space="preserve">The text has </w:t>
      </w:r>
      <w:r w:rsidR="00C276A0" w:rsidRPr="001F2053">
        <w:rPr>
          <w:sz w:val="22"/>
          <w:szCs w:val="22"/>
          <w:lang w:val="en-US"/>
        </w:rPr>
        <w:t>in certain instances been amended from pre-existing versions in order to remove ambiguity or inconsistencies. For</w:t>
      </w:r>
      <w:r w:rsidR="001F2053">
        <w:rPr>
          <w:sz w:val="22"/>
          <w:szCs w:val="22"/>
          <w:lang w:val="en-US"/>
        </w:rPr>
        <w:t xml:space="preserve"> example, paragraphs </w:t>
      </w:r>
      <w:r w:rsidR="00C276A0" w:rsidRPr="001F2053">
        <w:rPr>
          <w:sz w:val="22"/>
          <w:szCs w:val="22"/>
          <w:lang w:val="en-US"/>
        </w:rPr>
        <w:t xml:space="preserve">6 and 7 from XIII.9 </w:t>
      </w:r>
      <w:r w:rsidR="00A25256" w:rsidRPr="001F2053">
        <w:rPr>
          <w:sz w:val="22"/>
          <w:szCs w:val="22"/>
          <w:lang w:val="en-US"/>
        </w:rPr>
        <w:t>have not been include</w:t>
      </w:r>
      <w:r w:rsidR="00D45E59" w:rsidRPr="001F2053">
        <w:rPr>
          <w:sz w:val="22"/>
          <w:szCs w:val="22"/>
          <w:lang w:val="en-US"/>
        </w:rPr>
        <w:t xml:space="preserve">d as they are incompatible with </w:t>
      </w:r>
      <w:r w:rsidR="00BD327C">
        <w:rPr>
          <w:sz w:val="22"/>
          <w:szCs w:val="22"/>
          <w:lang w:val="en-US"/>
        </w:rPr>
        <w:t xml:space="preserve">the introduction to </w:t>
      </w:r>
      <w:r w:rsidR="00D45E59" w:rsidRPr="001F2053">
        <w:rPr>
          <w:sz w:val="22"/>
          <w:szCs w:val="22"/>
          <w:lang w:val="en-US"/>
        </w:rPr>
        <w:t>paragraph 8 from XIII.9</w:t>
      </w:r>
      <w:r w:rsidR="00A25256" w:rsidRPr="001F2053">
        <w:rPr>
          <w:sz w:val="22"/>
          <w:szCs w:val="22"/>
          <w:lang w:val="en-US"/>
        </w:rPr>
        <w:t xml:space="preserve">. </w:t>
      </w:r>
      <w:r w:rsidR="00D45E59" w:rsidRPr="001F2053">
        <w:rPr>
          <w:sz w:val="22"/>
          <w:szCs w:val="22"/>
          <w:lang w:val="en-US"/>
        </w:rPr>
        <w:t xml:space="preserve">Specifically, paragraph 6 states that RRIs ‘should comply with the principles listed in paragraph 8’; paragraph 7 requests that ‘Contracting Parties participating in any existing or future RRI </w:t>
      </w:r>
      <w:proofErr w:type="spellStart"/>
      <w:r w:rsidR="00D45E59" w:rsidRPr="001F2053">
        <w:rPr>
          <w:sz w:val="22"/>
          <w:szCs w:val="22"/>
          <w:lang w:val="en-US"/>
        </w:rPr>
        <w:t>endeavour</w:t>
      </w:r>
      <w:proofErr w:type="spellEnd"/>
      <w:r w:rsidR="00D45E59" w:rsidRPr="001F2053">
        <w:rPr>
          <w:sz w:val="22"/>
          <w:szCs w:val="22"/>
          <w:lang w:val="en-US"/>
        </w:rPr>
        <w:t xml:space="preserve"> to achieve full compliance with the principles listed in paragraph 8’; and</w:t>
      </w:r>
      <w:r w:rsidR="00BD327C">
        <w:rPr>
          <w:sz w:val="22"/>
          <w:szCs w:val="22"/>
          <w:lang w:val="en-US"/>
        </w:rPr>
        <w:t xml:space="preserve"> the introduction to</w:t>
      </w:r>
      <w:r w:rsidR="00D45E59" w:rsidRPr="001F2053">
        <w:rPr>
          <w:sz w:val="22"/>
          <w:szCs w:val="22"/>
          <w:lang w:val="en-US"/>
        </w:rPr>
        <w:t xml:space="preserve"> paragraph 8 states that ‘RRIs, to maintain their formal recognition as an RRI, have to be in line with the following principles…’.</w:t>
      </w:r>
    </w:p>
    <w:p w14:paraId="72C8EDE2" w14:textId="77777777" w:rsidR="008A3594" w:rsidRPr="008A3594" w:rsidRDefault="008A3594" w:rsidP="008A3594">
      <w:pPr>
        <w:rPr>
          <w:sz w:val="22"/>
          <w:szCs w:val="22"/>
          <w:lang w:val="en-US"/>
        </w:rPr>
      </w:pPr>
    </w:p>
    <w:p w14:paraId="215AE2B3" w14:textId="77777777" w:rsidR="00A96A2A" w:rsidRDefault="008A3594" w:rsidP="001F2053">
      <w:pPr>
        <w:pStyle w:val="ListParagraph"/>
        <w:numPr>
          <w:ilvl w:val="0"/>
          <w:numId w:val="19"/>
        </w:numPr>
        <w:rPr>
          <w:sz w:val="22"/>
          <w:szCs w:val="22"/>
          <w:lang w:val="en-US"/>
        </w:rPr>
      </w:pPr>
      <w:r>
        <w:rPr>
          <w:sz w:val="22"/>
          <w:szCs w:val="22"/>
          <w:lang w:val="en-US"/>
        </w:rPr>
        <w:t xml:space="preserve">XIII.9 paragraph 8 has been transposed into paragraph 9 in </w:t>
      </w:r>
      <w:r w:rsidR="00D651DC">
        <w:rPr>
          <w:sz w:val="22"/>
          <w:szCs w:val="22"/>
          <w:lang w:val="en-US"/>
        </w:rPr>
        <w:t xml:space="preserve">the draft resolution in Annex 1. </w:t>
      </w:r>
      <w:r w:rsidR="00A96A2A">
        <w:rPr>
          <w:sz w:val="22"/>
          <w:szCs w:val="22"/>
          <w:lang w:val="en-US"/>
        </w:rPr>
        <w:t xml:space="preserve">Please note the following: </w:t>
      </w:r>
    </w:p>
    <w:p w14:paraId="36B7C093" w14:textId="77777777" w:rsidR="00A96A2A" w:rsidRPr="00A96A2A" w:rsidRDefault="00A96A2A" w:rsidP="00A96A2A">
      <w:pPr>
        <w:rPr>
          <w:sz w:val="22"/>
          <w:szCs w:val="22"/>
          <w:lang w:val="en-US"/>
        </w:rPr>
      </w:pPr>
    </w:p>
    <w:p w14:paraId="42638F2F" w14:textId="77777777" w:rsidR="00A96A2A" w:rsidRDefault="00A96A2A" w:rsidP="00A96A2A">
      <w:pPr>
        <w:pStyle w:val="ListParagraph"/>
        <w:numPr>
          <w:ilvl w:val="1"/>
          <w:numId w:val="19"/>
        </w:numPr>
        <w:rPr>
          <w:sz w:val="22"/>
          <w:szCs w:val="22"/>
          <w:lang w:val="en-US"/>
        </w:rPr>
      </w:pPr>
      <w:r>
        <w:rPr>
          <w:sz w:val="22"/>
          <w:szCs w:val="22"/>
          <w:lang w:val="en-US"/>
        </w:rPr>
        <w:t xml:space="preserve">Old 8(a) has been removed and incorporated into the </w:t>
      </w:r>
      <w:r w:rsidR="00AA64E3">
        <w:rPr>
          <w:sz w:val="22"/>
          <w:szCs w:val="22"/>
          <w:lang w:val="en-US"/>
        </w:rPr>
        <w:t>introduction</w:t>
      </w:r>
      <w:r>
        <w:rPr>
          <w:sz w:val="22"/>
          <w:szCs w:val="22"/>
          <w:lang w:val="en-US"/>
        </w:rPr>
        <w:t xml:space="preserve"> of new paragraph 9 to avoid duplication and to clarify</w:t>
      </w:r>
      <w:r w:rsidR="006E1846">
        <w:rPr>
          <w:sz w:val="22"/>
          <w:szCs w:val="22"/>
          <w:lang w:val="en-US"/>
        </w:rPr>
        <w:t xml:space="preserve"> that the purpose of the review is </w:t>
      </w:r>
      <w:r>
        <w:rPr>
          <w:sz w:val="22"/>
          <w:szCs w:val="22"/>
          <w:lang w:val="en-US"/>
        </w:rPr>
        <w:t xml:space="preserve">to determine whether RRIs can be endorsed as operating within </w:t>
      </w:r>
      <w:r w:rsidR="006E1846">
        <w:rPr>
          <w:sz w:val="22"/>
          <w:szCs w:val="22"/>
          <w:lang w:val="en-US"/>
        </w:rPr>
        <w:t>the framework of the Convention</w:t>
      </w:r>
      <w:r>
        <w:rPr>
          <w:sz w:val="22"/>
          <w:szCs w:val="22"/>
          <w:lang w:val="en-US"/>
        </w:rPr>
        <w:t>;</w:t>
      </w:r>
    </w:p>
    <w:p w14:paraId="0078D85E" w14:textId="77777777" w:rsidR="006E1846" w:rsidRDefault="00D651DC" w:rsidP="00A96A2A">
      <w:pPr>
        <w:pStyle w:val="ListParagraph"/>
        <w:numPr>
          <w:ilvl w:val="1"/>
          <w:numId w:val="19"/>
        </w:numPr>
        <w:rPr>
          <w:sz w:val="22"/>
          <w:szCs w:val="22"/>
          <w:lang w:val="en-US"/>
        </w:rPr>
      </w:pPr>
      <w:r>
        <w:rPr>
          <w:sz w:val="22"/>
          <w:szCs w:val="22"/>
          <w:lang w:val="en-US"/>
        </w:rPr>
        <w:t>I have</w:t>
      </w:r>
      <w:r w:rsidR="00680E73">
        <w:rPr>
          <w:sz w:val="22"/>
          <w:szCs w:val="22"/>
          <w:lang w:val="en-US"/>
        </w:rPr>
        <w:t xml:space="preserve"> not included</w:t>
      </w:r>
      <w:r w:rsidR="00A96A2A">
        <w:rPr>
          <w:sz w:val="22"/>
          <w:szCs w:val="22"/>
          <w:lang w:val="en-US"/>
        </w:rPr>
        <w:t xml:space="preserve"> the old</w:t>
      </w:r>
      <w:r>
        <w:rPr>
          <w:sz w:val="22"/>
          <w:szCs w:val="22"/>
          <w:lang w:val="en-US"/>
        </w:rPr>
        <w:t xml:space="preserve"> </w:t>
      </w:r>
      <w:r w:rsidR="00680E73">
        <w:rPr>
          <w:sz w:val="22"/>
          <w:szCs w:val="22"/>
          <w:lang w:val="en-US"/>
        </w:rPr>
        <w:t>8</w:t>
      </w:r>
      <w:r>
        <w:rPr>
          <w:sz w:val="22"/>
          <w:szCs w:val="22"/>
          <w:lang w:val="en-US"/>
        </w:rPr>
        <w:t xml:space="preserve">(g) </w:t>
      </w:r>
      <w:r w:rsidR="00680E73">
        <w:rPr>
          <w:sz w:val="22"/>
          <w:szCs w:val="22"/>
          <w:lang w:val="en-US"/>
        </w:rPr>
        <w:t xml:space="preserve">in the new paragraph 9 as </w:t>
      </w:r>
      <w:r>
        <w:rPr>
          <w:sz w:val="22"/>
          <w:szCs w:val="22"/>
          <w:lang w:val="en-US"/>
        </w:rPr>
        <w:t>it is not a principle, and can be grouped with paragraphs</w:t>
      </w:r>
      <w:r w:rsidR="00BD327C">
        <w:rPr>
          <w:sz w:val="22"/>
          <w:szCs w:val="22"/>
          <w:lang w:val="en-US"/>
        </w:rPr>
        <w:t xml:space="preserve"> that concern funding;</w:t>
      </w:r>
    </w:p>
    <w:p w14:paraId="37113CE8" w14:textId="77777777" w:rsidR="00A96A2A" w:rsidRDefault="00D651DC" w:rsidP="00A96A2A">
      <w:pPr>
        <w:pStyle w:val="ListParagraph"/>
        <w:numPr>
          <w:ilvl w:val="1"/>
          <w:numId w:val="19"/>
        </w:numPr>
        <w:rPr>
          <w:sz w:val="22"/>
          <w:szCs w:val="22"/>
          <w:lang w:val="en-US"/>
        </w:rPr>
      </w:pPr>
      <w:r>
        <w:rPr>
          <w:sz w:val="22"/>
          <w:szCs w:val="22"/>
          <w:lang w:val="en-US"/>
        </w:rPr>
        <w:t>I hav</w:t>
      </w:r>
      <w:r w:rsidR="006E1846">
        <w:rPr>
          <w:sz w:val="22"/>
          <w:szCs w:val="22"/>
          <w:lang w:val="en-US"/>
        </w:rPr>
        <w:t xml:space="preserve">e </w:t>
      </w:r>
      <w:r w:rsidR="00680E73">
        <w:rPr>
          <w:sz w:val="22"/>
          <w:szCs w:val="22"/>
          <w:lang w:val="en-US"/>
        </w:rPr>
        <w:t>expanded the provision concerning financial accountability (</w:t>
      </w:r>
      <w:r w:rsidR="00A96A2A">
        <w:rPr>
          <w:sz w:val="22"/>
          <w:szCs w:val="22"/>
          <w:lang w:val="en-US"/>
        </w:rPr>
        <w:t xml:space="preserve">old 8(d), </w:t>
      </w:r>
      <w:r w:rsidR="00680E73">
        <w:rPr>
          <w:sz w:val="22"/>
          <w:szCs w:val="22"/>
          <w:lang w:val="en-US"/>
        </w:rPr>
        <w:t>new 9(b)</w:t>
      </w:r>
      <w:r w:rsidR="006E1846">
        <w:rPr>
          <w:sz w:val="22"/>
          <w:szCs w:val="22"/>
          <w:lang w:val="en-US"/>
        </w:rPr>
        <w:t>)</w:t>
      </w:r>
      <w:r w:rsidR="00680E73">
        <w:rPr>
          <w:sz w:val="22"/>
          <w:szCs w:val="22"/>
          <w:lang w:val="en-US"/>
        </w:rPr>
        <w:t xml:space="preserve"> to clarify that this requires transparency and consi</w:t>
      </w:r>
      <w:r w:rsidR="00BD327C">
        <w:rPr>
          <w:sz w:val="22"/>
          <w:szCs w:val="22"/>
          <w:lang w:val="en-US"/>
        </w:rPr>
        <w:t>stency with applicable laws, Resolutions and Decisions;</w:t>
      </w:r>
    </w:p>
    <w:p w14:paraId="2B5A50F2" w14:textId="77777777" w:rsidR="0028619E" w:rsidRDefault="00680E73" w:rsidP="00A96A2A">
      <w:pPr>
        <w:pStyle w:val="ListParagraph"/>
        <w:numPr>
          <w:ilvl w:val="1"/>
          <w:numId w:val="19"/>
        </w:numPr>
        <w:rPr>
          <w:sz w:val="22"/>
          <w:szCs w:val="22"/>
          <w:lang w:val="en-US"/>
        </w:rPr>
      </w:pPr>
      <w:r w:rsidRPr="00A96A2A">
        <w:rPr>
          <w:sz w:val="22"/>
          <w:szCs w:val="22"/>
          <w:lang w:val="en-US"/>
        </w:rPr>
        <w:t xml:space="preserve">I have expanded the reporting provisions (old para 8(f), new para 9(d)) to include a requirement to report against the criteria for endorsement set out in paragraph 9. This has been added </w:t>
      </w:r>
      <w:r w:rsidR="00A96A2A" w:rsidRPr="00A96A2A">
        <w:rPr>
          <w:sz w:val="22"/>
          <w:szCs w:val="22"/>
          <w:lang w:val="en-US"/>
        </w:rPr>
        <w:t xml:space="preserve">to </w:t>
      </w:r>
      <w:r w:rsidRPr="00A96A2A">
        <w:rPr>
          <w:sz w:val="22"/>
          <w:szCs w:val="22"/>
          <w:lang w:val="en-US"/>
        </w:rPr>
        <w:t xml:space="preserve">as it is standard </w:t>
      </w:r>
      <w:r w:rsidR="00A96A2A" w:rsidRPr="00A96A2A">
        <w:rPr>
          <w:sz w:val="22"/>
          <w:szCs w:val="22"/>
          <w:lang w:val="en-US"/>
        </w:rPr>
        <w:t xml:space="preserve">‘best practice’ for entities to </w:t>
      </w:r>
      <w:r w:rsidRPr="00A96A2A">
        <w:rPr>
          <w:sz w:val="22"/>
          <w:szCs w:val="22"/>
          <w:lang w:val="en-US"/>
        </w:rPr>
        <w:t>r</w:t>
      </w:r>
      <w:r w:rsidR="00A96A2A" w:rsidRPr="00A96A2A">
        <w:rPr>
          <w:sz w:val="22"/>
          <w:szCs w:val="22"/>
          <w:lang w:val="en-US"/>
        </w:rPr>
        <w:t>eport against specific</w:t>
      </w:r>
      <w:r w:rsidRPr="00A96A2A">
        <w:rPr>
          <w:sz w:val="22"/>
          <w:szCs w:val="22"/>
          <w:lang w:val="en-US"/>
        </w:rPr>
        <w:t xml:space="preserve"> criteria. </w:t>
      </w:r>
    </w:p>
    <w:p w14:paraId="42E02FDA" w14:textId="77777777" w:rsidR="009A2E63" w:rsidRPr="009A2E63" w:rsidRDefault="009A2E63" w:rsidP="009A2E63">
      <w:pPr>
        <w:ind w:left="1080"/>
        <w:rPr>
          <w:sz w:val="22"/>
          <w:szCs w:val="22"/>
          <w:lang w:val="en-US"/>
        </w:rPr>
      </w:pPr>
    </w:p>
    <w:p w14:paraId="2D98932A" w14:textId="77777777" w:rsidR="00FF75A5" w:rsidRPr="00FF75A5" w:rsidRDefault="00851084" w:rsidP="0037065B">
      <w:pPr>
        <w:pStyle w:val="ListParagraph"/>
        <w:numPr>
          <w:ilvl w:val="0"/>
          <w:numId w:val="19"/>
        </w:numPr>
        <w:rPr>
          <w:sz w:val="22"/>
          <w:szCs w:val="22"/>
          <w:lang w:val="en-US"/>
        </w:rPr>
      </w:pPr>
      <w:r w:rsidRPr="00FF75A5">
        <w:rPr>
          <w:sz w:val="22"/>
          <w:szCs w:val="22"/>
          <w:lang w:val="en-US"/>
        </w:rPr>
        <w:lastRenderedPageBreak/>
        <w:t>As noted above, I undertook an exhaustive review of all Resolutions and Recommendations that do not directly concern RRIs but include paragraphs referring to, and in some instances conferring certain tasks, on RRIs. It seems that it would be easier for RRIs and c</w:t>
      </w:r>
      <w:r w:rsidR="006E1846" w:rsidRPr="00FF75A5">
        <w:rPr>
          <w:sz w:val="22"/>
          <w:szCs w:val="22"/>
          <w:lang w:val="en-US"/>
        </w:rPr>
        <w:t xml:space="preserve">oncerned Contracting Parties to go to one </w:t>
      </w:r>
      <w:r w:rsidRPr="00FF75A5">
        <w:rPr>
          <w:sz w:val="22"/>
          <w:szCs w:val="22"/>
          <w:lang w:val="en-US"/>
        </w:rPr>
        <w:t xml:space="preserve">source (i.e. the new Resolution on RRIs) to locate all relevant information regarding RRIs, rather than having to peruse multiple </w:t>
      </w:r>
      <w:r w:rsidR="006E1846" w:rsidRPr="00FF75A5">
        <w:rPr>
          <w:sz w:val="22"/>
          <w:szCs w:val="22"/>
          <w:lang w:val="en-US"/>
        </w:rPr>
        <w:t>Resolutions and extract</w:t>
      </w:r>
      <w:r w:rsidRPr="00FF75A5">
        <w:rPr>
          <w:sz w:val="22"/>
          <w:szCs w:val="22"/>
          <w:lang w:val="en-US"/>
        </w:rPr>
        <w:t xml:space="preserve"> </w:t>
      </w:r>
      <w:r w:rsidR="006E1846" w:rsidRPr="00FF75A5">
        <w:rPr>
          <w:sz w:val="22"/>
          <w:szCs w:val="22"/>
          <w:lang w:val="en-US"/>
        </w:rPr>
        <w:t>from these</w:t>
      </w:r>
      <w:r w:rsidRPr="00FF75A5">
        <w:rPr>
          <w:sz w:val="22"/>
          <w:szCs w:val="22"/>
          <w:lang w:val="en-US"/>
        </w:rPr>
        <w:t xml:space="preserve"> various requests, directions and so on. To that end – and </w:t>
      </w:r>
      <w:r w:rsidR="00175A95" w:rsidRPr="00FF75A5">
        <w:rPr>
          <w:sz w:val="22"/>
          <w:szCs w:val="22"/>
          <w:lang w:val="en-US"/>
        </w:rPr>
        <w:t xml:space="preserve">assuming the Contracting Parties do not wish to repeal those elements in relevant paragraphs referring to RRIs – I thought </w:t>
      </w:r>
      <w:r w:rsidR="006E1846" w:rsidRPr="00FF75A5">
        <w:rPr>
          <w:sz w:val="22"/>
          <w:szCs w:val="22"/>
          <w:lang w:val="en-US"/>
        </w:rPr>
        <w:t xml:space="preserve">that </w:t>
      </w:r>
      <w:r w:rsidR="00175A95" w:rsidRPr="00FF75A5">
        <w:rPr>
          <w:sz w:val="22"/>
          <w:szCs w:val="22"/>
          <w:lang w:val="en-US"/>
        </w:rPr>
        <w:t xml:space="preserve">it would be useful to include them in an Annex to the new Resolution on RRIs. </w:t>
      </w:r>
      <w:r w:rsidR="00FF75A5" w:rsidRPr="00FF75A5">
        <w:rPr>
          <w:sz w:val="22"/>
          <w:szCs w:val="22"/>
          <w:lang w:val="en-US"/>
        </w:rPr>
        <w:br w:type="page"/>
      </w:r>
    </w:p>
    <w:p w14:paraId="51528B59" w14:textId="77777777" w:rsidR="00CC38D6" w:rsidRPr="003B12BC" w:rsidRDefault="00DA4F50" w:rsidP="00DA4F50">
      <w:pPr>
        <w:jc w:val="center"/>
        <w:rPr>
          <w:b/>
          <w:color w:val="4472C4" w:themeColor="accent1"/>
          <w:sz w:val="22"/>
          <w:szCs w:val="22"/>
          <w:lang w:val="en-US"/>
        </w:rPr>
      </w:pPr>
      <w:r w:rsidRPr="003B12BC">
        <w:rPr>
          <w:b/>
          <w:color w:val="4472C4" w:themeColor="accent1"/>
          <w:sz w:val="22"/>
          <w:szCs w:val="22"/>
          <w:lang w:val="en-US"/>
        </w:rPr>
        <w:lastRenderedPageBreak/>
        <w:t>Annex 1: suggested content to assist the Working Group to draft a Resolution on RRIs</w:t>
      </w:r>
      <w:r w:rsidR="00DC24FD">
        <w:rPr>
          <w:b/>
          <w:color w:val="4472C4" w:themeColor="accent1"/>
          <w:sz w:val="22"/>
          <w:szCs w:val="22"/>
          <w:lang w:val="en-US"/>
        </w:rPr>
        <w:t xml:space="preserve"> for COP14</w:t>
      </w:r>
    </w:p>
    <w:p w14:paraId="66B8AE0C" w14:textId="77777777" w:rsidR="00F21EB7" w:rsidRDefault="00F21EB7" w:rsidP="00A324AF">
      <w:pPr>
        <w:rPr>
          <w:b/>
          <w:sz w:val="22"/>
          <w:szCs w:val="22"/>
          <w:lang w:val="en-US"/>
        </w:rPr>
      </w:pPr>
    </w:p>
    <w:p w14:paraId="55F9DE98" w14:textId="77777777" w:rsidR="00FF75A5" w:rsidRPr="00743BB9" w:rsidRDefault="00FF75A5" w:rsidP="00A324AF">
      <w:pPr>
        <w:rPr>
          <w:b/>
          <w:sz w:val="22"/>
          <w:szCs w:val="22"/>
          <w:lang w:val="en-US"/>
        </w:rPr>
      </w:pPr>
    </w:p>
    <w:tbl>
      <w:tblPr>
        <w:tblStyle w:val="TableGrid"/>
        <w:tblW w:w="0" w:type="auto"/>
        <w:tblLook w:val="04A0" w:firstRow="1" w:lastRow="0" w:firstColumn="1" w:lastColumn="0" w:noHBand="0" w:noVBand="1"/>
      </w:tblPr>
      <w:tblGrid>
        <w:gridCol w:w="1929"/>
        <w:gridCol w:w="9123"/>
        <w:gridCol w:w="2944"/>
      </w:tblGrid>
      <w:tr w:rsidR="00F42051" w:rsidRPr="00743BB9" w14:paraId="14E76504" w14:textId="77777777" w:rsidTr="00FF75A5">
        <w:tc>
          <w:tcPr>
            <w:tcW w:w="1929" w:type="dxa"/>
          </w:tcPr>
          <w:p w14:paraId="6DDD5E0F" w14:textId="77777777" w:rsidR="00F21EB7" w:rsidRPr="00743BB9" w:rsidRDefault="000B7246" w:rsidP="00A324AF">
            <w:pPr>
              <w:rPr>
                <w:b/>
                <w:sz w:val="22"/>
                <w:szCs w:val="22"/>
                <w:lang w:val="en-US"/>
              </w:rPr>
            </w:pPr>
            <w:r w:rsidRPr="00743BB9">
              <w:rPr>
                <w:b/>
                <w:sz w:val="22"/>
                <w:szCs w:val="22"/>
                <w:lang w:val="en-US"/>
              </w:rPr>
              <w:t>Theme</w:t>
            </w:r>
            <w:r w:rsidR="00B72D96" w:rsidRPr="00743BB9">
              <w:rPr>
                <w:b/>
                <w:sz w:val="22"/>
                <w:szCs w:val="22"/>
                <w:lang w:val="en-US"/>
              </w:rPr>
              <w:t xml:space="preserve"> and paragraph number </w:t>
            </w:r>
          </w:p>
        </w:tc>
        <w:tc>
          <w:tcPr>
            <w:tcW w:w="9123" w:type="dxa"/>
          </w:tcPr>
          <w:p w14:paraId="606E546B" w14:textId="77777777" w:rsidR="00F21EB7" w:rsidRPr="00743BB9" w:rsidRDefault="00F21EB7" w:rsidP="00A324AF">
            <w:pPr>
              <w:rPr>
                <w:b/>
                <w:sz w:val="22"/>
                <w:szCs w:val="22"/>
                <w:lang w:val="en-US"/>
              </w:rPr>
            </w:pPr>
            <w:r w:rsidRPr="00743BB9">
              <w:rPr>
                <w:b/>
                <w:sz w:val="22"/>
                <w:szCs w:val="22"/>
                <w:lang w:val="en-US"/>
              </w:rPr>
              <w:t xml:space="preserve">Content </w:t>
            </w:r>
          </w:p>
        </w:tc>
        <w:tc>
          <w:tcPr>
            <w:tcW w:w="2944" w:type="dxa"/>
          </w:tcPr>
          <w:p w14:paraId="03A9672A" w14:textId="77777777" w:rsidR="00F21EB7" w:rsidRPr="00743BB9" w:rsidRDefault="00F21EB7" w:rsidP="00A324AF">
            <w:pPr>
              <w:rPr>
                <w:b/>
                <w:sz w:val="22"/>
                <w:szCs w:val="22"/>
                <w:lang w:val="en-US"/>
              </w:rPr>
            </w:pPr>
            <w:r w:rsidRPr="00743BB9">
              <w:rPr>
                <w:b/>
                <w:sz w:val="22"/>
                <w:szCs w:val="22"/>
                <w:lang w:val="en-US"/>
              </w:rPr>
              <w:t>Source</w:t>
            </w:r>
            <w:r w:rsidR="00657C1E" w:rsidRPr="00743BB9">
              <w:rPr>
                <w:b/>
                <w:sz w:val="22"/>
                <w:szCs w:val="22"/>
                <w:lang w:val="en-US"/>
              </w:rPr>
              <w:t>(s)</w:t>
            </w:r>
            <w:r w:rsidR="008C0FF0">
              <w:rPr>
                <w:b/>
                <w:sz w:val="22"/>
                <w:szCs w:val="22"/>
                <w:lang w:val="en-US"/>
              </w:rPr>
              <w:t xml:space="preserve"> and notes </w:t>
            </w:r>
          </w:p>
        </w:tc>
      </w:tr>
      <w:tr w:rsidR="00F42051" w:rsidRPr="00743BB9" w14:paraId="60B744EF" w14:textId="77777777" w:rsidTr="00FF75A5">
        <w:tc>
          <w:tcPr>
            <w:tcW w:w="1929" w:type="dxa"/>
          </w:tcPr>
          <w:p w14:paraId="0C1B0B1F" w14:textId="77777777" w:rsidR="00F21EB7" w:rsidRPr="00743BB9" w:rsidRDefault="000B7246" w:rsidP="00A324AF">
            <w:pPr>
              <w:rPr>
                <w:b/>
                <w:sz w:val="22"/>
                <w:szCs w:val="22"/>
                <w:lang w:val="en-US"/>
              </w:rPr>
            </w:pPr>
            <w:r w:rsidRPr="00743BB9">
              <w:rPr>
                <w:b/>
                <w:sz w:val="22"/>
                <w:szCs w:val="22"/>
                <w:lang w:val="en-US"/>
              </w:rPr>
              <w:t>Preamble</w:t>
            </w:r>
          </w:p>
        </w:tc>
        <w:tc>
          <w:tcPr>
            <w:tcW w:w="9123" w:type="dxa"/>
          </w:tcPr>
          <w:p w14:paraId="04864E60" w14:textId="77777777" w:rsidR="00F21EB7" w:rsidRPr="00743BB9" w:rsidRDefault="00F21EB7" w:rsidP="00A324AF">
            <w:pPr>
              <w:rPr>
                <w:b/>
                <w:sz w:val="22"/>
                <w:szCs w:val="22"/>
                <w:lang w:val="en-US"/>
              </w:rPr>
            </w:pPr>
          </w:p>
        </w:tc>
        <w:tc>
          <w:tcPr>
            <w:tcW w:w="2944" w:type="dxa"/>
          </w:tcPr>
          <w:p w14:paraId="2F796F80" w14:textId="77777777" w:rsidR="00F21EB7" w:rsidRPr="00743BB9" w:rsidRDefault="00F21EB7" w:rsidP="00A324AF">
            <w:pPr>
              <w:rPr>
                <w:b/>
                <w:sz w:val="22"/>
                <w:szCs w:val="22"/>
                <w:lang w:val="en-US"/>
              </w:rPr>
            </w:pPr>
          </w:p>
        </w:tc>
      </w:tr>
      <w:tr w:rsidR="00F42051" w:rsidRPr="00217036" w14:paraId="372A0F0E" w14:textId="77777777" w:rsidTr="00FF75A5">
        <w:tc>
          <w:tcPr>
            <w:tcW w:w="1929" w:type="dxa"/>
          </w:tcPr>
          <w:p w14:paraId="71DC70F1" w14:textId="77777777" w:rsidR="00F21EB7" w:rsidRPr="00743BB9" w:rsidRDefault="00657C1E" w:rsidP="00A324AF">
            <w:pPr>
              <w:rPr>
                <w:sz w:val="22"/>
                <w:szCs w:val="22"/>
                <w:lang w:val="en-US"/>
              </w:rPr>
            </w:pPr>
            <w:r w:rsidRPr="00743BB9">
              <w:rPr>
                <w:sz w:val="22"/>
                <w:szCs w:val="22"/>
                <w:lang w:val="en-US"/>
              </w:rPr>
              <w:t>1</w:t>
            </w:r>
          </w:p>
        </w:tc>
        <w:tc>
          <w:tcPr>
            <w:tcW w:w="9123" w:type="dxa"/>
          </w:tcPr>
          <w:p w14:paraId="30E5D1E0" w14:textId="77777777" w:rsidR="004D0A2B" w:rsidRPr="00743BB9" w:rsidRDefault="004D0A2B" w:rsidP="004D0A2B">
            <w:pPr>
              <w:rPr>
                <w:sz w:val="22"/>
                <w:szCs w:val="22"/>
                <w:lang w:val="en-US"/>
              </w:rPr>
            </w:pPr>
            <w:r w:rsidRPr="00743BB9">
              <w:rPr>
                <w:sz w:val="22"/>
                <w:szCs w:val="22"/>
                <w:lang w:val="en-US"/>
              </w:rPr>
              <w:t xml:space="preserve">RECALLING that </w:t>
            </w:r>
            <w:r w:rsidR="00723DD3" w:rsidRPr="00743BB9">
              <w:rPr>
                <w:sz w:val="22"/>
                <w:szCs w:val="22"/>
                <w:lang w:val="en-US"/>
              </w:rPr>
              <w:t xml:space="preserve">Ramsar </w:t>
            </w:r>
            <w:r w:rsidRPr="00743BB9">
              <w:rPr>
                <w:sz w:val="22"/>
                <w:szCs w:val="22"/>
                <w:lang w:val="en-US"/>
              </w:rPr>
              <w:t xml:space="preserve">Regional Initiatives </w:t>
            </w:r>
            <w:r w:rsidR="00723DD3" w:rsidRPr="00743BB9">
              <w:rPr>
                <w:sz w:val="22"/>
                <w:szCs w:val="22"/>
                <w:lang w:val="en-US"/>
              </w:rPr>
              <w:t xml:space="preserve">(RRIs) </w:t>
            </w:r>
            <w:r w:rsidRPr="00743BB9">
              <w:rPr>
                <w:sz w:val="22"/>
                <w:szCs w:val="22"/>
                <w:lang w:val="en-US"/>
              </w:rPr>
              <w:t xml:space="preserve">under the Ramsar Convention, which include regional </w:t>
            </w:r>
            <w:proofErr w:type="spellStart"/>
            <w:r w:rsidRPr="00743BB9">
              <w:rPr>
                <w:sz w:val="22"/>
                <w:szCs w:val="22"/>
                <w:lang w:val="en-US"/>
              </w:rPr>
              <w:t>centres</w:t>
            </w:r>
            <w:proofErr w:type="spellEnd"/>
            <w:r w:rsidRPr="00743BB9">
              <w:rPr>
                <w:sz w:val="22"/>
                <w:szCs w:val="22"/>
                <w:lang w:val="en-US"/>
              </w:rPr>
              <w:t xml:space="preserve"> for training and capacity building and regional networks to facilitate cooperation, are intended as an operational means to provide effective support for improved implementation of the Convention </w:t>
            </w:r>
            <w:r w:rsidR="00060F22" w:rsidRPr="00743BB9">
              <w:rPr>
                <w:sz w:val="22"/>
                <w:szCs w:val="22"/>
                <w:lang w:val="en-US"/>
              </w:rPr>
              <w:t xml:space="preserve">and its strategic plan </w:t>
            </w:r>
            <w:r w:rsidRPr="00743BB9">
              <w:rPr>
                <w:sz w:val="22"/>
                <w:szCs w:val="22"/>
                <w:lang w:val="en-US"/>
              </w:rPr>
              <w:t>in specific geographic regions, through voluntary international cooperation on wetland-related issues of common concern;</w:t>
            </w:r>
          </w:p>
          <w:p w14:paraId="7BB14FD2" w14:textId="77777777" w:rsidR="00F21EB7" w:rsidRPr="00743BB9" w:rsidRDefault="00F21EB7" w:rsidP="00A324AF">
            <w:pPr>
              <w:rPr>
                <w:sz w:val="22"/>
                <w:szCs w:val="22"/>
                <w:lang w:val="en-US"/>
              </w:rPr>
            </w:pPr>
          </w:p>
        </w:tc>
        <w:tc>
          <w:tcPr>
            <w:tcW w:w="2944" w:type="dxa"/>
          </w:tcPr>
          <w:p w14:paraId="5C501623" w14:textId="77777777" w:rsidR="00F21EB7" w:rsidRPr="00A17DFE" w:rsidRDefault="00060F22" w:rsidP="00A324AF">
            <w:pPr>
              <w:rPr>
                <w:sz w:val="22"/>
                <w:szCs w:val="22"/>
                <w:lang w:val="es-ES"/>
              </w:rPr>
            </w:pPr>
            <w:r w:rsidRPr="00A17DFE">
              <w:rPr>
                <w:sz w:val="22"/>
                <w:szCs w:val="22"/>
                <w:lang w:val="es-ES"/>
              </w:rPr>
              <w:t>XIII.9 para 1</w:t>
            </w:r>
          </w:p>
          <w:p w14:paraId="076E1775" w14:textId="77777777" w:rsidR="00060F22" w:rsidRPr="00A17DFE" w:rsidRDefault="00060F22" w:rsidP="00A324AF">
            <w:pPr>
              <w:rPr>
                <w:sz w:val="22"/>
                <w:szCs w:val="22"/>
                <w:lang w:val="es-ES"/>
              </w:rPr>
            </w:pPr>
            <w:r w:rsidRPr="00A17DFE">
              <w:rPr>
                <w:sz w:val="22"/>
                <w:szCs w:val="22"/>
                <w:lang w:val="es-ES"/>
              </w:rPr>
              <w:t>XII.</w:t>
            </w:r>
            <w:r w:rsidR="00517722" w:rsidRPr="00A17DFE">
              <w:rPr>
                <w:sz w:val="22"/>
                <w:szCs w:val="22"/>
                <w:lang w:val="es-ES"/>
              </w:rPr>
              <w:t>8</w:t>
            </w:r>
            <w:r w:rsidRPr="00A17DFE">
              <w:rPr>
                <w:sz w:val="22"/>
                <w:szCs w:val="22"/>
                <w:lang w:val="es-ES"/>
              </w:rPr>
              <w:t xml:space="preserve"> para 1</w:t>
            </w:r>
          </w:p>
          <w:p w14:paraId="258695B5" w14:textId="77777777" w:rsidR="00060F22" w:rsidRPr="00A17DFE" w:rsidRDefault="00657C1E" w:rsidP="00A324AF">
            <w:pPr>
              <w:rPr>
                <w:sz w:val="22"/>
                <w:szCs w:val="22"/>
                <w:lang w:val="es-ES"/>
              </w:rPr>
            </w:pPr>
            <w:r w:rsidRPr="00A17DFE">
              <w:rPr>
                <w:sz w:val="22"/>
                <w:szCs w:val="22"/>
                <w:lang w:val="es-ES"/>
              </w:rPr>
              <w:t xml:space="preserve">X.6 para 1 </w:t>
            </w:r>
          </w:p>
        </w:tc>
      </w:tr>
      <w:tr w:rsidR="00F42051" w:rsidRPr="00217036" w14:paraId="78A9F421" w14:textId="77777777" w:rsidTr="00FF75A5">
        <w:tc>
          <w:tcPr>
            <w:tcW w:w="1929" w:type="dxa"/>
          </w:tcPr>
          <w:p w14:paraId="63905ECE" w14:textId="77777777" w:rsidR="000B7246" w:rsidRPr="00743BB9" w:rsidRDefault="0008299A" w:rsidP="00A324AF">
            <w:pPr>
              <w:rPr>
                <w:sz w:val="22"/>
                <w:szCs w:val="22"/>
              </w:rPr>
            </w:pPr>
            <w:r w:rsidRPr="00743BB9">
              <w:rPr>
                <w:sz w:val="22"/>
                <w:szCs w:val="22"/>
              </w:rPr>
              <w:t>2</w:t>
            </w:r>
          </w:p>
        </w:tc>
        <w:tc>
          <w:tcPr>
            <w:tcW w:w="9123" w:type="dxa"/>
          </w:tcPr>
          <w:p w14:paraId="3491F30E" w14:textId="77777777" w:rsidR="000B7246" w:rsidRPr="00743BB9" w:rsidRDefault="00FA4272" w:rsidP="00723DD3">
            <w:pPr>
              <w:rPr>
                <w:sz w:val="22"/>
                <w:szCs w:val="22"/>
                <w:lang w:val="en-US"/>
              </w:rPr>
            </w:pPr>
            <w:r w:rsidRPr="00743BB9">
              <w:rPr>
                <w:rFonts w:ascii="Calibri" w:hAnsi="Calibri"/>
                <w:sz w:val="22"/>
                <w:szCs w:val="22"/>
                <w:lang w:val="en-US"/>
              </w:rPr>
              <w:t xml:space="preserve">RECALLING that the Conference of the Contracting Parties has recognized the importance of </w:t>
            </w:r>
            <w:r w:rsidR="00723DD3" w:rsidRPr="00743BB9">
              <w:rPr>
                <w:rFonts w:ascii="Calibri" w:hAnsi="Calibri"/>
                <w:sz w:val="22"/>
                <w:szCs w:val="22"/>
                <w:lang w:val="en-US"/>
              </w:rPr>
              <w:t>RRIs</w:t>
            </w:r>
            <w:r w:rsidRPr="00743BB9">
              <w:rPr>
                <w:rFonts w:ascii="Calibri" w:hAnsi="Calibri"/>
                <w:sz w:val="22"/>
                <w:szCs w:val="22"/>
                <w:lang w:val="en-US"/>
              </w:rPr>
              <w:t xml:space="preserve"> in promoting the objectives of the Convention in </w:t>
            </w:r>
            <w:r w:rsidR="00723DD3" w:rsidRPr="00743BB9">
              <w:rPr>
                <w:rFonts w:ascii="Calibri" w:hAnsi="Calibri"/>
                <w:sz w:val="22"/>
                <w:szCs w:val="22"/>
                <w:lang w:val="en-US"/>
              </w:rPr>
              <w:t>several Resolutions;</w:t>
            </w:r>
            <w:r w:rsidRPr="00743BB9">
              <w:rPr>
                <w:rFonts w:ascii="Calibri" w:hAnsi="Calibri"/>
                <w:sz w:val="22"/>
                <w:szCs w:val="22"/>
                <w:lang w:val="en-US"/>
              </w:rPr>
              <w:t xml:space="preserve"> </w:t>
            </w:r>
          </w:p>
        </w:tc>
        <w:tc>
          <w:tcPr>
            <w:tcW w:w="2944" w:type="dxa"/>
          </w:tcPr>
          <w:p w14:paraId="5E264157" w14:textId="77777777" w:rsidR="000B7246" w:rsidRPr="00A17DFE" w:rsidRDefault="00723DD3" w:rsidP="00A324AF">
            <w:pPr>
              <w:rPr>
                <w:sz w:val="22"/>
                <w:szCs w:val="22"/>
                <w:lang w:val="es-ES"/>
              </w:rPr>
            </w:pPr>
            <w:r w:rsidRPr="00A17DFE">
              <w:rPr>
                <w:sz w:val="22"/>
                <w:szCs w:val="22"/>
                <w:lang w:val="es-ES"/>
              </w:rPr>
              <w:t xml:space="preserve">XIII.9 para 2 </w:t>
            </w:r>
          </w:p>
          <w:p w14:paraId="7CA59DF6" w14:textId="77777777" w:rsidR="00F42051" w:rsidRPr="00A17DFE" w:rsidRDefault="00517722" w:rsidP="00A324AF">
            <w:pPr>
              <w:rPr>
                <w:sz w:val="22"/>
                <w:szCs w:val="22"/>
                <w:lang w:val="es-ES"/>
              </w:rPr>
            </w:pPr>
            <w:r w:rsidRPr="00A17DFE">
              <w:rPr>
                <w:sz w:val="22"/>
                <w:szCs w:val="22"/>
                <w:lang w:val="es-ES"/>
              </w:rPr>
              <w:t>XII.8</w:t>
            </w:r>
            <w:r w:rsidR="00F42051" w:rsidRPr="00A17DFE">
              <w:rPr>
                <w:sz w:val="22"/>
                <w:szCs w:val="22"/>
                <w:lang w:val="es-ES"/>
              </w:rPr>
              <w:t xml:space="preserve"> para 3 (</w:t>
            </w:r>
            <w:proofErr w:type="spellStart"/>
            <w:r w:rsidR="00F42051" w:rsidRPr="00A17DFE">
              <w:rPr>
                <w:sz w:val="22"/>
                <w:szCs w:val="22"/>
                <w:lang w:val="es-ES"/>
              </w:rPr>
              <w:t>partial</w:t>
            </w:r>
            <w:proofErr w:type="spellEnd"/>
            <w:r w:rsidR="00F42051" w:rsidRPr="00A17DFE">
              <w:rPr>
                <w:sz w:val="22"/>
                <w:szCs w:val="22"/>
                <w:lang w:val="es-ES"/>
              </w:rPr>
              <w:t xml:space="preserve">) </w:t>
            </w:r>
          </w:p>
        </w:tc>
      </w:tr>
      <w:tr w:rsidR="00F42051" w:rsidRPr="00217036" w14:paraId="680CF992" w14:textId="77777777" w:rsidTr="00FF75A5">
        <w:tc>
          <w:tcPr>
            <w:tcW w:w="1929" w:type="dxa"/>
          </w:tcPr>
          <w:p w14:paraId="2B07894E" w14:textId="77777777" w:rsidR="000B7246" w:rsidRPr="00743BB9" w:rsidRDefault="0008299A" w:rsidP="00A324AF">
            <w:pPr>
              <w:rPr>
                <w:sz w:val="22"/>
                <w:szCs w:val="22"/>
                <w:lang w:val="en-US"/>
              </w:rPr>
            </w:pPr>
            <w:r w:rsidRPr="00743BB9">
              <w:rPr>
                <w:sz w:val="22"/>
                <w:szCs w:val="22"/>
                <w:lang w:val="en-US"/>
              </w:rPr>
              <w:t>3</w:t>
            </w:r>
          </w:p>
        </w:tc>
        <w:tc>
          <w:tcPr>
            <w:tcW w:w="9123" w:type="dxa"/>
          </w:tcPr>
          <w:p w14:paraId="5B2B3DCA" w14:textId="77777777" w:rsidR="000B7246" w:rsidRPr="00743BB9" w:rsidRDefault="00723DD3" w:rsidP="00723DD3">
            <w:pPr>
              <w:rPr>
                <w:sz w:val="22"/>
                <w:szCs w:val="22"/>
                <w:lang w:val="en-US"/>
              </w:rPr>
            </w:pPr>
            <w:r w:rsidRPr="00743BB9">
              <w:rPr>
                <w:rFonts w:ascii="Calibri" w:hAnsi="Calibri"/>
                <w:sz w:val="22"/>
                <w:szCs w:val="22"/>
                <w:lang w:val="en-US"/>
              </w:rPr>
              <w:t>RECALLING</w:t>
            </w:r>
            <w:r w:rsidR="0085752D" w:rsidRPr="00743BB9">
              <w:rPr>
                <w:rFonts w:ascii="Calibri" w:hAnsi="Calibri"/>
                <w:sz w:val="22"/>
                <w:szCs w:val="22"/>
                <w:lang w:val="en-US"/>
              </w:rPr>
              <w:t xml:space="preserve"> that the Contracting Parties have acknowledged</w:t>
            </w:r>
            <w:r w:rsidR="00517256" w:rsidRPr="00743BB9">
              <w:rPr>
                <w:rFonts w:ascii="Calibri" w:hAnsi="Calibri"/>
                <w:sz w:val="22"/>
                <w:szCs w:val="22"/>
                <w:lang w:val="en-US"/>
              </w:rPr>
              <w:t xml:space="preserve"> and sought to strengthen</w:t>
            </w:r>
            <w:r w:rsidRPr="00743BB9">
              <w:rPr>
                <w:rFonts w:ascii="Calibri" w:hAnsi="Calibri"/>
                <w:sz w:val="22"/>
                <w:szCs w:val="22"/>
                <w:lang w:val="en-US"/>
              </w:rPr>
              <w:t xml:space="preserve"> links between RRIs </w:t>
            </w:r>
            <w:r w:rsidR="003D6261" w:rsidRPr="00743BB9">
              <w:rPr>
                <w:rFonts w:ascii="Calibri" w:hAnsi="Calibri"/>
                <w:sz w:val="22"/>
                <w:szCs w:val="22"/>
                <w:lang w:val="en-US"/>
              </w:rPr>
              <w:t>and matters</w:t>
            </w:r>
            <w:r w:rsidR="00AA0391" w:rsidRPr="00743BB9">
              <w:rPr>
                <w:rFonts w:ascii="Calibri" w:hAnsi="Calibri"/>
                <w:sz w:val="22"/>
                <w:szCs w:val="22"/>
                <w:lang w:val="en-US"/>
              </w:rPr>
              <w:t xml:space="preserve"> that fall within </w:t>
            </w:r>
            <w:r w:rsidR="00D21AC0" w:rsidRPr="00743BB9">
              <w:rPr>
                <w:rFonts w:ascii="Calibri" w:hAnsi="Calibri"/>
                <w:sz w:val="22"/>
                <w:szCs w:val="22"/>
                <w:lang w:val="en-US"/>
              </w:rPr>
              <w:t xml:space="preserve">the scope of the Convention in a number of Resolutions; and </w:t>
            </w:r>
          </w:p>
        </w:tc>
        <w:tc>
          <w:tcPr>
            <w:tcW w:w="2944" w:type="dxa"/>
          </w:tcPr>
          <w:p w14:paraId="24EE6106" w14:textId="77777777" w:rsidR="000B7246" w:rsidRPr="00743BB9" w:rsidRDefault="00517256" w:rsidP="00A324AF">
            <w:pPr>
              <w:rPr>
                <w:sz w:val="22"/>
                <w:szCs w:val="22"/>
                <w:lang w:val="en-US"/>
              </w:rPr>
            </w:pPr>
            <w:r w:rsidRPr="00743BB9">
              <w:rPr>
                <w:sz w:val="22"/>
                <w:szCs w:val="22"/>
                <w:lang w:val="en-US"/>
              </w:rPr>
              <w:t>Se</w:t>
            </w:r>
            <w:r w:rsidR="00186C32">
              <w:rPr>
                <w:sz w:val="22"/>
                <w:szCs w:val="22"/>
                <w:lang w:val="en-US"/>
              </w:rPr>
              <w:t xml:space="preserve">e list of Resolutions in Annex 5 of this advice </w:t>
            </w:r>
            <w:r w:rsidRPr="00743BB9">
              <w:rPr>
                <w:sz w:val="22"/>
                <w:szCs w:val="22"/>
                <w:lang w:val="en-US"/>
              </w:rPr>
              <w:t xml:space="preserve"> </w:t>
            </w:r>
          </w:p>
        </w:tc>
      </w:tr>
      <w:tr w:rsidR="00F42051" w:rsidRPr="00743BB9" w14:paraId="36F52FCF" w14:textId="77777777" w:rsidTr="00FF75A5">
        <w:tc>
          <w:tcPr>
            <w:tcW w:w="1929" w:type="dxa"/>
          </w:tcPr>
          <w:p w14:paraId="54CF4070" w14:textId="77777777" w:rsidR="00F21EB7" w:rsidRPr="00743BB9" w:rsidRDefault="0008299A" w:rsidP="00A324AF">
            <w:pPr>
              <w:rPr>
                <w:sz w:val="22"/>
                <w:szCs w:val="22"/>
                <w:lang w:val="en-US"/>
              </w:rPr>
            </w:pPr>
            <w:r w:rsidRPr="00743BB9">
              <w:rPr>
                <w:sz w:val="22"/>
                <w:szCs w:val="22"/>
                <w:lang w:val="en-US"/>
              </w:rPr>
              <w:t>4</w:t>
            </w:r>
          </w:p>
        </w:tc>
        <w:tc>
          <w:tcPr>
            <w:tcW w:w="9123" w:type="dxa"/>
          </w:tcPr>
          <w:p w14:paraId="2DE7DFD5" w14:textId="77777777" w:rsidR="00F21EB7" w:rsidRPr="00743BB9" w:rsidRDefault="00A74062" w:rsidP="00A74062">
            <w:pPr>
              <w:rPr>
                <w:sz w:val="22"/>
                <w:szCs w:val="22"/>
                <w:lang w:val="en-US"/>
              </w:rPr>
            </w:pPr>
            <w:r w:rsidRPr="00743BB9">
              <w:rPr>
                <w:rFonts w:ascii="Calibri" w:hAnsi="Calibri"/>
                <w:sz w:val="22"/>
                <w:szCs w:val="22"/>
                <w:lang w:val="en-US"/>
              </w:rPr>
              <w:t>ALSO</w:t>
            </w:r>
            <w:r w:rsidR="00DF3351" w:rsidRPr="00743BB9">
              <w:rPr>
                <w:rFonts w:ascii="Calibri" w:hAnsi="Calibri"/>
                <w:sz w:val="22"/>
                <w:szCs w:val="22"/>
                <w:lang w:val="en-US"/>
              </w:rPr>
              <w:t xml:space="preserve"> </w:t>
            </w:r>
            <w:r w:rsidR="00314CA4" w:rsidRPr="00743BB9">
              <w:rPr>
                <w:rFonts w:ascii="Calibri" w:hAnsi="Calibri"/>
                <w:sz w:val="22"/>
                <w:szCs w:val="22"/>
                <w:lang w:val="en-US"/>
              </w:rPr>
              <w:t>RECALLING</w:t>
            </w:r>
            <w:r w:rsidR="00DF3351" w:rsidRPr="00743BB9">
              <w:rPr>
                <w:rFonts w:ascii="Calibri" w:hAnsi="Calibri"/>
                <w:sz w:val="22"/>
                <w:szCs w:val="22"/>
                <w:lang w:val="en-US"/>
              </w:rPr>
              <w:t xml:space="preserve"> that at </w:t>
            </w:r>
            <w:r w:rsidRPr="00743BB9">
              <w:rPr>
                <w:rFonts w:ascii="Calibri" w:hAnsi="Calibri"/>
                <w:sz w:val="22"/>
                <w:szCs w:val="22"/>
                <w:lang w:val="en-US"/>
              </w:rPr>
              <w:t>its 13</w:t>
            </w:r>
            <w:r w:rsidRPr="00743BB9">
              <w:rPr>
                <w:rFonts w:ascii="Calibri" w:hAnsi="Calibri"/>
                <w:sz w:val="22"/>
                <w:szCs w:val="22"/>
                <w:vertAlign w:val="superscript"/>
                <w:lang w:val="en-US"/>
              </w:rPr>
              <w:t>th</w:t>
            </w:r>
            <w:r w:rsidRPr="00743BB9">
              <w:rPr>
                <w:rFonts w:ascii="Calibri" w:hAnsi="Calibri"/>
                <w:sz w:val="22"/>
                <w:szCs w:val="22"/>
                <w:lang w:val="en-US"/>
              </w:rPr>
              <w:t xml:space="preserve"> meeting (COP13)</w:t>
            </w:r>
            <w:r w:rsidR="00DF3351" w:rsidRPr="00743BB9">
              <w:rPr>
                <w:rFonts w:ascii="Calibri" w:hAnsi="Calibri"/>
                <w:sz w:val="22"/>
                <w:szCs w:val="22"/>
                <w:lang w:val="en-US"/>
              </w:rPr>
              <w:t xml:space="preserve">, the Conference of the Parties instructed the </w:t>
            </w:r>
            <w:r w:rsidR="00F427D5" w:rsidRPr="00743BB9">
              <w:rPr>
                <w:rFonts w:ascii="Calibri" w:hAnsi="Calibri"/>
                <w:sz w:val="22"/>
                <w:szCs w:val="22"/>
                <w:lang w:val="en-US"/>
              </w:rPr>
              <w:t xml:space="preserve">Secretariat’s legal advisor to conduct a review </w:t>
            </w:r>
            <w:r w:rsidR="00A70D72">
              <w:rPr>
                <w:rFonts w:ascii="Calibri" w:hAnsi="Calibri"/>
                <w:sz w:val="22"/>
                <w:szCs w:val="22"/>
                <w:lang w:val="en-US"/>
              </w:rPr>
              <w:t>of relevant R</w:t>
            </w:r>
            <w:r w:rsidR="00A928B7" w:rsidRPr="00743BB9">
              <w:rPr>
                <w:rFonts w:ascii="Calibri" w:hAnsi="Calibri"/>
                <w:sz w:val="22"/>
                <w:szCs w:val="22"/>
                <w:lang w:val="en-US"/>
              </w:rPr>
              <w:t>esolutions</w:t>
            </w:r>
            <w:r w:rsidR="00A70D72">
              <w:rPr>
                <w:rFonts w:ascii="Calibri" w:hAnsi="Calibri"/>
                <w:sz w:val="22"/>
                <w:szCs w:val="22"/>
                <w:lang w:val="en-US"/>
              </w:rPr>
              <w:t>, Recommendations and D</w:t>
            </w:r>
            <w:r w:rsidR="00A928B7" w:rsidRPr="00743BB9">
              <w:rPr>
                <w:rFonts w:ascii="Calibri" w:hAnsi="Calibri"/>
                <w:sz w:val="22"/>
                <w:szCs w:val="22"/>
                <w:lang w:val="en-US"/>
              </w:rPr>
              <w:t xml:space="preserve">ecisions, identifying those that were inconsistent with </w:t>
            </w:r>
            <w:r w:rsidR="00A70D72">
              <w:rPr>
                <w:rFonts w:ascii="Calibri" w:hAnsi="Calibri"/>
                <w:sz w:val="22"/>
                <w:szCs w:val="22"/>
                <w:lang w:val="en-US"/>
              </w:rPr>
              <w:t>Resolution XIII.9 and relevant D</w:t>
            </w:r>
            <w:r w:rsidR="00A928B7" w:rsidRPr="00743BB9">
              <w:rPr>
                <w:rFonts w:ascii="Calibri" w:hAnsi="Calibri"/>
                <w:sz w:val="22"/>
                <w:szCs w:val="22"/>
                <w:lang w:val="en-US"/>
              </w:rPr>
              <w:t xml:space="preserve">ecisions, and propose which should be </w:t>
            </w:r>
            <w:r w:rsidR="0030704C" w:rsidRPr="00743BB9">
              <w:rPr>
                <w:rFonts w:ascii="Calibri" w:hAnsi="Calibri"/>
                <w:sz w:val="22"/>
                <w:szCs w:val="22"/>
                <w:lang w:val="en-US"/>
              </w:rPr>
              <w:t>repealed</w:t>
            </w:r>
            <w:r w:rsidR="000E2E84" w:rsidRPr="00743BB9">
              <w:rPr>
                <w:rFonts w:ascii="Calibri" w:hAnsi="Calibri"/>
                <w:sz w:val="22"/>
                <w:szCs w:val="22"/>
                <w:lang w:val="en-US"/>
              </w:rPr>
              <w:t>;</w:t>
            </w:r>
          </w:p>
        </w:tc>
        <w:tc>
          <w:tcPr>
            <w:tcW w:w="2944" w:type="dxa"/>
          </w:tcPr>
          <w:p w14:paraId="3382AB5F" w14:textId="77777777" w:rsidR="00F21EB7" w:rsidRPr="00743BB9" w:rsidRDefault="00F427D5" w:rsidP="00A324AF">
            <w:pPr>
              <w:rPr>
                <w:sz w:val="22"/>
                <w:szCs w:val="22"/>
                <w:lang w:val="en-US"/>
              </w:rPr>
            </w:pPr>
            <w:r w:rsidRPr="00743BB9">
              <w:rPr>
                <w:sz w:val="22"/>
                <w:szCs w:val="22"/>
                <w:lang w:val="en-US"/>
              </w:rPr>
              <w:t>XIII.9 para 30</w:t>
            </w:r>
          </w:p>
        </w:tc>
      </w:tr>
      <w:tr w:rsidR="00F42051" w:rsidRPr="00217036" w14:paraId="242D22CF" w14:textId="77777777" w:rsidTr="00FF75A5">
        <w:tc>
          <w:tcPr>
            <w:tcW w:w="1929" w:type="dxa"/>
          </w:tcPr>
          <w:p w14:paraId="7737D8EF" w14:textId="77777777" w:rsidR="0030704C" w:rsidRPr="00743BB9" w:rsidRDefault="0008299A" w:rsidP="00A324AF">
            <w:pPr>
              <w:rPr>
                <w:sz w:val="22"/>
                <w:szCs w:val="22"/>
                <w:lang w:val="en-US"/>
              </w:rPr>
            </w:pPr>
            <w:r w:rsidRPr="00743BB9">
              <w:rPr>
                <w:sz w:val="22"/>
                <w:szCs w:val="22"/>
                <w:lang w:val="en-US"/>
              </w:rPr>
              <w:t>5</w:t>
            </w:r>
          </w:p>
        </w:tc>
        <w:tc>
          <w:tcPr>
            <w:tcW w:w="9123" w:type="dxa"/>
          </w:tcPr>
          <w:p w14:paraId="348A46A1" w14:textId="77777777" w:rsidR="0030704C" w:rsidRPr="00743BB9" w:rsidRDefault="00A74062" w:rsidP="00F02705">
            <w:pPr>
              <w:rPr>
                <w:sz w:val="22"/>
                <w:szCs w:val="22"/>
                <w:lang w:val="en-US"/>
              </w:rPr>
            </w:pPr>
            <w:r w:rsidRPr="00743BB9">
              <w:rPr>
                <w:rFonts w:ascii="Calibri" w:hAnsi="Calibri"/>
                <w:sz w:val="22"/>
                <w:szCs w:val="22"/>
                <w:lang w:val="en-US"/>
              </w:rPr>
              <w:t xml:space="preserve">FURTHER RECALLING that at </w:t>
            </w:r>
            <w:r w:rsidR="00F02705" w:rsidRPr="00743BB9">
              <w:rPr>
                <w:rFonts w:ascii="Calibri" w:hAnsi="Calibri"/>
                <w:sz w:val="22"/>
                <w:szCs w:val="22"/>
                <w:lang w:val="en-US"/>
              </w:rPr>
              <w:t>COP13</w:t>
            </w:r>
            <w:r w:rsidRPr="00743BB9">
              <w:rPr>
                <w:rFonts w:ascii="Calibri" w:hAnsi="Calibri"/>
                <w:sz w:val="22"/>
                <w:szCs w:val="22"/>
                <w:lang w:val="en-US"/>
              </w:rPr>
              <w:t>, the Conference of the Parties re-established the RRI Working Group and instructed it to draft new Operational guidelines for RRIs</w:t>
            </w:r>
            <w:r w:rsidR="000E2E84" w:rsidRPr="00743BB9">
              <w:rPr>
                <w:rFonts w:ascii="Calibri" w:hAnsi="Calibri"/>
                <w:sz w:val="22"/>
                <w:szCs w:val="22"/>
                <w:lang w:val="en-US"/>
              </w:rPr>
              <w:t xml:space="preserve">, as well as </w:t>
            </w:r>
            <w:r w:rsidRPr="00743BB9">
              <w:rPr>
                <w:rFonts w:ascii="Calibri" w:hAnsi="Calibri"/>
                <w:sz w:val="22"/>
                <w:szCs w:val="22"/>
                <w:lang w:val="en-US"/>
              </w:rPr>
              <w:t>a draft resolution on RRIs</w:t>
            </w:r>
            <w:r w:rsidR="000E2E84" w:rsidRPr="00743BB9">
              <w:rPr>
                <w:rFonts w:ascii="Calibri" w:hAnsi="Calibri"/>
                <w:sz w:val="22"/>
                <w:szCs w:val="22"/>
                <w:lang w:val="en-US"/>
              </w:rPr>
              <w:t xml:space="preserve"> which </w:t>
            </w:r>
            <w:r w:rsidR="000E2E84" w:rsidRPr="00743BB9">
              <w:rPr>
                <w:rFonts w:ascii="Calibri" w:hAnsi="Calibri"/>
                <w:i/>
                <w:sz w:val="22"/>
                <w:szCs w:val="22"/>
                <w:lang w:val="en-US"/>
              </w:rPr>
              <w:t>inter alia</w:t>
            </w:r>
            <w:r w:rsidR="000E2E84" w:rsidRPr="00743BB9">
              <w:rPr>
                <w:rFonts w:ascii="Calibri" w:hAnsi="Calibri"/>
                <w:sz w:val="22"/>
                <w:szCs w:val="22"/>
                <w:lang w:val="en-US"/>
              </w:rPr>
              <w:t xml:space="preserve"> incorpora</w:t>
            </w:r>
            <w:r w:rsidR="00A70D72">
              <w:rPr>
                <w:rFonts w:ascii="Calibri" w:hAnsi="Calibri"/>
                <w:sz w:val="22"/>
                <w:szCs w:val="22"/>
                <w:lang w:val="en-US"/>
              </w:rPr>
              <w:t>ted the aforementioned list of R</w:t>
            </w:r>
            <w:r w:rsidR="000E2E84" w:rsidRPr="00743BB9">
              <w:rPr>
                <w:rFonts w:ascii="Calibri" w:hAnsi="Calibri"/>
                <w:sz w:val="22"/>
                <w:szCs w:val="22"/>
                <w:lang w:val="en-US"/>
              </w:rPr>
              <w:t>esolutions</w:t>
            </w:r>
            <w:r w:rsidR="00A70D72">
              <w:rPr>
                <w:rFonts w:ascii="Calibri" w:hAnsi="Calibri"/>
                <w:sz w:val="22"/>
                <w:szCs w:val="22"/>
                <w:lang w:val="en-US"/>
              </w:rPr>
              <w:t>, Recommendations and Decisions</w:t>
            </w:r>
            <w:r w:rsidR="000E2E84" w:rsidRPr="00743BB9">
              <w:rPr>
                <w:rFonts w:ascii="Calibri" w:hAnsi="Calibri"/>
                <w:sz w:val="22"/>
                <w:szCs w:val="22"/>
                <w:lang w:val="en-US"/>
              </w:rPr>
              <w:t xml:space="preserve"> to</w:t>
            </w:r>
            <w:r w:rsidR="00C20DB6" w:rsidRPr="00743BB9">
              <w:rPr>
                <w:rFonts w:ascii="Calibri" w:hAnsi="Calibri"/>
                <w:sz w:val="22"/>
                <w:szCs w:val="22"/>
                <w:lang w:val="en-US"/>
              </w:rPr>
              <w:t xml:space="preserve"> be</w:t>
            </w:r>
            <w:r w:rsidR="000E2E84" w:rsidRPr="00743BB9">
              <w:rPr>
                <w:rFonts w:ascii="Calibri" w:hAnsi="Calibri"/>
                <w:sz w:val="22"/>
                <w:szCs w:val="22"/>
                <w:lang w:val="en-US"/>
              </w:rPr>
              <w:t xml:space="preserve"> repeal</w:t>
            </w:r>
            <w:r w:rsidR="00C20DB6" w:rsidRPr="00743BB9">
              <w:rPr>
                <w:rFonts w:ascii="Calibri" w:hAnsi="Calibri"/>
                <w:sz w:val="22"/>
                <w:szCs w:val="22"/>
                <w:lang w:val="en-US"/>
              </w:rPr>
              <w:t>ed</w:t>
            </w:r>
            <w:r w:rsidRPr="00743BB9">
              <w:rPr>
                <w:rFonts w:ascii="Calibri" w:hAnsi="Calibri"/>
                <w:sz w:val="22"/>
                <w:szCs w:val="22"/>
                <w:lang w:val="en-US"/>
              </w:rPr>
              <w:t xml:space="preserve">, </w:t>
            </w:r>
            <w:r w:rsidR="00DF77C5" w:rsidRPr="00743BB9">
              <w:rPr>
                <w:rFonts w:ascii="Calibri" w:hAnsi="Calibri"/>
                <w:sz w:val="22"/>
                <w:szCs w:val="22"/>
                <w:lang w:val="en-US"/>
              </w:rPr>
              <w:t xml:space="preserve">and that both </w:t>
            </w:r>
            <w:r w:rsidR="00132096" w:rsidRPr="00743BB9">
              <w:rPr>
                <w:rFonts w:ascii="Calibri" w:hAnsi="Calibri"/>
                <w:sz w:val="22"/>
                <w:szCs w:val="22"/>
                <w:lang w:val="en-US"/>
              </w:rPr>
              <w:t xml:space="preserve">were </w:t>
            </w:r>
            <w:r w:rsidR="00132096" w:rsidRPr="00A70D72">
              <w:rPr>
                <w:rFonts w:ascii="Calibri" w:hAnsi="Calibri"/>
                <w:color w:val="000000" w:themeColor="text1"/>
                <w:sz w:val="22"/>
                <w:szCs w:val="22"/>
                <w:lang w:val="en-US"/>
              </w:rPr>
              <w:t>endorsed</w:t>
            </w:r>
            <w:r w:rsidRPr="00A70D72">
              <w:rPr>
                <w:rFonts w:ascii="Calibri" w:hAnsi="Calibri"/>
                <w:color w:val="000000" w:themeColor="text1"/>
                <w:sz w:val="22"/>
                <w:szCs w:val="22"/>
                <w:lang w:val="en-US"/>
              </w:rPr>
              <w:t xml:space="preserve"> by SC58</w:t>
            </w:r>
            <w:r w:rsidRPr="00743BB9">
              <w:rPr>
                <w:rFonts w:ascii="Calibri" w:hAnsi="Calibri"/>
                <w:sz w:val="22"/>
                <w:szCs w:val="22"/>
                <w:lang w:val="en-US"/>
              </w:rPr>
              <w:t>;</w:t>
            </w:r>
          </w:p>
        </w:tc>
        <w:tc>
          <w:tcPr>
            <w:tcW w:w="2944" w:type="dxa"/>
          </w:tcPr>
          <w:p w14:paraId="37C4676E" w14:textId="77777777" w:rsidR="0030704C" w:rsidRDefault="00A74062" w:rsidP="00A324AF">
            <w:pPr>
              <w:rPr>
                <w:sz w:val="22"/>
                <w:szCs w:val="22"/>
                <w:lang w:val="en-US"/>
              </w:rPr>
            </w:pPr>
            <w:r w:rsidRPr="00743BB9">
              <w:rPr>
                <w:sz w:val="22"/>
                <w:szCs w:val="22"/>
                <w:lang w:val="en-US"/>
              </w:rPr>
              <w:t>XIII.9 para 9</w:t>
            </w:r>
            <w:r w:rsidR="00517256" w:rsidRPr="00743BB9">
              <w:rPr>
                <w:sz w:val="22"/>
                <w:szCs w:val="22"/>
                <w:lang w:val="en-US"/>
              </w:rPr>
              <w:t>, para 30</w:t>
            </w:r>
          </w:p>
          <w:p w14:paraId="04C0B1BE" w14:textId="77777777" w:rsidR="00A70D72" w:rsidRDefault="00A70D72" w:rsidP="00A324AF">
            <w:pPr>
              <w:rPr>
                <w:sz w:val="22"/>
                <w:szCs w:val="22"/>
                <w:lang w:val="en-US"/>
              </w:rPr>
            </w:pPr>
          </w:p>
          <w:p w14:paraId="6F6F8423" w14:textId="77777777" w:rsidR="00A70D72" w:rsidRPr="00743BB9" w:rsidRDefault="00A70D72" w:rsidP="00A324AF">
            <w:pPr>
              <w:rPr>
                <w:sz w:val="22"/>
                <w:szCs w:val="22"/>
                <w:lang w:val="en-US"/>
              </w:rPr>
            </w:pPr>
            <w:r>
              <w:rPr>
                <w:sz w:val="22"/>
                <w:szCs w:val="22"/>
                <w:lang w:val="en-US"/>
              </w:rPr>
              <w:t>Assuming SC58 endorses these…</w:t>
            </w:r>
          </w:p>
        </w:tc>
      </w:tr>
      <w:tr w:rsidR="0008299A" w:rsidRPr="00217036" w14:paraId="22884CF6" w14:textId="77777777" w:rsidTr="00FF75A5">
        <w:tc>
          <w:tcPr>
            <w:tcW w:w="1929" w:type="dxa"/>
          </w:tcPr>
          <w:p w14:paraId="729D2ED8" w14:textId="77777777" w:rsidR="0008299A" w:rsidRPr="00743BB9" w:rsidRDefault="0008299A" w:rsidP="00A324AF">
            <w:pPr>
              <w:rPr>
                <w:b/>
                <w:sz w:val="22"/>
                <w:szCs w:val="22"/>
                <w:lang w:val="en-US"/>
              </w:rPr>
            </w:pPr>
          </w:p>
        </w:tc>
        <w:tc>
          <w:tcPr>
            <w:tcW w:w="9123" w:type="dxa"/>
          </w:tcPr>
          <w:p w14:paraId="131B17E5" w14:textId="77777777" w:rsidR="0008299A" w:rsidRPr="00743BB9" w:rsidRDefault="0008299A" w:rsidP="0008299A">
            <w:pPr>
              <w:jc w:val="center"/>
              <w:rPr>
                <w:sz w:val="22"/>
                <w:szCs w:val="22"/>
                <w:lang w:val="en-US"/>
              </w:rPr>
            </w:pPr>
            <w:r w:rsidRPr="00743BB9">
              <w:rPr>
                <w:sz w:val="22"/>
                <w:szCs w:val="22"/>
                <w:lang w:val="en-US"/>
              </w:rPr>
              <w:t>THE CONFERENCE OF THE CONTRACTING PARTIES</w:t>
            </w:r>
          </w:p>
        </w:tc>
        <w:tc>
          <w:tcPr>
            <w:tcW w:w="2944" w:type="dxa"/>
          </w:tcPr>
          <w:p w14:paraId="117076C0" w14:textId="77777777" w:rsidR="0008299A" w:rsidRPr="00743BB9" w:rsidRDefault="0008299A" w:rsidP="00A324AF">
            <w:pPr>
              <w:rPr>
                <w:b/>
                <w:sz w:val="22"/>
                <w:szCs w:val="22"/>
                <w:lang w:val="en-US"/>
              </w:rPr>
            </w:pPr>
          </w:p>
        </w:tc>
      </w:tr>
      <w:tr w:rsidR="00F42051" w:rsidRPr="00217036" w14:paraId="14E89980" w14:textId="77777777" w:rsidTr="00FF75A5">
        <w:tc>
          <w:tcPr>
            <w:tcW w:w="1929" w:type="dxa"/>
          </w:tcPr>
          <w:p w14:paraId="61FD4F75" w14:textId="77777777" w:rsidR="00F21EB7" w:rsidRPr="00743BB9" w:rsidRDefault="000C1D77" w:rsidP="00A324AF">
            <w:pPr>
              <w:rPr>
                <w:b/>
                <w:sz w:val="22"/>
                <w:szCs w:val="22"/>
                <w:lang w:val="en-US"/>
              </w:rPr>
            </w:pPr>
            <w:r w:rsidRPr="00743BB9">
              <w:rPr>
                <w:b/>
                <w:sz w:val="22"/>
                <w:szCs w:val="22"/>
                <w:lang w:val="en-US"/>
              </w:rPr>
              <w:t xml:space="preserve">International and regional co-operation </w:t>
            </w:r>
          </w:p>
        </w:tc>
        <w:tc>
          <w:tcPr>
            <w:tcW w:w="9123" w:type="dxa"/>
          </w:tcPr>
          <w:p w14:paraId="4DDE3064" w14:textId="77777777" w:rsidR="00F21EB7" w:rsidRPr="00743BB9" w:rsidRDefault="00F21EB7" w:rsidP="00A324AF">
            <w:pPr>
              <w:rPr>
                <w:b/>
                <w:sz w:val="22"/>
                <w:szCs w:val="22"/>
                <w:lang w:val="en-US"/>
              </w:rPr>
            </w:pPr>
          </w:p>
        </w:tc>
        <w:tc>
          <w:tcPr>
            <w:tcW w:w="2944" w:type="dxa"/>
          </w:tcPr>
          <w:p w14:paraId="5FF353F4" w14:textId="77777777" w:rsidR="00F21EB7" w:rsidRPr="00743BB9" w:rsidRDefault="00F21EB7" w:rsidP="00A324AF">
            <w:pPr>
              <w:rPr>
                <w:b/>
                <w:sz w:val="22"/>
                <w:szCs w:val="22"/>
                <w:lang w:val="en-US"/>
              </w:rPr>
            </w:pPr>
          </w:p>
        </w:tc>
      </w:tr>
      <w:tr w:rsidR="00F42051" w:rsidRPr="00743BB9" w14:paraId="62DBCECF" w14:textId="77777777" w:rsidTr="00FF75A5">
        <w:tc>
          <w:tcPr>
            <w:tcW w:w="1929" w:type="dxa"/>
          </w:tcPr>
          <w:p w14:paraId="3A557F85" w14:textId="77777777" w:rsidR="00F21EB7" w:rsidRPr="00743BB9" w:rsidRDefault="00517722" w:rsidP="00A324AF">
            <w:pPr>
              <w:rPr>
                <w:sz w:val="22"/>
                <w:szCs w:val="22"/>
                <w:lang w:val="en-US"/>
              </w:rPr>
            </w:pPr>
            <w:r w:rsidRPr="00743BB9">
              <w:rPr>
                <w:sz w:val="22"/>
                <w:szCs w:val="22"/>
                <w:lang w:val="en-US"/>
              </w:rPr>
              <w:t>6</w:t>
            </w:r>
          </w:p>
        </w:tc>
        <w:tc>
          <w:tcPr>
            <w:tcW w:w="9123" w:type="dxa"/>
          </w:tcPr>
          <w:p w14:paraId="7D09D7BF" w14:textId="77777777" w:rsidR="00F21EB7" w:rsidRPr="00743BB9" w:rsidRDefault="009D3C6F" w:rsidP="009D3C6F">
            <w:pPr>
              <w:rPr>
                <w:sz w:val="22"/>
                <w:szCs w:val="22"/>
                <w:lang w:val="en-US"/>
              </w:rPr>
            </w:pPr>
            <w:r w:rsidRPr="00743BB9">
              <w:rPr>
                <w:sz w:val="22"/>
                <w:szCs w:val="22"/>
                <w:lang w:val="en-US"/>
              </w:rPr>
              <w:t xml:space="preserve">REAFFIRMS the effectiveness of regional cooperation through networks and </w:t>
            </w:r>
            <w:proofErr w:type="spellStart"/>
            <w:r w:rsidRPr="00743BB9">
              <w:rPr>
                <w:sz w:val="22"/>
                <w:szCs w:val="22"/>
                <w:lang w:val="en-US"/>
              </w:rPr>
              <w:t>centres</w:t>
            </w:r>
            <w:proofErr w:type="spellEnd"/>
            <w:r w:rsidRPr="00743BB9">
              <w:rPr>
                <w:sz w:val="22"/>
                <w:szCs w:val="22"/>
                <w:lang w:val="en-US"/>
              </w:rPr>
              <w:t>, grouped under the term RRIs, in supporting improved implementation of the Convention on Wetlands and its Strategic Plan and Resolutions;</w:t>
            </w:r>
          </w:p>
        </w:tc>
        <w:tc>
          <w:tcPr>
            <w:tcW w:w="2944" w:type="dxa"/>
          </w:tcPr>
          <w:p w14:paraId="7DA6B0B2" w14:textId="77777777" w:rsidR="00F21EB7" w:rsidRPr="00743BB9" w:rsidRDefault="009D3C6F" w:rsidP="00A324AF">
            <w:pPr>
              <w:rPr>
                <w:sz w:val="22"/>
                <w:szCs w:val="22"/>
                <w:lang w:val="en-US"/>
              </w:rPr>
            </w:pPr>
            <w:r w:rsidRPr="00743BB9">
              <w:rPr>
                <w:sz w:val="22"/>
                <w:szCs w:val="22"/>
                <w:lang w:val="en-US"/>
              </w:rPr>
              <w:t>XIII.9 para 5</w:t>
            </w:r>
          </w:p>
          <w:p w14:paraId="7ED595AB" w14:textId="77777777" w:rsidR="009D3C6F" w:rsidRPr="00743BB9" w:rsidRDefault="00517722" w:rsidP="00A324AF">
            <w:pPr>
              <w:rPr>
                <w:sz w:val="22"/>
                <w:szCs w:val="22"/>
                <w:lang w:val="en-US"/>
              </w:rPr>
            </w:pPr>
            <w:r w:rsidRPr="00743BB9">
              <w:rPr>
                <w:sz w:val="22"/>
                <w:szCs w:val="22"/>
                <w:lang w:val="en-US"/>
              </w:rPr>
              <w:t>XII.8</w:t>
            </w:r>
            <w:r w:rsidR="0095743F" w:rsidRPr="00743BB9">
              <w:rPr>
                <w:sz w:val="22"/>
                <w:szCs w:val="22"/>
                <w:lang w:val="en-US"/>
              </w:rPr>
              <w:t xml:space="preserve"> para </w:t>
            </w:r>
            <w:r w:rsidR="0044787F" w:rsidRPr="00743BB9">
              <w:rPr>
                <w:sz w:val="22"/>
                <w:szCs w:val="22"/>
                <w:lang w:val="en-US"/>
              </w:rPr>
              <w:t>8</w:t>
            </w:r>
          </w:p>
        </w:tc>
      </w:tr>
      <w:tr w:rsidR="00F42051" w:rsidRPr="00217036" w14:paraId="2CB8C560" w14:textId="77777777" w:rsidTr="00FF75A5">
        <w:tc>
          <w:tcPr>
            <w:tcW w:w="1929" w:type="dxa"/>
          </w:tcPr>
          <w:p w14:paraId="2599C79F" w14:textId="77777777" w:rsidR="00F21EB7" w:rsidRPr="00743BB9" w:rsidRDefault="00517722" w:rsidP="00A324AF">
            <w:pPr>
              <w:rPr>
                <w:sz w:val="22"/>
                <w:szCs w:val="22"/>
                <w:lang w:val="en-US"/>
              </w:rPr>
            </w:pPr>
            <w:r w:rsidRPr="00743BB9">
              <w:rPr>
                <w:sz w:val="22"/>
                <w:szCs w:val="22"/>
                <w:lang w:val="en-US"/>
              </w:rPr>
              <w:lastRenderedPageBreak/>
              <w:t>7</w:t>
            </w:r>
          </w:p>
        </w:tc>
        <w:tc>
          <w:tcPr>
            <w:tcW w:w="9123" w:type="dxa"/>
          </w:tcPr>
          <w:p w14:paraId="178BF23C" w14:textId="77777777" w:rsidR="00F21EB7" w:rsidRPr="00743BB9" w:rsidRDefault="00C7148B" w:rsidP="00A324AF">
            <w:pPr>
              <w:rPr>
                <w:b/>
                <w:sz w:val="22"/>
                <w:szCs w:val="22"/>
                <w:lang w:val="en-US"/>
              </w:rPr>
            </w:pPr>
            <w:r w:rsidRPr="00743BB9">
              <w:rPr>
                <w:rFonts w:ascii="Calibri" w:hAnsi="Calibri"/>
                <w:sz w:val="22"/>
                <w:szCs w:val="22"/>
                <w:lang w:val="en-US"/>
              </w:rPr>
              <w:t xml:space="preserve">ENCOURAGES Contracting Parties, as appropriate, to invite regional intergovernmental, international and non-governmental organizations, </w:t>
            </w:r>
            <w:r w:rsidRPr="00743BB9">
              <w:rPr>
                <w:rFonts w:ascii="Calibri" w:eastAsia="Calibri" w:hAnsi="Calibri" w:cs="Calibri"/>
                <w:sz w:val="22"/>
                <w:szCs w:val="22"/>
                <w:lang w:val="en-US"/>
              </w:rPr>
              <w:t>organizations</w:t>
            </w:r>
            <w:r w:rsidRPr="00743BB9">
              <w:rPr>
                <w:rFonts w:ascii="Calibri" w:hAnsi="Calibri"/>
                <w:sz w:val="22"/>
                <w:szCs w:val="22"/>
                <w:lang w:val="en-US"/>
              </w:rPr>
              <w:t xml:space="preserve"> of </w:t>
            </w:r>
            <w:r w:rsidRPr="00743BB9">
              <w:rPr>
                <w:rFonts w:ascii="Calibri" w:eastAsia="Calibri" w:hAnsi="Calibri" w:cs="Calibri"/>
                <w:sz w:val="22"/>
                <w:szCs w:val="22"/>
                <w:lang w:val="en-US"/>
              </w:rPr>
              <w:t>indigenous peoples and local communities,</w:t>
            </w:r>
            <w:r w:rsidRPr="00743BB9">
              <w:rPr>
                <w:rFonts w:ascii="Calibri" w:hAnsi="Calibri"/>
                <w:sz w:val="22"/>
                <w:szCs w:val="22"/>
                <w:lang w:val="en-US"/>
              </w:rPr>
              <w:t xml:space="preserve"> and transboundary river and groundwater basin organizations, to participate in or collaborate with RRIs;</w:t>
            </w:r>
          </w:p>
        </w:tc>
        <w:tc>
          <w:tcPr>
            <w:tcW w:w="2944" w:type="dxa"/>
          </w:tcPr>
          <w:p w14:paraId="6ED8A89B" w14:textId="77777777" w:rsidR="00F21EB7" w:rsidRPr="00A17DFE" w:rsidRDefault="00C7148B" w:rsidP="00A324AF">
            <w:pPr>
              <w:rPr>
                <w:sz w:val="22"/>
                <w:szCs w:val="22"/>
                <w:lang w:val="es-ES"/>
              </w:rPr>
            </w:pPr>
            <w:r w:rsidRPr="00A17DFE">
              <w:rPr>
                <w:sz w:val="22"/>
                <w:szCs w:val="22"/>
                <w:lang w:val="es-ES"/>
              </w:rPr>
              <w:t>XII</w:t>
            </w:r>
            <w:r w:rsidR="00517722" w:rsidRPr="00A17DFE">
              <w:rPr>
                <w:sz w:val="22"/>
                <w:szCs w:val="22"/>
                <w:lang w:val="es-ES"/>
              </w:rPr>
              <w:t xml:space="preserve">I.9, </w:t>
            </w:r>
            <w:r w:rsidRPr="00A17DFE">
              <w:rPr>
                <w:sz w:val="22"/>
                <w:szCs w:val="22"/>
                <w:lang w:val="es-ES"/>
              </w:rPr>
              <w:t>para 23</w:t>
            </w:r>
          </w:p>
          <w:p w14:paraId="08C94716" w14:textId="77777777" w:rsidR="00C7148B" w:rsidRPr="00A17DFE" w:rsidRDefault="0044787F" w:rsidP="00A324AF">
            <w:pPr>
              <w:rPr>
                <w:sz w:val="22"/>
                <w:szCs w:val="22"/>
                <w:lang w:val="es-ES"/>
              </w:rPr>
            </w:pPr>
            <w:r w:rsidRPr="00A17DFE">
              <w:rPr>
                <w:sz w:val="22"/>
                <w:szCs w:val="22"/>
                <w:lang w:val="es-ES"/>
              </w:rPr>
              <w:t>XII.</w:t>
            </w:r>
            <w:r w:rsidR="00517722" w:rsidRPr="00A17DFE">
              <w:rPr>
                <w:sz w:val="22"/>
                <w:szCs w:val="22"/>
                <w:lang w:val="es-ES"/>
              </w:rPr>
              <w:t>8 para 23 (</w:t>
            </w:r>
            <w:proofErr w:type="spellStart"/>
            <w:r w:rsidR="00517722" w:rsidRPr="00A17DFE">
              <w:rPr>
                <w:sz w:val="22"/>
                <w:szCs w:val="22"/>
                <w:lang w:val="es-ES"/>
              </w:rPr>
              <w:t>partial</w:t>
            </w:r>
            <w:proofErr w:type="spellEnd"/>
            <w:r w:rsidR="00517722" w:rsidRPr="00A17DFE">
              <w:rPr>
                <w:sz w:val="22"/>
                <w:szCs w:val="22"/>
                <w:lang w:val="es-ES"/>
              </w:rPr>
              <w:t>)</w:t>
            </w:r>
          </w:p>
        </w:tc>
      </w:tr>
      <w:tr w:rsidR="00C17A36" w:rsidRPr="00217036" w14:paraId="4D354376" w14:textId="77777777" w:rsidTr="00FF75A5">
        <w:tc>
          <w:tcPr>
            <w:tcW w:w="1929" w:type="dxa"/>
          </w:tcPr>
          <w:p w14:paraId="4778B80F" w14:textId="77777777" w:rsidR="00C17A36" w:rsidRPr="00743BB9" w:rsidRDefault="00C17A36" w:rsidP="00A324AF">
            <w:pPr>
              <w:rPr>
                <w:sz w:val="22"/>
                <w:szCs w:val="22"/>
                <w:lang w:val="en-US"/>
              </w:rPr>
            </w:pPr>
            <w:r w:rsidRPr="00743BB9">
              <w:rPr>
                <w:sz w:val="22"/>
                <w:szCs w:val="22"/>
                <w:lang w:val="en-US"/>
              </w:rPr>
              <w:t>8</w:t>
            </w:r>
          </w:p>
        </w:tc>
        <w:tc>
          <w:tcPr>
            <w:tcW w:w="9123" w:type="dxa"/>
          </w:tcPr>
          <w:p w14:paraId="7D39FC86" w14:textId="77777777" w:rsidR="00C17A36" w:rsidRPr="00743BB9" w:rsidRDefault="00C17A36" w:rsidP="00C17A36">
            <w:pPr>
              <w:rPr>
                <w:rFonts w:ascii="Calibri" w:hAnsi="Calibri"/>
                <w:sz w:val="22"/>
                <w:szCs w:val="22"/>
                <w:lang w:val="en-US"/>
              </w:rPr>
            </w:pPr>
            <w:r w:rsidRPr="00743BB9">
              <w:rPr>
                <w:rFonts w:ascii="Calibri" w:hAnsi="Calibri"/>
                <w:sz w:val="22"/>
                <w:szCs w:val="22"/>
                <w:lang w:val="en-US"/>
              </w:rPr>
              <w:t>NOTES that dialogue and coordination between</w:t>
            </w:r>
            <w:r w:rsidRPr="00743BB9">
              <w:rPr>
                <w:sz w:val="22"/>
                <w:szCs w:val="22"/>
                <w:lang w:val="en-US"/>
              </w:rPr>
              <w:t xml:space="preserve"> Bolivia, Brazil and Paraguay regarding the development of an integrated vision for the Pantanal region is underway; and ENCOURAGES the integration of this vision into the RRI for the Conservation and Wise Use of the Plata River Basin in coordination with Argentina and Uruguay.</w:t>
            </w:r>
          </w:p>
        </w:tc>
        <w:tc>
          <w:tcPr>
            <w:tcW w:w="2944" w:type="dxa"/>
          </w:tcPr>
          <w:p w14:paraId="3499A228" w14:textId="77777777" w:rsidR="00C17A36" w:rsidRDefault="00426CC3" w:rsidP="00A324AF">
            <w:pPr>
              <w:rPr>
                <w:sz w:val="22"/>
                <w:szCs w:val="22"/>
                <w:lang w:val="en-US"/>
              </w:rPr>
            </w:pPr>
            <w:r w:rsidRPr="00743BB9">
              <w:rPr>
                <w:sz w:val="22"/>
                <w:szCs w:val="22"/>
                <w:lang w:val="en-US"/>
              </w:rPr>
              <w:t>XII.8 para 25</w:t>
            </w:r>
          </w:p>
          <w:p w14:paraId="04EEAD94" w14:textId="77777777" w:rsidR="00B813B6" w:rsidRDefault="00B813B6" w:rsidP="00A324AF">
            <w:pPr>
              <w:rPr>
                <w:sz w:val="22"/>
                <w:szCs w:val="22"/>
                <w:lang w:val="en-US"/>
              </w:rPr>
            </w:pPr>
          </w:p>
          <w:p w14:paraId="5385C076" w14:textId="77777777" w:rsidR="00B813B6" w:rsidRPr="00743BB9" w:rsidRDefault="00B813B6" w:rsidP="00A324AF">
            <w:pPr>
              <w:rPr>
                <w:sz w:val="22"/>
                <w:szCs w:val="22"/>
                <w:lang w:val="en-US"/>
              </w:rPr>
            </w:pPr>
            <w:r>
              <w:rPr>
                <w:sz w:val="22"/>
                <w:szCs w:val="22"/>
                <w:lang w:val="en-US"/>
              </w:rPr>
              <w:t xml:space="preserve">Note that the Secretariat has instructed that this process is underway but as yet incomplete. Hence it ought to be captured somewhere in this Resolution (otherwise it will be repealed) </w:t>
            </w:r>
          </w:p>
        </w:tc>
      </w:tr>
      <w:tr w:rsidR="00202C5C" w:rsidRPr="00743BB9" w14:paraId="38065AC3" w14:textId="77777777" w:rsidTr="00FF75A5">
        <w:tc>
          <w:tcPr>
            <w:tcW w:w="1929" w:type="dxa"/>
          </w:tcPr>
          <w:p w14:paraId="0F69E27B" w14:textId="77777777" w:rsidR="00F21EB7" w:rsidRPr="00743BB9" w:rsidRDefault="00DE4C36" w:rsidP="00C65459">
            <w:pPr>
              <w:rPr>
                <w:b/>
                <w:sz w:val="22"/>
                <w:szCs w:val="22"/>
                <w:lang w:val="en-US"/>
              </w:rPr>
            </w:pPr>
            <w:r w:rsidRPr="00743BB9">
              <w:rPr>
                <w:b/>
                <w:sz w:val="22"/>
                <w:szCs w:val="22"/>
                <w:lang w:val="en-US"/>
              </w:rPr>
              <w:t>Governance</w:t>
            </w:r>
          </w:p>
          <w:p w14:paraId="6C224FA3" w14:textId="77777777" w:rsidR="00003560" w:rsidRPr="00743BB9" w:rsidRDefault="00003560" w:rsidP="00C65459">
            <w:pPr>
              <w:rPr>
                <w:b/>
                <w:sz w:val="22"/>
                <w:szCs w:val="22"/>
                <w:lang w:val="en-US"/>
              </w:rPr>
            </w:pPr>
            <w:r w:rsidRPr="00743BB9">
              <w:rPr>
                <w:b/>
                <w:sz w:val="22"/>
                <w:szCs w:val="22"/>
                <w:lang w:val="en-US"/>
              </w:rPr>
              <w:t xml:space="preserve">Reporting </w:t>
            </w:r>
          </w:p>
          <w:p w14:paraId="7B5620F0" w14:textId="77777777" w:rsidR="00901D5F" w:rsidRPr="00743BB9" w:rsidRDefault="00003560" w:rsidP="00C65459">
            <w:pPr>
              <w:rPr>
                <w:b/>
                <w:sz w:val="22"/>
                <w:szCs w:val="22"/>
                <w:lang w:val="en-US"/>
              </w:rPr>
            </w:pPr>
            <w:r w:rsidRPr="00743BB9">
              <w:rPr>
                <w:b/>
                <w:sz w:val="22"/>
                <w:szCs w:val="22"/>
                <w:lang w:val="en-US"/>
              </w:rPr>
              <w:t>Assessment</w:t>
            </w:r>
          </w:p>
        </w:tc>
        <w:tc>
          <w:tcPr>
            <w:tcW w:w="9123" w:type="dxa"/>
          </w:tcPr>
          <w:p w14:paraId="323A99CA" w14:textId="77777777" w:rsidR="00F21EB7" w:rsidRPr="00743BB9" w:rsidRDefault="00F21EB7" w:rsidP="00C65459">
            <w:pPr>
              <w:rPr>
                <w:b/>
                <w:sz w:val="22"/>
                <w:szCs w:val="22"/>
                <w:lang w:val="en-US"/>
              </w:rPr>
            </w:pPr>
          </w:p>
        </w:tc>
        <w:tc>
          <w:tcPr>
            <w:tcW w:w="2944" w:type="dxa"/>
          </w:tcPr>
          <w:p w14:paraId="0D2AA4F1" w14:textId="77777777" w:rsidR="00F21EB7" w:rsidRPr="00743BB9" w:rsidRDefault="00F21EB7" w:rsidP="00C65459">
            <w:pPr>
              <w:rPr>
                <w:b/>
                <w:sz w:val="22"/>
                <w:szCs w:val="22"/>
                <w:lang w:val="en-US"/>
              </w:rPr>
            </w:pPr>
          </w:p>
        </w:tc>
      </w:tr>
      <w:tr w:rsidR="00A14D13" w:rsidRPr="00217036" w14:paraId="06BE57A8" w14:textId="77777777" w:rsidTr="00FF75A5">
        <w:tc>
          <w:tcPr>
            <w:tcW w:w="1929" w:type="dxa"/>
          </w:tcPr>
          <w:p w14:paraId="66D4C0EE" w14:textId="77777777" w:rsidR="00F21EB7" w:rsidRPr="00743BB9" w:rsidRDefault="00A14D13" w:rsidP="00C65459">
            <w:pPr>
              <w:rPr>
                <w:sz w:val="22"/>
                <w:szCs w:val="22"/>
                <w:lang w:val="en-US"/>
              </w:rPr>
            </w:pPr>
            <w:r w:rsidRPr="00743BB9">
              <w:rPr>
                <w:sz w:val="22"/>
                <w:szCs w:val="22"/>
                <w:lang w:val="en-US"/>
              </w:rPr>
              <w:t>9</w:t>
            </w:r>
          </w:p>
        </w:tc>
        <w:tc>
          <w:tcPr>
            <w:tcW w:w="9123" w:type="dxa"/>
          </w:tcPr>
          <w:p w14:paraId="0AFA5F5A" w14:textId="77777777" w:rsidR="00025F06" w:rsidRPr="00743BB9" w:rsidRDefault="00025F06" w:rsidP="00025F06">
            <w:pPr>
              <w:rPr>
                <w:rFonts w:ascii="Calibri" w:hAnsi="Calibri"/>
                <w:sz w:val="22"/>
                <w:szCs w:val="22"/>
                <w:lang w:val="en-US"/>
              </w:rPr>
            </w:pPr>
            <w:r w:rsidRPr="00743BB9">
              <w:rPr>
                <w:rFonts w:ascii="Calibri" w:hAnsi="Calibri"/>
                <w:sz w:val="22"/>
                <w:szCs w:val="22"/>
                <w:lang w:val="en-US"/>
              </w:rPr>
              <w:t xml:space="preserve">DECIDES that the Conference of the Contracting Parties is to review existing RRIs against the criteria set out in this paragraph at each meeting of the Conference of the Parties to determine if they can be endorsed as operating within the framework of the Convention. FURTHER DECIDES that the Standing Committee is to perform this function intersessionally in relation to new RRIs. </w:t>
            </w:r>
            <w:r w:rsidR="005E32BF" w:rsidRPr="00743BB9">
              <w:rPr>
                <w:rFonts w:ascii="Calibri" w:hAnsi="Calibri"/>
                <w:sz w:val="22"/>
                <w:szCs w:val="22"/>
                <w:lang w:val="en-US"/>
              </w:rPr>
              <w:t>The criteria are as follows:</w:t>
            </w:r>
          </w:p>
          <w:p w14:paraId="4228C0F5" w14:textId="77777777" w:rsidR="00025F06" w:rsidRPr="00743BB9" w:rsidRDefault="00025F06" w:rsidP="00025F06">
            <w:pPr>
              <w:rPr>
                <w:rFonts w:ascii="Calibri" w:hAnsi="Calibri"/>
                <w:sz w:val="22"/>
                <w:szCs w:val="22"/>
                <w:lang w:val="en-US"/>
              </w:rPr>
            </w:pPr>
          </w:p>
          <w:p w14:paraId="307F58DD" w14:textId="77777777" w:rsidR="00F87882" w:rsidRPr="00743BB9" w:rsidRDefault="00F87882" w:rsidP="00F87882">
            <w:pPr>
              <w:pStyle w:val="ListParagraph"/>
              <w:numPr>
                <w:ilvl w:val="0"/>
                <w:numId w:val="17"/>
              </w:numPr>
              <w:contextualSpacing w:val="0"/>
              <w:rPr>
                <w:rFonts w:ascii="Calibri" w:hAnsi="Calibri"/>
                <w:sz w:val="22"/>
                <w:szCs w:val="22"/>
                <w:lang w:val="en-US"/>
              </w:rPr>
            </w:pPr>
            <w:r w:rsidRPr="00743BB9">
              <w:rPr>
                <w:rFonts w:ascii="Calibri" w:hAnsi="Calibri"/>
                <w:sz w:val="22"/>
                <w:szCs w:val="22"/>
                <w:lang w:val="en-US"/>
              </w:rPr>
              <w:t xml:space="preserve">RRIs must develop </w:t>
            </w:r>
            <w:r w:rsidR="00C1242F" w:rsidRPr="00743BB9">
              <w:rPr>
                <w:rFonts w:ascii="Calibri" w:hAnsi="Calibri"/>
                <w:sz w:val="22"/>
                <w:szCs w:val="22"/>
                <w:lang w:val="en-US"/>
              </w:rPr>
              <w:t xml:space="preserve">written </w:t>
            </w:r>
            <w:r w:rsidRPr="00743BB9">
              <w:rPr>
                <w:rFonts w:ascii="Calibri" w:eastAsia="Calibri" w:hAnsi="Calibri" w:cs="Calibri"/>
                <w:sz w:val="22"/>
                <w:szCs w:val="22"/>
                <w:lang w:val="en-US"/>
              </w:rPr>
              <w:t>terms</w:t>
            </w:r>
            <w:r w:rsidRPr="00743BB9">
              <w:rPr>
                <w:rFonts w:ascii="Calibri" w:hAnsi="Calibri"/>
                <w:sz w:val="22"/>
                <w:szCs w:val="22"/>
                <w:lang w:val="en-US"/>
              </w:rPr>
              <w:t xml:space="preserve"> of </w:t>
            </w:r>
            <w:r w:rsidRPr="00743BB9">
              <w:rPr>
                <w:rFonts w:ascii="Calibri" w:eastAsia="Calibri" w:hAnsi="Calibri" w:cs="Calibri"/>
                <w:sz w:val="22"/>
                <w:szCs w:val="22"/>
                <w:lang w:val="en-US"/>
              </w:rPr>
              <w:t>reference</w:t>
            </w:r>
            <w:r w:rsidR="00C1774B" w:rsidRPr="00743BB9">
              <w:rPr>
                <w:rFonts w:ascii="Calibri" w:eastAsia="Calibri" w:hAnsi="Calibri" w:cs="Calibri"/>
                <w:sz w:val="22"/>
                <w:szCs w:val="22"/>
                <w:lang w:val="en-US"/>
              </w:rPr>
              <w:t xml:space="preserve"> </w:t>
            </w:r>
            <w:r w:rsidR="00C1774B" w:rsidRPr="00743BB9">
              <w:rPr>
                <w:rFonts w:ascii="Calibri" w:hAnsi="Calibri"/>
                <w:sz w:val="22"/>
                <w:szCs w:val="22"/>
                <w:lang w:val="en-US"/>
              </w:rPr>
              <w:t xml:space="preserve">which are </w:t>
            </w:r>
            <w:r w:rsidR="00C1774B" w:rsidRPr="00743BB9">
              <w:rPr>
                <w:rFonts w:ascii="Calibri" w:eastAsia="Calibri" w:hAnsi="Calibri" w:cs="Calibri"/>
                <w:sz w:val="22"/>
                <w:szCs w:val="22"/>
                <w:lang w:val="en-US"/>
              </w:rPr>
              <w:t>consistent</w:t>
            </w:r>
            <w:r w:rsidR="00C1774B" w:rsidRPr="00743BB9">
              <w:rPr>
                <w:rFonts w:ascii="Calibri" w:hAnsi="Calibri"/>
                <w:sz w:val="22"/>
                <w:szCs w:val="22"/>
                <w:lang w:val="en-US"/>
              </w:rPr>
              <w:t xml:space="preserve"> with relevant Resolutions and Recommendations of the Conference of the Parties and Decisions of the Standing Committee</w:t>
            </w:r>
            <w:r w:rsidR="00C1774B" w:rsidRPr="00743BB9">
              <w:rPr>
                <w:rFonts w:ascii="Calibri" w:eastAsia="Calibri" w:hAnsi="Calibri" w:cs="Calibri"/>
                <w:sz w:val="22"/>
                <w:szCs w:val="22"/>
                <w:lang w:val="en-US"/>
              </w:rPr>
              <w:t>. These terms of reference</w:t>
            </w:r>
            <w:r w:rsidRPr="00743BB9">
              <w:rPr>
                <w:rFonts w:ascii="Calibri" w:eastAsia="Calibri" w:hAnsi="Calibri" w:cs="Calibri"/>
                <w:sz w:val="22"/>
                <w:szCs w:val="22"/>
                <w:lang w:val="en-US"/>
              </w:rPr>
              <w:t xml:space="preserve"> </w:t>
            </w:r>
            <w:r w:rsidR="00C1774B" w:rsidRPr="00743BB9">
              <w:rPr>
                <w:rFonts w:ascii="Calibri" w:eastAsia="Calibri" w:hAnsi="Calibri" w:cs="Calibri"/>
                <w:sz w:val="22"/>
                <w:szCs w:val="22"/>
                <w:lang w:val="en-US"/>
              </w:rPr>
              <w:t>must</w:t>
            </w:r>
            <w:r w:rsidRPr="00743BB9">
              <w:rPr>
                <w:rFonts w:ascii="Calibri" w:eastAsia="Calibri" w:hAnsi="Calibri" w:cs="Calibri"/>
                <w:sz w:val="22"/>
                <w:szCs w:val="22"/>
                <w:lang w:val="en-US"/>
              </w:rPr>
              <w:t xml:space="preserve"> cover</w:t>
            </w:r>
            <w:r w:rsidRPr="00743BB9">
              <w:rPr>
                <w:rFonts w:ascii="Calibri" w:hAnsi="Calibri"/>
                <w:sz w:val="22"/>
                <w:szCs w:val="22"/>
                <w:lang w:val="en-US"/>
              </w:rPr>
              <w:t xml:space="preserve"> their own rules of </w:t>
            </w:r>
            <w:r w:rsidRPr="00743BB9">
              <w:rPr>
                <w:rFonts w:ascii="Calibri" w:eastAsia="Calibri" w:hAnsi="Calibri" w:cs="Calibri"/>
                <w:sz w:val="22"/>
                <w:szCs w:val="22"/>
                <w:lang w:val="en-US"/>
              </w:rPr>
              <w:t>procedure</w:t>
            </w:r>
            <w:r w:rsidRPr="00743BB9">
              <w:rPr>
                <w:rFonts w:ascii="Calibri" w:hAnsi="Calibri"/>
                <w:sz w:val="22"/>
                <w:szCs w:val="22"/>
                <w:lang w:val="en-US"/>
              </w:rPr>
              <w:t>, structure</w:t>
            </w:r>
            <w:r w:rsidRPr="00743BB9">
              <w:rPr>
                <w:rFonts w:ascii="Calibri" w:eastAsia="Calibri" w:hAnsi="Calibri" w:cs="Calibri"/>
                <w:sz w:val="22"/>
                <w:szCs w:val="22"/>
                <w:lang w:val="en-US"/>
              </w:rPr>
              <w:t>,</w:t>
            </w:r>
            <w:r w:rsidRPr="00743BB9">
              <w:rPr>
                <w:rFonts w:ascii="Calibri" w:hAnsi="Calibri"/>
                <w:sz w:val="22"/>
                <w:szCs w:val="22"/>
                <w:lang w:val="en-US"/>
              </w:rPr>
              <w:t xml:space="preserve"> governance and </w:t>
            </w:r>
            <w:r w:rsidRPr="00743BB9">
              <w:rPr>
                <w:rFonts w:ascii="Calibri" w:eastAsia="Calibri" w:hAnsi="Calibri" w:cs="Calibri"/>
                <w:sz w:val="22"/>
                <w:szCs w:val="22"/>
                <w:lang w:val="en-US"/>
              </w:rPr>
              <w:t>membership</w:t>
            </w:r>
            <w:r w:rsidRPr="00743BB9">
              <w:rPr>
                <w:rFonts w:ascii="Calibri" w:hAnsi="Calibri"/>
                <w:sz w:val="22"/>
                <w:szCs w:val="22"/>
                <w:lang w:val="en-US"/>
              </w:rPr>
              <w:t xml:space="preserve">, including the status of the </w:t>
            </w:r>
            <w:r w:rsidRPr="00743BB9">
              <w:rPr>
                <w:rFonts w:ascii="Calibri" w:eastAsia="Calibri" w:hAnsi="Calibri" w:cs="Calibri"/>
                <w:sz w:val="22"/>
                <w:szCs w:val="22"/>
                <w:lang w:val="en-US"/>
              </w:rPr>
              <w:t>Convention Secretariat’s</w:t>
            </w:r>
            <w:r w:rsidRPr="00743BB9">
              <w:rPr>
                <w:rFonts w:ascii="Calibri" w:hAnsi="Calibri"/>
                <w:sz w:val="22"/>
                <w:szCs w:val="22"/>
                <w:lang w:val="en-US"/>
              </w:rPr>
              <w:t xml:space="preserve"> participation in the RRI</w:t>
            </w:r>
            <w:r w:rsidRPr="00743BB9">
              <w:rPr>
                <w:rFonts w:ascii="Calibri" w:eastAsia="Calibri" w:hAnsi="Calibri" w:cs="Calibri"/>
                <w:sz w:val="22"/>
                <w:szCs w:val="22"/>
                <w:lang w:val="en-US"/>
              </w:rPr>
              <w:t>;</w:t>
            </w:r>
          </w:p>
          <w:p w14:paraId="2080D24E" w14:textId="77777777" w:rsidR="00F87882" w:rsidRPr="00743BB9" w:rsidRDefault="00BD19FF" w:rsidP="00F87882">
            <w:pPr>
              <w:pStyle w:val="ListParagraph"/>
              <w:numPr>
                <w:ilvl w:val="0"/>
                <w:numId w:val="17"/>
              </w:numPr>
              <w:contextualSpacing w:val="0"/>
              <w:rPr>
                <w:rFonts w:ascii="Calibri" w:hAnsi="Calibri"/>
                <w:sz w:val="22"/>
                <w:szCs w:val="22"/>
                <w:lang w:val="en-US"/>
              </w:rPr>
            </w:pPr>
            <w:r w:rsidRPr="00743BB9">
              <w:rPr>
                <w:rFonts w:ascii="Calibri" w:hAnsi="Calibri"/>
                <w:sz w:val="22"/>
                <w:szCs w:val="22"/>
                <w:lang w:val="en-US"/>
              </w:rPr>
              <w:t xml:space="preserve">The governance and financial structures and processes of </w:t>
            </w:r>
            <w:r w:rsidR="00F87882" w:rsidRPr="00743BB9">
              <w:rPr>
                <w:rFonts w:ascii="Calibri" w:hAnsi="Calibri"/>
                <w:sz w:val="22"/>
                <w:szCs w:val="22"/>
                <w:lang w:val="en-US"/>
              </w:rPr>
              <w:t>RRIs must be</w:t>
            </w:r>
            <w:r w:rsidRPr="00743BB9">
              <w:rPr>
                <w:rFonts w:ascii="Calibri" w:hAnsi="Calibri"/>
                <w:sz w:val="22"/>
                <w:szCs w:val="22"/>
                <w:lang w:val="en-US"/>
              </w:rPr>
              <w:t xml:space="preserve"> transparent, </w:t>
            </w:r>
            <w:r w:rsidR="00B31D81" w:rsidRPr="00743BB9">
              <w:rPr>
                <w:rFonts w:ascii="Calibri" w:hAnsi="Calibri"/>
                <w:sz w:val="22"/>
                <w:szCs w:val="22"/>
                <w:lang w:val="en-US"/>
              </w:rPr>
              <w:t xml:space="preserve">accountable, </w:t>
            </w:r>
            <w:r w:rsidR="00B1068C" w:rsidRPr="00743BB9">
              <w:rPr>
                <w:rFonts w:ascii="Calibri" w:hAnsi="Calibri"/>
                <w:sz w:val="22"/>
                <w:szCs w:val="22"/>
                <w:lang w:val="en-US"/>
              </w:rPr>
              <w:t>compliant with relevant laws</w:t>
            </w:r>
            <w:r w:rsidR="00B31D81" w:rsidRPr="00743BB9">
              <w:rPr>
                <w:rFonts w:ascii="Calibri" w:hAnsi="Calibri"/>
                <w:sz w:val="22"/>
                <w:szCs w:val="22"/>
                <w:lang w:val="en-US"/>
              </w:rPr>
              <w:t xml:space="preserve"> and consistent with relevant </w:t>
            </w:r>
            <w:r w:rsidR="006F467F" w:rsidRPr="00743BB9">
              <w:rPr>
                <w:rFonts w:ascii="Calibri" w:hAnsi="Calibri"/>
                <w:sz w:val="22"/>
                <w:szCs w:val="22"/>
                <w:lang w:val="en-US"/>
              </w:rPr>
              <w:t>Resolutions and Recommendation of the Conference of the Parties</w:t>
            </w:r>
            <w:r w:rsidR="00B31D81" w:rsidRPr="00743BB9">
              <w:rPr>
                <w:rFonts w:ascii="Calibri" w:hAnsi="Calibri"/>
                <w:sz w:val="22"/>
                <w:szCs w:val="22"/>
                <w:lang w:val="en-US"/>
              </w:rPr>
              <w:t xml:space="preserve"> and Decisions</w:t>
            </w:r>
            <w:r w:rsidR="006F467F" w:rsidRPr="00743BB9">
              <w:rPr>
                <w:rFonts w:ascii="Calibri" w:hAnsi="Calibri"/>
                <w:sz w:val="22"/>
                <w:szCs w:val="22"/>
                <w:lang w:val="en-US"/>
              </w:rPr>
              <w:t xml:space="preserve"> of the Standing Committee</w:t>
            </w:r>
            <w:r w:rsidR="00B1068C" w:rsidRPr="00743BB9">
              <w:rPr>
                <w:rFonts w:ascii="Calibri" w:hAnsi="Calibri"/>
                <w:sz w:val="22"/>
                <w:szCs w:val="22"/>
                <w:lang w:val="en-US"/>
              </w:rPr>
              <w:t xml:space="preserve">; </w:t>
            </w:r>
          </w:p>
          <w:p w14:paraId="0910C0C6" w14:textId="77777777" w:rsidR="00F87882" w:rsidRPr="00743BB9" w:rsidRDefault="00F87882" w:rsidP="00F87882">
            <w:pPr>
              <w:pStyle w:val="ListParagraph"/>
              <w:numPr>
                <w:ilvl w:val="0"/>
                <w:numId w:val="17"/>
              </w:numPr>
              <w:contextualSpacing w:val="0"/>
              <w:rPr>
                <w:rFonts w:ascii="Calibri" w:hAnsi="Calibri"/>
                <w:sz w:val="22"/>
                <w:szCs w:val="22"/>
                <w:lang w:val="en-US"/>
              </w:rPr>
            </w:pPr>
            <w:r w:rsidRPr="00743BB9">
              <w:rPr>
                <w:rFonts w:ascii="Calibri" w:hAnsi="Calibri"/>
                <w:sz w:val="22"/>
                <w:szCs w:val="22"/>
                <w:lang w:val="en-US"/>
              </w:rPr>
              <w:t>RRIs should undertake tasks related to the implementation of the Convention</w:t>
            </w:r>
            <w:r w:rsidR="00901D5F" w:rsidRPr="00743BB9">
              <w:rPr>
                <w:rFonts w:ascii="Calibri" w:hAnsi="Calibri"/>
                <w:sz w:val="22"/>
                <w:szCs w:val="22"/>
                <w:lang w:val="en-US"/>
              </w:rPr>
              <w:t xml:space="preserve"> and its strategic plan</w:t>
            </w:r>
            <w:r w:rsidRPr="00743BB9">
              <w:rPr>
                <w:rFonts w:ascii="Calibri" w:hAnsi="Calibri"/>
                <w:sz w:val="22"/>
                <w:szCs w:val="22"/>
                <w:lang w:val="en-US"/>
              </w:rPr>
              <w:t xml:space="preserve"> in their region and can speak in their own name only, using their own logo </w:t>
            </w:r>
            <w:r w:rsidRPr="00743BB9">
              <w:rPr>
                <w:rFonts w:ascii="Calibri" w:hAnsi="Calibri"/>
                <w:sz w:val="22"/>
                <w:szCs w:val="22"/>
                <w:lang w:val="en-US"/>
              </w:rPr>
              <w:lastRenderedPageBreak/>
              <w:t>only</w:t>
            </w:r>
            <w:r w:rsidR="00901D5F" w:rsidRPr="00743BB9">
              <w:rPr>
                <w:rFonts w:ascii="Calibri" w:hAnsi="Calibri"/>
                <w:sz w:val="22"/>
                <w:szCs w:val="22"/>
                <w:lang w:val="en-US"/>
              </w:rPr>
              <w:t>, to avoid any confusion between RRIs, Ramsar Administrative Authorities at the national level and the Secretariat at the international level</w:t>
            </w:r>
            <w:r w:rsidRPr="00743BB9">
              <w:rPr>
                <w:rFonts w:ascii="Calibri" w:eastAsia="Calibri" w:hAnsi="Calibri" w:cs="Calibri"/>
                <w:sz w:val="22"/>
                <w:szCs w:val="22"/>
                <w:lang w:val="en-US"/>
              </w:rPr>
              <w:t>;</w:t>
            </w:r>
          </w:p>
          <w:p w14:paraId="62C01583" w14:textId="77777777" w:rsidR="009245DC" w:rsidRPr="00743BB9" w:rsidRDefault="00F87882" w:rsidP="00F87882">
            <w:pPr>
              <w:pStyle w:val="ListParagraph"/>
              <w:numPr>
                <w:ilvl w:val="0"/>
                <w:numId w:val="17"/>
              </w:numPr>
              <w:contextualSpacing w:val="0"/>
              <w:rPr>
                <w:rFonts w:ascii="Calibri" w:hAnsi="Calibri"/>
                <w:sz w:val="22"/>
                <w:szCs w:val="22"/>
                <w:lang w:val="en-US"/>
              </w:rPr>
            </w:pPr>
            <w:r w:rsidRPr="00743BB9">
              <w:rPr>
                <w:rFonts w:ascii="Calibri" w:hAnsi="Calibri"/>
                <w:sz w:val="22"/>
                <w:szCs w:val="22"/>
                <w:lang w:val="en-US"/>
              </w:rPr>
              <w:t>RRIs must submit to the Secretariat, according to the format app</w:t>
            </w:r>
            <w:r w:rsidR="009245DC" w:rsidRPr="00743BB9">
              <w:rPr>
                <w:rFonts w:ascii="Calibri" w:hAnsi="Calibri"/>
                <w:sz w:val="22"/>
                <w:szCs w:val="22"/>
                <w:lang w:val="en-US"/>
              </w:rPr>
              <w:t>roved by the Standing Committee and on an annual basis:</w:t>
            </w:r>
            <w:r w:rsidRPr="00743BB9">
              <w:rPr>
                <w:rFonts w:ascii="Calibri" w:hAnsi="Calibri"/>
                <w:sz w:val="22"/>
                <w:szCs w:val="22"/>
                <w:lang w:val="en-US"/>
              </w:rPr>
              <w:t xml:space="preserve"> </w:t>
            </w:r>
          </w:p>
          <w:p w14:paraId="7E063B85" w14:textId="77777777" w:rsidR="009245DC" w:rsidRPr="00743BB9" w:rsidRDefault="009245DC" w:rsidP="009245DC">
            <w:pPr>
              <w:pStyle w:val="ListParagraph"/>
              <w:numPr>
                <w:ilvl w:val="1"/>
                <w:numId w:val="17"/>
              </w:numPr>
              <w:contextualSpacing w:val="0"/>
              <w:rPr>
                <w:rFonts w:ascii="Calibri" w:hAnsi="Calibri"/>
                <w:sz w:val="22"/>
                <w:szCs w:val="22"/>
                <w:lang w:val="en-US"/>
              </w:rPr>
            </w:pPr>
            <w:r w:rsidRPr="00743BB9">
              <w:rPr>
                <w:rFonts w:ascii="Calibri" w:hAnsi="Calibri"/>
                <w:sz w:val="22"/>
                <w:szCs w:val="22"/>
                <w:lang w:val="en-US"/>
              </w:rPr>
              <w:t>details of compliance with sub-paragraphs a, b and c;</w:t>
            </w:r>
            <w:r w:rsidR="00F87882" w:rsidRPr="00743BB9">
              <w:rPr>
                <w:rFonts w:ascii="Calibri" w:hAnsi="Calibri"/>
                <w:sz w:val="22"/>
                <w:szCs w:val="22"/>
                <w:lang w:val="en-US"/>
              </w:rPr>
              <w:t xml:space="preserve"> </w:t>
            </w:r>
          </w:p>
          <w:p w14:paraId="502663F6" w14:textId="77777777" w:rsidR="009245DC" w:rsidRPr="00743BB9" w:rsidRDefault="009245DC" w:rsidP="009245DC">
            <w:pPr>
              <w:pStyle w:val="ListParagraph"/>
              <w:numPr>
                <w:ilvl w:val="1"/>
                <w:numId w:val="17"/>
              </w:numPr>
              <w:contextualSpacing w:val="0"/>
              <w:rPr>
                <w:rFonts w:ascii="Calibri" w:hAnsi="Calibri"/>
                <w:sz w:val="22"/>
                <w:szCs w:val="22"/>
                <w:lang w:val="en-US"/>
              </w:rPr>
            </w:pPr>
            <w:r w:rsidRPr="00743BB9">
              <w:rPr>
                <w:rFonts w:ascii="Calibri" w:hAnsi="Calibri"/>
                <w:sz w:val="22"/>
                <w:szCs w:val="22"/>
                <w:lang w:val="en-US"/>
              </w:rPr>
              <w:t>a report of progress on their work;</w:t>
            </w:r>
          </w:p>
          <w:p w14:paraId="6BD5BDF0" w14:textId="77777777" w:rsidR="009245DC" w:rsidRPr="00743BB9" w:rsidRDefault="00F87882" w:rsidP="009245DC">
            <w:pPr>
              <w:pStyle w:val="ListParagraph"/>
              <w:numPr>
                <w:ilvl w:val="1"/>
                <w:numId w:val="17"/>
              </w:numPr>
              <w:contextualSpacing w:val="0"/>
              <w:rPr>
                <w:rFonts w:ascii="Calibri" w:hAnsi="Calibri"/>
                <w:sz w:val="22"/>
                <w:szCs w:val="22"/>
                <w:lang w:val="en-US"/>
              </w:rPr>
            </w:pPr>
            <w:r w:rsidRPr="00743BB9">
              <w:rPr>
                <w:rFonts w:ascii="Calibri" w:eastAsia="Calibri" w:hAnsi="Calibri" w:cs="Calibri"/>
                <w:sz w:val="22"/>
                <w:szCs w:val="22"/>
                <w:lang w:val="en-US"/>
              </w:rPr>
              <w:t>a</w:t>
            </w:r>
            <w:r w:rsidR="009245DC" w:rsidRPr="00743BB9">
              <w:rPr>
                <w:rFonts w:ascii="Calibri" w:eastAsia="Calibri" w:hAnsi="Calibri" w:cs="Calibri"/>
                <w:sz w:val="22"/>
                <w:szCs w:val="22"/>
                <w:lang w:val="en-US"/>
              </w:rPr>
              <w:t>n end-of year</w:t>
            </w:r>
            <w:r w:rsidRPr="00743BB9">
              <w:rPr>
                <w:rFonts w:ascii="Calibri" w:eastAsia="Calibri" w:hAnsi="Calibri" w:cs="Calibri"/>
                <w:sz w:val="22"/>
                <w:szCs w:val="22"/>
                <w:lang w:val="en-US"/>
              </w:rPr>
              <w:t xml:space="preserve"> </w:t>
            </w:r>
            <w:r w:rsidRPr="00743BB9">
              <w:rPr>
                <w:rFonts w:ascii="Calibri" w:hAnsi="Calibri"/>
                <w:sz w:val="22"/>
                <w:szCs w:val="22"/>
                <w:lang w:val="en-US"/>
              </w:rPr>
              <w:t xml:space="preserve">financial </w:t>
            </w:r>
            <w:r w:rsidRPr="00743BB9">
              <w:rPr>
                <w:rFonts w:ascii="Calibri" w:eastAsia="Calibri" w:hAnsi="Calibri" w:cs="Calibri"/>
                <w:sz w:val="22"/>
                <w:szCs w:val="22"/>
                <w:lang w:val="en-US"/>
              </w:rPr>
              <w:t>summary</w:t>
            </w:r>
            <w:r w:rsidR="009245DC" w:rsidRPr="00743BB9">
              <w:rPr>
                <w:rFonts w:ascii="Calibri" w:hAnsi="Calibri"/>
                <w:sz w:val="22"/>
                <w:szCs w:val="22"/>
                <w:lang w:val="en-US"/>
              </w:rPr>
              <w:t>; and</w:t>
            </w:r>
          </w:p>
          <w:p w14:paraId="01E49DC5" w14:textId="77777777" w:rsidR="00F87882" w:rsidRPr="00743BB9" w:rsidRDefault="00F87882" w:rsidP="009245DC">
            <w:pPr>
              <w:pStyle w:val="ListParagraph"/>
              <w:numPr>
                <w:ilvl w:val="1"/>
                <w:numId w:val="17"/>
              </w:numPr>
              <w:contextualSpacing w:val="0"/>
              <w:rPr>
                <w:rFonts w:ascii="Calibri" w:hAnsi="Calibri"/>
                <w:sz w:val="22"/>
                <w:szCs w:val="22"/>
                <w:lang w:val="en-US"/>
              </w:rPr>
            </w:pPr>
            <w:r w:rsidRPr="00743BB9">
              <w:rPr>
                <w:rFonts w:ascii="Calibri" w:hAnsi="Calibri"/>
                <w:sz w:val="22"/>
                <w:szCs w:val="22"/>
                <w:lang w:val="en-US"/>
              </w:rPr>
              <w:t>a work plan and budget for the following year</w:t>
            </w:r>
            <w:r w:rsidR="009245DC" w:rsidRPr="00743BB9">
              <w:rPr>
                <w:rFonts w:ascii="Calibri" w:eastAsia="Calibri" w:hAnsi="Calibri" w:cs="Calibri"/>
                <w:sz w:val="22"/>
                <w:szCs w:val="22"/>
                <w:lang w:val="en-US"/>
              </w:rPr>
              <w:t xml:space="preserve">. </w:t>
            </w:r>
          </w:p>
          <w:p w14:paraId="3A855287" w14:textId="77777777" w:rsidR="00F21EB7" w:rsidRPr="00743BB9" w:rsidRDefault="00F21EB7" w:rsidP="00003560">
            <w:pPr>
              <w:ind w:left="420"/>
              <w:rPr>
                <w:rFonts w:ascii="Calibri" w:hAnsi="Calibri"/>
                <w:sz w:val="22"/>
                <w:szCs w:val="22"/>
                <w:lang w:val="en-US"/>
              </w:rPr>
            </w:pPr>
          </w:p>
        </w:tc>
        <w:tc>
          <w:tcPr>
            <w:tcW w:w="2944" w:type="dxa"/>
          </w:tcPr>
          <w:p w14:paraId="27BBD538" w14:textId="77777777" w:rsidR="00F21EB7" w:rsidRPr="00A17DFE" w:rsidRDefault="00202C5C" w:rsidP="00C65459">
            <w:pPr>
              <w:rPr>
                <w:sz w:val="22"/>
                <w:szCs w:val="22"/>
                <w:lang w:val="es-ES"/>
              </w:rPr>
            </w:pPr>
            <w:r w:rsidRPr="00A17DFE">
              <w:rPr>
                <w:sz w:val="22"/>
                <w:szCs w:val="22"/>
                <w:lang w:val="es-ES"/>
              </w:rPr>
              <w:lastRenderedPageBreak/>
              <w:t xml:space="preserve">XIII.9 para 8 </w:t>
            </w:r>
          </w:p>
          <w:p w14:paraId="6BEF9D75" w14:textId="77777777" w:rsidR="00202C5C" w:rsidRPr="00A17DFE" w:rsidRDefault="00202C5C" w:rsidP="00C65459">
            <w:pPr>
              <w:rPr>
                <w:sz w:val="22"/>
                <w:szCs w:val="22"/>
                <w:lang w:val="es-ES"/>
              </w:rPr>
            </w:pPr>
            <w:r w:rsidRPr="00A17DFE">
              <w:rPr>
                <w:sz w:val="22"/>
                <w:szCs w:val="22"/>
                <w:lang w:val="es-ES"/>
              </w:rPr>
              <w:t>XII.8 para</w:t>
            </w:r>
            <w:r w:rsidR="00C1242F" w:rsidRPr="00A17DFE">
              <w:rPr>
                <w:sz w:val="22"/>
                <w:szCs w:val="22"/>
                <w:lang w:val="es-ES"/>
              </w:rPr>
              <w:t xml:space="preserve"> 13</w:t>
            </w:r>
          </w:p>
          <w:p w14:paraId="627882B8" w14:textId="77777777" w:rsidR="00C1242F" w:rsidRPr="00A17DFE" w:rsidRDefault="00C1242F" w:rsidP="00C65459">
            <w:pPr>
              <w:rPr>
                <w:sz w:val="22"/>
                <w:szCs w:val="22"/>
                <w:lang w:val="es-ES"/>
              </w:rPr>
            </w:pPr>
            <w:r w:rsidRPr="00A17DFE">
              <w:rPr>
                <w:sz w:val="22"/>
                <w:szCs w:val="22"/>
                <w:lang w:val="es-ES"/>
              </w:rPr>
              <w:t xml:space="preserve">XI.5 para 23 </w:t>
            </w:r>
          </w:p>
          <w:p w14:paraId="443BB85E" w14:textId="77777777" w:rsidR="00C1242F" w:rsidRPr="00743BB9" w:rsidRDefault="00901D5F" w:rsidP="00C65459">
            <w:pPr>
              <w:rPr>
                <w:sz w:val="22"/>
                <w:szCs w:val="22"/>
                <w:lang w:val="en-US"/>
              </w:rPr>
            </w:pPr>
            <w:r w:rsidRPr="00743BB9">
              <w:rPr>
                <w:sz w:val="22"/>
                <w:szCs w:val="22"/>
                <w:lang w:val="en-US"/>
              </w:rPr>
              <w:t>XI.5 para 19</w:t>
            </w:r>
          </w:p>
          <w:p w14:paraId="421CBABA" w14:textId="77777777" w:rsidR="00901D5F" w:rsidRPr="00743BB9" w:rsidRDefault="00901D5F" w:rsidP="00C1242F">
            <w:pPr>
              <w:rPr>
                <w:sz w:val="22"/>
                <w:szCs w:val="22"/>
                <w:lang w:val="en-US"/>
              </w:rPr>
            </w:pPr>
          </w:p>
          <w:p w14:paraId="63343D79" w14:textId="77777777" w:rsidR="00003560" w:rsidRPr="00743BB9" w:rsidRDefault="00003560" w:rsidP="00C1242F">
            <w:pPr>
              <w:rPr>
                <w:sz w:val="22"/>
                <w:szCs w:val="22"/>
                <w:lang w:val="en-US"/>
              </w:rPr>
            </w:pPr>
          </w:p>
          <w:p w14:paraId="662724DE" w14:textId="77777777" w:rsidR="00003560" w:rsidRPr="00743BB9" w:rsidRDefault="00003560" w:rsidP="00FB4782">
            <w:pPr>
              <w:rPr>
                <w:b/>
                <w:sz w:val="22"/>
                <w:szCs w:val="22"/>
                <w:lang w:val="en-US"/>
              </w:rPr>
            </w:pPr>
            <w:r w:rsidRPr="00743BB9">
              <w:rPr>
                <w:sz w:val="22"/>
                <w:szCs w:val="22"/>
                <w:lang w:val="en-US"/>
              </w:rPr>
              <w:t xml:space="preserve">Note that 9(d)(i) </w:t>
            </w:r>
            <w:r w:rsidR="00FB4782" w:rsidRPr="00743BB9">
              <w:rPr>
                <w:sz w:val="22"/>
                <w:szCs w:val="22"/>
                <w:lang w:val="en-US"/>
              </w:rPr>
              <w:t>and 10 are</w:t>
            </w:r>
            <w:r w:rsidRPr="00743BB9">
              <w:rPr>
                <w:sz w:val="22"/>
                <w:szCs w:val="22"/>
                <w:lang w:val="en-US"/>
              </w:rPr>
              <w:t xml:space="preserve"> intended to make it easier for the COP and SC to assess whether RRIs are operating within the framework of the Convention. </w:t>
            </w:r>
          </w:p>
        </w:tc>
      </w:tr>
      <w:tr w:rsidR="00C1242F" w:rsidRPr="00743BB9" w14:paraId="45AD18C5" w14:textId="77777777" w:rsidTr="00FF75A5">
        <w:tc>
          <w:tcPr>
            <w:tcW w:w="1929" w:type="dxa"/>
          </w:tcPr>
          <w:p w14:paraId="4F3576F0" w14:textId="77777777" w:rsidR="00C1242F" w:rsidRPr="00743BB9" w:rsidRDefault="00C1242F" w:rsidP="00C65459">
            <w:pPr>
              <w:rPr>
                <w:sz w:val="22"/>
                <w:szCs w:val="22"/>
                <w:lang w:val="en-US"/>
              </w:rPr>
            </w:pPr>
            <w:r w:rsidRPr="00743BB9">
              <w:rPr>
                <w:sz w:val="22"/>
                <w:szCs w:val="22"/>
                <w:lang w:val="en-US"/>
              </w:rPr>
              <w:t>10</w:t>
            </w:r>
          </w:p>
        </w:tc>
        <w:tc>
          <w:tcPr>
            <w:tcW w:w="9123" w:type="dxa"/>
          </w:tcPr>
          <w:p w14:paraId="5120A3C9" w14:textId="77777777" w:rsidR="00C1242F" w:rsidRPr="00743BB9" w:rsidRDefault="00B5378B" w:rsidP="007F6CBF">
            <w:pPr>
              <w:rPr>
                <w:rFonts w:ascii="Calibri" w:hAnsi="Calibri"/>
                <w:sz w:val="22"/>
                <w:szCs w:val="22"/>
                <w:lang w:val="en-US"/>
              </w:rPr>
            </w:pPr>
            <w:r w:rsidRPr="00743BB9">
              <w:rPr>
                <w:rFonts w:ascii="Calibri" w:hAnsi="Calibri"/>
                <w:sz w:val="22"/>
                <w:szCs w:val="22"/>
                <w:lang w:val="en-US"/>
              </w:rPr>
              <w:t>REQUESTS the Secretariat</w:t>
            </w:r>
            <w:r w:rsidR="00003560" w:rsidRPr="00743BB9">
              <w:rPr>
                <w:rFonts w:ascii="Calibri" w:hAnsi="Calibri"/>
                <w:sz w:val="22"/>
                <w:szCs w:val="22"/>
                <w:lang w:val="en-US"/>
              </w:rPr>
              <w:t xml:space="preserve"> to furnish the Conference of the Parties</w:t>
            </w:r>
            <w:r w:rsidR="00763236" w:rsidRPr="00743BB9">
              <w:rPr>
                <w:rFonts w:ascii="Calibri" w:hAnsi="Calibri"/>
                <w:sz w:val="22"/>
                <w:szCs w:val="22"/>
                <w:lang w:val="en-US"/>
              </w:rPr>
              <w:t xml:space="preserve"> and Standing Committee </w:t>
            </w:r>
            <w:r w:rsidR="00003560" w:rsidRPr="00743BB9">
              <w:rPr>
                <w:rFonts w:ascii="Calibri" w:hAnsi="Calibri"/>
                <w:sz w:val="22"/>
                <w:szCs w:val="22"/>
                <w:lang w:val="en-US"/>
              </w:rPr>
              <w:t xml:space="preserve">with the information obtained under paragraph 9(d) so as </w:t>
            </w:r>
            <w:r w:rsidR="00763236" w:rsidRPr="00743BB9">
              <w:rPr>
                <w:rFonts w:ascii="Calibri" w:hAnsi="Calibri"/>
                <w:sz w:val="22"/>
                <w:szCs w:val="22"/>
                <w:lang w:val="en-US"/>
              </w:rPr>
              <w:t xml:space="preserve">to assist these bodies </w:t>
            </w:r>
            <w:r w:rsidR="007F6CBF">
              <w:rPr>
                <w:rFonts w:ascii="Calibri" w:hAnsi="Calibri"/>
                <w:sz w:val="22"/>
                <w:szCs w:val="22"/>
                <w:lang w:val="en-US"/>
              </w:rPr>
              <w:t>with their reviews</w:t>
            </w:r>
            <w:r w:rsidR="00763236" w:rsidRPr="00743BB9">
              <w:rPr>
                <w:rFonts w:ascii="Calibri" w:hAnsi="Calibri"/>
                <w:sz w:val="22"/>
                <w:szCs w:val="22"/>
                <w:lang w:val="en-US"/>
              </w:rPr>
              <w:t xml:space="preserve"> of RRIs</w:t>
            </w:r>
            <w:r w:rsidR="007F6CBF">
              <w:rPr>
                <w:rFonts w:ascii="Calibri" w:hAnsi="Calibri"/>
                <w:sz w:val="22"/>
                <w:szCs w:val="22"/>
                <w:lang w:val="en-US"/>
              </w:rPr>
              <w:t xml:space="preserve"> (as per para 9) and decisions regarding funding (as per paras 13 and 14);</w:t>
            </w:r>
          </w:p>
        </w:tc>
        <w:tc>
          <w:tcPr>
            <w:tcW w:w="2944" w:type="dxa"/>
          </w:tcPr>
          <w:p w14:paraId="6C38449C" w14:textId="77777777" w:rsidR="00C1242F" w:rsidRPr="00743BB9" w:rsidRDefault="002A7E85" w:rsidP="00C65459">
            <w:pPr>
              <w:rPr>
                <w:sz w:val="22"/>
                <w:szCs w:val="22"/>
                <w:lang w:val="en-US"/>
              </w:rPr>
            </w:pPr>
            <w:r>
              <w:rPr>
                <w:sz w:val="22"/>
                <w:szCs w:val="22"/>
                <w:lang w:val="en-US"/>
              </w:rPr>
              <w:t>N/A</w:t>
            </w:r>
          </w:p>
        </w:tc>
      </w:tr>
      <w:tr w:rsidR="002A7E85" w:rsidRPr="00743BB9" w14:paraId="0E0088F7" w14:textId="77777777" w:rsidTr="00FF75A5">
        <w:tc>
          <w:tcPr>
            <w:tcW w:w="1929" w:type="dxa"/>
          </w:tcPr>
          <w:p w14:paraId="1C9C2066" w14:textId="77777777" w:rsidR="002A7E85" w:rsidRPr="00743BB9" w:rsidRDefault="002A7E85" w:rsidP="00C65459">
            <w:pPr>
              <w:rPr>
                <w:sz w:val="22"/>
                <w:szCs w:val="22"/>
                <w:lang w:val="en-US"/>
              </w:rPr>
            </w:pPr>
            <w:r>
              <w:rPr>
                <w:sz w:val="22"/>
                <w:szCs w:val="22"/>
                <w:lang w:val="en-US"/>
              </w:rPr>
              <w:t>11</w:t>
            </w:r>
          </w:p>
        </w:tc>
        <w:tc>
          <w:tcPr>
            <w:tcW w:w="9123" w:type="dxa"/>
          </w:tcPr>
          <w:p w14:paraId="2C93B2EF" w14:textId="77777777" w:rsidR="002A7E85" w:rsidRPr="00743BB9" w:rsidRDefault="002A7E85" w:rsidP="002A7E85">
            <w:pPr>
              <w:rPr>
                <w:rFonts w:ascii="Calibri" w:hAnsi="Calibri"/>
                <w:sz w:val="22"/>
                <w:szCs w:val="22"/>
                <w:lang w:val="en-US"/>
              </w:rPr>
            </w:pPr>
            <w:r w:rsidRPr="002A7E85">
              <w:rPr>
                <w:rFonts w:ascii="Calibri" w:hAnsi="Calibri"/>
                <w:sz w:val="22"/>
                <w:szCs w:val="22"/>
                <w:lang w:val="en-US"/>
              </w:rPr>
              <w:t>INSTRUCTS the Secretariat to prepare a summary assessment of the operations and achievements</w:t>
            </w:r>
            <w:r>
              <w:rPr>
                <w:rFonts w:ascii="Calibri" w:hAnsi="Calibri"/>
                <w:sz w:val="22"/>
                <w:szCs w:val="22"/>
                <w:lang w:val="en-US"/>
              </w:rPr>
              <w:t xml:space="preserve"> </w:t>
            </w:r>
            <w:r w:rsidRPr="002A7E85">
              <w:rPr>
                <w:rFonts w:ascii="Calibri" w:hAnsi="Calibri"/>
                <w:sz w:val="22"/>
                <w:szCs w:val="22"/>
                <w:lang w:val="en-US"/>
              </w:rPr>
              <w:t xml:space="preserve">of the RRIs operating during the period </w:t>
            </w:r>
            <w:r>
              <w:rPr>
                <w:rFonts w:ascii="Calibri" w:hAnsi="Calibri"/>
                <w:sz w:val="22"/>
                <w:szCs w:val="22"/>
                <w:lang w:val="en-US"/>
              </w:rPr>
              <w:t>2021-2023</w:t>
            </w:r>
            <w:r w:rsidRPr="002A7E85">
              <w:rPr>
                <w:rFonts w:ascii="Calibri" w:hAnsi="Calibri"/>
                <w:sz w:val="22"/>
                <w:szCs w:val="22"/>
                <w:lang w:val="en-US"/>
              </w:rPr>
              <w:t xml:space="preserve"> for consideration by the Standing Committee and submission to COP</w:t>
            </w:r>
            <w:r>
              <w:rPr>
                <w:rFonts w:ascii="Calibri" w:hAnsi="Calibri"/>
                <w:sz w:val="22"/>
                <w:szCs w:val="22"/>
                <w:lang w:val="en-US"/>
              </w:rPr>
              <w:t>15</w:t>
            </w:r>
            <w:r w:rsidRPr="002A7E85">
              <w:rPr>
                <w:rFonts w:ascii="Calibri" w:hAnsi="Calibri"/>
                <w:sz w:val="22"/>
                <w:szCs w:val="22"/>
                <w:lang w:val="en-US"/>
              </w:rPr>
              <w:t>;</w:t>
            </w:r>
          </w:p>
        </w:tc>
        <w:tc>
          <w:tcPr>
            <w:tcW w:w="2944" w:type="dxa"/>
          </w:tcPr>
          <w:p w14:paraId="39445869" w14:textId="77777777" w:rsidR="002A7E85" w:rsidRPr="00743BB9" w:rsidRDefault="002A7E85" w:rsidP="00C65459">
            <w:pPr>
              <w:rPr>
                <w:sz w:val="22"/>
                <w:szCs w:val="22"/>
                <w:lang w:val="en-US"/>
              </w:rPr>
            </w:pPr>
            <w:r>
              <w:rPr>
                <w:sz w:val="22"/>
                <w:szCs w:val="22"/>
                <w:lang w:val="en-US"/>
              </w:rPr>
              <w:t>XIII.9 para 28</w:t>
            </w:r>
          </w:p>
        </w:tc>
      </w:tr>
      <w:tr w:rsidR="00C1242F" w:rsidRPr="00217036" w14:paraId="5ABB5B81" w14:textId="77777777" w:rsidTr="00FF75A5">
        <w:tc>
          <w:tcPr>
            <w:tcW w:w="1929" w:type="dxa"/>
          </w:tcPr>
          <w:p w14:paraId="459336E2" w14:textId="77777777" w:rsidR="00C1242F" w:rsidRPr="00743BB9" w:rsidRDefault="00B5378B" w:rsidP="00C65459">
            <w:pPr>
              <w:rPr>
                <w:sz w:val="22"/>
                <w:szCs w:val="22"/>
                <w:lang w:val="en-US"/>
              </w:rPr>
            </w:pPr>
            <w:r w:rsidRPr="00743BB9">
              <w:rPr>
                <w:sz w:val="22"/>
                <w:szCs w:val="22"/>
                <w:lang w:val="en-US"/>
              </w:rPr>
              <w:t>1</w:t>
            </w:r>
            <w:r w:rsidR="002A7E85">
              <w:rPr>
                <w:sz w:val="22"/>
                <w:szCs w:val="22"/>
                <w:lang w:val="en-US"/>
              </w:rPr>
              <w:t>2</w:t>
            </w:r>
          </w:p>
        </w:tc>
        <w:tc>
          <w:tcPr>
            <w:tcW w:w="9123" w:type="dxa"/>
          </w:tcPr>
          <w:p w14:paraId="3BAD5D0F" w14:textId="77777777" w:rsidR="00C1242F" w:rsidRPr="00743BB9" w:rsidRDefault="00B5378B" w:rsidP="00FF2658">
            <w:pPr>
              <w:rPr>
                <w:rFonts w:ascii="Calibri" w:hAnsi="Calibri"/>
                <w:sz w:val="22"/>
                <w:szCs w:val="22"/>
                <w:lang w:val="en-US"/>
              </w:rPr>
            </w:pPr>
            <w:r w:rsidRPr="00743BB9">
              <w:rPr>
                <w:rFonts w:ascii="Calibri" w:hAnsi="Calibri"/>
                <w:sz w:val="22"/>
                <w:szCs w:val="22"/>
                <w:lang w:val="en-US"/>
              </w:rPr>
              <w:t xml:space="preserve">ENCOURAGES RRIs to apply the </w:t>
            </w:r>
            <w:r w:rsidRPr="00743BB9">
              <w:rPr>
                <w:rFonts w:ascii="Calibri" w:hAnsi="Calibri"/>
                <w:i/>
                <w:sz w:val="22"/>
                <w:szCs w:val="22"/>
                <w:lang w:val="en-US"/>
              </w:rPr>
              <w:t>Operational Guidelines</w:t>
            </w:r>
            <w:r w:rsidR="00770FB6">
              <w:rPr>
                <w:rFonts w:ascii="Calibri" w:hAnsi="Calibri"/>
                <w:i/>
                <w:sz w:val="22"/>
                <w:szCs w:val="22"/>
                <w:lang w:val="en-US"/>
              </w:rPr>
              <w:t xml:space="preserve"> for Ramsar Regional Initiatives</w:t>
            </w:r>
            <w:r w:rsidRPr="00743BB9">
              <w:rPr>
                <w:rFonts w:ascii="Calibri" w:hAnsi="Calibri"/>
                <w:sz w:val="22"/>
                <w:szCs w:val="22"/>
                <w:lang w:val="en-US"/>
              </w:rPr>
              <w:t xml:space="preserve"> in </w:t>
            </w:r>
            <w:r w:rsidRPr="002A7E85">
              <w:rPr>
                <w:rFonts w:ascii="Calibri" w:hAnsi="Calibri"/>
                <w:b/>
                <w:sz w:val="22"/>
                <w:szCs w:val="22"/>
                <w:lang w:val="en-US"/>
              </w:rPr>
              <w:t xml:space="preserve">Annex </w:t>
            </w:r>
            <w:r w:rsidR="00D769F9">
              <w:rPr>
                <w:rFonts w:ascii="Calibri" w:hAnsi="Calibri"/>
                <w:b/>
                <w:sz w:val="22"/>
                <w:szCs w:val="22"/>
                <w:lang w:val="en-US"/>
              </w:rPr>
              <w:t>A</w:t>
            </w:r>
            <w:r w:rsidRPr="00743BB9">
              <w:rPr>
                <w:rFonts w:ascii="Calibri" w:hAnsi="Calibri"/>
                <w:sz w:val="22"/>
                <w:szCs w:val="22"/>
                <w:lang w:val="en-US"/>
              </w:rPr>
              <w:t xml:space="preserve"> as appropriate;</w:t>
            </w:r>
          </w:p>
        </w:tc>
        <w:tc>
          <w:tcPr>
            <w:tcW w:w="2944" w:type="dxa"/>
          </w:tcPr>
          <w:p w14:paraId="04D7E3F1" w14:textId="77777777" w:rsidR="00743BB9" w:rsidRDefault="00B5378B" w:rsidP="00743BB9">
            <w:pPr>
              <w:rPr>
                <w:sz w:val="22"/>
                <w:szCs w:val="22"/>
                <w:lang w:val="en-US"/>
              </w:rPr>
            </w:pPr>
            <w:r w:rsidRPr="00743BB9">
              <w:rPr>
                <w:sz w:val="22"/>
                <w:szCs w:val="22"/>
                <w:lang w:val="en-US"/>
              </w:rPr>
              <w:t>XIII.9 para 6</w:t>
            </w:r>
          </w:p>
          <w:p w14:paraId="69503FB5" w14:textId="77777777" w:rsidR="00743BB9" w:rsidRDefault="00743BB9" w:rsidP="00743BB9">
            <w:pPr>
              <w:rPr>
                <w:sz w:val="22"/>
                <w:szCs w:val="22"/>
                <w:lang w:val="en-US"/>
              </w:rPr>
            </w:pPr>
          </w:p>
          <w:p w14:paraId="46A8F492" w14:textId="77777777" w:rsidR="00C1242F" w:rsidRPr="00743BB9" w:rsidRDefault="00743BB9" w:rsidP="00743BB9">
            <w:pPr>
              <w:rPr>
                <w:sz w:val="22"/>
                <w:szCs w:val="22"/>
                <w:lang w:val="en-US"/>
              </w:rPr>
            </w:pPr>
            <w:r>
              <w:rPr>
                <w:sz w:val="22"/>
                <w:szCs w:val="22"/>
                <w:lang w:val="en-US"/>
              </w:rPr>
              <w:t>Note</w:t>
            </w:r>
            <w:r w:rsidR="00CA6824" w:rsidRPr="00743BB9">
              <w:rPr>
                <w:sz w:val="22"/>
                <w:szCs w:val="22"/>
                <w:lang w:val="en-US"/>
              </w:rPr>
              <w:t xml:space="preserve"> that this is deviation from XII.2 para 12 and XI.5 para 10, which</w:t>
            </w:r>
            <w:r w:rsidRPr="00743BB9">
              <w:rPr>
                <w:sz w:val="22"/>
                <w:szCs w:val="22"/>
                <w:lang w:val="en-US"/>
              </w:rPr>
              <w:t xml:space="preserve"> placed much greater emphasis on assessment of RRIs</w:t>
            </w:r>
            <w:r w:rsidR="00CA6824" w:rsidRPr="00743BB9">
              <w:rPr>
                <w:sz w:val="22"/>
                <w:szCs w:val="22"/>
                <w:lang w:val="en-US"/>
              </w:rPr>
              <w:t xml:space="preserve"> </w:t>
            </w:r>
            <w:r w:rsidRPr="00743BB9">
              <w:rPr>
                <w:sz w:val="22"/>
                <w:szCs w:val="22"/>
                <w:lang w:val="en-US"/>
              </w:rPr>
              <w:t>against the</w:t>
            </w:r>
            <w:r w:rsidR="00CA6824" w:rsidRPr="00743BB9">
              <w:rPr>
                <w:sz w:val="22"/>
                <w:szCs w:val="22"/>
                <w:lang w:val="en-US"/>
              </w:rPr>
              <w:t xml:space="preserve"> </w:t>
            </w:r>
            <w:r w:rsidRPr="00743BB9">
              <w:rPr>
                <w:sz w:val="22"/>
                <w:szCs w:val="22"/>
                <w:lang w:val="en-US"/>
              </w:rPr>
              <w:t>Operational Guidelines</w:t>
            </w:r>
            <w:r>
              <w:rPr>
                <w:sz w:val="22"/>
                <w:szCs w:val="22"/>
                <w:lang w:val="en-US"/>
              </w:rPr>
              <w:t xml:space="preserve">. </w:t>
            </w:r>
          </w:p>
        </w:tc>
      </w:tr>
      <w:tr w:rsidR="00C1242F" w:rsidRPr="00743BB9" w14:paraId="50D36FC9" w14:textId="77777777" w:rsidTr="00FF75A5">
        <w:tc>
          <w:tcPr>
            <w:tcW w:w="1929" w:type="dxa"/>
          </w:tcPr>
          <w:p w14:paraId="60B2553A" w14:textId="77777777" w:rsidR="00C1242F" w:rsidRPr="00743BB9" w:rsidRDefault="006831CA" w:rsidP="00C65459">
            <w:pPr>
              <w:rPr>
                <w:b/>
                <w:sz w:val="22"/>
                <w:szCs w:val="22"/>
                <w:lang w:val="en-US"/>
              </w:rPr>
            </w:pPr>
            <w:r>
              <w:rPr>
                <w:b/>
                <w:sz w:val="22"/>
                <w:szCs w:val="22"/>
                <w:lang w:val="en-US"/>
              </w:rPr>
              <w:t xml:space="preserve">Funding </w:t>
            </w:r>
          </w:p>
        </w:tc>
        <w:tc>
          <w:tcPr>
            <w:tcW w:w="9123" w:type="dxa"/>
          </w:tcPr>
          <w:p w14:paraId="347C8B75" w14:textId="77777777" w:rsidR="00C1242F" w:rsidRPr="00743BB9" w:rsidRDefault="00C1242F" w:rsidP="00F87882">
            <w:pPr>
              <w:ind w:left="425" w:hanging="425"/>
              <w:rPr>
                <w:rFonts w:ascii="Calibri" w:hAnsi="Calibri"/>
                <w:sz w:val="22"/>
                <w:szCs w:val="22"/>
                <w:lang w:val="en-US"/>
              </w:rPr>
            </w:pPr>
          </w:p>
        </w:tc>
        <w:tc>
          <w:tcPr>
            <w:tcW w:w="2944" w:type="dxa"/>
          </w:tcPr>
          <w:p w14:paraId="28FEC4DF" w14:textId="77777777" w:rsidR="00C1242F" w:rsidRPr="00743BB9" w:rsidRDefault="00C1242F" w:rsidP="00C65459">
            <w:pPr>
              <w:rPr>
                <w:sz w:val="22"/>
                <w:szCs w:val="22"/>
                <w:lang w:val="en-US"/>
              </w:rPr>
            </w:pPr>
          </w:p>
        </w:tc>
      </w:tr>
      <w:tr w:rsidR="00743BB9" w:rsidRPr="00217036" w14:paraId="08D3E308" w14:textId="77777777" w:rsidTr="00FF75A5">
        <w:tc>
          <w:tcPr>
            <w:tcW w:w="1929" w:type="dxa"/>
          </w:tcPr>
          <w:p w14:paraId="5A744484" w14:textId="77777777" w:rsidR="00F21EB7" w:rsidRPr="00743BB9" w:rsidRDefault="009A3A19" w:rsidP="00C65459">
            <w:pPr>
              <w:rPr>
                <w:sz w:val="22"/>
                <w:szCs w:val="22"/>
                <w:lang w:val="en-US"/>
              </w:rPr>
            </w:pPr>
            <w:r w:rsidRPr="00743BB9">
              <w:rPr>
                <w:sz w:val="22"/>
                <w:szCs w:val="22"/>
                <w:lang w:val="en-US"/>
              </w:rPr>
              <w:t>1</w:t>
            </w:r>
            <w:r w:rsidR="002A7E85">
              <w:rPr>
                <w:sz w:val="22"/>
                <w:szCs w:val="22"/>
                <w:lang w:val="en-US"/>
              </w:rPr>
              <w:t>3</w:t>
            </w:r>
          </w:p>
        </w:tc>
        <w:tc>
          <w:tcPr>
            <w:tcW w:w="9123" w:type="dxa"/>
          </w:tcPr>
          <w:p w14:paraId="39755545" w14:textId="77777777" w:rsidR="00F21EB7" w:rsidRPr="00743BB9" w:rsidRDefault="00CA6824" w:rsidP="00693B56">
            <w:pPr>
              <w:rPr>
                <w:b/>
                <w:sz w:val="22"/>
                <w:szCs w:val="22"/>
                <w:lang w:val="en-US"/>
              </w:rPr>
            </w:pPr>
            <w:r w:rsidRPr="00743BB9">
              <w:rPr>
                <w:rFonts w:ascii="Calibri" w:hAnsi="Calibri"/>
                <w:sz w:val="22"/>
                <w:szCs w:val="22"/>
                <w:lang w:val="en-US"/>
              </w:rPr>
              <w:t>NOTES</w:t>
            </w:r>
            <w:r w:rsidR="00B5378B" w:rsidRPr="00743BB9">
              <w:rPr>
                <w:rFonts w:ascii="Calibri" w:hAnsi="Calibri"/>
                <w:sz w:val="22"/>
                <w:szCs w:val="22"/>
                <w:lang w:val="en-US"/>
              </w:rPr>
              <w:t xml:space="preserve"> that RRIs that</w:t>
            </w:r>
            <w:r w:rsidR="006E19E0">
              <w:rPr>
                <w:rFonts w:ascii="Calibri" w:hAnsi="Calibri"/>
                <w:sz w:val="22"/>
                <w:szCs w:val="22"/>
                <w:lang w:val="en-US"/>
              </w:rPr>
              <w:t xml:space="preserve"> have been endorsed as operating within the framework of the Convention and which </w:t>
            </w:r>
            <w:r w:rsidR="00B5378B" w:rsidRPr="00743BB9">
              <w:rPr>
                <w:rFonts w:ascii="Calibri" w:hAnsi="Calibri"/>
                <w:sz w:val="22"/>
                <w:szCs w:val="22"/>
                <w:lang w:val="en-US"/>
              </w:rPr>
              <w:t xml:space="preserve">have been </w:t>
            </w:r>
            <w:r w:rsidR="00B5378B" w:rsidRPr="00743BB9">
              <w:rPr>
                <w:rFonts w:ascii="Calibri" w:eastAsia="Calibri" w:hAnsi="Calibri" w:cs="Calibri"/>
                <w:sz w:val="22"/>
                <w:szCs w:val="22"/>
                <w:lang w:val="en-US"/>
              </w:rPr>
              <w:t>established for fewer</w:t>
            </w:r>
            <w:r w:rsidR="00B5378B" w:rsidRPr="00743BB9">
              <w:rPr>
                <w:rFonts w:ascii="Calibri" w:hAnsi="Calibri"/>
                <w:sz w:val="22"/>
                <w:szCs w:val="22"/>
                <w:lang w:val="en-US"/>
              </w:rPr>
              <w:t xml:space="preserve"> than six years </w:t>
            </w:r>
            <w:r w:rsidR="00693B56">
              <w:rPr>
                <w:rFonts w:ascii="Calibri" w:hAnsi="Calibri"/>
                <w:sz w:val="22"/>
                <w:szCs w:val="22"/>
                <w:lang w:val="en-US"/>
              </w:rPr>
              <w:t>are eligible for start-up</w:t>
            </w:r>
            <w:r w:rsidR="00B5378B" w:rsidRPr="00743BB9">
              <w:rPr>
                <w:rFonts w:ascii="Calibri" w:hAnsi="Calibri"/>
                <w:sz w:val="22"/>
                <w:szCs w:val="22"/>
                <w:lang w:val="en-US"/>
              </w:rPr>
              <w:t xml:space="preserve"> financial support from the Ramsar Convention core budget</w:t>
            </w:r>
            <w:r w:rsidR="00693B56">
              <w:rPr>
                <w:rFonts w:ascii="Calibri" w:hAnsi="Calibri"/>
                <w:sz w:val="22"/>
                <w:szCs w:val="22"/>
                <w:lang w:val="en-US"/>
              </w:rPr>
              <w:t xml:space="preserve"> and REQUESTS that eligible, interested RRIs apply for such support</w:t>
            </w:r>
            <w:r w:rsidR="00B5378B" w:rsidRPr="00743BB9">
              <w:rPr>
                <w:rFonts w:ascii="Calibri" w:hAnsi="Calibri"/>
                <w:sz w:val="22"/>
                <w:szCs w:val="22"/>
                <w:lang w:val="en-US"/>
              </w:rPr>
              <w:t xml:space="preserve"> in their </w:t>
            </w:r>
            <w:r w:rsidR="00B5378B" w:rsidRPr="00743BB9">
              <w:rPr>
                <w:rFonts w:ascii="Calibri" w:eastAsia="Calibri" w:hAnsi="Calibri" w:cs="Calibri"/>
                <w:sz w:val="22"/>
                <w:szCs w:val="22"/>
                <w:lang w:val="en-US"/>
              </w:rPr>
              <w:t xml:space="preserve">budget </w:t>
            </w:r>
            <w:r w:rsidR="00B5378B" w:rsidRPr="00743BB9">
              <w:rPr>
                <w:rFonts w:ascii="Calibri" w:hAnsi="Calibri"/>
                <w:sz w:val="22"/>
                <w:szCs w:val="22"/>
                <w:lang w:val="en-US"/>
              </w:rPr>
              <w:t>submitted for the following year;</w:t>
            </w:r>
          </w:p>
        </w:tc>
        <w:tc>
          <w:tcPr>
            <w:tcW w:w="2944" w:type="dxa"/>
          </w:tcPr>
          <w:p w14:paraId="6554FF52" w14:textId="77777777" w:rsidR="00F21EB7" w:rsidRPr="00743BB9" w:rsidRDefault="00743BB9" w:rsidP="00C65459">
            <w:pPr>
              <w:rPr>
                <w:sz w:val="22"/>
                <w:szCs w:val="22"/>
                <w:lang w:val="en-US"/>
              </w:rPr>
            </w:pPr>
            <w:r w:rsidRPr="00743BB9">
              <w:rPr>
                <w:sz w:val="22"/>
                <w:szCs w:val="22"/>
                <w:lang w:val="en-US"/>
              </w:rPr>
              <w:t>XIII.9</w:t>
            </w:r>
            <w:r>
              <w:rPr>
                <w:sz w:val="22"/>
                <w:szCs w:val="22"/>
                <w:lang w:val="en-US"/>
              </w:rPr>
              <w:t xml:space="preserve"> para 8(g). Note that this</w:t>
            </w:r>
            <w:r w:rsidR="008154D8">
              <w:rPr>
                <w:sz w:val="22"/>
                <w:szCs w:val="22"/>
                <w:lang w:val="en-US"/>
              </w:rPr>
              <w:t xml:space="preserve"> subparagraph</w:t>
            </w:r>
            <w:r>
              <w:rPr>
                <w:sz w:val="22"/>
                <w:szCs w:val="22"/>
                <w:lang w:val="en-US"/>
              </w:rPr>
              <w:t xml:space="preserve"> was disaggregated from the rest of XIII.</w:t>
            </w:r>
            <w:r w:rsidR="008154D8">
              <w:rPr>
                <w:sz w:val="22"/>
                <w:szCs w:val="22"/>
                <w:lang w:val="en-US"/>
              </w:rPr>
              <w:t>9 para 8 as it is not a criterion</w:t>
            </w:r>
            <w:r>
              <w:rPr>
                <w:sz w:val="22"/>
                <w:szCs w:val="22"/>
                <w:lang w:val="en-US"/>
              </w:rPr>
              <w:t xml:space="preserve"> for assessment (or a principle – as it was worded in that para).</w:t>
            </w:r>
          </w:p>
        </w:tc>
      </w:tr>
      <w:tr w:rsidR="00AC64F9" w:rsidRPr="00217036" w14:paraId="4F41B882" w14:textId="77777777" w:rsidTr="00FF75A5">
        <w:tc>
          <w:tcPr>
            <w:tcW w:w="1929" w:type="dxa"/>
          </w:tcPr>
          <w:p w14:paraId="43B94F25" w14:textId="77777777" w:rsidR="00AC64F9" w:rsidRPr="008154D8" w:rsidRDefault="006A2600" w:rsidP="00C65459">
            <w:pPr>
              <w:rPr>
                <w:sz w:val="22"/>
                <w:szCs w:val="22"/>
                <w:lang w:val="en-US"/>
              </w:rPr>
            </w:pPr>
            <w:r>
              <w:rPr>
                <w:sz w:val="22"/>
                <w:szCs w:val="22"/>
                <w:lang w:val="en-US"/>
              </w:rPr>
              <w:t>14</w:t>
            </w:r>
          </w:p>
        </w:tc>
        <w:tc>
          <w:tcPr>
            <w:tcW w:w="9123" w:type="dxa"/>
          </w:tcPr>
          <w:p w14:paraId="371E22D9" w14:textId="77777777" w:rsidR="00AC64F9" w:rsidRPr="00770FB6" w:rsidRDefault="00AC64F9" w:rsidP="00D544B9">
            <w:pPr>
              <w:rPr>
                <w:sz w:val="22"/>
                <w:szCs w:val="22"/>
                <w:lang w:val="en-US"/>
              </w:rPr>
            </w:pPr>
            <w:r w:rsidRPr="00AC64F9">
              <w:rPr>
                <w:sz w:val="22"/>
                <w:szCs w:val="22"/>
                <w:lang w:val="en-US"/>
              </w:rPr>
              <w:t>DECIDES that the levels of financial support from the Convention core budget to eligible RRIs</w:t>
            </w:r>
            <w:r>
              <w:rPr>
                <w:sz w:val="22"/>
                <w:szCs w:val="22"/>
                <w:lang w:val="en-US"/>
              </w:rPr>
              <w:t xml:space="preserve"> for the years 2021, 2022 and 2023</w:t>
            </w:r>
            <w:r w:rsidRPr="00AC64F9">
              <w:rPr>
                <w:sz w:val="22"/>
                <w:szCs w:val="22"/>
                <w:lang w:val="en-US"/>
              </w:rPr>
              <w:t xml:space="preserve"> will be determined annually by the Standing Committee, based on</w:t>
            </w:r>
            <w:r w:rsidR="00D544B9">
              <w:rPr>
                <w:sz w:val="22"/>
                <w:szCs w:val="22"/>
                <w:lang w:val="en-US"/>
              </w:rPr>
              <w:t xml:space="preserve"> </w:t>
            </w:r>
            <w:r w:rsidR="00D544B9">
              <w:rPr>
                <w:sz w:val="22"/>
                <w:szCs w:val="22"/>
                <w:lang w:val="en-US"/>
              </w:rPr>
              <w:lastRenderedPageBreak/>
              <w:t>the information submitted</w:t>
            </w:r>
            <w:r w:rsidR="007F6CBF">
              <w:rPr>
                <w:sz w:val="22"/>
                <w:szCs w:val="22"/>
                <w:lang w:val="en-US"/>
              </w:rPr>
              <w:t xml:space="preserve"> to the Secretariat</w:t>
            </w:r>
            <w:r w:rsidR="00D544B9">
              <w:rPr>
                <w:sz w:val="22"/>
                <w:szCs w:val="22"/>
                <w:lang w:val="en-US"/>
              </w:rPr>
              <w:t xml:space="preserve"> in accordance with paragraph </w:t>
            </w:r>
            <w:r w:rsidR="00FF760E">
              <w:rPr>
                <w:sz w:val="22"/>
                <w:szCs w:val="22"/>
                <w:lang w:val="en-US"/>
              </w:rPr>
              <w:t>9(d)</w:t>
            </w:r>
            <w:r w:rsidRPr="00AC64F9">
              <w:rPr>
                <w:sz w:val="22"/>
                <w:szCs w:val="22"/>
                <w:lang w:val="en-US"/>
              </w:rPr>
              <w:t>, and informed by the specific recommendations made by the Subgroup on Finance to the Standing Committee;</w:t>
            </w:r>
          </w:p>
        </w:tc>
        <w:tc>
          <w:tcPr>
            <w:tcW w:w="2944" w:type="dxa"/>
          </w:tcPr>
          <w:p w14:paraId="1A2BA199" w14:textId="77777777" w:rsidR="00AC64F9" w:rsidRDefault="00FF760E" w:rsidP="00C65459">
            <w:pPr>
              <w:rPr>
                <w:sz w:val="22"/>
                <w:szCs w:val="22"/>
                <w:lang w:val="en-US"/>
              </w:rPr>
            </w:pPr>
            <w:r>
              <w:rPr>
                <w:sz w:val="22"/>
                <w:szCs w:val="22"/>
                <w:lang w:val="en-US"/>
              </w:rPr>
              <w:lastRenderedPageBreak/>
              <w:t>XIII.9 para 15</w:t>
            </w:r>
          </w:p>
          <w:p w14:paraId="16E317FE" w14:textId="77777777" w:rsidR="005D04B2" w:rsidRDefault="005D04B2" w:rsidP="00C65459">
            <w:pPr>
              <w:rPr>
                <w:sz w:val="22"/>
                <w:szCs w:val="22"/>
                <w:lang w:val="en-US"/>
              </w:rPr>
            </w:pPr>
          </w:p>
          <w:p w14:paraId="211C2199" w14:textId="77777777" w:rsidR="005D04B2" w:rsidRPr="00770FB6" w:rsidRDefault="005D04B2" w:rsidP="00C65459">
            <w:pPr>
              <w:rPr>
                <w:sz w:val="22"/>
                <w:szCs w:val="22"/>
                <w:lang w:val="en-US"/>
              </w:rPr>
            </w:pPr>
            <w:r>
              <w:rPr>
                <w:sz w:val="22"/>
                <w:szCs w:val="22"/>
                <w:lang w:val="en-US"/>
              </w:rPr>
              <w:lastRenderedPageBreak/>
              <w:t>Note modification to maintain consistency with proposed reporting requirements in para 9(d) of this draft</w:t>
            </w:r>
          </w:p>
        </w:tc>
      </w:tr>
      <w:tr w:rsidR="00A14D13" w:rsidRPr="00217036" w14:paraId="030F9E3D" w14:textId="77777777" w:rsidTr="00FF75A5">
        <w:tc>
          <w:tcPr>
            <w:tcW w:w="1929" w:type="dxa"/>
          </w:tcPr>
          <w:p w14:paraId="27502979" w14:textId="77777777" w:rsidR="00A14D13" w:rsidRPr="008154D8" w:rsidRDefault="008154D8" w:rsidP="00C65459">
            <w:pPr>
              <w:rPr>
                <w:sz w:val="22"/>
                <w:szCs w:val="22"/>
                <w:lang w:val="en-US"/>
              </w:rPr>
            </w:pPr>
            <w:r w:rsidRPr="008154D8">
              <w:rPr>
                <w:sz w:val="22"/>
                <w:szCs w:val="22"/>
                <w:lang w:val="en-US"/>
              </w:rPr>
              <w:lastRenderedPageBreak/>
              <w:t>1</w:t>
            </w:r>
            <w:r w:rsidR="00FB7B21">
              <w:rPr>
                <w:sz w:val="22"/>
                <w:szCs w:val="22"/>
                <w:lang w:val="en-US"/>
              </w:rPr>
              <w:t>5</w:t>
            </w:r>
          </w:p>
        </w:tc>
        <w:tc>
          <w:tcPr>
            <w:tcW w:w="9123" w:type="dxa"/>
          </w:tcPr>
          <w:p w14:paraId="4953BD0E" w14:textId="77777777" w:rsidR="00A14D13" w:rsidRPr="00770FB6" w:rsidRDefault="00770FB6" w:rsidP="00770FB6">
            <w:pPr>
              <w:rPr>
                <w:sz w:val="22"/>
                <w:szCs w:val="22"/>
                <w:lang w:val="en-US"/>
              </w:rPr>
            </w:pPr>
            <w:r w:rsidRPr="00770FB6">
              <w:rPr>
                <w:sz w:val="22"/>
                <w:szCs w:val="22"/>
                <w:lang w:val="en-US"/>
              </w:rPr>
              <w:t>URGES RRIs that receive financial support from the core budget to consider using part of this support to seek sustainable funding from other sources, particularly during the last years in which they qualify for such support;</w:t>
            </w:r>
          </w:p>
        </w:tc>
        <w:tc>
          <w:tcPr>
            <w:tcW w:w="2944" w:type="dxa"/>
          </w:tcPr>
          <w:p w14:paraId="2C88A179" w14:textId="77777777" w:rsidR="00A14D13" w:rsidRPr="00A17DFE" w:rsidRDefault="00770FB6" w:rsidP="00C65459">
            <w:pPr>
              <w:rPr>
                <w:sz w:val="22"/>
                <w:szCs w:val="22"/>
                <w:lang w:val="es-ES"/>
              </w:rPr>
            </w:pPr>
            <w:r w:rsidRPr="00A17DFE">
              <w:rPr>
                <w:sz w:val="22"/>
                <w:szCs w:val="22"/>
                <w:lang w:val="es-ES"/>
              </w:rPr>
              <w:t>XIII.9 para 16</w:t>
            </w:r>
          </w:p>
          <w:p w14:paraId="10A75B34" w14:textId="77777777" w:rsidR="00770FB6" w:rsidRPr="00A17DFE" w:rsidRDefault="00770FB6" w:rsidP="00C65459">
            <w:pPr>
              <w:rPr>
                <w:sz w:val="22"/>
                <w:szCs w:val="22"/>
                <w:lang w:val="es-ES"/>
              </w:rPr>
            </w:pPr>
            <w:r w:rsidRPr="00A17DFE">
              <w:rPr>
                <w:sz w:val="22"/>
                <w:szCs w:val="22"/>
                <w:lang w:val="es-ES"/>
              </w:rPr>
              <w:t>XII.8 para 16</w:t>
            </w:r>
          </w:p>
          <w:p w14:paraId="7F628EDD" w14:textId="77777777" w:rsidR="00770FB6" w:rsidRPr="00A17DFE" w:rsidRDefault="00770FB6" w:rsidP="00C65459">
            <w:pPr>
              <w:rPr>
                <w:b/>
                <w:sz w:val="22"/>
                <w:szCs w:val="22"/>
                <w:lang w:val="es-ES"/>
              </w:rPr>
            </w:pPr>
            <w:r w:rsidRPr="00A17DFE">
              <w:rPr>
                <w:sz w:val="22"/>
                <w:szCs w:val="22"/>
                <w:lang w:val="es-ES"/>
              </w:rPr>
              <w:t>XI.5 para 14</w:t>
            </w:r>
          </w:p>
        </w:tc>
      </w:tr>
      <w:tr w:rsidR="006831CA" w14:paraId="5155D3E0" w14:textId="77777777" w:rsidTr="00FF75A5">
        <w:tc>
          <w:tcPr>
            <w:tcW w:w="1929" w:type="dxa"/>
          </w:tcPr>
          <w:p w14:paraId="093637A5" w14:textId="77777777" w:rsidR="006831CA" w:rsidRPr="00B813B6" w:rsidRDefault="006831CA" w:rsidP="00C65459">
            <w:pPr>
              <w:rPr>
                <w:sz w:val="22"/>
                <w:szCs w:val="22"/>
                <w:lang w:val="en-US"/>
              </w:rPr>
            </w:pPr>
            <w:r>
              <w:rPr>
                <w:sz w:val="22"/>
                <w:szCs w:val="22"/>
                <w:lang w:val="en-US"/>
              </w:rPr>
              <w:t>1</w:t>
            </w:r>
            <w:r w:rsidR="00FB7B21">
              <w:rPr>
                <w:sz w:val="22"/>
                <w:szCs w:val="22"/>
                <w:lang w:val="en-US"/>
              </w:rPr>
              <w:t>6</w:t>
            </w:r>
          </w:p>
        </w:tc>
        <w:tc>
          <w:tcPr>
            <w:tcW w:w="9123" w:type="dxa"/>
          </w:tcPr>
          <w:p w14:paraId="0001723D" w14:textId="77777777" w:rsidR="006831CA" w:rsidRPr="00B813B6" w:rsidRDefault="006831CA" w:rsidP="009734F4">
            <w:pPr>
              <w:rPr>
                <w:sz w:val="22"/>
                <w:szCs w:val="22"/>
                <w:lang w:val="en-US"/>
              </w:rPr>
            </w:pPr>
            <w:r w:rsidRPr="006831CA">
              <w:rPr>
                <w:sz w:val="22"/>
                <w:szCs w:val="22"/>
                <w:lang w:val="en-US"/>
              </w:rPr>
              <w:t>ENCOURAGES the Contracting Parties concerned to take the necessary steps to achieve financial sustainability</w:t>
            </w:r>
            <w:r w:rsidR="009734F4">
              <w:rPr>
                <w:sz w:val="22"/>
                <w:szCs w:val="22"/>
                <w:lang w:val="en-US"/>
              </w:rPr>
              <w:t xml:space="preserve"> and stability</w:t>
            </w:r>
            <w:r w:rsidRPr="006831CA">
              <w:rPr>
                <w:sz w:val="22"/>
                <w:szCs w:val="22"/>
                <w:lang w:val="en-US"/>
              </w:rPr>
              <w:t xml:space="preserve"> of</w:t>
            </w:r>
            <w:r w:rsidR="0005578D">
              <w:rPr>
                <w:sz w:val="22"/>
                <w:szCs w:val="22"/>
                <w:lang w:val="en-US"/>
              </w:rPr>
              <w:t xml:space="preserve"> all</w:t>
            </w:r>
            <w:r w:rsidRPr="006831CA">
              <w:rPr>
                <w:sz w:val="22"/>
                <w:szCs w:val="22"/>
                <w:lang w:val="en-US"/>
              </w:rPr>
              <w:t xml:space="preserve"> RRIs, preferably through financial support </w:t>
            </w:r>
            <w:r w:rsidR="009734F4">
              <w:rPr>
                <w:sz w:val="22"/>
                <w:szCs w:val="22"/>
                <w:lang w:val="en-US"/>
              </w:rPr>
              <w:t xml:space="preserve">from a variety of sources, including donors that are willing to support RRIs through specific projects and cooperation </w:t>
            </w:r>
            <w:proofErr w:type="spellStart"/>
            <w:r w:rsidR="009734F4">
              <w:rPr>
                <w:sz w:val="22"/>
                <w:szCs w:val="22"/>
                <w:lang w:val="en-US"/>
              </w:rPr>
              <w:t>programmes</w:t>
            </w:r>
            <w:proofErr w:type="spellEnd"/>
            <w:r w:rsidR="009734F4">
              <w:rPr>
                <w:sz w:val="22"/>
                <w:szCs w:val="22"/>
                <w:lang w:val="en-US"/>
              </w:rPr>
              <w:t xml:space="preserve">; </w:t>
            </w:r>
          </w:p>
        </w:tc>
        <w:tc>
          <w:tcPr>
            <w:tcW w:w="2944" w:type="dxa"/>
          </w:tcPr>
          <w:p w14:paraId="52884898" w14:textId="77777777" w:rsidR="006831CA" w:rsidRPr="00B813B6" w:rsidRDefault="006831CA" w:rsidP="00C65459">
            <w:pPr>
              <w:rPr>
                <w:sz w:val="22"/>
                <w:szCs w:val="22"/>
                <w:lang w:val="en-US"/>
              </w:rPr>
            </w:pPr>
            <w:r>
              <w:rPr>
                <w:sz w:val="22"/>
                <w:szCs w:val="22"/>
                <w:lang w:val="en-US"/>
              </w:rPr>
              <w:t>XIII.9 para</w:t>
            </w:r>
            <w:r w:rsidR="009734F4">
              <w:rPr>
                <w:sz w:val="22"/>
                <w:szCs w:val="22"/>
                <w:lang w:val="en-US"/>
              </w:rPr>
              <w:t>s</w:t>
            </w:r>
            <w:r>
              <w:rPr>
                <w:sz w:val="22"/>
                <w:szCs w:val="22"/>
                <w:lang w:val="en-US"/>
              </w:rPr>
              <w:t xml:space="preserve"> 25</w:t>
            </w:r>
            <w:r w:rsidR="009734F4">
              <w:rPr>
                <w:sz w:val="22"/>
                <w:szCs w:val="22"/>
                <w:lang w:val="en-US"/>
              </w:rPr>
              <w:t>, 26</w:t>
            </w:r>
          </w:p>
        </w:tc>
      </w:tr>
      <w:tr w:rsidR="00A14D13" w14:paraId="79BAFE79" w14:textId="77777777" w:rsidTr="00FF75A5">
        <w:tc>
          <w:tcPr>
            <w:tcW w:w="1929" w:type="dxa"/>
          </w:tcPr>
          <w:p w14:paraId="64AE253E" w14:textId="77777777" w:rsidR="00A14D13" w:rsidRPr="00B813B6" w:rsidRDefault="00B813B6" w:rsidP="00C65459">
            <w:pPr>
              <w:rPr>
                <w:sz w:val="22"/>
                <w:szCs w:val="22"/>
                <w:lang w:val="en-US"/>
              </w:rPr>
            </w:pPr>
            <w:r w:rsidRPr="00B813B6">
              <w:rPr>
                <w:sz w:val="22"/>
                <w:szCs w:val="22"/>
                <w:lang w:val="en-US"/>
              </w:rPr>
              <w:t>1</w:t>
            </w:r>
            <w:r w:rsidR="00FB7B21">
              <w:rPr>
                <w:sz w:val="22"/>
                <w:szCs w:val="22"/>
                <w:lang w:val="en-US"/>
              </w:rPr>
              <w:t>7</w:t>
            </w:r>
          </w:p>
        </w:tc>
        <w:tc>
          <w:tcPr>
            <w:tcW w:w="9123" w:type="dxa"/>
          </w:tcPr>
          <w:p w14:paraId="07D7B8CF" w14:textId="77777777" w:rsidR="00A14D13" w:rsidRPr="00B813B6" w:rsidRDefault="006831CA" w:rsidP="00C65459">
            <w:pPr>
              <w:rPr>
                <w:sz w:val="22"/>
                <w:szCs w:val="22"/>
                <w:lang w:val="en-US"/>
              </w:rPr>
            </w:pPr>
            <w:r>
              <w:rPr>
                <w:sz w:val="22"/>
                <w:szCs w:val="22"/>
                <w:lang w:val="en-US"/>
              </w:rPr>
              <w:t xml:space="preserve">FURTHER </w:t>
            </w:r>
            <w:r w:rsidR="00B813B6" w:rsidRPr="00B813B6">
              <w:rPr>
                <w:sz w:val="22"/>
                <w:szCs w:val="22"/>
                <w:lang w:val="en-US"/>
              </w:rPr>
              <w:t>ENCOURAGES Contracting Parties and INVITES other potential donors, bilateral or multilateral, to support RRIs, whether or not they are also receiving funding through the Convention’s core budget; and INVITES Contracting Parties that are geographically related to an RRI to consider giving financial support, as appropriate;</w:t>
            </w:r>
          </w:p>
        </w:tc>
        <w:tc>
          <w:tcPr>
            <w:tcW w:w="2944" w:type="dxa"/>
          </w:tcPr>
          <w:p w14:paraId="79D98548" w14:textId="77777777" w:rsidR="00A14D13" w:rsidRDefault="00B813B6" w:rsidP="00C65459">
            <w:pPr>
              <w:rPr>
                <w:sz w:val="22"/>
                <w:szCs w:val="22"/>
                <w:lang w:val="en-US"/>
              </w:rPr>
            </w:pPr>
            <w:r w:rsidRPr="00B813B6">
              <w:rPr>
                <w:sz w:val="22"/>
                <w:szCs w:val="22"/>
                <w:lang w:val="en-US"/>
              </w:rPr>
              <w:t>XIII.9 para 18</w:t>
            </w:r>
          </w:p>
          <w:p w14:paraId="28DB222E" w14:textId="77777777" w:rsidR="00E6253E" w:rsidRPr="00B813B6" w:rsidRDefault="00E6253E" w:rsidP="00C65459">
            <w:pPr>
              <w:rPr>
                <w:sz w:val="22"/>
                <w:szCs w:val="22"/>
                <w:lang w:val="en-US"/>
              </w:rPr>
            </w:pPr>
            <w:r>
              <w:rPr>
                <w:sz w:val="22"/>
                <w:szCs w:val="22"/>
                <w:lang w:val="en-US"/>
              </w:rPr>
              <w:t>XII.8 para 17</w:t>
            </w:r>
          </w:p>
        </w:tc>
      </w:tr>
      <w:tr w:rsidR="00A14D13" w14:paraId="32FC242F" w14:textId="77777777" w:rsidTr="00FF75A5">
        <w:tc>
          <w:tcPr>
            <w:tcW w:w="1929" w:type="dxa"/>
          </w:tcPr>
          <w:p w14:paraId="15C157E7" w14:textId="77777777" w:rsidR="00A14D13" w:rsidRPr="00510AC0" w:rsidRDefault="00510AC0" w:rsidP="00C65459">
            <w:pPr>
              <w:rPr>
                <w:sz w:val="22"/>
                <w:szCs w:val="22"/>
                <w:lang w:val="en-US"/>
              </w:rPr>
            </w:pPr>
            <w:r w:rsidRPr="00510AC0">
              <w:rPr>
                <w:sz w:val="22"/>
                <w:szCs w:val="22"/>
                <w:lang w:val="en-US"/>
              </w:rPr>
              <w:t>1</w:t>
            </w:r>
            <w:r w:rsidR="00FB7B21">
              <w:rPr>
                <w:sz w:val="22"/>
                <w:szCs w:val="22"/>
                <w:lang w:val="en-US"/>
              </w:rPr>
              <w:t>8</w:t>
            </w:r>
          </w:p>
        </w:tc>
        <w:tc>
          <w:tcPr>
            <w:tcW w:w="9123" w:type="dxa"/>
          </w:tcPr>
          <w:p w14:paraId="3555FAC8" w14:textId="77777777" w:rsidR="00A14D13" w:rsidRPr="00536F60" w:rsidRDefault="00536F60" w:rsidP="008119C9">
            <w:pPr>
              <w:rPr>
                <w:rFonts w:ascii="Calibri" w:hAnsi="Calibri"/>
                <w:sz w:val="22"/>
                <w:szCs w:val="22"/>
                <w:lang w:val="en-GB"/>
              </w:rPr>
            </w:pPr>
            <w:r w:rsidRPr="00536F60">
              <w:rPr>
                <w:rFonts w:ascii="Calibri" w:hAnsi="Calibri"/>
                <w:sz w:val="22"/>
                <w:szCs w:val="22"/>
                <w:lang w:val="en-GB"/>
              </w:rPr>
              <w:t>INVITES the Convention’s International Organization Partners to partner with and support RRIs in their undertakings, including in particular through capacity building and fundraising efforts;</w:t>
            </w:r>
          </w:p>
        </w:tc>
        <w:tc>
          <w:tcPr>
            <w:tcW w:w="2944" w:type="dxa"/>
          </w:tcPr>
          <w:p w14:paraId="3E829788" w14:textId="77777777" w:rsidR="00536F60" w:rsidRPr="00FC6E09" w:rsidRDefault="00536F60" w:rsidP="00C65459">
            <w:pPr>
              <w:rPr>
                <w:sz w:val="22"/>
                <w:szCs w:val="22"/>
                <w:lang w:val="en-US"/>
              </w:rPr>
            </w:pPr>
            <w:r>
              <w:rPr>
                <w:sz w:val="22"/>
                <w:szCs w:val="22"/>
                <w:lang w:val="en-US"/>
              </w:rPr>
              <w:t>XIII.9 para 27</w:t>
            </w:r>
          </w:p>
        </w:tc>
      </w:tr>
      <w:tr w:rsidR="00F42051" w:rsidRPr="00217036" w14:paraId="4D524BEA" w14:textId="77777777" w:rsidTr="00FF75A5">
        <w:tc>
          <w:tcPr>
            <w:tcW w:w="1929" w:type="dxa"/>
          </w:tcPr>
          <w:p w14:paraId="0E04E882" w14:textId="77777777" w:rsidR="000B7246" w:rsidRDefault="003D6E9B" w:rsidP="00C65459">
            <w:pPr>
              <w:rPr>
                <w:b/>
                <w:sz w:val="22"/>
                <w:szCs w:val="22"/>
                <w:lang w:val="en-US"/>
              </w:rPr>
            </w:pPr>
            <w:r>
              <w:rPr>
                <w:b/>
                <w:sz w:val="22"/>
                <w:szCs w:val="22"/>
                <w:lang w:val="en-US"/>
              </w:rPr>
              <w:t>Contact with</w:t>
            </w:r>
            <w:r w:rsidR="00E32555">
              <w:rPr>
                <w:b/>
                <w:sz w:val="22"/>
                <w:szCs w:val="22"/>
                <w:lang w:val="en-US"/>
              </w:rPr>
              <w:t>,</w:t>
            </w:r>
            <w:r>
              <w:rPr>
                <w:b/>
                <w:sz w:val="22"/>
                <w:szCs w:val="22"/>
                <w:lang w:val="en-US"/>
              </w:rPr>
              <w:t xml:space="preserve"> and support from</w:t>
            </w:r>
            <w:r w:rsidR="00E32555">
              <w:rPr>
                <w:b/>
                <w:sz w:val="22"/>
                <w:szCs w:val="22"/>
                <w:lang w:val="en-US"/>
              </w:rPr>
              <w:t>,</w:t>
            </w:r>
            <w:r>
              <w:rPr>
                <w:b/>
                <w:sz w:val="22"/>
                <w:szCs w:val="22"/>
                <w:lang w:val="en-US"/>
              </w:rPr>
              <w:t xml:space="preserve"> Secretariat </w:t>
            </w:r>
          </w:p>
        </w:tc>
        <w:tc>
          <w:tcPr>
            <w:tcW w:w="9123" w:type="dxa"/>
          </w:tcPr>
          <w:p w14:paraId="6D587700" w14:textId="77777777" w:rsidR="000B7246" w:rsidRDefault="000B7246" w:rsidP="00C65459">
            <w:pPr>
              <w:rPr>
                <w:b/>
                <w:sz w:val="22"/>
                <w:szCs w:val="22"/>
                <w:lang w:val="en-US"/>
              </w:rPr>
            </w:pPr>
          </w:p>
        </w:tc>
        <w:tc>
          <w:tcPr>
            <w:tcW w:w="2944" w:type="dxa"/>
          </w:tcPr>
          <w:p w14:paraId="75DA288B" w14:textId="77777777" w:rsidR="000B7246" w:rsidRDefault="000B7246" w:rsidP="00C65459">
            <w:pPr>
              <w:rPr>
                <w:b/>
                <w:sz w:val="22"/>
                <w:szCs w:val="22"/>
                <w:lang w:val="en-US"/>
              </w:rPr>
            </w:pPr>
          </w:p>
        </w:tc>
      </w:tr>
      <w:tr w:rsidR="00F42051" w:rsidRPr="00217036" w14:paraId="076CA60A" w14:textId="77777777" w:rsidTr="00FF75A5">
        <w:tc>
          <w:tcPr>
            <w:tcW w:w="1929" w:type="dxa"/>
          </w:tcPr>
          <w:p w14:paraId="69372DBE" w14:textId="77777777" w:rsidR="000B7246" w:rsidRPr="00957D96" w:rsidRDefault="00145863" w:rsidP="00C65459">
            <w:pPr>
              <w:rPr>
                <w:sz w:val="22"/>
                <w:szCs w:val="22"/>
                <w:lang w:val="en-US"/>
              </w:rPr>
            </w:pPr>
            <w:r>
              <w:rPr>
                <w:sz w:val="22"/>
                <w:szCs w:val="22"/>
                <w:lang w:val="en-US"/>
              </w:rPr>
              <w:t>20</w:t>
            </w:r>
          </w:p>
        </w:tc>
        <w:tc>
          <w:tcPr>
            <w:tcW w:w="9123" w:type="dxa"/>
          </w:tcPr>
          <w:p w14:paraId="04E2B4C8" w14:textId="77777777" w:rsidR="000B7246" w:rsidRPr="00C42942" w:rsidRDefault="00371CCC" w:rsidP="00C42942">
            <w:pPr>
              <w:rPr>
                <w:sz w:val="22"/>
                <w:szCs w:val="22"/>
                <w:lang w:val="en-US"/>
              </w:rPr>
            </w:pPr>
            <w:r w:rsidRPr="00371CCC">
              <w:rPr>
                <w:sz w:val="22"/>
                <w:szCs w:val="22"/>
                <w:lang w:val="en-US"/>
              </w:rPr>
              <w:t>REQUESTS that the RRIs maintain active and regular contact with the Secretariat; and INSTRUCTS the Secretariat to advise RRIs on how to reinforce their capacity and effectiveness</w:t>
            </w:r>
            <w:r w:rsidR="00C42942">
              <w:rPr>
                <w:sz w:val="22"/>
                <w:szCs w:val="22"/>
                <w:lang w:val="en-US"/>
              </w:rPr>
              <w:t>, including in relation to the alignment of RRIs with the Convention’s Strategic Plan</w:t>
            </w:r>
            <w:r w:rsidR="00415CC2">
              <w:rPr>
                <w:sz w:val="22"/>
                <w:szCs w:val="22"/>
                <w:lang w:val="en-US"/>
              </w:rPr>
              <w:t xml:space="preserve"> and CEPA Programme</w:t>
            </w:r>
            <w:r w:rsidRPr="00371CCC">
              <w:rPr>
                <w:sz w:val="22"/>
                <w:szCs w:val="22"/>
                <w:lang w:val="en-US"/>
              </w:rPr>
              <w:t>;</w:t>
            </w:r>
            <w:r w:rsidR="00C42942">
              <w:rPr>
                <w:sz w:val="22"/>
                <w:szCs w:val="22"/>
                <w:lang w:val="en-US"/>
              </w:rPr>
              <w:t xml:space="preserve"> </w:t>
            </w:r>
          </w:p>
        </w:tc>
        <w:tc>
          <w:tcPr>
            <w:tcW w:w="2944" w:type="dxa"/>
          </w:tcPr>
          <w:p w14:paraId="083E1F92" w14:textId="77777777" w:rsidR="000B7246" w:rsidRPr="00A17DFE" w:rsidRDefault="0021782A" w:rsidP="00C65459">
            <w:pPr>
              <w:rPr>
                <w:sz w:val="22"/>
                <w:szCs w:val="22"/>
                <w:lang w:val="es-ES"/>
              </w:rPr>
            </w:pPr>
            <w:r w:rsidRPr="00A17DFE">
              <w:rPr>
                <w:sz w:val="22"/>
                <w:szCs w:val="22"/>
                <w:lang w:val="es-ES"/>
              </w:rPr>
              <w:t xml:space="preserve">XIII.9 para 21 </w:t>
            </w:r>
          </w:p>
          <w:p w14:paraId="524DDF62" w14:textId="77777777" w:rsidR="00C42942" w:rsidRPr="00A17DFE" w:rsidRDefault="00C42942" w:rsidP="00C65459">
            <w:pPr>
              <w:rPr>
                <w:sz w:val="22"/>
                <w:szCs w:val="22"/>
                <w:lang w:val="es-ES"/>
              </w:rPr>
            </w:pPr>
            <w:r w:rsidRPr="00A17DFE">
              <w:rPr>
                <w:sz w:val="22"/>
                <w:szCs w:val="22"/>
                <w:lang w:val="es-ES"/>
              </w:rPr>
              <w:t>XII.8 para 19</w:t>
            </w:r>
          </w:p>
          <w:p w14:paraId="107F870D" w14:textId="77777777" w:rsidR="00415CC2" w:rsidRPr="00A17DFE" w:rsidRDefault="00415CC2" w:rsidP="00C65459">
            <w:pPr>
              <w:rPr>
                <w:b/>
                <w:sz w:val="22"/>
                <w:szCs w:val="22"/>
                <w:lang w:val="es-ES"/>
              </w:rPr>
            </w:pPr>
            <w:r w:rsidRPr="00A17DFE">
              <w:rPr>
                <w:sz w:val="22"/>
                <w:szCs w:val="22"/>
                <w:lang w:val="es-ES"/>
              </w:rPr>
              <w:t>XII.9 para 13</w:t>
            </w:r>
          </w:p>
        </w:tc>
      </w:tr>
      <w:tr w:rsidR="00EB5A58" w:rsidRPr="00217036" w14:paraId="179F246F" w14:textId="77777777" w:rsidTr="00FF75A5">
        <w:tc>
          <w:tcPr>
            <w:tcW w:w="1929" w:type="dxa"/>
          </w:tcPr>
          <w:p w14:paraId="6E2A7677" w14:textId="77777777" w:rsidR="00EB5A58" w:rsidRPr="003D6E9B" w:rsidRDefault="00226260" w:rsidP="00C65459">
            <w:pPr>
              <w:rPr>
                <w:sz w:val="22"/>
                <w:szCs w:val="22"/>
                <w:lang w:val="en-US"/>
              </w:rPr>
            </w:pPr>
            <w:r>
              <w:rPr>
                <w:sz w:val="22"/>
                <w:szCs w:val="22"/>
                <w:lang w:val="en-US"/>
              </w:rPr>
              <w:t>21</w:t>
            </w:r>
          </w:p>
        </w:tc>
        <w:tc>
          <w:tcPr>
            <w:tcW w:w="9123" w:type="dxa"/>
          </w:tcPr>
          <w:p w14:paraId="6E0FB335" w14:textId="77777777" w:rsidR="00EB5A58" w:rsidRPr="00176674" w:rsidRDefault="00226260" w:rsidP="00226260">
            <w:pPr>
              <w:rPr>
                <w:rFonts w:ascii="Calibri" w:hAnsi="Calibri"/>
                <w:color w:val="262626"/>
                <w:sz w:val="22"/>
                <w:szCs w:val="22"/>
                <w:lang w:val="en-US"/>
              </w:rPr>
            </w:pPr>
            <w:r w:rsidRPr="00176674">
              <w:rPr>
                <w:rFonts w:ascii="Calibri" w:hAnsi="Calibri"/>
                <w:color w:val="262626"/>
                <w:sz w:val="22"/>
                <w:szCs w:val="22"/>
                <w:lang w:val="en-US"/>
              </w:rPr>
              <w:t>INVITES the</w:t>
            </w:r>
            <w:r w:rsidR="00EB5A58" w:rsidRPr="00176674">
              <w:rPr>
                <w:rFonts w:ascii="Calibri" w:hAnsi="Calibri"/>
                <w:color w:val="262626"/>
                <w:sz w:val="22"/>
                <w:szCs w:val="22"/>
                <w:lang w:val="en-US"/>
              </w:rPr>
              <w:t xml:space="preserve"> Contracting Parties and RRIs take note of the </w:t>
            </w:r>
            <w:r w:rsidRPr="00176674">
              <w:rPr>
                <w:rFonts w:ascii="Calibri" w:hAnsi="Calibri"/>
                <w:color w:val="262626"/>
                <w:sz w:val="22"/>
                <w:szCs w:val="22"/>
                <w:lang w:val="en-US"/>
              </w:rPr>
              <w:t xml:space="preserve">Resolutions in </w:t>
            </w:r>
            <w:r w:rsidRPr="00176674">
              <w:rPr>
                <w:rFonts w:ascii="Calibri" w:hAnsi="Calibri"/>
                <w:b/>
                <w:color w:val="262626"/>
                <w:sz w:val="22"/>
                <w:szCs w:val="22"/>
                <w:lang w:val="en-US"/>
              </w:rPr>
              <w:t xml:space="preserve">Annex </w:t>
            </w:r>
            <w:r w:rsidR="00D769F9">
              <w:rPr>
                <w:rFonts w:ascii="Calibri" w:hAnsi="Calibri"/>
                <w:b/>
                <w:color w:val="262626"/>
                <w:sz w:val="22"/>
                <w:szCs w:val="22"/>
                <w:lang w:val="en-US"/>
              </w:rPr>
              <w:t>B</w:t>
            </w:r>
            <w:r w:rsidR="00EB5A58" w:rsidRPr="00176674">
              <w:rPr>
                <w:rFonts w:ascii="Calibri" w:hAnsi="Calibri"/>
                <w:color w:val="262626"/>
                <w:sz w:val="22"/>
                <w:szCs w:val="22"/>
                <w:lang w:val="en-US"/>
              </w:rPr>
              <w:t xml:space="preserve"> </w:t>
            </w:r>
            <w:r w:rsidRPr="00176674">
              <w:rPr>
                <w:rFonts w:ascii="Calibri" w:hAnsi="Calibri"/>
                <w:color w:val="262626"/>
                <w:sz w:val="22"/>
                <w:szCs w:val="22"/>
                <w:lang w:val="en-US"/>
              </w:rPr>
              <w:t>which include paragraphs of relevance to RRIs and REQUESTS the Secretariat</w:t>
            </w:r>
            <w:r w:rsidR="00176674" w:rsidRPr="00176674">
              <w:rPr>
                <w:rFonts w:ascii="Calibri" w:hAnsi="Calibri"/>
                <w:color w:val="262626"/>
                <w:sz w:val="22"/>
                <w:szCs w:val="22"/>
                <w:lang w:val="en-US"/>
              </w:rPr>
              <w:t xml:space="preserve"> to</w:t>
            </w:r>
            <w:r w:rsidRPr="00176674">
              <w:rPr>
                <w:rFonts w:ascii="Calibri" w:hAnsi="Calibri"/>
                <w:color w:val="262626"/>
                <w:sz w:val="22"/>
                <w:szCs w:val="22"/>
                <w:lang w:val="en-US"/>
              </w:rPr>
              <w:t xml:space="preserve"> assist </w:t>
            </w:r>
            <w:r w:rsidR="00EB5A58" w:rsidRPr="00176674">
              <w:rPr>
                <w:rFonts w:ascii="Calibri" w:hAnsi="Calibri"/>
                <w:color w:val="262626"/>
                <w:sz w:val="22"/>
                <w:szCs w:val="22"/>
                <w:lang w:val="en-US"/>
              </w:rPr>
              <w:t xml:space="preserve">RRIs to identify </w:t>
            </w:r>
            <w:r w:rsidRPr="00176674">
              <w:rPr>
                <w:rFonts w:ascii="Calibri" w:hAnsi="Calibri"/>
                <w:color w:val="262626"/>
                <w:sz w:val="22"/>
                <w:szCs w:val="22"/>
                <w:lang w:val="en-US"/>
              </w:rPr>
              <w:t>any tasks which remain incomplete;</w:t>
            </w:r>
          </w:p>
        </w:tc>
        <w:tc>
          <w:tcPr>
            <w:tcW w:w="2944" w:type="dxa"/>
          </w:tcPr>
          <w:p w14:paraId="6B5ADB62" w14:textId="77777777" w:rsidR="00EB5A58" w:rsidRPr="00E14128" w:rsidRDefault="00176674" w:rsidP="00C65459">
            <w:pPr>
              <w:rPr>
                <w:sz w:val="22"/>
                <w:szCs w:val="22"/>
                <w:lang w:val="en-US"/>
              </w:rPr>
            </w:pPr>
            <w:r>
              <w:rPr>
                <w:sz w:val="22"/>
                <w:szCs w:val="22"/>
                <w:lang w:val="en-US"/>
              </w:rPr>
              <w:t>R</w:t>
            </w:r>
            <w:r w:rsidR="00186C32">
              <w:rPr>
                <w:sz w:val="22"/>
                <w:szCs w:val="22"/>
                <w:lang w:val="en-US"/>
              </w:rPr>
              <w:t>esolutions identified in Annex 5</w:t>
            </w:r>
            <w:r>
              <w:rPr>
                <w:sz w:val="22"/>
                <w:szCs w:val="22"/>
                <w:lang w:val="en-US"/>
              </w:rPr>
              <w:t xml:space="preserve"> of this advice </w:t>
            </w:r>
          </w:p>
        </w:tc>
      </w:tr>
      <w:tr w:rsidR="00F42051" w14:paraId="25F13A05" w14:textId="77777777" w:rsidTr="00FF75A5">
        <w:tc>
          <w:tcPr>
            <w:tcW w:w="1929" w:type="dxa"/>
          </w:tcPr>
          <w:p w14:paraId="4F45641B" w14:textId="77777777" w:rsidR="000B7246" w:rsidRPr="003D6E9B" w:rsidRDefault="003D6E9B" w:rsidP="00C65459">
            <w:pPr>
              <w:rPr>
                <w:sz w:val="22"/>
                <w:szCs w:val="22"/>
                <w:lang w:val="en-US"/>
              </w:rPr>
            </w:pPr>
            <w:r w:rsidRPr="003D6E9B">
              <w:rPr>
                <w:sz w:val="22"/>
                <w:szCs w:val="22"/>
                <w:lang w:val="en-US"/>
              </w:rPr>
              <w:t>2</w:t>
            </w:r>
            <w:r w:rsidR="00226260">
              <w:rPr>
                <w:sz w:val="22"/>
                <w:szCs w:val="22"/>
                <w:lang w:val="en-US"/>
              </w:rPr>
              <w:t>2</w:t>
            </w:r>
          </w:p>
        </w:tc>
        <w:tc>
          <w:tcPr>
            <w:tcW w:w="9123" w:type="dxa"/>
          </w:tcPr>
          <w:p w14:paraId="341E38F9" w14:textId="77777777" w:rsidR="000B7246" w:rsidRDefault="003D6E9B" w:rsidP="00226260">
            <w:pPr>
              <w:rPr>
                <w:rFonts w:ascii="Calibri" w:eastAsia="Times New Roman" w:hAnsi="Calibri" w:cs="Calibri"/>
                <w:color w:val="262626"/>
                <w:sz w:val="22"/>
                <w:szCs w:val="22"/>
                <w:lang w:val="en-US"/>
              </w:rPr>
            </w:pPr>
            <w:r w:rsidRPr="00E14128">
              <w:rPr>
                <w:rFonts w:ascii="Calibri" w:hAnsi="Calibri"/>
                <w:color w:val="262626"/>
                <w:lang w:val="en-US"/>
              </w:rPr>
              <w:t>RE</w:t>
            </w:r>
            <w:r w:rsidRPr="002F5FF4">
              <w:rPr>
                <w:rFonts w:ascii="Calibri" w:hAnsi="Calibri"/>
                <w:color w:val="262626"/>
                <w:sz w:val="22"/>
                <w:szCs w:val="22"/>
                <w:lang w:val="en-US"/>
              </w:rPr>
              <w:t xml:space="preserve">QUESTS the Secretariat, within its existing legal framework and mandate, to assist Contracting Parties, as appropriate, in the administration of non-core funded projects, including, but not limited to, successful </w:t>
            </w:r>
            <w:r w:rsidRPr="002F5FF4">
              <w:rPr>
                <w:rFonts w:ascii="Calibri" w:eastAsia="Times New Roman" w:hAnsi="Calibri" w:cs="Calibri"/>
                <w:color w:val="262626"/>
                <w:sz w:val="22"/>
                <w:szCs w:val="22"/>
                <w:lang w:val="en-US"/>
              </w:rPr>
              <w:t>fundraising</w:t>
            </w:r>
            <w:r w:rsidRPr="002F5FF4">
              <w:rPr>
                <w:rFonts w:ascii="Calibri" w:hAnsi="Calibri"/>
                <w:color w:val="262626"/>
                <w:sz w:val="22"/>
                <w:szCs w:val="22"/>
                <w:lang w:val="en-US"/>
              </w:rPr>
              <w:t xml:space="preserve"> for </w:t>
            </w:r>
            <w:r w:rsidRPr="002F5FF4">
              <w:rPr>
                <w:rFonts w:ascii="Calibri" w:eastAsia="Times New Roman" w:hAnsi="Calibri" w:cs="Calibri"/>
                <w:color w:val="262626"/>
                <w:sz w:val="22"/>
                <w:szCs w:val="22"/>
                <w:lang w:val="en-US"/>
              </w:rPr>
              <w:t>RRIs</w:t>
            </w:r>
            <w:r w:rsidRPr="002F5FF4">
              <w:rPr>
                <w:rFonts w:ascii="Calibri" w:hAnsi="Calibri"/>
                <w:color w:val="262626"/>
                <w:sz w:val="22"/>
                <w:szCs w:val="22"/>
                <w:lang w:val="en-US"/>
              </w:rPr>
              <w:t xml:space="preserve">; and FURTHER INSTRUCTS Secretariat staff in positions identified in </w:t>
            </w:r>
            <w:r w:rsidR="00226260" w:rsidRPr="00226260">
              <w:rPr>
                <w:rFonts w:ascii="Calibri" w:hAnsi="Calibri"/>
                <w:b/>
                <w:color w:val="262626"/>
                <w:sz w:val="22"/>
                <w:szCs w:val="22"/>
                <w:lang w:val="en-US"/>
              </w:rPr>
              <w:t xml:space="preserve">ANNEX </w:t>
            </w:r>
            <w:r w:rsidR="00D769F9">
              <w:rPr>
                <w:rFonts w:ascii="Calibri" w:hAnsi="Calibri"/>
                <w:b/>
                <w:color w:val="262626"/>
                <w:sz w:val="22"/>
                <w:szCs w:val="22"/>
                <w:lang w:val="en-US"/>
              </w:rPr>
              <w:t>C</w:t>
            </w:r>
            <w:r w:rsidR="00226260">
              <w:rPr>
                <w:rFonts w:ascii="Calibri" w:hAnsi="Calibri"/>
                <w:color w:val="262626"/>
                <w:sz w:val="22"/>
                <w:szCs w:val="22"/>
                <w:lang w:val="en-US"/>
              </w:rPr>
              <w:t xml:space="preserve"> </w:t>
            </w:r>
            <w:r w:rsidRPr="002F5FF4">
              <w:rPr>
                <w:rFonts w:ascii="Calibri" w:eastAsia="Times New Roman" w:hAnsi="Calibri" w:cs="Calibri"/>
                <w:color w:val="262626"/>
                <w:sz w:val="22"/>
                <w:szCs w:val="22"/>
                <w:lang w:val="en-US"/>
              </w:rPr>
              <w:t>as</w:t>
            </w:r>
            <w:r w:rsidRPr="002F5FF4">
              <w:rPr>
                <w:rFonts w:ascii="Calibri" w:hAnsi="Calibri"/>
                <w:color w:val="262626"/>
                <w:sz w:val="22"/>
                <w:szCs w:val="22"/>
                <w:lang w:val="en-US"/>
              </w:rPr>
              <w:t xml:space="preserve"> supported with core funds not to be involved in the day</w:t>
            </w:r>
            <w:r w:rsidRPr="002F5FF4">
              <w:rPr>
                <w:rFonts w:ascii="Calibri" w:eastAsia="Times New Roman" w:hAnsi="Calibri" w:cs="Calibri"/>
                <w:color w:val="262626"/>
                <w:sz w:val="22"/>
                <w:szCs w:val="22"/>
                <w:lang w:val="en-US"/>
              </w:rPr>
              <w:t>-</w:t>
            </w:r>
            <w:r w:rsidRPr="002F5FF4">
              <w:rPr>
                <w:rFonts w:ascii="Calibri" w:hAnsi="Calibri"/>
                <w:color w:val="262626"/>
                <w:sz w:val="22"/>
                <w:szCs w:val="22"/>
                <w:lang w:val="en-US"/>
              </w:rPr>
              <w:t>to</w:t>
            </w:r>
            <w:r w:rsidRPr="002F5FF4">
              <w:rPr>
                <w:rFonts w:ascii="Calibri" w:eastAsia="Times New Roman" w:hAnsi="Calibri" w:cs="Calibri"/>
                <w:color w:val="262626"/>
                <w:sz w:val="22"/>
                <w:szCs w:val="22"/>
                <w:lang w:val="en-US"/>
              </w:rPr>
              <w:t>-</w:t>
            </w:r>
            <w:r w:rsidRPr="002F5FF4">
              <w:rPr>
                <w:rFonts w:ascii="Calibri" w:hAnsi="Calibri"/>
                <w:color w:val="262626"/>
                <w:sz w:val="22"/>
                <w:szCs w:val="22"/>
                <w:lang w:val="en-US"/>
              </w:rPr>
              <w:t>day administration of non-core funded projects</w:t>
            </w:r>
            <w:r w:rsidRPr="002F5FF4">
              <w:rPr>
                <w:rFonts w:ascii="Calibri" w:eastAsia="Times New Roman" w:hAnsi="Calibri" w:cs="Calibri"/>
                <w:color w:val="262626"/>
                <w:sz w:val="22"/>
                <w:szCs w:val="22"/>
                <w:lang w:val="en-US"/>
              </w:rPr>
              <w:t>,</w:t>
            </w:r>
            <w:r w:rsidRPr="002F5FF4">
              <w:rPr>
                <w:rFonts w:ascii="Calibri" w:hAnsi="Calibri"/>
                <w:color w:val="262626"/>
                <w:sz w:val="22"/>
                <w:szCs w:val="22"/>
                <w:lang w:val="en-US"/>
              </w:rPr>
              <w:t xml:space="preserve"> </w:t>
            </w:r>
            <w:r w:rsidR="00B47A70">
              <w:rPr>
                <w:rFonts w:ascii="Calibri" w:hAnsi="Calibri"/>
                <w:color w:val="262626"/>
                <w:sz w:val="22"/>
                <w:szCs w:val="22"/>
                <w:lang w:val="en-US"/>
              </w:rPr>
              <w:t>these being the</w:t>
            </w:r>
            <w:r w:rsidRPr="002F5FF4">
              <w:rPr>
                <w:rFonts w:ascii="Calibri" w:hAnsi="Calibri"/>
                <w:color w:val="262626"/>
                <w:sz w:val="22"/>
                <w:szCs w:val="22"/>
                <w:lang w:val="en-US"/>
              </w:rPr>
              <w:t xml:space="preserve"> responsibility of any Secretariat staff in positions supported with non-core funds for that specific purpose</w:t>
            </w:r>
            <w:r w:rsidRPr="002F5FF4">
              <w:rPr>
                <w:rFonts w:ascii="Calibri" w:eastAsia="Times New Roman" w:hAnsi="Calibri" w:cs="Calibri"/>
                <w:color w:val="262626"/>
                <w:sz w:val="22"/>
                <w:szCs w:val="22"/>
                <w:lang w:val="en-US"/>
              </w:rPr>
              <w:t>;</w:t>
            </w:r>
          </w:p>
          <w:p w14:paraId="067C8825" w14:textId="77777777" w:rsidR="00FF75A5" w:rsidRDefault="00FF75A5" w:rsidP="00226260">
            <w:pPr>
              <w:rPr>
                <w:b/>
                <w:sz w:val="22"/>
                <w:szCs w:val="22"/>
                <w:lang w:val="en-US"/>
              </w:rPr>
            </w:pPr>
          </w:p>
        </w:tc>
        <w:tc>
          <w:tcPr>
            <w:tcW w:w="2944" w:type="dxa"/>
          </w:tcPr>
          <w:p w14:paraId="727FA531" w14:textId="77777777" w:rsidR="000B7246" w:rsidRDefault="003D6E9B" w:rsidP="00C65459">
            <w:pPr>
              <w:rPr>
                <w:b/>
                <w:sz w:val="22"/>
                <w:szCs w:val="22"/>
                <w:lang w:val="en-US"/>
              </w:rPr>
            </w:pPr>
            <w:r w:rsidRPr="00E14128">
              <w:rPr>
                <w:sz w:val="22"/>
                <w:szCs w:val="22"/>
                <w:lang w:val="en-US"/>
              </w:rPr>
              <w:t>XIII.9 para 17</w:t>
            </w:r>
          </w:p>
        </w:tc>
      </w:tr>
      <w:tr w:rsidR="00F42051" w14:paraId="3CF45DEB" w14:textId="77777777" w:rsidTr="00FF75A5">
        <w:tc>
          <w:tcPr>
            <w:tcW w:w="1929" w:type="dxa"/>
          </w:tcPr>
          <w:p w14:paraId="324B96FA" w14:textId="77777777" w:rsidR="000B7246" w:rsidRDefault="00CB0797" w:rsidP="00415CC2">
            <w:pPr>
              <w:rPr>
                <w:b/>
                <w:sz w:val="22"/>
                <w:szCs w:val="22"/>
                <w:lang w:val="en-US"/>
              </w:rPr>
            </w:pPr>
            <w:r>
              <w:rPr>
                <w:b/>
                <w:sz w:val="22"/>
                <w:szCs w:val="22"/>
                <w:lang w:val="en-US"/>
              </w:rPr>
              <w:lastRenderedPageBreak/>
              <w:t>Publicity</w:t>
            </w:r>
          </w:p>
        </w:tc>
        <w:tc>
          <w:tcPr>
            <w:tcW w:w="9123" w:type="dxa"/>
          </w:tcPr>
          <w:p w14:paraId="18EBC166" w14:textId="77777777" w:rsidR="000B7246" w:rsidRDefault="000B7246" w:rsidP="00C65459">
            <w:pPr>
              <w:rPr>
                <w:b/>
                <w:sz w:val="22"/>
                <w:szCs w:val="22"/>
                <w:lang w:val="en-US"/>
              </w:rPr>
            </w:pPr>
          </w:p>
        </w:tc>
        <w:tc>
          <w:tcPr>
            <w:tcW w:w="2944" w:type="dxa"/>
          </w:tcPr>
          <w:p w14:paraId="276731F5" w14:textId="77777777" w:rsidR="000B7246" w:rsidRDefault="000B7246" w:rsidP="00C65459">
            <w:pPr>
              <w:rPr>
                <w:b/>
                <w:sz w:val="22"/>
                <w:szCs w:val="22"/>
                <w:lang w:val="en-US"/>
              </w:rPr>
            </w:pPr>
          </w:p>
        </w:tc>
      </w:tr>
      <w:tr w:rsidR="00F42051" w14:paraId="2337AB6A" w14:textId="77777777" w:rsidTr="00FF75A5">
        <w:tc>
          <w:tcPr>
            <w:tcW w:w="1929" w:type="dxa"/>
          </w:tcPr>
          <w:p w14:paraId="05C3D904" w14:textId="77777777" w:rsidR="000B7246" w:rsidRPr="00E32555" w:rsidRDefault="00E32555" w:rsidP="00C65459">
            <w:pPr>
              <w:rPr>
                <w:sz w:val="22"/>
                <w:szCs w:val="22"/>
                <w:lang w:val="en-US"/>
              </w:rPr>
            </w:pPr>
            <w:r w:rsidRPr="00E32555">
              <w:rPr>
                <w:sz w:val="22"/>
                <w:szCs w:val="22"/>
                <w:lang w:val="en-US"/>
              </w:rPr>
              <w:t>2</w:t>
            </w:r>
            <w:r w:rsidR="00226260">
              <w:rPr>
                <w:sz w:val="22"/>
                <w:szCs w:val="22"/>
                <w:lang w:val="en-US"/>
              </w:rPr>
              <w:t>3</w:t>
            </w:r>
          </w:p>
        </w:tc>
        <w:tc>
          <w:tcPr>
            <w:tcW w:w="9123" w:type="dxa"/>
          </w:tcPr>
          <w:p w14:paraId="45691D5C" w14:textId="77777777" w:rsidR="000B7246" w:rsidRPr="00E32555" w:rsidRDefault="00EB5A58" w:rsidP="00C65459">
            <w:pPr>
              <w:rPr>
                <w:sz w:val="22"/>
                <w:szCs w:val="22"/>
                <w:lang w:val="en-US"/>
              </w:rPr>
            </w:pPr>
            <w:r>
              <w:rPr>
                <w:sz w:val="22"/>
                <w:szCs w:val="22"/>
                <w:lang w:val="en-US"/>
              </w:rPr>
              <w:t xml:space="preserve">FURTHER </w:t>
            </w:r>
            <w:r w:rsidR="00E32555" w:rsidRPr="00E32555">
              <w:rPr>
                <w:sz w:val="22"/>
                <w:szCs w:val="22"/>
                <w:lang w:val="en-US"/>
              </w:rPr>
              <w:t>REQUESTS that the Secretariat continue publishing on the Convention’s website information provided by the RRIs, including reports on their successes and work plans</w:t>
            </w:r>
            <w:r w:rsidR="00E32555">
              <w:rPr>
                <w:sz w:val="22"/>
                <w:szCs w:val="22"/>
                <w:lang w:val="en-US"/>
              </w:rPr>
              <w:t>;</w:t>
            </w:r>
          </w:p>
        </w:tc>
        <w:tc>
          <w:tcPr>
            <w:tcW w:w="2944" w:type="dxa"/>
          </w:tcPr>
          <w:p w14:paraId="6C982105" w14:textId="77777777" w:rsidR="000B7246" w:rsidRPr="00B47A70" w:rsidRDefault="00B47A70" w:rsidP="00C65459">
            <w:pPr>
              <w:rPr>
                <w:sz w:val="22"/>
                <w:szCs w:val="22"/>
                <w:lang w:val="en-US"/>
              </w:rPr>
            </w:pPr>
            <w:r>
              <w:rPr>
                <w:sz w:val="22"/>
                <w:szCs w:val="22"/>
                <w:lang w:val="en-US"/>
              </w:rPr>
              <w:t xml:space="preserve">XIII.9 para </w:t>
            </w:r>
            <w:r w:rsidRPr="00B47A70">
              <w:rPr>
                <w:sz w:val="22"/>
                <w:szCs w:val="22"/>
                <w:lang w:val="en-US"/>
              </w:rPr>
              <w:t>22</w:t>
            </w:r>
          </w:p>
        </w:tc>
      </w:tr>
      <w:tr w:rsidR="00F42051" w14:paraId="2F4C339F" w14:textId="77777777" w:rsidTr="00FF75A5">
        <w:tc>
          <w:tcPr>
            <w:tcW w:w="1929" w:type="dxa"/>
          </w:tcPr>
          <w:p w14:paraId="29B7B8E2" w14:textId="77777777" w:rsidR="000B7246" w:rsidRPr="00B47A70" w:rsidRDefault="00B47A70" w:rsidP="00C65459">
            <w:pPr>
              <w:rPr>
                <w:sz w:val="22"/>
                <w:szCs w:val="22"/>
                <w:lang w:val="en-US"/>
              </w:rPr>
            </w:pPr>
            <w:r w:rsidRPr="00B47A70">
              <w:rPr>
                <w:sz w:val="22"/>
                <w:szCs w:val="22"/>
                <w:lang w:val="en-US"/>
              </w:rPr>
              <w:t>2</w:t>
            </w:r>
            <w:r w:rsidR="00226260">
              <w:rPr>
                <w:sz w:val="22"/>
                <w:szCs w:val="22"/>
                <w:lang w:val="en-US"/>
              </w:rPr>
              <w:t>4</w:t>
            </w:r>
          </w:p>
        </w:tc>
        <w:tc>
          <w:tcPr>
            <w:tcW w:w="9123" w:type="dxa"/>
          </w:tcPr>
          <w:p w14:paraId="083C727F" w14:textId="77777777" w:rsidR="000B7246" w:rsidRPr="00B47A70" w:rsidRDefault="00B47A70" w:rsidP="00C65459">
            <w:pPr>
              <w:rPr>
                <w:sz w:val="22"/>
                <w:szCs w:val="22"/>
                <w:lang w:val="en-US"/>
              </w:rPr>
            </w:pPr>
            <w:r w:rsidRPr="00B47A70">
              <w:rPr>
                <w:sz w:val="22"/>
                <w:szCs w:val="22"/>
                <w:lang w:val="en-US"/>
              </w:rPr>
              <w:t>INSTRUCTS the Secretariat to publicize RRIs at the global level as a mechanism to promote international cooperation and support for the implementation of the objectives of the Convention, to complement the efforts of the Ramsar Administrative Authorities and the National Focal Points at the national level;</w:t>
            </w:r>
          </w:p>
        </w:tc>
        <w:tc>
          <w:tcPr>
            <w:tcW w:w="2944" w:type="dxa"/>
          </w:tcPr>
          <w:p w14:paraId="1201350D" w14:textId="77777777" w:rsidR="000B7246" w:rsidRDefault="00B47A70" w:rsidP="00C65459">
            <w:pPr>
              <w:rPr>
                <w:sz w:val="22"/>
                <w:szCs w:val="22"/>
                <w:lang w:val="en-US"/>
              </w:rPr>
            </w:pPr>
            <w:r w:rsidRPr="00B47A70">
              <w:rPr>
                <w:sz w:val="22"/>
                <w:szCs w:val="22"/>
                <w:lang w:val="en-US"/>
              </w:rPr>
              <w:t>XIII.9 para 2</w:t>
            </w:r>
            <w:r>
              <w:rPr>
                <w:sz w:val="22"/>
                <w:szCs w:val="22"/>
                <w:lang w:val="en-US"/>
              </w:rPr>
              <w:t>0</w:t>
            </w:r>
          </w:p>
          <w:p w14:paraId="535CEF11" w14:textId="77777777" w:rsidR="00C42942" w:rsidRPr="00B47A70" w:rsidRDefault="00C42942" w:rsidP="00C65459">
            <w:pPr>
              <w:rPr>
                <w:sz w:val="22"/>
                <w:szCs w:val="22"/>
                <w:lang w:val="en-US"/>
              </w:rPr>
            </w:pPr>
            <w:r>
              <w:rPr>
                <w:sz w:val="22"/>
                <w:szCs w:val="22"/>
                <w:lang w:val="en-US"/>
              </w:rPr>
              <w:t>XII.8 para 18</w:t>
            </w:r>
          </w:p>
        </w:tc>
      </w:tr>
      <w:tr w:rsidR="00F42051" w14:paraId="0DC2E466" w14:textId="77777777" w:rsidTr="00FF75A5">
        <w:tc>
          <w:tcPr>
            <w:tcW w:w="1929" w:type="dxa"/>
          </w:tcPr>
          <w:p w14:paraId="19652970" w14:textId="77777777" w:rsidR="000B7246" w:rsidRDefault="00415CC2" w:rsidP="00C65459">
            <w:pPr>
              <w:rPr>
                <w:b/>
                <w:sz w:val="22"/>
                <w:szCs w:val="22"/>
                <w:lang w:val="en-US"/>
              </w:rPr>
            </w:pPr>
            <w:r>
              <w:rPr>
                <w:b/>
                <w:sz w:val="22"/>
                <w:szCs w:val="22"/>
                <w:lang w:val="en-US"/>
              </w:rPr>
              <w:t>STRP</w:t>
            </w:r>
            <w:r w:rsidR="00B52BE4">
              <w:rPr>
                <w:b/>
                <w:sz w:val="22"/>
                <w:szCs w:val="22"/>
                <w:lang w:val="en-US"/>
              </w:rPr>
              <w:t>, CEPA</w:t>
            </w:r>
          </w:p>
        </w:tc>
        <w:tc>
          <w:tcPr>
            <w:tcW w:w="9123" w:type="dxa"/>
          </w:tcPr>
          <w:p w14:paraId="58F37CE3" w14:textId="77777777" w:rsidR="000B7246" w:rsidRDefault="000B7246" w:rsidP="00C65459">
            <w:pPr>
              <w:rPr>
                <w:b/>
                <w:sz w:val="22"/>
                <w:szCs w:val="22"/>
                <w:lang w:val="en-US"/>
              </w:rPr>
            </w:pPr>
          </w:p>
        </w:tc>
        <w:tc>
          <w:tcPr>
            <w:tcW w:w="2944" w:type="dxa"/>
          </w:tcPr>
          <w:p w14:paraId="100AEA15" w14:textId="77777777" w:rsidR="000B7246" w:rsidRDefault="000B7246" w:rsidP="00C65459">
            <w:pPr>
              <w:rPr>
                <w:b/>
                <w:sz w:val="22"/>
                <w:szCs w:val="22"/>
                <w:lang w:val="en-US"/>
              </w:rPr>
            </w:pPr>
          </w:p>
        </w:tc>
      </w:tr>
      <w:tr w:rsidR="00F42051" w14:paraId="0C8B0967" w14:textId="77777777" w:rsidTr="00FF75A5">
        <w:tc>
          <w:tcPr>
            <w:tcW w:w="1929" w:type="dxa"/>
          </w:tcPr>
          <w:p w14:paraId="08C0DC73" w14:textId="77777777" w:rsidR="000B7246" w:rsidRPr="00226260" w:rsidRDefault="00226260" w:rsidP="00C65459">
            <w:pPr>
              <w:rPr>
                <w:sz w:val="22"/>
                <w:szCs w:val="22"/>
                <w:lang w:val="en-US"/>
              </w:rPr>
            </w:pPr>
            <w:r w:rsidRPr="00226260">
              <w:rPr>
                <w:sz w:val="22"/>
                <w:szCs w:val="22"/>
                <w:lang w:val="en-US"/>
              </w:rPr>
              <w:t>25</w:t>
            </w:r>
          </w:p>
        </w:tc>
        <w:tc>
          <w:tcPr>
            <w:tcW w:w="9123" w:type="dxa"/>
          </w:tcPr>
          <w:p w14:paraId="69D5CE83" w14:textId="77777777" w:rsidR="000B7246" w:rsidRPr="00B52BE4" w:rsidRDefault="00B52BE4" w:rsidP="00C65459">
            <w:pPr>
              <w:rPr>
                <w:sz w:val="22"/>
                <w:szCs w:val="22"/>
                <w:lang w:val="en-US"/>
              </w:rPr>
            </w:pPr>
            <w:r w:rsidRPr="00B52BE4">
              <w:rPr>
                <w:sz w:val="22"/>
                <w:szCs w:val="22"/>
                <w:lang w:val="en-US"/>
              </w:rPr>
              <w:t>ENCOURAGES the Contracting Parties concerned to invite National Focal Points designated by the Parties for scientific and technical matters (STRP Focal Points) and for the Convention’s programme on communication, capacity building, education, participation and awareness (CEPA Focal Points), to take an active part in the RRIs’ organization, work and projects, when appropriate;</w:t>
            </w:r>
          </w:p>
        </w:tc>
        <w:tc>
          <w:tcPr>
            <w:tcW w:w="2944" w:type="dxa"/>
          </w:tcPr>
          <w:p w14:paraId="4A607445" w14:textId="77777777" w:rsidR="000B7246" w:rsidRDefault="00E6367E" w:rsidP="00C65459">
            <w:pPr>
              <w:rPr>
                <w:sz w:val="22"/>
                <w:szCs w:val="22"/>
                <w:lang w:val="en-US"/>
              </w:rPr>
            </w:pPr>
            <w:r w:rsidRPr="00E6367E">
              <w:rPr>
                <w:sz w:val="22"/>
                <w:szCs w:val="22"/>
                <w:lang w:val="en-US"/>
              </w:rPr>
              <w:t xml:space="preserve">XIII.9 para </w:t>
            </w:r>
            <w:r>
              <w:rPr>
                <w:sz w:val="22"/>
                <w:szCs w:val="22"/>
                <w:lang w:val="en-US"/>
              </w:rPr>
              <w:t>24</w:t>
            </w:r>
          </w:p>
          <w:p w14:paraId="71595E7E" w14:textId="77777777" w:rsidR="00E6367E" w:rsidRPr="00E6367E" w:rsidRDefault="00E6367E" w:rsidP="00C65459">
            <w:pPr>
              <w:rPr>
                <w:sz w:val="22"/>
                <w:szCs w:val="22"/>
                <w:lang w:val="en-US"/>
              </w:rPr>
            </w:pPr>
          </w:p>
        </w:tc>
      </w:tr>
      <w:tr w:rsidR="00F42051" w14:paraId="3ED40437" w14:textId="77777777" w:rsidTr="00FF75A5">
        <w:tc>
          <w:tcPr>
            <w:tcW w:w="1929" w:type="dxa"/>
          </w:tcPr>
          <w:p w14:paraId="4CF4712F" w14:textId="77777777" w:rsidR="000B7246" w:rsidRDefault="00CA57A1" w:rsidP="00C65459">
            <w:pPr>
              <w:rPr>
                <w:b/>
                <w:sz w:val="22"/>
                <w:szCs w:val="22"/>
                <w:lang w:val="en-US"/>
              </w:rPr>
            </w:pPr>
            <w:r>
              <w:rPr>
                <w:b/>
                <w:sz w:val="22"/>
                <w:szCs w:val="22"/>
                <w:lang w:val="en-US"/>
              </w:rPr>
              <w:t>New RRIs</w:t>
            </w:r>
          </w:p>
        </w:tc>
        <w:tc>
          <w:tcPr>
            <w:tcW w:w="9123" w:type="dxa"/>
          </w:tcPr>
          <w:p w14:paraId="58A6FDD3" w14:textId="77777777" w:rsidR="000B7246" w:rsidRDefault="000B7246" w:rsidP="00C65459">
            <w:pPr>
              <w:rPr>
                <w:b/>
                <w:sz w:val="22"/>
                <w:szCs w:val="22"/>
                <w:lang w:val="en-US"/>
              </w:rPr>
            </w:pPr>
          </w:p>
        </w:tc>
        <w:tc>
          <w:tcPr>
            <w:tcW w:w="2944" w:type="dxa"/>
          </w:tcPr>
          <w:p w14:paraId="19647B1F" w14:textId="77777777" w:rsidR="000B7246" w:rsidRDefault="000B7246" w:rsidP="00C65459">
            <w:pPr>
              <w:rPr>
                <w:b/>
                <w:sz w:val="22"/>
                <w:szCs w:val="22"/>
                <w:lang w:val="en-US"/>
              </w:rPr>
            </w:pPr>
          </w:p>
        </w:tc>
      </w:tr>
      <w:tr w:rsidR="00F42051" w14:paraId="3208823F" w14:textId="77777777" w:rsidTr="00FF75A5">
        <w:tc>
          <w:tcPr>
            <w:tcW w:w="1929" w:type="dxa"/>
          </w:tcPr>
          <w:p w14:paraId="66B29569" w14:textId="77777777" w:rsidR="000B7246" w:rsidRPr="00CA57A1" w:rsidRDefault="00CA57A1" w:rsidP="00C65459">
            <w:pPr>
              <w:rPr>
                <w:sz w:val="22"/>
                <w:szCs w:val="22"/>
                <w:lang w:val="en-US"/>
              </w:rPr>
            </w:pPr>
            <w:r w:rsidRPr="00CA57A1">
              <w:rPr>
                <w:sz w:val="22"/>
                <w:szCs w:val="22"/>
                <w:lang w:val="en-US"/>
              </w:rPr>
              <w:t>2</w:t>
            </w:r>
            <w:r w:rsidR="00226260">
              <w:rPr>
                <w:sz w:val="22"/>
                <w:szCs w:val="22"/>
                <w:lang w:val="en-US"/>
              </w:rPr>
              <w:t>6</w:t>
            </w:r>
          </w:p>
        </w:tc>
        <w:tc>
          <w:tcPr>
            <w:tcW w:w="9123" w:type="dxa"/>
          </w:tcPr>
          <w:p w14:paraId="6C1AB868" w14:textId="77777777" w:rsidR="00CA57A1" w:rsidRPr="00CA57A1" w:rsidRDefault="00CA57A1" w:rsidP="00CA57A1">
            <w:pPr>
              <w:rPr>
                <w:sz w:val="22"/>
                <w:szCs w:val="22"/>
                <w:lang w:val="en-US"/>
              </w:rPr>
            </w:pPr>
            <w:r w:rsidRPr="00CA57A1">
              <w:rPr>
                <w:sz w:val="22"/>
                <w:szCs w:val="22"/>
                <w:lang w:val="en-US"/>
              </w:rPr>
              <w:t>INSTRUCTS the Secretariat to open the call for proposals for new RRIs, to be endorsed by the Conference of the Parties at COP1</w:t>
            </w:r>
            <w:r>
              <w:rPr>
                <w:sz w:val="22"/>
                <w:szCs w:val="22"/>
                <w:lang w:val="en-US"/>
              </w:rPr>
              <w:t>5</w:t>
            </w:r>
            <w:r w:rsidRPr="00CA57A1">
              <w:rPr>
                <w:sz w:val="22"/>
                <w:szCs w:val="22"/>
                <w:lang w:val="en-US"/>
              </w:rPr>
              <w:t xml:space="preserve"> </w:t>
            </w:r>
            <w:bookmarkStart w:id="0" w:name="_Hlk528137940"/>
            <w:r w:rsidRPr="00CA57A1">
              <w:rPr>
                <w:sz w:val="22"/>
                <w:szCs w:val="22"/>
                <w:lang w:val="en-US"/>
              </w:rPr>
              <w:t>or by the Standing Committee at its meetings before COP1</w:t>
            </w:r>
            <w:bookmarkEnd w:id="0"/>
            <w:r>
              <w:rPr>
                <w:sz w:val="22"/>
                <w:szCs w:val="22"/>
                <w:lang w:val="en-US"/>
              </w:rPr>
              <w:t>5</w:t>
            </w:r>
            <w:r w:rsidRPr="00CA57A1">
              <w:rPr>
                <w:sz w:val="22"/>
                <w:szCs w:val="22"/>
                <w:lang w:val="en-US"/>
              </w:rPr>
              <w:t>;</w:t>
            </w:r>
          </w:p>
          <w:p w14:paraId="582150C3" w14:textId="77777777" w:rsidR="000B7246" w:rsidRDefault="000B7246" w:rsidP="00C65459">
            <w:pPr>
              <w:rPr>
                <w:b/>
                <w:sz w:val="22"/>
                <w:szCs w:val="22"/>
                <w:lang w:val="en-US"/>
              </w:rPr>
            </w:pPr>
          </w:p>
        </w:tc>
        <w:tc>
          <w:tcPr>
            <w:tcW w:w="2944" w:type="dxa"/>
          </w:tcPr>
          <w:p w14:paraId="112420BC" w14:textId="77777777" w:rsidR="000B7246" w:rsidRPr="00A70D72" w:rsidRDefault="00A70D72" w:rsidP="00C65459">
            <w:pPr>
              <w:rPr>
                <w:sz w:val="22"/>
                <w:szCs w:val="22"/>
                <w:lang w:val="en-US"/>
              </w:rPr>
            </w:pPr>
            <w:r w:rsidRPr="00A70D72">
              <w:rPr>
                <w:sz w:val="22"/>
                <w:szCs w:val="22"/>
                <w:lang w:val="en-US"/>
              </w:rPr>
              <w:t>XIII.9 para 12</w:t>
            </w:r>
          </w:p>
        </w:tc>
      </w:tr>
      <w:tr w:rsidR="00F42051" w14:paraId="2B290C86" w14:textId="77777777" w:rsidTr="00FF75A5">
        <w:tc>
          <w:tcPr>
            <w:tcW w:w="1929" w:type="dxa"/>
          </w:tcPr>
          <w:p w14:paraId="0B797C56" w14:textId="77777777" w:rsidR="000B7246" w:rsidRDefault="00CA57A1" w:rsidP="00C65459">
            <w:pPr>
              <w:rPr>
                <w:b/>
                <w:sz w:val="22"/>
                <w:szCs w:val="22"/>
                <w:lang w:val="en-US"/>
              </w:rPr>
            </w:pPr>
            <w:r>
              <w:rPr>
                <w:b/>
                <w:sz w:val="22"/>
                <w:szCs w:val="22"/>
                <w:lang w:val="en-US"/>
              </w:rPr>
              <w:t>Endorsement of RRIs</w:t>
            </w:r>
          </w:p>
        </w:tc>
        <w:tc>
          <w:tcPr>
            <w:tcW w:w="9123" w:type="dxa"/>
          </w:tcPr>
          <w:p w14:paraId="4EA3B3BA" w14:textId="77777777" w:rsidR="000B7246" w:rsidRDefault="000B7246" w:rsidP="00C65459">
            <w:pPr>
              <w:rPr>
                <w:b/>
                <w:sz w:val="22"/>
                <w:szCs w:val="22"/>
                <w:lang w:val="en-US"/>
              </w:rPr>
            </w:pPr>
          </w:p>
        </w:tc>
        <w:tc>
          <w:tcPr>
            <w:tcW w:w="2944" w:type="dxa"/>
          </w:tcPr>
          <w:p w14:paraId="7932C128" w14:textId="77777777" w:rsidR="000B7246" w:rsidRDefault="000B7246" w:rsidP="00C65459">
            <w:pPr>
              <w:rPr>
                <w:b/>
                <w:sz w:val="22"/>
                <w:szCs w:val="22"/>
                <w:lang w:val="en-US"/>
              </w:rPr>
            </w:pPr>
          </w:p>
        </w:tc>
      </w:tr>
      <w:tr w:rsidR="00F42051" w14:paraId="56DD8824" w14:textId="77777777" w:rsidTr="00FF75A5">
        <w:tc>
          <w:tcPr>
            <w:tcW w:w="1929" w:type="dxa"/>
          </w:tcPr>
          <w:p w14:paraId="60D24738" w14:textId="77777777" w:rsidR="000B7246" w:rsidRPr="00CA57A1" w:rsidRDefault="00CA57A1" w:rsidP="00C65459">
            <w:pPr>
              <w:rPr>
                <w:sz w:val="22"/>
                <w:szCs w:val="22"/>
                <w:lang w:val="en-US"/>
              </w:rPr>
            </w:pPr>
            <w:r>
              <w:rPr>
                <w:sz w:val="22"/>
                <w:szCs w:val="22"/>
                <w:lang w:val="en-US"/>
              </w:rPr>
              <w:t>2</w:t>
            </w:r>
            <w:r w:rsidR="00226260">
              <w:rPr>
                <w:sz w:val="22"/>
                <w:szCs w:val="22"/>
                <w:lang w:val="en-US"/>
              </w:rPr>
              <w:t>7</w:t>
            </w:r>
          </w:p>
        </w:tc>
        <w:tc>
          <w:tcPr>
            <w:tcW w:w="9123" w:type="dxa"/>
          </w:tcPr>
          <w:p w14:paraId="7E0327AD" w14:textId="77777777" w:rsidR="00CA57A1" w:rsidRPr="00CA57A1" w:rsidRDefault="00CA57A1" w:rsidP="00CA57A1">
            <w:pPr>
              <w:rPr>
                <w:sz w:val="22"/>
                <w:szCs w:val="22"/>
                <w:lang w:val="en-US"/>
              </w:rPr>
            </w:pPr>
            <w:r w:rsidRPr="00CA57A1">
              <w:rPr>
                <w:sz w:val="22"/>
                <w:szCs w:val="22"/>
                <w:lang w:val="en-US"/>
              </w:rPr>
              <w:t>ENDORSES the existing RRIs listed below as operating in the framework of the Convention on Wetlands until COP15:</w:t>
            </w:r>
          </w:p>
          <w:p w14:paraId="5A160D1C" w14:textId="77777777" w:rsidR="000B7246" w:rsidRDefault="000B7246" w:rsidP="00C65459">
            <w:pPr>
              <w:rPr>
                <w:b/>
                <w:sz w:val="22"/>
                <w:szCs w:val="22"/>
                <w:lang w:val="en-US"/>
              </w:rPr>
            </w:pPr>
          </w:p>
          <w:p w14:paraId="1B01CF5B" w14:textId="77777777" w:rsidR="00452C7C" w:rsidRDefault="00452C7C" w:rsidP="00C65459">
            <w:pPr>
              <w:rPr>
                <w:b/>
                <w:sz w:val="22"/>
                <w:szCs w:val="22"/>
                <w:lang w:val="en-US"/>
              </w:rPr>
            </w:pPr>
            <w:r>
              <w:rPr>
                <w:b/>
                <w:sz w:val="22"/>
                <w:szCs w:val="22"/>
                <w:lang w:val="en-US"/>
              </w:rPr>
              <w:t xml:space="preserve">INSERT LIST </w:t>
            </w:r>
          </w:p>
        </w:tc>
        <w:tc>
          <w:tcPr>
            <w:tcW w:w="2944" w:type="dxa"/>
          </w:tcPr>
          <w:p w14:paraId="2F7C83EB" w14:textId="77777777" w:rsidR="000B7246" w:rsidRDefault="000B7246" w:rsidP="00C65459">
            <w:pPr>
              <w:rPr>
                <w:b/>
                <w:sz w:val="22"/>
                <w:szCs w:val="22"/>
                <w:lang w:val="en-US"/>
              </w:rPr>
            </w:pPr>
          </w:p>
        </w:tc>
      </w:tr>
      <w:tr w:rsidR="00F42051" w:rsidRPr="00217036" w14:paraId="56D04ADA" w14:textId="77777777" w:rsidTr="00FF75A5">
        <w:tc>
          <w:tcPr>
            <w:tcW w:w="1929" w:type="dxa"/>
          </w:tcPr>
          <w:p w14:paraId="0BBCA8A5" w14:textId="77777777" w:rsidR="000B7246" w:rsidRDefault="00E53D2B" w:rsidP="00C65459">
            <w:pPr>
              <w:rPr>
                <w:b/>
                <w:sz w:val="22"/>
                <w:szCs w:val="22"/>
                <w:lang w:val="en-US"/>
              </w:rPr>
            </w:pPr>
            <w:r>
              <w:rPr>
                <w:b/>
                <w:sz w:val="22"/>
                <w:szCs w:val="22"/>
                <w:lang w:val="en-US"/>
              </w:rPr>
              <w:t xml:space="preserve">Repeal of Resolutions, Recommendations and Decisions </w:t>
            </w:r>
          </w:p>
        </w:tc>
        <w:tc>
          <w:tcPr>
            <w:tcW w:w="9123" w:type="dxa"/>
          </w:tcPr>
          <w:p w14:paraId="5F9E7411" w14:textId="77777777" w:rsidR="000B7246" w:rsidRDefault="000B7246" w:rsidP="00C65459">
            <w:pPr>
              <w:rPr>
                <w:b/>
                <w:sz w:val="22"/>
                <w:szCs w:val="22"/>
                <w:lang w:val="en-US"/>
              </w:rPr>
            </w:pPr>
          </w:p>
        </w:tc>
        <w:tc>
          <w:tcPr>
            <w:tcW w:w="2944" w:type="dxa"/>
          </w:tcPr>
          <w:p w14:paraId="5CD79DDF" w14:textId="77777777" w:rsidR="000B7246" w:rsidRDefault="000B7246" w:rsidP="00C65459">
            <w:pPr>
              <w:rPr>
                <w:b/>
                <w:sz w:val="22"/>
                <w:szCs w:val="22"/>
                <w:lang w:val="en-US"/>
              </w:rPr>
            </w:pPr>
          </w:p>
        </w:tc>
      </w:tr>
      <w:tr w:rsidR="00F42051" w14:paraId="5ED4ECEA" w14:textId="77777777" w:rsidTr="00FF75A5">
        <w:tc>
          <w:tcPr>
            <w:tcW w:w="1929" w:type="dxa"/>
          </w:tcPr>
          <w:p w14:paraId="0FD47B0B" w14:textId="77777777" w:rsidR="000B7246" w:rsidRPr="00E53D2B" w:rsidRDefault="00E53D2B" w:rsidP="00C65459">
            <w:pPr>
              <w:rPr>
                <w:sz w:val="22"/>
                <w:szCs w:val="22"/>
                <w:lang w:val="en-US"/>
              </w:rPr>
            </w:pPr>
            <w:r>
              <w:rPr>
                <w:sz w:val="22"/>
                <w:szCs w:val="22"/>
                <w:lang w:val="en-US"/>
              </w:rPr>
              <w:t>2</w:t>
            </w:r>
            <w:r w:rsidR="00452C7C">
              <w:rPr>
                <w:sz w:val="22"/>
                <w:szCs w:val="22"/>
                <w:lang w:val="en-US"/>
              </w:rPr>
              <w:t>8</w:t>
            </w:r>
          </w:p>
        </w:tc>
        <w:tc>
          <w:tcPr>
            <w:tcW w:w="9123" w:type="dxa"/>
          </w:tcPr>
          <w:p w14:paraId="65811369" w14:textId="77777777" w:rsidR="000B7246" w:rsidRDefault="000B7246" w:rsidP="00C65459">
            <w:pPr>
              <w:rPr>
                <w:b/>
                <w:sz w:val="22"/>
                <w:szCs w:val="22"/>
                <w:lang w:val="en-US"/>
              </w:rPr>
            </w:pPr>
          </w:p>
        </w:tc>
        <w:tc>
          <w:tcPr>
            <w:tcW w:w="2944" w:type="dxa"/>
          </w:tcPr>
          <w:p w14:paraId="23D288C0" w14:textId="77777777" w:rsidR="000B7246" w:rsidRDefault="000B7246" w:rsidP="00C65459">
            <w:pPr>
              <w:rPr>
                <w:b/>
                <w:sz w:val="22"/>
                <w:szCs w:val="22"/>
                <w:lang w:val="en-US"/>
              </w:rPr>
            </w:pPr>
          </w:p>
        </w:tc>
      </w:tr>
      <w:tr w:rsidR="00F42051" w:rsidRPr="00217036" w14:paraId="21633F28" w14:textId="77777777" w:rsidTr="00FF75A5">
        <w:tc>
          <w:tcPr>
            <w:tcW w:w="1929" w:type="dxa"/>
          </w:tcPr>
          <w:p w14:paraId="2991AB92" w14:textId="77777777" w:rsidR="000B7246" w:rsidRDefault="000B7246" w:rsidP="00C65459">
            <w:pPr>
              <w:rPr>
                <w:b/>
                <w:sz w:val="22"/>
                <w:szCs w:val="22"/>
                <w:lang w:val="en-US"/>
              </w:rPr>
            </w:pPr>
          </w:p>
        </w:tc>
        <w:tc>
          <w:tcPr>
            <w:tcW w:w="9123" w:type="dxa"/>
          </w:tcPr>
          <w:p w14:paraId="546FBC5B" w14:textId="77777777" w:rsidR="000B7246" w:rsidRDefault="00E53D2B" w:rsidP="00C65459">
            <w:pPr>
              <w:rPr>
                <w:b/>
                <w:sz w:val="22"/>
                <w:szCs w:val="22"/>
                <w:lang w:val="en-US"/>
              </w:rPr>
            </w:pPr>
            <w:r w:rsidRPr="002D0A10">
              <w:rPr>
                <w:sz w:val="22"/>
                <w:szCs w:val="22"/>
                <w:lang w:val="en-US"/>
              </w:rPr>
              <w:t xml:space="preserve">DECIDES </w:t>
            </w:r>
            <w:r>
              <w:rPr>
                <w:sz w:val="22"/>
                <w:szCs w:val="22"/>
                <w:lang w:val="en-US"/>
              </w:rPr>
              <w:t xml:space="preserve">that the Resolution, </w:t>
            </w:r>
            <w:r w:rsidRPr="002D0A10">
              <w:rPr>
                <w:sz w:val="22"/>
                <w:szCs w:val="22"/>
                <w:lang w:val="en-US"/>
              </w:rPr>
              <w:t>Recommendations</w:t>
            </w:r>
            <w:r>
              <w:rPr>
                <w:sz w:val="22"/>
                <w:szCs w:val="22"/>
                <w:lang w:val="en-US"/>
              </w:rPr>
              <w:t xml:space="preserve"> and Decisions</w:t>
            </w:r>
            <w:r w:rsidRPr="002D0A10">
              <w:rPr>
                <w:sz w:val="22"/>
                <w:szCs w:val="22"/>
                <w:lang w:val="en-US"/>
              </w:rPr>
              <w:t xml:space="preserve"> in </w:t>
            </w:r>
            <w:r w:rsidRPr="00013E43">
              <w:rPr>
                <w:b/>
                <w:sz w:val="22"/>
                <w:szCs w:val="22"/>
                <w:lang w:val="en-US"/>
              </w:rPr>
              <w:t xml:space="preserve">Annex </w:t>
            </w:r>
            <w:proofErr w:type="spellStart"/>
            <w:r w:rsidR="00E81B6D">
              <w:rPr>
                <w:b/>
                <w:sz w:val="22"/>
                <w:szCs w:val="22"/>
                <w:lang w:val="en-US"/>
              </w:rPr>
              <w:t>D</w:t>
            </w:r>
            <w:r w:rsidRPr="002D0A10">
              <w:rPr>
                <w:sz w:val="22"/>
                <w:szCs w:val="22"/>
                <w:lang w:val="en-US"/>
              </w:rPr>
              <w:t xml:space="preserve"> are</w:t>
            </w:r>
            <w:proofErr w:type="spellEnd"/>
            <w:r w:rsidRPr="002D0A10">
              <w:rPr>
                <w:sz w:val="22"/>
                <w:szCs w:val="22"/>
                <w:lang w:val="en-US"/>
              </w:rPr>
              <w:t xml:space="preserve"> repealed.</w:t>
            </w:r>
          </w:p>
        </w:tc>
        <w:tc>
          <w:tcPr>
            <w:tcW w:w="2944" w:type="dxa"/>
          </w:tcPr>
          <w:p w14:paraId="5D99D15D" w14:textId="77777777" w:rsidR="00D769F9" w:rsidRDefault="00176674" w:rsidP="00176674">
            <w:pPr>
              <w:rPr>
                <w:sz w:val="22"/>
                <w:szCs w:val="22"/>
                <w:lang w:val="en-US"/>
              </w:rPr>
            </w:pPr>
            <w:r w:rsidRPr="00176674">
              <w:rPr>
                <w:sz w:val="22"/>
                <w:szCs w:val="22"/>
                <w:lang w:val="en-US"/>
              </w:rPr>
              <w:t>Resolutions, Recom</w:t>
            </w:r>
            <w:r w:rsidR="00D769F9">
              <w:rPr>
                <w:sz w:val="22"/>
                <w:szCs w:val="22"/>
                <w:lang w:val="en-US"/>
              </w:rPr>
              <w:t>mendations and Decisions identified in Annexes</w:t>
            </w:r>
            <w:r w:rsidR="00186C32">
              <w:rPr>
                <w:sz w:val="22"/>
                <w:szCs w:val="22"/>
                <w:lang w:val="en-US"/>
              </w:rPr>
              <w:t xml:space="preserve"> 2 and 3</w:t>
            </w:r>
            <w:r w:rsidRPr="00176674">
              <w:rPr>
                <w:sz w:val="22"/>
                <w:szCs w:val="22"/>
                <w:lang w:val="en-US"/>
              </w:rPr>
              <w:t xml:space="preserve"> of this advice</w:t>
            </w:r>
            <w:r w:rsidR="00D769F9">
              <w:rPr>
                <w:sz w:val="22"/>
                <w:szCs w:val="22"/>
                <w:lang w:val="en-US"/>
              </w:rPr>
              <w:t>.</w:t>
            </w:r>
            <w:r w:rsidRPr="00176674">
              <w:rPr>
                <w:sz w:val="22"/>
                <w:szCs w:val="22"/>
                <w:lang w:val="en-US"/>
              </w:rPr>
              <w:t xml:space="preserve"> </w:t>
            </w:r>
          </w:p>
          <w:p w14:paraId="7101C29C" w14:textId="77777777" w:rsidR="00D769F9" w:rsidRDefault="00D769F9" w:rsidP="00176674">
            <w:pPr>
              <w:rPr>
                <w:sz w:val="22"/>
                <w:szCs w:val="22"/>
                <w:lang w:val="en-US"/>
              </w:rPr>
            </w:pPr>
          </w:p>
          <w:p w14:paraId="6B93D51A" w14:textId="77777777" w:rsidR="000B7246" w:rsidRPr="00176674" w:rsidRDefault="00D769F9" w:rsidP="00176674">
            <w:pPr>
              <w:rPr>
                <w:sz w:val="22"/>
                <w:szCs w:val="22"/>
                <w:lang w:val="en-US"/>
              </w:rPr>
            </w:pPr>
            <w:r>
              <w:rPr>
                <w:sz w:val="22"/>
                <w:szCs w:val="22"/>
                <w:lang w:val="en-US"/>
              </w:rPr>
              <w:lastRenderedPageBreak/>
              <w:t>A</w:t>
            </w:r>
            <w:r w:rsidR="00176674" w:rsidRPr="00176674">
              <w:rPr>
                <w:sz w:val="22"/>
                <w:szCs w:val="22"/>
                <w:lang w:val="en-US"/>
              </w:rPr>
              <w:t xml:space="preserve">ny of the paragraphs from Resolutions in </w:t>
            </w:r>
            <w:r w:rsidR="00186C32">
              <w:rPr>
                <w:sz w:val="22"/>
                <w:szCs w:val="22"/>
                <w:lang w:val="en-US"/>
              </w:rPr>
              <w:t>Annex 5</w:t>
            </w:r>
            <w:r w:rsidR="00176674" w:rsidRPr="00176674">
              <w:rPr>
                <w:sz w:val="22"/>
                <w:szCs w:val="22"/>
                <w:lang w:val="en-US"/>
              </w:rPr>
              <w:t xml:space="preserve"> </w:t>
            </w:r>
            <w:r>
              <w:rPr>
                <w:sz w:val="22"/>
                <w:szCs w:val="22"/>
                <w:lang w:val="en-US"/>
              </w:rPr>
              <w:t xml:space="preserve">of this advice </w:t>
            </w:r>
            <w:r w:rsidR="00176674" w:rsidRPr="00176674">
              <w:rPr>
                <w:sz w:val="22"/>
                <w:szCs w:val="22"/>
                <w:lang w:val="en-US"/>
              </w:rPr>
              <w:t>that the CPs wish to repeal in relation to RRIs</w:t>
            </w:r>
            <w:r>
              <w:rPr>
                <w:sz w:val="22"/>
                <w:szCs w:val="22"/>
                <w:lang w:val="en-US"/>
              </w:rPr>
              <w:t>.</w:t>
            </w:r>
          </w:p>
        </w:tc>
      </w:tr>
    </w:tbl>
    <w:p w14:paraId="777AACFB" w14:textId="77777777" w:rsidR="000B7246" w:rsidRDefault="000B7246" w:rsidP="000B7246">
      <w:pPr>
        <w:rPr>
          <w:b/>
          <w:sz w:val="22"/>
          <w:szCs w:val="22"/>
          <w:lang w:val="en-US"/>
        </w:rPr>
      </w:pPr>
    </w:p>
    <w:p w14:paraId="384B1604" w14:textId="77777777" w:rsidR="00CC38D6" w:rsidRDefault="00CC38D6" w:rsidP="00A324AF">
      <w:pPr>
        <w:rPr>
          <w:b/>
          <w:sz w:val="22"/>
          <w:szCs w:val="22"/>
          <w:lang w:val="en-US"/>
        </w:rPr>
      </w:pPr>
    </w:p>
    <w:p w14:paraId="3398629B" w14:textId="77777777" w:rsidR="009258B1" w:rsidRDefault="009258B1" w:rsidP="00A324AF">
      <w:pPr>
        <w:rPr>
          <w:b/>
          <w:sz w:val="22"/>
          <w:szCs w:val="22"/>
          <w:lang w:val="en-US"/>
        </w:rPr>
      </w:pPr>
    </w:p>
    <w:p w14:paraId="780BB543" w14:textId="77777777" w:rsidR="009258B1" w:rsidRDefault="009258B1" w:rsidP="00A324AF">
      <w:pPr>
        <w:rPr>
          <w:b/>
          <w:sz w:val="22"/>
          <w:szCs w:val="22"/>
          <w:lang w:val="en-US"/>
        </w:rPr>
      </w:pPr>
    </w:p>
    <w:p w14:paraId="7435CD30" w14:textId="77777777" w:rsidR="001C7493" w:rsidRDefault="001C7493">
      <w:pPr>
        <w:rPr>
          <w:b/>
          <w:sz w:val="22"/>
          <w:szCs w:val="22"/>
          <w:lang w:val="en-US"/>
        </w:rPr>
      </w:pPr>
      <w:r>
        <w:rPr>
          <w:b/>
          <w:sz w:val="22"/>
          <w:szCs w:val="22"/>
          <w:lang w:val="en-US"/>
        </w:rPr>
        <w:br w:type="page"/>
      </w:r>
    </w:p>
    <w:p w14:paraId="4F0DA266" w14:textId="77777777" w:rsidR="002835D9" w:rsidRPr="003B12BC" w:rsidRDefault="00DA4F50" w:rsidP="002835D9">
      <w:pPr>
        <w:jc w:val="center"/>
        <w:rPr>
          <w:b/>
          <w:color w:val="4472C4" w:themeColor="accent1"/>
          <w:sz w:val="22"/>
          <w:szCs w:val="22"/>
          <w:lang w:val="en-US"/>
        </w:rPr>
      </w:pPr>
      <w:r w:rsidRPr="003B12BC">
        <w:rPr>
          <w:b/>
          <w:color w:val="4472C4" w:themeColor="accent1"/>
          <w:sz w:val="22"/>
          <w:szCs w:val="22"/>
          <w:lang w:val="en-US"/>
        </w:rPr>
        <w:lastRenderedPageBreak/>
        <w:t>Annex 2: Paragraphs from Resolutions and Recommendations directly concerning RRIs that are redundant or inconsistent with XIII.9</w:t>
      </w:r>
    </w:p>
    <w:p w14:paraId="591BF58D" w14:textId="77777777" w:rsidR="002835D9" w:rsidRDefault="002835D9" w:rsidP="00341A3D">
      <w:pPr>
        <w:rPr>
          <w:sz w:val="22"/>
          <w:szCs w:val="22"/>
          <w:lang w:val="en-US"/>
        </w:rPr>
      </w:pPr>
    </w:p>
    <w:p w14:paraId="20A7FB8A" w14:textId="77777777" w:rsidR="002835D9" w:rsidRDefault="002835D9" w:rsidP="002835D9">
      <w:pPr>
        <w:ind w:left="360"/>
        <w:rPr>
          <w:b/>
          <w:sz w:val="22"/>
          <w:szCs w:val="22"/>
          <w:lang w:val="en-US"/>
        </w:rPr>
      </w:pPr>
    </w:p>
    <w:tbl>
      <w:tblPr>
        <w:tblStyle w:val="TableGrid"/>
        <w:tblW w:w="13881" w:type="dxa"/>
        <w:tblLook w:val="04A0" w:firstRow="1" w:lastRow="0" w:firstColumn="1" w:lastColumn="0" w:noHBand="0" w:noVBand="1"/>
      </w:tblPr>
      <w:tblGrid>
        <w:gridCol w:w="8642"/>
        <w:gridCol w:w="1418"/>
        <w:gridCol w:w="3821"/>
      </w:tblGrid>
      <w:tr w:rsidR="002835D9" w:rsidRPr="00FD600C" w14:paraId="5E103B78" w14:textId="77777777" w:rsidTr="001C7493">
        <w:tc>
          <w:tcPr>
            <w:tcW w:w="8642" w:type="dxa"/>
          </w:tcPr>
          <w:p w14:paraId="6769A463" w14:textId="77777777" w:rsidR="002835D9" w:rsidRPr="00FD600C" w:rsidRDefault="002835D9" w:rsidP="00A03E7B">
            <w:pPr>
              <w:rPr>
                <w:b/>
                <w:sz w:val="22"/>
                <w:szCs w:val="22"/>
                <w:lang w:val="en-US"/>
              </w:rPr>
            </w:pPr>
            <w:r w:rsidRPr="00FD600C">
              <w:rPr>
                <w:b/>
                <w:sz w:val="22"/>
                <w:szCs w:val="22"/>
                <w:lang w:val="en-US"/>
              </w:rPr>
              <w:t xml:space="preserve">Preamble </w:t>
            </w:r>
          </w:p>
        </w:tc>
        <w:tc>
          <w:tcPr>
            <w:tcW w:w="1418" w:type="dxa"/>
          </w:tcPr>
          <w:p w14:paraId="5AD46033" w14:textId="77777777" w:rsidR="002835D9" w:rsidRPr="00FD600C" w:rsidRDefault="002835D9" w:rsidP="00A03E7B">
            <w:pPr>
              <w:rPr>
                <w:b/>
                <w:sz w:val="22"/>
                <w:szCs w:val="22"/>
                <w:lang w:val="en-US"/>
              </w:rPr>
            </w:pPr>
            <w:r w:rsidRPr="00FD600C">
              <w:rPr>
                <w:b/>
                <w:sz w:val="22"/>
                <w:szCs w:val="22"/>
                <w:lang w:val="en-US"/>
              </w:rPr>
              <w:t xml:space="preserve">Resolution </w:t>
            </w:r>
          </w:p>
        </w:tc>
        <w:tc>
          <w:tcPr>
            <w:tcW w:w="3821" w:type="dxa"/>
          </w:tcPr>
          <w:p w14:paraId="207B767F" w14:textId="77777777" w:rsidR="002835D9" w:rsidRDefault="002835D9" w:rsidP="00A03E7B">
            <w:pPr>
              <w:rPr>
                <w:b/>
                <w:sz w:val="22"/>
                <w:szCs w:val="22"/>
                <w:lang w:val="en-US"/>
              </w:rPr>
            </w:pPr>
            <w:r>
              <w:rPr>
                <w:b/>
                <w:sz w:val="22"/>
                <w:szCs w:val="22"/>
                <w:lang w:val="en-US"/>
              </w:rPr>
              <w:t>Para in XIII.9 with which it is inconsistent</w:t>
            </w:r>
          </w:p>
          <w:p w14:paraId="3B7DA42E" w14:textId="77777777" w:rsidR="002835D9" w:rsidRPr="00FD600C" w:rsidRDefault="002835D9" w:rsidP="00A03E7B">
            <w:pPr>
              <w:rPr>
                <w:b/>
                <w:sz w:val="22"/>
                <w:szCs w:val="22"/>
                <w:lang w:val="en-US"/>
              </w:rPr>
            </w:pPr>
            <w:r>
              <w:rPr>
                <w:b/>
                <w:sz w:val="22"/>
                <w:szCs w:val="22"/>
                <w:lang w:val="en-US"/>
              </w:rPr>
              <w:t xml:space="preserve">Redundant </w:t>
            </w:r>
          </w:p>
        </w:tc>
      </w:tr>
      <w:tr w:rsidR="002835D9" w:rsidRPr="00FD600C" w14:paraId="537B5129" w14:textId="77777777" w:rsidTr="001C7493">
        <w:tc>
          <w:tcPr>
            <w:tcW w:w="8642" w:type="dxa"/>
          </w:tcPr>
          <w:p w14:paraId="2FC664BA" w14:textId="77777777" w:rsidR="002835D9" w:rsidRPr="00FD600C" w:rsidRDefault="002835D9" w:rsidP="00A03E7B">
            <w:pPr>
              <w:pStyle w:val="BodyText"/>
              <w:ind w:left="0" w:right="-42" w:firstLine="0"/>
              <w:rPr>
                <w:rFonts w:asciiTheme="minorHAnsi" w:hAnsiTheme="minorHAnsi"/>
              </w:rPr>
            </w:pPr>
          </w:p>
        </w:tc>
        <w:tc>
          <w:tcPr>
            <w:tcW w:w="1418" w:type="dxa"/>
          </w:tcPr>
          <w:p w14:paraId="69131041" w14:textId="667197E4" w:rsidR="002835D9" w:rsidRPr="0097736E" w:rsidRDefault="002835D9" w:rsidP="000916ED">
            <w:pPr>
              <w:rPr>
                <w:b/>
                <w:sz w:val="22"/>
                <w:szCs w:val="22"/>
                <w:lang w:val="en-US"/>
              </w:rPr>
            </w:pPr>
            <w:r>
              <w:rPr>
                <w:b/>
                <w:sz w:val="22"/>
                <w:szCs w:val="22"/>
                <w:lang w:val="en-US"/>
              </w:rPr>
              <w:t>XII.</w:t>
            </w:r>
            <w:r w:rsidR="000916ED">
              <w:rPr>
                <w:b/>
                <w:sz w:val="22"/>
                <w:szCs w:val="22"/>
                <w:lang w:val="en-US"/>
              </w:rPr>
              <w:t>8</w:t>
            </w:r>
          </w:p>
        </w:tc>
        <w:tc>
          <w:tcPr>
            <w:tcW w:w="3821" w:type="dxa"/>
          </w:tcPr>
          <w:p w14:paraId="1B6381E8" w14:textId="77777777" w:rsidR="002835D9" w:rsidRPr="00FD600C" w:rsidRDefault="002835D9" w:rsidP="00A03E7B">
            <w:pPr>
              <w:rPr>
                <w:sz w:val="22"/>
                <w:szCs w:val="22"/>
                <w:lang w:val="en-US"/>
              </w:rPr>
            </w:pPr>
          </w:p>
        </w:tc>
      </w:tr>
      <w:tr w:rsidR="002835D9" w:rsidRPr="00FD600C" w14:paraId="0377591A" w14:textId="77777777" w:rsidTr="001C7493">
        <w:tc>
          <w:tcPr>
            <w:tcW w:w="8642" w:type="dxa"/>
          </w:tcPr>
          <w:p w14:paraId="3CE56E5B" w14:textId="77777777" w:rsidR="002835D9" w:rsidRPr="00FD600C" w:rsidRDefault="002835D9" w:rsidP="00A03E7B">
            <w:pPr>
              <w:rPr>
                <w:sz w:val="22"/>
                <w:szCs w:val="22"/>
                <w:lang w:val="en-US"/>
              </w:rPr>
            </w:pPr>
            <w:r w:rsidRPr="00ED2CA9">
              <w:rPr>
                <w:sz w:val="22"/>
                <w:szCs w:val="22"/>
                <w:lang w:val="en-US"/>
              </w:rPr>
              <w:t>FURTHER RECALLING that Resolution X.6 (2008) adopted Operational Guidelines 2009-2012 for regional initiatives in the framework of the Convention on Wetlands to support the implementation of the Convention, and that these Operational Guidelines as subsequently amended by Standing Committee for the triennium 2013-2015 serve as a reference for assessing the operation and effectiveness of regional initiatives, replacing the Guidelines for the development of regional initiatives in the framework of the Convention on Wetlands annexed to Resolution VIII.30;</w:t>
            </w:r>
          </w:p>
          <w:p w14:paraId="48C77871" w14:textId="77777777" w:rsidR="002835D9" w:rsidRPr="00FD600C" w:rsidRDefault="002835D9" w:rsidP="00A03E7B">
            <w:pPr>
              <w:rPr>
                <w:sz w:val="22"/>
                <w:szCs w:val="22"/>
                <w:lang w:val="en-US"/>
              </w:rPr>
            </w:pPr>
          </w:p>
        </w:tc>
        <w:tc>
          <w:tcPr>
            <w:tcW w:w="1418" w:type="dxa"/>
          </w:tcPr>
          <w:p w14:paraId="276469A9" w14:textId="77777777" w:rsidR="002835D9" w:rsidRPr="00FD600C" w:rsidRDefault="002835D9" w:rsidP="00A03E7B">
            <w:pPr>
              <w:rPr>
                <w:sz w:val="22"/>
                <w:szCs w:val="22"/>
                <w:lang w:val="en-US"/>
              </w:rPr>
            </w:pPr>
            <w:r>
              <w:rPr>
                <w:sz w:val="22"/>
                <w:szCs w:val="22"/>
                <w:lang w:val="en-US"/>
              </w:rPr>
              <w:t>4</w:t>
            </w:r>
          </w:p>
        </w:tc>
        <w:tc>
          <w:tcPr>
            <w:tcW w:w="3821" w:type="dxa"/>
          </w:tcPr>
          <w:p w14:paraId="52362D5E" w14:textId="77777777" w:rsidR="002835D9" w:rsidRPr="00FD600C" w:rsidRDefault="002835D9" w:rsidP="00A03E7B">
            <w:pPr>
              <w:rPr>
                <w:sz w:val="22"/>
                <w:szCs w:val="22"/>
                <w:lang w:val="en-US"/>
              </w:rPr>
            </w:pPr>
            <w:r>
              <w:rPr>
                <w:sz w:val="22"/>
                <w:szCs w:val="22"/>
                <w:lang w:val="en-US"/>
              </w:rPr>
              <w:t xml:space="preserve">Redundant </w:t>
            </w:r>
          </w:p>
        </w:tc>
      </w:tr>
      <w:tr w:rsidR="002835D9" w:rsidRPr="00FD600C" w14:paraId="533C841C" w14:textId="77777777" w:rsidTr="001C7493">
        <w:tc>
          <w:tcPr>
            <w:tcW w:w="8642" w:type="dxa"/>
          </w:tcPr>
          <w:p w14:paraId="14A1E7C8" w14:textId="77777777" w:rsidR="002835D9" w:rsidRPr="000D2FEB" w:rsidRDefault="002835D9" w:rsidP="00A03E7B">
            <w:pPr>
              <w:pStyle w:val="BodyText"/>
              <w:spacing w:line="239" w:lineRule="auto"/>
              <w:ind w:left="0" w:right="-42" w:firstLine="0"/>
              <w:rPr>
                <w:rFonts w:asciiTheme="minorHAnsi" w:hAnsiTheme="minorHAnsi"/>
              </w:rPr>
            </w:pPr>
            <w:r w:rsidRPr="000D2FEB">
              <w:rPr>
                <w:rFonts w:asciiTheme="minorHAnsi" w:hAnsiTheme="minorHAnsi"/>
              </w:rPr>
              <w:t xml:space="preserve">NOTING that during the years 2013-2015, the Standing Committee approved a number of active regional initiatives as fully meeting the </w:t>
            </w:r>
            <w:r w:rsidRPr="000D2FEB">
              <w:rPr>
                <w:rFonts w:asciiTheme="minorHAnsi" w:hAnsiTheme="minorHAnsi"/>
                <w:i/>
              </w:rPr>
              <w:t>Operational Guidelines</w:t>
            </w:r>
            <w:r w:rsidRPr="000D2FEB">
              <w:rPr>
                <w:rFonts w:asciiTheme="minorHAnsi" w:hAnsiTheme="minorHAnsi"/>
              </w:rPr>
              <w:t>, and noted the substantial progress made by many of the initiatives, based on the annual reports which they submitted during those years;</w:t>
            </w:r>
          </w:p>
          <w:p w14:paraId="22459303" w14:textId="77777777" w:rsidR="002835D9" w:rsidRPr="00BB75F2" w:rsidRDefault="002835D9" w:rsidP="00A03E7B">
            <w:pPr>
              <w:widowControl w:val="0"/>
              <w:ind w:right="-42"/>
              <w:rPr>
                <w:rFonts w:eastAsia="Calibri" w:cs="Calibri"/>
                <w:sz w:val="22"/>
                <w:szCs w:val="22"/>
                <w:lang w:val="en-US"/>
              </w:rPr>
            </w:pPr>
          </w:p>
        </w:tc>
        <w:tc>
          <w:tcPr>
            <w:tcW w:w="1418" w:type="dxa"/>
          </w:tcPr>
          <w:p w14:paraId="6225AC22" w14:textId="77777777" w:rsidR="002835D9" w:rsidRPr="00FD600C" w:rsidRDefault="002835D9" w:rsidP="00A03E7B">
            <w:pPr>
              <w:rPr>
                <w:sz w:val="22"/>
                <w:szCs w:val="22"/>
                <w:lang w:val="en-US"/>
              </w:rPr>
            </w:pPr>
            <w:r>
              <w:rPr>
                <w:sz w:val="22"/>
                <w:szCs w:val="22"/>
                <w:lang w:val="en-US"/>
              </w:rPr>
              <w:t>5</w:t>
            </w:r>
          </w:p>
        </w:tc>
        <w:tc>
          <w:tcPr>
            <w:tcW w:w="3821" w:type="dxa"/>
          </w:tcPr>
          <w:p w14:paraId="5A499095" w14:textId="77777777" w:rsidR="002835D9" w:rsidRPr="00FD600C" w:rsidRDefault="002835D9" w:rsidP="00A03E7B">
            <w:pPr>
              <w:rPr>
                <w:sz w:val="22"/>
                <w:szCs w:val="22"/>
                <w:lang w:val="en-US"/>
              </w:rPr>
            </w:pPr>
            <w:r>
              <w:rPr>
                <w:sz w:val="22"/>
                <w:szCs w:val="22"/>
                <w:lang w:val="en-US"/>
              </w:rPr>
              <w:t xml:space="preserve">Redundant </w:t>
            </w:r>
          </w:p>
        </w:tc>
      </w:tr>
      <w:tr w:rsidR="002835D9" w:rsidRPr="00FD600C" w14:paraId="2035E1AC" w14:textId="77777777" w:rsidTr="001C7493">
        <w:tc>
          <w:tcPr>
            <w:tcW w:w="8642" w:type="dxa"/>
          </w:tcPr>
          <w:p w14:paraId="53A51A29" w14:textId="77777777" w:rsidR="002835D9" w:rsidRPr="000D2FEB" w:rsidRDefault="002835D9" w:rsidP="00A03E7B">
            <w:pPr>
              <w:pStyle w:val="BodyText"/>
              <w:ind w:left="0" w:right="-42" w:firstLine="0"/>
              <w:rPr>
                <w:rFonts w:asciiTheme="minorHAnsi" w:hAnsiTheme="minorHAnsi"/>
              </w:rPr>
            </w:pPr>
            <w:r w:rsidRPr="000D2FEB">
              <w:rPr>
                <w:rFonts w:asciiTheme="minorHAnsi" w:hAnsiTheme="minorHAnsi"/>
              </w:rPr>
              <w:t>FURTHER NOTING that new regional initiatives will be developed during the 2016-2018 triennium, such as the Indo-Burma Ramsar Regional Initiative (IBRRI), bringing together Cambodia, Lao PDR, Myanmar, Thailand and Vietnam, which will be starting to operate during the second half of 2015; and</w:t>
            </w:r>
          </w:p>
          <w:p w14:paraId="7FE977A0" w14:textId="77777777" w:rsidR="002835D9" w:rsidRPr="00904384" w:rsidRDefault="002835D9" w:rsidP="00A03E7B">
            <w:pPr>
              <w:spacing w:line="239" w:lineRule="auto"/>
              <w:ind w:left="360" w:right="-42"/>
              <w:rPr>
                <w:lang w:val="en-US"/>
              </w:rPr>
            </w:pPr>
          </w:p>
        </w:tc>
        <w:tc>
          <w:tcPr>
            <w:tcW w:w="1418" w:type="dxa"/>
          </w:tcPr>
          <w:p w14:paraId="3A9F2212" w14:textId="77777777" w:rsidR="002835D9" w:rsidRPr="00FD600C" w:rsidRDefault="002835D9" w:rsidP="00A03E7B">
            <w:pPr>
              <w:rPr>
                <w:sz w:val="22"/>
                <w:szCs w:val="22"/>
                <w:lang w:val="en-US"/>
              </w:rPr>
            </w:pPr>
            <w:r>
              <w:rPr>
                <w:sz w:val="22"/>
                <w:szCs w:val="22"/>
                <w:lang w:val="en-US"/>
              </w:rPr>
              <w:t>6</w:t>
            </w:r>
          </w:p>
        </w:tc>
        <w:tc>
          <w:tcPr>
            <w:tcW w:w="3821" w:type="dxa"/>
          </w:tcPr>
          <w:p w14:paraId="05EAEA94" w14:textId="77777777" w:rsidR="002835D9" w:rsidRPr="00FD600C" w:rsidRDefault="002835D9" w:rsidP="00A03E7B">
            <w:pPr>
              <w:rPr>
                <w:sz w:val="22"/>
                <w:szCs w:val="22"/>
                <w:lang w:val="en-US"/>
              </w:rPr>
            </w:pPr>
            <w:r>
              <w:rPr>
                <w:sz w:val="22"/>
                <w:szCs w:val="22"/>
                <w:lang w:val="en-US"/>
              </w:rPr>
              <w:t xml:space="preserve">Redundant </w:t>
            </w:r>
          </w:p>
        </w:tc>
      </w:tr>
      <w:tr w:rsidR="002835D9" w:rsidRPr="00FD600C" w14:paraId="664F1B90" w14:textId="77777777" w:rsidTr="001C7493">
        <w:tc>
          <w:tcPr>
            <w:tcW w:w="8642" w:type="dxa"/>
          </w:tcPr>
          <w:p w14:paraId="4E1F35E9" w14:textId="77777777" w:rsidR="002835D9" w:rsidRPr="000D2FEB" w:rsidRDefault="002835D9" w:rsidP="00A03E7B">
            <w:pPr>
              <w:pStyle w:val="BodyText"/>
              <w:ind w:left="0" w:right="-42" w:firstLine="0"/>
              <w:rPr>
                <w:rFonts w:asciiTheme="minorHAnsi" w:hAnsiTheme="minorHAnsi"/>
              </w:rPr>
            </w:pPr>
          </w:p>
        </w:tc>
        <w:tc>
          <w:tcPr>
            <w:tcW w:w="1418" w:type="dxa"/>
          </w:tcPr>
          <w:p w14:paraId="1E640EDA" w14:textId="77777777" w:rsidR="002835D9" w:rsidRPr="00511407" w:rsidRDefault="002835D9" w:rsidP="00A03E7B">
            <w:pPr>
              <w:rPr>
                <w:b/>
                <w:sz w:val="22"/>
                <w:szCs w:val="22"/>
                <w:lang w:val="en-US"/>
              </w:rPr>
            </w:pPr>
            <w:r w:rsidRPr="00511407">
              <w:rPr>
                <w:b/>
                <w:sz w:val="22"/>
                <w:szCs w:val="22"/>
                <w:lang w:val="en-US"/>
              </w:rPr>
              <w:t>XI.</w:t>
            </w:r>
            <w:r>
              <w:rPr>
                <w:b/>
                <w:sz w:val="22"/>
                <w:szCs w:val="22"/>
                <w:lang w:val="en-US"/>
              </w:rPr>
              <w:t>5</w:t>
            </w:r>
          </w:p>
        </w:tc>
        <w:tc>
          <w:tcPr>
            <w:tcW w:w="3821" w:type="dxa"/>
          </w:tcPr>
          <w:p w14:paraId="7F9A878D" w14:textId="77777777" w:rsidR="002835D9" w:rsidRDefault="002835D9" w:rsidP="00A03E7B">
            <w:pPr>
              <w:rPr>
                <w:sz w:val="22"/>
                <w:szCs w:val="22"/>
                <w:lang w:val="en-US"/>
              </w:rPr>
            </w:pPr>
          </w:p>
        </w:tc>
      </w:tr>
      <w:tr w:rsidR="002835D9" w:rsidRPr="00FD600C" w14:paraId="03C1E294" w14:textId="77777777" w:rsidTr="001C7493">
        <w:tc>
          <w:tcPr>
            <w:tcW w:w="8642" w:type="dxa"/>
          </w:tcPr>
          <w:p w14:paraId="03E16086" w14:textId="77777777" w:rsidR="002835D9" w:rsidRPr="000D2FEB" w:rsidRDefault="002835D9" w:rsidP="00A03E7B">
            <w:pPr>
              <w:rPr>
                <w:sz w:val="22"/>
                <w:szCs w:val="22"/>
                <w:lang w:val="en-US"/>
              </w:rPr>
            </w:pPr>
            <w:r w:rsidRPr="000D2FEB">
              <w:rPr>
                <w:sz w:val="22"/>
                <w:szCs w:val="22"/>
                <w:lang w:val="en-US"/>
              </w:rPr>
              <w:t xml:space="preserve">FURTHER RECALLING that Resolution X.6 (2008) adopted “Operational Guidelines” for Regional Initiatives to support the implementation of the Convention, and that these serve as a reference for assessing the operation of Regional Initiatives and their success (replacing the </w:t>
            </w:r>
            <w:r w:rsidRPr="000D2FEB">
              <w:rPr>
                <w:i/>
                <w:sz w:val="22"/>
                <w:szCs w:val="22"/>
                <w:lang w:val="en-US"/>
              </w:rPr>
              <w:t xml:space="preserve">Guidelines for the development of Regional Initiatives in the framework of the Convention on Wetlands </w:t>
            </w:r>
            <w:r w:rsidRPr="000D2FEB">
              <w:rPr>
                <w:sz w:val="22"/>
                <w:szCs w:val="22"/>
                <w:lang w:val="en-US"/>
              </w:rPr>
              <w:t>annexed to Resolution VIII.30);</w:t>
            </w:r>
          </w:p>
          <w:p w14:paraId="784095CB" w14:textId="77777777" w:rsidR="002835D9" w:rsidRPr="000D2FEB" w:rsidRDefault="002835D9" w:rsidP="00A03E7B">
            <w:pPr>
              <w:pStyle w:val="BodyText"/>
              <w:ind w:left="0" w:right="-42" w:firstLine="0"/>
              <w:rPr>
                <w:rFonts w:asciiTheme="minorHAnsi" w:hAnsiTheme="minorHAnsi"/>
              </w:rPr>
            </w:pPr>
          </w:p>
        </w:tc>
        <w:tc>
          <w:tcPr>
            <w:tcW w:w="1418" w:type="dxa"/>
          </w:tcPr>
          <w:p w14:paraId="60BF97E3" w14:textId="77777777" w:rsidR="002835D9" w:rsidRDefault="002835D9" w:rsidP="00A03E7B">
            <w:pPr>
              <w:rPr>
                <w:sz w:val="22"/>
                <w:szCs w:val="22"/>
                <w:lang w:val="en-US"/>
              </w:rPr>
            </w:pPr>
            <w:r>
              <w:rPr>
                <w:sz w:val="22"/>
                <w:szCs w:val="22"/>
                <w:lang w:val="en-US"/>
              </w:rPr>
              <w:t>4</w:t>
            </w:r>
          </w:p>
        </w:tc>
        <w:tc>
          <w:tcPr>
            <w:tcW w:w="3821" w:type="dxa"/>
          </w:tcPr>
          <w:p w14:paraId="3132C525" w14:textId="77777777" w:rsidR="002835D9" w:rsidRDefault="002835D9" w:rsidP="00A03E7B">
            <w:pPr>
              <w:rPr>
                <w:sz w:val="22"/>
                <w:szCs w:val="22"/>
                <w:lang w:val="en-US"/>
              </w:rPr>
            </w:pPr>
            <w:r>
              <w:rPr>
                <w:sz w:val="22"/>
                <w:szCs w:val="22"/>
                <w:lang w:val="en-US"/>
              </w:rPr>
              <w:t xml:space="preserve">Redundant </w:t>
            </w:r>
          </w:p>
        </w:tc>
      </w:tr>
      <w:tr w:rsidR="002835D9" w:rsidRPr="00FD600C" w14:paraId="14AB1945" w14:textId="77777777" w:rsidTr="001C7493">
        <w:tc>
          <w:tcPr>
            <w:tcW w:w="8642" w:type="dxa"/>
          </w:tcPr>
          <w:p w14:paraId="401DFBD7" w14:textId="77777777" w:rsidR="002835D9" w:rsidRPr="00511407" w:rsidRDefault="002835D9" w:rsidP="00A03E7B">
            <w:pPr>
              <w:pStyle w:val="BodyText"/>
              <w:ind w:left="0" w:right="-42" w:firstLine="0"/>
            </w:pPr>
            <w:r w:rsidRPr="00511407">
              <w:t xml:space="preserve">NOTING that during the years 2009-2012, the Standing Committee has examined and </w:t>
            </w:r>
            <w:r w:rsidRPr="00511407">
              <w:lastRenderedPageBreak/>
              <w:t>approved a number of active Regional Initiatives as fully meeting the Operational Guidelines and noted the substantial progress made by many of the initiatives during those years, based on their annual reports submitted to the Standing Committee; and</w:t>
            </w:r>
          </w:p>
          <w:p w14:paraId="59534A29" w14:textId="77777777" w:rsidR="002835D9" w:rsidRPr="000D2FEB" w:rsidRDefault="002835D9" w:rsidP="00A03E7B">
            <w:pPr>
              <w:pStyle w:val="BodyText"/>
              <w:ind w:left="0" w:right="-42" w:firstLine="0"/>
              <w:rPr>
                <w:rFonts w:asciiTheme="minorHAnsi" w:hAnsiTheme="minorHAnsi"/>
              </w:rPr>
            </w:pPr>
          </w:p>
        </w:tc>
        <w:tc>
          <w:tcPr>
            <w:tcW w:w="1418" w:type="dxa"/>
          </w:tcPr>
          <w:p w14:paraId="6B50E5AD" w14:textId="77777777" w:rsidR="002835D9" w:rsidRDefault="002835D9" w:rsidP="00A03E7B">
            <w:pPr>
              <w:rPr>
                <w:sz w:val="22"/>
                <w:szCs w:val="22"/>
                <w:lang w:val="en-US"/>
              </w:rPr>
            </w:pPr>
            <w:r>
              <w:rPr>
                <w:sz w:val="22"/>
                <w:szCs w:val="22"/>
                <w:lang w:val="en-US"/>
              </w:rPr>
              <w:lastRenderedPageBreak/>
              <w:t>5</w:t>
            </w:r>
          </w:p>
        </w:tc>
        <w:tc>
          <w:tcPr>
            <w:tcW w:w="3821" w:type="dxa"/>
          </w:tcPr>
          <w:p w14:paraId="19881570" w14:textId="77777777" w:rsidR="002835D9" w:rsidRDefault="002835D9" w:rsidP="00A03E7B">
            <w:pPr>
              <w:rPr>
                <w:sz w:val="22"/>
                <w:szCs w:val="22"/>
                <w:lang w:val="en-US"/>
              </w:rPr>
            </w:pPr>
            <w:r>
              <w:rPr>
                <w:sz w:val="22"/>
                <w:szCs w:val="22"/>
                <w:lang w:val="en-US"/>
              </w:rPr>
              <w:t xml:space="preserve">Redundant </w:t>
            </w:r>
          </w:p>
        </w:tc>
      </w:tr>
      <w:tr w:rsidR="002835D9" w:rsidRPr="00FD600C" w14:paraId="7469AE0C" w14:textId="77777777" w:rsidTr="001C7493">
        <w:tc>
          <w:tcPr>
            <w:tcW w:w="8642" w:type="dxa"/>
          </w:tcPr>
          <w:p w14:paraId="02F52CA9" w14:textId="77777777" w:rsidR="002835D9" w:rsidRPr="000D2FEB" w:rsidRDefault="002835D9" w:rsidP="00A03E7B">
            <w:pPr>
              <w:rPr>
                <w:sz w:val="22"/>
                <w:szCs w:val="22"/>
                <w:lang w:val="en-US"/>
              </w:rPr>
            </w:pPr>
            <w:r w:rsidRPr="000D2FEB">
              <w:rPr>
                <w:sz w:val="22"/>
                <w:szCs w:val="22"/>
                <w:lang w:val="en-US"/>
              </w:rPr>
              <w:t xml:space="preserve">TAKING INTO ACCOUNT the experience gained through the operational years of those initiatives, both the regional networks and the Ramsar Regional </w:t>
            </w:r>
            <w:proofErr w:type="spellStart"/>
            <w:r w:rsidRPr="000D2FEB">
              <w:rPr>
                <w:sz w:val="22"/>
                <w:szCs w:val="22"/>
                <w:lang w:val="en-US"/>
              </w:rPr>
              <w:t>Centres</w:t>
            </w:r>
            <w:proofErr w:type="spellEnd"/>
            <w:r w:rsidRPr="000D2FEB">
              <w:rPr>
                <w:sz w:val="22"/>
                <w:szCs w:val="22"/>
                <w:lang w:val="en-US"/>
              </w:rPr>
              <w:t xml:space="preserve"> (RRCs); the successful application of the Operational Guidelines in selecting and supporting Regional Initiatives operating in the framework of the Convention; and the conclusions derived from the review of their success with a strategic view for the future development of Regional Initiatives;</w:t>
            </w:r>
          </w:p>
          <w:p w14:paraId="12BEF28A" w14:textId="77777777" w:rsidR="002835D9" w:rsidRPr="000D2FEB" w:rsidRDefault="002835D9" w:rsidP="00A03E7B">
            <w:pPr>
              <w:pStyle w:val="BodyText"/>
              <w:ind w:left="0" w:right="-42" w:firstLine="0"/>
              <w:rPr>
                <w:rFonts w:asciiTheme="minorHAnsi" w:hAnsiTheme="minorHAnsi"/>
              </w:rPr>
            </w:pPr>
          </w:p>
        </w:tc>
        <w:tc>
          <w:tcPr>
            <w:tcW w:w="1418" w:type="dxa"/>
          </w:tcPr>
          <w:p w14:paraId="426B52E1" w14:textId="77777777" w:rsidR="002835D9" w:rsidRDefault="002835D9" w:rsidP="00A03E7B">
            <w:pPr>
              <w:rPr>
                <w:sz w:val="22"/>
                <w:szCs w:val="22"/>
                <w:lang w:val="en-US"/>
              </w:rPr>
            </w:pPr>
            <w:r>
              <w:rPr>
                <w:sz w:val="22"/>
                <w:szCs w:val="22"/>
                <w:lang w:val="en-US"/>
              </w:rPr>
              <w:t>6</w:t>
            </w:r>
          </w:p>
        </w:tc>
        <w:tc>
          <w:tcPr>
            <w:tcW w:w="3821" w:type="dxa"/>
          </w:tcPr>
          <w:p w14:paraId="2A575BCE" w14:textId="77777777" w:rsidR="002835D9" w:rsidRDefault="002835D9" w:rsidP="00A03E7B">
            <w:pPr>
              <w:rPr>
                <w:sz w:val="22"/>
                <w:szCs w:val="22"/>
                <w:lang w:val="en-US"/>
              </w:rPr>
            </w:pPr>
            <w:r>
              <w:rPr>
                <w:sz w:val="22"/>
                <w:szCs w:val="22"/>
                <w:lang w:val="en-US"/>
              </w:rPr>
              <w:t xml:space="preserve">Redundant </w:t>
            </w:r>
          </w:p>
        </w:tc>
      </w:tr>
      <w:tr w:rsidR="002835D9" w:rsidRPr="00FD600C" w14:paraId="634735BD" w14:textId="77777777" w:rsidTr="001C7493">
        <w:tc>
          <w:tcPr>
            <w:tcW w:w="8642" w:type="dxa"/>
          </w:tcPr>
          <w:p w14:paraId="1546F5C0" w14:textId="77777777" w:rsidR="002835D9" w:rsidRPr="000D2FEB" w:rsidRDefault="002835D9" w:rsidP="00A03E7B">
            <w:pPr>
              <w:rPr>
                <w:sz w:val="22"/>
                <w:szCs w:val="22"/>
                <w:lang w:val="en-US"/>
              </w:rPr>
            </w:pPr>
          </w:p>
        </w:tc>
        <w:tc>
          <w:tcPr>
            <w:tcW w:w="1418" w:type="dxa"/>
          </w:tcPr>
          <w:p w14:paraId="5E4E9619" w14:textId="77777777" w:rsidR="002835D9" w:rsidRPr="007657CA" w:rsidRDefault="002835D9" w:rsidP="00A03E7B">
            <w:pPr>
              <w:ind w:left="567" w:hanging="567"/>
              <w:rPr>
                <w:b/>
                <w:sz w:val="22"/>
                <w:szCs w:val="22"/>
                <w:lang w:val="en-US"/>
              </w:rPr>
            </w:pPr>
            <w:r w:rsidRPr="007657CA">
              <w:rPr>
                <w:b/>
                <w:sz w:val="22"/>
                <w:szCs w:val="22"/>
                <w:lang w:val="en-US"/>
              </w:rPr>
              <w:t>X.6</w:t>
            </w:r>
          </w:p>
        </w:tc>
        <w:tc>
          <w:tcPr>
            <w:tcW w:w="3821" w:type="dxa"/>
          </w:tcPr>
          <w:p w14:paraId="07E124A3" w14:textId="77777777" w:rsidR="002835D9" w:rsidRDefault="002835D9" w:rsidP="00A03E7B">
            <w:pPr>
              <w:rPr>
                <w:sz w:val="22"/>
                <w:szCs w:val="22"/>
                <w:lang w:val="en-US"/>
              </w:rPr>
            </w:pPr>
          </w:p>
        </w:tc>
      </w:tr>
      <w:tr w:rsidR="002835D9" w:rsidRPr="00FD600C" w14:paraId="3715515E" w14:textId="77777777" w:rsidTr="001C7493">
        <w:tc>
          <w:tcPr>
            <w:tcW w:w="8642" w:type="dxa"/>
          </w:tcPr>
          <w:p w14:paraId="3DE57A2A" w14:textId="77777777" w:rsidR="002835D9" w:rsidRPr="000D2FEB" w:rsidRDefault="002835D9" w:rsidP="00A03E7B">
            <w:pPr>
              <w:rPr>
                <w:sz w:val="22"/>
                <w:szCs w:val="22"/>
                <w:lang w:val="en-US"/>
              </w:rPr>
            </w:pPr>
            <w:r w:rsidRPr="000D2FEB">
              <w:rPr>
                <w:sz w:val="22"/>
                <w:szCs w:val="22"/>
                <w:lang w:val="en-US"/>
              </w:rPr>
              <w:t>FURTHER RECALLING that Resolution IX.7 (2005) endorsed a number of regional initiatives as operating within the framework of the Convention in 2006-2008 and recognized the potential of a number of other initiatives to become operational within the framework of the Convention;</w:t>
            </w:r>
          </w:p>
        </w:tc>
        <w:tc>
          <w:tcPr>
            <w:tcW w:w="1418" w:type="dxa"/>
          </w:tcPr>
          <w:p w14:paraId="278C6351" w14:textId="77777777" w:rsidR="002835D9" w:rsidRDefault="002835D9" w:rsidP="00A03E7B">
            <w:pPr>
              <w:rPr>
                <w:sz w:val="22"/>
                <w:szCs w:val="22"/>
                <w:lang w:val="en-US"/>
              </w:rPr>
            </w:pPr>
            <w:r>
              <w:rPr>
                <w:sz w:val="22"/>
                <w:szCs w:val="22"/>
                <w:lang w:val="en-US"/>
              </w:rPr>
              <w:t>4</w:t>
            </w:r>
          </w:p>
        </w:tc>
        <w:tc>
          <w:tcPr>
            <w:tcW w:w="3821" w:type="dxa"/>
          </w:tcPr>
          <w:p w14:paraId="4FCAEDE5" w14:textId="77777777" w:rsidR="002835D9" w:rsidRDefault="002835D9" w:rsidP="00A03E7B">
            <w:pPr>
              <w:rPr>
                <w:sz w:val="22"/>
                <w:szCs w:val="22"/>
                <w:lang w:val="en-US"/>
              </w:rPr>
            </w:pPr>
            <w:r>
              <w:rPr>
                <w:sz w:val="22"/>
                <w:szCs w:val="22"/>
                <w:lang w:val="en-US"/>
              </w:rPr>
              <w:t xml:space="preserve">Redundant </w:t>
            </w:r>
          </w:p>
        </w:tc>
      </w:tr>
      <w:tr w:rsidR="002835D9" w:rsidRPr="00FD600C" w14:paraId="07E5D0EA" w14:textId="77777777" w:rsidTr="001C7493">
        <w:tc>
          <w:tcPr>
            <w:tcW w:w="8642" w:type="dxa"/>
          </w:tcPr>
          <w:p w14:paraId="47DF618F" w14:textId="77777777" w:rsidR="002835D9" w:rsidRPr="000D2FEB" w:rsidRDefault="002835D9" w:rsidP="00A03E7B">
            <w:pPr>
              <w:rPr>
                <w:sz w:val="22"/>
                <w:szCs w:val="22"/>
                <w:lang w:val="en-US"/>
              </w:rPr>
            </w:pPr>
            <w:r w:rsidRPr="000D2FEB">
              <w:rPr>
                <w:sz w:val="22"/>
                <w:szCs w:val="22"/>
                <w:lang w:val="en-US"/>
              </w:rPr>
              <w:t>NOTING the substantial progress that many of these initiatives have made during the years 2006-2008 as regularly reported and assessed by Standing Committee;</w:t>
            </w:r>
          </w:p>
        </w:tc>
        <w:tc>
          <w:tcPr>
            <w:tcW w:w="1418" w:type="dxa"/>
          </w:tcPr>
          <w:p w14:paraId="5FAE7FB1" w14:textId="77777777" w:rsidR="002835D9" w:rsidRDefault="002835D9" w:rsidP="00A03E7B">
            <w:pPr>
              <w:rPr>
                <w:sz w:val="22"/>
                <w:szCs w:val="22"/>
                <w:lang w:val="en-US"/>
              </w:rPr>
            </w:pPr>
            <w:r>
              <w:rPr>
                <w:sz w:val="22"/>
                <w:szCs w:val="22"/>
                <w:lang w:val="en-US"/>
              </w:rPr>
              <w:t>5</w:t>
            </w:r>
          </w:p>
        </w:tc>
        <w:tc>
          <w:tcPr>
            <w:tcW w:w="3821" w:type="dxa"/>
          </w:tcPr>
          <w:p w14:paraId="446593D9" w14:textId="77777777" w:rsidR="002835D9" w:rsidRDefault="002835D9" w:rsidP="00A03E7B">
            <w:pPr>
              <w:rPr>
                <w:sz w:val="22"/>
                <w:szCs w:val="22"/>
                <w:lang w:val="en-US"/>
              </w:rPr>
            </w:pPr>
            <w:r>
              <w:rPr>
                <w:sz w:val="22"/>
                <w:szCs w:val="22"/>
                <w:lang w:val="en-US"/>
              </w:rPr>
              <w:t xml:space="preserve">Redundant </w:t>
            </w:r>
          </w:p>
        </w:tc>
      </w:tr>
      <w:tr w:rsidR="002835D9" w:rsidRPr="00FD600C" w14:paraId="13311579" w14:textId="77777777" w:rsidTr="001C7493">
        <w:tc>
          <w:tcPr>
            <w:tcW w:w="8642" w:type="dxa"/>
          </w:tcPr>
          <w:p w14:paraId="168C55C3" w14:textId="77777777" w:rsidR="002835D9" w:rsidRPr="000D2FEB" w:rsidRDefault="002835D9" w:rsidP="00A03E7B">
            <w:pPr>
              <w:rPr>
                <w:sz w:val="22"/>
                <w:szCs w:val="22"/>
                <w:lang w:val="en-US"/>
              </w:rPr>
            </w:pPr>
            <w:r w:rsidRPr="000D2FEB">
              <w:rPr>
                <w:sz w:val="22"/>
                <w:szCs w:val="22"/>
                <w:lang w:val="en-US"/>
              </w:rPr>
              <w:t>FURTHER NOTING that a number of new proposals were submitted to Standing Committee prior to this meeting of the Conference of the Contracting Parties; and</w:t>
            </w:r>
          </w:p>
        </w:tc>
        <w:tc>
          <w:tcPr>
            <w:tcW w:w="1418" w:type="dxa"/>
          </w:tcPr>
          <w:p w14:paraId="20C2C886" w14:textId="77777777" w:rsidR="002835D9" w:rsidRDefault="002835D9" w:rsidP="00A03E7B">
            <w:pPr>
              <w:rPr>
                <w:sz w:val="22"/>
                <w:szCs w:val="22"/>
                <w:lang w:val="en-US"/>
              </w:rPr>
            </w:pPr>
            <w:r>
              <w:rPr>
                <w:sz w:val="22"/>
                <w:szCs w:val="22"/>
                <w:lang w:val="en-US"/>
              </w:rPr>
              <w:t>6</w:t>
            </w:r>
          </w:p>
        </w:tc>
        <w:tc>
          <w:tcPr>
            <w:tcW w:w="3821" w:type="dxa"/>
          </w:tcPr>
          <w:p w14:paraId="6B93765F" w14:textId="77777777" w:rsidR="002835D9" w:rsidRDefault="002835D9" w:rsidP="00A03E7B">
            <w:pPr>
              <w:rPr>
                <w:sz w:val="22"/>
                <w:szCs w:val="22"/>
                <w:lang w:val="en-US"/>
              </w:rPr>
            </w:pPr>
            <w:r>
              <w:rPr>
                <w:sz w:val="22"/>
                <w:szCs w:val="22"/>
                <w:lang w:val="en-US"/>
              </w:rPr>
              <w:t xml:space="preserve">Redundant </w:t>
            </w:r>
          </w:p>
        </w:tc>
      </w:tr>
      <w:tr w:rsidR="002835D9" w14:paraId="1ADC2B7A" w14:textId="77777777" w:rsidTr="001C7493">
        <w:tc>
          <w:tcPr>
            <w:tcW w:w="8642" w:type="dxa"/>
          </w:tcPr>
          <w:p w14:paraId="5D117947" w14:textId="77777777" w:rsidR="002835D9" w:rsidRPr="000D2FEB" w:rsidRDefault="002835D9" w:rsidP="00A03E7B">
            <w:pPr>
              <w:rPr>
                <w:sz w:val="22"/>
                <w:szCs w:val="22"/>
                <w:lang w:val="en-US"/>
              </w:rPr>
            </w:pPr>
            <w:r w:rsidRPr="000048C2">
              <w:rPr>
                <w:sz w:val="22"/>
                <w:szCs w:val="22"/>
                <w:lang w:val="en-US"/>
              </w:rPr>
              <w:t>TAKING INTO ACCOUNT the experience gained through the first operational years of these initiatives and the conclusions derived from the assessment by Standing Committee with a strategic view for the future development of regional initiatives;</w:t>
            </w:r>
          </w:p>
        </w:tc>
        <w:tc>
          <w:tcPr>
            <w:tcW w:w="1418" w:type="dxa"/>
          </w:tcPr>
          <w:p w14:paraId="02668D16" w14:textId="77777777" w:rsidR="002835D9" w:rsidRDefault="002835D9" w:rsidP="00A03E7B">
            <w:pPr>
              <w:rPr>
                <w:sz w:val="22"/>
                <w:szCs w:val="22"/>
                <w:lang w:val="en-US"/>
              </w:rPr>
            </w:pPr>
            <w:r>
              <w:rPr>
                <w:sz w:val="22"/>
                <w:szCs w:val="22"/>
                <w:lang w:val="en-US"/>
              </w:rPr>
              <w:t>7</w:t>
            </w:r>
          </w:p>
        </w:tc>
        <w:tc>
          <w:tcPr>
            <w:tcW w:w="3821" w:type="dxa"/>
          </w:tcPr>
          <w:p w14:paraId="333F34DF" w14:textId="77777777" w:rsidR="002835D9" w:rsidRDefault="002835D9" w:rsidP="00A03E7B">
            <w:pPr>
              <w:rPr>
                <w:sz w:val="22"/>
                <w:szCs w:val="22"/>
                <w:lang w:val="en-US"/>
              </w:rPr>
            </w:pPr>
            <w:r>
              <w:rPr>
                <w:sz w:val="22"/>
                <w:szCs w:val="22"/>
                <w:lang w:val="en-US"/>
              </w:rPr>
              <w:t xml:space="preserve">Redundant </w:t>
            </w:r>
          </w:p>
        </w:tc>
      </w:tr>
      <w:tr w:rsidR="002835D9" w14:paraId="7742FED6" w14:textId="77777777" w:rsidTr="001C7493">
        <w:tc>
          <w:tcPr>
            <w:tcW w:w="8642" w:type="dxa"/>
          </w:tcPr>
          <w:p w14:paraId="0B7CB759" w14:textId="77777777" w:rsidR="002835D9" w:rsidRPr="000D2FEB" w:rsidRDefault="002835D9" w:rsidP="00A03E7B">
            <w:pPr>
              <w:rPr>
                <w:sz w:val="22"/>
                <w:szCs w:val="22"/>
                <w:lang w:val="en-US"/>
              </w:rPr>
            </w:pPr>
          </w:p>
        </w:tc>
        <w:tc>
          <w:tcPr>
            <w:tcW w:w="1418" w:type="dxa"/>
          </w:tcPr>
          <w:p w14:paraId="4A928482" w14:textId="77777777" w:rsidR="002835D9" w:rsidRPr="00EF1C1D" w:rsidRDefault="002835D9" w:rsidP="00A03E7B">
            <w:pPr>
              <w:rPr>
                <w:b/>
                <w:sz w:val="22"/>
                <w:szCs w:val="22"/>
                <w:lang w:val="en-US"/>
              </w:rPr>
            </w:pPr>
            <w:r w:rsidRPr="00EF1C1D">
              <w:rPr>
                <w:b/>
                <w:sz w:val="22"/>
                <w:szCs w:val="22"/>
                <w:lang w:val="en-US"/>
              </w:rPr>
              <w:t>IX</w:t>
            </w:r>
            <w:r>
              <w:rPr>
                <w:b/>
                <w:sz w:val="22"/>
                <w:szCs w:val="22"/>
                <w:lang w:val="en-US"/>
              </w:rPr>
              <w:t>.7</w:t>
            </w:r>
          </w:p>
        </w:tc>
        <w:tc>
          <w:tcPr>
            <w:tcW w:w="3821" w:type="dxa"/>
          </w:tcPr>
          <w:p w14:paraId="71F24B63" w14:textId="77777777" w:rsidR="002835D9" w:rsidRDefault="002835D9" w:rsidP="00A03E7B">
            <w:pPr>
              <w:rPr>
                <w:sz w:val="22"/>
                <w:szCs w:val="22"/>
                <w:lang w:val="en-US"/>
              </w:rPr>
            </w:pPr>
          </w:p>
        </w:tc>
      </w:tr>
      <w:tr w:rsidR="002835D9" w14:paraId="78D4E9EF" w14:textId="77777777" w:rsidTr="001C7493">
        <w:tc>
          <w:tcPr>
            <w:tcW w:w="8642" w:type="dxa"/>
          </w:tcPr>
          <w:p w14:paraId="60374AE8" w14:textId="77777777" w:rsidR="002835D9" w:rsidRPr="000D2FEB" w:rsidRDefault="002835D9" w:rsidP="00A03E7B">
            <w:pPr>
              <w:rPr>
                <w:sz w:val="22"/>
                <w:szCs w:val="22"/>
                <w:lang w:val="en-US"/>
              </w:rPr>
            </w:pPr>
            <w:r w:rsidRPr="006042B7">
              <w:rPr>
                <w:sz w:val="22"/>
                <w:szCs w:val="22"/>
                <w:lang w:val="en-US"/>
              </w:rPr>
              <w:t>RECOGNIZING that the Mediterranean Wetlands Initiative (MedWet) Coordination Unit already operates under the authority of the Secretary General and was recognized by the Parties in Resolution VIII.30 as a model example of such regional initiatives, and ALSO RECOGNIZING that the High Andean Regional Wetlands Strategy has been endorsed by the Council of Environment Ministers of the Andean Community of Nations;</w:t>
            </w:r>
          </w:p>
        </w:tc>
        <w:tc>
          <w:tcPr>
            <w:tcW w:w="1418" w:type="dxa"/>
          </w:tcPr>
          <w:p w14:paraId="4441872A" w14:textId="77777777" w:rsidR="002835D9" w:rsidRDefault="002835D9" w:rsidP="00A03E7B">
            <w:pPr>
              <w:rPr>
                <w:sz w:val="22"/>
                <w:szCs w:val="22"/>
                <w:lang w:val="en-US"/>
              </w:rPr>
            </w:pPr>
            <w:r>
              <w:rPr>
                <w:sz w:val="22"/>
                <w:szCs w:val="22"/>
                <w:lang w:val="en-US"/>
              </w:rPr>
              <w:t>3</w:t>
            </w:r>
          </w:p>
        </w:tc>
        <w:tc>
          <w:tcPr>
            <w:tcW w:w="3821" w:type="dxa"/>
          </w:tcPr>
          <w:p w14:paraId="20EB2AC7" w14:textId="77777777" w:rsidR="002835D9" w:rsidRDefault="002835D9" w:rsidP="00A03E7B">
            <w:pPr>
              <w:rPr>
                <w:sz w:val="22"/>
                <w:szCs w:val="22"/>
                <w:lang w:val="en-US"/>
              </w:rPr>
            </w:pPr>
            <w:r>
              <w:rPr>
                <w:sz w:val="22"/>
                <w:szCs w:val="22"/>
                <w:lang w:val="en-US"/>
              </w:rPr>
              <w:t xml:space="preserve">Redundant </w:t>
            </w:r>
          </w:p>
        </w:tc>
      </w:tr>
      <w:tr w:rsidR="002835D9" w14:paraId="60981D92" w14:textId="77777777" w:rsidTr="001C7493">
        <w:tc>
          <w:tcPr>
            <w:tcW w:w="8642" w:type="dxa"/>
          </w:tcPr>
          <w:p w14:paraId="1B1F6745" w14:textId="77777777" w:rsidR="002835D9" w:rsidRPr="006042B7" w:rsidRDefault="002835D9" w:rsidP="00A03E7B">
            <w:pPr>
              <w:pStyle w:val="NormalWeb"/>
              <w:rPr>
                <w:rFonts w:asciiTheme="minorHAnsi" w:hAnsiTheme="minorHAnsi"/>
                <w:sz w:val="22"/>
                <w:szCs w:val="22"/>
                <w:lang w:val="en-US"/>
              </w:rPr>
            </w:pPr>
            <w:r w:rsidRPr="006042B7">
              <w:rPr>
                <w:rFonts w:asciiTheme="minorHAnsi" w:hAnsiTheme="minorHAnsi"/>
                <w:sz w:val="22"/>
                <w:szCs w:val="22"/>
                <w:lang w:val="en-US"/>
              </w:rPr>
              <w:t xml:space="preserve">TAKING INTO ACCOUNT that the Government of Greece has offered to continue hosting and contributing financially to the operation of the MedWet Coordination Unit in Athens for the triennium 2006-2008; </w:t>
            </w:r>
          </w:p>
        </w:tc>
        <w:tc>
          <w:tcPr>
            <w:tcW w:w="1418" w:type="dxa"/>
          </w:tcPr>
          <w:p w14:paraId="1EC975D8" w14:textId="77777777" w:rsidR="002835D9" w:rsidRDefault="002835D9" w:rsidP="00A03E7B">
            <w:pPr>
              <w:rPr>
                <w:sz w:val="22"/>
                <w:szCs w:val="22"/>
                <w:lang w:val="en-US"/>
              </w:rPr>
            </w:pPr>
            <w:r>
              <w:rPr>
                <w:sz w:val="22"/>
                <w:szCs w:val="22"/>
                <w:lang w:val="en-US"/>
              </w:rPr>
              <w:t>4</w:t>
            </w:r>
          </w:p>
        </w:tc>
        <w:tc>
          <w:tcPr>
            <w:tcW w:w="3821" w:type="dxa"/>
          </w:tcPr>
          <w:p w14:paraId="31BAA6A7" w14:textId="77777777" w:rsidR="002835D9" w:rsidRDefault="002835D9" w:rsidP="00A03E7B">
            <w:pPr>
              <w:rPr>
                <w:sz w:val="22"/>
                <w:szCs w:val="22"/>
                <w:lang w:val="en-US"/>
              </w:rPr>
            </w:pPr>
            <w:r>
              <w:rPr>
                <w:sz w:val="22"/>
                <w:szCs w:val="22"/>
                <w:lang w:val="en-US"/>
              </w:rPr>
              <w:t xml:space="preserve">Redundant </w:t>
            </w:r>
          </w:p>
        </w:tc>
      </w:tr>
      <w:tr w:rsidR="002835D9" w14:paraId="1E8A7371" w14:textId="77777777" w:rsidTr="001C7493">
        <w:tc>
          <w:tcPr>
            <w:tcW w:w="8642" w:type="dxa"/>
          </w:tcPr>
          <w:p w14:paraId="46B36020" w14:textId="77777777" w:rsidR="002835D9" w:rsidRPr="000D2FEB" w:rsidRDefault="002835D9" w:rsidP="00A03E7B">
            <w:pPr>
              <w:rPr>
                <w:sz w:val="22"/>
                <w:szCs w:val="22"/>
                <w:lang w:val="en-US"/>
              </w:rPr>
            </w:pPr>
            <w:r w:rsidRPr="007F071D">
              <w:rPr>
                <w:sz w:val="22"/>
                <w:szCs w:val="22"/>
                <w:lang w:val="en-US"/>
              </w:rPr>
              <w:lastRenderedPageBreak/>
              <w:t>RECALLING Resolution VIII.42 on Small Island Developing States in the Oceania Region and RECOGNIZING the success of the out-posted Ramsar regional support officer for Oceania during 2005; and</w:t>
            </w:r>
          </w:p>
        </w:tc>
        <w:tc>
          <w:tcPr>
            <w:tcW w:w="1418" w:type="dxa"/>
          </w:tcPr>
          <w:p w14:paraId="6A7B8FA7" w14:textId="77777777" w:rsidR="002835D9" w:rsidRDefault="002835D9" w:rsidP="00A03E7B">
            <w:pPr>
              <w:rPr>
                <w:sz w:val="22"/>
                <w:szCs w:val="22"/>
                <w:lang w:val="en-US"/>
              </w:rPr>
            </w:pPr>
            <w:r>
              <w:rPr>
                <w:sz w:val="22"/>
                <w:szCs w:val="22"/>
                <w:lang w:val="en-US"/>
              </w:rPr>
              <w:t>5</w:t>
            </w:r>
          </w:p>
        </w:tc>
        <w:tc>
          <w:tcPr>
            <w:tcW w:w="3821" w:type="dxa"/>
          </w:tcPr>
          <w:p w14:paraId="2142E651" w14:textId="77777777" w:rsidR="002835D9" w:rsidRDefault="002835D9" w:rsidP="00A03E7B">
            <w:pPr>
              <w:rPr>
                <w:sz w:val="22"/>
                <w:szCs w:val="22"/>
                <w:lang w:val="en-US"/>
              </w:rPr>
            </w:pPr>
            <w:r>
              <w:rPr>
                <w:sz w:val="22"/>
                <w:szCs w:val="22"/>
                <w:lang w:val="en-US"/>
              </w:rPr>
              <w:t xml:space="preserve">Redundant </w:t>
            </w:r>
          </w:p>
        </w:tc>
      </w:tr>
      <w:tr w:rsidR="002835D9" w14:paraId="003F65C7" w14:textId="77777777" w:rsidTr="001C7493">
        <w:tc>
          <w:tcPr>
            <w:tcW w:w="8642" w:type="dxa"/>
          </w:tcPr>
          <w:p w14:paraId="407B6A80" w14:textId="77777777" w:rsidR="002835D9" w:rsidRDefault="002835D9" w:rsidP="00A03E7B">
            <w:pPr>
              <w:rPr>
                <w:sz w:val="22"/>
                <w:szCs w:val="22"/>
                <w:lang w:val="en-US"/>
              </w:rPr>
            </w:pPr>
            <w:r w:rsidRPr="007F071D">
              <w:rPr>
                <w:sz w:val="22"/>
                <w:szCs w:val="22"/>
                <w:lang w:val="en-US"/>
              </w:rPr>
              <w:t>AWARE that a number of regional initiatives for wetland conservation and wise use are under development in different parts of the world, NOTING the submissions by Contracting Parties to the Standing Committee of proposals for developing regional initiatives to be recognized as working within the framework of the Convention (COP9 DOC. 21), and FURTHER NOTING the following additional regional initiatives announced by Contracting Parties during COP9 as being under development:</w:t>
            </w:r>
          </w:p>
          <w:p w14:paraId="59B19008" w14:textId="77777777" w:rsidR="002835D9" w:rsidRPr="007F071D" w:rsidRDefault="002835D9" w:rsidP="00A03E7B">
            <w:pPr>
              <w:rPr>
                <w:sz w:val="22"/>
                <w:szCs w:val="22"/>
                <w:lang w:val="en-US"/>
              </w:rPr>
            </w:pPr>
          </w:p>
          <w:p w14:paraId="0BEF7374" w14:textId="77777777" w:rsidR="002835D9" w:rsidRPr="007F071D" w:rsidRDefault="002835D9" w:rsidP="00A03E7B">
            <w:pPr>
              <w:rPr>
                <w:sz w:val="22"/>
                <w:szCs w:val="22"/>
                <w:lang w:val="en-US"/>
              </w:rPr>
            </w:pPr>
            <w:r w:rsidRPr="007F071D">
              <w:rPr>
                <w:sz w:val="22"/>
                <w:szCs w:val="22"/>
                <w:lang w:val="en-US"/>
              </w:rPr>
              <w:t xml:space="preserve">• La Plata/Paraguay-Parana Wetlands System Sustainability </w:t>
            </w:r>
            <w:proofErr w:type="spellStart"/>
            <w:r w:rsidRPr="007F071D">
              <w:rPr>
                <w:sz w:val="22"/>
                <w:szCs w:val="22"/>
                <w:lang w:val="en-US"/>
              </w:rPr>
              <w:t>Programme</w:t>
            </w:r>
            <w:proofErr w:type="spellEnd"/>
            <w:r w:rsidRPr="007F071D">
              <w:rPr>
                <w:sz w:val="22"/>
                <w:szCs w:val="22"/>
                <w:lang w:val="en-US"/>
              </w:rPr>
              <w:t xml:space="preserve"> – Neotropics</w:t>
            </w:r>
          </w:p>
          <w:p w14:paraId="7C2CD5DF" w14:textId="77777777" w:rsidR="002835D9" w:rsidRPr="007F071D" w:rsidRDefault="002835D9" w:rsidP="00A03E7B">
            <w:pPr>
              <w:rPr>
                <w:sz w:val="22"/>
                <w:szCs w:val="22"/>
                <w:lang w:val="en-US"/>
              </w:rPr>
            </w:pPr>
            <w:r w:rsidRPr="007F071D">
              <w:rPr>
                <w:sz w:val="22"/>
                <w:szCs w:val="22"/>
                <w:lang w:val="en-US"/>
              </w:rPr>
              <w:t>• Black Sea Wetlands Initiative (BlackSeaWet) – Europe</w:t>
            </w:r>
          </w:p>
          <w:p w14:paraId="5F15B6B5" w14:textId="77777777" w:rsidR="002835D9" w:rsidRPr="007F071D" w:rsidRDefault="002835D9" w:rsidP="00A03E7B">
            <w:pPr>
              <w:rPr>
                <w:sz w:val="22"/>
                <w:szCs w:val="22"/>
              </w:rPr>
            </w:pPr>
            <w:r w:rsidRPr="007F071D">
              <w:rPr>
                <w:sz w:val="22"/>
                <w:szCs w:val="22"/>
              </w:rPr>
              <w:t xml:space="preserve">• Lake Victoria </w:t>
            </w:r>
            <w:proofErr w:type="spellStart"/>
            <w:r w:rsidRPr="007F071D">
              <w:rPr>
                <w:sz w:val="22"/>
                <w:szCs w:val="22"/>
              </w:rPr>
              <w:t>Environmental</w:t>
            </w:r>
            <w:proofErr w:type="spellEnd"/>
            <w:r w:rsidRPr="007F071D">
              <w:rPr>
                <w:sz w:val="22"/>
                <w:szCs w:val="22"/>
              </w:rPr>
              <w:t xml:space="preserve"> Management Programme – </w:t>
            </w:r>
            <w:proofErr w:type="spellStart"/>
            <w:r w:rsidRPr="007F071D">
              <w:rPr>
                <w:sz w:val="22"/>
                <w:szCs w:val="22"/>
              </w:rPr>
              <w:t>Africa</w:t>
            </w:r>
            <w:proofErr w:type="spellEnd"/>
          </w:p>
          <w:p w14:paraId="5F0F30C4" w14:textId="77777777" w:rsidR="002835D9" w:rsidRPr="007F071D" w:rsidRDefault="002835D9" w:rsidP="00A03E7B">
            <w:pPr>
              <w:rPr>
                <w:sz w:val="22"/>
                <w:szCs w:val="22"/>
                <w:lang w:val="en-US"/>
              </w:rPr>
            </w:pPr>
            <w:r w:rsidRPr="007F071D">
              <w:rPr>
                <w:sz w:val="22"/>
                <w:szCs w:val="22"/>
                <w:lang w:val="en-US"/>
              </w:rPr>
              <w:t>• Nile River Basin Conservation and Development Initiative – Africa</w:t>
            </w:r>
          </w:p>
          <w:p w14:paraId="64CEC86F" w14:textId="77777777" w:rsidR="002835D9" w:rsidRPr="000D2FEB" w:rsidRDefault="002835D9" w:rsidP="00A03E7B">
            <w:pPr>
              <w:rPr>
                <w:sz w:val="22"/>
                <w:szCs w:val="22"/>
                <w:lang w:val="en-US"/>
              </w:rPr>
            </w:pPr>
            <w:r w:rsidRPr="007F071D">
              <w:rPr>
                <w:sz w:val="22"/>
                <w:szCs w:val="22"/>
                <w:lang w:val="en-US"/>
              </w:rPr>
              <w:t>• Kenya Wildlife Service Training Institute, International Wetland Training Programme – Africa;</w:t>
            </w:r>
          </w:p>
        </w:tc>
        <w:tc>
          <w:tcPr>
            <w:tcW w:w="1418" w:type="dxa"/>
          </w:tcPr>
          <w:p w14:paraId="6BEC467A" w14:textId="77777777" w:rsidR="002835D9" w:rsidRDefault="002835D9" w:rsidP="00A03E7B">
            <w:pPr>
              <w:rPr>
                <w:sz w:val="22"/>
                <w:szCs w:val="22"/>
                <w:lang w:val="en-US"/>
              </w:rPr>
            </w:pPr>
            <w:r>
              <w:rPr>
                <w:sz w:val="22"/>
                <w:szCs w:val="22"/>
                <w:lang w:val="en-US"/>
              </w:rPr>
              <w:t>6</w:t>
            </w:r>
          </w:p>
        </w:tc>
        <w:tc>
          <w:tcPr>
            <w:tcW w:w="3821" w:type="dxa"/>
          </w:tcPr>
          <w:p w14:paraId="6258B5B2" w14:textId="77777777" w:rsidR="002835D9" w:rsidRDefault="002835D9" w:rsidP="00A03E7B">
            <w:pPr>
              <w:rPr>
                <w:sz w:val="22"/>
                <w:szCs w:val="22"/>
                <w:lang w:val="en-US"/>
              </w:rPr>
            </w:pPr>
            <w:r>
              <w:rPr>
                <w:sz w:val="22"/>
                <w:szCs w:val="22"/>
                <w:lang w:val="en-US"/>
              </w:rPr>
              <w:t xml:space="preserve">Redundant  </w:t>
            </w:r>
          </w:p>
        </w:tc>
      </w:tr>
      <w:tr w:rsidR="002835D9" w14:paraId="0A5E5E43" w14:textId="77777777" w:rsidTr="001C7493">
        <w:tc>
          <w:tcPr>
            <w:tcW w:w="8642" w:type="dxa"/>
          </w:tcPr>
          <w:p w14:paraId="1B303D4A" w14:textId="77777777" w:rsidR="002835D9" w:rsidRPr="000D2FEB" w:rsidRDefault="002835D9" w:rsidP="00A03E7B">
            <w:pPr>
              <w:rPr>
                <w:sz w:val="22"/>
                <w:szCs w:val="22"/>
                <w:lang w:val="en-US"/>
              </w:rPr>
            </w:pPr>
          </w:p>
        </w:tc>
        <w:tc>
          <w:tcPr>
            <w:tcW w:w="1418" w:type="dxa"/>
          </w:tcPr>
          <w:p w14:paraId="24AC09FE" w14:textId="77777777" w:rsidR="002835D9" w:rsidRDefault="002835D9" w:rsidP="00A03E7B">
            <w:pPr>
              <w:rPr>
                <w:b/>
                <w:sz w:val="22"/>
                <w:szCs w:val="22"/>
                <w:lang w:val="en-US"/>
              </w:rPr>
            </w:pPr>
            <w:r>
              <w:rPr>
                <w:b/>
                <w:sz w:val="22"/>
                <w:szCs w:val="22"/>
                <w:lang w:val="en-US"/>
              </w:rPr>
              <w:t>VIII.43</w:t>
            </w:r>
          </w:p>
        </w:tc>
        <w:tc>
          <w:tcPr>
            <w:tcW w:w="3821" w:type="dxa"/>
          </w:tcPr>
          <w:p w14:paraId="7708096C" w14:textId="77777777" w:rsidR="002835D9" w:rsidRDefault="002835D9" w:rsidP="00A03E7B">
            <w:pPr>
              <w:rPr>
                <w:sz w:val="22"/>
                <w:szCs w:val="22"/>
                <w:lang w:val="en-US"/>
              </w:rPr>
            </w:pPr>
          </w:p>
        </w:tc>
      </w:tr>
      <w:tr w:rsidR="002835D9" w14:paraId="38D37BC1" w14:textId="77777777" w:rsidTr="001C7493">
        <w:tc>
          <w:tcPr>
            <w:tcW w:w="8642" w:type="dxa"/>
          </w:tcPr>
          <w:p w14:paraId="6152E4B7" w14:textId="77777777" w:rsidR="002835D9" w:rsidRPr="00E94E10" w:rsidRDefault="002835D9" w:rsidP="00A03E7B">
            <w:pPr>
              <w:rPr>
                <w:sz w:val="22"/>
                <w:szCs w:val="22"/>
                <w:lang w:val="en-US"/>
              </w:rPr>
            </w:pPr>
            <w:r w:rsidRPr="00E94E10">
              <w:rPr>
                <w:sz w:val="22"/>
                <w:szCs w:val="22"/>
                <w:lang w:val="en-US"/>
              </w:rPr>
              <w:t>TAKING INTO ACCOUNT General Objective 3 of the Strategic Plan 2003-2008 urges promotion of international cooperation and implementation of the Guidelines for international cooperation under the Ramsar Convention;</w:t>
            </w:r>
          </w:p>
          <w:p w14:paraId="441D190C" w14:textId="77777777" w:rsidR="002835D9" w:rsidRPr="00E94E10" w:rsidRDefault="002835D9" w:rsidP="00A03E7B">
            <w:pPr>
              <w:rPr>
                <w:sz w:val="22"/>
                <w:szCs w:val="22"/>
                <w:lang w:val="en-US"/>
              </w:rPr>
            </w:pPr>
          </w:p>
        </w:tc>
        <w:tc>
          <w:tcPr>
            <w:tcW w:w="1418" w:type="dxa"/>
          </w:tcPr>
          <w:p w14:paraId="2B56AFA9" w14:textId="77777777" w:rsidR="002835D9" w:rsidRPr="00E94E10" w:rsidRDefault="002835D9" w:rsidP="00A03E7B">
            <w:pPr>
              <w:rPr>
                <w:sz w:val="22"/>
                <w:szCs w:val="22"/>
                <w:lang w:val="en-US"/>
              </w:rPr>
            </w:pPr>
            <w:r w:rsidRPr="00E94E10">
              <w:rPr>
                <w:sz w:val="22"/>
                <w:szCs w:val="22"/>
                <w:lang w:val="en-US"/>
              </w:rPr>
              <w:t>2</w:t>
            </w:r>
          </w:p>
        </w:tc>
        <w:tc>
          <w:tcPr>
            <w:tcW w:w="3821" w:type="dxa"/>
          </w:tcPr>
          <w:p w14:paraId="379DB91E" w14:textId="77777777" w:rsidR="002835D9" w:rsidRDefault="002835D9" w:rsidP="00A03E7B">
            <w:pPr>
              <w:rPr>
                <w:sz w:val="22"/>
                <w:szCs w:val="22"/>
                <w:lang w:val="en-US"/>
              </w:rPr>
            </w:pPr>
            <w:r>
              <w:rPr>
                <w:sz w:val="22"/>
                <w:szCs w:val="22"/>
                <w:lang w:val="en-US"/>
              </w:rPr>
              <w:t xml:space="preserve">Redundant </w:t>
            </w:r>
          </w:p>
        </w:tc>
      </w:tr>
      <w:tr w:rsidR="002835D9" w14:paraId="48E43F6E" w14:textId="77777777" w:rsidTr="001C7493">
        <w:tc>
          <w:tcPr>
            <w:tcW w:w="8642" w:type="dxa"/>
          </w:tcPr>
          <w:p w14:paraId="243F7C5F" w14:textId="77777777" w:rsidR="002835D9" w:rsidRPr="00E94E10" w:rsidRDefault="002835D9" w:rsidP="00A03E7B">
            <w:pPr>
              <w:rPr>
                <w:sz w:val="22"/>
                <w:szCs w:val="22"/>
                <w:lang w:val="en-US"/>
              </w:rPr>
            </w:pPr>
            <w:r w:rsidRPr="00E94E10">
              <w:rPr>
                <w:sz w:val="22"/>
                <w:szCs w:val="22"/>
                <w:lang w:val="en-US"/>
              </w:rPr>
              <w:t xml:space="preserve">ALSO TAKING INTO ACCOUNT the conclusions of the first South American Regional Meeting (Buenos Aires, September 2001), at which the participating Contracting Parties decided to develop a </w:t>
            </w:r>
            <w:proofErr w:type="spellStart"/>
            <w:r w:rsidRPr="00E94E10">
              <w:rPr>
                <w:sz w:val="22"/>
                <w:szCs w:val="22"/>
                <w:lang w:val="en-US"/>
              </w:rPr>
              <w:t>subregional</w:t>
            </w:r>
            <w:proofErr w:type="spellEnd"/>
            <w:r w:rsidRPr="00E94E10">
              <w:rPr>
                <w:sz w:val="22"/>
                <w:szCs w:val="22"/>
                <w:lang w:val="en-US"/>
              </w:rPr>
              <w:t xml:space="preserve"> strategy for conservation and wise use of wetlands within the framework of the Convention for the countries in South America;</w:t>
            </w:r>
          </w:p>
          <w:p w14:paraId="32931983" w14:textId="77777777" w:rsidR="002835D9" w:rsidRPr="00E94E10" w:rsidRDefault="002835D9" w:rsidP="00A03E7B">
            <w:pPr>
              <w:rPr>
                <w:sz w:val="22"/>
                <w:szCs w:val="22"/>
                <w:lang w:val="en-US"/>
              </w:rPr>
            </w:pPr>
          </w:p>
        </w:tc>
        <w:tc>
          <w:tcPr>
            <w:tcW w:w="1418" w:type="dxa"/>
          </w:tcPr>
          <w:p w14:paraId="504677A0" w14:textId="77777777" w:rsidR="002835D9" w:rsidRPr="00E94E10" w:rsidRDefault="002835D9" w:rsidP="00A03E7B">
            <w:pPr>
              <w:rPr>
                <w:sz w:val="22"/>
                <w:szCs w:val="22"/>
                <w:lang w:val="en-US"/>
              </w:rPr>
            </w:pPr>
            <w:r w:rsidRPr="00E94E10">
              <w:rPr>
                <w:sz w:val="22"/>
                <w:szCs w:val="22"/>
                <w:lang w:val="en-US"/>
              </w:rPr>
              <w:t>3</w:t>
            </w:r>
          </w:p>
        </w:tc>
        <w:tc>
          <w:tcPr>
            <w:tcW w:w="3821" w:type="dxa"/>
          </w:tcPr>
          <w:p w14:paraId="3A682871" w14:textId="77777777" w:rsidR="002835D9" w:rsidRDefault="002835D9" w:rsidP="00A03E7B">
            <w:pPr>
              <w:rPr>
                <w:sz w:val="22"/>
                <w:szCs w:val="22"/>
                <w:lang w:val="en-US"/>
              </w:rPr>
            </w:pPr>
            <w:r>
              <w:rPr>
                <w:sz w:val="22"/>
                <w:szCs w:val="22"/>
                <w:lang w:val="en-US"/>
              </w:rPr>
              <w:t xml:space="preserve">Redundant </w:t>
            </w:r>
          </w:p>
        </w:tc>
      </w:tr>
      <w:tr w:rsidR="002835D9" w14:paraId="65620FDC" w14:textId="77777777" w:rsidTr="001C7493">
        <w:tc>
          <w:tcPr>
            <w:tcW w:w="8642" w:type="dxa"/>
          </w:tcPr>
          <w:p w14:paraId="77624AA1" w14:textId="77777777" w:rsidR="002835D9" w:rsidRPr="00E94E10" w:rsidRDefault="002835D9" w:rsidP="00A03E7B">
            <w:pPr>
              <w:rPr>
                <w:sz w:val="22"/>
                <w:szCs w:val="22"/>
                <w:lang w:val="en-US"/>
              </w:rPr>
            </w:pPr>
            <w:r w:rsidRPr="00E94E10">
              <w:rPr>
                <w:sz w:val="22"/>
                <w:szCs w:val="22"/>
                <w:lang w:val="en-US"/>
              </w:rPr>
              <w:t xml:space="preserve"> KEEPING IN MIND the support expressed for this proposal by the Contracting Parties at the second Pan-American Ramsar Meeting (Guayaquil, July 2002);</w:t>
            </w:r>
          </w:p>
        </w:tc>
        <w:tc>
          <w:tcPr>
            <w:tcW w:w="1418" w:type="dxa"/>
          </w:tcPr>
          <w:p w14:paraId="10D6035E" w14:textId="77777777" w:rsidR="002835D9" w:rsidRPr="00E94E10" w:rsidRDefault="002835D9" w:rsidP="00A03E7B">
            <w:pPr>
              <w:rPr>
                <w:sz w:val="22"/>
                <w:szCs w:val="22"/>
                <w:lang w:val="en-US"/>
              </w:rPr>
            </w:pPr>
            <w:r w:rsidRPr="00E94E10">
              <w:rPr>
                <w:sz w:val="22"/>
                <w:szCs w:val="22"/>
                <w:lang w:val="en-US"/>
              </w:rPr>
              <w:t>4</w:t>
            </w:r>
          </w:p>
        </w:tc>
        <w:tc>
          <w:tcPr>
            <w:tcW w:w="3821" w:type="dxa"/>
          </w:tcPr>
          <w:p w14:paraId="7D4BF0CE" w14:textId="77777777" w:rsidR="002835D9" w:rsidRDefault="002835D9" w:rsidP="00A03E7B">
            <w:pPr>
              <w:rPr>
                <w:sz w:val="22"/>
                <w:szCs w:val="22"/>
                <w:lang w:val="en-US"/>
              </w:rPr>
            </w:pPr>
            <w:r>
              <w:rPr>
                <w:sz w:val="22"/>
                <w:szCs w:val="22"/>
                <w:lang w:val="en-US"/>
              </w:rPr>
              <w:t xml:space="preserve">Redundant </w:t>
            </w:r>
          </w:p>
        </w:tc>
      </w:tr>
      <w:tr w:rsidR="002835D9" w14:paraId="7F373D24" w14:textId="77777777" w:rsidTr="001C7493">
        <w:tc>
          <w:tcPr>
            <w:tcW w:w="8642" w:type="dxa"/>
          </w:tcPr>
          <w:p w14:paraId="7E076307" w14:textId="77777777" w:rsidR="002835D9" w:rsidRPr="00E94E10" w:rsidRDefault="002835D9" w:rsidP="00A03E7B">
            <w:pPr>
              <w:rPr>
                <w:sz w:val="22"/>
                <w:szCs w:val="22"/>
                <w:lang w:val="en-US"/>
              </w:rPr>
            </w:pPr>
            <w:r w:rsidRPr="003F1CDF">
              <w:rPr>
                <w:sz w:val="22"/>
                <w:szCs w:val="22"/>
                <w:lang w:val="en-US"/>
              </w:rPr>
              <w:t>IN ACCORDANCE with the contents of Resolution VIII.30 on Regional initiatives for the further implementation of the Convention;</w:t>
            </w:r>
          </w:p>
        </w:tc>
        <w:tc>
          <w:tcPr>
            <w:tcW w:w="1418" w:type="dxa"/>
          </w:tcPr>
          <w:p w14:paraId="7C6F0A43" w14:textId="77777777" w:rsidR="002835D9" w:rsidRPr="00E94E10" w:rsidRDefault="002835D9" w:rsidP="00A03E7B">
            <w:pPr>
              <w:rPr>
                <w:sz w:val="22"/>
                <w:szCs w:val="22"/>
                <w:lang w:val="en-US"/>
              </w:rPr>
            </w:pPr>
            <w:r>
              <w:rPr>
                <w:sz w:val="22"/>
                <w:szCs w:val="22"/>
                <w:lang w:val="en-US"/>
              </w:rPr>
              <w:t>6</w:t>
            </w:r>
          </w:p>
        </w:tc>
        <w:tc>
          <w:tcPr>
            <w:tcW w:w="3821" w:type="dxa"/>
          </w:tcPr>
          <w:p w14:paraId="4AE99CF5" w14:textId="77777777" w:rsidR="002835D9" w:rsidRDefault="002835D9" w:rsidP="00A03E7B">
            <w:pPr>
              <w:rPr>
                <w:sz w:val="22"/>
                <w:szCs w:val="22"/>
                <w:lang w:val="en-US"/>
              </w:rPr>
            </w:pPr>
            <w:r>
              <w:rPr>
                <w:sz w:val="22"/>
                <w:szCs w:val="22"/>
                <w:lang w:val="en-US"/>
              </w:rPr>
              <w:t xml:space="preserve">Redundant </w:t>
            </w:r>
          </w:p>
        </w:tc>
      </w:tr>
      <w:tr w:rsidR="002835D9" w14:paraId="73F8144C" w14:textId="77777777" w:rsidTr="001C7493">
        <w:tc>
          <w:tcPr>
            <w:tcW w:w="8642" w:type="dxa"/>
          </w:tcPr>
          <w:p w14:paraId="05317BA1" w14:textId="77777777" w:rsidR="002835D9" w:rsidRPr="000D2FEB" w:rsidRDefault="002835D9" w:rsidP="00A03E7B">
            <w:pPr>
              <w:rPr>
                <w:sz w:val="22"/>
                <w:szCs w:val="22"/>
                <w:lang w:val="en-US"/>
              </w:rPr>
            </w:pPr>
          </w:p>
        </w:tc>
        <w:tc>
          <w:tcPr>
            <w:tcW w:w="1418" w:type="dxa"/>
          </w:tcPr>
          <w:p w14:paraId="5660722E" w14:textId="77777777" w:rsidR="002835D9" w:rsidRPr="004074CD" w:rsidRDefault="002835D9" w:rsidP="00A03E7B">
            <w:pPr>
              <w:rPr>
                <w:b/>
                <w:sz w:val="22"/>
                <w:szCs w:val="22"/>
                <w:lang w:val="en-US"/>
              </w:rPr>
            </w:pPr>
            <w:r>
              <w:rPr>
                <w:b/>
                <w:sz w:val="22"/>
                <w:szCs w:val="22"/>
                <w:lang w:val="en-US"/>
              </w:rPr>
              <w:t>VIII.41</w:t>
            </w:r>
          </w:p>
        </w:tc>
        <w:tc>
          <w:tcPr>
            <w:tcW w:w="3821" w:type="dxa"/>
          </w:tcPr>
          <w:p w14:paraId="4D092C5F" w14:textId="77777777" w:rsidR="002835D9" w:rsidRDefault="002835D9" w:rsidP="00A03E7B">
            <w:pPr>
              <w:rPr>
                <w:sz w:val="22"/>
                <w:szCs w:val="22"/>
                <w:lang w:val="en-US"/>
              </w:rPr>
            </w:pPr>
          </w:p>
        </w:tc>
      </w:tr>
      <w:tr w:rsidR="002835D9" w14:paraId="31D35FC5" w14:textId="77777777" w:rsidTr="001C7493">
        <w:tc>
          <w:tcPr>
            <w:tcW w:w="8642" w:type="dxa"/>
          </w:tcPr>
          <w:p w14:paraId="0F2F9502" w14:textId="77777777" w:rsidR="002835D9" w:rsidRPr="000D2FEB" w:rsidRDefault="002835D9" w:rsidP="00A03E7B">
            <w:pPr>
              <w:rPr>
                <w:sz w:val="22"/>
                <w:szCs w:val="22"/>
                <w:lang w:val="en-US"/>
              </w:rPr>
            </w:pPr>
            <w:r w:rsidRPr="00F50F36">
              <w:rPr>
                <w:sz w:val="22"/>
                <w:szCs w:val="22"/>
                <w:lang w:val="en-US"/>
              </w:rPr>
              <w:t xml:space="preserve">FURTHER RECALLING that Recommendation 6.5 urged Contracting Parties to establish wetland manager training </w:t>
            </w:r>
            <w:proofErr w:type="spellStart"/>
            <w:r w:rsidRPr="00F50F36">
              <w:rPr>
                <w:sz w:val="22"/>
                <w:szCs w:val="22"/>
                <w:lang w:val="en-US"/>
              </w:rPr>
              <w:t>programmes</w:t>
            </w:r>
            <w:proofErr w:type="spellEnd"/>
            <w:r w:rsidRPr="00F50F36">
              <w:rPr>
                <w:sz w:val="22"/>
                <w:szCs w:val="22"/>
                <w:lang w:val="en-US"/>
              </w:rPr>
              <w:t xml:space="preserve">, that Recommendation 6.6 called for the </w:t>
            </w:r>
            <w:r w:rsidRPr="00F50F36">
              <w:rPr>
                <w:sz w:val="22"/>
                <w:szCs w:val="22"/>
                <w:lang w:val="en-US"/>
              </w:rPr>
              <w:lastRenderedPageBreak/>
              <w:t>establishment of regionally-based Ramsar liaison officers, and that Actions 4.2.3 and 4.2.4 of the Convention’s Strategic Plan 1997-2002 called for the development of new training activities and provision of opportunities for manager training;</w:t>
            </w:r>
          </w:p>
        </w:tc>
        <w:tc>
          <w:tcPr>
            <w:tcW w:w="1418" w:type="dxa"/>
          </w:tcPr>
          <w:p w14:paraId="2F7428B2" w14:textId="77777777" w:rsidR="002835D9" w:rsidRPr="00F50F36" w:rsidRDefault="002835D9" w:rsidP="00A03E7B">
            <w:pPr>
              <w:rPr>
                <w:sz w:val="22"/>
                <w:szCs w:val="22"/>
                <w:lang w:val="en-US"/>
              </w:rPr>
            </w:pPr>
            <w:r w:rsidRPr="00F50F36">
              <w:rPr>
                <w:sz w:val="22"/>
                <w:szCs w:val="22"/>
                <w:lang w:val="en-US"/>
              </w:rPr>
              <w:lastRenderedPageBreak/>
              <w:t>4</w:t>
            </w:r>
          </w:p>
        </w:tc>
        <w:tc>
          <w:tcPr>
            <w:tcW w:w="3821" w:type="dxa"/>
          </w:tcPr>
          <w:p w14:paraId="164A0CA2" w14:textId="77777777" w:rsidR="002835D9" w:rsidRDefault="002835D9" w:rsidP="00A03E7B">
            <w:pPr>
              <w:rPr>
                <w:sz w:val="22"/>
                <w:szCs w:val="22"/>
                <w:lang w:val="en-US"/>
              </w:rPr>
            </w:pPr>
            <w:r>
              <w:rPr>
                <w:sz w:val="22"/>
                <w:szCs w:val="22"/>
                <w:lang w:val="en-US"/>
              </w:rPr>
              <w:t xml:space="preserve">Redundant </w:t>
            </w:r>
          </w:p>
        </w:tc>
      </w:tr>
      <w:tr w:rsidR="002835D9" w14:paraId="54D57EFB" w14:textId="77777777" w:rsidTr="001C7493">
        <w:tc>
          <w:tcPr>
            <w:tcW w:w="8642" w:type="dxa"/>
          </w:tcPr>
          <w:p w14:paraId="4ED3770D" w14:textId="18FB1E8D" w:rsidR="002835D9" w:rsidRPr="000D2FEB" w:rsidRDefault="002835D9" w:rsidP="00A30BE1">
            <w:pPr>
              <w:rPr>
                <w:sz w:val="22"/>
                <w:szCs w:val="22"/>
                <w:lang w:val="en-US"/>
              </w:rPr>
            </w:pPr>
            <w:r w:rsidRPr="00F50F36">
              <w:rPr>
                <w:sz w:val="22"/>
                <w:szCs w:val="22"/>
                <w:lang w:val="en-US"/>
              </w:rPr>
              <w:t>NOTING that Wetlands International is developing a “Ramsar Wetland Training Service” designed to provide support to Contracting Parties in their implementation of Operational Objective 20.1 of the Convention’s Strategic Plan 2003-2008 adopted by this meeting; and</w:t>
            </w:r>
          </w:p>
        </w:tc>
        <w:tc>
          <w:tcPr>
            <w:tcW w:w="1418" w:type="dxa"/>
          </w:tcPr>
          <w:p w14:paraId="218B04CB" w14:textId="77777777" w:rsidR="002835D9" w:rsidRPr="00F50F36" w:rsidRDefault="002835D9" w:rsidP="00A03E7B">
            <w:pPr>
              <w:rPr>
                <w:sz w:val="22"/>
                <w:szCs w:val="22"/>
                <w:lang w:val="en-US"/>
              </w:rPr>
            </w:pPr>
            <w:r w:rsidRPr="00F50F36">
              <w:rPr>
                <w:sz w:val="22"/>
                <w:szCs w:val="22"/>
                <w:lang w:val="en-US"/>
              </w:rPr>
              <w:t>5</w:t>
            </w:r>
          </w:p>
        </w:tc>
        <w:tc>
          <w:tcPr>
            <w:tcW w:w="3821" w:type="dxa"/>
          </w:tcPr>
          <w:p w14:paraId="6D4395C4" w14:textId="77777777" w:rsidR="002835D9" w:rsidRDefault="002835D9" w:rsidP="00A03E7B">
            <w:pPr>
              <w:rPr>
                <w:sz w:val="22"/>
                <w:szCs w:val="22"/>
                <w:lang w:val="en-US"/>
              </w:rPr>
            </w:pPr>
            <w:r>
              <w:rPr>
                <w:sz w:val="22"/>
                <w:szCs w:val="22"/>
                <w:lang w:val="en-US"/>
              </w:rPr>
              <w:t xml:space="preserve">Redundant </w:t>
            </w:r>
          </w:p>
        </w:tc>
      </w:tr>
      <w:tr w:rsidR="002835D9" w14:paraId="00693E11" w14:textId="77777777" w:rsidTr="001C7493">
        <w:tc>
          <w:tcPr>
            <w:tcW w:w="8642" w:type="dxa"/>
          </w:tcPr>
          <w:p w14:paraId="37A14A9C" w14:textId="2E573713" w:rsidR="002835D9" w:rsidRPr="000D2FEB" w:rsidRDefault="005712EE" w:rsidP="005712EE">
            <w:pPr>
              <w:rPr>
                <w:sz w:val="22"/>
                <w:szCs w:val="22"/>
                <w:lang w:val="en-US"/>
              </w:rPr>
            </w:pPr>
            <w:r w:rsidRPr="00015EAC">
              <w:rPr>
                <w:lang w:val="en-GB"/>
              </w:rPr>
              <w:t xml:space="preserve">AWARE that the Ramsar </w:t>
            </w:r>
            <w:proofErr w:type="spellStart"/>
            <w:r w:rsidRPr="00015EAC">
              <w:rPr>
                <w:lang w:val="en-GB"/>
              </w:rPr>
              <w:t>Subregional</w:t>
            </w:r>
            <w:proofErr w:type="spellEnd"/>
            <w:r w:rsidRPr="00015EAC">
              <w:rPr>
                <w:lang w:val="en-GB"/>
              </w:rPr>
              <w:t xml:space="preserve"> Meeting for West and Central Asia, hosted by the Islamic Republic of Iran on 2-5 February 2002, recognized the special needs of the countries in the region in terms of training and research to meet the major challenges, including drought and other natural disasters, which have caused serious adverse impacts on wetlands and their dependent species, including waterbirds, as acknowledged in Resolution VIII.35 adopted by this meeting, and that establishing mechanisms for cooperation and coordination will play a significant role in assisting Contracting Parties in West and Central Asia to fulfil the objectives of the Strategic Plan 2003-2008 of the Convention</w:t>
            </w:r>
          </w:p>
        </w:tc>
        <w:tc>
          <w:tcPr>
            <w:tcW w:w="1418" w:type="dxa"/>
          </w:tcPr>
          <w:p w14:paraId="41B809C7" w14:textId="77777777" w:rsidR="002835D9" w:rsidRPr="00F50F36" w:rsidRDefault="002835D9" w:rsidP="00A03E7B">
            <w:pPr>
              <w:rPr>
                <w:sz w:val="22"/>
                <w:szCs w:val="22"/>
                <w:lang w:val="en-US"/>
              </w:rPr>
            </w:pPr>
            <w:r w:rsidRPr="00F50F36">
              <w:rPr>
                <w:sz w:val="22"/>
                <w:szCs w:val="22"/>
                <w:lang w:val="en-US"/>
              </w:rPr>
              <w:t>6</w:t>
            </w:r>
          </w:p>
        </w:tc>
        <w:tc>
          <w:tcPr>
            <w:tcW w:w="3821" w:type="dxa"/>
          </w:tcPr>
          <w:p w14:paraId="4C5BFF98" w14:textId="77777777" w:rsidR="002835D9" w:rsidRDefault="002835D9" w:rsidP="00A03E7B">
            <w:pPr>
              <w:rPr>
                <w:sz w:val="22"/>
                <w:szCs w:val="22"/>
                <w:lang w:val="en-US"/>
              </w:rPr>
            </w:pPr>
            <w:r>
              <w:rPr>
                <w:sz w:val="22"/>
                <w:szCs w:val="22"/>
                <w:lang w:val="en-US"/>
              </w:rPr>
              <w:t xml:space="preserve">Redundant </w:t>
            </w:r>
          </w:p>
        </w:tc>
      </w:tr>
      <w:tr w:rsidR="002835D9" w14:paraId="31EB8198" w14:textId="77777777" w:rsidTr="001C7493">
        <w:tc>
          <w:tcPr>
            <w:tcW w:w="8642" w:type="dxa"/>
          </w:tcPr>
          <w:p w14:paraId="607ECF77" w14:textId="77777777" w:rsidR="002835D9" w:rsidRPr="000D2FEB" w:rsidRDefault="002835D9" w:rsidP="00A03E7B">
            <w:pPr>
              <w:rPr>
                <w:sz w:val="22"/>
                <w:szCs w:val="22"/>
                <w:lang w:val="en-US"/>
              </w:rPr>
            </w:pPr>
          </w:p>
        </w:tc>
        <w:tc>
          <w:tcPr>
            <w:tcW w:w="1418" w:type="dxa"/>
          </w:tcPr>
          <w:p w14:paraId="7BE9F865" w14:textId="77777777" w:rsidR="002835D9" w:rsidRPr="004074CD" w:rsidRDefault="002835D9" w:rsidP="00A03E7B">
            <w:pPr>
              <w:rPr>
                <w:b/>
                <w:sz w:val="22"/>
                <w:szCs w:val="22"/>
                <w:lang w:val="en-US"/>
              </w:rPr>
            </w:pPr>
            <w:r w:rsidRPr="004074CD">
              <w:rPr>
                <w:b/>
                <w:sz w:val="22"/>
                <w:szCs w:val="22"/>
                <w:lang w:val="en-US"/>
              </w:rPr>
              <w:t>VIII.30</w:t>
            </w:r>
          </w:p>
        </w:tc>
        <w:tc>
          <w:tcPr>
            <w:tcW w:w="3821" w:type="dxa"/>
          </w:tcPr>
          <w:p w14:paraId="59EB460F" w14:textId="77777777" w:rsidR="002835D9" w:rsidRDefault="002835D9" w:rsidP="00A03E7B">
            <w:pPr>
              <w:rPr>
                <w:sz w:val="22"/>
                <w:szCs w:val="22"/>
                <w:lang w:val="en-US"/>
              </w:rPr>
            </w:pPr>
          </w:p>
        </w:tc>
      </w:tr>
      <w:tr w:rsidR="002835D9" w14:paraId="2B8C9812" w14:textId="77777777" w:rsidTr="001C7493">
        <w:tc>
          <w:tcPr>
            <w:tcW w:w="8642" w:type="dxa"/>
          </w:tcPr>
          <w:p w14:paraId="32D77D62" w14:textId="77777777" w:rsidR="002835D9" w:rsidRPr="000D2FEB" w:rsidRDefault="002835D9" w:rsidP="00A03E7B">
            <w:pPr>
              <w:rPr>
                <w:sz w:val="22"/>
                <w:szCs w:val="22"/>
                <w:lang w:val="en-US"/>
              </w:rPr>
            </w:pPr>
            <w:r w:rsidRPr="00CE6FBA">
              <w:rPr>
                <w:sz w:val="22"/>
                <w:szCs w:val="22"/>
                <w:lang w:val="en-US"/>
              </w:rPr>
              <w:t>RECOGNIZING in this context that a framework guidance on the development of and support for regional initiatives to implement the Convention will be useful;</w:t>
            </w:r>
          </w:p>
        </w:tc>
        <w:tc>
          <w:tcPr>
            <w:tcW w:w="1418" w:type="dxa"/>
          </w:tcPr>
          <w:p w14:paraId="0FF1F84A" w14:textId="77777777" w:rsidR="002835D9" w:rsidRDefault="002835D9" w:rsidP="00A03E7B">
            <w:pPr>
              <w:rPr>
                <w:sz w:val="22"/>
                <w:szCs w:val="22"/>
                <w:lang w:val="en-US"/>
              </w:rPr>
            </w:pPr>
            <w:r>
              <w:rPr>
                <w:sz w:val="22"/>
                <w:szCs w:val="22"/>
                <w:lang w:val="en-US"/>
              </w:rPr>
              <w:t>4</w:t>
            </w:r>
          </w:p>
        </w:tc>
        <w:tc>
          <w:tcPr>
            <w:tcW w:w="3821" w:type="dxa"/>
          </w:tcPr>
          <w:p w14:paraId="50CEE0A2" w14:textId="77777777" w:rsidR="002835D9" w:rsidRDefault="002835D9" w:rsidP="00A03E7B">
            <w:pPr>
              <w:rPr>
                <w:sz w:val="22"/>
                <w:szCs w:val="22"/>
                <w:lang w:val="en-US"/>
              </w:rPr>
            </w:pPr>
            <w:r>
              <w:rPr>
                <w:sz w:val="22"/>
                <w:szCs w:val="22"/>
                <w:lang w:val="en-US"/>
              </w:rPr>
              <w:t xml:space="preserve">Redundant </w:t>
            </w:r>
          </w:p>
        </w:tc>
      </w:tr>
      <w:tr w:rsidR="002835D9" w14:paraId="50771154" w14:textId="77777777" w:rsidTr="001C7493">
        <w:tc>
          <w:tcPr>
            <w:tcW w:w="8642" w:type="dxa"/>
          </w:tcPr>
          <w:p w14:paraId="4BB2AF9F" w14:textId="77777777" w:rsidR="002835D9" w:rsidRPr="000D2FEB" w:rsidRDefault="002835D9" w:rsidP="00A03E7B">
            <w:pPr>
              <w:rPr>
                <w:sz w:val="22"/>
                <w:szCs w:val="22"/>
                <w:lang w:val="en-US"/>
              </w:rPr>
            </w:pPr>
            <w:r w:rsidRPr="00CE6FBA">
              <w:rPr>
                <w:sz w:val="22"/>
                <w:szCs w:val="22"/>
                <w:lang w:val="en-US"/>
              </w:rPr>
              <w:t>RECALLING Resolution VII.22 on “Collaborative structure for Mediterranean wetlands” and COP Recommendations 5.14 and 6.11 on the Mediterranean Wetland Initiative (MedWet), and ACKNOWLEDGING that MedWet can be a model example of such regional initiatives;</w:t>
            </w:r>
          </w:p>
        </w:tc>
        <w:tc>
          <w:tcPr>
            <w:tcW w:w="1418" w:type="dxa"/>
          </w:tcPr>
          <w:p w14:paraId="210852BC" w14:textId="77777777" w:rsidR="002835D9" w:rsidRDefault="002835D9" w:rsidP="00A03E7B">
            <w:pPr>
              <w:rPr>
                <w:sz w:val="22"/>
                <w:szCs w:val="22"/>
                <w:lang w:val="en-US"/>
              </w:rPr>
            </w:pPr>
            <w:r>
              <w:rPr>
                <w:sz w:val="22"/>
                <w:szCs w:val="22"/>
                <w:lang w:val="en-US"/>
              </w:rPr>
              <w:t>5</w:t>
            </w:r>
          </w:p>
        </w:tc>
        <w:tc>
          <w:tcPr>
            <w:tcW w:w="3821" w:type="dxa"/>
          </w:tcPr>
          <w:p w14:paraId="575AC652" w14:textId="77777777" w:rsidR="002835D9" w:rsidRDefault="002835D9" w:rsidP="00A03E7B">
            <w:pPr>
              <w:rPr>
                <w:sz w:val="22"/>
                <w:szCs w:val="22"/>
                <w:lang w:val="en-US"/>
              </w:rPr>
            </w:pPr>
            <w:r>
              <w:rPr>
                <w:sz w:val="22"/>
                <w:szCs w:val="22"/>
                <w:lang w:val="en-US"/>
              </w:rPr>
              <w:t xml:space="preserve">Redundant </w:t>
            </w:r>
          </w:p>
        </w:tc>
      </w:tr>
      <w:tr w:rsidR="002835D9" w14:paraId="3BBE33BE" w14:textId="77777777" w:rsidTr="001C7493">
        <w:tc>
          <w:tcPr>
            <w:tcW w:w="8642" w:type="dxa"/>
          </w:tcPr>
          <w:p w14:paraId="02E09FAE" w14:textId="77777777" w:rsidR="002835D9" w:rsidRPr="000D2FEB" w:rsidRDefault="002835D9" w:rsidP="00A03E7B">
            <w:pPr>
              <w:rPr>
                <w:sz w:val="22"/>
                <w:szCs w:val="22"/>
                <w:lang w:val="en-US"/>
              </w:rPr>
            </w:pPr>
            <w:r w:rsidRPr="00CE6FBA">
              <w:rPr>
                <w:sz w:val="22"/>
                <w:szCs w:val="22"/>
                <w:lang w:val="en-US"/>
              </w:rPr>
              <w:t>TAKING INTO ACCOUNT that following Decision SC25-31 of the Standing Committee a Coordination Unit for MedWet has been established in Athens, Greece, in 2001 under the authority of the Secretary General of the Convention, with the financial support of the Greek Government; and</w:t>
            </w:r>
          </w:p>
        </w:tc>
        <w:tc>
          <w:tcPr>
            <w:tcW w:w="1418" w:type="dxa"/>
          </w:tcPr>
          <w:p w14:paraId="7E5A99B8" w14:textId="77777777" w:rsidR="002835D9" w:rsidRDefault="002835D9" w:rsidP="00A03E7B">
            <w:pPr>
              <w:rPr>
                <w:sz w:val="22"/>
                <w:szCs w:val="22"/>
                <w:lang w:val="en-US"/>
              </w:rPr>
            </w:pPr>
            <w:r>
              <w:rPr>
                <w:sz w:val="22"/>
                <w:szCs w:val="22"/>
                <w:lang w:val="en-US"/>
              </w:rPr>
              <w:t>6</w:t>
            </w:r>
          </w:p>
        </w:tc>
        <w:tc>
          <w:tcPr>
            <w:tcW w:w="3821" w:type="dxa"/>
          </w:tcPr>
          <w:p w14:paraId="74C81AEF" w14:textId="77777777" w:rsidR="002835D9" w:rsidRDefault="002835D9" w:rsidP="00A03E7B">
            <w:pPr>
              <w:rPr>
                <w:sz w:val="22"/>
                <w:szCs w:val="22"/>
                <w:lang w:val="en-US"/>
              </w:rPr>
            </w:pPr>
            <w:r>
              <w:rPr>
                <w:sz w:val="22"/>
                <w:szCs w:val="22"/>
                <w:lang w:val="en-US"/>
              </w:rPr>
              <w:t xml:space="preserve">Redundant </w:t>
            </w:r>
          </w:p>
        </w:tc>
      </w:tr>
      <w:tr w:rsidR="002835D9" w14:paraId="3B21896A" w14:textId="77777777" w:rsidTr="001C7493">
        <w:tc>
          <w:tcPr>
            <w:tcW w:w="8642" w:type="dxa"/>
          </w:tcPr>
          <w:p w14:paraId="0AD3CFAD" w14:textId="77777777" w:rsidR="002835D9" w:rsidRPr="000D2FEB" w:rsidRDefault="002835D9" w:rsidP="00A03E7B">
            <w:pPr>
              <w:rPr>
                <w:sz w:val="22"/>
                <w:szCs w:val="22"/>
                <w:lang w:val="en-US"/>
              </w:rPr>
            </w:pPr>
            <w:r w:rsidRPr="00CE6FBA">
              <w:rPr>
                <w:sz w:val="22"/>
                <w:szCs w:val="22"/>
                <w:lang w:val="en-US"/>
              </w:rPr>
              <w:t>FURTHER TAKING INTO ACCOUNT that the Government of Greece has offered to continue hosting and contributing financially to the operation of the MedWet Coordination Unit in Athens for the triennium 2003-2005;</w:t>
            </w:r>
          </w:p>
        </w:tc>
        <w:tc>
          <w:tcPr>
            <w:tcW w:w="1418" w:type="dxa"/>
          </w:tcPr>
          <w:p w14:paraId="7AD2D68B" w14:textId="77777777" w:rsidR="002835D9" w:rsidRDefault="002835D9" w:rsidP="00A03E7B">
            <w:pPr>
              <w:rPr>
                <w:sz w:val="22"/>
                <w:szCs w:val="22"/>
                <w:lang w:val="en-US"/>
              </w:rPr>
            </w:pPr>
            <w:r>
              <w:rPr>
                <w:sz w:val="22"/>
                <w:szCs w:val="22"/>
                <w:lang w:val="en-US"/>
              </w:rPr>
              <w:t>7</w:t>
            </w:r>
          </w:p>
        </w:tc>
        <w:tc>
          <w:tcPr>
            <w:tcW w:w="3821" w:type="dxa"/>
          </w:tcPr>
          <w:p w14:paraId="057D8344" w14:textId="77777777" w:rsidR="002835D9" w:rsidRDefault="002835D9" w:rsidP="00A03E7B">
            <w:pPr>
              <w:rPr>
                <w:sz w:val="22"/>
                <w:szCs w:val="22"/>
                <w:lang w:val="en-US"/>
              </w:rPr>
            </w:pPr>
            <w:r>
              <w:rPr>
                <w:sz w:val="22"/>
                <w:szCs w:val="22"/>
                <w:lang w:val="en-US"/>
              </w:rPr>
              <w:t xml:space="preserve">Redundant </w:t>
            </w:r>
          </w:p>
        </w:tc>
      </w:tr>
      <w:tr w:rsidR="002835D9" w14:paraId="1759395D" w14:textId="77777777" w:rsidTr="001C7493">
        <w:tc>
          <w:tcPr>
            <w:tcW w:w="8642" w:type="dxa"/>
          </w:tcPr>
          <w:p w14:paraId="10A18CD0" w14:textId="77777777" w:rsidR="002835D9" w:rsidRPr="000D2FEB" w:rsidRDefault="002835D9" w:rsidP="00A03E7B">
            <w:pPr>
              <w:rPr>
                <w:sz w:val="22"/>
                <w:szCs w:val="22"/>
                <w:lang w:val="en-US"/>
              </w:rPr>
            </w:pPr>
          </w:p>
        </w:tc>
        <w:tc>
          <w:tcPr>
            <w:tcW w:w="1418" w:type="dxa"/>
          </w:tcPr>
          <w:p w14:paraId="20A3D138" w14:textId="77777777" w:rsidR="002835D9" w:rsidRPr="00D04AC7" w:rsidRDefault="002835D9" w:rsidP="00A03E7B">
            <w:pPr>
              <w:rPr>
                <w:b/>
                <w:sz w:val="22"/>
                <w:szCs w:val="22"/>
                <w:lang w:val="en-US"/>
              </w:rPr>
            </w:pPr>
            <w:r w:rsidRPr="00D04AC7">
              <w:rPr>
                <w:b/>
                <w:sz w:val="22"/>
                <w:szCs w:val="22"/>
                <w:lang w:val="en-US"/>
              </w:rPr>
              <w:t>VII.26</w:t>
            </w:r>
          </w:p>
        </w:tc>
        <w:tc>
          <w:tcPr>
            <w:tcW w:w="3821" w:type="dxa"/>
          </w:tcPr>
          <w:p w14:paraId="479E1A06" w14:textId="77777777" w:rsidR="002835D9" w:rsidRDefault="002835D9" w:rsidP="00A03E7B">
            <w:pPr>
              <w:rPr>
                <w:sz w:val="22"/>
                <w:szCs w:val="22"/>
                <w:lang w:val="en-US"/>
              </w:rPr>
            </w:pPr>
          </w:p>
        </w:tc>
      </w:tr>
      <w:tr w:rsidR="002835D9" w14:paraId="57F899F1" w14:textId="77777777" w:rsidTr="001C7493">
        <w:tc>
          <w:tcPr>
            <w:tcW w:w="8642" w:type="dxa"/>
          </w:tcPr>
          <w:p w14:paraId="54FA6ED0" w14:textId="77777777" w:rsidR="002835D9" w:rsidRPr="000D2FEB" w:rsidRDefault="002835D9" w:rsidP="00A03E7B">
            <w:pPr>
              <w:rPr>
                <w:sz w:val="22"/>
                <w:szCs w:val="22"/>
                <w:lang w:val="en-US"/>
              </w:rPr>
            </w:pPr>
            <w:r w:rsidRPr="007C36A5">
              <w:rPr>
                <w:sz w:val="22"/>
                <w:szCs w:val="22"/>
                <w:lang w:val="en-US"/>
              </w:rPr>
              <w:t xml:space="preserve">REFERRING to Recommendation 6.5 and 6.6 on both the establishment of training </w:t>
            </w:r>
            <w:proofErr w:type="spellStart"/>
            <w:r w:rsidRPr="007C36A5">
              <w:rPr>
                <w:sz w:val="22"/>
                <w:szCs w:val="22"/>
                <w:lang w:val="en-US"/>
              </w:rPr>
              <w:t>programmes</w:t>
            </w:r>
            <w:proofErr w:type="spellEnd"/>
            <w:r w:rsidRPr="007C36A5">
              <w:rPr>
                <w:sz w:val="22"/>
                <w:szCs w:val="22"/>
                <w:lang w:val="en-US"/>
              </w:rPr>
              <w:t xml:space="preserve"> and the strengthening of the management of the Convention, through liaison points in the Regions;</w:t>
            </w:r>
          </w:p>
        </w:tc>
        <w:tc>
          <w:tcPr>
            <w:tcW w:w="1418" w:type="dxa"/>
          </w:tcPr>
          <w:p w14:paraId="267A0D16" w14:textId="77777777" w:rsidR="002835D9" w:rsidRDefault="002835D9" w:rsidP="00A03E7B">
            <w:pPr>
              <w:rPr>
                <w:sz w:val="22"/>
                <w:szCs w:val="22"/>
                <w:lang w:val="en-US"/>
              </w:rPr>
            </w:pPr>
            <w:r>
              <w:rPr>
                <w:sz w:val="22"/>
                <w:szCs w:val="22"/>
                <w:lang w:val="en-US"/>
              </w:rPr>
              <w:t>2</w:t>
            </w:r>
          </w:p>
        </w:tc>
        <w:tc>
          <w:tcPr>
            <w:tcW w:w="3821" w:type="dxa"/>
          </w:tcPr>
          <w:p w14:paraId="3354D192" w14:textId="77777777" w:rsidR="002835D9" w:rsidRDefault="002835D9" w:rsidP="00A03E7B">
            <w:pPr>
              <w:rPr>
                <w:sz w:val="22"/>
                <w:szCs w:val="22"/>
                <w:lang w:val="en-US"/>
              </w:rPr>
            </w:pPr>
            <w:r>
              <w:rPr>
                <w:sz w:val="22"/>
                <w:szCs w:val="22"/>
                <w:lang w:val="en-US"/>
              </w:rPr>
              <w:t xml:space="preserve">Redundant </w:t>
            </w:r>
          </w:p>
        </w:tc>
      </w:tr>
      <w:tr w:rsidR="002835D9" w14:paraId="79C08099" w14:textId="77777777" w:rsidTr="001C7493">
        <w:tc>
          <w:tcPr>
            <w:tcW w:w="8642" w:type="dxa"/>
          </w:tcPr>
          <w:p w14:paraId="77368C76" w14:textId="77777777" w:rsidR="002835D9" w:rsidRPr="007C36A5" w:rsidRDefault="002835D9" w:rsidP="00A03E7B">
            <w:pPr>
              <w:rPr>
                <w:sz w:val="22"/>
                <w:szCs w:val="22"/>
                <w:lang w:val="en-US"/>
              </w:rPr>
            </w:pPr>
            <w:r w:rsidRPr="007C36A5">
              <w:rPr>
                <w:sz w:val="22"/>
                <w:szCs w:val="22"/>
                <w:lang w:val="en-US"/>
              </w:rPr>
              <w:lastRenderedPageBreak/>
              <w:t>ALSO RECOGNIZING that research, training and the creation of mechanisms for cooperation and coordination are a priority in the Western Hemisphere in order to fulfil the objectives of the Strategic Plan 1997-2002 of the Convention;</w:t>
            </w:r>
          </w:p>
          <w:p w14:paraId="02B789E0" w14:textId="77777777" w:rsidR="002835D9" w:rsidRPr="000D2FEB" w:rsidRDefault="002835D9" w:rsidP="00A03E7B">
            <w:pPr>
              <w:rPr>
                <w:sz w:val="22"/>
                <w:szCs w:val="22"/>
                <w:lang w:val="en-US"/>
              </w:rPr>
            </w:pPr>
          </w:p>
        </w:tc>
        <w:tc>
          <w:tcPr>
            <w:tcW w:w="1418" w:type="dxa"/>
          </w:tcPr>
          <w:p w14:paraId="5631055B" w14:textId="77777777" w:rsidR="002835D9" w:rsidRDefault="002835D9" w:rsidP="00A03E7B">
            <w:pPr>
              <w:rPr>
                <w:sz w:val="22"/>
                <w:szCs w:val="22"/>
                <w:lang w:val="en-US"/>
              </w:rPr>
            </w:pPr>
            <w:r>
              <w:rPr>
                <w:sz w:val="22"/>
                <w:szCs w:val="22"/>
                <w:lang w:val="en-US"/>
              </w:rPr>
              <w:t>3</w:t>
            </w:r>
          </w:p>
        </w:tc>
        <w:tc>
          <w:tcPr>
            <w:tcW w:w="3821" w:type="dxa"/>
          </w:tcPr>
          <w:p w14:paraId="31A749A1" w14:textId="77777777" w:rsidR="002835D9" w:rsidRDefault="002835D9" w:rsidP="00A03E7B">
            <w:pPr>
              <w:rPr>
                <w:sz w:val="22"/>
                <w:szCs w:val="22"/>
                <w:lang w:val="en-US"/>
              </w:rPr>
            </w:pPr>
            <w:r>
              <w:rPr>
                <w:sz w:val="22"/>
                <w:szCs w:val="22"/>
                <w:lang w:val="en-US"/>
              </w:rPr>
              <w:t xml:space="preserve">Redundant </w:t>
            </w:r>
          </w:p>
        </w:tc>
      </w:tr>
      <w:tr w:rsidR="002835D9" w14:paraId="23425E63" w14:textId="77777777" w:rsidTr="001C7493">
        <w:tc>
          <w:tcPr>
            <w:tcW w:w="8642" w:type="dxa"/>
          </w:tcPr>
          <w:p w14:paraId="691268FD" w14:textId="77777777" w:rsidR="002835D9" w:rsidRPr="007C36A5" w:rsidRDefault="002835D9" w:rsidP="00A03E7B">
            <w:pPr>
              <w:rPr>
                <w:sz w:val="22"/>
                <w:szCs w:val="22"/>
                <w:lang w:val="en-US"/>
              </w:rPr>
            </w:pPr>
            <w:r w:rsidRPr="007C36A5">
              <w:rPr>
                <w:sz w:val="22"/>
                <w:szCs w:val="22"/>
                <w:lang w:val="en-US"/>
              </w:rPr>
              <w:t xml:space="preserve">AWARE of the existence of other training </w:t>
            </w:r>
            <w:proofErr w:type="spellStart"/>
            <w:r w:rsidRPr="007C36A5">
              <w:rPr>
                <w:sz w:val="22"/>
                <w:szCs w:val="22"/>
                <w:lang w:val="en-US"/>
              </w:rPr>
              <w:t>programmes</w:t>
            </w:r>
            <w:proofErr w:type="spellEnd"/>
            <w:r w:rsidRPr="007C36A5">
              <w:rPr>
                <w:sz w:val="22"/>
                <w:szCs w:val="22"/>
                <w:lang w:val="en-US"/>
              </w:rPr>
              <w:t xml:space="preserve"> for managers and specialists in the field of wetlands in the Western Hemisphere;</w:t>
            </w:r>
          </w:p>
          <w:p w14:paraId="0252920C" w14:textId="77777777" w:rsidR="002835D9" w:rsidRPr="000D2FEB" w:rsidRDefault="002835D9" w:rsidP="00A03E7B">
            <w:pPr>
              <w:rPr>
                <w:sz w:val="22"/>
                <w:szCs w:val="22"/>
                <w:lang w:val="en-US"/>
              </w:rPr>
            </w:pPr>
          </w:p>
        </w:tc>
        <w:tc>
          <w:tcPr>
            <w:tcW w:w="1418" w:type="dxa"/>
          </w:tcPr>
          <w:p w14:paraId="34B98B8F" w14:textId="77777777" w:rsidR="002835D9" w:rsidRDefault="002835D9" w:rsidP="00A03E7B">
            <w:pPr>
              <w:rPr>
                <w:sz w:val="22"/>
                <w:szCs w:val="22"/>
                <w:lang w:val="en-US"/>
              </w:rPr>
            </w:pPr>
            <w:r>
              <w:rPr>
                <w:sz w:val="22"/>
                <w:szCs w:val="22"/>
                <w:lang w:val="en-US"/>
              </w:rPr>
              <w:t>4</w:t>
            </w:r>
          </w:p>
        </w:tc>
        <w:tc>
          <w:tcPr>
            <w:tcW w:w="3821" w:type="dxa"/>
          </w:tcPr>
          <w:p w14:paraId="4D2BC571" w14:textId="77777777" w:rsidR="002835D9" w:rsidRDefault="002835D9" w:rsidP="00A03E7B">
            <w:pPr>
              <w:rPr>
                <w:sz w:val="22"/>
                <w:szCs w:val="22"/>
                <w:lang w:val="en-US"/>
              </w:rPr>
            </w:pPr>
            <w:r>
              <w:rPr>
                <w:sz w:val="22"/>
                <w:szCs w:val="22"/>
                <w:lang w:val="en-US"/>
              </w:rPr>
              <w:t xml:space="preserve">Redundant </w:t>
            </w:r>
          </w:p>
        </w:tc>
      </w:tr>
      <w:tr w:rsidR="002835D9" w14:paraId="30BC4B78" w14:textId="77777777" w:rsidTr="001C7493">
        <w:tc>
          <w:tcPr>
            <w:tcW w:w="8642" w:type="dxa"/>
          </w:tcPr>
          <w:p w14:paraId="442BC9BE" w14:textId="77777777" w:rsidR="002835D9" w:rsidRPr="007C36A5" w:rsidRDefault="002835D9" w:rsidP="00A03E7B">
            <w:pPr>
              <w:rPr>
                <w:sz w:val="22"/>
                <w:szCs w:val="22"/>
                <w:lang w:val="en-US"/>
              </w:rPr>
            </w:pPr>
            <w:r w:rsidRPr="007C36A5">
              <w:rPr>
                <w:sz w:val="22"/>
                <w:szCs w:val="22"/>
                <w:lang w:val="en-US"/>
              </w:rPr>
              <w:t>TAKING INTO ACCOUNT the offer of the Government of the Republic of Panama to create a Regional Ramsar Centre at the site of the City of Knowledge (“Ciudad del Saber”) and WITH REFERENCE to the support expressed for this initiative by the Standing Committee of the Convention at its 21st meeting;</w:t>
            </w:r>
          </w:p>
          <w:p w14:paraId="5EE74654" w14:textId="77777777" w:rsidR="002835D9" w:rsidRPr="000D2FEB" w:rsidRDefault="002835D9" w:rsidP="00A03E7B">
            <w:pPr>
              <w:rPr>
                <w:sz w:val="22"/>
                <w:szCs w:val="22"/>
                <w:lang w:val="en-US"/>
              </w:rPr>
            </w:pPr>
          </w:p>
        </w:tc>
        <w:tc>
          <w:tcPr>
            <w:tcW w:w="1418" w:type="dxa"/>
          </w:tcPr>
          <w:p w14:paraId="6981E938" w14:textId="77777777" w:rsidR="002835D9" w:rsidRDefault="002835D9" w:rsidP="00A03E7B">
            <w:pPr>
              <w:rPr>
                <w:sz w:val="22"/>
                <w:szCs w:val="22"/>
                <w:lang w:val="en-US"/>
              </w:rPr>
            </w:pPr>
            <w:r>
              <w:rPr>
                <w:sz w:val="22"/>
                <w:szCs w:val="22"/>
                <w:lang w:val="en-US"/>
              </w:rPr>
              <w:t>5</w:t>
            </w:r>
          </w:p>
        </w:tc>
        <w:tc>
          <w:tcPr>
            <w:tcW w:w="3821" w:type="dxa"/>
          </w:tcPr>
          <w:p w14:paraId="37DCE7FB" w14:textId="77777777" w:rsidR="002835D9" w:rsidRDefault="002835D9" w:rsidP="00A03E7B">
            <w:pPr>
              <w:rPr>
                <w:sz w:val="22"/>
                <w:szCs w:val="22"/>
                <w:lang w:val="en-US"/>
              </w:rPr>
            </w:pPr>
            <w:r>
              <w:rPr>
                <w:sz w:val="22"/>
                <w:szCs w:val="22"/>
                <w:lang w:val="en-US"/>
              </w:rPr>
              <w:t xml:space="preserve">Redundant </w:t>
            </w:r>
          </w:p>
        </w:tc>
      </w:tr>
      <w:tr w:rsidR="002835D9" w14:paraId="3E338587" w14:textId="77777777" w:rsidTr="001C7493">
        <w:tc>
          <w:tcPr>
            <w:tcW w:w="8642" w:type="dxa"/>
          </w:tcPr>
          <w:p w14:paraId="42A818C7" w14:textId="77777777" w:rsidR="002835D9" w:rsidRPr="000D2FEB" w:rsidRDefault="002835D9" w:rsidP="00A03E7B">
            <w:pPr>
              <w:rPr>
                <w:sz w:val="22"/>
                <w:szCs w:val="22"/>
                <w:lang w:val="en-US"/>
              </w:rPr>
            </w:pPr>
            <w:r w:rsidRPr="007C36A5">
              <w:rPr>
                <w:sz w:val="22"/>
                <w:szCs w:val="22"/>
                <w:lang w:val="en-US"/>
              </w:rPr>
              <w:t>ALSO TAKING INTO ACCOUNT the support for this initiative expressed by the Contracting Parties in the Western Hemisphere, during the Ramsar Pan-American Meeting, held in San José, Costa Rica, in June 1998;</w:t>
            </w:r>
          </w:p>
        </w:tc>
        <w:tc>
          <w:tcPr>
            <w:tcW w:w="1418" w:type="dxa"/>
          </w:tcPr>
          <w:p w14:paraId="45CB707F" w14:textId="77777777" w:rsidR="002835D9" w:rsidRDefault="002835D9" w:rsidP="00A03E7B">
            <w:pPr>
              <w:rPr>
                <w:sz w:val="22"/>
                <w:szCs w:val="22"/>
                <w:lang w:val="en-US"/>
              </w:rPr>
            </w:pPr>
            <w:r>
              <w:rPr>
                <w:sz w:val="22"/>
                <w:szCs w:val="22"/>
                <w:lang w:val="en-US"/>
              </w:rPr>
              <w:t>6</w:t>
            </w:r>
          </w:p>
        </w:tc>
        <w:tc>
          <w:tcPr>
            <w:tcW w:w="3821" w:type="dxa"/>
          </w:tcPr>
          <w:p w14:paraId="28A788B0" w14:textId="77777777" w:rsidR="002835D9" w:rsidRDefault="002835D9" w:rsidP="00A03E7B">
            <w:pPr>
              <w:rPr>
                <w:sz w:val="22"/>
                <w:szCs w:val="22"/>
                <w:lang w:val="en-US"/>
              </w:rPr>
            </w:pPr>
            <w:r>
              <w:rPr>
                <w:sz w:val="22"/>
                <w:szCs w:val="22"/>
                <w:lang w:val="en-US"/>
              </w:rPr>
              <w:t xml:space="preserve">Redundant </w:t>
            </w:r>
          </w:p>
        </w:tc>
      </w:tr>
      <w:tr w:rsidR="002835D9" w14:paraId="30154921" w14:textId="77777777" w:rsidTr="001C7493">
        <w:tc>
          <w:tcPr>
            <w:tcW w:w="8642" w:type="dxa"/>
          </w:tcPr>
          <w:p w14:paraId="599671B8" w14:textId="77777777" w:rsidR="002835D9" w:rsidRPr="000D2FEB" w:rsidRDefault="002835D9" w:rsidP="00A03E7B">
            <w:pPr>
              <w:rPr>
                <w:sz w:val="22"/>
                <w:szCs w:val="22"/>
                <w:lang w:val="en-US"/>
              </w:rPr>
            </w:pPr>
            <w:r w:rsidRPr="007C36A5">
              <w:rPr>
                <w:sz w:val="22"/>
                <w:szCs w:val="22"/>
                <w:lang w:val="en-US"/>
              </w:rPr>
              <w:t>GRATEFULLY ACKNOWLEDGING the technical support offered by the Regional Office for Mesoamerica of IUCN-The World Conservation Union (IUCN-ORMA) and other organizations participating in this initiative;</w:t>
            </w:r>
          </w:p>
        </w:tc>
        <w:tc>
          <w:tcPr>
            <w:tcW w:w="1418" w:type="dxa"/>
          </w:tcPr>
          <w:p w14:paraId="7B958C56" w14:textId="77777777" w:rsidR="002835D9" w:rsidRPr="00EC10C3" w:rsidRDefault="002835D9" w:rsidP="00A03E7B">
            <w:pPr>
              <w:rPr>
                <w:sz w:val="22"/>
                <w:szCs w:val="22"/>
                <w:lang w:val="en-US"/>
              </w:rPr>
            </w:pPr>
            <w:r w:rsidRPr="00EC10C3">
              <w:rPr>
                <w:sz w:val="22"/>
                <w:szCs w:val="22"/>
                <w:lang w:val="en-US"/>
              </w:rPr>
              <w:t>7</w:t>
            </w:r>
          </w:p>
        </w:tc>
        <w:tc>
          <w:tcPr>
            <w:tcW w:w="3821" w:type="dxa"/>
          </w:tcPr>
          <w:p w14:paraId="3335C00C" w14:textId="77777777" w:rsidR="002835D9" w:rsidRDefault="002835D9" w:rsidP="00A03E7B">
            <w:pPr>
              <w:rPr>
                <w:sz w:val="22"/>
                <w:szCs w:val="22"/>
                <w:lang w:val="en-US"/>
              </w:rPr>
            </w:pPr>
            <w:r>
              <w:rPr>
                <w:sz w:val="22"/>
                <w:szCs w:val="22"/>
                <w:lang w:val="en-US"/>
              </w:rPr>
              <w:t xml:space="preserve">Redundant </w:t>
            </w:r>
          </w:p>
        </w:tc>
      </w:tr>
      <w:tr w:rsidR="002835D9" w14:paraId="1A04D82B" w14:textId="77777777" w:rsidTr="001C7493">
        <w:tc>
          <w:tcPr>
            <w:tcW w:w="8642" w:type="dxa"/>
          </w:tcPr>
          <w:p w14:paraId="3BA33661" w14:textId="77777777" w:rsidR="002835D9" w:rsidRPr="000D2FEB" w:rsidRDefault="002835D9" w:rsidP="00A03E7B">
            <w:pPr>
              <w:rPr>
                <w:sz w:val="22"/>
                <w:szCs w:val="22"/>
                <w:lang w:val="en-US"/>
              </w:rPr>
            </w:pPr>
          </w:p>
        </w:tc>
        <w:tc>
          <w:tcPr>
            <w:tcW w:w="1418" w:type="dxa"/>
          </w:tcPr>
          <w:p w14:paraId="7F69F456" w14:textId="77777777" w:rsidR="002835D9" w:rsidRPr="005712EE" w:rsidRDefault="002835D9" w:rsidP="00A03E7B">
            <w:pPr>
              <w:rPr>
                <w:b/>
                <w:sz w:val="22"/>
                <w:szCs w:val="22"/>
                <w:lang w:val="en-US"/>
              </w:rPr>
            </w:pPr>
            <w:r w:rsidRPr="005712EE">
              <w:rPr>
                <w:b/>
                <w:sz w:val="22"/>
                <w:szCs w:val="22"/>
                <w:lang w:val="en-US"/>
              </w:rPr>
              <w:t>VII.22</w:t>
            </w:r>
          </w:p>
        </w:tc>
        <w:tc>
          <w:tcPr>
            <w:tcW w:w="3821" w:type="dxa"/>
          </w:tcPr>
          <w:p w14:paraId="1ECF83ED" w14:textId="77777777" w:rsidR="002835D9" w:rsidRDefault="002835D9" w:rsidP="00A03E7B">
            <w:pPr>
              <w:rPr>
                <w:sz w:val="22"/>
                <w:szCs w:val="22"/>
                <w:lang w:val="en-US"/>
              </w:rPr>
            </w:pPr>
          </w:p>
        </w:tc>
      </w:tr>
      <w:tr w:rsidR="002835D9" w14:paraId="4FB50F78" w14:textId="77777777" w:rsidTr="001C7493">
        <w:tc>
          <w:tcPr>
            <w:tcW w:w="8642" w:type="dxa"/>
          </w:tcPr>
          <w:p w14:paraId="46E59E85" w14:textId="77777777" w:rsidR="002835D9" w:rsidRPr="00647BDB" w:rsidRDefault="002835D9" w:rsidP="00A03E7B">
            <w:pPr>
              <w:pStyle w:val="NormalWeb"/>
              <w:rPr>
                <w:rFonts w:asciiTheme="minorHAnsi" w:hAnsiTheme="minorHAnsi"/>
                <w:sz w:val="22"/>
                <w:szCs w:val="22"/>
                <w:lang w:val="en-US"/>
              </w:rPr>
            </w:pPr>
            <w:r w:rsidRPr="00647BDB">
              <w:rPr>
                <w:rFonts w:asciiTheme="minorHAnsi" w:hAnsiTheme="minorHAnsi"/>
                <w:sz w:val="22"/>
                <w:szCs w:val="22"/>
                <w:lang w:val="en-US"/>
              </w:rPr>
              <w:t xml:space="preserve">TAKING INTO ACCOUNT eight years of collaborative efforts in favour of Mediterranean wetlands, within the framework of the Convention on Wetlands, and more specifically: </w:t>
            </w:r>
          </w:p>
          <w:p w14:paraId="71FF374B" w14:textId="77777777"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a)  the launching in 1991 of a concerted effort for the conservation and wise use of Mediterranean wetlands under the name ‘Mediterranean Wetlands Initiative’ (MedWet) as a joint effort of the Ramsar Bureau, the European Commission (EC), the Italian Government, the International Waterfowl and Wetlands Research Bureau (now Wetlands International), the Station </w:t>
            </w:r>
            <w:proofErr w:type="spellStart"/>
            <w:r w:rsidRPr="00647BDB">
              <w:rPr>
                <w:rFonts w:asciiTheme="minorHAnsi" w:hAnsiTheme="minorHAnsi"/>
                <w:sz w:val="22"/>
                <w:szCs w:val="22"/>
                <w:lang w:val="en-US"/>
              </w:rPr>
              <w:t>Biologique</w:t>
            </w:r>
            <w:proofErr w:type="spellEnd"/>
            <w:r w:rsidRPr="00647BDB">
              <w:rPr>
                <w:rFonts w:asciiTheme="minorHAnsi" w:hAnsiTheme="minorHAnsi"/>
                <w:sz w:val="22"/>
                <w:szCs w:val="22"/>
                <w:lang w:val="en-US"/>
              </w:rPr>
              <w:t xml:space="preserve"> de la Tour du </w:t>
            </w:r>
            <w:proofErr w:type="spellStart"/>
            <w:r w:rsidRPr="00647BDB">
              <w:rPr>
                <w:rFonts w:asciiTheme="minorHAnsi" w:hAnsiTheme="minorHAnsi"/>
                <w:sz w:val="22"/>
                <w:szCs w:val="22"/>
                <w:lang w:val="en-US"/>
              </w:rPr>
              <w:t>Valat</w:t>
            </w:r>
            <w:proofErr w:type="spellEnd"/>
            <w:r w:rsidRPr="00647BDB">
              <w:rPr>
                <w:rFonts w:asciiTheme="minorHAnsi" w:hAnsiTheme="minorHAnsi"/>
                <w:sz w:val="22"/>
                <w:szCs w:val="22"/>
                <w:lang w:val="en-US"/>
              </w:rPr>
              <w:t xml:space="preserve"> (France), and the </w:t>
            </w:r>
            <w:proofErr w:type="gramStart"/>
            <w:r w:rsidRPr="00647BDB">
              <w:rPr>
                <w:rFonts w:asciiTheme="minorHAnsi" w:hAnsiTheme="minorHAnsi"/>
                <w:sz w:val="22"/>
                <w:szCs w:val="22"/>
                <w:lang w:val="en-US"/>
              </w:rPr>
              <w:t>World Wide</w:t>
            </w:r>
            <w:proofErr w:type="gramEnd"/>
            <w:r w:rsidRPr="00647BDB">
              <w:rPr>
                <w:rFonts w:asciiTheme="minorHAnsi" w:hAnsiTheme="minorHAnsi"/>
                <w:sz w:val="22"/>
                <w:szCs w:val="22"/>
                <w:lang w:val="en-US"/>
              </w:rPr>
              <w:t xml:space="preserve"> Fund For Nature (WWF); </w:t>
            </w:r>
          </w:p>
          <w:p w14:paraId="66F9366C" w14:textId="1E4D77D4"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b) </w:t>
            </w:r>
            <w:r w:rsidR="00A30BE1">
              <w:rPr>
                <w:rFonts w:asciiTheme="minorHAnsi" w:hAnsiTheme="minorHAnsi"/>
                <w:sz w:val="22"/>
                <w:szCs w:val="22"/>
                <w:lang w:val="en-US"/>
              </w:rPr>
              <w:t xml:space="preserve"> </w:t>
            </w:r>
            <w:r w:rsidRPr="00647BDB">
              <w:rPr>
                <w:rFonts w:asciiTheme="minorHAnsi" w:hAnsiTheme="minorHAnsi"/>
                <w:sz w:val="22"/>
                <w:szCs w:val="22"/>
                <w:lang w:val="en-US"/>
              </w:rPr>
              <w:t xml:space="preserve">the implementation of the MedWet1 project (1993-1996), funded to a large extent by the EC and encompassing France, Greece, Italy, Portugal and Spain, during which methods </w:t>
            </w:r>
            <w:r w:rsidRPr="00647BDB">
              <w:rPr>
                <w:rFonts w:asciiTheme="minorHAnsi" w:hAnsiTheme="minorHAnsi"/>
                <w:sz w:val="22"/>
                <w:szCs w:val="22"/>
                <w:lang w:val="en-US"/>
              </w:rPr>
              <w:lastRenderedPageBreak/>
              <w:t xml:space="preserve">and tools for wetland inventory and monitoring, management, application of research results, and public awareness were developed and tested; </w:t>
            </w:r>
          </w:p>
          <w:p w14:paraId="01A9C8F2" w14:textId="77777777"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c)  the implementation of the MedWet2 project (1996-1998), carried out in Albania, Algeria, Croatia, Morocco and Tunisia, funded also to a large extent by the EC and managed by the Ramsar Bureau, during which the MedWet approach was adapted to countries of the East and South of the region, and a new socio-economic approach to wetlands conservation and sustainable use was developed; </w:t>
            </w:r>
          </w:p>
          <w:p w14:paraId="698E9B1E" w14:textId="1CFACF4B"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d) </w:t>
            </w:r>
            <w:r w:rsidR="00A30BE1">
              <w:rPr>
                <w:rFonts w:asciiTheme="minorHAnsi" w:hAnsiTheme="minorHAnsi"/>
                <w:sz w:val="22"/>
                <w:szCs w:val="22"/>
                <w:lang w:val="en-US"/>
              </w:rPr>
              <w:t xml:space="preserve"> </w:t>
            </w:r>
            <w:r w:rsidRPr="00647BDB">
              <w:rPr>
                <w:rFonts w:asciiTheme="minorHAnsi" w:hAnsiTheme="minorHAnsi"/>
                <w:sz w:val="22"/>
                <w:szCs w:val="22"/>
                <w:lang w:val="en-US"/>
              </w:rPr>
              <w:t xml:space="preserve">the adoption of Recommendations 5.14 at Ramsar COP5 (Kushiro, 1993) and 6.11 at Ramsar COP6 (Brisbane, 1996) on the MedWet Initiative; </w:t>
            </w:r>
          </w:p>
          <w:p w14:paraId="1EE1B860" w14:textId="77777777"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e)  the adoption of the Declaration of Venice and the endorsement of the Mediterranean Wetland Strategy by the Conference on Mediterranean Wetlands, organized by the Italian Government and the Ramsar Bureau in June 1996, within the framework of the MedWet1 project; </w:t>
            </w:r>
          </w:p>
          <w:p w14:paraId="546AFE16" w14:textId="77777777"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f)  Decision 19.19 of the Standing Committee of the Convention in October 1996 to establish the Mediterranean Wetlands Committee (MedWet/Com) within the framework of the Mediterranean Wetlands Initiative, consisting at present of 25 governments of the Mediterranean basin, the Palestinian Authority, the European Commission, the Barcelona and Bern Conventions, and six wetland </w:t>
            </w:r>
            <w:proofErr w:type="spellStart"/>
            <w:r w:rsidRPr="00647BDB">
              <w:rPr>
                <w:rFonts w:asciiTheme="minorHAnsi" w:hAnsiTheme="minorHAnsi"/>
                <w:sz w:val="22"/>
                <w:szCs w:val="22"/>
                <w:lang w:val="en-US"/>
              </w:rPr>
              <w:t>centres</w:t>
            </w:r>
            <w:proofErr w:type="spellEnd"/>
            <w:r w:rsidRPr="00647BDB">
              <w:rPr>
                <w:rFonts w:asciiTheme="minorHAnsi" w:hAnsiTheme="minorHAnsi"/>
                <w:sz w:val="22"/>
                <w:szCs w:val="22"/>
                <w:lang w:val="en-US"/>
              </w:rPr>
              <w:t xml:space="preserve"> and international NGOs; </w:t>
            </w:r>
          </w:p>
          <w:p w14:paraId="27A26936" w14:textId="77777777"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g)  the results of the first two meetings of the MedWet/Com held in Thessaloniki, Greece (March 1998) and Valencia, Spain (January 1999), hosted and financed by the Governments of these two countries; </w:t>
            </w:r>
          </w:p>
          <w:p w14:paraId="1CAB0094" w14:textId="77777777" w:rsidR="002835D9" w:rsidRPr="00647BDB" w:rsidRDefault="002835D9" w:rsidP="00A03E7B">
            <w:pPr>
              <w:pStyle w:val="NormalWeb"/>
              <w:ind w:left="360"/>
              <w:rPr>
                <w:rFonts w:asciiTheme="minorHAnsi" w:hAnsiTheme="minorHAnsi"/>
                <w:sz w:val="22"/>
                <w:szCs w:val="22"/>
                <w:lang w:val="en-US"/>
              </w:rPr>
            </w:pPr>
            <w:r w:rsidRPr="00647BDB">
              <w:rPr>
                <w:rFonts w:asciiTheme="minorHAnsi" w:hAnsiTheme="minorHAnsi"/>
                <w:sz w:val="22"/>
                <w:szCs w:val="22"/>
                <w:lang w:val="en-US"/>
              </w:rPr>
              <w:t xml:space="preserve">h)  the appointment in 1996 by the Secretary General of the Convention of a MedWet Coordinator and the establishment of a secretariat structure, with the financial support of the Governments of France and Greece (and since 1999, of the Government of Spain), as well as of the Station </w:t>
            </w:r>
            <w:proofErr w:type="spellStart"/>
            <w:r w:rsidRPr="00647BDB">
              <w:rPr>
                <w:rFonts w:asciiTheme="minorHAnsi" w:hAnsiTheme="minorHAnsi"/>
                <w:sz w:val="22"/>
                <w:szCs w:val="22"/>
                <w:lang w:val="en-US"/>
              </w:rPr>
              <w:t>Biologique</w:t>
            </w:r>
            <w:proofErr w:type="spellEnd"/>
            <w:r w:rsidRPr="00647BDB">
              <w:rPr>
                <w:rFonts w:asciiTheme="minorHAnsi" w:hAnsiTheme="minorHAnsi"/>
                <w:sz w:val="22"/>
                <w:szCs w:val="22"/>
                <w:lang w:val="en-US"/>
              </w:rPr>
              <w:t xml:space="preserve"> de la Tour du </w:t>
            </w:r>
            <w:proofErr w:type="spellStart"/>
            <w:r w:rsidRPr="00647BDB">
              <w:rPr>
                <w:rFonts w:asciiTheme="minorHAnsi" w:hAnsiTheme="minorHAnsi"/>
                <w:sz w:val="22"/>
                <w:szCs w:val="22"/>
                <w:lang w:val="en-US"/>
              </w:rPr>
              <w:t>Valat</w:t>
            </w:r>
            <w:proofErr w:type="spellEnd"/>
            <w:r w:rsidRPr="00647BDB">
              <w:rPr>
                <w:rFonts w:asciiTheme="minorHAnsi" w:hAnsiTheme="minorHAnsi"/>
                <w:sz w:val="22"/>
                <w:szCs w:val="22"/>
                <w:lang w:val="en-US"/>
              </w:rPr>
              <w:t xml:space="preserve"> (France) and WWF International; and </w:t>
            </w:r>
          </w:p>
          <w:p w14:paraId="6741FDF0" w14:textId="77777777" w:rsidR="002835D9" w:rsidRPr="00465E26" w:rsidRDefault="002835D9" w:rsidP="00A03E7B">
            <w:pPr>
              <w:pStyle w:val="NormalWeb"/>
              <w:ind w:left="708"/>
              <w:rPr>
                <w:rFonts w:asciiTheme="minorHAnsi" w:hAnsiTheme="minorHAnsi"/>
                <w:sz w:val="22"/>
                <w:szCs w:val="22"/>
                <w:lang w:val="en-US"/>
              </w:rPr>
            </w:pPr>
            <w:r w:rsidRPr="00647BDB">
              <w:rPr>
                <w:rFonts w:asciiTheme="minorHAnsi" w:hAnsiTheme="minorHAnsi"/>
                <w:sz w:val="22"/>
                <w:szCs w:val="22"/>
                <w:lang w:val="en-US"/>
              </w:rPr>
              <w:lastRenderedPageBreak/>
              <w:t xml:space="preserve">i)  the launching of two further MedWet projects concerning ten Mediterranean countries, of which one is funded by the Global Environment Facility (GEF); </w:t>
            </w:r>
          </w:p>
        </w:tc>
        <w:tc>
          <w:tcPr>
            <w:tcW w:w="1418" w:type="dxa"/>
          </w:tcPr>
          <w:p w14:paraId="69B7C7A9" w14:textId="77777777" w:rsidR="002835D9" w:rsidRDefault="002835D9" w:rsidP="00A03E7B">
            <w:pPr>
              <w:rPr>
                <w:sz w:val="22"/>
                <w:szCs w:val="22"/>
                <w:lang w:val="en-US"/>
              </w:rPr>
            </w:pPr>
            <w:r>
              <w:rPr>
                <w:sz w:val="22"/>
                <w:szCs w:val="22"/>
                <w:lang w:val="en-US"/>
              </w:rPr>
              <w:lastRenderedPageBreak/>
              <w:t>1</w:t>
            </w:r>
          </w:p>
        </w:tc>
        <w:tc>
          <w:tcPr>
            <w:tcW w:w="3821" w:type="dxa"/>
          </w:tcPr>
          <w:p w14:paraId="4A7398AD" w14:textId="77777777" w:rsidR="002835D9" w:rsidRDefault="002835D9" w:rsidP="00A03E7B">
            <w:pPr>
              <w:rPr>
                <w:sz w:val="22"/>
                <w:szCs w:val="22"/>
                <w:lang w:val="en-US"/>
              </w:rPr>
            </w:pPr>
            <w:r>
              <w:rPr>
                <w:sz w:val="22"/>
                <w:szCs w:val="22"/>
                <w:lang w:val="en-US"/>
              </w:rPr>
              <w:t xml:space="preserve">Redundant </w:t>
            </w:r>
          </w:p>
        </w:tc>
      </w:tr>
      <w:tr w:rsidR="002835D9" w14:paraId="00505EFD" w14:textId="77777777" w:rsidTr="001C7493">
        <w:tc>
          <w:tcPr>
            <w:tcW w:w="8642" w:type="dxa"/>
          </w:tcPr>
          <w:p w14:paraId="701F5AA3" w14:textId="77777777" w:rsidR="002835D9" w:rsidRPr="000D2FEB" w:rsidRDefault="002835D9" w:rsidP="00A03E7B">
            <w:pPr>
              <w:rPr>
                <w:sz w:val="22"/>
                <w:szCs w:val="22"/>
                <w:lang w:val="en-US"/>
              </w:rPr>
            </w:pPr>
          </w:p>
        </w:tc>
        <w:tc>
          <w:tcPr>
            <w:tcW w:w="1418" w:type="dxa"/>
          </w:tcPr>
          <w:p w14:paraId="7DE51C91" w14:textId="77777777" w:rsidR="002835D9" w:rsidRPr="00806A9C" w:rsidRDefault="002835D9" w:rsidP="00A03E7B">
            <w:pPr>
              <w:rPr>
                <w:b/>
                <w:sz w:val="22"/>
                <w:szCs w:val="22"/>
                <w:lang w:val="en-US"/>
              </w:rPr>
            </w:pPr>
            <w:r w:rsidRPr="00806A9C">
              <w:rPr>
                <w:b/>
                <w:sz w:val="22"/>
                <w:szCs w:val="22"/>
                <w:lang w:val="en-US"/>
              </w:rPr>
              <w:t>VI.11</w:t>
            </w:r>
          </w:p>
        </w:tc>
        <w:tc>
          <w:tcPr>
            <w:tcW w:w="3821" w:type="dxa"/>
          </w:tcPr>
          <w:p w14:paraId="5985E288" w14:textId="77777777" w:rsidR="002835D9" w:rsidRDefault="002835D9" w:rsidP="00A03E7B">
            <w:pPr>
              <w:rPr>
                <w:sz w:val="22"/>
                <w:szCs w:val="22"/>
                <w:lang w:val="en-US"/>
              </w:rPr>
            </w:pPr>
          </w:p>
        </w:tc>
      </w:tr>
      <w:tr w:rsidR="002835D9" w14:paraId="436B8545" w14:textId="77777777" w:rsidTr="001C7493">
        <w:tc>
          <w:tcPr>
            <w:tcW w:w="8642" w:type="dxa"/>
          </w:tcPr>
          <w:p w14:paraId="2658D2C0" w14:textId="77777777" w:rsidR="002835D9" w:rsidRPr="000D2FEB" w:rsidRDefault="002835D9" w:rsidP="00A03E7B">
            <w:pPr>
              <w:rPr>
                <w:sz w:val="22"/>
                <w:szCs w:val="22"/>
                <w:lang w:val="en-US"/>
              </w:rPr>
            </w:pPr>
            <w:r w:rsidRPr="00806A9C">
              <w:rPr>
                <w:sz w:val="22"/>
                <w:szCs w:val="22"/>
                <w:lang w:val="en-US"/>
              </w:rPr>
              <w:t>RECALLING Recommendation 5.14 on collaboration for the Mediterranean wetlands, which welcomed this regional activity and requested the MedWet partners to report on progress of the MedWet initiative at the present meeting;</w:t>
            </w:r>
          </w:p>
        </w:tc>
        <w:tc>
          <w:tcPr>
            <w:tcW w:w="1418" w:type="dxa"/>
          </w:tcPr>
          <w:p w14:paraId="3899C421" w14:textId="77777777" w:rsidR="002835D9" w:rsidRDefault="002835D9" w:rsidP="00A03E7B">
            <w:pPr>
              <w:rPr>
                <w:sz w:val="22"/>
                <w:szCs w:val="22"/>
                <w:lang w:val="en-US"/>
              </w:rPr>
            </w:pPr>
            <w:r>
              <w:rPr>
                <w:sz w:val="22"/>
                <w:szCs w:val="22"/>
                <w:lang w:val="en-US"/>
              </w:rPr>
              <w:t>1</w:t>
            </w:r>
          </w:p>
        </w:tc>
        <w:tc>
          <w:tcPr>
            <w:tcW w:w="3821" w:type="dxa"/>
          </w:tcPr>
          <w:p w14:paraId="7E05E693" w14:textId="77777777" w:rsidR="002835D9" w:rsidRDefault="002835D9" w:rsidP="00A03E7B">
            <w:pPr>
              <w:rPr>
                <w:sz w:val="22"/>
                <w:szCs w:val="22"/>
                <w:lang w:val="en-US"/>
              </w:rPr>
            </w:pPr>
            <w:r>
              <w:rPr>
                <w:sz w:val="22"/>
                <w:szCs w:val="22"/>
                <w:lang w:val="en-US"/>
              </w:rPr>
              <w:t xml:space="preserve">Redundant </w:t>
            </w:r>
          </w:p>
        </w:tc>
      </w:tr>
      <w:tr w:rsidR="002835D9" w14:paraId="5B8FB913" w14:textId="77777777" w:rsidTr="001C7493">
        <w:tc>
          <w:tcPr>
            <w:tcW w:w="8642" w:type="dxa"/>
          </w:tcPr>
          <w:p w14:paraId="0EE48940" w14:textId="77777777" w:rsidR="002835D9" w:rsidRPr="000D2FEB" w:rsidRDefault="002835D9" w:rsidP="00A03E7B">
            <w:pPr>
              <w:rPr>
                <w:sz w:val="22"/>
                <w:szCs w:val="22"/>
                <w:lang w:val="en-US"/>
              </w:rPr>
            </w:pPr>
            <w:r w:rsidRPr="00806A9C">
              <w:rPr>
                <w:sz w:val="22"/>
                <w:szCs w:val="22"/>
                <w:lang w:val="en-US"/>
              </w:rPr>
              <w:t>NOTING with interest the progress made during the first phase of the MedWet initiative for the conservation and wise use of Mediterranean wetlands;</w:t>
            </w:r>
          </w:p>
        </w:tc>
        <w:tc>
          <w:tcPr>
            <w:tcW w:w="1418" w:type="dxa"/>
          </w:tcPr>
          <w:p w14:paraId="70722647" w14:textId="77777777" w:rsidR="002835D9" w:rsidRDefault="002835D9" w:rsidP="00A03E7B">
            <w:pPr>
              <w:rPr>
                <w:sz w:val="22"/>
                <w:szCs w:val="22"/>
                <w:lang w:val="en-US"/>
              </w:rPr>
            </w:pPr>
            <w:r>
              <w:rPr>
                <w:sz w:val="22"/>
                <w:szCs w:val="22"/>
                <w:lang w:val="en-US"/>
              </w:rPr>
              <w:t>2</w:t>
            </w:r>
          </w:p>
        </w:tc>
        <w:tc>
          <w:tcPr>
            <w:tcW w:w="3821" w:type="dxa"/>
          </w:tcPr>
          <w:p w14:paraId="66335D50" w14:textId="77777777" w:rsidR="002835D9" w:rsidRDefault="002835D9" w:rsidP="00A03E7B">
            <w:pPr>
              <w:rPr>
                <w:sz w:val="22"/>
                <w:szCs w:val="22"/>
                <w:lang w:val="en-US"/>
              </w:rPr>
            </w:pPr>
            <w:r>
              <w:rPr>
                <w:sz w:val="22"/>
                <w:szCs w:val="22"/>
                <w:lang w:val="en-US"/>
              </w:rPr>
              <w:t xml:space="preserve">Redundant </w:t>
            </w:r>
          </w:p>
        </w:tc>
      </w:tr>
      <w:tr w:rsidR="002835D9" w14:paraId="75667744" w14:textId="77777777" w:rsidTr="001C7493">
        <w:tc>
          <w:tcPr>
            <w:tcW w:w="8642" w:type="dxa"/>
          </w:tcPr>
          <w:p w14:paraId="33BC0723" w14:textId="65D748A9" w:rsidR="002835D9" w:rsidRPr="000D2FEB" w:rsidRDefault="002835D9" w:rsidP="00A03E7B">
            <w:pPr>
              <w:rPr>
                <w:sz w:val="22"/>
                <w:szCs w:val="22"/>
                <w:lang w:val="en-US"/>
              </w:rPr>
            </w:pPr>
            <w:r w:rsidRPr="00806A9C">
              <w:rPr>
                <w:sz w:val="22"/>
                <w:szCs w:val="22"/>
                <w:lang w:val="en-US"/>
              </w:rPr>
              <w:t>FURTHER NOTING the extension of MedWet activities through the participation of Albania, Algeria, Croatia, Morocco and Tunisia;</w:t>
            </w:r>
          </w:p>
        </w:tc>
        <w:tc>
          <w:tcPr>
            <w:tcW w:w="1418" w:type="dxa"/>
          </w:tcPr>
          <w:p w14:paraId="4F6A9F82" w14:textId="77777777" w:rsidR="002835D9" w:rsidRDefault="002835D9" w:rsidP="00A03E7B">
            <w:pPr>
              <w:rPr>
                <w:sz w:val="22"/>
                <w:szCs w:val="22"/>
                <w:lang w:val="en-US"/>
              </w:rPr>
            </w:pPr>
            <w:r>
              <w:rPr>
                <w:sz w:val="22"/>
                <w:szCs w:val="22"/>
                <w:lang w:val="en-US"/>
              </w:rPr>
              <w:t>3</w:t>
            </w:r>
          </w:p>
        </w:tc>
        <w:tc>
          <w:tcPr>
            <w:tcW w:w="3821" w:type="dxa"/>
          </w:tcPr>
          <w:p w14:paraId="4876173E" w14:textId="77777777" w:rsidR="002835D9" w:rsidRDefault="002835D9" w:rsidP="00A03E7B">
            <w:pPr>
              <w:rPr>
                <w:sz w:val="22"/>
                <w:szCs w:val="22"/>
                <w:lang w:val="en-US"/>
              </w:rPr>
            </w:pPr>
            <w:r>
              <w:rPr>
                <w:sz w:val="22"/>
                <w:szCs w:val="22"/>
                <w:lang w:val="en-US"/>
              </w:rPr>
              <w:t xml:space="preserve">Redundant </w:t>
            </w:r>
          </w:p>
        </w:tc>
      </w:tr>
      <w:tr w:rsidR="002835D9" w14:paraId="19158C6E" w14:textId="77777777" w:rsidTr="001C7493">
        <w:tc>
          <w:tcPr>
            <w:tcW w:w="8642" w:type="dxa"/>
          </w:tcPr>
          <w:p w14:paraId="76FA726C" w14:textId="77777777" w:rsidR="002835D9" w:rsidRPr="000D2FEB" w:rsidRDefault="002835D9" w:rsidP="00A03E7B">
            <w:pPr>
              <w:rPr>
                <w:sz w:val="22"/>
                <w:szCs w:val="22"/>
                <w:lang w:val="en-US"/>
              </w:rPr>
            </w:pPr>
            <w:r w:rsidRPr="00806A9C">
              <w:rPr>
                <w:sz w:val="22"/>
                <w:szCs w:val="22"/>
                <w:lang w:val="en-US"/>
              </w:rPr>
              <w:t xml:space="preserve">EXPRESSING THEIR APPRECIATION to the bodies which have provided funds for the MedWet initiative, notably the European Commission (DG XI), the Governments of France, Greece, Italy, Portugal and Spain, WWF, Tour du </w:t>
            </w:r>
            <w:proofErr w:type="spellStart"/>
            <w:r w:rsidRPr="00806A9C">
              <w:rPr>
                <w:sz w:val="22"/>
                <w:szCs w:val="22"/>
                <w:lang w:val="en-US"/>
              </w:rPr>
              <w:t>Valat</w:t>
            </w:r>
            <w:proofErr w:type="spellEnd"/>
            <w:r w:rsidRPr="00806A9C">
              <w:rPr>
                <w:sz w:val="22"/>
                <w:szCs w:val="22"/>
                <w:lang w:val="en-US"/>
              </w:rPr>
              <w:t>, Wetlands International, the Ramsar Bureau and the GEF;</w:t>
            </w:r>
          </w:p>
        </w:tc>
        <w:tc>
          <w:tcPr>
            <w:tcW w:w="1418" w:type="dxa"/>
          </w:tcPr>
          <w:p w14:paraId="010489DB" w14:textId="77777777" w:rsidR="002835D9" w:rsidRDefault="002835D9" w:rsidP="00A03E7B">
            <w:pPr>
              <w:rPr>
                <w:sz w:val="22"/>
                <w:szCs w:val="22"/>
                <w:lang w:val="en-US"/>
              </w:rPr>
            </w:pPr>
            <w:r>
              <w:rPr>
                <w:sz w:val="22"/>
                <w:szCs w:val="22"/>
                <w:lang w:val="en-US"/>
              </w:rPr>
              <w:t>4</w:t>
            </w:r>
          </w:p>
        </w:tc>
        <w:tc>
          <w:tcPr>
            <w:tcW w:w="3821" w:type="dxa"/>
          </w:tcPr>
          <w:p w14:paraId="26294A56" w14:textId="77777777" w:rsidR="002835D9" w:rsidRDefault="002835D9" w:rsidP="00A03E7B">
            <w:pPr>
              <w:rPr>
                <w:sz w:val="22"/>
                <w:szCs w:val="22"/>
                <w:lang w:val="en-US"/>
              </w:rPr>
            </w:pPr>
            <w:r>
              <w:rPr>
                <w:sz w:val="22"/>
                <w:szCs w:val="22"/>
                <w:lang w:val="en-US"/>
              </w:rPr>
              <w:t xml:space="preserve">Redundant </w:t>
            </w:r>
          </w:p>
        </w:tc>
      </w:tr>
      <w:tr w:rsidR="002835D9" w14:paraId="7AEBCE26" w14:textId="77777777" w:rsidTr="001C7493">
        <w:tc>
          <w:tcPr>
            <w:tcW w:w="8642" w:type="dxa"/>
          </w:tcPr>
          <w:p w14:paraId="6AB90601" w14:textId="77777777" w:rsidR="002835D9" w:rsidRPr="000D2FEB" w:rsidRDefault="002835D9" w:rsidP="00A03E7B">
            <w:pPr>
              <w:rPr>
                <w:sz w:val="22"/>
                <w:szCs w:val="22"/>
                <w:lang w:val="en-US"/>
              </w:rPr>
            </w:pPr>
            <w:r w:rsidRPr="00806A9C">
              <w:rPr>
                <w:sz w:val="22"/>
                <w:szCs w:val="22"/>
                <w:lang w:val="en-US"/>
              </w:rPr>
              <w:t>TAKING INTO ACCOUNT the Themes for the Future paper from the Government of Italy and the MedWet Coordination Group, entitled “MedWet - a Mediterranean Blueprint for Regional Wetland Cooperation,” presented in plenary session of the present meeting on 25 March 1996, and the results of the informal consultations on Mediterranean wetlands held during the present meeting; and</w:t>
            </w:r>
          </w:p>
        </w:tc>
        <w:tc>
          <w:tcPr>
            <w:tcW w:w="1418" w:type="dxa"/>
          </w:tcPr>
          <w:p w14:paraId="572832BC" w14:textId="77777777" w:rsidR="002835D9" w:rsidRDefault="002835D9" w:rsidP="00A03E7B">
            <w:pPr>
              <w:rPr>
                <w:sz w:val="22"/>
                <w:szCs w:val="22"/>
                <w:lang w:val="en-US"/>
              </w:rPr>
            </w:pPr>
            <w:r>
              <w:rPr>
                <w:sz w:val="22"/>
                <w:szCs w:val="22"/>
                <w:lang w:val="en-US"/>
              </w:rPr>
              <w:t>5</w:t>
            </w:r>
          </w:p>
        </w:tc>
        <w:tc>
          <w:tcPr>
            <w:tcW w:w="3821" w:type="dxa"/>
          </w:tcPr>
          <w:p w14:paraId="3C2F3AB4" w14:textId="77777777" w:rsidR="002835D9" w:rsidRDefault="002835D9" w:rsidP="00A03E7B">
            <w:pPr>
              <w:rPr>
                <w:sz w:val="22"/>
                <w:szCs w:val="22"/>
                <w:lang w:val="en-US"/>
              </w:rPr>
            </w:pPr>
            <w:r>
              <w:rPr>
                <w:sz w:val="22"/>
                <w:szCs w:val="22"/>
                <w:lang w:val="en-US"/>
              </w:rPr>
              <w:t xml:space="preserve">Redundant </w:t>
            </w:r>
          </w:p>
        </w:tc>
      </w:tr>
      <w:tr w:rsidR="002835D9" w14:paraId="140EE700" w14:textId="77777777" w:rsidTr="001C7493">
        <w:tc>
          <w:tcPr>
            <w:tcW w:w="8642" w:type="dxa"/>
          </w:tcPr>
          <w:p w14:paraId="435081F0" w14:textId="77777777" w:rsidR="002835D9" w:rsidRPr="000D2FEB" w:rsidRDefault="002835D9" w:rsidP="00A03E7B">
            <w:pPr>
              <w:rPr>
                <w:sz w:val="22"/>
                <w:szCs w:val="22"/>
                <w:lang w:val="en-US"/>
              </w:rPr>
            </w:pPr>
            <w:r w:rsidRPr="00806A9C">
              <w:rPr>
                <w:sz w:val="22"/>
                <w:szCs w:val="22"/>
                <w:lang w:val="en-US"/>
              </w:rPr>
              <w:t>BEING INFORMED of the initiative of the MedWet partners and of the Government of Italy to organize an International Conference on Mediterranean wetlands in Venice in June 1996</w:t>
            </w:r>
          </w:p>
        </w:tc>
        <w:tc>
          <w:tcPr>
            <w:tcW w:w="1418" w:type="dxa"/>
          </w:tcPr>
          <w:p w14:paraId="0295B107" w14:textId="77777777" w:rsidR="002835D9" w:rsidRDefault="002835D9" w:rsidP="00A03E7B">
            <w:pPr>
              <w:rPr>
                <w:sz w:val="22"/>
                <w:szCs w:val="22"/>
                <w:lang w:val="en-US"/>
              </w:rPr>
            </w:pPr>
            <w:r>
              <w:rPr>
                <w:sz w:val="22"/>
                <w:szCs w:val="22"/>
                <w:lang w:val="en-US"/>
              </w:rPr>
              <w:t>6</w:t>
            </w:r>
          </w:p>
        </w:tc>
        <w:tc>
          <w:tcPr>
            <w:tcW w:w="3821" w:type="dxa"/>
          </w:tcPr>
          <w:p w14:paraId="43B50F0B" w14:textId="77777777" w:rsidR="002835D9" w:rsidRDefault="002835D9" w:rsidP="00A03E7B">
            <w:pPr>
              <w:rPr>
                <w:sz w:val="22"/>
                <w:szCs w:val="22"/>
                <w:lang w:val="en-US"/>
              </w:rPr>
            </w:pPr>
            <w:r>
              <w:rPr>
                <w:sz w:val="22"/>
                <w:szCs w:val="22"/>
                <w:lang w:val="en-US"/>
              </w:rPr>
              <w:t xml:space="preserve">Redundant </w:t>
            </w:r>
          </w:p>
        </w:tc>
      </w:tr>
      <w:tr w:rsidR="002835D9" w14:paraId="373BEB6F" w14:textId="77777777" w:rsidTr="001C7493">
        <w:tc>
          <w:tcPr>
            <w:tcW w:w="8642" w:type="dxa"/>
          </w:tcPr>
          <w:p w14:paraId="1AC0B8DA" w14:textId="77777777" w:rsidR="002835D9" w:rsidRPr="000D2FEB" w:rsidRDefault="002835D9" w:rsidP="00A03E7B">
            <w:pPr>
              <w:rPr>
                <w:sz w:val="22"/>
                <w:szCs w:val="22"/>
                <w:lang w:val="en-US"/>
              </w:rPr>
            </w:pPr>
          </w:p>
        </w:tc>
        <w:tc>
          <w:tcPr>
            <w:tcW w:w="1418" w:type="dxa"/>
          </w:tcPr>
          <w:p w14:paraId="6E805278" w14:textId="77777777" w:rsidR="002835D9" w:rsidRPr="00A7191A" w:rsidRDefault="002835D9" w:rsidP="00A03E7B">
            <w:pPr>
              <w:rPr>
                <w:b/>
                <w:sz w:val="22"/>
                <w:szCs w:val="22"/>
                <w:lang w:val="en-US"/>
              </w:rPr>
            </w:pPr>
            <w:r w:rsidRPr="00A7191A">
              <w:rPr>
                <w:b/>
                <w:sz w:val="22"/>
                <w:szCs w:val="22"/>
                <w:lang w:val="en-US"/>
              </w:rPr>
              <w:t>V.14</w:t>
            </w:r>
          </w:p>
        </w:tc>
        <w:tc>
          <w:tcPr>
            <w:tcW w:w="3821" w:type="dxa"/>
          </w:tcPr>
          <w:p w14:paraId="4BE8A62D" w14:textId="77777777" w:rsidR="002835D9" w:rsidRDefault="002835D9" w:rsidP="00A03E7B">
            <w:pPr>
              <w:rPr>
                <w:sz w:val="22"/>
                <w:szCs w:val="22"/>
                <w:lang w:val="en-US"/>
              </w:rPr>
            </w:pPr>
          </w:p>
        </w:tc>
      </w:tr>
      <w:tr w:rsidR="002835D9" w14:paraId="7FD36FB6" w14:textId="77777777" w:rsidTr="001C7493">
        <w:tc>
          <w:tcPr>
            <w:tcW w:w="8642" w:type="dxa"/>
          </w:tcPr>
          <w:p w14:paraId="10C3C80F" w14:textId="77777777" w:rsidR="002835D9" w:rsidRPr="000D2FEB" w:rsidRDefault="002835D9" w:rsidP="00A03E7B">
            <w:pPr>
              <w:rPr>
                <w:sz w:val="22"/>
                <w:szCs w:val="22"/>
                <w:lang w:val="en-US"/>
              </w:rPr>
            </w:pPr>
            <w:r w:rsidRPr="00A7191A">
              <w:rPr>
                <w:sz w:val="22"/>
                <w:szCs w:val="22"/>
                <w:lang w:val="en-US"/>
              </w:rPr>
              <w:t>NOTING with interest the MedWet initiative for the conservation of Mediterranean wetlands;</w:t>
            </w:r>
          </w:p>
        </w:tc>
        <w:tc>
          <w:tcPr>
            <w:tcW w:w="1418" w:type="dxa"/>
          </w:tcPr>
          <w:p w14:paraId="41DEACE8" w14:textId="77777777" w:rsidR="002835D9" w:rsidRDefault="002835D9" w:rsidP="00A03E7B">
            <w:pPr>
              <w:rPr>
                <w:sz w:val="22"/>
                <w:szCs w:val="22"/>
                <w:lang w:val="en-US"/>
              </w:rPr>
            </w:pPr>
            <w:r>
              <w:rPr>
                <w:sz w:val="22"/>
                <w:szCs w:val="22"/>
                <w:lang w:val="en-US"/>
              </w:rPr>
              <w:t>1</w:t>
            </w:r>
          </w:p>
        </w:tc>
        <w:tc>
          <w:tcPr>
            <w:tcW w:w="3821" w:type="dxa"/>
          </w:tcPr>
          <w:p w14:paraId="169C28BC" w14:textId="77777777" w:rsidR="002835D9" w:rsidRDefault="002835D9" w:rsidP="00A03E7B">
            <w:pPr>
              <w:rPr>
                <w:sz w:val="22"/>
                <w:szCs w:val="22"/>
                <w:lang w:val="en-US"/>
              </w:rPr>
            </w:pPr>
            <w:r>
              <w:rPr>
                <w:sz w:val="22"/>
                <w:szCs w:val="22"/>
                <w:lang w:val="en-US"/>
              </w:rPr>
              <w:t xml:space="preserve">Redundant </w:t>
            </w:r>
          </w:p>
        </w:tc>
      </w:tr>
      <w:tr w:rsidR="002835D9" w14:paraId="3508BE55" w14:textId="77777777" w:rsidTr="001C7493">
        <w:tc>
          <w:tcPr>
            <w:tcW w:w="8642" w:type="dxa"/>
          </w:tcPr>
          <w:p w14:paraId="6D719AE4" w14:textId="77777777" w:rsidR="002835D9" w:rsidRPr="000D2FEB" w:rsidRDefault="002835D9" w:rsidP="00A03E7B">
            <w:pPr>
              <w:rPr>
                <w:sz w:val="22"/>
                <w:szCs w:val="22"/>
                <w:lang w:val="en-US"/>
              </w:rPr>
            </w:pPr>
            <w:r w:rsidRPr="00A7191A">
              <w:rPr>
                <w:sz w:val="22"/>
                <w:szCs w:val="22"/>
                <w:lang w:val="en-US"/>
              </w:rPr>
              <w:t xml:space="preserve">FURTHER NOTING that this initiative is carried out jointly by the Governments of France, Greece, Italy, Portugal and Spain, the Commission of the European Communities, the Ramsar Bureau, Fondation de la Tour du </w:t>
            </w:r>
            <w:proofErr w:type="spellStart"/>
            <w:r w:rsidRPr="00A7191A">
              <w:rPr>
                <w:sz w:val="22"/>
                <w:szCs w:val="22"/>
                <w:lang w:val="en-US"/>
              </w:rPr>
              <w:t>Valat</w:t>
            </w:r>
            <w:proofErr w:type="spellEnd"/>
            <w:r w:rsidRPr="00A7191A">
              <w:rPr>
                <w:sz w:val="22"/>
                <w:szCs w:val="22"/>
                <w:lang w:val="en-US"/>
              </w:rPr>
              <w:t>, IWRB and WWF-International;</w:t>
            </w:r>
          </w:p>
        </w:tc>
        <w:tc>
          <w:tcPr>
            <w:tcW w:w="1418" w:type="dxa"/>
          </w:tcPr>
          <w:p w14:paraId="3A500DBF" w14:textId="77777777" w:rsidR="002835D9" w:rsidRDefault="002835D9" w:rsidP="00A03E7B">
            <w:pPr>
              <w:rPr>
                <w:sz w:val="22"/>
                <w:szCs w:val="22"/>
                <w:lang w:val="en-US"/>
              </w:rPr>
            </w:pPr>
            <w:r>
              <w:rPr>
                <w:sz w:val="22"/>
                <w:szCs w:val="22"/>
                <w:lang w:val="en-US"/>
              </w:rPr>
              <w:t>2</w:t>
            </w:r>
          </w:p>
        </w:tc>
        <w:tc>
          <w:tcPr>
            <w:tcW w:w="3821" w:type="dxa"/>
          </w:tcPr>
          <w:p w14:paraId="2C2C2809" w14:textId="77777777" w:rsidR="002835D9" w:rsidRDefault="002835D9" w:rsidP="00A03E7B">
            <w:pPr>
              <w:rPr>
                <w:sz w:val="22"/>
                <w:szCs w:val="22"/>
                <w:lang w:val="en-US"/>
              </w:rPr>
            </w:pPr>
            <w:r>
              <w:rPr>
                <w:sz w:val="22"/>
                <w:szCs w:val="22"/>
                <w:lang w:val="en-US"/>
              </w:rPr>
              <w:t xml:space="preserve">Redundant </w:t>
            </w:r>
          </w:p>
        </w:tc>
      </w:tr>
      <w:tr w:rsidR="002835D9" w14:paraId="1E41816D" w14:textId="77777777" w:rsidTr="001C7493">
        <w:tc>
          <w:tcPr>
            <w:tcW w:w="8642" w:type="dxa"/>
          </w:tcPr>
          <w:p w14:paraId="2B7A8D49" w14:textId="77777777" w:rsidR="002835D9" w:rsidRPr="000D2FEB" w:rsidRDefault="002835D9" w:rsidP="00A03E7B">
            <w:pPr>
              <w:rPr>
                <w:sz w:val="22"/>
                <w:szCs w:val="22"/>
                <w:lang w:val="en-US"/>
              </w:rPr>
            </w:pPr>
            <w:r w:rsidRPr="00A7191A">
              <w:rPr>
                <w:sz w:val="22"/>
                <w:szCs w:val="22"/>
                <w:lang w:val="en-US"/>
              </w:rPr>
              <w:t>ACKNOWLEDGING that the first 3-year preparatory period of MedWet will be of benefit to all countries around the Mediterranean Basin;</w:t>
            </w:r>
          </w:p>
        </w:tc>
        <w:tc>
          <w:tcPr>
            <w:tcW w:w="1418" w:type="dxa"/>
          </w:tcPr>
          <w:p w14:paraId="178AEB29" w14:textId="77777777" w:rsidR="002835D9" w:rsidRDefault="002835D9" w:rsidP="00A03E7B">
            <w:pPr>
              <w:rPr>
                <w:sz w:val="22"/>
                <w:szCs w:val="22"/>
                <w:lang w:val="en-US"/>
              </w:rPr>
            </w:pPr>
            <w:r>
              <w:rPr>
                <w:sz w:val="22"/>
                <w:szCs w:val="22"/>
                <w:lang w:val="en-US"/>
              </w:rPr>
              <w:t>3</w:t>
            </w:r>
          </w:p>
        </w:tc>
        <w:tc>
          <w:tcPr>
            <w:tcW w:w="3821" w:type="dxa"/>
          </w:tcPr>
          <w:p w14:paraId="476C3BDE" w14:textId="77777777" w:rsidR="002835D9" w:rsidRDefault="002835D9" w:rsidP="00A03E7B">
            <w:pPr>
              <w:rPr>
                <w:sz w:val="22"/>
                <w:szCs w:val="22"/>
                <w:lang w:val="en-US"/>
              </w:rPr>
            </w:pPr>
            <w:r>
              <w:rPr>
                <w:sz w:val="22"/>
                <w:szCs w:val="22"/>
                <w:lang w:val="en-US"/>
              </w:rPr>
              <w:t xml:space="preserve">Redundant </w:t>
            </w:r>
          </w:p>
        </w:tc>
      </w:tr>
      <w:tr w:rsidR="002835D9" w14:paraId="2EBEAA57" w14:textId="77777777" w:rsidTr="001C7493">
        <w:tc>
          <w:tcPr>
            <w:tcW w:w="8642" w:type="dxa"/>
          </w:tcPr>
          <w:p w14:paraId="520EFAE7" w14:textId="77777777" w:rsidR="002835D9" w:rsidRPr="000D2FEB" w:rsidRDefault="002835D9" w:rsidP="00A03E7B">
            <w:pPr>
              <w:rPr>
                <w:sz w:val="22"/>
                <w:szCs w:val="22"/>
                <w:lang w:val="en-US"/>
              </w:rPr>
            </w:pPr>
            <w:r w:rsidRPr="00A7191A">
              <w:rPr>
                <w:sz w:val="22"/>
                <w:szCs w:val="22"/>
                <w:lang w:val="en-US"/>
              </w:rPr>
              <w:t xml:space="preserve">TAKING INTO ACCOUNT the presentation on MedWet made in Workshop D of the present meeting, as well as the very positive meeting on Mediterranean collaboration within the MedWet context held in Kushiro on 14 June 1993, with participants from 13 Mediterranean countries: Albania, Algeria, Croatia, Cyprus, Egypt, France, Greece, Italy, Jordan, Slovenia, </w:t>
            </w:r>
            <w:r w:rsidRPr="00A7191A">
              <w:rPr>
                <w:sz w:val="22"/>
                <w:szCs w:val="22"/>
                <w:lang w:val="en-US"/>
              </w:rPr>
              <w:lastRenderedPageBreak/>
              <w:t>Spain, Tunisia, Turkey, from the Commission of the European Communities, from the Ramsar Bureau and from ADAME, IWRB and WWF;</w:t>
            </w:r>
          </w:p>
        </w:tc>
        <w:tc>
          <w:tcPr>
            <w:tcW w:w="1418" w:type="dxa"/>
          </w:tcPr>
          <w:p w14:paraId="23BC54A0" w14:textId="77777777" w:rsidR="002835D9" w:rsidRDefault="002835D9" w:rsidP="00A03E7B">
            <w:pPr>
              <w:rPr>
                <w:sz w:val="22"/>
                <w:szCs w:val="22"/>
                <w:lang w:val="en-US"/>
              </w:rPr>
            </w:pPr>
            <w:r>
              <w:rPr>
                <w:sz w:val="22"/>
                <w:szCs w:val="22"/>
                <w:lang w:val="en-US"/>
              </w:rPr>
              <w:lastRenderedPageBreak/>
              <w:t>4</w:t>
            </w:r>
          </w:p>
        </w:tc>
        <w:tc>
          <w:tcPr>
            <w:tcW w:w="3821" w:type="dxa"/>
          </w:tcPr>
          <w:p w14:paraId="0B073666" w14:textId="77777777" w:rsidR="002835D9" w:rsidRDefault="002835D9" w:rsidP="00A03E7B">
            <w:pPr>
              <w:rPr>
                <w:sz w:val="22"/>
                <w:szCs w:val="22"/>
                <w:lang w:val="en-US"/>
              </w:rPr>
            </w:pPr>
            <w:r>
              <w:rPr>
                <w:sz w:val="22"/>
                <w:szCs w:val="22"/>
                <w:lang w:val="en-US"/>
              </w:rPr>
              <w:t xml:space="preserve">Redundant </w:t>
            </w:r>
          </w:p>
        </w:tc>
      </w:tr>
      <w:tr w:rsidR="002835D9" w14:paraId="45AEB296" w14:textId="77777777" w:rsidTr="001C7493">
        <w:tc>
          <w:tcPr>
            <w:tcW w:w="8642" w:type="dxa"/>
          </w:tcPr>
          <w:p w14:paraId="6399A9CA" w14:textId="77777777" w:rsidR="002835D9" w:rsidRPr="000D2FEB" w:rsidRDefault="002835D9" w:rsidP="00A03E7B">
            <w:pPr>
              <w:rPr>
                <w:sz w:val="22"/>
                <w:szCs w:val="22"/>
                <w:lang w:val="en-US"/>
              </w:rPr>
            </w:pPr>
            <w:r w:rsidRPr="00A7191A">
              <w:rPr>
                <w:sz w:val="22"/>
                <w:szCs w:val="22"/>
                <w:lang w:val="en-US"/>
              </w:rPr>
              <w:t>RECALLING Recommendation REC. C.4.5 of the Fourth Meeting of the Conference of the Contracting Parties concerning international collaboration;</w:t>
            </w:r>
          </w:p>
        </w:tc>
        <w:tc>
          <w:tcPr>
            <w:tcW w:w="1418" w:type="dxa"/>
          </w:tcPr>
          <w:p w14:paraId="19139096" w14:textId="77777777" w:rsidR="002835D9" w:rsidRDefault="002835D9" w:rsidP="00A03E7B">
            <w:pPr>
              <w:rPr>
                <w:sz w:val="22"/>
                <w:szCs w:val="22"/>
                <w:lang w:val="en-US"/>
              </w:rPr>
            </w:pPr>
            <w:r>
              <w:rPr>
                <w:sz w:val="22"/>
                <w:szCs w:val="22"/>
                <w:lang w:val="en-US"/>
              </w:rPr>
              <w:t>5</w:t>
            </w:r>
          </w:p>
        </w:tc>
        <w:tc>
          <w:tcPr>
            <w:tcW w:w="3821" w:type="dxa"/>
          </w:tcPr>
          <w:p w14:paraId="1E9E9B0B" w14:textId="77777777" w:rsidR="002835D9" w:rsidRDefault="002835D9" w:rsidP="00A03E7B">
            <w:pPr>
              <w:rPr>
                <w:sz w:val="22"/>
                <w:szCs w:val="22"/>
                <w:lang w:val="en-US"/>
              </w:rPr>
            </w:pPr>
            <w:r>
              <w:rPr>
                <w:sz w:val="22"/>
                <w:szCs w:val="22"/>
                <w:lang w:val="en-US"/>
              </w:rPr>
              <w:t xml:space="preserve">Redundant </w:t>
            </w:r>
          </w:p>
        </w:tc>
      </w:tr>
      <w:tr w:rsidR="002835D9" w14:paraId="6C261B4C" w14:textId="77777777" w:rsidTr="001C7493">
        <w:tc>
          <w:tcPr>
            <w:tcW w:w="8642" w:type="dxa"/>
          </w:tcPr>
          <w:p w14:paraId="5A060A2B" w14:textId="77777777" w:rsidR="002835D9" w:rsidRPr="00832E4E" w:rsidRDefault="002835D9" w:rsidP="00A03E7B">
            <w:pPr>
              <w:rPr>
                <w:b/>
                <w:sz w:val="22"/>
                <w:szCs w:val="22"/>
                <w:lang w:val="en-US"/>
              </w:rPr>
            </w:pPr>
            <w:r w:rsidRPr="00832E4E">
              <w:rPr>
                <w:b/>
                <w:sz w:val="22"/>
                <w:szCs w:val="22"/>
                <w:lang w:val="en-US"/>
              </w:rPr>
              <w:t xml:space="preserve">International and regional cooperation </w:t>
            </w:r>
          </w:p>
        </w:tc>
        <w:tc>
          <w:tcPr>
            <w:tcW w:w="1418" w:type="dxa"/>
          </w:tcPr>
          <w:p w14:paraId="34C1001E" w14:textId="77777777" w:rsidR="002835D9" w:rsidRDefault="002835D9" w:rsidP="00A03E7B">
            <w:pPr>
              <w:rPr>
                <w:sz w:val="22"/>
                <w:szCs w:val="22"/>
                <w:lang w:val="en-US"/>
              </w:rPr>
            </w:pPr>
          </w:p>
        </w:tc>
        <w:tc>
          <w:tcPr>
            <w:tcW w:w="3821" w:type="dxa"/>
          </w:tcPr>
          <w:p w14:paraId="6B2E5956" w14:textId="77777777" w:rsidR="002835D9" w:rsidRDefault="002835D9" w:rsidP="00A03E7B">
            <w:pPr>
              <w:rPr>
                <w:sz w:val="22"/>
                <w:szCs w:val="22"/>
                <w:lang w:val="en-US"/>
              </w:rPr>
            </w:pPr>
          </w:p>
        </w:tc>
      </w:tr>
      <w:tr w:rsidR="002835D9" w14:paraId="25F60987" w14:textId="77777777" w:rsidTr="001C7493">
        <w:tc>
          <w:tcPr>
            <w:tcW w:w="8642" w:type="dxa"/>
          </w:tcPr>
          <w:p w14:paraId="0CF2118C" w14:textId="77777777" w:rsidR="002835D9" w:rsidRPr="000D2FEB" w:rsidRDefault="002835D9" w:rsidP="00A03E7B">
            <w:pPr>
              <w:rPr>
                <w:sz w:val="22"/>
                <w:szCs w:val="22"/>
                <w:lang w:val="en-US"/>
              </w:rPr>
            </w:pPr>
          </w:p>
        </w:tc>
        <w:tc>
          <w:tcPr>
            <w:tcW w:w="1418" w:type="dxa"/>
          </w:tcPr>
          <w:p w14:paraId="3D97E0BB" w14:textId="77777777" w:rsidR="002835D9" w:rsidRPr="00832E4E" w:rsidRDefault="002835D9" w:rsidP="00A03E7B">
            <w:pPr>
              <w:rPr>
                <w:b/>
                <w:sz w:val="22"/>
                <w:szCs w:val="22"/>
                <w:lang w:val="en-US"/>
              </w:rPr>
            </w:pPr>
            <w:r w:rsidRPr="00832E4E">
              <w:rPr>
                <w:b/>
                <w:sz w:val="22"/>
                <w:szCs w:val="22"/>
                <w:lang w:val="en-US"/>
              </w:rPr>
              <w:t>XII</w:t>
            </w:r>
            <w:r w:rsidR="00C17A36">
              <w:rPr>
                <w:b/>
                <w:sz w:val="22"/>
                <w:szCs w:val="22"/>
                <w:lang w:val="en-US"/>
              </w:rPr>
              <w:t>.8</w:t>
            </w:r>
          </w:p>
        </w:tc>
        <w:tc>
          <w:tcPr>
            <w:tcW w:w="3821" w:type="dxa"/>
          </w:tcPr>
          <w:p w14:paraId="06953A9B" w14:textId="77777777" w:rsidR="002835D9" w:rsidRDefault="002835D9" w:rsidP="00A03E7B">
            <w:pPr>
              <w:rPr>
                <w:sz w:val="22"/>
                <w:szCs w:val="22"/>
                <w:lang w:val="en-US"/>
              </w:rPr>
            </w:pPr>
          </w:p>
        </w:tc>
      </w:tr>
      <w:tr w:rsidR="002835D9" w:rsidRPr="00217036" w14:paraId="2B643EA3" w14:textId="77777777" w:rsidTr="001C7493">
        <w:tc>
          <w:tcPr>
            <w:tcW w:w="8642" w:type="dxa"/>
          </w:tcPr>
          <w:p w14:paraId="6AD842E0" w14:textId="77777777" w:rsidR="002835D9" w:rsidRPr="000D2FEB" w:rsidRDefault="002835D9" w:rsidP="00A03E7B">
            <w:pPr>
              <w:rPr>
                <w:sz w:val="22"/>
                <w:szCs w:val="22"/>
                <w:lang w:val="en-US"/>
              </w:rPr>
            </w:pPr>
            <w:r w:rsidRPr="00832E4E">
              <w:rPr>
                <w:sz w:val="22"/>
                <w:szCs w:val="22"/>
                <w:lang w:val="en-US"/>
              </w:rPr>
              <w:t>TAKES NOTES of the dialogue and coordination to be established between Bolivia, Brazil and Paraguay, in accordance with their possibilities and financial capacities, to develop an integrated vision for the Pantanal region; and ENCOURAGES, given the important role of the conservation and sustainable development of the Pantanal region for the maintenance of ecosystem functions in the countries of the La Plata river basin, this dialogue and the generated efforts to be integrated into the Regional Initiative for the Conservation and Wise Use of the Plata River Basin in coordination with Argentina and Uruguay.</w:t>
            </w:r>
          </w:p>
        </w:tc>
        <w:tc>
          <w:tcPr>
            <w:tcW w:w="1418" w:type="dxa"/>
          </w:tcPr>
          <w:p w14:paraId="058A8C7B" w14:textId="77777777" w:rsidR="002835D9" w:rsidRDefault="002835D9" w:rsidP="00A03E7B">
            <w:pPr>
              <w:rPr>
                <w:sz w:val="22"/>
                <w:szCs w:val="22"/>
                <w:lang w:val="en-US"/>
              </w:rPr>
            </w:pPr>
            <w:r>
              <w:rPr>
                <w:sz w:val="22"/>
                <w:szCs w:val="22"/>
                <w:lang w:val="en-US"/>
              </w:rPr>
              <w:t>25</w:t>
            </w:r>
          </w:p>
        </w:tc>
        <w:tc>
          <w:tcPr>
            <w:tcW w:w="3821" w:type="dxa"/>
          </w:tcPr>
          <w:p w14:paraId="2F3BFCF6" w14:textId="77777777" w:rsidR="002835D9" w:rsidRDefault="00DC4F27" w:rsidP="00DC4F27">
            <w:pPr>
              <w:rPr>
                <w:sz w:val="22"/>
                <w:szCs w:val="22"/>
                <w:lang w:val="en-US"/>
              </w:rPr>
            </w:pPr>
            <w:r>
              <w:rPr>
                <w:sz w:val="22"/>
                <w:szCs w:val="22"/>
                <w:lang w:val="en-US"/>
              </w:rPr>
              <w:t xml:space="preserve">Current (process commenced but not completed). </w:t>
            </w:r>
          </w:p>
        </w:tc>
      </w:tr>
      <w:tr w:rsidR="002835D9" w:rsidRPr="00DC4F27" w14:paraId="49062E75" w14:textId="77777777" w:rsidTr="001C7493">
        <w:tc>
          <w:tcPr>
            <w:tcW w:w="8642" w:type="dxa"/>
          </w:tcPr>
          <w:p w14:paraId="3FC3C1D1" w14:textId="77777777" w:rsidR="002835D9" w:rsidRPr="00C72F7B" w:rsidRDefault="002835D9" w:rsidP="00A03E7B">
            <w:pPr>
              <w:rPr>
                <w:b/>
                <w:sz w:val="22"/>
                <w:szCs w:val="22"/>
                <w:lang w:val="en-US"/>
              </w:rPr>
            </w:pPr>
            <w:r w:rsidRPr="00C72F7B">
              <w:rPr>
                <w:b/>
                <w:sz w:val="22"/>
                <w:szCs w:val="22"/>
                <w:lang w:val="en-US"/>
              </w:rPr>
              <w:t xml:space="preserve">Governance </w:t>
            </w:r>
          </w:p>
        </w:tc>
        <w:tc>
          <w:tcPr>
            <w:tcW w:w="1418" w:type="dxa"/>
          </w:tcPr>
          <w:p w14:paraId="53EF3728" w14:textId="77777777" w:rsidR="002835D9" w:rsidRPr="00C72F7B" w:rsidRDefault="002835D9" w:rsidP="00A03E7B">
            <w:pPr>
              <w:rPr>
                <w:b/>
                <w:sz w:val="22"/>
                <w:szCs w:val="22"/>
                <w:lang w:val="en-US"/>
              </w:rPr>
            </w:pPr>
          </w:p>
        </w:tc>
        <w:tc>
          <w:tcPr>
            <w:tcW w:w="3821" w:type="dxa"/>
          </w:tcPr>
          <w:p w14:paraId="1B23D745" w14:textId="77777777" w:rsidR="002835D9" w:rsidRPr="00C72F7B" w:rsidRDefault="002835D9" w:rsidP="00A03E7B">
            <w:pPr>
              <w:rPr>
                <w:b/>
                <w:sz w:val="22"/>
                <w:szCs w:val="22"/>
                <w:lang w:val="en-US"/>
              </w:rPr>
            </w:pPr>
          </w:p>
        </w:tc>
      </w:tr>
      <w:tr w:rsidR="002835D9" w:rsidRPr="00DC4F27" w14:paraId="4B17FF17" w14:textId="77777777" w:rsidTr="001C7493">
        <w:tc>
          <w:tcPr>
            <w:tcW w:w="8642" w:type="dxa"/>
          </w:tcPr>
          <w:p w14:paraId="0D3127C8" w14:textId="77777777" w:rsidR="002835D9" w:rsidRPr="00C72F7B" w:rsidRDefault="002835D9" w:rsidP="00A03E7B">
            <w:pPr>
              <w:rPr>
                <w:sz w:val="22"/>
                <w:szCs w:val="22"/>
                <w:lang w:val="en-US"/>
              </w:rPr>
            </w:pPr>
          </w:p>
        </w:tc>
        <w:tc>
          <w:tcPr>
            <w:tcW w:w="1418" w:type="dxa"/>
          </w:tcPr>
          <w:p w14:paraId="31CFDF00" w14:textId="77777777" w:rsidR="002835D9" w:rsidRPr="00C72F7B" w:rsidRDefault="002835D9" w:rsidP="00A03E7B">
            <w:pPr>
              <w:rPr>
                <w:b/>
                <w:sz w:val="22"/>
                <w:szCs w:val="22"/>
                <w:lang w:val="en-US"/>
              </w:rPr>
            </w:pPr>
            <w:r w:rsidRPr="00C72F7B">
              <w:rPr>
                <w:b/>
                <w:sz w:val="22"/>
                <w:szCs w:val="22"/>
                <w:lang w:val="en-US"/>
              </w:rPr>
              <w:t>IX.7</w:t>
            </w:r>
          </w:p>
        </w:tc>
        <w:tc>
          <w:tcPr>
            <w:tcW w:w="3821" w:type="dxa"/>
          </w:tcPr>
          <w:p w14:paraId="0EAAD773" w14:textId="77777777" w:rsidR="002835D9" w:rsidRDefault="002835D9" w:rsidP="00A03E7B">
            <w:pPr>
              <w:rPr>
                <w:sz w:val="22"/>
                <w:szCs w:val="22"/>
                <w:lang w:val="en-US"/>
              </w:rPr>
            </w:pPr>
          </w:p>
        </w:tc>
      </w:tr>
      <w:tr w:rsidR="002835D9" w14:paraId="40177AC9" w14:textId="77777777" w:rsidTr="001C7493">
        <w:tc>
          <w:tcPr>
            <w:tcW w:w="8642" w:type="dxa"/>
          </w:tcPr>
          <w:p w14:paraId="72A1E48D" w14:textId="77777777" w:rsidR="002835D9" w:rsidRPr="000D2FEB" w:rsidRDefault="002835D9" w:rsidP="00A03E7B">
            <w:pPr>
              <w:rPr>
                <w:sz w:val="22"/>
                <w:szCs w:val="22"/>
                <w:lang w:val="en-US"/>
              </w:rPr>
            </w:pPr>
            <w:r w:rsidRPr="00C72F7B">
              <w:rPr>
                <w:sz w:val="22"/>
                <w:szCs w:val="22"/>
                <w:lang w:val="en-US"/>
              </w:rPr>
              <w:t>AUTHORIZES the Secretary General to conclude, where appropriate, Memoranda of Understanding (MoUs) with relevant governments and appropriate bodies with regard to the specific financial and institutional arrangements of the regional initiatives identified in the annex, and DIRECTS the Secretary General to report to the Standing Committee and COP10 on progress with these MoUs and the progress of regional initiatives in general;</w:t>
            </w:r>
          </w:p>
        </w:tc>
        <w:tc>
          <w:tcPr>
            <w:tcW w:w="1418" w:type="dxa"/>
          </w:tcPr>
          <w:p w14:paraId="47C9F533" w14:textId="77777777" w:rsidR="002835D9" w:rsidRDefault="002835D9" w:rsidP="00A03E7B">
            <w:pPr>
              <w:rPr>
                <w:sz w:val="22"/>
                <w:szCs w:val="22"/>
                <w:lang w:val="en-US"/>
              </w:rPr>
            </w:pPr>
            <w:r>
              <w:rPr>
                <w:sz w:val="22"/>
                <w:szCs w:val="22"/>
                <w:lang w:val="en-US"/>
              </w:rPr>
              <w:t>12</w:t>
            </w:r>
          </w:p>
        </w:tc>
        <w:tc>
          <w:tcPr>
            <w:tcW w:w="3821" w:type="dxa"/>
          </w:tcPr>
          <w:p w14:paraId="29D088A9" w14:textId="77777777" w:rsidR="002835D9" w:rsidRDefault="002835D9" w:rsidP="00A03E7B">
            <w:pPr>
              <w:rPr>
                <w:sz w:val="22"/>
                <w:szCs w:val="22"/>
                <w:lang w:val="en-US"/>
              </w:rPr>
            </w:pPr>
            <w:r>
              <w:rPr>
                <w:sz w:val="22"/>
                <w:szCs w:val="22"/>
                <w:lang w:val="en-US"/>
              </w:rPr>
              <w:t xml:space="preserve">Redundant </w:t>
            </w:r>
          </w:p>
        </w:tc>
      </w:tr>
      <w:tr w:rsidR="002835D9" w14:paraId="32574F6E" w14:textId="77777777" w:rsidTr="001C7493">
        <w:tc>
          <w:tcPr>
            <w:tcW w:w="8642" w:type="dxa"/>
          </w:tcPr>
          <w:p w14:paraId="5FCE3E1E" w14:textId="77777777" w:rsidR="002835D9" w:rsidRPr="00B4496F" w:rsidRDefault="002835D9" w:rsidP="00A03E7B">
            <w:pPr>
              <w:rPr>
                <w:b/>
                <w:sz w:val="22"/>
                <w:szCs w:val="22"/>
                <w:lang w:val="en-US"/>
              </w:rPr>
            </w:pPr>
            <w:r w:rsidRPr="00B4496F">
              <w:rPr>
                <w:b/>
                <w:sz w:val="22"/>
                <w:szCs w:val="22"/>
                <w:lang w:val="en-US"/>
              </w:rPr>
              <w:t>Reporting to SC</w:t>
            </w:r>
          </w:p>
        </w:tc>
        <w:tc>
          <w:tcPr>
            <w:tcW w:w="1418" w:type="dxa"/>
          </w:tcPr>
          <w:p w14:paraId="06320195" w14:textId="77777777" w:rsidR="002835D9" w:rsidRDefault="002835D9" w:rsidP="00A03E7B">
            <w:pPr>
              <w:rPr>
                <w:sz w:val="22"/>
                <w:szCs w:val="22"/>
                <w:lang w:val="en-US"/>
              </w:rPr>
            </w:pPr>
          </w:p>
        </w:tc>
        <w:tc>
          <w:tcPr>
            <w:tcW w:w="3821" w:type="dxa"/>
          </w:tcPr>
          <w:p w14:paraId="47736E32" w14:textId="77777777" w:rsidR="002835D9" w:rsidRDefault="002835D9" w:rsidP="00A03E7B">
            <w:pPr>
              <w:rPr>
                <w:sz w:val="22"/>
                <w:szCs w:val="22"/>
                <w:lang w:val="en-US"/>
              </w:rPr>
            </w:pPr>
          </w:p>
        </w:tc>
      </w:tr>
      <w:tr w:rsidR="002835D9" w14:paraId="308D6087" w14:textId="77777777" w:rsidTr="001C7493">
        <w:tc>
          <w:tcPr>
            <w:tcW w:w="8642" w:type="dxa"/>
          </w:tcPr>
          <w:p w14:paraId="5A8EEB94" w14:textId="77777777" w:rsidR="002835D9" w:rsidRPr="00C656B3" w:rsidRDefault="002835D9" w:rsidP="00A03E7B">
            <w:pPr>
              <w:rPr>
                <w:sz w:val="22"/>
                <w:szCs w:val="22"/>
                <w:lang w:val="en-US"/>
              </w:rPr>
            </w:pPr>
          </w:p>
        </w:tc>
        <w:tc>
          <w:tcPr>
            <w:tcW w:w="1418" w:type="dxa"/>
          </w:tcPr>
          <w:p w14:paraId="37F06495" w14:textId="77777777" w:rsidR="002835D9" w:rsidRPr="006A1C96" w:rsidRDefault="002835D9" w:rsidP="00A03E7B">
            <w:pPr>
              <w:rPr>
                <w:b/>
                <w:sz w:val="22"/>
                <w:szCs w:val="22"/>
                <w:lang w:val="en-US"/>
              </w:rPr>
            </w:pPr>
            <w:r w:rsidRPr="006A1C96">
              <w:rPr>
                <w:b/>
                <w:sz w:val="22"/>
                <w:szCs w:val="22"/>
                <w:lang w:val="en-US"/>
              </w:rPr>
              <w:t>XII</w:t>
            </w:r>
            <w:r w:rsidR="00015EAC">
              <w:rPr>
                <w:b/>
                <w:sz w:val="22"/>
                <w:szCs w:val="22"/>
                <w:lang w:val="en-US"/>
              </w:rPr>
              <w:t>.8</w:t>
            </w:r>
          </w:p>
        </w:tc>
        <w:tc>
          <w:tcPr>
            <w:tcW w:w="3821" w:type="dxa"/>
          </w:tcPr>
          <w:p w14:paraId="1C4F7D7A" w14:textId="77777777" w:rsidR="002835D9" w:rsidRDefault="002835D9" w:rsidP="00A03E7B">
            <w:pPr>
              <w:rPr>
                <w:sz w:val="22"/>
                <w:szCs w:val="22"/>
                <w:lang w:val="en-US"/>
              </w:rPr>
            </w:pPr>
          </w:p>
        </w:tc>
      </w:tr>
      <w:tr w:rsidR="002835D9" w:rsidRPr="00217036" w14:paraId="4D01B949" w14:textId="77777777" w:rsidTr="001C7493">
        <w:tc>
          <w:tcPr>
            <w:tcW w:w="8642" w:type="dxa"/>
          </w:tcPr>
          <w:p w14:paraId="3ABCDF27" w14:textId="77777777" w:rsidR="002835D9" w:rsidRPr="00B4496F" w:rsidRDefault="002835D9" w:rsidP="00A03E7B">
            <w:pPr>
              <w:rPr>
                <w:b/>
                <w:sz w:val="22"/>
                <w:szCs w:val="22"/>
                <w:lang w:val="en-US"/>
              </w:rPr>
            </w:pPr>
            <w:r w:rsidRPr="00C656B3">
              <w:rPr>
                <w:sz w:val="22"/>
                <w:szCs w:val="22"/>
                <w:lang w:val="en-US"/>
              </w:rPr>
              <w:t>INSTRUCTS all regional initiatives endorsed by the Convention to continue to submit to the Standing Committee annual reports on their progress and operations, and specifically on their success in fulfilling the Operational Guidelines, and to continue to submit annual plans according to the timetable and format adopted by the Standing Committee;</w:t>
            </w:r>
          </w:p>
        </w:tc>
        <w:tc>
          <w:tcPr>
            <w:tcW w:w="1418" w:type="dxa"/>
          </w:tcPr>
          <w:p w14:paraId="7AC9B946" w14:textId="77777777" w:rsidR="002835D9" w:rsidRPr="00B4496F" w:rsidRDefault="002835D9" w:rsidP="00A03E7B">
            <w:pPr>
              <w:rPr>
                <w:b/>
                <w:sz w:val="22"/>
                <w:szCs w:val="22"/>
                <w:lang w:val="en-US"/>
              </w:rPr>
            </w:pPr>
            <w:r w:rsidRPr="00C656B3">
              <w:rPr>
                <w:sz w:val="22"/>
                <w:szCs w:val="22"/>
                <w:lang w:val="en-US"/>
              </w:rPr>
              <w:t>11</w:t>
            </w:r>
          </w:p>
        </w:tc>
        <w:tc>
          <w:tcPr>
            <w:tcW w:w="3821" w:type="dxa"/>
          </w:tcPr>
          <w:p w14:paraId="27D5B807" w14:textId="77777777" w:rsidR="002835D9" w:rsidRDefault="002835D9" w:rsidP="00A03E7B">
            <w:pPr>
              <w:rPr>
                <w:sz w:val="22"/>
                <w:szCs w:val="22"/>
                <w:lang w:val="en-US"/>
              </w:rPr>
            </w:pPr>
            <w:r>
              <w:rPr>
                <w:sz w:val="22"/>
                <w:szCs w:val="22"/>
                <w:lang w:val="en-US"/>
              </w:rPr>
              <w:t>Reference to Operational Guidelines inconsistent with para 6 of XIII.9.</w:t>
            </w:r>
          </w:p>
        </w:tc>
      </w:tr>
      <w:tr w:rsidR="002835D9" w:rsidRPr="00217036" w14:paraId="1CE0F59E" w14:textId="77777777" w:rsidTr="001C7493">
        <w:tc>
          <w:tcPr>
            <w:tcW w:w="8642" w:type="dxa"/>
          </w:tcPr>
          <w:p w14:paraId="562E1011" w14:textId="77777777" w:rsidR="002835D9" w:rsidRPr="00C656B3" w:rsidRDefault="002835D9" w:rsidP="00A03E7B">
            <w:pPr>
              <w:rPr>
                <w:sz w:val="22"/>
                <w:szCs w:val="22"/>
                <w:lang w:val="en-US"/>
              </w:rPr>
            </w:pPr>
            <w:r w:rsidRPr="0077178B">
              <w:rPr>
                <w:sz w:val="22"/>
                <w:szCs w:val="22"/>
                <w:lang w:val="en-US"/>
              </w:rPr>
              <w:t>REQUESTS the regional initiatives to maintain active and regular contact with the Secretariat, to ensure that the global Ramsar guidelines are applied and that the strategic and operational objectives of regional initiatives are in full harmony with the Convention’s Strategic Plan, and INSTRUCTS the Secretariat to support and advise regional initiatives, according to its means, to reinforce their capacity and effectiveness;</w:t>
            </w:r>
          </w:p>
        </w:tc>
        <w:tc>
          <w:tcPr>
            <w:tcW w:w="1418" w:type="dxa"/>
          </w:tcPr>
          <w:p w14:paraId="402B4141" w14:textId="77777777" w:rsidR="002835D9" w:rsidRPr="00C656B3" w:rsidRDefault="002835D9" w:rsidP="00A03E7B">
            <w:pPr>
              <w:rPr>
                <w:sz w:val="22"/>
                <w:szCs w:val="22"/>
                <w:lang w:val="en-US"/>
              </w:rPr>
            </w:pPr>
            <w:r>
              <w:rPr>
                <w:sz w:val="22"/>
                <w:szCs w:val="22"/>
                <w:lang w:val="en-US"/>
              </w:rPr>
              <w:t>19</w:t>
            </w:r>
          </w:p>
        </w:tc>
        <w:tc>
          <w:tcPr>
            <w:tcW w:w="3821" w:type="dxa"/>
          </w:tcPr>
          <w:p w14:paraId="567335BA" w14:textId="77777777" w:rsidR="002835D9" w:rsidRDefault="002835D9" w:rsidP="00A03E7B">
            <w:pPr>
              <w:rPr>
                <w:sz w:val="22"/>
                <w:szCs w:val="22"/>
                <w:lang w:val="en-US"/>
              </w:rPr>
            </w:pPr>
            <w:r>
              <w:rPr>
                <w:sz w:val="22"/>
                <w:szCs w:val="22"/>
                <w:lang w:val="en-US"/>
              </w:rPr>
              <w:t xml:space="preserve">Clauses 1 and 2 inconsistent with para 21 of XIII.9. </w:t>
            </w:r>
          </w:p>
        </w:tc>
      </w:tr>
      <w:tr w:rsidR="002835D9" w14:paraId="6A2E05C0" w14:textId="77777777" w:rsidTr="001C7493">
        <w:tc>
          <w:tcPr>
            <w:tcW w:w="8642" w:type="dxa"/>
          </w:tcPr>
          <w:p w14:paraId="7D3B6817" w14:textId="77777777" w:rsidR="002835D9" w:rsidRPr="000D2FEB" w:rsidRDefault="002835D9" w:rsidP="00A03E7B">
            <w:pPr>
              <w:rPr>
                <w:sz w:val="22"/>
                <w:szCs w:val="22"/>
                <w:lang w:val="en-US"/>
              </w:rPr>
            </w:pPr>
          </w:p>
        </w:tc>
        <w:tc>
          <w:tcPr>
            <w:tcW w:w="1418" w:type="dxa"/>
          </w:tcPr>
          <w:p w14:paraId="6B15354F" w14:textId="77777777" w:rsidR="002835D9" w:rsidRPr="00B4496F" w:rsidRDefault="002835D9" w:rsidP="00A03E7B">
            <w:pPr>
              <w:rPr>
                <w:b/>
                <w:sz w:val="22"/>
                <w:szCs w:val="22"/>
                <w:lang w:val="en-US"/>
              </w:rPr>
            </w:pPr>
            <w:r w:rsidRPr="00B4496F">
              <w:rPr>
                <w:b/>
                <w:sz w:val="22"/>
                <w:szCs w:val="22"/>
                <w:lang w:val="en-US"/>
              </w:rPr>
              <w:t>XI</w:t>
            </w:r>
            <w:r w:rsidR="00015EAC">
              <w:rPr>
                <w:b/>
                <w:sz w:val="22"/>
                <w:szCs w:val="22"/>
                <w:lang w:val="en-US"/>
              </w:rPr>
              <w:t>.5</w:t>
            </w:r>
          </w:p>
        </w:tc>
        <w:tc>
          <w:tcPr>
            <w:tcW w:w="3821" w:type="dxa"/>
          </w:tcPr>
          <w:p w14:paraId="27AB1AC0" w14:textId="77777777" w:rsidR="002835D9" w:rsidRDefault="002835D9" w:rsidP="00A03E7B">
            <w:pPr>
              <w:rPr>
                <w:sz w:val="22"/>
                <w:szCs w:val="22"/>
                <w:lang w:val="en-US"/>
              </w:rPr>
            </w:pPr>
          </w:p>
        </w:tc>
      </w:tr>
      <w:tr w:rsidR="002835D9" w:rsidRPr="00217036" w14:paraId="681F96AD" w14:textId="77777777" w:rsidTr="001C7493">
        <w:tc>
          <w:tcPr>
            <w:tcW w:w="8642" w:type="dxa"/>
          </w:tcPr>
          <w:p w14:paraId="029F73F7" w14:textId="77777777" w:rsidR="002835D9" w:rsidRPr="000D2FEB" w:rsidRDefault="002835D9" w:rsidP="00A03E7B">
            <w:pPr>
              <w:rPr>
                <w:sz w:val="22"/>
                <w:szCs w:val="22"/>
                <w:lang w:val="en-US"/>
              </w:rPr>
            </w:pPr>
            <w:r w:rsidRPr="000D2FEB">
              <w:rPr>
                <w:sz w:val="22"/>
                <w:szCs w:val="22"/>
                <w:lang w:val="en-US"/>
              </w:rPr>
              <w:lastRenderedPageBreak/>
              <w:t>INSTRUCTS all initiatives approved by the Convention to submit to the Standing Committee annual reports on their progress and operations, and specifically on their success in fulfilling the Operational Guidelines, as well as to forward annual work and finance plans in the format adopted by the Standing Committee;</w:t>
            </w:r>
          </w:p>
        </w:tc>
        <w:tc>
          <w:tcPr>
            <w:tcW w:w="1418" w:type="dxa"/>
          </w:tcPr>
          <w:p w14:paraId="3A307CB5" w14:textId="77777777" w:rsidR="002835D9" w:rsidRDefault="002835D9" w:rsidP="00A03E7B">
            <w:pPr>
              <w:rPr>
                <w:sz w:val="22"/>
                <w:szCs w:val="22"/>
                <w:lang w:val="en-US"/>
              </w:rPr>
            </w:pPr>
            <w:r>
              <w:rPr>
                <w:sz w:val="22"/>
                <w:szCs w:val="22"/>
                <w:lang w:val="en-US"/>
              </w:rPr>
              <w:t>9</w:t>
            </w:r>
          </w:p>
        </w:tc>
        <w:tc>
          <w:tcPr>
            <w:tcW w:w="3821" w:type="dxa"/>
          </w:tcPr>
          <w:p w14:paraId="712D0B83" w14:textId="77777777" w:rsidR="002835D9" w:rsidRDefault="002835D9" w:rsidP="00A03E7B">
            <w:pPr>
              <w:rPr>
                <w:sz w:val="22"/>
                <w:szCs w:val="22"/>
                <w:lang w:val="en-US"/>
              </w:rPr>
            </w:pPr>
            <w:r>
              <w:rPr>
                <w:sz w:val="22"/>
                <w:szCs w:val="22"/>
                <w:lang w:val="en-US"/>
              </w:rPr>
              <w:t>Reference to Operational Guideline inconsistent with paras 6 and 8f</w:t>
            </w:r>
          </w:p>
        </w:tc>
      </w:tr>
      <w:tr w:rsidR="002835D9" w14:paraId="63E6AE9D" w14:textId="77777777" w:rsidTr="001C7493">
        <w:tc>
          <w:tcPr>
            <w:tcW w:w="8642" w:type="dxa"/>
          </w:tcPr>
          <w:p w14:paraId="1EE44EE1" w14:textId="77777777" w:rsidR="002835D9" w:rsidRPr="000D2FEB" w:rsidRDefault="002835D9" w:rsidP="00A03E7B">
            <w:pPr>
              <w:rPr>
                <w:sz w:val="22"/>
                <w:szCs w:val="22"/>
                <w:lang w:val="en-US"/>
              </w:rPr>
            </w:pPr>
          </w:p>
        </w:tc>
        <w:tc>
          <w:tcPr>
            <w:tcW w:w="1418" w:type="dxa"/>
          </w:tcPr>
          <w:p w14:paraId="37B2D406" w14:textId="77777777" w:rsidR="002835D9" w:rsidRPr="00881B8A" w:rsidRDefault="002835D9" w:rsidP="00A03E7B">
            <w:pPr>
              <w:rPr>
                <w:b/>
                <w:sz w:val="22"/>
                <w:szCs w:val="22"/>
                <w:lang w:val="en-US"/>
              </w:rPr>
            </w:pPr>
            <w:r w:rsidRPr="00881B8A">
              <w:rPr>
                <w:b/>
                <w:sz w:val="22"/>
                <w:szCs w:val="22"/>
                <w:lang w:val="en-US"/>
              </w:rPr>
              <w:t>X.6</w:t>
            </w:r>
          </w:p>
        </w:tc>
        <w:tc>
          <w:tcPr>
            <w:tcW w:w="3821" w:type="dxa"/>
          </w:tcPr>
          <w:p w14:paraId="627CAC31" w14:textId="77777777" w:rsidR="002835D9" w:rsidRDefault="002835D9" w:rsidP="00A03E7B">
            <w:pPr>
              <w:rPr>
                <w:sz w:val="22"/>
                <w:szCs w:val="22"/>
                <w:lang w:val="en-US"/>
              </w:rPr>
            </w:pPr>
          </w:p>
        </w:tc>
      </w:tr>
      <w:tr w:rsidR="002835D9" w:rsidRPr="00217036" w14:paraId="181B6B91" w14:textId="77777777" w:rsidTr="001C7493">
        <w:tc>
          <w:tcPr>
            <w:tcW w:w="8642" w:type="dxa"/>
          </w:tcPr>
          <w:p w14:paraId="23C59C92" w14:textId="77777777" w:rsidR="002835D9" w:rsidRPr="000D2FEB" w:rsidRDefault="002835D9" w:rsidP="00A03E7B">
            <w:pPr>
              <w:rPr>
                <w:sz w:val="22"/>
                <w:szCs w:val="22"/>
                <w:lang w:val="en-US"/>
              </w:rPr>
            </w:pPr>
            <w:r w:rsidRPr="000D2FEB">
              <w:rPr>
                <w:sz w:val="22"/>
                <w:szCs w:val="22"/>
                <w:lang w:val="en-US"/>
              </w:rPr>
              <w:t>INSTRUCTS all initiatives under the present Resolution, and particularly those funded from the core budget, to submit to the Standing Committee annual reports on progress and operations of the initiatives concerned, and specifically on their success in fulfilling the Operational Guidelines;</w:t>
            </w:r>
          </w:p>
        </w:tc>
        <w:tc>
          <w:tcPr>
            <w:tcW w:w="1418" w:type="dxa"/>
          </w:tcPr>
          <w:p w14:paraId="6F145737" w14:textId="77777777" w:rsidR="002835D9" w:rsidRDefault="002835D9" w:rsidP="00A03E7B">
            <w:pPr>
              <w:rPr>
                <w:sz w:val="22"/>
                <w:szCs w:val="22"/>
                <w:lang w:val="en-US"/>
              </w:rPr>
            </w:pPr>
            <w:r>
              <w:rPr>
                <w:sz w:val="22"/>
                <w:szCs w:val="22"/>
                <w:lang w:val="en-US"/>
              </w:rPr>
              <w:t>12</w:t>
            </w:r>
          </w:p>
        </w:tc>
        <w:tc>
          <w:tcPr>
            <w:tcW w:w="3821" w:type="dxa"/>
          </w:tcPr>
          <w:p w14:paraId="7A62D270" w14:textId="77777777" w:rsidR="002835D9" w:rsidRDefault="002835D9" w:rsidP="00A03E7B">
            <w:pPr>
              <w:rPr>
                <w:sz w:val="22"/>
                <w:szCs w:val="22"/>
                <w:lang w:val="en-US"/>
              </w:rPr>
            </w:pPr>
            <w:r>
              <w:rPr>
                <w:sz w:val="22"/>
                <w:szCs w:val="22"/>
                <w:lang w:val="en-US"/>
              </w:rPr>
              <w:t xml:space="preserve">Redundant </w:t>
            </w:r>
          </w:p>
          <w:p w14:paraId="3C2FFD76" w14:textId="77777777" w:rsidR="002835D9" w:rsidRDefault="002835D9" w:rsidP="00A03E7B">
            <w:pPr>
              <w:rPr>
                <w:sz w:val="22"/>
                <w:szCs w:val="22"/>
                <w:lang w:val="en-US"/>
              </w:rPr>
            </w:pPr>
            <w:r>
              <w:rPr>
                <w:sz w:val="22"/>
                <w:szCs w:val="22"/>
                <w:lang w:val="en-US"/>
              </w:rPr>
              <w:t>Inconsistent with paras 6, 8 of XIII.9.</w:t>
            </w:r>
          </w:p>
        </w:tc>
      </w:tr>
      <w:tr w:rsidR="002835D9" w14:paraId="4319DA15" w14:textId="77777777" w:rsidTr="001C7493">
        <w:tc>
          <w:tcPr>
            <w:tcW w:w="8642" w:type="dxa"/>
          </w:tcPr>
          <w:p w14:paraId="6EFA4907" w14:textId="77777777" w:rsidR="002835D9" w:rsidRPr="000D2FEB" w:rsidRDefault="002835D9" w:rsidP="00A03E7B">
            <w:pPr>
              <w:rPr>
                <w:sz w:val="22"/>
                <w:szCs w:val="22"/>
                <w:lang w:val="en-US"/>
              </w:rPr>
            </w:pPr>
            <w:r w:rsidRPr="000D2FEB">
              <w:rPr>
                <w:sz w:val="22"/>
                <w:szCs w:val="22"/>
                <w:lang w:val="en-US"/>
              </w:rPr>
              <w:t>INSTRUCTS the Secretariat to develop for approval by the Standing Committee the standard formats for annual, financial, and work plan reporting required from the coordinating bodies or mechanisms of regional initiatives under the annexed Operational Guidelines 2009-2012; and</w:t>
            </w:r>
          </w:p>
        </w:tc>
        <w:tc>
          <w:tcPr>
            <w:tcW w:w="1418" w:type="dxa"/>
          </w:tcPr>
          <w:p w14:paraId="12D089F5" w14:textId="77777777" w:rsidR="002835D9" w:rsidRDefault="002835D9" w:rsidP="00A03E7B">
            <w:pPr>
              <w:rPr>
                <w:sz w:val="22"/>
                <w:szCs w:val="22"/>
                <w:lang w:val="en-US"/>
              </w:rPr>
            </w:pPr>
            <w:r>
              <w:rPr>
                <w:sz w:val="22"/>
                <w:szCs w:val="22"/>
                <w:lang w:val="en-US"/>
              </w:rPr>
              <w:t>16</w:t>
            </w:r>
          </w:p>
        </w:tc>
        <w:tc>
          <w:tcPr>
            <w:tcW w:w="3821" w:type="dxa"/>
          </w:tcPr>
          <w:p w14:paraId="65492B95" w14:textId="77777777" w:rsidR="002835D9" w:rsidRDefault="002835D9" w:rsidP="00A03E7B">
            <w:pPr>
              <w:rPr>
                <w:sz w:val="22"/>
                <w:szCs w:val="22"/>
                <w:lang w:val="en-US"/>
              </w:rPr>
            </w:pPr>
            <w:r>
              <w:rPr>
                <w:sz w:val="22"/>
                <w:szCs w:val="22"/>
                <w:lang w:val="en-US"/>
              </w:rPr>
              <w:t xml:space="preserve">Redundant </w:t>
            </w:r>
          </w:p>
        </w:tc>
      </w:tr>
      <w:tr w:rsidR="002835D9" w:rsidRPr="004D6F22" w14:paraId="2CCFA6BE" w14:textId="77777777" w:rsidTr="001C7493">
        <w:tc>
          <w:tcPr>
            <w:tcW w:w="8642" w:type="dxa"/>
          </w:tcPr>
          <w:p w14:paraId="51D02122" w14:textId="77777777" w:rsidR="002835D9" w:rsidRPr="004D6F22" w:rsidRDefault="002835D9" w:rsidP="00A03E7B">
            <w:pPr>
              <w:rPr>
                <w:sz w:val="22"/>
                <w:szCs w:val="22"/>
                <w:lang w:val="en-US"/>
              </w:rPr>
            </w:pPr>
          </w:p>
        </w:tc>
        <w:tc>
          <w:tcPr>
            <w:tcW w:w="1418" w:type="dxa"/>
          </w:tcPr>
          <w:p w14:paraId="3893F676" w14:textId="77777777" w:rsidR="002835D9" w:rsidRPr="004D6F22" w:rsidRDefault="002835D9" w:rsidP="00A03E7B">
            <w:pPr>
              <w:rPr>
                <w:b/>
                <w:sz w:val="22"/>
                <w:szCs w:val="22"/>
                <w:lang w:val="en-US"/>
              </w:rPr>
            </w:pPr>
            <w:r w:rsidRPr="004D6F22">
              <w:rPr>
                <w:b/>
                <w:sz w:val="22"/>
                <w:szCs w:val="22"/>
                <w:lang w:val="en-US"/>
              </w:rPr>
              <w:t>IX.7</w:t>
            </w:r>
          </w:p>
        </w:tc>
        <w:tc>
          <w:tcPr>
            <w:tcW w:w="3821" w:type="dxa"/>
          </w:tcPr>
          <w:p w14:paraId="1F62CFEE" w14:textId="77777777" w:rsidR="002835D9" w:rsidRDefault="002835D9" w:rsidP="00A03E7B">
            <w:pPr>
              <w:rPr>
                <w:sz w:val="22"/>
                <w:szCs w:val="22"/>
                <w:lang w:val="en-US"/>
              </w:rPr>
            </w:pPr>
          </w:p>
        </w:tc>
      </w:tr>
      <w:tr w:rsidR="002835D9" w:rsidRPr="004D6F22" w14:paraId="57EF0316" w14:textId="77777777" w:rsidTr="001C7493">
        <w:tc>
          <w:tcPr>
            <w:tcW w:w="8642" w:type="dxa"/>
          </w:tcPr>
          <w:p w14:paraId="353C933A" w14:textId="77777777" w:rsidR="002835D9" w:rsidRPr="000D2FEB" w:rsidRDefault="002835D9" w:rsidP="00A03E7B">
            <w:pPr>
              <w:rPr>
                <w:sz w:val="22"/>
                <w:szCs w:val="22"/>
                <w:lang w:val="en-US"/>
              </w:rPr>
            </w:pPr>
            <w:r w:rsidRPr="004D6F22">
              <w:rPr>
                <w:sz w:val="22"/>
                <w:szCs w:val="22"/>
                <w:lang w:val="en-US"/>
              </w:rPr>
              <w:t>INSTRUCTS all initiatives under the present Resolution, and particularly those funded from the core budget, to submit to the Standing Com</w:t>
            </w:r>
            <w:r>
              <w:rPr>
                <w:sz w:val="22"/>
                <w:szCs w:val="22"/>
                <w:lang w:val="en-US"/>
              </w:rPr>
              <w:t xml:space="preserve">mittee a report on progress and </w:t>
            </w:r>
            <w:r w:rsidRPr="004D6F22">
              <w:rPr>
                <w:sz w:val="22"/>
                <w:szCs w:val="22"/>
                <w:lang w:val="en-US"/>
              </w:rPr>
              <w:t>operations of the initiatives concerned, and specifically their success in complying with the Guidelines contained in Annex I to Resolution VIII.30 and actions taken to replace Ramsar funds with alternative sustainable funds. The Standing Committee and Secretariat, particularly in relation to those initiatives funded by the core budget, should review their success and submit a summary report for consideration at COP10;</w:t>
            </w:r>
          </w:p>
        </w:tc>
        <w:tc>
          <w:tcPr>
            <w:tcW w:w="1418" w:type="dxa"/>
          </w:tcPr>
          <w:p w14:paraId="6FE8E77E" w14:textId="77777777" w:rsidR="002835D9" w:rsidRDefault="002835D9" w:rsidP="00A03E7B">
            <w:pPr>
              <w:rPr>
                <w:sz w:val="22"/>
                <w:szCs w:val="22"/>
                <w:lang w:val="en-US"/>
              </w:rPr>
            </w:pPr>
            <w:r>
              <w:rPr>
                <w:sz w:val="22"/>
                <w:szCs w:val="22"/>
                <w:lang w:val="en-US"/>
              </w:rPr>
              <w:t>14</w:t>
            </w:r>
          </w:p>
        </w:tc>
        <w:tc>
          <w:tcPr>
            <w:tcW w:w="3821" w:type="dxa"/>
          </w:tcPr>
          <w:p w14:paraId="5505BB4B" w14:textId="77777777" w:rsidR="002835D9" w:rsidRDefault="002835D9" w:rsidP="00A03E7B">
            <w:pPr>
              <w:rPr>
                <w:sz w:val="22"/>
                <w:szCs w:val="22"/>
                <w:lang w:val="en-US"/>
              </w:rPr>
            </w:pPr>
          </w:p>
        </w:tc>
      </w:tr>
      <w:tr w:rsidR="002835D9" w14:paraId="6A8979E6" w14:textId="77777777" w:rsidTr="001C7493">
        <w:tc>
          <w:tcPr>
            <w:tcW w:w="8642" w:type="dxa"/>
          </w:tcPr>
          <w:p w14:paraId="075650D7" w14:textId="77777777" w:rsidR="002835D9" w:rsidRDefault="002835D9" w:rsidP="00A03E7B">
            <w:pPr>
              <w:rPr>
                <w:b/>
                <w:sz w:val="22"/>
                <w:szCs w:val="22"/>
                <w:lang w:val="en-US"/>
              </w:rPr>
            </w:pPr>
            <w:r>
              <w:rPr>
                <w:b/>
                <w:sz w:val="22"/>
                <w:szCs w:val="22"/>
                <w:lang w:val="en-US"/>
              </w:rPr>
              <w:t xml:space="preserve">Operational Guidelines  </w:t>
            </w:r>
          </w:p>
        </w:tc>
        <w:tc>
          <w:tcPr>
            <w:tcW w:w="1418" w:type="dxa"/>
          </w:tcPr>
          <w:p w14:paraId="15680686" w14:textId="77777777" w:rsidR="002835D9" w:rsidRPr="00566747" w:rsidRDefault="002835D9" w:rsidP="00A03E7B">
            <w:pPr>
              <w:rPr>
                <w:b/>
                <w:sz w:val="22"/>
                <w:szCs w:val="22"/>
                <w:lang w:val="en-US"/>
              </w:rPr>
            </w:pPr>
          </w:p>
        </w:tc>
        <w:tc>
          <w:tcPr>
            <w:tcW w:w="3821" w:type="dxa"/>
          </w:tcPr>
          <w:p w14:paraId="52CF01EB" w14:textId="77777777" w:rsidR="002835D9" w:rsidRDefault="002835D9" w:rsidP="00A03E7B">
            <w:pPr>
              <w:rPr>
                <w:sz w:val="22"/>
                <w:szCs w:val="22"/>
                <w:lang w:val="en-US"/>
              </w:rPr>
            </w:pPr>
          </w:p>
        </w:tc>
      </w:tr>
      <w:tr w:rsidR="002835D9" w14:paraId="61A24058" w14:textId="77777777" w:rsidTr="001C7493">
        <w:tc>
          <w:tcPr>
            <w:tcW w:w="8642" w:type="dxa"/>
          </w:tcPr>
          <w:p w14:paraId="37164B1D" w14:textId="77777777" w:rsidR="002835D9" w:rsidRPr="00D20D7F" w:rsidRDefault="002835D9" w:rsidP="00A03E7B">
            <w:pPr>
              <w:rPr>
                <w:sz w:val="22"/>
                <w:szCs w:val="22"/>
                <w:lang w:val="en-US"/>
              </w:rPr>
            </w:pPr>
          </w:p>
        </w:tc>
        <w:tc>
          <w:tcPr>
            <w:tcW w:w="1418" w:type="dxa"/>
          </w:tcPr>
          <w:p w14:paraId="6D4C7A37" w14:textId="77777777" w:rsidR="002835D9" w:rsidRPr="007D2147" w:rsidRDefault="002835D9" w:rsidP="00A03E7B">
            <w:pPr>
              <w:rPr>
                <w:b/>
                <w:sz w:val="22"/>
                <w:szCs w:val="22"/>
                <w:lang w:val="en-US"/>
              </w:rPr>
            </w:pPr>
            <w:r w:rsidRPr="007D2147">
              <w:rPr>
                <w:b/>
                <w:sz w:val="22"/>
                <w:szCs w:val="22"/>
                <w:lang w:val="en-US"/>
              </w:rPr>
              <w:t>XII</w:t>
            </w:r>
            <w:r w:rsidR="00015EAC">
              <w:rPr>
                <w:b/>
                <w:sz w:val="22"/>
                <w:szCs w:val="22"/>
                <w:lang w:val="en-US"/>
              </w:rPr>
              <w:t>.8</w:t>
            </w:r>
          </w:p>
        </w:tc>
        <w:tc>
          <w:tcPr>
            <w:tcW w:w="3821" w:type="dxa"/>
          </w:tcPr>
          <w:p w14:paraId="29F9724A" w14:textId="77777777" w:rsidR="002835D9" w:rsidRDefault="002835D9" w:rsidP="00A03E7B">
            <w:pPr>
              <w:rPr>
                <w:sz w:val="22"/>
                <w:szCs w:val="22"/>
                <w:lang w:val="en-US"/>
              </w:rPr>
            </w:pPr>
          </w:p>
        </w:tc>
      </w:tr>
      <w:tr w:rsidR="002835D9" w14:paraId="16D8ACD9" w14:textId="77777777" w:rsidTr="001C7493">
        <w:tc>
          <w:tcPr>
            <w:tcW w:w="8642" w:type="dxa"/>
          </w:tcPr>
          <w:p w14:paraId="288B6A67" w14:textId="77777777" w:rsidR="002835D9" w:rsidRPr="00D20D7F" w:rsidRDefault="002835D9" w:rsidP="00A03E7B">
            <w:pPr>
              <w:rPr>
                <w:sz w:val="22"/>
                <w:szCs w:val="22"/>
                <w:lang w:val="en-US"/>
              </w:rPr>
            </w:pPr>
            <w:r w:rsidRPr="00D20D7F">
              <w:rPr>
                <w:sz w:val="22"/>
                <w:szCs w:val="22"/>
                <w:lang w:val="en-US"/>
              </w:rPr>
              <w:t>INSTRUCTS the Standing Committee to undertake a review of the Operational Guidelines for regional initiatives to support the implementation of the Convention, as adopted for 2013- 2015 through Standing Committee Decision SC46-28 and published on the Ramsar website, taking into account issues, among others, of governance, capacity, fundraising, and programmatic approach in alignment with the Ramsar Strategic Plan, and adopt the necessary amendments no later than the 52nd meeting of the Standing Committee (SC52);</w:t>
            </w:r>
          </w:p>
        </w:tc>
        <w:tc>
          <w:tcPr>
            <w:tcW w:w="1418" w:type="dxa"/>
          </w:tcPr>
          <w:p w14:paraId="077DC39E" w14:textId="77777777" w:rsidR="002835D9" w:rsidRPr="00D20D7F" w:rsidRDefault="002835D9" w:rsidP="00A03E7B">
            <w:pPr>
              <w:rPr>
                <w:sz w:val="22"/>
                <w:szCs w:val="22"/>
                <w:lang w:val="en-US"/>
              </w:rPr>
            </w:pPr>
            <w:r w:rsidRPr="00D20D7F">
              <w:rPr>
                <w:sz w:val="22"/>
                <w:szCs w:val="22"/>
                <w:lang w:val="en-US"/>
              </w:rPr>
              <w:t>9</w:t>
            </w:r>
          </w:p>
        </w:tc>
        <w:tc>
          <w:tcPr>
            <w:tcW w:w="3821" w:type="dxa"/>
          </w:tcPr>
          <w:p w14:paraId="7EC641D6" w14:textId="77777777" w:rsidR="002835D9" w:rsidRDefault="002835D9" w:rsidP="00A03E7B">
            <w:pPr>
              <w:rPr>
                <w:sz w:val="22"/>
                <w:szCs w:val="22"/>
                <w:lang w:val="en-US"/>
              </w:rPr>
            </w:pPr>
            <w:r>
              <w:rPr>
                <w:sz w:val="22"/>
                <w:szCs w:val="22"/>
                <w:lang w:val="en-US"/>
              </w:rPr>
              <w:t xml:space="preserve">Redundant </w:t>
            </w:r>
          </w:p>
        </w:tc>
      </w:tr>
      <w:tr w:rsidR="002835D9" w14:paraId="46934237" w14:textId="77777777" w:rsidTr="001C7493">
        <w:tc>
          <w:tcPr>
            <w:tcW w:w="8642" w:type="dxa"/>
          </w:tcPr>
          <w:p w14:paraId="116BCF49" w14:textId="77777777" w:rsidR="002835D9" w:rsidRPr="00C656B3" w:rsidRDefault="002835D9" w:rsidP="00A03E7B">
            <w:pPr>
              <w:rPr>
                <w:sz w:val="22"/>
                <w:szCs w:val="22"/>
                <w:lang w:val="en-US"/>
              </w:rPr>
            </w:pPr>
            <w:r w:rsidRPr="00C656B3">
              <w:rPr>
                <w:sz w:val="22"/>
                <w:szCs w:val="22"/>
                <w:lang w:val="en-US"/>
              </w:rPr>
              <w:t>APPROVES the validity and use of the Operational Guidelines for regional initiatives, as adopted for 2013-2015, for the period 2016-2018, until the amendments requested are adopted by the Standing Committee;</w:t>
            </w:r>
          </w:p>
        </w:tc>
        <w:tc>
          <w:tcPr>
            <w:tcW w:w="1418" w:type="dxa"/>
          </w:tcPr>
          <w:p w14:paraId="6FFBDDD0" w14:textId="77777777" w:rsidR="002835D9" w:rsidRPr="00C656B3" w:rsidRDefault="002835D9" w:rsidP="00A03E7B">
            <w:pPr>
              <w:rPr>
                <w:sz w:val="22"/>
                <w:szCs w:val="22"/>
                <w:lang w:val="en-US"/>
              </w:rPr>
            </w:pPr>
            <w:r w:rsidRPr="00C656B3">
              <w:rPr>
                <w:sz w:val="22"/>
                <w:szCs w:val="22"/>
                <w:lang w:val="en-US"/>
              </w:rPr>
              <w:t>10</w:t>
            </w:r>
          </w:p>
        </w:tc>
        <w:tc>
          <w:tcPr>
            <w:tcW w:w="3821" w:type="dxa"/>
          </w:tcPr>
          <w:p w14:paraId="2C795A8B" w14:textId="77777777" w:rsidR="002835D9" w:rsidRDefault="002835D9" w:rsidP="00A03E7B">
            <w:pPr>
              <w:rPr>
                <w:sz w:val="22"/>
                <w:szCs w:val="22"/>
                <w:lang w:val="en-US"/>
              </w:rPr>
            </w:pPr>
            <w:r>
              <w:rPr>
                <w:sz w:val="22"/>
                <w:szCs w:val="22"/>
                <w:lang w:val="en-US"/>
              </w:rPr>
              <w:t xml:space="preserve">Redundant </w:t>
            </w:r>
          </w:p>
        </w:tc>
      </w:tr>
      <w:tr w:rsidR="002835D9" w14:paraId="67965CB8" w14:textId="77777777" w:rsidTr="001C7493">
        <w:tc>
          <w:tcPr>
            <w:tcW w:w="8642" w:type="dxa"/>
          </w:tcPr>
          <w:p w14:paraId="1A6008E8" w14:textId="77777777" w:rsidR="002835D9" w:rsidRPr="00361480" w:rsidRDefault="002835D9" w:rsidP="00A03E7B">
            <w:pPr>
              <w:rPr>
                <w:sz w:val="22"/>
                <w:szCs w:val="22"/>
                <w:lang w:val="en-US"/>
              </w:rPr>
            </w:pPr>
          </w:p>
        </w:tc>
        <w:tc>
          <w:tcPr>
            <w:tcW w:w="1418" w:type="dxa"/>
          </w:tcPr>
          <w:p w14:paraId="71426659" w14:textId="77777777" w:rsidR="002835D9" w:rsidRPr="00F419DD" w:rsidRDefault="002835D9" w:rsidP="00A03E7B">
            <w:pPr>
              <w:rPr>
                <w:b/>
                <w:sz w:val="22"/>
                <w:szCs w:val="22"/>
                <w:lang w:val="en-US"/>
              </w:rPr>
            </w:pPr>
            <w:r w:rsidRPr="00F419DD">
              <w:rPr>
                <w:b/>
                <w:sz w:val="22"/>
                <w:szCs w:val="22"/>
                <w:lang w:val="en-US"/>
              </w:rPr>
              <w:t>X.6</w:t>
            </w:r>
          </w:p>
        </w:tc>
        <w:tc>
          <w:tcPr>
            <w:tcW w:w="3821" w:type="dxa"/>
          </w:tcPr>
          <w:p w14:paraId="1B5D5BC5" w14:textId="77777777" w:rsidR="002835D9" w:rsidRDefault="002835D9" w:rsidP="00A03E7B">
            <w:pPr>
              <w:rPr>
                <w:sz w:val="22"/>
                <w:szCs w:val="22"/>
                <w:lang w:val="en-US"/>
              </w:rPr>
            </w:pPr>
          </w:p>
        </w:tc>
      </w:tr>
      <w:tr w:rsidR="002835D9" w14:paraId="5D49BE85" w14:textId="77777777" w:rsidTr="001C7493">
        <w:tc>
          <w:tcPr>
            <w:tcW w:w="8642" w:type="dxa"/>
          </w:tcPr>
          <w:p w14:paraId="0E6FFBFA" w14:textId="77777777" w:rsidR="002835D9" w:rsidRPr="00C656B3" w:rsidRDefault="002835D9" w:rsidP="00A03E7B">
            <w:pPr>
              <w:rPr>
                <w:sz w:val="22"/>
                <w:szCs w:val="22"/>
                <w:lang w:val="en-US"/>
              </w:rPr>
            </w:pPr>
            <w:r w:rsidRPr="00361480">
              <w:rPr>
                <w:sz w:val="22"/>
                <w:szCs w:val="22"/>
                <w:lang w:val="en-US"/>
              </w:rPr>
              <w:lastRenderedPageBreak/>
              <w:t>ADOPTS the annexed Operational Guidelines for regional initiatives to support the implementation of the Convention, which shall serve as a reference to assess the operation of regional initiatives and their success – the Operational Guidelines are based upon, and they replace, the guidance for the development of proposals for regional initiatives adopted by COP8 (Annex I to Resolution VIII.30), without prejudice to Regional Initiatives already approved or announced by Contracting Parties in previous COPs;</w:t>
            </w:r>
          </w:p>
        </w:tc>
        <w:tc>
          <w:tcPr>
            <w:tcW w:w="1418" w:type="dxa"/>
          </w:tcPr>
          <w:p w14:paraId="79226655" w14:textId="77777777" w:rsidR="002835D9" w:rsidRPr="00C656B3" w:rsidRDefault="002835D9" w:rsidP="00A03E7B">
            <w:pPr>
              <w:rPr>
                <w:sz w:val="22"/>
                <w:szCs w:val="22"/>
                <w:lang w:val="en-US"/>
              </w:rPr>
            </w:pPr>
            <w:r>
              <w:rPr>
                <w:sz w:val="22"/>
                <w:szCs w:val="22"/>
                <w:lang w:val="en-US"/>
              </w:rPr>
              <w:t>8</w:t>
            </w:r>
          </w:p>
        </w:tc>
        <w:tc>
          <w:tcPr>
            <w:tcW w:w="3821" w:type="dxa"/>
          </w:tcPr>
          <w:p w14:paraId="37BCB3C8" w14:textId="77777777" w:rsidR="002835D9" w:rsidRDefault="002835D9" w:rsidP="00A03E7B">
            <w:pPr>
              <w:rPr>
                <w:sz w:val="22"/>
                <w:szCs w:val="22"/>
                <w:lang w:val="en-US"/>
              </w:rPr>
            </w:pPr>
            <w:r>
              <w:rPr>
                <w:sz w:val="22"/>
                <w:szCs w:val="22"/>
                <w:lang w:val="en-US"/>
              </w:rPr>
              <w:t xml:space="preserve">Redundant  </w:t>
            </w:r>
          </w:p>
        </w:tc>
      </w:tr>
      <w:tr w:rsidR="002835D9" w14:paraId="0554FB6B" w14:textId="77777777" w:rsidTr="001C7493">
        <w:tc>
          <w:tcPr>
            <w:tcW w:w="8642" w:type="dxa"/>
          </w:tcPr>
          <w:p w14:paraId="711EDD5D" w14:textId="77777777" w:rsidR="002835D9" w:rsidRPr="00C656B3" w:rsidRDefault="002835D9" w:rsidP="00A03E7B">
            <w:pPr>
              <w:rPr>
                <w:sz w:val="22"/>
                <w:szCs w:val="22"/>
                <w:lang w:val="en-US"/>
              </w:rPr>
            </w:pPr>
          </w:p>
        </w:tc>
        <w:tc>
          <w:tcPr>
            <w:tcW w:w="1418" w:type="dxa"/>
          </w:tcPr>
          <w:p w14:paraId="481F2BF3" w14:textId="77777777" w:rsidR="002835D9" w:rsidRPr="005F3DAA" w:rsidRDefault="002835D9" w:rsidP="00A03E7B">
            <w:pPr>
              <w:rPr>
                <w:b/>
                <w:sz w:val="22"/>
                <w:szCs w:val="22"/>
                <w:lang w:val="en-US"/>
              </w:rPr>
            </w:pPr>
            <w:r w:rsidRPr="005F3DAA">
              <w:rPr>
                <w:b/>
                <w:sz w:val="22"/>
                <w:szCs w:val="22"/>
                <w:lang w:val="en-US"/>
              </w:rPr>
              <w:t>XI</w:t>
            </w:r>
            <w:r w:rsidR="00015EAC">
              <w:rPr>
                <w:b/>
                <w:sz w:val="22"/>
                <w:szCs w:val="22"/>
                <w:lang w:val="en-US"/>
              </w:rPr>
              <w:t>.5</w:t>
            </w:r>
          </w:p>
        </w:tc>
        <w:tc>
          <w:tcPr>
            <w:tcW w:w="3821" w:type="dxa"/>
          </w:tcPr>
          <w:p w14:paraId="6EE5EA28" w14:textId="77777777" w:rsidR="002835D9" w:rsidRDefault="002835D9" w:rsidP="00A03E7B">
            <w:pPr>
              <w:rPr>
                <w:sz w:val="22"/>
                <w:szCs w:val="22"/>
                <w:lang w:val="en-US"/>
              </w:rPr>
            </w:pPr>
          </w:p>
        </w:tc>
      </w:tr>
      <w:tr w:rsidR="002835D9" w14:paraId="610324B1" w14:textId="77777777" w:rsidTr="001C7493">
        <w:tc>
          <w:tcPr>
            <w:tcW w:w="8642" w:type="dxa"/>
          </w:tcPr>
          <w:p w14:paraId="283DE727" w14:textId="77777777" w:rsidR="002835D9" w:rsidRPr="00AE76AE" w:rsidRDefault="002835D9" w:rsidP="00A03E7B">
            <w:pPr>
              <w:pStyle w:val="BodyText"/>
              <w:ind w:left="0" w:right="-42" w:firstLine="0"/>
            </w:pPr>
            <w:r w:rsidRPr="00AE76AE">
              <w:t>APPROVES the continued validity and use of the Operational Guidelines for Regional Initiatives to support the implementation of the Convention, as adopted for 2009-2012 and annexed to Resolution X.6, for the period 2013 to 2015;</w:t>
            </w:r>
          </w:p>
          <w:p w14:paraId="69D98E3E" w14:textId="77777777" w:rsidR="002835D9" w:rsidRPr="000D2FEB" w:rsidRDefault="002835D9" w:rsidP="00A03E7B">
            <w:pPr>
              <w:pStyle w:val="BodyText"/>
              <w:ind w:left="0" w:right="-42" w:firstLine="0"/>
              <w:rPr>
                <w:rFonts w:asciiTheme="minorHAnsi" w:hAnsiTheme="minorHAnsi"/>
              </w:rPr>
            </w:pPr>
          </w:p>
        </w:tc>
        <w:tc>
          <w:tcPr>
            <w:tcW w:w="1418" w:type="dxa"/>
          </w:tcPr>
          <w:p w14:paraId="5A32E0E0" w14:textId="77777777" w:rsidR="002835D9" w:rsidRPr="00C656B3" w:rsidRDefault="002835D9" w:rsidP="00A03E7B">
            <w:pPr>
              <w:rPr>
                <w:sz w:val="22"/>
                <w:szCs w:val="22"/>
                <w:lang w:val="en-US"/>
              </w:rPr>
            </w:pPr>
            <w:r>
              <w:rPr>
                <w:sz w:val="22"/>
                <w:szCs w:val="22"/>
                <w:lang w:val="en-US"/>
              </w:rPr>
              <w:t>8</w:t>
            </w:r>
          </w:p>
        </w:tc>
        <w:tc>
          <w:tcPr>
            <w:tcW w:w="3821" w:type="dxa"/>
          </w:tcPr>
          <w:p w14:paraId="6CE9D0FB" w14:textId="77777777" w:rsidR="002835D9" w:rsidRDefault="002835D9" w:rsidP="00A03E7B">
            <w:pPr>
              <w:rPr>
                <w:sz w:val="22"/>
                <w:szCs w:val="22"/>
                <w:lang w:val="en-US"/>
              </w:rPr>
            </w:pPr>
            <w:r>
              <w:rPr>
                <w:sz w:val="22"/>
                <w:szCs w:val="22"/>
                <w:lang w:val="en-US"/>
              </w:rPr>
              <w:t xml:space="preserve">Redundant </w:t>
            </w:r>
          </w:p>
        </w:tc>
      </w:tr>
      <w:tr w:rsidR="002835D9" w14:paraId="4379EAEC" w14:textId="77777777" w:rsidTr="001C7493">
        <w:tc>
          <w:tcPr>
            <w:tcW w:w="8642" w:type="dxa"/>
          </w:tcPr>
          <w:p w14:paraId="50A38FB6" w14:textId="77777777" w:rsidR="002835D9" w:rsidRPr="000D2FEB" w:rsidRDefault="002835D9" w:rsidP="00A03E7B">
            <w:pPr>
              <w:pStyle w:val="BodyText"/>
              <w:ind w:left="0" w:right="-42" w:firstLine="0"/>
              <w:rPr>
                <w:rFonts w:asciiTheme="minorHAnsi" w:hAnsiTheme="minorHAnsi"/>
              </w:rPr>
            </w:pPr>
            <w:r w:rsidRPr="005F3DAA">
              <w:t>INSTRUCTS the Standing Committee to revise the guidelines on Regional Initiatives in such a manner that a precise evaluation of their activities and their administrative and financial management and long-term sustainability is possible and to use these new guidelines to determine the level of support (financial or otherwise) in the coming triennium;</w:t>
            </w:r>
          </w:p>
        </w:tc>
        <w:tc>
          <w:tcPr>
            <w:tcW w:w="1418" w:type="dxa"/>
          </w:tcPr>
          <w:p w14:paraId="2DCD2B29" w14:textId="77777777" w:rsidR="002835D9" w:rsidRPr="00C656B3" w:rsidRDefault="002835D9" w:rsidP="00A03E7B">
            <w:pPr>
              <w:rPr>
                <w:sz w:val="22"/>
                <w:szCs w:val="22"/>
                <w:lang w:val="en-US"/>
              </w:rPr>
            </w:pPr>
            <w:r>
              <w:rPr>
                <w:sz w:val="22"/>
                <w:szCs w:val="22"/>
                <w:lang w:val="en-US"/>
              </w:rPr>
              <w:t>11</w:t>
            </w:r>
          </w:p>
        </w:tc>
        <w:tc>
          <w:tcPr>
            <w:tcW w:w="3821" w:type="dxa"/>
          </w:tcPr>
          <w:p w14:paraId="32FD88E8" w14:textId="77777777" w:rsidR="002835D9" w:rsidRDefault="002835D9" w:rsidP="00A03E7B">
            <w:pPr>
              <w:rPr>
                <w:sz w:val="22"/>
                <w:szCs w:val="22"/>
                <w:lang w:val="en-US"/>
              </w:rPr>
            </w:pPr>
            <w:r>
              <w:rPr>
                <w:sz w:val="22"/>
                <w:szCs w:val="22"/>
                <w:lang w:val="en-US"/>
              </w:rPr>
              <w:t xml:space="preserve">Redundant </w:t>
            </w:r>
          </w:p>
        </w:tc>
      </w:tr>
      <w:tr w:rsidR="002835D9" w14:paraId="24B86410" w14:textId="77777777" w:rsidTr="001C7493">
        <w:tc>
          <w:tcPr>
            <w:tcW w:w="8642" w:type="dxa"/>
          </w:tcPr>
          <w:p w14:paraId="373633E1" w14:textId="77777777" w:rsidR="002835D9" w:rsidRDefault="002835D9" w:rsidP="00A03E7B">
            <w:pPr>
              <w:rPr>
                <w:b/>
                <w:sz w:val="22"/>
                <w:szCs w:val="22"/>
                <w:lang w:val="en-US"/>
              </w:rPr>
            </w:pPr>
            <w:r>
              <w:rPr>
                <w:b/>
                <w:sz w:val="22"/>
                <w:szCs w:val="22"/>
                <w:lang w:val="en-US"/>
              </w:rPr>
              <w:t>Assessment</w:t>
            </w:r>
          </w:p>
        </w:tc>
        <w:tc>
          <w:tcPr>
            <w:tcW w:w="1418" w:type="dxa"/>
          </w:tcPr>
          <w:p w14:paraId="357117E7" w14:textId="77777777" w:rsidR="002835D9" w:rsidRPr="00566747" w:rsidRDefault="002835D9" w:rsidP="00A03E7B">
            <w:pPr>
              <w:rPr>
                <w:b/>
                <w:sz w:val="22"/>
                <w:szCs w:val="22"/>
                <w:lang w:val="en-US"/>
              </w:rPr>
            </w:pPr>
          </w:p>
        </w:tc>
        <w:tc>
          <w:tcPr>
            <w:tcW w:w="3821" w:type="dxa"/>
          </w:tcPr>
          <w:p w14:paraId="4EAED89A" w14:textId="77777777" w:rsidR="002835D9" w:rsidRDefault="002835D9" w:rsidP="00A03E7B">
            <w:pPr>
              <w:rPr>
                <w:sz w:val="22"/>
                <w:szCs w:val="22"/>
                <w:lang w:val="en-US"/>
              </w:rPr>
            </w:pPr>
          </w:p>
        </w:tc>
      </w:tr>
      <w:tr w:rsidR="002835D9" w14:paraId="28FFED4F" w14:textId="77777777" w:rsidTr="001C7493">
        <w:tc>
          <w:tcPr>
            <w:tcW w:w="8642" w:type="dxa"/>
          </w:tcPr>
          <w:p w14:paraId="50E384AA" w14:textId="77777777" w:rsidR="002835D9" w:rsidRPr="00B31927" w:rsidRDefault="002835D9" w:rsidP="00A03E7B">
            <w:pPr>
              <w:rPr>
                <w:sz w:val="22"/>
                <w:szCs w:val="22"/>
                <w:lang w:val="en-US"/>
              </w:rPr>
            </w:pPr>
          </w:p>
        </w:tc>
        <w:tc>
          <w:tcPr>
            <w:tcW w:w="1418" w:type="dxa"/>
          </w:tcPr>
          <w:p w14:paraId="43655935" w14:textId="77777777" w:rsidR="002835D9" w:rsidRPr="00566747" w:rsidRDefault="002835D9" w:rsidP="00A03E7B">
            <w:pPr>
              <w:rPr>
                <w:b/>
                <w:sz w:val="22"/>
                <w:szCs w:val="22"/>
                <w:lang w:val="en-US"/>
              </w:rPr>
            </w:pPr>
            <w:r>
              <w:rPr>
                <w:b/>
                <w:sz w:val="22"/>
                <w:szCs w:val="22"/>
                <w:lang w:val="en-US"/>
              </w:rPr>
              <w:t>XII</w:t>
            </w:r>
            <w:r w:rsidR="00015EAC">
              <w:rPr>
                <w:b/>
                <w:sz w:val="22"/>
                <w:szCs w:val="22"/>
                <w:lang w:val="en-US"/>
              </w:rPr>
              <w:t>.8</w:t>
            </w:r>
          </w:p>
        </w:tc>
        <w:tc>
          <w:tcPr>
            <w:tcW w:w="3821" w:type="dxa"/>
          </w:tcPr>
          <w:p w14:paraId="221C0BDD" w14:textId="77777777" w:rsidR="002835D9" w:rsidRDefault="002835D9" w:rsidP="00A03E7B">
            <w:pPr>
              <w:rPr>
                <w:sz w:val="22"/>
                <w:szCs w:val="22"/>
                <w:lang w:val="en-US"/>
              </w:rPr>
            </w:pPr>
          </w:p>
        </w:tc>
      </w:tr>
      <w:tr w:rsidR="002835D9" w:rsidRPr="00217036" w14:paraId="33C7D4AB" w14:textId="77777777" w:rsidTr="001C7493">
        <w:tc>
          <w:tcPr>
            <w:tcW w:w="8642" w:type="dxa"/>
          </w:tcPr>
          <w:p w14:paraId="7D3FC93C" w14:textId="77777777" w:rsidR="002835D9" w:rsidRPr="000D2FEB" w:rsidRDefault="002835D9" w:rsidP="00A03E7B">
            <w:pPr>
              <w:pStyle w:val="BodyText"/>
              <w:ind w:left="0" w:right="-42" w:firstLine="0"/>
              <w:rPr>
                <w:rFonts w:asciiTheme="minorHAnsi" w:hAnsiTheme="minorHAnsi"/>
              </w:rPr>
            </w:pPr>
            <w:r w:rsidRPr="000D2FEB">
              <w:rPr>
                <w:rFonts w:asciiTheme="minorHAnsi" w:hAnsiTheme="minorHAnsi"/>
              </w:rPr>
              <w:t xml:space="preserve">REQUESTS the Standing Committee to continue to assess annually, based on the reports submitted, according to the format adopted through Standing Committee Decision SC41-21, the functioning of Ramsar regional initiatives in relation to the </w:t>
            </w:r>
            <w:r w:rsidRPr="000D2FEB">
              <w:rPr>
                <w:rFonts w:asciiTheme="minorHAnsi" w:hAnsiTheme="minorHAnsi"/>
                <w:i/>
              </w:rPr>
              <w:t>Operational Guidelines</w:t>
            </w:r>
            <w:r w:rsidRPr="000D2FEB">
              <w:rPr>
                <w:rFonts w:asciiTheme="minorHAnsi" w:hAnsiTheme="minorHAnsi"/>
              </w:rPr>
              <w:t>, the implementation of the Convention and the Ramsar Strategic Plan 2016-2024, seeking support from the CEPA Oversight Panel as required;</w:t>
            </w:r>
          </w:p>
          <w:p w14:paraId="13180553" w14:textId="77777777" w:rsidR="002835D9" w:rsidRPr="0077178B" w:rsidRDefault="002835D9" w:rsidP="00A03E7B">
            <w:pPr>
              <w:rPr>
                <w:sz w:val="22"/>
                <w:szCs w:val="22"/>
                <w:lang w:val="en-US"/>
              </w:rPr>
            </w:pPr>
          </w:p>
        </w:tc>
        <w:tc>
          <w:tcPr>
            <w:tcW w:w="1418" w:type="dxa"/>
          </w:tcPr>
          <w:p w14:paraId="1B9104D1" w14:textId="77777777" w:rsidR="002835D9" w:rsidRDefault="002835D9" w:rsidP="00A03E7B">
            <w:pPr>
              <w:rPr>
                <w:sz w:val="22"/>
                <w:szCs w:val="22"/>
                <w:lang w:val="en-US"/>
              </w:rPr>
            </w:pPr>
            <w:r w:rsidRPr="00C656B3">
              <w:rPr>
                <w:sz w:val="22"/>
                <w:szCs w:val="22"/>
                <w:lang w:val="en-US"/>
              </w:rPr>
              <w:t>12</w:t>
            </w:r>
          </w:p>
        </w:tc>
        <w:tc>
          <w:tcPr>
            <w:tcW w:w="3821" w:type="dxa"/>
          </w:tcPr>
          <w:p w14:paraId="25727A3A" w14:textId="77777777" w:rsidR="002835D9" w:rsidRDefault="002835D9" w:rsidP="00A03E7B">
            <w:pPr>
              <w:rPr>
                <w:sz w:val="22"/>
                <w:szCs w:val="22"/>
                <w:lang w:val="en-US"/>
              </w:rPr>
            </w:pPr>
            <w:r>
              <w:rPr>
                <w:sz w:val="22"/>
                <w:szCs w:val="22"/>
                <w:lang w:val="en-US"/>
              </w:rPr>
              <w:t>Reference to Operational Guidelines inconsistent with paras 6 and 8f of XIII.9.</w:t>
            </w:r>
          </w:p>
        </w:tc>
      </w:tr>
      <w:tr w:rsidR="002835D9" w:rsidRPr="00A51B73" w14:paraId="60E4DD54" w14:textId="77777777" w:rsidTr="001C7493">
        <w:tc>
          <w:tcPr>
            <w:tcW w:w="8642" w:type="dxa"/>
          </w:tcPr>
          <w:p w14:paraId="1436768C" w14:textId="77777777" w:rsidR="002835D9" w:rsidRPr="0077178B" w:rsidRDefault="002835D9" w:rsidP="00A03E7B">
            <w:pPr>
              <w:rPr>
                <w:sz w:val="22"/>
                <w:szCs w:val="22"/>
                <w:lang w:val="en-US"/>
              </w:rPr>
            </w:pPr>
            <w:r w:rsidRPr="00B31927">
              <w:rPr>
                <w:sz w:val="22"/>
                <w:szCs w:val="22"/>
                <w:lang w:val="en-US"/>
              </w:rPr>
              <w:t xml:space="preserve">FURTHER REQUESTS the Secretariat i) to assess the achievements of regional initiatives in delivering technical, administrative and collaborative benefits to the Parties in their regions, as well as their effectiveness and efficiency, ii) to </w:t>
            </w:r>
            <w:proofErr w:type="spellStart"/>
            <w:r w:rsidRPr="00B31927">
              <w:rPr>
                <w:sz w:val="22"/>
                <w:szCs w:val="22"/>
                <w:lang w:val="en-US"/>
              </w:rPr>
              <w:t>analyse</w:t>
            </w:r>
            <w:proofErr w:type="spellEnd"/>
            <w:r w:rsidRPr="00B31927">
              <w:rPr>
                <w:sz w:val="22"/>
                <w:szCs w:val="22"/>
                <w:lang w:val="en-US"/>
              </w:rPr>
              <w:t xml:space="preserve"> weaknesses, strengths and difficulties of regional initiative implementation and management, and iii) to formulate recommendations for improving the Operational Guidelines for regional initiatives to support the implementation of the Convention;</w:t>
            </w:r>
          </w:p>
        </w:tc>
        <w:tc>
          <w:tcPr>
            <w:tcW w:w="1418" w:type="dxa"/>
          </w:tcPr>
          <w:p w14:paraId="086E84D9" w14:textId="77777777" w:rsidR="002835D9" w:rsidRPr="0077178B" w:rsidRDefault="002835D9" w:rsidP="00A03E7B">
            <w:pPr>
              <w:rPr>
                <w:sz w:val="22"/>
                <w:szCs w:val="22"/>
                <w:lang w:val="en-US"/>
              </w:rPr>
            </w:pPr>
            <w:r>
              <w:rPr>
                <w:sz w:val="22"/>
                <w:szCs w:val="22"/>
                <w:lang w:val="en-US"/>
              </w:rPr>
              <w:t>21</w:t>
            </w:r>
          </w:p>
        </w:tc>
        <w:tc>
          <w:tcPr>
            <w:tcW w:w="3821" w:type="dxa"/>
          </w:tcPr>
          <w:p w14:paraId="12EB1DDA" w14:textId="77777777" w:rsidR="002835D9" w:rsidRDefault="002835D9" w:rsidP="00A03E7B">
            <w:pPr>
              <w:rPr>
                <w:sz w:val="22"/>
                <w:szCs w:val="22"/>
                <w:lang w:val="en-US"/>
              </w:rPr>
            </w:pPr>
            <w:r>
              <w:rPr>
                <w:sz w:val="22"/>
                <w:szCs w:val="22"/>
                <w:lang w:val="en-US"/>
              </w:rPr>
              <w:t xml:space="preserve">Inconsistent with paras 7 and 8 of XIII.9; </w:t>
            </w:r>
            <w:proofErr w:type="gramStart"/>
            <w:r>
              <w:rPr>
                <w:sz w:val="22"/>
                <w:szCs w:val="22"/>
                <w:lang w:val="en-US"/>
              </w:rPr>
              <w:t>redundant .</w:t>
            </w:r>
            <w:proofErr w:type="gramEnd"/>
          </w:p>
        </w:tc>
      </w:tr>
      <w:tr w:rsidR="002835D9" w14:paraId="2D378D33" w14:textId="77777777" w:rsidTr="001C7493">
        <w:tc>
          <w:tcPr>
            <w:tcW w:w="8642" w:type="dxa"/>
          </w:tcPr>
          <w:p w14:paraId="470BD501" w14:textId="77777777" w:rsidR="002835D9" w:rsidRPr="00B31927" w:rsidRDefault="002835D9" w:rsidP="00A03E7B">
            <w:pPr>
              <w:rPr>
                <w:sz w:val="22"/>
                <w:szCs w:val="22"/>
                <w:lang w:val="en-US"/>
              </w:rPr>
            </w:pPr>
            <w:r w:rsidRPr="00B31927">
              <w:rPr>
                <w:sz w:val="22"/>
                <w:szCs w:val="22"/>
                <w:lang w:val="en-US"/>
              </w:rPr>
              <w:t>INSTRUCTS the Standing Committee to prepare a summary of its annual assessments, which reviews the operations and success of the regional initiatives operating during the period 2016-2018, for Contracting Parties’ consideration at the 13th meeting of the Conference of Contracting Parties; and</w:t>
            </w:r>
          </w:p>
        </w:tc>
        <w:tc>
          <w:tcPr>
            <w:tcW w:w="1418" w:type="dxa"/>
          </w:tcPr>
          <w:p w14:paraId="2BF75A03" w14:textId="77777777" w:rsidR="002835D9" w:rsidRPr="00B31927" w:rsidRDefault="002835D9" w:rsidP="00A03E7B">
            <w:pPr>
              <w:rPr>
                <w:sz w:val="22"/>
                <w:szCs w:val="22"/>
                <w:lang w:val="en-US"/>
              </w:rPr>
            </w:pPr>
            <w:r w:rsidRPr="00B31927">
              <w:rPr>
                <w:sz w:val="22"/>
                <w:szCs w:val="22"/>
                <w:lang w:val="en-US"/>
              </w:rPr>
              <w:t>24</w:t>
            </w:r>
          </w:p>
        </w:tc>
        <w:tc>
          <w:tcPr>
            <w:tcW w:w="3821" w:type="dxa"/>
          </w:tcPr>
          <w:p w14:paraId="4B44E5FA" w14:textId="77777777" w:rsidR="002835D9" w:rsidRPr="004C0094" w:rsidRDefault="002835D9" w:rsidP="00A03E7B">
            <w:pPr>
              <w:rPr>
                <w:sz w:val="22"/>
                <w:szCs w:val="22"/>
                <w:lang w:val="en-US"/>
              </w:rPr>
            </w:pPr>
            <w:r w:rsidRPr="004C0094">
              <w:rPr>
                <w:sz w:val="22"/>
                <w:szCs w:val="22"/>
                <w:lang w:val="en-US"/>
              </w:rPr>
              <w:t xml:space="preserve">Redundant </w:t>
            </w:r>
          </w:p>
        </w:tc>
      </w:tr>
      <w:tr w:rsidR="002835D9" w14:paraId="3E31B77F" w14:textId="77777777" w:rsidTr="001C7493">
        <w:tc>
          <w:tcPr>
            <w:tcW w:w="8642" w:type="dxa"/>
          </w:tcPr>
          <w:p w14:paraId="4730AE26" w14:textId="77777777" w:rsidR="002835D9" w:rsidRDefault="002835D9" w:rsidP="00A03E7B">
            <w:pPr>
              <w:rPr>
                <w:b/>
                <w:sz w:val="22"/>
                <w:szCs w:val="22"/>
                <w:lang w:val="en-US"/>
              </w:rPr>
            </w:pPr>
          </w:p>
        </w:tc>
        <w:tc>
          <w:tcPr>
            <w:tcW w:w="1418" w:type="dxa"/>
          </w:tcPr>
          <w:p w14:paraId="3195D2BB" w14:textId="77777777" w:rsidR="002835D9" w:rsidRDefault="002835D9" w:rsidP="00A03E7B">
            <w:pPr>
              <w:rPr>
                <w:b/>
                <w:sz w:val="22"/>
                <w:szCs w:val="22"/>
                <w:lang w:val="en-US"/>
              </w:rPr>
            </w:pPr>
            <w:r>
              <w:rPr>
                <w:b/>
                <w:sz w:val="22"/>
                <w:szCs w:val="22"/>
                <w:lang w:val="en-US"/>
              </w:rPr>
              <w:t>XI</w:t>
            </w:r>
            <w:r w:rsidR="00015EAC">
              <w:rPr>
                <w:b/>
                <w:sz w:val="22"/>
                <w:szCs w:val="22"/>
                <w:lang w:val="en-US"/>
              </w:rPr>
              <w:t>.5</w:t>
            </w:r>
          </w:p>
        </w:tc>
        <w:tc>
          <w:tcPr>
            <w:tcW w:w="3821" w:type="dxa"/>
          </w:tcPr>
          <w:p w14:paraId="5BC20B20" w14:textId="77777777" w:rsidR="002835D9" w:rsidRDefault="002835D9" w:rsidP="00A03E7B">
            <w:pPr>
              <w:rPr>
                <w:sz w:val="22"/>
                <w:szCs w:val="22"/>
                <w:lang w:val="en-US"/>
              </w:rPr>
            </w:pPr>
          </w:p>
        </w:tc>
      </w:tr>
      <w:tr w:rsidR="002835D9" w:rsidRPr="00217036" w14:paraId="65FD2493" w14:textId="77777777" w:rsidTr="001C7493">
        <w:tc>
          <w:tcPr>
            <w:tcW w:w="8642" w:type="dxa"/>
          </w:tcPr>
          <w:p w14:paraId="14595A0E" w14:textId="77777777" w:rsidR="002835D9" w:rsidRDefault="002835D9" w:rsidP="00A03E7B">
            <w:pPr>
              <w:rPr>
                <w:b/>
                <w:sz w:val="22"/>
                <w:szCs w:val="22"/>
                <w:lang w:val="en-US"/>
              </w:rPr>
            </w:pPr>
            <w:r w:rsidRPr="000D2FEB">
              <w:rPr>
                <w:sz w:val="22"/>
                <w:szCs w:val="22"/>
                <w:lang w:val="en-US"/>
              </w:rPr>
              <w:t>INSTRUCTS the Standing Committee to continue to assess annually, based on formal reports submitted on time, the extent to which the existing Regional Initiatives continue to meet the standards of the Operational Guidelines and actively contribute to the implementation of the Convention;</w:t>
            </w:r>
          </w:p>
        </w:tc>
        <w:tc>
          <w:tcPr>
            <w:tcW w:w="1418" w:type="dxa"/>
          </w:tcPr>
          <w:p w14:paraId="42E09989" w14:textId="77777777" w:rsidR="002835D9" w:rsidRPr="005F3DAA" w:rsidRDefault="002835D9" w:rsidP="00A03E7B">
            <w:pPr>
              <w:rPr>
                <w:sz w:val="22"/>
                <w:szCs w:val="22"/>
                <w:lang w:val="en-US"/>
              </w:rPr>
            </w:pPr>
            <w:r w:rsidRPr="005F3DAA">
              <w:rPr>
                <w:sz w:val="22"/>
                <w:szCs w:val="22"/>
                <w:lang w:val="en-US"/>
              </w:rPr>
              <w:t>10</w:t>
            </w:r>
          </w:p>
        </w:tc>
        <w:tc>
          <w:tcPr>
            <w:tcW w:w="3821" w:type="dxa"/>
          </w:tcPr>
          <w:p w14:paraId="3D6EFD6D" w14:textId="77777777" w:rsidR="002835D9" w:rsidRDefault="002835D9" w:rsidP="00A03E7B">
            <w:pPr>
              <w:rPr>
                <w:sz w:val="22"/>
                <w:szCs w:val="22"/>
                <w:lang w:val="en-US"/>
              </w:rPr>
            </w:pPr>
            <w:r>
              <w:rPr>
                <w:sz w:val="22"/>
                <w:szCs w:val="22"/>
                <w:lang w:val="en-US"/>
              </w:rPr>
              <w:t>Inconsistent with paras 6 and 8 of XIII.9</w:t>
            </w:r>
          </w:p>
        </w:tc>
      </w:tr>
      <w:tr w:rsidR="002835D9" w14:paraId="30929C10" w14:textId="77777777" w:rsidTr="001C7493">
        <w:tc>
          <w:tcPr>
            <w:tcW w:w="8642" w:type="dxa"/>
          </w:tcPr>
          <w:p w14:paraId="3B70FD69" w14:textId="77777777" w:rsidR="002835D9" w:rsidRPr="004C0094" w:rsidRDefault="002835D9" w:rsidP="00A03E7B">
            <w:pPr>
              <w:rPr>
                <w:sz w:val="22"/>
                <w:szCs w:val="22"/>
                <w:lang w:val="en-US"/>
              </w:rPr>
            </w:pPr>
            <w:r w:rsidRPr="004C0094">
              <w:rPr>
                <w:sz w:val="22"/>
                <w:szCs w:val="22"/>
                <w:lang w:val="en-US"/>
              </w:rPr>
              <w:t>REQUESTS the Standing Committee to prepare a summary report, based on its annual assessments, which reviews the operations and success of the Regional Initiatives operating during the period 2013-2015, for Contracting Parties’ consideration at the 12th meeting of the Conference of the Contracting Parties.</w:t>
            </w:r>
          </w:p>
        </w:tc>
        <w:tc>
          <w:tcPr>
            <w:tcW w:w="1418" w:type="dxa"/>
          </w:tcPr>
          <w:p w14:paraId="78B66F18" w14:textId="77777777" w:rsidR="002835D9" w:rsidRPr="00223D29" w:rsidRDefault="002835D9" w:rsidP="00A03E7B">
            <w:pPr>
              <w:rPr>
                <w:sz w:val="22"/>
                <w:szCs w:val="22"/>
                <w:lang w:val="en-US"/>
              </w:rPr>
            </w:pPr>
            <w:r w:rsidRPr="00223D29">
              <w:rPr>
                <w:sz w:val="22"/>
                <w:szCs w:val="22"/>
                <w:lang w:val="en-US"/>
              </w:rPr>
              <w:t>28</w:t>
            </w:r>
          </w:p>
        </w:tc>
        <w:tc>
          <w:tcPr>
            <w:tcW w:w="3821" w:type="dxa"/>
          </w:tcPr>
          <w:p w14:paraId="09D0F6A4" w14:textId="77777777" w:rsidR="002835D9" w:rsidRDefault="002835D9" w:rsidP="00A03E7B">
            <w:pPr>
              <w:rPr>
                <w:sz w:val="22"/>
                <w:szCs w:val="22"/>
                <w:lang w:val="en-US"/>
              </w:rPr>
            </w:pPr>
            <w:r w:rsidRPr="004C0094">
              <w:rPr>
                <w:sz w:val="22"/>
                <w:szCs w:val="22"/>
                <w:lang w:val="en-US"/>
              </w:rPr>
              <w:t xml:space="preserve">Redundant </w:t>
            </w:r>
          </w:p>
        </w:tc>
      </w:tr>
      <w:tr w:rsidR="002835D9" w14:paraId="25D0BCDA" w14:textId="77777777" w:rsidTr="001C7493">
        <w:tc>
          <w:tcPr>
            <w:tcW w:w="8642" w:type="dxa"/>
          </w:tcPr>
          <w:p w14:paraId="0379EB48" w14:textId="77777777" w:rsidR="002835D9" w:rsidRDefault="002835D9" w:rsidP="00A03E7B">
            <w:pPr>
              <w:rPr>
                <w:b/>
                <w:sz w:val="22"/>
                <w:szCs w:val="22"/>
                <w:lang w:val="en-US"/>
              </w:rPr>
            </w:pPr>
          </w:p>
        </w:tc>
        <w:tc>
          <w:tcPr>
            <w:tcW w:w="1418" w:type="dxa"/>
          </w:tcPr>
          <w:p w14:paraId="7743D7FC" w14:textId="77777777" w:rsidR="002835D9" w:rsidRDefault="002835D9" w:rsidP="00A03E7B">
            <w:pPr>
              <w:rPr>
                <w:b/>
                <w:sz w:val="22"/>
                <w:szCs w:val="22"/>
                <w:lang w:val="en-US"/>
              </w:rPr>
            </w:pPr>
            <w:r>
              <w:rPr>
                <w:b/>
                <w:sz w:val="22"/>
                <w:szCs w:val="22"/>
                <w:lang w:val="en-US"/>
              </w:rPr>
              <w:t>X.6</w:t>
            </w:r>
          </w:p>
        </w:tc>
        <w:tc>
          <w:tcPr>
            <w:tcW w:w="3821" w:type="dxa"/>
          </w:tcPr>
          <w:p w14:paraId="00C1CC8C" w14:textId="77777777" w:rsidR="002835D9" w:rsidRDefault="002835D9" w:rsidP="00A03E7B">
            <w:pPr>
              <w:rPr>
                <w:sz w:val="22"/>
                <w:szCs w:val="22"/>
                <w:lang w:val="en-US"/>
              </w:rPr>
            </w:pPr>
          </w:p>
        </w:tc>
      </w:tr>
      <w:tr w:rsidR="002835D9" w14:paraId="7D1498A3" w14:textId="77777777" w:rsidTr="001C7493">
        <w:tc>
          <w:tcPr>
            <w:tcW w:w="8642" w:type="dxa"/>
          </w:tcPr>
          <w:p w14:paraId="53E9AE31" w14:textId="77777777" w:rsidR="002835D9" w:rsidRDefault="002835D9" w:rsidP="00A03E7B">
            <w:pPr>
              <w:rPr>
                <w:b/>
                <w:sz w:val="22"/>
                <w:szCs w:val="22"/>
                <w:lang w:val="en-US"/>
              </w:rPr>
            </w:pPr>
            <w:r w:rsidRPr="000D2FEB">
              <w:rPr>
                <w:sz w:val="22"/>
                <w:szCs w:val="22"/>
                <w:lang w:val="en-US"/>
              </w:rPr>
              <w:t>AUTHORIZES the Standing Committee to examine and approve, between meetings of the Conference of the Contracting Parties, new initiatives selected from those which fully meet the Operational Guidelines listed in the annex to this Resolution as operating within the framework of the Convention. Such new approved initiatives should be reported to the following COP;</w:t>
            </w:r>
          </w:p>
        </w:tc>
        <w:tc>
          <w:tcPr>
            <w:tcW w:w="1418" w:type="dxa"/>
          </w:tcPr>
          <w:p w14:paraId="46CC7F94" w14:textId="77777777" w:rsidR="002835D9" w:rsidRPr="00E04ACB" w:rsidRDefault="002835D9" w:rsidP="00A03E7B">
            <w:pPr>
              <w:rPr>
                <w:sz w:val="22"/>
                <w:szCs w:val="22"/>
                <w:lang w:val="en-US"/>
              </w:rPr>
            </w:pPr>
            <w:r w:rsidRPr="00E04ACB">
              <w:rPr>
                <w:sz w:val="22"/>
                <w:szCs w:val="22"/>
                <w:lang w:val="en-US"/>
              </w:rPr>
              <w:t>9</w:t>
            </w:r>
          </w:p>
        </w:tc>
        <w:tc>
          <w:tcPr>
            <w:tcW w:w="3821" w:type="dxa"/>
          </w:tcPr>
          <w:p w14:paraId="2E4736F8" w14:textId="77777777" w:rsidR="002835D9" w:rsidRPr="00E04ACB" w:rsidRDefault="002835D9" w:rsidP="00A03E7B">
            <w:pPr>
              <w:tabs>
                <w:tab w:val="left" w:pos="1256"/>
              </w:tabs>
              <w:rPr>
                <w:sz w:val="22"/>
                <w:szCs w:val="22"/>
                <w:lang w:val="en-US"/>
              </w:rPr>
            </w:pPr>
            <w:r>
              <w:rPr>
                <w:sz w:val="22"/>
                <w:szCs w:val="22"/>
                <w:lang w:val="en-US"/>
              </w:rPr>
              <w:t xml:space="preserve">Redundant </w:t>
            </w:r>
          </w:p>
        </w:tc>
      </w:tr>
      <w:tr w:rsidR="002835D9" w14:paraId="4F582DD8" w14:textId="77777777" w:rsidTr="001C7493">
        <w:tc>
          <w:tcPr>
            <w:tcW w:w="8642" w:type="dxa"/>
          </w:tcPr>
          <w:p w14:paraId="1A30AF89" w14:textId="77777777" w:rsidR="002835D9" w:rsidRPr="000D2FEB" w:rsidRDefault="002835D9" w:rsidP="00A03E7B">
            <w:pPr>
              <w:rPr>
                <w:sz w:val="22"/>
                <w:szCs w:val="22"/>
                <w:lang w:val="en-US"/>
              </w:rPr>
            </w:pPr>
            <w:r w:rsidRPr="000D2FEB">
              <w:rPr>
                <w:sz w:val="22"/>
                <w:szCs w:val="22"/>
                <w:lang w:val="en-US"/>
              </w:rPr>
              <w:t>INSTRUCTS the Secretariat to develop for Standing Committee approval evaluation criteria and procedures for evaluations of the regional initiatives operating within the framework of the Convention;</w:t>
            </w:r>
          </w:p>
        </w:tc>
        <w:tc>
          <w:tcPr>
            <w:tcW w:w="1418" w:type="dxa"/>
          </w:tcPr>
          <w:p w14:paraId="58CADA3C" w14:textId="77777777" w:rsidR="002835D9" w:rsidRPr="00E04ACB" w:rsidRDefault="002835D9" w:rsidP="00A03E7B">
            <w:pPr>
              <w:rPr>
                <w:sz w:val="22"/>
                <w:szCs w:val="22"/>
                <w:lang w:val="en-US"/>
              </w:rPr>
            </w:pPr>
            <w:r>
              <w:rPr>
                <w:sz w:val="22"/>
                <w:szCs w:val="22"/>
                <w:lang w:val="en-US"/>
              </w:rPr>
              <w:t>15</w:t>
            </w:r>
          </w:p>
        </w:tc>
        <w:tc>
          <w:tcPr>
            <w:tcW w:w="3821" w:type="dxa"/>
          </w:tcPr>
          <w:p w14:paraId="792303DD" w14:textId="77777777" w:rsidR="002835D9" w:rsidRDefault="002835D9" w:rsidP="00A03E7B">
            <w:pPr>
              <w:tabs>
                <w:tab w:val="left" w:pos="1256"/>
              </w:tabs>
              <w:rPr>
                <w:sz w:val="22"/>
                <w:szCs w:val="22"/>
                <w:lang w:val="en-US"/>
              </w:rPr>
            </w:pPr>
            <w:r>
              <w:rPr>
                <w:sz w:val="22"/>
                <w:szCs w:val="22"/>
                <w:lang w:val="en-US"/>
              </w:rPr>
              <w:t xml:space="preserve">Redundant </w:t>
            </w:r>
          </w:p>
        </w:tc>
      </w:tr>
      <w:tr w:rsidR="002835D9" w14:paraId="6A33C550" w14:textId="77777777" w:rsidTr="001C7493">
        <w:tc>
          <w:tcPr>
            <w:tcW w:w="8642" w:type="dxa"/>
          </w:tcPr>
          <w:p w14:paraId="04E39B5A" w14:textId="77777777" w:rsidR="002835D9" w:rsidRPr="000D2FEB" w:rsidRDefault="002835D9" w:rsidP="00A03E7B">
            <w:pPr>
              <w:rPr>
                <w:sz w:val="22"/>
                <w:szCs w:val="22"/>
                <w:lang w:val="en-US"/>
              </w:rPr>
            </w:pPr>
            <w:r w:rsidRPr="000D2FEB">
              <w:rPr>
                <w:sz w:val="22"/>
                <w:szCs w:val="22"/>
                <w:lang w:val="en-US"/>
              </w:rPr>
              <w:t>REQUESTS the Standing Committee and the Secretariat, particularly in relation to those initiatives funded by the core budget, to review their success and submit a summary report for consideration at COP11.</w:t>
            </w:r>
          </w:p>
        </w:tc>
        <w:tc>
          <w:tcPr>
            <w:tcW w:w="1418" w:type="dxa"/>
          </w:tcPr>
          <w:p w14:paraId="2ACB840B" w14:textId="77777777" w:rsidR="002835D9" w:rsidRPr="00E04ACB" w:rsidRDefault="002835D9" w:rsidP="00A03E7B">
            <w:pPr>
              <w:rPr>
                <w:sz w:val="22"/>
                <w:szCs w:val="22"/>
                <w:lang w:val="en-US"/>
              </w:rPr>
            </w:pPr>
            <w:r>
              <w:rPr>
                <w:sz w:val="22"/>
                <w:szCs w:val="22"/>
                <w:lang w:val="en-US"/>
              </w:rPr>
              <w:t>17</w:t>
            </w:r>
          </w:p>
        </w:tc>
        <w:tc>
          <w:tcPr>
            <w:tcW w:w="3821" w:type="dxa"/>
          </w:tcPr>
          <w:p w14:paraId="5C956440" w14:textId="77777777" w:rsidR="002835D9" w:rsidRDefault="002835D9" w:rsidP="00A03E7B">
            <w:pPr>
              <w:tabs>
                <w:tab w:val="left" w:pos="1256"/>
              </w:tabs>
              <w:rPr>
                <w:sz w:val="22"/>
                <w:szCs w:val="22"/>
                <w:lang w:val="en-US"/>
              </w:rPr>
            </w:pPr>
            <w:r>
              <w:rPr>
                <w:sz w:val="22"/>
                <w:szCs w:val="22"/>
                <w:lang w:val="en-US"/>
              </w:rPr>
              <w:t xml:space="preserve">Redundant </w:t>
            </w:r>
          </w:p>
        </w:tc>
      </w:tr>
      <w:tr w:rsidR="002835D9" w14:paraId="1326FD96" w14:textId="77777777" w:rsidTr="001C7493">
        <w:tc>
          <w:tcPr>
            <w:tcW w:w="8642" w:type="dxa"/>
          </w:tcPr>
          <w:p w14:paraId="5F2574A3" w14:textId="77777777" w:rsidR="002835D9" w:rsidRPr="000D2FEB" w:rsidRDefault="00996853" w:rsidP="00A03E7B">
            <w:pPr>
              <w:rPr>
                <w:sz w:val="22"/>
                <w:szCs w:val="22"/>
                <w:lang w:val="en-US"/>
              </w:rPr>
            </w:pPr>
            <w:r>
              <w:rPr>
                <w:b/>
                <w:sz w:val="22"/>
                <w:szCs w:val="22"/>
                <w:lang w:val="en-US"/>
              </w:rPr>
              <w:t>Financial and budgetary matters</w:t>
            </w:r>
          </w:p>
        </w:tc>
        <w:tc>
          <w:tcPr>
            <w:tcW w:w="1418" w:type="dxa"/>
          </w:tcPr>
          <w:p w14:paraId="3AF8849B" w14:textId="77777777" w:rsidR="002835D9" w:rsidRPr="007B6D88" w:rsidRDefault="002835D9" w:rsidP="00A03E7B">
            <w:pPr>
              <w:rPr>
                <w:b/>
                <w:sz w:val="22"/>
                <w:szCs w:val="22"/>
                <w:lang w:val="en-US"/>
              </w:rPr>
            </w:pPr>
          </w:p>
        </w:tc>
        <w:tc>
          <w:tcPr>
            <w:tcW w:w="3821" w:type="dxa"/>
          </w:tcPr>
          <w:p w14:paraId="6B03FDA8" w14:textId="77777777" w:rsidR="002835D9" w:rsidRDefault="002835D9" w:rsidP="00A03E7B">
            <w:pPr>
              <w:tabs>
                <w:tab w:val="left" w:pos="1256"/>
              </w:tabs>
              <w:rPr>
                <w:sz w:val="22"/>
                <w:szCs w:val="22"/>
                <w:lang w:val="en-US"/>
              </w:rPr>
            </w:pPr>
          </w:p>
        </w:tc>
      </w:tr>
      <w:tr w:rsidR="002835D9" w14:paraId="049371B1" w14:textId="77777777" w:rsidTr="001C7493">
        <w:tc>
          <w:tcPr>
            <w:tcW w:w="8642" w:type="dxa"/>
          </w:tcPr>
          <w:p w14:paraId="59DB182A" w14:textId="77777777" w:rsidR="002835D9" w:rsidRDefault="002835D9" w:rsidP="00A03E7B">
            <w:pPr>
              <w:rPr>
                <w:b/>
                <w:sz w:val="22"/>
                <w:szCs w:val="22"/>
                <w:lang w:val="en-US"/>
              </w:rPr>
            </w:pPr>
          </w:p>
        </w:tc>
        <w:tc>
          <w:tcPr>
            <w:tcW w:w="1418" w:type="dxa"/>
          </w:tcPr>
          <w:p w14:paraId="453AF7B2" w14:textId="77777777" w:rsidR="002835D9" w:rsidRDefault="00996853" w:rsidP="00A03E7B">
            <w:pPr>
              <w:rPr>
                <w:b/>
                <w:sz w:val="22"/>
                <w:szCs w:val="22"/>
                <w:lang w:val="en-US"/>
              </w:rPr>
            </w:pPr>
            <w:r>
              <w:rPr>
                <w:b/>
                <w:sz w:val="22"/>
                <w:szCs w:val="22"/>
                <w:lang w:val="en-US"/>
              </w:rPr>
              <w:t>XII</w:t>
            </w:r>
            <w:r w:rsidR="000C130A">
              <w:rPr>
                <w:b/>
                <w:sz w:val="22"/>
                <w:szCs w:val="22"/>
                <w:lang w:val="en-US"/>
              </w:rPr>
              <w:t>.8</w:t>
            </w:r>
          </w:p>
        </w:tc>
        <w:tc>
          <w:tcPr>
            <w:tcW w:w="3821" w:type="dxa"/>
          </w:tcPr>
          <w:p w14:paraId="023D4BD9" w14:textId="77777777" w:rsidR="002835D9" w:rsidRDefault="002835D9" w:rsidP="00A03E7B">
            <w:pPr>
              <w:rPr>
                <w:sz w:val="22"/>
                <w:szCs w:val="22"/>
                <w:lang w:val="en-US"/>
              </w:rPr>
            </w:pPr>
          </w:p>
        </w:tc>
      </w:tr>
      <w:tr w:rsidR="002835D9" w14:paraId="6AA2F1B3" w14:textId="77777777" w:rsidTr="001C7493">
        <w:tc>
          <w:tcPr>
            <w:tcW w:w="8642" w:type="dxa"/>
          </w:tcPr>
          <w:p w14:paraId="277D4D13" w14:textId="77777777" w:rsidR="002835D9" w:rsidRPr="00C656B3" w:rsidRDefault="002835D9" w:rsidP="00A03E7B">
            <w:pPr>
              <w:rPr>
                <w:sz w:val="22"/>
                <w:szCs w:val="22"/>
                <w:lang w:val="en-US"/>
              </w:rPr>
            </w:pPr>
            <w:r w:rsidRPr="00C656B3">
              <w:rPr>
                <w:sz w:val="22"/>
                <w:szCs w:val="22"/>
                <w:lang w:val="en-US"/>
              </w:rPr>
              <w:t>DECIDES to include financial support in the Convention core budget line “Support to Regional Initiatives”, as listed in Resolution XII.1 on financial and</w:t>
            </w:r>
            <w:r>
              <w:rPr>
                <w:sz w:val="22"/>
                <w:szCs w:val="22"/>
                <w:lang w:val="en-US"/>
              </w:rPr>
              <w:t xml:space="preserve"> budgetary matters, to support </w:t>
            </w:r>
            <w:r w:rsidRPr="00C656B3">
              <w:rPr>
                <w:sz w:val="22"/>
                <w:szCs w:val="22"/>
                <w:lang w:val="en-US"/>
              </w:rPr>
              <w:t>running costs of operational regional initiatives during the period 2016-2018 which fully meet the Operational Guidelines;</w:t>
            </w:r>
          </w:p>
        </w:tc>
        <w:tc>
          <w:tcPr>
            <w:tcW w:w="1418" w:type="dxa"/>
          </w:tcPr>
          <w:p w14:paraId="0D029E19" w14:textId="77777777" w:rsidR="002835D9" w:rsidRPr="00C656B3" w:rsidRDefault="002835D9" w:rsidP="00A03E7B">
            <w:pPr>
              <w:rPr>
                <w:sz w:val="22"/>
                <w:szCs w:val="22"/>
                <w:lang w:val="en-US"/>
              </w:rPr>
            </w:pPr>
            <w:r w:rsidRPr="00C656B3">
              <w:rPr>
                <w:sz w:val="22"/>
                <w:szCs w:val="22"/>
                <w:lang w:val="en-US"/>
              </w:rPr>
              <w:t>14</w:t>
            </w:r>
          </w:p>
        </w:tc>
        <w:tc>
          <w:tcPr>
            <w:tcW w:w="3821" w:type="dxa"/>
          </w:tcPr>
          <w:p w14:paraId="3877E542" w14:textId="77777777" w:rsidR="002835D9" w:rsidRDefault="002835D9" w:rsidP="00A03E7B">
            <w:pPr>
              <w:rPr>
                <w:sz w:val="22"/>
                <w:szCs w:val="22"/>
                <w:lang w:val="en-US"/>
              </w:rPr>
            </w:pPr>
            <w:r>
              <w:rPr>
                <w:sz w:val="22"/>
                <w:szCs w:val="22"/>
                <w:lang w:val="en-US"/>
              </w:rPr>
              <w:t xml:space="preserve">Redundant </w:t>
            </w:r>
          </w:p>
        </w:tc>
      </w:tr>
      <w:tr w:rsidR="002835D9" w14:paraId="559999EE" w14:textId="77777777" w:rsidTr="001C7493">
        <w:tc>
          <w:tcPr>
            <w:tcW w:w="8642" w:type="dxa"/>
          </w:tcPr>
          <w:p w14:paraId="081F4496" w14:textId="77777777" w:rsidR="002835D9" w:rsidRPr="0061092B" w:rsidRDefault="002835D9" w:rsidP="00A03E7B">
            <w:pPr>
              <w:rPr>
                <w:sz w:val="22"/>
                <w:szCs w:val="22"/>
                <w:lang w:val="en-US"/>
              </w:rPr>
            </w:pPr>
            <w:r w:rsidRPr="0061092B">
              <w:rPr>
                <w:sz w:val="22"/>
                <w:szCs w:val="22"/>
                <w:lang w:val="en-US"/>
              </w:rPr>
              <w:t>FURTHER DECIDES that the levels of financial support from the Convention core budget to individual regional initiatives for the years 2016, 2017 and 2018 will be determined annually by the Standing Committee, based on the most recent reports and updated work plans to be submitted according to the required format and timetable, and informed by the specific recommendations made by the Subgroup on Finance;</w:t>
            </w:r>
          </w:p>
        </w:tc>
        <w:tc>
          <w:tcPr>
            <w:tcW w:w="1418" w:type="dxa"/>
          </w:tcPr>
          <w:p w14:paraId="3296D8D4" w14:textId="77777777" w:rsidR="002835D9" w:rsidRPr="0061092B" w:rsidRDefault="002835D9" w:rsidP="00A03E7B">
            <w:pPr>
              <w:rPr>
                <w:sz w:val="22"/>
                <w:szCs w:val="22"/>
                <w:lang w:val="en-US"/>
              </w:rPr>
            </w:pPr>
            <w:r w:rsidRPr="0061092B">
              <w:rPr>
                <w:sz w:val="22"/>
                <w:szCs w:val="22"/>
                <w:lang w:val="en-US"/>
              </w:rPr>
              <w:t>15</w:t>
            </w:r>
          </w:p>
        </w:tc>
        <w:tc>
          <w:tcPr>
            <w:tcW w:w="3821" w:type="dxa"/>
          </w:tcPr>
          <w:p w14:paraId="6009088B" w14:textId="77777777" w:rsidR="002835D9" w:rsidRDefault="002835D9" w:rsidP="00A03E7B">
            <w:pPr>
              <w:rPr>
                <w:sz w:val="22"/>
                <w:szCs w:val="22"/>
                <w:lang w:val="en-US"/>
              </w:rPr>
            </w:pPr>
            <w:r>
              <w:rPr>
                <w:sz w:val="22"/>
                <w:szCs w:val="22"/>
                <w:lang w:val="en-US"/>
              </w:rPr>
              <w:t xml:space="preserve">Redundant </w:t>
            </w:r>
          </w:p>
        </w:tc>
      </w:tr>
      <w:tr w:rsidR="002835D9" w14:paraId="121D122A" w14:textId="77777777" w:rsidTr="001C7493">
        <w:tc>
          <w:tcPr>
            <w:tcW w:w="8642" w:type="dxa"/>
          </w:tcPr>
          <w:p w14:paraId="00B32CB6" w14:textId="77777777" w:rsidR="002835D9" w:rsidRDefault="002835D9" w:rsidP="00A03E7B">
            <w:pPr>
              <w:rPr>
                <w:b/>
                <w:sz w:val="22"/>
                <w:szCs w:val="22"/>
                <w:lang w:val="en-US"/>
              </w:rPr>
            </w:pPr>
          </w:p>
        </w:tc>
        <w:tc>
          <w:tcPr>
            <w:tcW w:w="1418" w:type="dxa"/>
          </w:tcPr>
          <w:p w14:paraId="74C6EF25" w14:textId="77777777" w:rsidR="002835D9" w:rsidRPr="00566747" w:rsidRDefault="002835D9" w:rsidP="00A03E7B">
            <w:pPr>
              <w:rPr>
                <w:b/>
                <w:sz w:val="22"/>
                <w:szCs w:val="22"/>
                <w:lang w:val="en-US"/>
              </w:rPr>
            </w:pPr>
            <w:r>
              <w:rPr>
                <w:b/>
                <w:sz w:val="22"/>
                <w:szCs w:val="22"/>
                <w:lang w:val="en-US"/>
              </w:rPr>
              <w:t>XI</w:t>
            </w:r>
            <w:r w:rsidR="000C130A">
              <w:rPr>
                <w:b/>
                <w:sz w:val="22"/>
                <w:szCs w:val="22"/>
                <w:lang w:val="en-US"/>
              </w:rPr>
              <w:t>.5</w:t>
            </w:r>
          </w:p>
        </w:tc>
        <w:tc>
          <w:tcPr>
            <w:tcW w:w="3821" w:type="dxa"/>
          </w:tcPr>
          <w:p w14:paraId="0ED16504" w14:textId="77777777" w:rsidR="002835D9" w:rsidRDefault="002835D9" w:rsidP="00A03E7B">
            <w:pPr>
              <w:rPr>
                <w:sz w:val="22"/>
                <w:szCs w:val="22"/>
                <w:lang w:val="en-US"/>
              </w:rPr>
            </w:pPr>
          </w:p>
        </w:tc>
      </w:tr>
      <w:tr w:rsidR="002835D9" w14:paraId="168D9405" w14:textId="77777777" w:rsidTr="001C7493">
        <w:tc>
          <w:tcPr>
            <w:tcW w:w="8642" w:type="dxa"/>
          </w:tcPr>
          <w:p w14:paraId="004E8238" w14:textId="77777777" w:rsidR="002835D9" w:rsidRPr="00816AD3" w:rsidRDefault="002835D9" w:rsidP="00A03E7B">
            <w:pPr>
              <w:rPr>
                <w:sz w:val="22"/>
                <w:szCs w:val="22"/>
                <w:lang w:val="en-US"/>
              </w:rPr>
            </w:pPr>
            <w:r w:rsidRPr="00816AD3">
              <w:rPr>
                <w:sz w:val="22"/>
                <w:szCs w:val="22"/>
                <w:lang w:val="en-US"/>
              </w:rPr>
              <w:lastRenderedPageBreak/>
              <w:t>AGREES to earmark financial support in the Convention core budget line “Support to Regional Initiatives”, as listed in Resolution XI.2 on financial and budgetary matters, to be allocated to existing Regional Initiatives for development activities during the period 2013-2015, provided that they are determined by the Standing Committee to fully meet the Operational Guidelines;</w:t>
            </w:r>
          </w:p>
        </w:tc>
        <w:tc>
          <w:tcPr>
            <w:tcW w:w="1418" w:type="dxa"/>
          </w:tcPr>
          <w:p w14:paraId="5EE65138" w14:textId="77777777" w:rsidR="002835D9" w:rsidRPr="00816AD3" w:rsidRDefault="002835D9" w:rsidP="00A03E7B">
            <w:pPr>
              <w:rPr>
                <w:sz w:val="22"/>
                <w:szCs w:val="22"/>
                <w:lang w:val="en-US"/>
              </w:rPr>
            </w:pPr>
            <w:r w:rsidRPr="00816AD3">
              <w:rPr>
                <w:sz w:val="22"/>
                <w:szCs w:val="22"/>
                <w:lang w:val="en-US"/>
              </w:rPr>
              <w:t>12</w:t>
            </w:r>
          </w:p>
        </w:tc>
        <w:tc>
          <w:tcPr>
            <w:tcW w:w="3821" w:type="dxa"/>
          </w:tcPr>
          <w:p w14:paraId="44C6B7FF" w14:textId="77777777" w:rsidR="002835D9" w:rsidRDefault="002835D9" w:rsidP="00A03E7B">
            <w:pPr>
              <w:rPr>
                <w:sz w:val="22"/>
                <w:szCs w:val="22"/>
                <w:lang w:val="en-US"/>
              </w:rPr>
            </w:pPr>
            <w:r>
              <w:rPr>
                <w:sz w:val="22"/>
                <w:szCs w:val="22"/>
                <w:lang w:val="en-US"/>
              </w:rPr>
              <w:t xml:space="preserve">Redundant </w:t>
            </w:r>
          </w:p>
        </w:tc>
      </w:tr>
      <w:tr w:rsidR="002835D9" w14:paraId="0CE12B5E" w14:textId="77777777" w:rsidTr="001C7493">
        <w:tc>
          <w:tcPr>
            <w:tcW w:w="8642" w:type="dxa"/>
          </w:tcPr>
          <w:p w14:paraId="50744A40" w14:textId="77777777" w:rsidR="002835D9" w:rsidRPr="00816AD3" w:rsidRDefault="002835D9" w:rsidP="00A03E7B">
            <w:pPr>
              <w:rPr>
                <w:sz w:val="22"/>
                <w:szCs w:val="22"/>
                <w:lang w:val="en-US"/>
              </w:rPr>
            </w:pPr>
            <w:r w:rsidRPr="00816AD3">
              <w:rPr>
                <w:sz w:val="22"/>
                <w:szCs w:val="22"/>
                <w:lang w:val="en-US"/>
              </w:rPr>
              <w:t>DECIDES that the levels of financial support to individual Regional Initiatives for the years 2013, 2014, and 2015 through that budget line will be determined by the Standing Committee during its annual meetings, based upon updated financial and work plans to be submitted in the required format not later than two months prior to its annual meetings, and with the benefit of the specific recommendations made by the Subgroup on Finance;</w:t>
            </w:r>
          </w:p>
        </w:tc>
        <w:tc>
          <w:tcPr>
            <w:tcW w:w="1418" w:type="dxa"/>
          </w:tcPr>
          <w:p w14:paraId="18514934" w14:textId="77777777" w:rsidR="002835D9" w:rsidRPr="00816AD3" w:rsidRDefault="002835D9" w:rsidP="00A03E7B">
            <w:pPr>
              <w:rPr>
                <w:sz w:val="22"/>
                <w:szCs w:val="22"/>
                <w:lang w:val="en-US"/>
              </w:rPr>
            </w:pPr>
            <w:r w:rsidRPr="00816AD3">
              <w:rPr>
                <w:sz w:val="22"/>
                <w:szCs w:val="22"/>
                <w:lang w:val="en-US"/>
              </w:rPr>
              <w:t>13</w:t>
            </w:r>
          </w:p>
        </w:tc>
        <w:tc>
          <w:tcPr>
            <w:tcW w:w="3821" w:type="dxa"/>
          </w:tcPr>
          <w:p w14:paraId="0171FC1A" w14:textId="77777777" w:rsidR="002835D9" w:rsidRDefault="002835D9" w:rsidP="00A03E7B">
            <w:pPr>
              <w:rPr>
                <w:sz w:val="22"/>
                <w:szCs w:val="22"/>
                <w:lang w:val="en-US"/>
              </w:rPr>
            </w:pPr>
            <w:r>
              <w:rPr>
                <w:sz w:val="22"/>
                <w:szCs w:val="22"/>
                <w:lang w:val="en-US"/>
              </w:rPr>
              <w:t xml:space="preserve">Redundant </w:t>
            </w:r>
          </w:p>
        </w:tc>
      </w:tr>
      <w:tr w:rsidR="002835D9" w14:paraId="46BF3F48" w14:textId="77777777" w:rsidTr="001C7493">
        <w:tc>
          <w:tcPr>
            <w:tcW w:w="8642" w:type="dxa"/>
          </w:tcPr>
          <w:p w14:paraId="35497849" w14:textId="77777777" w:rsidR="002835D9" w:rsidRDefault="002835D9" w:rsidP="00A03E7B">
            <w:pPr>
              <w:rPr>
                <w:b/>
                <w:sz w:val="22"/>
                <w:szCs w:val="22"/>
                <w:lang w:val="en-US"/>
              </w:rPr>
            </w:pPr>
          </w:p>
        </w:tc>
        <w:tc>
          <w:tcPr>
            <w:tcW w:w="1418" w:type="dxa"/>
          </w:tcPr>
          <w:p w14:paraId="5E986445" w14:textId="77777777" w:rsidR="002835D9" w:rsidRPr="00566747" w:rsidRDefault="002835D9" w:rsidP="00A03E7B">
            <w:pPr>
              <w:rPr>
                <w:b/>
                <w:sz w:val="22"/>
                <w:szCs w:val="22"/>
                <w:lang w:val="en-US"/>
              </w:rPr>
            </w:pPr>
            <w:r>
              <w:rPr>
                <w:b/>
                <w:sz w:val="22"/>
                <w:szCs w:val="22"/>
                <w:lang w:val="en-US"/>
              </w:rPr>
              <w:t>X.6</w:t>
            </w:r>
          </w:p>
        </w:tc>
        <w:tc>
          <w:tcPr>
            <w:tcW w:w="3821" w:type="dxa"/>
          </w:tcPr>
          <w:p w14:paraId="174B81CC" w14:textId="77777777" w:rsidR="002835D9" w:rsidRDefault="002835D9" w:rsidP="00A03E7B">
            <w:pPr>
              <w:rPr>
                <w:sz w:val="22"/>
                <w:szCs w:val="22"/>
                <w:lang w:val="en-US"/>
              </w:rPr>
            </w:pPr>
          </w:p>
        </w:tc>
      </w:tr>
      <w:tr w:rsidR="002835D9" w14:paraId="61AC1B7B" w14:textId="77777777" w:rsidTr="001C7493">
        <w:tc>
          <w:tcPr>
            <w:tcW w:w="8642" w:type="dxa"/>
          </w:tcPr>
          <w:p w14:paraId="31EB94A2" w14:textId="77777777" w:rsidR="002835D9" w:rsidRDefault="002835D9" w:rsidP="00A03E7B">
            <w:pPr>
              <w:rPr>
                <w:b/>
                <w:sz w:val="22"/>
                <w:szCs w:val="22"/>
                <w:lang w:val="en-US"/>
              </w:rPr>
            </w:pPr>
            <w:r w:rsidRPr="000D2FEB">
              <w:rPr>
                <w:sz w:val="22"/>
                <w:szCs w:val="22"/>
                <w:lang w:val="en-US"/>
              </w:rPr>
              <w:t xml:space="preserve">AGREES to earmark a global amount of financial support in the Convention core budget line “Support to Regional Initiatives”, as listed in Resolution X.2 on financial and budgetary matters, to be allocated to regional initiatives during the period 2009-2012, elements of which are either regional </w:t>
            </w:r>
            <w:proofErr w:type="spellStart"/>
            <w:r w:rsidRPr="000D2FEB">
              <w:rPr>
                <w:sz w:val="22"/>
                <w:szCs w:val="22"/>
                <w:lang w:val="en-US"/>
              </w:rPr>
              <w:t>centres</w:t>
            </w:r>
            <w:proofErr w:type="spellEnd"/>
            <w:r w:rsidRPr="000D2FEB">
              <w:rPr>
                <w:sz w:val="22"/>
                <w:szCs w:val="22"/>
                <w:lang w:val="en-US"/>
              </w:rPr>
              <w:t xml:space="preserve"> for training and capacity-building or regional networks for cooperation and capacity-building, or both, provided that they fully meet the Operational Guidelines;</w:t>
            </w:r>
          </w:p>
        </w:tc>
        <w:tc>
          <w:tcPr>
            <w:tcW w:w="1418" w:type="dxa"/>
          </w:tcPr>
          <w:p w14:paraId="35B1DEC6" w14:textId="77777777" w:rsidR="002835D9" w:rsidRPr="00E04ACB" w:rsidRDefault="002835D9" w:rsidP="00A03E7B">
            <w:pPr>
              <w:rPr>
                <w:sz w:val="22"/>
                <w:szCs w:val="22"/>
                <w:lang w:val="en-US"/>
              </w:rPr>
            </w:pPr>
            <w:r w:rsidRPr="00E04ACB">
              <w:rPr>
                <w:sz w:val="22"/>
                <w:szCs w:val="22"/>
                <w:lang w:val="en-US"/>
              </w:rPr>
              <w:t>10</w:t>
            </w:r>
          </w:p>
        </w:tc>
        <w:tc>
          <w:tcPr>
            <w:tcW w:w="3821" w:type="dxa"/>
          </w:tcPr>
          <w:p w14:paraId="03BC1632" w14:textId="77777777" w:rsidR="002835D9" w:rsidRDefault="002835D9" w:rsidP="00A03E7B">
            <w:pPr>
              <w:rPr>
                <w:sz w:val="22"/>
                <w:szCs w:val="22"/>
                <w:lang w:val="en-US"/>
              </w:rPr>
            </w:pPr>
            <w:r>
              <w:rPr>
                <w:sz w:val="22"/>
                <w:szCs w:val="22"/>
                <w:lang w:val="en-US"/>
              </w:rPr>
              <w:t xml:space="preserve">Redundant </w:t>
            </w:r>
          </w:p>
        </w:tc>
      </w:tr>
      <w:tr w:rsidR="002835D9" w14:paraId="548FE154" w14:textId="77777777" w:rsidTr="001C7493">
        <w:tc>
          <w:tcPr>
            <w:tcW w:w="8642" w:type="dxa"/>
          </w:tcPr>
          <w:p w14:paraId="22A73B0A" w14:textId="77777777" w:rsidR="002835D9" w:rsidRDefault="002835D9" w:rsidP="00A03E7B">
            <w:pPr>
              <w:rPr>
                <w:b/>
                <w:sz w:val="22"/>
                <w:szCs w:val="22"/>
                <w:lang w:val="en-US"/>
              </w:rPr>
            </w:pPr>
            <w:r w:rsidRPr="000D2FEB">
              <w:rPr>
                <w:sz w:val="22"/>
                <w:szCs w:val="22"/>
                <w:lang w:val="en-US"/>
              </w:rPr>
              <w:t>DECIDES that the levels of financial support to individual initiatives for the years 2009, 2010, 2011 and 2012 through this budget line will be determined by the Standing Committee during its annual meetings at the beginning of these years, based upon updated financial and work plans to be submitted in the required format and in good time prior to the annual meetings, and following the specific recommendations made by the Subgroup on Finance;</w:t>
            </w:r>
          </w:p>
        </w:tc>
        <w:tc>
          <w:tcPr>
            <w:tcW w:w="1418" w:type="dxa"/>
          </w:tcPr>
          <w:p w14:paraId="0490C40E" w14:textId="77777777" w:rsidR="002835D9" w:rsidRPr="007F099A" w:rsidRDefault="002835D9" w:rsidP="00A03E7B">
            <w:pPr>
              <w:rPr>
                <w:sz w:val="22"/>
                <w:szCs w:val="22"/>
                <w:lang w:val="en-US"/>
              </w:rPr>
            </w:pPr>
            <w:r w:rsidRPr="007F099A">
              <w:rPr>
                <w:sz w:val="22"/>
                <w:szCs w:val="22"/>
                <w:lang w:val="en-US"/>
              </w:rPr>
              <w:t>11</w:t>
            </w:r>
          </w:p>
        </w:tc>
        <w:tc>
          <w:tcPr>
            <w:tcW w:w="3821" w:type="dxa"/>
          </w:tcPr>
          <w:p w14:paraId="40BE0342" w14:textId="77777777" w:rsidR="002835D9" w:rsidRDefault="002835D9" w:rsidP="00A03E7B">
            <w:pPr>
              <w:rPr>
                <w:sz w:val="22"/>
                <w:szCs w:val="22"/>
                <w:lang w:val="en-US"/>
              </w:rPr>
            </w:pPr>
            <w:r>
              <w:rPr>
                <w:sz w:val="22"/>
                <w:szCs w:val="22"/>
                <w:lang w:val="en-US"/>
              </w:rPr>
              <w:t xml:space="preserve">Redundant </w:t>
            </w:r>
          </w:p>
        </w:tc>
      </w:tr>
      <w:tr w:rsidR="002835D9" w14:paraId="75EDA2F2" w14:textId="77777777" w:rsidTr="001C7493">
        <w:tc>
          <w:tcPr>
            <w:tcW w:w="8642" w:type="dxa"/>
          </w:tcPr>
          <w:p w14:paraId="2EC43200" w14:textId="77777777" w:rsidR="002835D9" w:rsidRDefault="002835D9" w:rsidP="00A03E7B">
            <w:pPr>
              <w:rPr>
                <w:b/>
                <w:sz w:val="22"/>
                <w:szCs w:val="22"/>
                <w:lang w:val="en-US"/>
              </w:rPr>
            </w:pPr>
          </w:p>
        </w:tc>
        <w:tc>
          <w:tcPr>
            <w:tcW w:w="1418" w:type="dxa"/>
          </w:tcPr>
          <w:p w14:paraId="37BF05B7" w14:textId="77777777" w:rsidR="002835D9" w:rsidRPr="00566747" w:rsidRDefault="002835D9" w:rsidP="00A03E7B">
            <w:pPr>
              <w:rPr>
                <w:b/>
                <w:sz w:val="22"/>
                <w:szCs w:val="22"/>
                <w:lang w:val="en-US"/>
              </w:rPr>
            </w:pPr>
            <w:r>
              <w:rPr>
                <w:b/>
                <w:sz w:val="22"/>
                <w:szCs w:val="22"/>
                <w:lang w:val="en-US"/>
              </w:rPr>
              <w:t>IX.7</w:t>
            </w:r>
          </w:p>
        </w:tc>
        <w:tc>
          <w:tcPr>
            <w:tcW w:w="3821" w:type="dxa"/>
          </w:tcPr>
          <w:p w14:paraId="364AFD8C" w14:textId="77777777" w:rsidR="002835D9" w:rsidRDefault="002835D9" w:rsidP="00A03E7B">
            <w:pPr>
              <w:rPr>
                <w:sz w:val="22"/>
                <w:szCs w:val="22"/>
                <w:lang w:val="en-US"/>
              </w:rPr>
            </w:pPr>
          </w:p>
        </w:tc>
      </w:tr>
      <w:tr w:rsidR="002835D9" w14:paraId="169945FF" w14:textId="77777777" w:rsidTr="001C7493">
        <w:tc>
          <w:tcPr>
            <w:tcW w:w="8642" w:type="dxa"/>
          </w:tcPr>
          <w:p w14:paraId="38911BDF" w14:textId="77777777" w:rsidR="002835D9" w:rsidRPr="001C13CF" w:rsidRDefault="002835D9" w:rsidP="00A03E7B">
            <w:pPr>
              <w:ind w:firstLine="25"/>
              <w:rPr>
                <w:sz w:val="22"/>
                <w:szCs w:val="22"/>
                <w:lang w:val="en-US"/>
              </w:rPr>
            </w:pPr>
            <w:r w:rsidRPr="001C13CF">
              <w:rPr>
                <w:sz w:val="22"/>
                <w:szCs w:val="22"/>
                <w:lang w:val="en-US"/>
              </w:rPr>
              <w:t xml:space="preserve">AGREES to contribute financial support from the Convention core budget line “Support to Regional Initiatives” for the 2006-2008 triennium for specific regional initiatives, which qualify by fully meeting the conditions for support set out in the Annex to Resolution VIII.30, specifically paragraphs 8-10, at the levels indicated in Annex I.C for 2006; and ALSO AGREES that levels of financial support for 2007 and 2008 will be determined by the Standing Committee based on recommendations made by the Subgroup on Finance; </w:t>
            </w:r>
          </w:p>
        </w:tc>
        <w:tc>
          <w:tcPr>
            <w:tcW w:w="1418" w:type="dxa"/>
          </w:tcPr>
          <w:p w14:paraId="31E6FA87" w14:textId="77777777" w:rsidR="002835D9" w:rsidRPr="001C13CF" w:rsidRDefault="002835D9" w:rsidP="00A03E7B">
            <w:pPr>
              <w:rPr>
                <w:sz w:val="22"/>
                <w:szCs w:val="22"/>
                <w:lang w:val="en-US"/>
              </w:rPr>
            </w:pPr>
            <w:r w:rsidRPr="001C13CF">
              <w:rPr>
                <w:sz w:val="22"/>
                <w:szCs w:val="22"/>
                <w:lang w:val="en-US"/>
              </w:rPr>
              <w:t>9</w:t>
            </w:r>
          </w:p>
        </w:tc>
        <w:tc>
          <w:tcPr>
            <w:tcW w:w="3821" w:type="dxa"/>
          </w:tcPr>
          <w:p w14:paraId="0525CF95" w14:textId="77777777" w:rsidR="002835D9" w:rsidRDefault="002835D9" w:rsidP="00A03E7B">
            <w:pPr>
              <w:rPr>
                <w:sz w:val="22"/>
                <w:szCs w:val="22"/>
                <w:lang w:val="en-US"/>
              </w:rPr>
            </w:pPr>
            <w:r>
              <w:rPr>
                <w:sz w:val="22"/>
                <w:szCs w:val="22"/>
                <w:lang w:val="en-US"/>
              </w:rPr>
              <w:t xml:space="preserve">Redundant </w:t>
            </w:r>
          </w:p>
        </w:tc>
      </w:tr>
      <w:tr w:rsidR="002835D9" w14:paraId="52616454" w14:textId="77777777" w:rsidTr="001C7493">
        <w:tc>
          <w:tcPr>
            <w:tcW w:w="8642" w:type="dxa"/>
          </w:tcPr>
          <w:p w14:paraId="111F0A53" w14:textId="77777777" w:rsidR="002835D9" w:rsidRPr="001C13CF" w:rsidRDefault="002835D9" w:rsidP="00A03E7B">
            <w:pPr>
              <w:rPr>
                <w:sz w:val="22"/>
                <w:szCs w:val="22"/>
                <w:lang w:val="en-US"/>
              </w:rPr>
            </w:pPr>
            <w:r w:rsidRPr="001C13CF">
              <w:rPr>
                <w:sz w:val="22"/>
                <w:szCs w:val="22"/>
                <w:lang w:val="en-US"/>
              </w:rPr>
              <w:t>RECOGNIZES that financial support for the outposted Ramsar Oceania regional support officer is included in the Staff Costs of the Secretariat for 2006-2008 (Resolution IX.12, Annex I, Financial and Budgetary Matters);</w:t>
            </w:r>
          </w:p>
        </w:tc>
        <w:tc>
          <w:tcPr>
            <w:tcW w:w="1418" w:type="dxa"/>
          </w:tcPr>
          <w:p w14:paraId="6EDBDEF4" w14:textId="62E8A785" w:rsidR="002835D9" w:rsidRPr="001C13CF" w:rsidRDefault="0080500A" w:rsidP="00A03E7B">
            <w:pPr>
              <w:rPr>
                <w:sz w:val="22"/>
                <w:szCs w:val="22"/>
                <w:lang w:val="en-US"/>
              </w:rPr>
            </w:pPr>
            <w:r>
              <w:rPr>
                <w:sz w:val="22"/>
                <w:szCs w:val="22"/>
                <w:lang w:val="en-US"/>
              </w:rPr>
              <w:t>11</w:t>
            </w:r>
          </w:p>
        </w:tc>
        <w:tc>
          <w:tcPr>
            <w:tcW w:w="3821" w:type="dxa"/>
          </w:tcPr>
          <w:p w14:paraId="04051774" w14:textId="77777777" w:rsidR="002835D9" w:rsidRDefault="002835D9" w:rsidP="00A03E7B">
            <w:pPr>
              <w:rPr>
                <w:sz w:val="22"/>
                <w:szCs w:val="22"/>
                <w:lang w:val="en-US"/>
              </w:rPr>
            </w:pPr>
            <w:r>
              <w:rPr>
                <w:sz w:val="22"/>
                <w:szCs w:val="22"/>
                <w:lang w:val="en-US"/>
              </w:rPr>
              <w:t xml:space="preserve">Redundant </w:t>
            </w:r>
          </w:p>
        </w:tc>
      </w:tr>
      <w:tr w:rsidR="002835D9" w:rsidRPr="007D2147" w14:paraId="09E9B920" w14:textId="77777777" w:rsidTr="001C7493">
        <w:tc>
          <w:tcPr>
            <w:tcW w:w="8642" w:type="dxa"/>
          </w:tcPr>
          <w:p w14:paraId="7D52C447" w14:textId="77777777" w:rsidR="002835D9" w:rsidRPr="007D2147" w:rsidRDefault="002835D9" w:rsidP="00A03E7B">
            <w:pPr>
              <w:pStyle w:val="NormalWeb"/>
              <w:rPr>
                <w:rFonts w:asciiTheme="minorHAnsi" w:hAnsiTheme="minorHAnsi"/>
                <w:sz w:val="22"/>
                <w:szCs w:val="22"/>
                <w:lang w:val="en-US"/>
              </w:rPr>
            </w:pPr>
            <w:r w:rsidRPr="007D2147">
              <w:rPr>
                <w:rFonts w:asciiTheme="minorHAnsi" w:hAnsiTheme="minorHAnsi"/>
                <w:sz w:val="22"/>
                <w:szCs w:val="22"/>
                <w:lang w:val="en-US"/>
              </w:rPr>
              <w:lastRenderedPageBreak/>
              <w:t xml:space="preserve">AUTHORIZES the Standing Committee to approve, between meetings of the Conference of the Contracting Parties, qualifying initiatives which have zero financial implications for the Convention’s core budget, and ALSO AUTHORIZES the Standing Committee, within the global allocation for the triennium of the Convention core budget line “Support to Regional Initiatives”, to reallocate funding, if considered appropriate, depending on shifts in priorities and needs in response to requests from initiatives, and REQUESTS the Standing Committee to report to COP10 on the development and funding of the suite of initiatives established by 2008; </w:t>
            </w:r>
          </w:p>
        </w:tc>
        <w:tc>
          <w:tcPr>
            <w:tcW w:w="1418" w:type="dxa"/>
          </w:tcPr>
          <w:p w14:paraId="6B40C8DC" w14:textId="77777777" w:rsidR="002835D9" w:rsidRPr="001C13CF" w:rsidRDefault="002835D9" w:rsidP="00A03E7B">
            <w:pPr>
              <w:rPr>
                <w:sz w:val="22"/>
                <w:szCs w:val="22"/>
                <w:lang w:val="en-US"/>
              </w:rPr>
            </w:pPr>
            <w:r>
              <w:rPr>
                <w:sz w:val="22"/>
                <w:szCs w:val="22"/>
                <w:lang w:val="en-US"/>
              </w:rPr>
              <w:t>13</w:t>
            </w:r>
          </w:p>
        </w:tc>
        <w:tc>
          <w:tcPr>
            <w:tcW w:w="3821" w:type="dxa"/>
          </w:tcPr>
          <w:p w14:paraId="2F667D82" w14:textId="77777777" w:rsidR="002835D9" w:rsidRDefault="002835D9" w:rsidP="00A03E7B">
            <w:pPr>
              <w:rPr>
                <w:sz w:val="22"/>
                <w:szCs w:val="22"/>
                <w:lang w:val="en-US"/>
              </w:rPr>
            </w:pPr>
            <w:r>
              <w:rPr>
                <w:sz w:val="22"/>
                <w:szCs w:val="22"/>
                <w:lang w:val="en-US"/>
              </w:rPr>
              <w:t xml:space="preserve">Redundant </w:t>
            </w:r>
          </w:p>
        </w:tc>
      </w:tr>
      <w:tr w:rsidR="002835D9" w:rsidRPr="007D2147" w14:paraId="70C9CB38" w14:textId="77777777" w:rsidTr="001C7493">
        <w:tc>
          <w:tcPr>
            <w:tcW w:w="8642" w:type="dxa"/>
          </w:tcPr>
          <w:p w14:paraId="666FAC62" w14:textId="77777777" w:rsidR="002835D9" w:rsidRPr="007D2147" w:rsidRDefault="002835D9" w:rsidP="00A03E7B">
            <w:pPr>
              <w:pStyle w:val="NormalWeb"/>
              <w:rPr>
                <w:rFonts w:asciiTheme="minorHAnsi" w:hAnsiTheme="minorHAnsi"/>
                <w:sz w:val="22"/>
                <w:szCs w:val="22"/>
                <w:lang w:val="en-US"/>
              </w:rPr>
            </w:pPr>
          </w:p>
        </w:tc>
        <w:tc>
          <w:tcPr>
            <w:tcW w:w="1418" w:type="dxa"/>
          </w:tcPr>
          <w:p w14:paraId="65350870" w14:textId="77777777" w:rsidR="002835D9" w:rsidRPr="001D4C9F" w:rsidRDefault="002835D9" w:rsidP="00A03E7B">
            <w:pPr>
              <w:rPr>
                <w:b/>
                <w:sz w:val="22"/>
                <w:szCs w:val="22"/>
                <w:lang w:val="en-US"/>
              </w:rPr>
            </w:pPr>
            <w:r w:rsidRPr="001D4C9F">
              <w:rPr>
                <w:b/>
                <w:sz w:val="22"/>
                <w:szCs w:val="22"/>
                <w:lang w:val="en-US"/>
              </w:rPr>
              <w:t>VIII.30</w:t>
            </w:r>
          </w:p>
        </w:tc>
        <w:tc>
          <w:tcPr>
            <w:tcW w:w="3821" w:type="dxa"/>
          </w:tcPr>
          <w:p w14:paraId="3E918C8D" w14:textId="77777777" w:rsidR="002835D9" w:rsidRDefault="002835D9" w:rsidP="00A03E7B">
            <w:pPr>
              <w:rPr>
                <w:sz w:val="22"/>
                <w:szCs w:val="22"/>
                <w:lang w:val="en-US"/>
              </w:rPr>
            </w:pPr>
          </w:p>
        </w:tc>
      </w:tr>
      <w:tr w:rsidR="002835D9" w:rsidRPr="007D2147" w14:paraId="3D5F6676" w14:textId="77777777" w:rsidTr="001C7493">
        <w:tc>
          <w:tcPr>
            <w:tcW w:w="8642" w:type="dxa"/>
          </w:tcPr>
          <w:p w14:paraId="088626EC" w14:textId="77777777" w:rsidR="002835D9" w:rsidRPr="007D2147" w:rsidRDefault="002835D9" w:rsidP="00A03E7B">
            <w:pPr>
              <w:pStyle w:val="NormalWeb"/>
              <w:rPr>
                <w:rFonts w:asciiTheme="minorHAnsi" w:hAnsiTheme="minorHAnsi"/>
                <w:sz w:val="22"/>
                <w:szCs w:val="22"/>
                <w:lang w:val="en-US"/>
              </w:rPr>
            </w:pPr>
            <w:r w:rsidRPr="001D4C9F">
              <w:rPr>
                <w:rFonts w:asciiTheme="minorHAnsi" w:hAnsiTheme="minorHAnsi"/>
                <w:sz w:val="22"/>
                <w:szCs w:val="22"/>
                <w:lang w:val="en-US"/>
              </w:rPr>
              <w:t xml:space="preserve">CONSIDERS appropriate the inclusion of a budget line “Support to Regional Initiatives”, when one or more regional initiatives are evaluated by the COP, in accordance with the above </w:t>
            </w:r>
            <w:r w:rsidRPr="001D4C9F">
              <w:rPr>
                <w:rFonts w:asciiTheme="minorHAnsi" w:hAnsiTheme="minorHAnsi"/>
                <w:i/>
                <w:iCs/>
                <w:sz w:val="22"/>
                <w:szCs w:val="22"/>
                <w:lang w:val="en-US"/>
              </w:rPr>
              <w:t>Guidance</w:t>
            </w:r>
            <w:r w:rsidRPr="001D4C9F">
              <w:rPr>
                <w:rFonts w:asciiTheme="minorHAnsi" w:hAnsiTheme="minorHAnsi"/>
                <w:sz w:val="22"/>
                <w:szCs w:val="22"/>
                <w:lang w:val="en-US"/>
              </w:rPr>
              <w:t xml:space="preserve">, as worthy for financial support from the Convention core budget; </w:t>
            </w:r>
          </w:p>
        </w:tc>
        <w:tc>
          <w:tcPr>
            <w:tcW w:w="1418" w:type="dxa"/>
          </w:tcPr>
          <w:p w14:paraId="1D8FDDB7" w14:textId="77777777" w:rsidR="002835D9" w:rsidRDefault="002835D9" w:rsidP="00A03E7B">
            <w:pPr>
              <w:rPr>
                <w:sz w:val="22"/>
                <w:szCs w:val="22"/>
                <w:lang w:val="en-US"/>
              </w:rPr>
            </w:pPr>
            <w:r>
              <w:rPr>
                <w:sz w:val="22"/>
                <w:szCs w:val="22"/>
                <w:lang w:val="en-US"/>
              </w:rPr>
              <w:t>9</w:t>
            </w:r>
          </w:p>
        </w:tc>
        <w:tc>
          <w:tcPr>
            <w:tcW w:w="3821" w:type="dxa"/>
          </w:tcPr>
          <w:p w14:paraId="33396EE0" w14:textId="77777777" w:rsidR="002835D9" w:rsidRDefault="002835D9" w:rsidP="00A03E7B">
            <w:pPr>
              <w:rPr>
                <w:sz w:val="22"/>
                <w:szCs w:val="22"/>
                <w:lang w:val="en-US"/>
              </w:rPr>
            </w:pPr>
            <w:r>
              <w:rPr>
                <w:sz w:val="22"/>
                <w:szCs w:val="22"/>
                <w:lang w:val="en-US"/>
              </w:rPr>
              <w:t xml:space="preserve">Redundant </w:t>
            </w:r>
          </w:p>
        </w:tc>
      </w:tr>
      <w:tr w:rsidR="002835D9" w14:paraId="55AAB16E" w14:textId="77777777" w:rsidTr="001C7493">
        <w:tc>
          <w:tcPr>
            <w:tcW w:w="8642" w:type="dxa"/>
          </w:tcPr>
          <w:p w14:paraId="0FEA839A" w14:textId="77777777" w:rsidR="002835D9" w:rsidRDefault="002835D9" w:rsidP="00A03E7B">
            <w:pPr>
              <w:rPr>
                <w:b/>
                <w:sz w:val="22"/>
                <w:szCs w:val="22"/>
                <w:lang w:val="en-US"/>
              </w:rPr>
            </w:pPr>
            <w:r>
              <w:rPr>
                <w:b/>
                <w:sz w:val="22"/>
                <w:szCs w:val="22"/>
                <w:lang w:val="en-US"/>
              </w:rPr>
              <w:t xml:space="preserve">Support from Secretariat </w:t>
            </w:r>
          </w:p>
        </w:tc>
        <w:tc>
          <w:tcPr>
            <w:tcW w:w="1418" w:type="dxa"/>
          </w:tcPr>
          <w:p w14:paraId="32C77068" w14:textId="77777777" w:rsidR="002835D9" w:rsidRPr="00566747" w:rsidRDefault="002835D9" w:rsidP="00A03E7B">
            <w:pPr>
              <w:rPr>
                <w:b/>
                <w:sz w:val="22"/>
                <w:szCs w:val="22"/>
                <w:lang w:val="en-US"/>
              </w:rPr>
            </w:pPr>
          </w:p>
        </w:tc>
        <w:tc>
          <w:tcPr>
            <w:tcW w:w="3821" w:type="dxa"/>
          </w:tcPr>
          <w:p w14:paraId="283007DF" w14:textId="77777777" w:rsidR="002835D9" w:rsidRDefault="002835D9" w:rsidP="00A03E7B">
            <w:pPr>
              <w:rPr>
                <w:sz w:val="22"/>
                <w:szCs w:val="22"/>
                <w:lang w:val="en-US"/>
              </w:rPr>
            </w:pPr>
          </w:p>
        </w:tc>
      </w:tr>
      <w:tr w:rsidR="002835D9" w14:paraId="1F9325DD" w14:textId="77777777" w:rsidTr="001C7493">
        <w:tc>
          <w:tcPr>
            <w:tcW w:w="8642" w:type="dxa"/>
          </w:tcPr>
          <w:p w14:paraId="1065A460" w14:textId="77777777" w:rsidR="002835D9" w:rsidRDefault="002835D9" w:rsidP="00A03E7B">
            <w:pPr>
              <w:rPr>
                <w:b/>
                <w:sz w:val="22"/>
                <w:szCs w:val="22"/>
                <w:lang w:val="en-US"/>
              </w:rPr>
            </w:pPr>
          </w:p>
        </w:tc>
        <w:tc>
          <w:tcPr>
            <w:tcW w:w="1418" w:type="dxa"/>
          </w:tcPr>
          <w:p w14:paraId="265FC16E" w14:textId="77777777" w:rsidR="002835D9" w:rsidRPr="00566747" w:rsidRDefault="002835D9" w:rsidP="00A03E7B">
            <w:pPr>
              <w:rPr>
                <w:b/>
                <w:sz w:val="22"/>
                <w:szCs w:val="22"/>
                <w:lang w:val="en-US"/>
              </w:rPr>
            </w:pPr>
            <w:r>
              <w:rPr>
                <w:b/>
                <w:sz w:val="22"/>
                <w:szCs w:val="22"/>
                <w:lang w:val="en-US"/>
              </w:rPr>
              <w:t>XI</w:t>
            </w:r>
            <w:r w:rsidR="000C130A">
              <w:rPr>
                <w:b/>
                <w:sz w:val="22"/>
                <w:szCs w:val="22"/>
                <w:lang w:val="en-US"/>
              </w:rPr>
              <w:t>.5</w:t>
            </w:r>
          </w:p>
        </w:tc>
        <w:tc>
          <w:tcPr>
            <w:tcW w:w="3821" w:type="dxa"/>
          </w:tcPr>
          <w:p w14:paraId="428C6889" w14:textId="77777777" w:rsidR="002835D9" w:rsidRDefault="002835D9" w:rsidP="00A03E7B">
            <w:pPr>
              <w:rPr>
                <w:sz w:val="22"/>
                <w:szCs w:val="22"/>
                <w:lang w:val="en-US"/>
              </w:rPr>
            </w:pPr>
          </w:p>
        </w:tc>
      </w:tr>
      <w:tr w:rsidR="002835D9" w:rsidRPr="00217036" w14:paraId="734FDA7A" w14:textId="77777777" w:rsidTr="001C7493">
        <w:tc>
          <w:tcPr>
            <w:tcW w:w="8642" w:type="dxa"/>
          </w:tcPr>
          <w:p w14:paraId="6B205DCF" w14:textId="77777777" w:rsidR="002835D9" w:rsidRPr="004C0094" w:rsidRDefault="002835D9" w:rsidP="00A03E7B">
            <w:pPr>
              <w:rPr>
                <w:sz w:val="22"/>
                <w:szCs w:val="22"/>
                <w:lang w:val="en-US"/>
              </w:rPr>
            </w:pPr>
            <w:r w:rsidRPr="004C0094">
              <w:rPr>
                <w:sz w:val="22"/>
                <w:szCs w:val="22"/>
                <w:lang w:val="en-US"/>
              </w:rPr>
              <w:t>ENCOURAGES the Secretariat to support Regional Initiatives, to the limit of its means, so as to reinforce their capacity and optimize their management by identifying and providing support by official supporting letters, advice, and orientations about fundraising and implementation; and</w:t>
            </w:r>
          </w:p>
        </w:tc>
        <w:tc>
          <w:tcPr>
            <w:tcW w:w="1418" w:type="dxa"/>
          </w:tcPr>
          <w:p w14:paraId="53BBB5D3" w14:textId="77777777" w:rsidR="002835D9" w:rsidRPr="00C6798B" w:rsidRDefault="002835D9" w:rsidP="00A03E7B">
            <w:pPr>
              <w:rPr>
                <w:sz w:val="22"/>
                <w:szCs w:val="22"/>
                <w:lang w:val="en-US"/>
              </w:rPr>
            </w:pPr>
            <w:r w:rsidRPr="00C6798B">
              <w:rPr>
                <w:sz w:val="22"/>
                <w:szCs w:val="22"/>
                <w:lang w:val="en-US"/>
              </w:rPr>
              <w:t>27</w:t>
            </w:r>
          </w:p>
        </w:tc>
        <w:tc>
          <w:tcPr>
            <w:tcW w:w="3821" w:type="dxa"/>
          </w:tcPr>
          <w:p w14:paraId="633B4195" w14:textId="77777777" w:rsidR="002835D9" w:rsidRDefault="002835D9" w:rsidP="00A03E7B">
            <w:pPr>
              <w:rPr>
                <w:sz w:val="22"/>
                <w:szCs w:val="22"/>
                <w:lang w:val="en-US"/>
              </w:rPr>
            </w:pPr>
            <w:r>
              <w:rPr>
                <w:sz w:val="22"/>
                <w:szCs w:val="22"/>
                <w:lang w:val="en-US"/>
              </w:rPr>
              <w:t>Inconsistent with para 21 of XIII.9.</w:t>
            </w:r>
          </w:p>
        </w:tc>
      </w:tr>
      <w:tr w:rsidR="002835D9" w14:paraId="44775A70" w14:textId="77777777" w:rsidTr="001C7493">
        <w:tc>
          <w:tcPr>
            <w:tcW w:w="8642" w:type="dxa"/>
          </w:tcPr>
          <w:p w14:paraId="597D62FE" w14:textId="77777777" w:rsidR="002835D9" w:rsidRDefault="002835D9" w:rsidP="00A03E7B">
            <w:pPr>
              <w:rPr>
                <w:b/>
                <w:sz w:val="22"/>
                <w:szCs w:val="22"/>
                <w:lang w:val="en-US"/>
              </w:rPr>
            </w:pPr>
            <w:r>
              <w:rPr>
                <w:b/>
                <w:sz w:val="22"/>
                <w:szCs w:val="22"/>
                <w:lang w:val="en-US"/>
              </w:rPr>
              <w:t>Other</w:t>
            </w:r>
          </w:p>
        </w:tc>
        <w:tc>
          <w:tcPr>
            <w:tcW w:w="1418" w:type="dxa"/>
          </w:tcPr>
          <w:p w14:paraId="3A4BA109" w14:textId="77777777" w:rsidR="002835D9" w:rsidRPr="00566747" w:rsidRDefault="002835D9" w:rsidP="00A03E7B">
            <w:pPr>
              <w:rPr>
                <w:b/>
                <w:sz w:val="22"/>
                <w:szCs w:val="22"/>
                <w:lang w:val="en-US"/>
              </w:rPr>
            </w:pPr>
          </w:p>
        </w:tc>
        <w:tc>
          <w:tcPr>
            <w:tcW w:w="3821" w:type="dxa"/>
          </w:tcPr>
          <w:p w14:paraId="026DAC4B" w14:textId="77777777" w:rsidR="002835D9" w:rsidRDefault="002835D9" w:rsidP="00A03E7B">
            <w:pPr>
              <w:rPr>
                <w:sz w:val="22"/>
                <w:szCs w:val="22"/>
                <w:lang w:val="en-US"/>
              </w:rPr>
            </w:pPr>
          </w:p>
        </w:tc>
      </w:tr>
      <w:tr w:rsidR="002835D9" w14:paraId="4B563722" w14:textId="77777777" w:rsidTr="001C7493">
        <w:tc>
          <w:tcPr>
            <w:tcW w:w="8642" w:type="dxa"/>
          </w:tcPr>
          <w:p w14:paraId="31D56670" w14:textId="77777777" w:rsidR="002835D9" w:rsidRDefault="002835D9" w:rsidP="00A03E7B">
            <w:pPr>
              <w:rPr>
                <w:b/>
                <w:sz w:val="22"/>
                <w:szCs w:val="22"/>
                <w:lang w:val="en-US"/>
              </w:rPr>
            </w:pPr>
          </w:p>
        </w:tc>
        <w:tc>
          <w:tcPr>
            <w:tcW w:w="1418" w:type="dxa"/>
          </w:tcPr>
          <w:p w14:paraId="62C7A8CF" w14:textId="77777777" w:rsidR="002835D9" w:rsidRPr="00566747" w:rsidRDefault="002835D9" w:rsidP="00A03E7B">
            <w:pPr>
              <w:rPr>
                <w:b/>
                <w:sz w:val="22"/>
                <w:szCs w:val="22"/>
                <w:lang w:val="en-US"/>
              </w:rPr>
            </w:pPr>
            <w:r>
              <w:rPr>
                <w:b/>
                <w:sz w:val="22"/>
                <w:szCs w:val="22"/>
                <w:lang w:val="en-US"/>
              </w:rPr>
              <w:t>XI</w:t>
            </w:r>
            <w:r w:rsidR="000C130A">
              <w:rPr>
                <w:b/>
                <w:sz w:val="22"/>
                <w:szCs w:val="22"/>
                <w:lang w:val="en-US"/>
              </w:rPr>
              <w:t>.5</w:t>
            </w:r>
          </w:p>
        </w:tc>
        <w:tc>
          <w:tcPr>
            <w:tcW w:w="3821" w:type="dxa"/>
          </w:tcPr>
          <w:p w14:paraId="20A3EA0A" w14:textId="77777777" w:rsidR="002835D9" w:rsidRDefault="002835D9" w:rsidP="00A03E7B">
            <w:pPr>
              <w:rPr>
                <w:sz w:val="22"/>
                <w:szCs w:val="22"/>
                <w:lang w:val="en-US"/>
              </w:rPr>
            </w:pPr>
          </w:p>
        </w:tc>
      </w:tr>
      <w:tr w:rsidR="002835D9" w:rsidRPr="00217036" w14:paraId="6367A60A" w14:textId="77777777" w:rsidTr="001C7493">
        <w:tc>
          <w:tcPr>
            <w:tcW w:w="8642" w:type="dxa"/>
          </w:tcPr>
          <w:p w14:paraId="458DE15A" w14:textId="77777777" w:rsidR="002835D9" w:rsidRPr="000D2FEB" w:rsidRDefault="002835D9" w:rsidP="00A03E7B">
            <w:pPr>
              <w:ind w:left="25" w:hanging="25"/>
              <w:rPr>
                <w:sz w:val="22"/>
                <w:szCs w:val="22"/>
                <w:lang w:val="en-US"/>
              </w:rPr>
            </w:pPr>
            <w:r w:rsidRPr="000D2FEB">
              <w:rPr>
                <w:sz w:val="22"/>
                <w:szCs w:val="22"/>
                <w:lang w:val="en-US"/>
              </w:rPr>
              <w:t xml:space="preserve">INVITES all Regional Initiatives to sign a hosting agreement or similar appropriate instrument with their host organizations or countries within one year of their establishment, for the coming years in order to clarify the responsibilities in accordance with the Operational Guidelines; </w:t>
            </w:r>
          </w:p>
          <w:p w14:paraId="6F0B16E7" w14:textId="77777777" w:rsidR="002835D9" w:rsidRDefault="002835D9" w:rsidP="00A03E7B">
            <w:pPr>
              <w:rPr>
                <w:b/>
                <w:sz w:val="22"/>
                <w:szCs w:val="22"/>
                <w:lang w:val="en-US"/>
              </w:rPr>
            </w:pPr>
          </w:p>
        </w:tc>
        <w:tc>
          <w:tcPr>
            <w:tcW w:w="1418" w:type="dxa"/>
          </w:tcPr>
          <w:p w14:paraId="177A9AA0" w14:textId="77777777" w:rsidR="002835D9" w:rsidRPr="00CA11A1" w:rsidRDefault="002835D9" w:rsidP="00A03E7B">
            <w:pPr>
              <w:rPr>
                <w:sz w:val="22"/>
                <w:szCs w:val="22"/>
                <w:lang w:val="en-US"/>
              </w:rPr>
            </w:pPr>
            <w:r w:rsidRPr="00CA11A1">
              <w:rPr>
                <w:sz w:val="22"/>
                <w:szCs w:val="22"/>
                <w:lang w:val="en-US"/>
              </w:rPr>
              <w:t>20</w:t>
            </w:r>
          </w:p>
        </w:tc>
        <w:tc>
          <w:tcPr>
            <w:tcW w:w="3821" w:type="dxa"/>
          </w:tcPr>
          <w:p w14:paraId="558AA598" w14:textId="77777777" w:rsidR="002835D9" w:rsidRDefault="002835D9" w:rsidP="00A03E7B">
            <w:pPr>
              <w:rPr>
                <w:sz w:val="22"/>
                <w:szCs w:val="22"/>
                <w:lang w:val="en-US"/>
              </w:rPr>
            </w:pPr>
            <w:r>
              <w:rPr>
                <w:sz w:val="22"/>
                <w:szCs w:val="22"/>
                <w:lang w:val="en-US"/>
              </w:rPr>
              <w:t>Redundant (time bound – reference to Operational Guidelines).</w:t>
            </w:r>
          </w:p>
          <w:p w14:paraId="42FF9E45" w14:textId="77777777" w:rsidR="002835D9" w:rsidRDefault="002835D9" w:rsidP="00A03E7B">
            <w:pPr>
              <w:rPr>
                <w:sz w:val="22"/>
                <w:szCs w:val="22"/>
                <w:lang w:val="en-US"/>
              </w:rPr>
            </w:pPr>
            <w:r>
              <w:rPr>
                <w:sz w:val="22"/>
                <w:szCs w:val="22"/>
                <w:lang w:val="en-US"/>
              </w:rPr>
              <w:t>Inconsistent with paras 6, 8 of XIII.9.</w:t>
            </w:r>
          </w:p>
        </w:tc>
      </w:tr>
      <w:tr w:rsidR="002835D9" w14:paraId="4187CACB" w14:textId="77777777" w:rsidTr="001C7493">
        <w:tc>
          <w:tcPr>
            <w:tcW w:w="8642" w:type="dxa"/>
          </w:tcPr>
          <w:p w14:paraId="1A59B9D5" w14:textId="77777777" w:rsidR="002835D9" w:rsidRDefault="002835D9" w:rsidP="00A03E7B">
            <w:pPr>
              <w:rPr>
                <w:b/>
                <w:sz w:val="22"/>
                <w:szCs w:val="22"/>
                <w:lang w:val="en-US"/>
              </w:rPr>
            </w:pPr>
          </w:p>
        </w:tc>
        <w:tc>
          <w:tcPr>
            <w:tcW w:w="1418" w:type="dxa"/>
          </w:tcPr>
          <w:p w14:paraId="7F3ADEF1" w14:textId="77777777" w:rsidR="002835D9" w:rsidRPr="00566747" w:rsidRDefault="002835D9" w:rsidP="00A03E7B">
            <w:pPr>
              <w:rPr>
                <w:b/>
                <w:sz w:val="22"/>
                <w:szCs w:val="22"/>
                <w:lang w:val="en-US"/>
              </w:rPr>
            </w:pPr>
            <w:r>
              <w:rPr>
                <w:b/>
                <w:sz w:val="22"/>
                <w:szCs w:val="22"/>
                <w:lang w:val="en-US"/>
              </w:rPr>
              <w:t>IX.7</w:t>
            </w:r>
          </w:p>
        </w:tc>
        <w:tc>
          <w:tcPr>
            <w:tcW w:w="3821" w:type="dxa"/>
          </w:tcPr>
          <w:p w14:paraId="1087B718" w14:textId="77777777" w:rsidR="002835D9" w:rsidRDefault="002835D9" w:rsidP="00A03E7B">
            <w:pPr>
              <w:rPr>
                <w:sz w:val="22"/>
                <w:szCs w:val="22"/>
                <w:lang w:val="en-US"/>
              </w:rPr>
            </w:pPr>
          </w:p>
        </w:tc>
      </w:tr>
      <w:tr w:rsidR="002835D9" w14:paraId="2EBB6E3B" w14:textId="77777777" w:rsidTr="001C7493">
        <w:tc>
          <w:tcPr>
            <w:tcW w:w="8642" w:type="dxa"/>
          </w:tcPr>
          <w:p w14:paraId="117B94A2" w14:textId="0F0B78E7" w:rsidR="002835D9" w:rsidRPr="00D90B6F" w:rsidRDefault="002835D9" w:rsidP="00292D7A">
            <w:pPr>
              <w:rPr>
                <w:sz w:val="22"/>
                <w:szCs w:val="22"/>
                <w:lang w:val="en-US"/>
              </w:rPr>
            </w:pPr>
            <w:r w:rsidRPr="007B6D88">
              <w:rPr>
                <w:sz w:val="22"/>
                <w:szCs w:val="22"/>
                <w:lang w:val="en-US"/>
              </w:rPr>
              <w:t>ENDORSES the Regional Initiatives listed in Annex I.A to this Resolution as being within the framework of the Convention on Wetlands in line with the Annex to Resolution VIII.30 and UNDERLINES their value for implementation of the Convention at regional level;</w:t>
            </w:r>
          </w:p>
        </w:tc>
        <w:tc>
          <w:tcPr>
            <w:tcW w:w="1418" w:type="dxa"/>
          </w:tcPr>
          <w:p w14:paraId="4D01B7E2" w14:textId="77777777" w:rsidR="002835D9" w:rsidRPr="00D90B6F" w:rsidRDefault="002835D9" w:rsidP="00A03E7B">
            <w:pPr>
              <w:rPr>
                <w:sz w:val="22"/>
                <w:szCs w:val="22"/>
                <w:lang w:val="en-US"/>
              </w:rPr>
            </w:pPr>
            <w:r>
              <w:rPr>
                <w:sz w:val="22"/>
                <w:szCs w:val="22"/>
                <w:lang w:val="en-US"/>
              </w:rPr>
              <w:t>7</w:t>
            </w:r>
          </w:p>
        </w:tc>
        <w:tc>
          <w:tcPr>
            <w:tcW w:w="3821" w:type="dxa"/>
          </w:tcPr>
          <w:p w14:paraId="55F8394F" w14:textId="77777777" w:rsidR="002835D9" w:rsidRDefault="002835D9" w:rsidP="00A03E7B">
            <w:pPr>
              <w:rPr>
                <w:sz w:val="22"/>
                <w:szCs w:val="22"/>
                <w:lang w:val="en-US"/>
              </w:rPr>
            </w:pPr>
            <w:r>
              <w:rPr>
                <w:sz w:val="22"/>
                <w:szCs w:val="22"/>
                <w:lang w:val="en-US"/>
              </w:rPr>
              <w:t xml:space="preserve">Redundant </w:t>
            </w:r>
          </w:p>
        </w:tc>
      </w:tr>
      <w:tr w:rsidR="002835D9" w14:paraId="1B8C9EEA" w14:textId="77777777" w:rsidTr="001C7493">
        <w:tc>
          <w:tcPr>
            <w:tcW w:w="8642" w:type="dxa"/>
          </w:tcPr>
          <w:p w14:paraId="6780A1CD" w14:textId="77777777" w:rsidR="002835D9" w:rsidRPr="00D90B6F" w:rsidRDefault="002835D9" w:rsidP="00A03E7B">
            <w:pPr>
              <w:ind w:firstLine="25"/>
              <w:rPr>
                <w:sz w:val="22"/>
                <w:szCs w:val="22"/>
                <w:lang w:val="en-US"/>
              </w:rPr>
            </w:pPr>
            <w:r w:rsidRPr="00D90B6F">
              <w:rPr>
                <w:sz w:val="22"/>
                <w:szCs w:val="22"/>
                <w:lang w:val="en-US"/>
              </w:rPr>
              <w:t xml:space="preserve">RECOGNIZES the potential for those regional initiatives listed in Annex I.B to this Resolution to become operative within the framework of the Convention, subject to further development, and URGES the Parties concerned to progress their development and report to COP10 for consideration for endorsement; </w:t>
            </w:r>
          </w:p>
          <w:p w14:paraId="4CCC238B" w14:textId="77777777" w:rsidR="002835D9" w:rsidRDefault="002835D9" w:rsidP="00A03E7B">
            <w:pPr>
              <w:rPr>
                <w:b/>
                <w:sz w:val="22"/>
                <w:szCs w:val="22"/>
                <w:lang w:val="en-US"/>
              </w:rPr>
            </w:pPr>
          </w:p>
        </w:tc>
        <w:tc>
          <w:tcPr>
            <w:tcW w:w="1418" w:type="dxa"/>
          </w:tcPr>
          <w:p w14:paraId="4E7C5ED1" w14:textId="77777777" w:rsidR="002835D9" w:rsidRPr="00D90B6F" w:rsidRDefault="002835D9" w:rsidP="00A03E7B">
            <w:pPr>
              <w:rPr>
                <w:sz w:val="22"/>
                <w:szCs w:val="22"/>
                <w:lang w:val="en-US"/>
              </w:rPr>
            </w:pPr>
            <w:r w:rsidRPr="00D90B6F">
              <w:rPr>
                <w:sz w:val="22"/>
                <w:szCs w:val="22"/>
                <w:lang w:val="en-US"/>
              </w:rPr>
              <w:lastRenderedPageBreak/>
              <w:t>8</w:t>
            </w:r>
          </w:p>
        </w:tc>
        <w:tc>
          <w:tcPr>
            <w:tcW w:w="3821" w:type="dxa"/>
          </w:tcPr>
          <w:p w14:paraId="144E512B" w14:textId="77777777" w:rsidR="002835D9" w:rsidRDefault="002835D9" w:rsidP="00A03E7B">
            <w:pPr>
              <w:rPr>
                <w:sz w:val="22"/>
                <w:szCs w:val="22"/>
                <w:lang w:val="en-US"/>
              </w:rPr>
            </w:pPr>
            <w:r>
              <w:rPr>
                <w:sz w:val="22"/>
                <w:szCs w:val="22"/>
                <w:lang w:val="en-US"/>
              </w:rPr>
              <w:t xml:space="preserve">Redundant </w:t>
            </w:r>
          </w:p>
        </w:tc>
      </w:tr>
      <w:tr w:rsidR="002835D9" w:rsidRPr="00AA7526" w14:paraId="41EF8035" w14:textId="77777777" w:rsidTr="001C7493">
        <w:tc>
          <w:tcPr>
            <w:tcW w:w="8642" w:type="dxa"/>
          </w:tcPr>
          <w:p w14:paraId="7CB924A3" w14:textId="77777777" w:rsidR="002835D9" w:rsidRPr="00C27AF1" w:rsidRDefault="002835D9" w:rsidP="00A03E7B">
            <w:pPr>
              <w:rPr>
                <w:sz w:val="22"/>
                <w:szCs w:val="22"/>
                <w:lang w:val="en-US"/>
              </w:rPr>
            </w:pPr>
          </w:p>
        </w:tc>
        <w:tc>
          <w:tcPr>
            <w:tcW w:w="1418" w:type="dxa"/>
          </w:tcPr>
          <w:p w14:paraId="65BF72CE" w14:textId="77777777" w:rsidR="002835D9" w:rsidRPr="003E144E" w:rsidRDefault="002835D9" w:rsidP="00A03E7B">
            <w:pPr>
              <w:rPr>
                <w:b/>
                <w:sz w:val="22"/>
                <w:szCs w:val="22"/>
                <w:lang w:val="en-US"/>
              </w:rPr>
            </w:pPr>
            <w:r w:rsidRPr="003E144E">
              <w:rPr>
                <w:b/>
                <w:sz w:val="22"/>
                <w:szCs w:val="22"/>
                <w:lang w:val="en-US"/>
              </w:rPr>
              <w:t>VII.43</w:t>
            </w:r>
          </w:p>
        </w:tc>
        <w:tc>
          <w:tcPr>
            <w:tcW w:w="3821" w:type="dxa"/>
          </w:tcPr>
          <w:p w14:paraId="7CA430C2" w14:textId="77777777" w:rsidR="002835D9" w:rsidRDefault="002835D9" w:rsidP="00A03E7B">
            <w:pPr>
              <w:rPr>
                <w:sz w:val="22"/>
                <w:szCs w:val="22"/>
                <w:lang w:val="en-US"/>
              </w:rPr>
            </w:pPr>
          </w:p>
        </w:tc>
      </w:tr>
      <w:tr w:rsidR="002835D9" w:rsidRPr="00AA7526" w14:paraId="7B0EDDFA" w14:textId="77777777" w:rsidTr="001C7493">
        <w:tc>
          <w:tcPr>
            <w:tcW w:w="8642" w:type="dxa"/>
          </w:tcPr>
          <w:p w14:paraId="1C16434E" w14:textId="77777777" w:rsidR="002835D9" w:rsidRPr="003E144E" w:rsidRDefault="002835D9" w:rsidP="00A03E7B">
            <w:pPr>
              <w:pStyle w:val="NormalWeb"/>
              <w:rPr>
                <w:rFonts w:asciiTheme="minorHAnsi" w:hAnsiTheme="minorHAnsi"/>
                <w:sz w:val="22"/>
                <w:szCs w:val="22"/>
                <w:lang w:val="en-US"/>
              </w:rPr>
            </w:pPr>
            <w:r w:rsidRPr="003E144E">
              <w:rPr>
                <w:rFonts w:asciiTheme="minorHAnsi" w:hAnsiTheme="minorHAnsi"/>
                <w:sz w:val="22"/>
                <w:szCs w:val="22"/>
                <w:lang w:val="en-US"/>
              </w:rPr>
              <w:t xml:space="preserve">APPROVES the initiative of the Contracting Parties interested in developing a </w:t>
            </w:r>
            <w:proofErr w:type="spellStart"/>
            <w:r w:rsidRPr="003E144E">
              <w:rPr>
                <w:rFonts w:asciiTheme="minorHAnsi" w:hAnsiTheme="minorHAnsi"/>
                <w:sz w:val="22"/>
                <w:szCs w:val="22"/>
                <w:lang w:val="en-US"/>
              </w:rPr>
              <w:t>subregional</w:t>
            </w:r>
            <w:proofErr w:type="spellEnd"/>
            <w:r w:rsidRPr="003E144E">
              <w:rPr>
                <w:rFonts w:asciiTheme="minorHAnsi" w:hAnsiTheme="minorHAnsi"/>
                <w:sz w:val="22"/>
                <w:szCs w:val="22"/>
                <w:lang w:val="en-US"/>
              </w:rPr>
              <w:t xml:space="preserve"> strategy for the Ramsar Convention for South America; </w:t>
            </w:r>
          </w:p>
        </w:tc>
        <w:tc>
          <w:tcPr>
            <w:tcW w:w="1418" w:type="dxa"/>
          </w:tcPr>
          <w:p w14:paraId="1D20B6D8" w14:textId="77777777" w:rsidR="002835D9" w:rsidRPr="00C27AF1" w:rsidRDefault="002835D9" w:rsidP="00A03E7B">
            <w:pPr>
              <w:rPr>
                <w:sz w:val="22"/>
                <w:szCs w:val="22"/>
                <w:lang w:val="en-US"/>
              </w:rPr>
            </w:pPr>
            <w:r>
              <w:rPr>
                <w:sz w:val="22"/>
                <w:szCs w:val="22"/>
                <w:lang w:val="en-US"/>
              </w:rPr>
              <w:t>7</w:t>
            </w:r>
          </w:p>
        </w:tc>
        <w:tc>
          <w:tcPr>
            <w:tcW w:w="3821" w:type="dxa"/>
          </w:tcPr>
          <w:p w14:paraId="0B133618" w14:textId="77777777" w:rsidR="002835D9" w:rsidRDefault="002835D9" w:rsidP="00A03E7B">
            <w:pPr>
              <w:rPr>
                <w:sz w:val="22"/>
                <w:szCs w:val="22"/>
                <w:lang w:val="en-US"/>
              </w:rPr>
            </w:pPr>
            <w:r>
              <w:rPr>
                <w:sz w:val="22"/>
                <w:szCs w:val="22"/>
                <w:lang w:val="en-US"/>
              </w:rPr>
              <w:t xml:space="preserve">Redundant </w:t>
            </w:r>
          </w:p>
        </w:tc>
      </w:tr>
      <w:tr w:rsidR="002835D9" w:rsidRPr="00AA7526" w14:paraId="5CD8E869" w14:textId="77777777" w:rsidTr="001C7493">
        <w:tc>
          <w:tcPr>
            <w:tcW w:w="8642" w:type="dxa"/>
          </w:tcPr>
          <w:p w14:paraId="0466C6EC" w14:textId="77777777" w:rsidR="002835D9" w:rsidRPr="003E144E" w:rsidRDefault="002835D9" w:rsidP="00A03E7B">
            <w:pPr>
              <w:pStyle w:val="NormalWeb"/>
              <w:rPr>
                <w:rFonts w:asciiTheme="minorHAnsi" w:hAnsiTheme="minorHAnsi"/>
                <w:sz w:val="22"/>
                <w:szCs w:val="22"/>
                <w:lang w:val="en-US"/>
              </w:rPr>
            </w:pPr>
            <w:r w:rsidRPr="003E144E">
              <w:rPr>
                <w:rFonts w:asciiTheme="minorHAnsi" w:hAnsiTheme="minorHAnsi"/>
                <w:sz w:val="22"/>
                <w:szCs w:val="22"/>
                <w:lang w:val="en-US"/>
              </w:rPr>
              <w:t xml:space="preserve">URGES the Contracting Parties of that subregion to continue striving to develop this strategy, involving the participation of Ramsar National Committees or equivalent bodies in each country in both the design and implementation phases, within the spirit of Resolution VIII.30 on </w:t>
            </w:r>
            <w:r w:rsidRPr="003E144E">
              <w:rPr>
                <w:rFonts w:asciiTheme="minorHAnsi" w:hAnsiTheme="minorHAnsi"/>
                <w:i/>
                <w:iCs/>
                <w:sz w:val="22"/>
                <w:szCs w:val="22"/>
                <w:lang w:val="en-US"/>
              </w:rPr>
              <w:t xml:space="preserve">Regional initiatives for the further implementation of the Convention </w:t>
            </w:r>
            <w:r w:rsidRPr="003E144E">
              <w:rPr>
                <w:rFonts w:asciiTheme="minorHAnsi" w:hAnsiTheme="minorHAnsi"/>
                <w:sz w:val="22"/>
                <w:szCs w:val="22"/>
                <w:lang w:val="en-US"/>
              </w:rPr>
              <w:t xml:space="preserve">and following the guidelines annexed to that resolution; </w:t>
            </w:r>
          </w:p>
        </w:tc>
        <w:tc>
          <w:tcPr>
            <w:tcW w:w="1418" w:type="dxa"/>
          </w:tcPr>
          <w:p w14:paraId="75E9EC07" w14:textId="77777777" w:rsidR="002835D9" w:rsidRPr="00C27AF1" w:rsidRDefault="002835D9" w:rsidP="00A03E7B">
            <w:pPr>
              <w:rPr>
                <w:sz w:val="22"/>
                <w:szCs w:val="22"/>
                <w:lang w:val="en-US"/>
              </w:rPr>
            </w:pPr>
            <w:r>
              <w:rPr>
                <w:sz w:val="22"/>
                <w:szCs w:val="22"/>
                <w:lang w:val="en-US"/>
              </w:rPr>
              <w:t>8</w:t>
            </w:r>
          </w:p>
        </w:tc>
        <w:tc>
          <w:tcPr>
            <w:tcW w:w="3821" w:type="dxa"/>
          </w:tcPr>
          <w:p w14:paraId="2A10AD66" w14:textId="77777777" w:rsidR="002835D9" w:rsidRDefault="002835D9" w:rsidP="00A03E7B">
            <w:pPr>
              <w:rPr>
                <w:sz w:val="22"/>
                <w:szCs w:val="22"/>
                <w:lang w:val="en-US"/>
              </w:rPr>
            </w:pPr>
            <w:r>
              <w:rPr>
                <w:sz w:val="22"/>
                <w:szCs w:val="22"/>
                <w:lang w:val="en-US"/>
              </w:rPr>
              <w:t xml:space="preserve">Redundant </w:t>
            </w:r>
          </w:p>
        </w:tc>
      </w:tr>
      <w:tr w:rsidR="002835D9" w:rsidRPr="00AA7526" w14:paraId="66985BB7" w14:textId="77777777" w:rsidTr="001C7493">
        <w:tc>
          <w:tcPr>
            <w:tcW w:w="8642" w:type="dxa"/>
          </w:tcPr>
          <w:p w14:paraId="0858F37E" w14:textId="77777777" w:rsidR="002835D9" w:rsidRPr="003E144E" w:rsidRDefault="002835D9" w:rsidP="00A03E7B">
            <w:pPr>
              <w:pStyle w:val="NormalWeb"/>
              <w:rPr>
                <w:rFonts w:asciiTheme="minorHAnsi" w:hAnsiTheme="minorHAnsi"/>
                <w:sz w:val="22"/>
                <w:szCs w:val="22"/>
                <w:lang w:val="en-US"/>
              </w:rPr>
            </w:pPr>
            <w:r w:rsidRPr="003E144E">
              <w:rPr>
                <w:rFonts w:asciiTheme="minorHAnsi" w:hAnsiTheme="minorHAnsi"/>
                <w:sz w:val="22"/>
                <w:szCs w:val="22"/>
                <w:lang w:val="en-US"/>
              </w:rPr>
              <w:t xml:space="preserve">REQUESTS the Ramsar Bureau and the Scientific and Technical Review Panel (STRP) to provide their support for implementation of this initiative; and </w:t>
            </w:r>
          </w:p>
        </w:tc>
        <w:tc>
          <w:tcPr>
            <w:tcW w:w="1418" w:type="dxa"/>
          </w:tcPr>
          <w:p w14:paraId="5781D91A" w14:textId="77777777" w:rsidR="002835D9" w:rsidRPr="00C27AF1" w:rsidRDefault="002835D9" w:rsidP="00A03E7B">
            <w:pPr>
              <w:rPr>
                <w:sz w:val="22"/>
                <w:szCs w:val="22"/>
                <w:lang w:val="en-US"/>
              </w:rPr>
            </w:pPr>
            <w:r>
              <w:rPr>
                <w:sz w:val="22"/>
                <w:szCs w:val="22"/>
                <w:lang w:val="en-US"/>
              </w:rPr>
              <w:t>9</w:t>
            </w:r>
          </w:p>
        </w:tc>
        <w:tc>
          <w:tcPr>
            <w:tcW w:w="3821" w:type="dxa"/>
          </w:tcPr>
          <w:p w14:paraId="2B729A5B" w14:textId="77777777" w:rsidR="002835D9" w:rsidRDefault="002835D9" w:rsidP="00A03E7B">
            <w:pPr>
              <w:rPr>
                <w:sz w:val="22"/>
                <w:szCs w:val="22"/>
                <w:lang w:val="en-US"/>
              </w:rPr>
            </w:pPr>
            <w:r>
              <w:rPr>
                <w:sz w:val="22"/>
                <w:szCs w:val="22"/>
                <w:lang w:val="en-US"/>
              </w:rPr>
              <w:t xml:space="preserve">Redundant </w:t>
            </w:r>
          </w:p>
        </w:tc>
      </w:tr>
      <w:tr w:rsidR="002835D9" w:rsidRPr="00AA7526" w14:paraId="7650E3E0" w14:textId="77777777" w:rsidTr="001C7493">
        <w:tc>
          <w:tcPr>
            <w:tcW w:w="8642" w:type="dxa"/>
          </w:tcPr>
          <w:p w14:paraId="7E036055" w14:textId="77777777" w:rsidR="002835D9" w:rsidRPr="003E144E" w:rsidRDefault="002835D9" w:rsidP="00A03E7B">
            <w:pPr>
              <w:pStyle w:val="NormalWeb"/>
              <w:rPr>
                <w:rFonts w:asciiTheme="minorHAnsi" w:hAnsiTheme="minorHAnsi"/>
                <w:sz w:val="22"/>
                <w:szCs w:val="22"/>
                <w:lang w:val="en-US"/>
              </w:rPr>
            </w:pPr>
          </w:p>
        </w:tc>
        <w:tc>
          <w:tcPr>
            <w:tcW w:w="1418" w:type="dxa"/>
          </w:tcPr>
          <w:p w14:paraId="62938973" w14:textId="77777777" w:rsidR="002835D9" w:rsidRPr="00C3697F" w:rsidRDefault="002835D9" w:rsidP="00A03E7B">
            <w:pPr>
              <w:rPr>
                <w:b/>
                <w:sz w:val="22"/>
                <w:szCs w:val="22"/>
                <w:lang w:val="en-US"/>
              </w:rPr>
            </w:pPr>
            <w:r w:rsidRPr="00C3697F">
              <w:rPr>
                <w:b/>
                <w:sz w:val="22"/>
                <w:szCs w:val="22"/>
                <w:lang w:val="en-US"/>
              </w:rPr>
              <w:t>VIII.41</w:t>
            </w:r>
          </w:p>
        </w:tc>
        <w:tc>
          <w:tcPr>
            <w:tcW w:w="3821" w:type="dxa"/>
          </w:tcPr>
          <w:p w14:paraId="510CE242" w14:textId="77777777" w:rsidR="002835D9" w:rsidRDefault="002835D9" w:rsidP="00A03E7B">
            <w:pPr>
              <w:rPr>
                <w:sz w:val="22"/>
                <w:szCs w:val="22"/>
                <w:lang w:val="en-US"/>
              </w:rPr>
            </w:pPr>
          </w:p>
        </w:tc>
      </w:tr>
      <w:tr w:rsidR="002835D9" w:rsidRPr="00AA7526" w14:paraId="533773A0" w14:textId="77777777" w:rsidTr="001C7493">
        <w:tc>
          <w:tcPr>
            <w:tcW w:w="8642" w:type="dxa"/>
          </w:tcPr>
          <w:p w14:paraId="184309C7" w14:textId="77777777" w:rsidR="002835D9" w:rsidRPr="003E144E" w:rsidRDefault="002835D9" w:rsidP="00A03E7B">
            <w:pPr>
              <w:pStyle w:val="NormalWeb"/>
              <w:rPr>
                <w:rFonts w:asciiTheme="minorHAnsi" w:hAnsiTheme="minorHAnsi"/>
                <w:sz w:val="22"/>
                <w:szCs w:val="22"/>
                <w:lang w:val="en-US"/>
              </w:rPr>
            </w:pPr>
            <w:r w:rsidRPr="00C3697F">
              <w:rPr>
                <w:rFonts w:asciiTheme="minorHAnsi" w:hAnsiTheme="minorHAnsi"/>
                <w:sz w:val="22"/>
                <w:szCs w:val="22"/>
                <w:lang w:val="en-US"/>
              </w:rPr>
              <w:t xml:space="preserve">WELCOMES the offer of the Government of the Islamic Republic of Iran to establish a Regional Centre for Training and Research on Wetlands in Western and Central Asia, in the city of Ramsar, and its intention to develop this Regional Centre, and EXPRESSES its approval for this initiative; </w:t>
            </w:r>
          </w:p>
        </w:tc>
        <w:tc>
          <w:tcPr>
            <w:tcW w:w="1418" w:type="dxa"/>
          </w:tcPr>
          <w:p w14:paraId="5EDAE571" w14:textId="77777777" w:rsidR="002835D9" w:rsidRDefault="002835D9" w:rsidP="00A03E7B">
            <w:pPr>
              <w:rPr>
                <w:sz w:val="22"/>
                <w:szCs w:val="22"/>
                <w:lang w:val="en-US"/>
              </w:rPr>
            </w:pPr>
            <w:r>
              <w:rPr>
                <w:sz w:val="22"/>
                <w:szCs w:val="22"/>
                <w:lang w:val="en-US"/>
              </w:rPr>
              <w:t>7</w:t>
            </w:r>
          </w:p>
        </w:tc>
        <w:tc>
          <w:tcPr>
            <w:tcW w:w="3821" w:type="dxa"/>
          </w:tcPr>
          <w:p w14:paraId="0EA10B34" w14:textId="77777777" w:rsidR="002835D9" w:rsidRDefault="002835D9" w:rsidP="00A03E7B">
            <w:pPr>
              <w:rPr>
                <w:sz w:val="22"/>
                <w:szCs w:val="22"/>
                <w:lang w:val="en-US"/>
              </w:rPr>
            </w:pPr>
            <w:r>
              <w:rPr>
                <w:sz w:val="22"/>
                <w:szCs w:val="22"/>
                <w:lang w:val="en-US"/>
              </w:rPr>
              <w:t xml:space="preserve">Redundant </w:t>
            </w:r>
          </w:p>
        </w:tc>
      </w:tr>
      <w:tr w:rsidR="002835D9" w:rsidRPr="00AA7526" w14:paraId="31251C79" w14:textId="77777777" w:rsidTr="001C7493">
        <w:tc>
          <w:tcPr>
            <w:tcW w:w="8642" w:type="dxa"/>
          </w:tcPr>
          <w:p w14:paraId="115BA1A3" w14:textId="77777777" w:rsidR="002835D9" w:rsidRPr="003E144E" w:rsidRDefault="002835D9" w:rsidP="00A03E7B">
            <w:pPr>
              <w:pStyle w:val="NormalWeb"/>
              <w:rPr>
                <w:rFonts w:asciiTheme="minorHAnsi" w:hAnsiTheme="minorHAnsi"/>
                <w:sz w:val="22"/>
                <w:szCs w:val="22"/>
                <w:lang w:val="en-US"/>
              </w:rPr>
            </w:pPr>
            <w:r w:rsidRPr="00C3697F">
              <w:rPr>
                <w:rFonts w:asciiTheme="minorHAnsi" w:hAnsiTheme="minorHAnsi"/>
                <w:sz w:val="22"/>
                <w:szCs w:val="22"/>
                <w:lang w:val="en-US"/>
              </w:rPr>
              <w:t xml:space="preserve">ENCOURAGES the Government of the Islamic Republic of Iran to continue the process of planning and establishing the Regional Centre, and FURTHER ENCOURAGES Contracting Parties in West and Central Asia, other interested Contracting Parties, as well as the relevant intergovernmental and non-governmental organizations, to advise and contribute to its further development; </w:t>
            </w:r>
          </w:p>
        </w:tc>
        <w:tc>
          <w:tcPr>
            <w:tcW w:w="1418" w:type="dxa"/>
          </w:tcPr>
          <w:p w14:paraId="03549BE5" w14:textId="77777777" w:rsidR="002835D9" w:rsidRDefault="002835D9" w:rsidP="00A03E7B">
            <w:pPr>
              <w:rPr>
                <w:sz w:val="22"/>
                <w:szCs w:val="22"/>
                <w:lang w:val="en-US"/>
              </w:rPr>
            </w:pPr>
            <w:r>
              <w:rPr>
                <w:sz w:val="22"/>
                <w:szCs w:val="22"/>
                <w:lang w:val="en-US"/>
              </w:rPr>
              <w:t>8</w:t>
            </w:r>
          </w:p>
        </w:tc>
        <w:tc>
          <w:tcPr>
            <w:tcW w:w="3821" w:type="dxa"/>
          </w:tcPr>
          <w:p w14:paraId="5FED6413" w14:textId="77777777" w:rsidR="002835D9" w:rsidRDefault="002835D9" w:rsidP="00A03E7B">
            <w:pPr>
              <w:rPr>
                <w:sz w:val="22"/>
                <w:szCs w:val="22"/>
                <w:lang w:val="en-US"/>
              </w:rPr>
            </w:pPr>
            <w:r>
              <w:rPr>
                <w:sz w:val="22"/>
                <w:szCs w:val="22"/>
                <w:lang w:val="en-US"/>
              </w:rPr>
              <w:t xml:space="preserve">Redundant </w:t>
            </w:r>
          </w:p>
        </w:tc>
      </w:tr>
      <w:tr w:rsidR="002835D9" w:rsidRPr="00AA7526" w14:paraId="22C328E4" w14:textId="77777777" w:rsidTr="001C7493">
        <w:tc>
          <w:tcPr>
            <w:tcW w:w="8642" w:type="dxa"/>
          </w:tcPr>
          <w:p w14:paraId="77C22A31" w14:textId="77777777" w:rsidR="002835D9" w:rsidRPr="003E144E" w:rsidRDefault="002835D9" w:rsidP="00A03E7B">
            <w:pPr>
              <w:pStyle w:val="NormalWeb"/>
              <w:rPr>
                <w:rFonts w:asciiTheme="minorHAnsi" w:hAnsiTheme="minorHAnsi"/>
                <w:sz w:val="22"/>
                <w:szCs w:val="22"/>
                <w:lang w:val="en-US"/>
              </w:rPr>
            </w:pPr>
            <w:r w:rsidRPr="00C3697F">
              <w:rPr>
                <w:rFonts w:asciiTheme="minorHAnsi" w:hAnsiTheme="minorHAnsi"/>
                <w:sz w:val="22"/>
                <w:szCs w:val="22"/>
                <w:lang w:val="en-US"/>
              </w:rPr>
              <w:t xml:space="preserve">REQUESTS the Ramsar Bureau, the Convention’s International Organization Partners (IOPs), and others to assist and advise the Government of the Islamic Republic of Iran in the technical and operational aspects of the development and establishment of the Regional Centre, and in its management once established; </w:t>
            </w:r>
          </w:p>
        </w:tc>
        <w:tc>
          <w:tcPr>
            <w:tcW w:w="1418" w:type="dxa"/>
          </w:tcPr>
          <w:p w14:paraId="6ED98AA4" w14:textId="77777777" w:rsidR="002835D9" w:rsidRDefault="002835D9" w:rsidP="00A03E7B">
            <w:pPr>
              <w:rPr>
                <w:sz w:val="22"/>
                <w:szCs w:val="22"/>
                <w:lang w:val="en-US"/>
              </w:rPr>
            </w:pPr>
            <w:r>
              <w:rPr>
                <w:sz w:val="22"/>
                <w:szCs w:val="22"/>
                <w:lang w:val="en-US"/>
              </w:rPr>
              <w:t>9</w:t>
            </w:r>
          </w:p>
        </w:tc>
        <w:tc>
          <w:tcPr>
            <w:tcW w:w="3821" w:type="dxa"/>
          </w:tcPr>
          <w:p w14:paraId="2AA8A4B3" w14:textId="77777777" w:rsidR="002835D9" w:rsidRDefault="002835D9" w:rsidP="00A03E7B">
            <w:pPr>
              <w:rPr>
                <w:sz w:val="22"/>
                <w:szCs w:val="22"/>
                <w:lang w:val="en-US"/>
              </w:rPr>
            </w:pPr>
            <w:r>
              <w:rPr>
                <w:sz w:val="22"/>
                <w:szCs w:val="22"/>
                <w:lang w:val="en-US"/>
              </w:rPr>
              <w:t xml:space="preserve">Redundant </w:t>
            </w:r>
          </w:p>
        </w:tc>
      </w:tr>
      <w:tr w:rsidR="002835D9" w:rsidRPr="00AA7526" w14:paraId="22885FDD" w14:textId="77777777" w:rsidTr="001C7493">
        <w:tc>
          <w:tcPr>
            <w:tcW w:w="8642" w:type="dxa"/>
          </w:tcPr>
          <w:p w14:paraId="34047FB5" w14:textId="77777777" w:rsidR="002835D9" w:rsidRPr="00C3697F" w:rsidRDefault="002835D9" w:rsidP="00A03E7B">
            <w:pPr>
              <w:pStyle w:val="NormalWeb"/>
              <w:rPr>
                <w:rFonts w:asciiTheme="minorHAnsi" w:hAnsiTheme="minorHAnsi"/>
                <w:sz w:val="22"/>
                <w:szCs w:val="22"/>
                <w:lang w:val="en-US"/>
              </w:rPr>
            </w:pPr>
            <w:r w:rsidRPr="00C3697F">
              <w:rPr>
                <w:rFonts w:asciiTheme="minorHAnsi" w:hAnsiTheme="minorHAnsi"/>
                <w:sz w:val="22"/>
                <w:szCs w:val="22"/>
                <w:lang w:val="en-US"/>
              </w:rPr>
              <w:t xml:space="preserve">URGES the Islamic Republic of Iran to ensure that the programme of training and research developed for the Regional Centre focuses, in particular, on addressing the major challenges for wetland conservation and wise use in Western and Central Asia, including drought and other natural disasters, which have caused serious adverse impacts on wetlands and their dependent species, including waterbirds; and </w:t>
            </w:r>
          </w:p>
        </w:tc>
        <w:tc>
          <w:tcPr>
            <w:tcW w:w="1418" w:type="dxa"/>
          </w:tcPr>
          <w:p w14:paraId="2BA4042B" w14:textId="77777777" w:rsidR="002835D9" w:rsidRDefault="002835D9" w:rsidP="00A03E7B">
            <w:pPr>
              <w:rPr>
                <w:sz w:val="22"/>
                <w:szCs w:val="22"/>
                <w:lang w:val="en-US"/>
              </w:rPr>
            </w:pPr>
            <w:r>
              <w:rPr>
                <w:sz w:val="22"/>
                <w:szCs w:val="22"/>
                <w:lang w:val="en-US"/>
              </w:rPr>
              <w:t>10</w:t>
            </w:r>
          </w:p>
        </w:tc>
        <w:tc>
          <w:tcPr>
            <w:tcW w:w="3821" w:type="dxa"/>
          </w:tcPr>
          <w:p w14:paraId="4E40AF0D" w14:textId="77777777" w:rsidR="002835D9" w:rsidRDefault="0075421D" w:rsidP="00A03E7B">
            <w:pPr>
              <w:rPr>
                <w:sz w:val="22"/>
                <w:szCs w:val="22"/>
                <w:lang w:val="en-US"/>
              </w:rPr>
            </w:pPr>
            <w:r w:rsidRPr="0075421D">
              <w:rPr>
                <w:color w:val="FF0000"/>
                <w:sz w:val="22"/>
                <w:szCs w:val="22"/>
                <w:lang w:val="en-US"/>
              </w:rPr>
              <w:t>May still be in force. Verify.</w:t>
            </w:r>
          </w:p>
        </w:tc>
      </w:tr>
      <w:tr w:rsidR="002835D9" w:rsidRPr="00AA7526" w14:paraId="04A0A0BE" w14:textId="77777777" w:rsidTr="001C7493">
        <w:tc>
          <w:tcPr>
            <w:tcW w:w="8642" w:type="dxa"/>
          </w:tcPr>
          <w:p w14:paraId="64D26877" w14:textId="77777777" w:rsidR="002835D9" w:rsidRPr="00C3697F" w:rsidRDefault="002835D9" w:rsidP="00A03E7B">
            <w:pPr>
              <w:pStyle w:val="NormalWeb"/>
              <w:rPr>
                <w:rFonts w:asciiTheme="minorHAnsi" w:hAnsiTheme="minorHAnsi"/>
                <w:sz w:val="22"/>
                <w:szCs w:val="22"/>
                <w:lang w:val="en-US"/>
              </w:rPr>
            </w:pPr>
            <w:r w:rsidRPr="00C3697F">
              <w:rPr>
                <w:rFonts w:asciiTheme="minorHAnsi" w:hAnsiTheme="minorHAnsi"/>
                <w:sz w:val="22"/>
                <w:szCs w:val="22"/>
                <w:lang w:val="en-US"/>
              </w:rPr>
              <w:t xml:space="preserve">ENCOURAGES the Contracting Parties, particularly the Parties in the region, donor countries, and relevant interested NGOs to contribute financial support for the establishment of the </w:t>
            </w:r>
            <w:r w:rsidRPr="00C3697F">
              <w:rPr>
                <w:rFonts w:asciiTheme="minorHAnsi" w:hAnsiTheme="minorHAnsi"/>
                <w:sz w:val="22"/>
                <w:szCs w:val="22"/>
                <w:lang w:val="en-US"/>
              </w:rPr>
              <w:lastRenderedPageBreak/>
              <w:t xml:space="preserve">Regional Centre, in recognition of its potential for acting as a locus for training and exchange of expertise, cooperation, and other related activities in the region. </w:t>
            </w:r>
          </w:p>
        </w:tc>
        <w:tc>
          <w:tcPr>
            <w:tcW w:w="1418" w:type="dxa"/>
          </w:tcPr>
          <w:p w14:paraId="76FE8C7F" w14:textId="77777777" w:rsidR="002835D9" w:rsidRDefault="002835D9" w:rsidP="00A03E7B">
            <w:pPr>
              <w:rPr>
                <w:sz w:val="22"/>
                <w:szCs w:val="22"/>
                <w:lang w:val="en-US"/>
              </w:rPr>
            </w:pPr>
            <w:r>
              <w:rPr>
                <w:sz w:val="22"/>
                <w:szCs w:val="22"/>
                <w:lang w:val="en-US"/>
              </w:rPr>
              <w:lastRenderedPageBreak/>
              <w:t>11</w:t>
            </w:r>
          </w:p>
        </w:tc>
        <w:tc>
          <w:tcPr>
            <w:tcW w:w="3821" w:type="dxa"/>
          </w:tcPr>
          <w:p w14:paraId="1E60DA3A" w14:textId="77777777" w:rsidR="002835D9" w:rsidRDefault="002835D9" w:rsidP="00A03E7B">
            <w:pPr>
              <w:rPr>
                <w:sz w:val="22"/>
                <w:szCs w:val="22"/>
                <w:lang w:val="en-US"/>
              </w:rPr>
            </w:pPr>
            <w:r>
              <w:rPr>
                <w:sz w:val="22"/>
                <w:szCs w:val="22"/>
                <w:lang w:val="en-US"/>
              </w:rPr>
              <w:t xml:space="preserve">Redundant </w:t>
            </w:r>
          </w:p>
        </w:tc>
      </w:tr>
      <w:tr w:rsidR="002835D9" w:rsidRPr="00AA7526" w14:paraId="40F3F52E" w14:textId="77777777" w:rsidTr="001C7493">
        <w:tc>
          <w:tcPr>
            <w:tcW w:w="8642" w:type="dxa"/>
          </w:tcPr>
          <w:p w14:paraId="214338F2" w14:textId="77777777" w:rsidR="002835D9" w:rsidRPr="00C3697F" w:rsidRDefault="002835D9" w:rsidP="00A03E7B">
            <w:pPr>
              <w:pStyle w:val="NormalWeb"/>
              <w:rPr>
                <w:rFonts w:asciiTheme="minorHAnsi" w:hAnsiTheme="minorHAnsi"/>
                <w:sz w:val="22"/>
                <w:szCs w:val="22"/>
                <w:lang w:val="en-US"/>
              </w:rPr>
            </w:pPr>
          </w:p>
        </w:tc>
        <w:tc>
          <w:tcPr>
            <w:tcW w:w="1418" w:type="dxa"/>
          </w:tcPr>
          <w:p w14:paraId="2AEC5DED" w14:textId="77777777" w:rsidR="002835D9" w:rsidRPr="001D4C9F" w:rsidRDefault="002835D9" w:rsidP="00A03E7B">
            <w:pPr>
              <w:rPr>
                <w:b/>
                <w:sz w:val="22"/>
                <w:szCs w:val="22"/>
                <w:lang w:val="en-US"/>
              </w:rPr>
            </w:pPr>
            <w:r w:rsidRPr="001D4C9F">
              <w:rPr>
                <w:b/>
                <w:sz w:val="22"/>
                <w:szCs w:val="22"/>
                <w:lang w:val="en-US"/>
              </w:rPr>
              <w:t>VIII.30</w:t>
            </w:r>
          </w:p>
        </w:tc>
        <w:tc>
          <w:tcPr>
            <w:tcW w:w="3821" w:type="dxa"/>
          </w:tcPr>
          <w:p w14:paraId="48DC27E9" w14:textId="77777777" w:rsidR="002835D9" w:rsidRDefault="002835D9" w:rsidP="00A03E7B">
            <w:pPr>
              <w:rPr>
                <w:sz w:val="22"/>
                <w:szCs w:val="22"/>
                <w:lang w:val="en-US"/>
              </w:rPr>
            </w:pPr>
          </w:p>
        </w:tc>
      </w:tr>
      <w:tr w:rsidR="002835D9" w:rsidRPr="00AA7526" w14:paraId="1215A6FB" w14:textId="77777777" w:rsidTr="001C7493">
        <w:tc>
          <w:tcPr>
            <w:tcW w:w="8642" w:type="dxa"/>
          </w:tcPr>
          <w:p w14:paraId="6A11AFE3" w14:textId="77777777" w:rsidR="002835D9" w:rsidRPr="00C3697F" w:rsidRDefault="002835D9" w:rsidP="00A03E7B">
            <w:pPr>
              <w:pStyle w:val="NormalWeb"/>
              <w:rPr>
                <w:rFonts w:asciiTheme="minorHAnsi" w:hAnsiTheme="minorHAnsi"/>
                <w:sz w:val="22"/>
                <w:szCs w:val="22"/>
                <w:lang w:val="en-US"/>
              </w:rPr>
            </w:pPr>
            <w:r w:rsidRPr="001D4C9F">
              <w:rPr>
                <w:rFonts w:asciiTheme="minorHAnsi" w:hAnsiTheme="minorHAnsi"/>
                <w:sz w:val="22"/>
                <w:szCs w:val="22"/>
                <w:lang w:val="en-US"/>
              </w:rPr>
              <w:t xml:space="preserve">ENDORSES the </w:t>
            </w:r>
            <w:r w:rsidRPr="001D4C9F">
              <w:rPr>
                <w:rFonts w:asciiTheme="minorHAnsi" w:hAnsiTheme="minorHAnsi"/>
                <w:i/>
                <w:iCs/>
                <w:sz w:val="22"/>
                <w:szCs w:val="22"/>
                <w:lang w:val="en-US"/>
              </w:rPr>
              <w:t xml:space="preserve">Guidance for the development of Regional Initiatives in the framework of the Convention on Wetlands </w:t>
            </w:r>
            <w:r w:rsidRPr="001D4C9F">
              <w:rPr>
                <w:rFonts w:asciiTheme="minorHAnsi" w:hAnsiTheme="minorHAnsi"/>
                <w:sz w:val="22"/>
                <w:szCs w:val="22"/>
                <w:lang w:val="en-US"/>
              </w:rPr>
              <w:t xml:space="preserve">presented in Annex I to this Resolution; </w:t>
            </w:r>
          </w:p>
        </w:tc>
        <w:tc>
          <w:tcPr>
            <w:tcW w:w="1418" w:type="dxa"/>
          </w:tcPr>
          <w:p w14:paraId="439590EC" w14:textId="77777777" w:rsidR="002835D9" w:rsidRDefault="002835D9" w:rsidP="00A03E7B">
            <w:pPr>
              <w:rPr>
                <w:sz w:val="22"/>
                <w:szCs w:val="22"/>
                <w:lang w:val="en-US"/>
              </w:rPr>
            </w:pPr>
            <w:r>
              <w:rPr>
                <w:sz w:val="22"/>
                <w:szCs w:val="22"/>
                <w:lang w:val="en-US"/>
              </w:rPr>
              <w:t>8</w:t>
            </w:r>
          </w:p>
        </w:tc>
        <w:tc>
          <w:tcPr>
            <w:tcW w:w="3821" w:type="dxa"/>
          </w:tcPr>
          <w:p w14:paraId="5BE5986E" w14:textId="77777777" w:rsidR="002835D9" w:rsidRDefault="002835D9" w:rsidP="00A03E7B">
            <w:pPr>
              <w:rPr>
                <w:sz w:val="22"/>
                <w:szCs w:val="22"/>
                <w:lang w:val="en-US"/>
              </w:rPr>
            </w:pPr>
            <w:r>
              <w:rPr>
                <w:sz w:val="22"/>
                <w:szCs w:val="22"/>
                <w:lang w:val="en-US"/>
              </w:rPr>
              <w:t xml:space="preserve">Redundant </w:t>
            </w:r>
          </w:p>
        </w:tc>
      </w:tr>
      <w:tr w:rsidR="002835D9" w:rsidRPr="00AA7526" w14:paraId="1B353A0C" w14:textId="77777777" w:rsidTr="001C7493">
        <w:tc>
          <w:tcPr>
            <w:tcW w:w="8642" w:type="dxa"/>
          </w:tcPr>
          <w:p w14:paraId="63B397B0" w14:textId="77777777" w:rsidR="002835D9" w:rsidRPr="001D4C9F" w:rsidRDefault="002835D9" w:rsidP="00A03E7B">
            <w:pPr>
              <w:pStyle w:val="NormalWeb"/>
              <w:rPr>
                <w:rFonts w:asciiTheme="minorHAnsi" w:hAnsiTheme="minorHAnsi"/>
                <w:sz w:val="22"/>
                <w:szCs w:val="22"/>
                <w:lang w:val="en-US"/>
              </w:rPr>
            </w:pPr>
            <w:r w:rsidRPr="004B03A2">
              <w:rPr>
                <w:rFonts w:asciiTheme="minorHAnsi" w:hAnsiTheme="minorHAnsi"/>
                <w:sz w:val="22"/>
                <w:szCs w:val="22"/>
                <w:lang w:val="en-US"/>
              </w:rPr>
              <w:t>CALLS UPON Contracting Parties to take into consideration the Guidance referred to in paragraph 8 when launching and developing a regional initiative;</w:t>
            </w:r>
          </w:p>
        </w:tc>
        <w:tc>
          <w:tcPr>
            <w:tcW w:w="1418" w:type="dxa"/>
          </w:tcPr>
          <w:p w14:paraId="7BCF3717" w14:textId="77777777" w:rsidR="002835D9" w:rsidRDefault="002835D9" w:rsidP="00A03E7B">
            <w:pPr>
              <w:rPr>
                <w:sz w:val="22"/>
                <w:szCs w:val="22"/>
                <w:lang w:val="en-US"/>
              </w:rPr>
            </w:pPr>
            <w:r>
              <w:rPr>
                <w:sz w:val="22"/>
                <w:szCs w:val="22"/>
                <w:lang w:val="en-US"/>
              </w:rPr>
              <w:t>10</w:t>
            </w:r>
          </w:p>
        </w:tc>
        <w:tc>
          <w:tcPr>
            <w:tcW w:w="3821" w:type="dxa"/>
          </w:tcPr>
          <w:p w14:paraId="57816CBC" w14:textId="77777777" w:rsidR="002835D9" w:rsidRDefault="002835D9" w:rsidP="00A03E7B">
            <w:pPr>
              <w:rPr>
                <w:sz w:val="22"/>
                <w:szCs w:val="22"/>
                <w:lang w:val="en-US"/>
              </w:rPr>
            </w:pPr>
            <w:r>
              <w:rPr>
                <w:sz w:val="22"/>
                <w:szCs w:val="22"/>
                <w:lang w:val="en-US"/>
              </w:rPr>
              <w:t xml:space="preserve">Redundant </w:t>
            </w:r>
          </w:p>
        </w:tc>
      </w:tr>
      <w:tr w:rsidR="002835D9" w:rsidRPr="00AA7526" w14:paraId="1670866C" w14:textId="77777777" w:rsidTr="001C7493">
        <w:tc>
          <w:tcPr>
            <w:tcW w:w="8642" w:type="dxa"/>
          </w:tcPr>
          <w:p w14:paraId="6400985A" w14:textId="6B6DEC59" w:rsidR="002835D9" w:rsidRPr="005712EE" w:rsidRDefault="005712EE" w:rsidP="00A03E7B">
            <w:pPr>
              <w:pStyle w:val="NormalWeb"/>
              <w:rPr>
                <w:rFonts w:asciiTheme="minorHAnsi" w:hAnsiTheme="minorHAnsi"/>
                <w:sz w:val="22"/>
                <w:szCs w:val="22"/>
                <w:lang w:val="en-US"/>
              </w:rPr>
            </w:pPr>
            <w:r w:rsidRPr="005712EE">
              <w:rPr>
                <w:rFonts w:asciiTheme="minorHAnsi" w:hAnsiTheme="minorHAnsi"/>
                <w:sz w:val="22"/>
                <w:szCs w:val="22"/>
                <w:lang w:val="en-GB"/>
              </w:rPr>
              <w:t>APPROVES, within this context and for the years 2003-2005, the financial support from the Convention core budget to be provided to the MedWet Initiative as reflected in the MedWet Coordination Unit Budget 2003-2005, presented in Annex II of this Resolution;</w:t>
            </w:r>
          </w:p>
        </w:tc>
        <w:tc>
          <w:tcPr>
            <w:tcW w:w="1418" w:type="dxa"/>
          </w:tcPr>
          <w:p w14:paraId="05E1A52B" w14:textId="77777777" w:rsidR="002835D9" w:rsidRPr="00D40DE4" w:rsidRDefault="002835D9" w:rsidP="00A03E7B">
            <w:pPr>
              <w:rPr>
                <w:b/>
                <w:sz w:val="22"/>
                <w:szCs w:val="22"/>
                <w:lang w:val="en-US"/>
              </w:rPr>
            </w:pPr>
            <w:r>
              <w:rPr>
                <w:sz w:val="22"/>
                <w:szCs w:val="22"/>
                <w:lang w:val="en-US"/>
              </w:rPr>
              <w:t>11</w:t>
            </w:r>
          </w:p>
        </w:tc>
        <w:tc>
          <w:tcPr>
            <w:tcW w:w="3821" w:type="dxa"/>
          </w:tcPr>
          <w:p w14:paraId="3C8A0863" w14:textId="126F8E6F" w:rsidR="002835D9" w:rsidRDefault="005712EE" w:rsidP="00A03E7B">
            <w:pPr>
              <w:rPr>
                <w:sz w:val="22"/>
                <w:szCs w:val="22"/>
                <w:lang w:val="en-US"/>
              </w:rPr>
            </w:pPr>
            <w:r>
              <w:rPr>
                <w:sz w:val="22"/>
                <w:szCs w:val="22"/>
                <w:lang w:val="en-US"/>
              </w:rPr>
              <w:t xml:space="preserve">Redundant </w:t>
            </w:r>
          </w:p>
        </w:tc>
      </w:tr>
      <w:tr w:rsidR="002835D9" w:rsidRPr="00AA7526" w14:paraId="6E53D237" w14:textId="77777777" w:rsidTr="001C7493">
        <w:tc>
          <w:tcPr>
            <w:tcW w:w="8642" w:type="dxa"/>
          </w:tcPr>
          <w:p w14:paraId="75E1A982" w14:textId="77777777" w:rsidR="002835D9" w:rsidRPr="001D4C9F" w:rsidRDefault="002835D9" w:rsidP="00A03E7B">
            <w:pPr>
              <w:pStyle w:val="NormalWeb"/>
              <w:rPr>
                <w:rFonts w:asciiTheme="minorHAnsi" w:hAnsiTheme="minorHAnsi"/>
                <w:sz w:val="22"/>
                <w:szCs w:val="22"/>
                <w:lang w:val="en-US"/>
              </w:rPr>
            </w:pPr>
          </w:p>
        </w:tc>
        <w:tc>
          <w:tcPr>
            <w:tcW w:w="1418" w:type="dxa"/>
          </w:tcPr>
          <w:p w14:paraId="6D30DCFB" w14:textId="77777777" w:rsidR="002835D9" w:rsidRPr="00D40DE4" w:rsidRDefault="002835D9" w:rsidP="00A03E7B">
            <w:pPr>
              <w:rPr>
                <w:b/>
                <w:sz w:val="22"/>
                <w:szCs w:val="22"/>
                <w:lang w:val="en-US"/>
              </w:rPr>
            </w:pPr>
            <w:r w:rsidRPr="00D40DE4">
              <w:rPr>
                <w:b/>
                <w:sz w:val="22"/>
                <w:szCs w:val="22"/>
                <w:lang w:val="en-US"/>
              </w:rPr>
              <w:t>VII.26</w:t>
            </w:r>
          </w:p>
        </w:tc>
        <w:tc>
          <w:tcPr>
            <w:tcW w:w="3821" w:type="dxa"/>
          </w:tcPr>
          <w:p w14:paraId="069A73A9" w14:textId="77777777" w:rsidR="002835D9" w:rsidRDefault="002835D9" w:rsidP="00A03E7B">
            <w:pPr>
              <w:rPr>
                <w:sz w:val="22"/>
                <w:szCs w:val="22"/>
                <w:lang w:val="en-US"/>
              </w:rPr>
            </w:pPr>
          </w:p>
        </w:tc>
      </w:tr>
      <w:tr w:rsidR="002835D9" w:rsidRPr="00AA7526" w14:paraId="7E64E628" w14:textId="77777777" w:rsidTr="001C7493">
        <w:tc>
          <w:tcPr>
            <w:tcW w:w="8642" w:type="dxa"/>
          </w:tcPr>
          <w:p w14:paraId="20B46E2F" w14:textId="77777777" w:rsidR="002835D9" w:rsidRPr="001D4C9F" w:rsidRDefault="002835D9" w:rsidP="00A03E7B">
            <w:pPr>
              <w:pStyle w:val="NormalWeb"/>
              <w:rPr>
                <w:rFonts w:asciiTheme="minorHAnsi" w:hAnsiTheme="minorHAnsi"/>
                <w:sz w:val="22"/>
                <w:szCs w:val="22"/>
                <w:lang w:val="en-US"/>
              </w:rPr>
            </w:pPr>
            <w:r w:rsidRPr="007F1A4A">
              <w:rPr>
                <w:rFonts w:asciiTheme="minorHAnsi" w:hAnsiTheme="minorHAnsi"/>
                <w:sz w:val="22"/>
                <w:szCs w:val="22"/>
                <w:lang w:val="en-US"/>
              </w:rPr>
              <w:t>EXPRESSES ITS APPROVAL of the initiative of the Government of Panama offering to establish a Regional Ramsar Centre for Training and Research on Wetlands in the Western Hemisphere within the activities at the site of the “Ciudad del Saber”;</w:t>
            </w:r>
            <w:r>
              <w:rPr>
                <w:rFonts w:asciiTheme="minorHAnsi" w:hAnsiTheme="minorHAnsi"/>
                <w:sz w:val="22"/>
                <w:szCs w:val="22"/>
                <w:lang w:val="en-US"/>
              </w:rPr>
              <w:t xml:space="preserve"> </w:t>
            </w:r>
          </w:p>
        </w:tc>
        <w:tc>
          <w:tcPr>
            <w:tcW w:w="1418" w:type="dxa"/>
          </w:tcPr>
          <w:p w14:paraId="44F3D19F" w14:textId="77777777" w:rsidR="002835D9" w:rsidRDefault="002835D9" w:rsidP="00A03E7B">
            <w:pPr>
              <w:rPr>
                <w:sz w:val="22"/>
                <w:szCs w:val="22"/>
                <w:lang w:val="en-US"/>
              </w:rPr>
            </w:pPr>
            <w:r>
              <w:rPr>
                <w:sz w:val="22"/>
                <w:szCs w:val="22"/>
                <w:lang w:val="en-US"/>
              </w:rPr>
              <w:t>8</w:t>
            </w:r>
          </w:p>
        </w:tc>
        <w:tc>
          <w:tcPr>
            <w:tcW w:w="3821" w:type="dxa"/>
          </w:tcPr>
          <w:p w14:paraId="58BDA4B7" w14:textId="77777777" w:rsidR="002835D9" w:rsidRDefault="002835D9" w:rsidP="00A03E7B">
            <w:pPr>
              <w:rPr>
                <w:sz w:val="22"/>
                <w:szCs w:val="22"/>
                <w:lang w:val="en-US"/>
              </w:rPr>
            </w:pPr>
            <w:r>
              <w:rPr>
                <w:sz w:val="22"/>
                <w:szCs w:val="22"/>
                <w:lang w:val="en-US"/>
              </w:rPr>
              <w:t xml:space="preserve">Redundant </w:t>
            </w:r>
          </w:p>
        </w:tc>
      </w:tr>
      <w:tr w:rsidR="002835D9" w:rsidRPr="00AA7526" w14:paraId="1F0955D1" w14:textId="77777777" w:rsidTr="001C7493">
        <w:tc>
          <w:tcPr>
            <w:tcW w:w="8642" w:type="dxa"/>
          </w:tcPr>
          <w:p w14:paraId="7FDE7906" w14:textId="77777777" w:rsidR="002835D9" w:rsidRPr="001D4C9F" w:rsidRDefault="002835D9" w:rsidP="00A03E7B">
            <w:pPr>
              <w:pStyle w:val="NormalWeb"/>
              <w:rPr>
                <w:rFonts w:asciiTheme="minorHAnsi" w:hAnsiTheme="minorHAnsi"/>
                <w:sz w:val="22"/>
                <w:szCs w:val="22"/>
                <w:lang w:val="en-US"/>
              </w:rPr>
            </w:pPr>
            <w:r w:rsidRPr="007F1A4A">
              <w:rPr>
                <w:rFonts w:asciiTheme="minorHAnsi" w:hAnsiTheme="minorHAnsi"/>
                <w:sz w:val="22"/>
                <w:szCs w:val="22"/>
                <w:lang w:val="en-US"/>
              </w:rPr>
              <w:t xml:space="preserve">ENCOURAGES the Government of Panama to continue the process of planning for and creating the Centre, with the participation of the Ramsar Contracting Parties in the Western Hemisphere and interested organizations through permanent mechanisms of consultation; </w:t>
            </w:r>
          </w:p>
        </w:tc>
        <w:tc>
          <w:tcPr>
            <w:tcW w:w="1418" w:type="dxa"/>
          </w:tcPr>
          <w:p w14:paraId="14D5DBFC" w14:textId="77777777" w:rsidR="002835D9" w:rsidRDefault="002835D9" w:rsidP="00A03E7B">
            <w:pPr>
              <w:rPr>
                <w:sz w:val="22"/>
                <w:szCs w:val="22"/>
                <w:lang w:val="en-US"/>
              </w:rPr>
            </w:pPr>
            <w:r>
              <w:rPr>
                <w:sz w:val="22"/>
                <w:szCs w:val="22"/>
                <w:lang w:val="en-US"/>
              </w:rPr>
              <w:t>9</w:t>
            </w:r>
          </w:p>
        </w:tc>
        <w:tc>
          <w:tcPr>
            <w:tcW w:w="3821" w:type="dxa"/>
          </w:tcPr>
          <w:p w14:paraId="6B650F50" w14:textId="77777777" w:rsidR="002835D9" w:rsidRDefault="002835D9" w:rsidP="00A03E7B">
            <w:pPr>
              <w:rPr>
                <w:sz w:val="22"/>
                <w:szCs w:val="22"/>
                <w:lang w:val="en-US"/>
              </w:rPr>
            </w:pPr>
            <w:r>
              <w:rPr>
                <w:sz w:val="22"/>
                <w:szCs w:val="22"/>
                <w:lang w:val="en-US"/>
              </w:rPr>
              <w:t xml:space="preserve">Redundant </w:t>
            </w:r>
          </w:p>
        </w:tc>
      </w:tr>
      <w:tr w:rsidR="002835D9" w:rsidRPr="00AA7526" w14:paraId="3083F95D" w14:textId="77777777" w:rsidTr="001C7493">
        <w:tc>
          <w:tcPr>
            <w:tcW w:w="8642" w:type="dxa"/>
          </w:tcPr>
          <w:p w14:paraId="442E002D" w14:textId="77777777" w:rsidR="002835D9" w:rsidRPr="001D4C9F" w:rsidRDefault="002835D9" w:rsidP="00A03E7B">
            <w:pPr>
              <w:pStyle w:val="NormalWeb"/>
              <w:rPr>
                <w:rFonts w:asciiTheme="minorHAnsi" w:hAnsiTheme="minorHAnsi"/>
                <w:sz w:val="22"/>
                <w:szCs w:val="22"/>
                <w:lang w:val="en-US"/>
              </w:rPr>
            </w:pPr>
            <w:r w:rsidRPr="007F1A4A">
              <w:rPr>
                <w:rFonts w:asciiTheme="minorHAnsi" w:hAnsiTheme="minorHAnsi"/>
                <w:sz w:val="22"/>
                <w:szCs w:val="22"/>
                <w:lang w:val="en-US"/>
              </w:rPr>
              <w:t xml:space="preserve">REQUESTS the Ramsar Bureau to give its support to the Government of Panama in the study of the technical and operational aspects for the development of the Centre and its management; and </w:t>
            </w:r>
          </w:p>
        </w:tc>
        <w:tc>
          <w:tcPr>
            <w:tcW w:w="1418" w:type="dxa"/>
          </w:tcPr>
          <w:p w14:paraId="33C9A29A" w14:textId="77777777" w:rsidR="002835D9" w:rsidRDefault="002835D9" w:rsidP="00A03E7B">
            <w:pPr>
              <w:rPr>
                <w:sz w:val="22"/>
                <w:szCs w:val="22"/>
                <w:lang w:val="en-US"/>
              </w:rPr>
            </w:pPr>
            <w:r>
              <w:rPr>
                <w:sz w:val="22"/>
                <w:szCs w:val="22"/>
                <w:lang w:val="en-US"/>
              </w:rPr>
              <w:t>10</w:t>
            </w:r>
          </w:p>
        </w:tc>
        <w:tc>
          <w:tcPr>
            <w:tcW w:w="3821" w:type="dxa"/>
          </w:tcPr>
          <w:p w14:paraId="596FC922" w14:textId="77777777" w:rsidR="002835D9" w:rsidRDefault="002835D9" w:rsidP="00A03E7B">
            <w:pPr>
              <w:rPr>
                <w:sz w:val="22"/>
                <w:szCs w:val="22"/>
                <w:lang w:val="en-US"/>
              </w:rPr>
            </w:pPr>
            <w:r>
              <w:rPr>
                <w:sz w:val="22"/>
                <w:szCs w:val="22"/>
                <w:lang w:val="en-US"/>
              </w:rPr>
              <w:t xml:space="preserve">Redundant </w:t>
            </w:r>
          </w:p>
        </w:tc>
      </w:tr>
      <w:tr w:rsidR="002835D9" w:rsidRPr="00AA7526" w14:paraId="00522A33" w14:textId="77777777" w:rsidTr="001C7493">
        <w:tc>
          <w:tcPr>
            <w:tcW w:w="8642" w:type="dxa"/>
          </w:tcPr>
          <w:p w14:paraId="520240B9" w14:textId="77777777" w:rsidR="002835D9" w:rsidRPr="007F1A4A" w:rsidRDefault="002835D9" w:rsidP="00A03E7B">
            <w:pPr>
              <w:pStyle w:val="NormalWeb"/>
              <w:rPr>
                <w:rFonts w:ascii="Garamond" w:hAnsi="Garamond"/>
                <w:lang w:val="en-US"/>
              </w:rPr>
            </w:pPr>
            <w:r w:rsidRPr="007F1A4A">
              <w:rPr>
                <w:rFonts w:asciiTheme="minorHAnsi" w:hAnsiTheme="minorHAnsi"/>
                <w:sz w:val="22"/>
                <w:szCs w:val="22"/>
                <w:lang w:val="en-US"/>
              </w:rPr>
              <w:t xml:space="preserve">ENCOURAGES the Contracting Parties to provide support to the Centre and to participate in its development, taking into account the potential that it represents for creating exchange </w:t>
            </w:r>
            <w:proofErr w:type="spellStart"/>
            <w:r w:rsidRPr="007F1A4A">
              <w:rPr>
                <w:rFonts w:asciiTheme="minorHAnsi" w:hAnsiTheme="minorHAnsi"/>
                <w:sz w:val="22"/>
                <w:szCs w:val="22"/>
                <w:lang w:val="en-US"/>
              </w:rPr>
              <w:t>programmes</w:t>
            </w:r>
            <w:proofErr w:type="spellEnd"/>
            <w:r w:rsidRPr="007F1A4A">
              <w:rPr>
                <w:rFonts w:asciiTheme="minorHAnsi" w:hAnsiTheme="minorHAnsi"/>
                <w:sz w:val="22"/>
                <w:szCs w:val="22"/>
                <w:lang w:val="en-US"/>
              </w:rPr>
              <w:t xml:space="preserve">, cooperation and other complementary activities related to wetlands. </w:t>
            </w:r>
          </w:p>
        </w:tc>
        <w:tc>
          <w:tcPr>
            <w:tcW w:w="1418" w:type="dxa"/>
          </w:tcPr>
          <w:p w14:paraId="3B79CE2D" w14:textId="77777777" w:rsidR="002835D9" w:rsidRDefault="002835D9" w:rsidP="00A03E7B">
            <w:pPr>
              <w:rPr>
                <w:sz w:val="22"/>
                <w:szCs w:val="22"/>
                <w:lang w:val="en-US"/>
              </w:rPr>
            </w:pPr>
            <w:r>
              <w:rPr>
                <w:sz w:val="22"/>
                <w:szCs w:val="22"/>
                <w:lang w:val="en-US"/>
              </w:rPr>
              <w:t>11</w:t>
            </w:r>
          </w:p>
          <w:p w14:paraId="4AE76D70" w14:textId="77777777" w:rsidR="002835D9" w:rsidRPr="00CA1417" w:rsidRDefault="002835D9" w:rsidP="00A03E7B">
            <w:pPr>
              <w:rPr>
                <w:sz w:val="22"/>
                <w:szCs w:val="22"/>
                <w:lang w:val="en-US"/>
              </w:rPr>
            </w:pPr>
          </w:p>
          <w:p w14:paraId="2B5E3A67" w14:textId="77777777" w:rsidR="002835D9" w:rsidRDefault="002835D9" w:rsidP="00A03E7B">
            <w:pPr>
              <w:rPr>
                <w:sz w:val="22"/>
                <w:szCs w:val="22"/>
                <w:lang w:val="en-US"/>
              </w:rPr>
            </w:pPr>
          </w:p>
          <w:p w14:paraId="58F35DA7" w14:textId="77777777" w:rsidR="002835D9" w:rsidRPr="00CA1417" w:rsidRDefault="002835D9" w:rsidP="00A03E7B">
            <w:pPr>
              <w:jc w:val="center"/>
              <w:rPr>
                <w:sz w:val="22"/>
                <w:szCs w:val="22"/>
                <w:lang w:val="en-US"/>
              </w:rPr>
            </w:pPr>
          </w:p>
        </w:tc>
        <w:tc>
          <w:tcPr>
            <w:tcW w:w="3821" w:type="dxa"/>
          </w:tcPr>
          <w:p w14:paraId="0B5CC083" w14:textId="77777777" w:rsidR="002835D9" w:rsidRDefault="002835D9" w:rsidP="00A03E7B">
            <w:pPr>
              <w:rPr>
                <w:sz w:val="22"/>
                <w:szCs w:val="22"/>
                <w:lang w:val="en-US"/>
              </w:rPr>
            </w:pPr>
            <w:r>
              <w:rPr>
                <w:sz w:val="22"/>
                <w:szCs w:val="22"/>
                <w:lang w:val="en-US"/>
              </w:rPr>
              <w:t xml:space="preserve">Redundant </w:t>
            </w:r>
          </w:p>
        </w:tc>
      </w:tr>
      <w:tr w:rsidR="002835D9" w:rsidRPr="00AA7526" w14:paraId="7BC95DAC" w14:textId="77777777" w:rsidTr="001C7493">
        <w:tc>
          <w:tcPr>
            <w:tcW w:w="8642" w:type="dxa"/>
          </w:tcPr>
          <w:p w14:paraId="6B299A60" w14:textId="77777777" w:rsidR="002835D9" w:rsidRPr="007F1A4A" w:rsidRDefault="002835D9" w:rsidP="00A03E7B">
            <w:pPr>
              <w:pStyle w:val="NormalWeb"/>
              <w:rPr>
                <w:rFonts w:asciiTheme="minorHAnsi" w:hAnsiTheme="minorHAnsi"/>
                <w:sz w:val="22"/>
                <w:szCs w:val="22"/>
                <w:lang w:val="en-US"/>
              </w:rPr>
            </w:pPr>
          </w:p>
        </w:tc>
        <w:tc>
          <w:tcPr>
            <w:tcW w:w="1418" w:type="dxa"/>
          </w:tcPr>
          <w:p w14:paraId="36144964" w14:textId="77777777" w:rsidR="002835D9" w:rsidRPr="00CA1417" w:rsidRDefault="002835D9" w:rsidP="00A03E7B">
            <w:pPr>
              <w:rPr>
                <w:b/>
                <w:sz w:val="22"/>
                <w:szCs w:val="22"/>
                <w:lang w:val="en-US"/>
              </w:rPr>
            </w:pPr>
            <w:r w:rsidRPr="00CA1417">
              <w:rPr>
                <w:b/>
                <w:sz w:val="22"/>
                <w:szCs w:val="22"/>
                <w:lang w:val="en-US"/>
              </w:rPr>
              <w:t>VII.22</w:t>
            </w:r>
          </w:p>
        </w:tc>
        <w:tc>
          <w:tcPr>
            <w:tcW w:w="3821" w:type="dxa"/>
          </w:tcPr>
          <w:p w14:paraId="43505493" w14:textId="77777777" w:rsidR="002835D9" w:rsidRDefault="002835D9" w:rsidP="00A03E7B">
            <w:pPr>
              <w:rPr>
                <w:sz w:val="22"/>
                <w:szCs w:val="22"/>
                <w:lang w:val="en-US"/>
              </w:rPr>
            </w:pPr>
          </w:p>
        </w:tc>
      </w:tr>
      <w:tr w:rsidR="002835D9" w:rsidRPr="00AA7526" w14:paraId="1F1039E3" w14:textId="77777777" w:rsidTr="001C7493">
        <w:tc>
          <w:tcPr>
            <w:tcW w:w="8642" w:type="dxa"/>
          </w:tcPr>
          <w:p w14:paraId="771B7A41" w14:textId="77777777" w:rsidR="002835D9" w:rsidRPr="007F1A4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ENDORSES the initiative for the establishment of a North African Wetland Centre, and URGES Contracting Parties and institutions to contribute financial support for it. </w:t>
            </w:r>
          </w:p>
        </w:tc>
        <w:tc>
          <w:tcPr>
            <w:tcW w:w="1418" w:type="dxa"/>
          </w:tcPr>
          <w:p w14:paraId="742E09AB" w14:textId="77777777" w:rsidR="002835D9" w:rsidRDefault="002835D9" w:rsidP="00A03E7B">
            <w:pPr>
              <w:rPr>
                <w:sz w:val="22"/>
                <w:szCs w:val="22"/>
                <w:lang w:val="en-US"/>
              </w:rPr>
            </w:pPr>
            <w:r>
              <w:rPr>
                <w:sz w:val="22"/>
                <w:szCs w:val="22"/>
                <w:lang w:val="en-US"/>
              </w:rPr>
              <w:t>10</w:t>
            </w:r>
          </w:p>
        </w:tc>
        <w:tc>
          <w:tcPr>
            <w:tcW w:w="3821" w:type="dxa"/>
          </w:tcPr>
          <w:p w14:paraId="2535E147" w14:textId="77777777" w:rsidR="002835D9" w:rsidRDefault="002835D9" w:rsidP="00A03E7B">
            <w:pPr>
              <w:rPr>
                <w:sz w:val="22"/>
                <w:szCs w:val="22"/>
                <w:lang w:val="en-US"/>
              </w:rPr>
            </w:pPr>
            <w:r>
              <w:rPr>
                <w:sz w:val="22"/>
                <w:szCs w:val="22"/>
                <w:lang w:val="en-US"/>
              </w:rPr>
              <w:t>Redundant</w:t>
            </w:r>
          </w:p>
        </w:tc>
      </w:tr>
      <w:tr w:rsidR="002835D9" w:rsidRPr="00AA7526" w14:paraId="1722F145" w14:textId="77777777" w:rsidTr="001C7493">
        <w:tc>
          <w:tcPr>
            <w:tcW w:w="8642" w:type="dxa"/>
          </w:tcPr>
          <w:p w14:paraId="4C896BD1" w14:textId="77777777" w:rsidR="002835D9" w:rsidRPr="0070156A" w:rsidRDefault="002835D9" w:rsidP="00A03E7B">
            <w:pPr>
              <w:pStyle w:val="NormalWeb"/>
              <w:rPr>
                <w:rFonts w:asciiTheme="minorHAnsi" w:hAnsiTheme="minorHAnsi"/>
                <w:b/>
                <w:sz w:val="22"/>
                <w:szCs w:val="22"/>
                <w:lang w:val="en-US"/>
              </w:rPr>
            </w:pPr>
            <w:r w:rsidRPr="0070156A">
              <w:rPr>
                <w:rFonts w:asciiTheme="minorHAnsi" w:hAnsiTheme="minorHAnsi"/>
                <w:b/>
                <w:sz w:val="22"/>
                <w:szCs w:val="22"/>
                <w:lang w:val="en-US"/>
              </w:rPr>
              <w:t xml:space="preserve">MedWet </w:t>
            </w:r>
          </w:p>
        </w:tc>
        <w:tc>
          <w:tcPr>
            <w:tcW w:w="1418" w:type="dxa"/>
          </w:tcPr>
          <w:p w14:paraId="4EFA0D29" w14:textId="77777777" w:rsidR="002835D9" w:rsidRDefault="002835D9" w:rsidP="00A03E7B">
            <w:pPr>
              <w:rPr>
                <w:sz w:val="22"/>
                <w:szCs w:val="22"/>
                <w:lang w:val="en-US"/>
              </w:rPr>
            </w:pPr>
          </w:p>
        </w:tc>
        <w:tc>
          <w:tcPr>
            <w:tcW w:w="3821" w:type="dxa"/>
          </w:tcPr>
          <w:p w14:paraId="69D7CEBC" w14:textId="77777777" w:rsidR="002835D9" w:rsidRDefault="002835D9" w:rsidP="00A03E7B">
            <w:pPr>
              <w:rPr>
                <w:sz w:val="22"/>
                <w:szCs w:val="22"/>
                <w:lang w:val="en-US"/>
              </w:rPr>
            </w:pPr>
          </w:p>
        </w:tc>
      </w:tr>
      <w:tr w:rsidR="002835D9" w:rsidRPr="00AA7526" w14:paraId="35695A54" w14:textId="77777777" w:rsidTr="001C7493">
        <w:tc>
          <w:tcPr>
            <w:tcW w:w="8642" w:type="dxa"/>
          </w:tcPr>
          <w:p w14:paraId="328E97EB" w14:textId="77777777" w:rsidR="002835D9" w:rsidRPr="00AA7526" w:rsidRDefault="002835D9" w:rsidP="00A03E7B">
            <w:pPr>
              <w:pStyle w:val="NormalWeb"/>
              <w:rPr>
                <w:sz w:val="22"/>
                <w:szCs w:val="22"/>
                <w:lang w:val="en-US"/>
              </w:rPr>
            </w:pPr>
          </w:p>
        </w:tc>
        <w:tc>
          <w:tcPr>
            <w:tcW w:w="1418" w:type="dxa"/>
          </w:tcPr>
          <w:p w14:paraId="2366E086" w14:textId="77777777" w:rsidR="002835D9" w:rsidRPr="0070156A" w:rsidRDefault="002835D9" w:rsidP="00A03E7B">
            <w:pPr>
              <w:rPr>
                <w:b/>
                <w:sz w:val="22"/>
                <w:szCs w:val="22"/>
                <w:lang w:val="en-US"/>
              </w:rPr>
            </w:pPr>
            <w:r w:rsidRPr="0070156A">
              <w:rPr>
                <w:b/>
                <w:sz w:val="22"/>
                <w:szCs w:val="22"/>
                <w:lang w:val="en-US"/>
              </w:rPr>
              <w:t>IX.7</w:t>
            </w:r>
          </w:p>
        </w:tc>
        <w:tc>
          <w:tcPr>
            <w:tcW w:w="3821" w:type="dxa"/>
          </w:tcPr>
          <w:p w14:paraId="3CC03977" w14:textId="77777777" w:rsidR="002835D9" w:rsidRDefault="002835D9" w:rsidP="00A03E7B">
            <w:pPr>
              <w:rPr>
                <w:sz w:val="22"/>
                <w:szCs w:val="22"/>
                <w:lang w:val="en-US"/>
              </w:rPr>
            </w:pPr>
          </w:p>
        </w:tc>
      </w:tr>
      <w:tr w:rsidR="002835D9" w:rsidRPr="00AA7526" w14:paraId="0034E16E" w14:textId="77777777" w:rsidTr="001C7493">
        <w:tc>
          <w:tcPr>
            <w:tcW w:w="8642" w:type="dxa"/>
          </w:tcPr>
          <w:p w14:paraId="25BB2906" w14:textId="77777777" w:rsidR="002835D9" w:rsidRPr="0070156A" w:rsidRDefault="002835D9" w:rsidP="00A03E7B">
            <w:pPr>
              <w:pStyle w:val="NormalWeb"/>
              <w:rPr>
                <w:rFonts w:asciiTheme="minorHAnsi" w:hAnsiTheme="minorHAnsi"/>
                <w:sz w:val="22"/>
                <w:szCs w:val="22"/>
                <w:lang w:val="en-US"/>
              </w:rPr>
            </w:pPr>
            <w:r w:rsidRPr="0070156A">
              <w:rPr>
                <w:rFonts w:asciiTheme="minorHAnsi" w:hAnsiTheme="minorHAnsi"/>
                <w:sz w:val="22"/>
                <w:szCs w:val="22"/>
                <w:lang w:val="en-US"/>
              </w:rPr>
              <w:t xml:space="preserve">RECOGNIZES specifically the critical importance of financial and political support from Contracting Parties of the region to the MedWet Initiative, and especially from the host country of its Coordination Unit, EXPRESSES ITS SINCERE GRATITUDE to the Government of Greece for hosting the MedWet Coordination Unit in Athens, ACCEPTS the generous offer of </w:t>
            </w:r>
            <w:r w:rsidRPr="0070156A">
              <w:rPr>
                <w:rFonts w:asciiTheme="minorHAnsi" w:hAnsiTheme="minorHAnsi"/>
                <w:sz w:val="22"/>
                <w:szCs w:val="22"/>
                <w:lang w:val="en-US"/>
              </w:rPr>
              <w:lastRenderedPageBreak/>
              <w:t>the Government of Greece to continue providing office facilities and financial support during the triennium 2006-2008 for the same purpose and INSTRUCTS the Secretary General to renew as appropriate the existing Memorandum of Understanding with the government of Greece for hosting the MedWet Coordination Unit for the triennium 2006-2008; and</w:t>
            </w:r>
          </w:p>
        </w:tc>
        <w:tc>
          <w:tcPr>
            <w:tcW w:w="1418" w:type="dxa"/>
          </w:tcPr>
          <w:p w14:paraId="1821A339" w14:textId="77777777" w:rsidR="002835D9" w:rsidRDefault="002835D9" w:rsidP="00A03E7B">
            <w:pPr>
              <w:rPr>
                <w:sz w:val="22"/>
                <w:szCs w:val="22"/>
                <w:lang w:val="en-US"/>
              </w:rPr>
            </w:pPr>
            <w:r w:rsidRPr="00C27AF1">
              <w:rPr>
                <w:sz w:val="22"/>
                <w:szCs w:val="22"/>
                <w:lang w:val="en-US"/>
              </w:rPr>
              <w:lastRenderedPageBreak/>
              <w:t>15</w:t>
            </w:r>
          </w:p>
        </w:tc>
        <w:tc>
          <w:tcPr>
            <w:tcW w:w="3821" w:type="dxa"/>
          </w:tcPr>
          <w:p w14:paraId="5D7F8597" w14:textId="77777777" w:rsidR="002835D9" w:rsidRDefault="002835D9" w:rsidP="00A03E7B">
            <w:pPr>
              <w:rPr>
                <w:sz w:val="22"/>
                <w:szCs w:val="22"/>
                <w:lang w:val="en-US"/>
              </w:rPr>
            </w:pPr>
            <w:r>
              <w:rPr>
                <w:sz w:val="22"/>
                <w:szCs w:val="22"/>
                <w:lang w:val="en-US"/>
              </w:rPr>
              <w:t xml:space="preserve">Redundant </w:t>
            </w:r>
          </w:p>
        </w:tc>
      </w:tr>
      <w:tr w:rsidR="002835D9" w:rsidRPr="00AA7526" w14:paraId="0CFEBD30" w14:textId="77777777" w:rsidTr="001C7493">
        <w:tc>
          <w:tcPr>
            <w:tcW w:w="8642" w:type="dxa"/>
          </w:tcPr>
          <w:p w14:paraId="07B8D7D6" w14:textId="77777777" w:rsidR="002835D9" w:rsidRPr="0070156A" w:rsidRDefault="002835D9" w:rsidP="00A03E7B">
            <w:pPr>
              <w:pStyle w:val="NormalWeb"/>
              <w:rPr>
                <w:rFonts w:asciiTheme="minorHAnsi" w:hAnsiTheme="minorHAnsi"/>
                <w:sz w:val="22"/>
                <w:szCs w:val="22"/>
                <w:lang w:val="en-US"/>
              </w:rPr>
            </w:pPr>
            <w:r w:rsidRPr="0070156A">
              <w:rPr>
                <w:rFonts w:asciiTheme="minorHAnsi" w:hAnsiTheme="minorHAnsi"/>
                <w:sz w:val="22"/>
                <w:szCs w:val="22"/>
                <w:lang w:val="en-US"/>
              </w:rPr>
              <w:t>APPROVES the budget for the operation of the Mediterranean Wetlands Committee and the Coordination Unit for the Mediterranean Wetlands Initiative in the framework of the Ramsar Convention as contained in Annex II of this Resolution</w:t>
            </w:r>
            <w:r w:rsidRPr="0070156A">
              <w:rPr>
                <w:rFonts w:asciiTheme="minorHAnsi" w:hAnsiTheme="minorHAnsi"/>
                <w:b/>
                <w:sz w:val="22"/>
                <w:szCs w:val="22"/>
                <w:lang w:val="en-US"/>
              </w:rPr>
              <w:t>.</w:t>
            </w:r>
          </w:p>
        </w:tc>
        <w:tc>
          <w:tcPr>
            <w:tcW w:w="1418" w:type="dxa"/>
          </w:tcPr>
          <w:p w14:paraId="593CD9ED" w14:textId="77777777" w:rsidR="002835D9" w:rsidRDefault="002835D9" w:rsidP="00A03E7B">
            <w:pPr>
              <w:rPr>
                <w:sz w:val="22"/>
                <w:szCs w:val="22"/>
                <w:lang w:val="en-US"/>
              </w:rPr>
            </w:pPr>
            <w:r w:rsidRPr="00C27AF1">
              <w:rPr>
                <w:sz w:val="22"/>
                <w:szCs w:val="22"/>
                <w:lang w:val="en-US"/>
              </w:rPr>
              <w:t>16</w:t>
            </w:r>
          </w:p>
        </w:tc>
        <w:tc>
          <w:tcPr>
            <w:tcW w:w="3821" w:type="dxa"/>
          </w:tcPr>
          <w:p w14:paraId="0E812F42" w14:textId="77777777" w:rsidR="002835D9" w:rsidRDefault="002835D9" w:rsidP="00A03E7B">
            <w:pPr>
              <w:rPr>
                <w:sz w:val="22"/>
                <w:szCs w:val="22"/>
                <w:lang w:val="en-US"/>
              </w:rPr>
            </w:pPr>
            <w:r>
              <w:rPr>
                <w:sz w:val="22"/>
                <w:szCs w:val="22"/>
                <w:lang w:val="en-US"/>
              </w:rPr>
              <w:t xml:space="preserve">Redundant </w:t>
            </w:r>
          </w:p>
        </w:tc>
      </w:tr>
      <w:tr w:rsidR="002835D9" w:rsidRPr="00AA7526" w14:paraId="146475A7" w14:textId="77777777" w:rsidTr="001C7493">
        <w:tc>
          <w:tcPr>
            <w:tcW w:w="8642" w:type="dxa"/>
          </w:tcPr>
          <w:p w14:paraId="23AC957C" w14:textId="77777777" w:rsidR="002835D9" w:rsidRDefault="002835D9" w:rsidP="00A03E7B">
            <w:pPr>
              <w:pStyle w:val="NormalWeb"/>
              <w:rPr>
                <w:rFonts w:asciiTheme="minorHAnsi" w:hAnsiTheme="minorHAnsi"/>
                <w:sz w:val="22"/>
                <w:szCs w:val="22"/>
                <w:lang w:val="en-US"/>
              </w:rPr>
            </w:pPr>
          </w:p>
        </w:tc>
        <w:tc>
          <w:tcPr>
            <w:tcW w:w="1418" w:type="dxa"/>
          </w:tcPr>
          <w:p w14:paraId="2EEF6E9E" w14:textId="77777777" w:rsidR="002835D9" w:rsidRPr="009A030A" w:rsidRDefault="002835D9" w:rsidP="00A03E7B">
            <w:pPr>
              <w:rPr>
                <w:b/>
                <w:sz w:val="22"/>
                <w:szCs w:val="22"/>
                <w:lang w:val="en-US"/>
              </w:rPr>
            </w:pPr>
            <w:r w:rsidRPr="009A030A">
              <w:rPr>
                <w:b/>
                <w:sz w:val="22"/>
                <w:szCs w:val="22"/>
                <w:lang w:val="en-US"/>
              </w:rPr>
              <w:t>VIII.30</w:t>
            </w:r>
          </w:p>
        </w:tc>
        <w:tc>
          <w:tcPr>
            <w:tcW w:w="3821" w:type="dxa"/>
          </w:tcPr>
          <w:p w14:paraId="3273828F" w14:textId="77777777" w:rsidR="002835D9" w:rsidRDefault="002835D9" w:rsidP="00A03E7B">
            <w:pPr>
              <w:rPr>
                <w:sz w:val="22"/>
                <w:szCs w:val="22"/>
                <w:lang w:val="en-US"/>
              </w:rPr>
            </w:pPr>
          </w:p>
        </w:tc>
      </w:tr>
      <w:tr w:rsidR="002835D9" w:rsidRPr="00AA7526" w14:paraId="131520B5" w14:textId="77777777" w:rsidTr="001C7493">
        <w:tc>
          <w:tcPr>
            <w:tcW w:w="8642" w:type="dxa"/>
          </w:tcPr>
          <w:p w14:paraId="6D024901" w14:textId="77777777" w:rsidR="002835D9" w:rsidRDefault="002835D9" w:rsidP="00A03E7B">
            <w:pPr>
              <w:pStyle w:val="NormalWeb"/>
              <w:rPr>
                <w:rFonts w:asciiTheme="minorHAnsi" w:hAnsiTheme="minorHAnsi"/>
                <w:sz w:val="22"/>
                <w:szCs w:val="22"/>
                <w:lang w:val="en-US"/>
              </w:rPr>
            </w:pPr>
            <w:r w:rsidRPr="001D4C9F">
              <w:rPr>
                <w:rFonts w:asciiTheme="minorHAnsi" w:hAnsiTheme="minorHAnsi"/>
                <w:sz w:val="22"/>
                <w:szCs w:val="22"/>
                <w:lang w:val="en-US"/>
              </w:rPr>
              <w:t xml:space="preserve">APPROVES, within this context and for the years 2003-2005, the financial support from the Convention core budget to be provided to the MedWet Initiative as reflected in the MedWet Coordination Unit Budget 2003-2005, presented in Annex II of this Resolution; </w:t>
            </w:r>
          </w:p>
        </w:tc>
        <w:tc>
          <w:tcPr>
            <w:tcW w:w="1418" w:type="dxa"/>
          </w:tcPr>
          <w:p w14:paraId="0BB79431" w14:textId="77777777" w:rsidR="002835D9" w:rsidRDefault="002835D9" w:rsidP="00A03E7B">
            <w:pPr>
              <w:rPr>
                <w:sz w:val="22"/>
                <w:szCs w:val="22"/>
                <w:lang w:val="en-US"/>
              </w:rPr>
            </w:pPr>
            <w:r>
              <w:rPr>
                <w:sz w:val="22"/>
                <w:szCs w:val="22"/>
                <w:lang w:val="en-US"/>
              </w:rPr>
              <w:t>11</w:t>
            </w:r>
          </w:p>
        </w:tc>
        <w:tc>
          <w:tcPr>
            <w:tcW w:w="3821" w:type="dxa"/>
          </w:tcPr>
          <w:p w14:paraId="1CBCD3C6" w14:textId="77777777" w:rsidR="002835D9" w:rsidRDefault="002835D9" w:rsidP="00A03E7B">
            <w:pPr>
              <w:rPr>
                <w:sz w:val="22"/>
                <w:szCs w:val="22"/>
                <w:lang w:val="en-US"/>
              </w:rPr>
            </w:pPr>
            <w:r>
              <w:rPr>
                <w:sz w:val="22"/>
                <w:szCs w:val="22"/>
                <w:lang w:val="en-US"/>
              </w:rPr>
              <w:t xml:space="preserve">Redundant </w:t>
            </w:r>
          </w:p>
        </w:tc>
      </w:tr>
      <w:tr w:rsidR="002835D9" w:rsidRPr="00AA7526" w14:paraId="0199AC20" w14:textId="77777777" w:rsidTr="001C7493">
        <w:tc>
          <w:tcPr>
            <w:tcW w:w="8642" w:type="dxa"/>
          </w:tcPr>
          <w:p w14:paraId="2C948810" w14:textId="77777777" w:rsidR="002835D9" w:rsidRPr="001D4C9F" w:rsidRDefault="002835D9" w:rsidP="00A03E7B">
            <w:pPr>
              <w:pStyle w:val="NormalWeb"/>
              <w:rPr>
                <w:rFonts w:asciiTheme="minorHAnsi" w:hAnsiTheme="minorHAnsi"/>
                <w:sz w:val="22"/>
                <w:szCs w:val="22"/>
                <w:lang w:val="en-US"/>
              </w:rPr>
            </w:pPr>
            <w:r w:rsidRPr="0070156A">
              <w:rPr>
                <w:rFonts w:asciiTheme="minorHAnsi" w:hAnsiTheme="minorHAnsi"/>
                <w:sz w:val="22"/>
                <w:szCs w:val="22"/>
                <w:lang w:val="en-US"/>
              </w:rPr>
              <w:t>RECOGNIZES the critical importance of financial and political support from Contracting Parties of the region to the MedWet Initiative, and especially from the host country of its Coordination Unit; EXPRESSES ITS SINCERE GRATITUDE to the Government of Greece for hosting the MedWet Unit in Athens, including the provision of adequate office space and financial resources to cover all other expenses during 2001 and 2002; and ACCEPTS the generous offer of the Government of Greece to continue providing office facilities and financial support during the triennium 2003-2005 for the same purpose;</w:t>
            </w:r>
          </w:p>
        </w:tc>
        <w:tc>
          <w:tcPr>
            <w:tcW w:w="1418" w:type="dxa"/>
          </w:tcPr>
          <w:p w14:paraId="59348C27" w14:textId="77777777" w:rsidR="002835D9" w:rsidRDefault="002835D9" w:rsidP="00A03E7B">
            <w:pPr>
              <w:rPr>
                <w:sz w:val="22"/>
                <w:szCs w:val="22"/>
                <w:lang w:val="en-US"/>
              </w:rPr>
            </w:pPr>
            <w:r>
              <w:rPr>
                <w:sz w:val="22"/>
                <w:szCs w:val="22"/>
                <w:lang w:val="en-US"/>
              </w:rPr>
              <w:t>12</w:t>
            </w:r>
          </w:p>
        </w:tc>
        <w:tc>
          <w:tcPr>
            <w:tcW w:w="3821" w:type="dxa"/>
          </w:tcPr>
          <w:p w14:paraId="4FF192CD" w14:textId="77777777" w:rsidR="002835D9" w:rsidRDefault="002835D9" w:rsidP="00A03E7B">
            <w:pPr>
              <w:rPr>
                <w:sz w:val="22"/>
                <w:szCs w:val="22"/>
                <w:lang w:val="en-US"/>
              </w:rPr>
            </w:pPr>
            <w:r>
              <w:rPr>
                <w:sz w:val="22"/>
                <w:szCs w:val="22"/>
                <w:lang w:val="en-US"/>
              </w:rPr>
              <w:t xml:space="preserve">Redundant </w:t>
            </w:r>
          </w:p>
        </w:tc>
      </w:tr>
      <w:tr w:rsidR="002835D9" w:rsidRPr="00AA7526" w14:paraId="66ED4AF3" w14:textId="77777777" w:rsidTr="001C7493">
        <w:tc>
          <w:tcPr>
            <w:tcW w:w="8642" w:type="dxa"/>
          </w:tcPr>
          <w:p w14:paraId="7F6CFF71" w14:textId="77777777" w:rsidR="002835D9" w:rsidRPr="001D4C9F" w:rsidRDefault="002835D9" w:rsidP="00A03E7B">
            <w:pPr>
              <w:pStyle w:val="NormalWeb"/>
              <w:rPr>
                <w:rFonts w:asciiTheme="minorHAnsi" w:hAnsiTheme="minorHAnsi"/>
                <w:sz w:val="22"/>
                <w:szCs w:val="22"/>
                <w:lang w:val="en-US"/>
              </w:rPr>
            </w:pPr>
            <w:r w:rsidRPr="001D4C9F">
              <w:rPr>
                <w:rFonts w:asciiTheme="minorHAnsi" w:hAnsiTheme="minorHAnsi"/>
                <w:sz w:val="22"/>
                <w:szCs w:val="22"/>
                <w:lang w:val="en-US"/>
              </w:rPr>
              <w:t xml:space="preserve">APPROVES the budget of the MedWet Coordination Unit as contained in Annex II of this Resolution; </w:t>
            </w:r>
          </w:p>
        </w:tc>
        <w:tc>
          <w:tcPr>
            <w:tcW w:w="1418" w:type="dxa"/>
          </w:tcPr>
          <w:p w14:paraId="13909E9F" w14:textId="77777777" w:rsidR="002835D9" w:rsidRDefault="002835D9" w:rsidP="00A03E7B">
            <w:pPr>
              <w:rPr>
                <w:sz w:val="22"/>
                <w:szCs w:val="22"/>
                <w:lang w:val="en-US"/>
              </w:rPr>
            </w:pPr>
            <w:r>
              <w:rPr>
                <w:sz w:val="22"/>
                <w:szCs w:val="22"/>
                <w:lang w:val="en-US"/>
              </w:rPr>
              <w:t>13</w:t>
            </w:r>
          </w:p>
        </w:tc>
        <w:tc>
          <w:tcPr>
            <w:tcW w:w="3821" w:type="dxa"/>
          </w:tcPr>
          <w:p w14:paraId="2E21EF7D" w14:textId="77777777" w:rsidR="002835D9" w:rsidRDefault="002835D9" w:rsidP="00A03E7B">
            <w:pPr>
              <w:rPr>
                <w:sz w:val="22"/>
                <w:szCs w:val="22"/>
                <w:lang w:val="en-US"/>
              </w:rPr>
            </w:pPr>
            <w:r>
              <w:rPr>
                <w:sz w:val="22"/>
                <w:szCs w:val="22"/>
                <w:lang w:val="en-US"/>
              </w:rPr>
              <w:t xml:space="preserve">Redundant </w:t>
            </w:r>
          </w:p>
        </w:tc>
      </w:tr>
      <w:tr w:rsidR="002835D9" w:rsidRPr="00AA7526" w14:paraId="356F39AC" w14:textId="77777777" w:rsidTr="001C7493">
        <w:tc>
          <w:tcPr>
            <w:tcW w:w="8642" w:type="dxa"/>
          </w:tcPr>
          <w:p w14:paraId="3861437D" w14:textId="77777777" w:rsidR="002835D9" w:rsidRPr="001D4C9F" w:rsidRDefault="002835D9" w:rsidP="00A03E7B">
            <w:pPr>
              <w:pStyle w:val="NormalWeb"/>
              <w:rPr>
                <w:rFonts w:asciiTheme="minorHAnsi" w:hAnsiTheme="minorHAnsi"/>
                <w:sz w:val="22"/>
                <w:szCs w:val="22"/>
                <w:lang w:val="en-US"/>
              </w:rPr>
            </w:pPr>
            <w:r w:rsidRPr="009A030A">
              <w:rPr>
                <w:rFonts w:asciiTheme="minorHAnsi" w:hAnsiTheme="minorHAnsi"/>
                <w:sz w:val="22"/>
                <w:szCs w:val="22"/>
                <w:lang w:val="en-US"/>
              </w:rPr>
              <w:t>AUTHORIZES the Secretary General to conclude, taking due account of the Guidance and in consultation with the Chair of the Standing Committee, a Memorandum of Understanding (MoU) with the Greek Government with regard to the specific financial and institutional arrangement of the MedWet Coordination Unit in Athens for the years 2003-2005, and DIRECTS the Secretary General to report to the Standing Committee on the conclusion and implementation of this MoU; and</w:t>
            </w:r>
          </w:p>
        </w:tc>
        <w:tc>
          <w:tcPr>
            <w:tcW w:w="1418" w:type="dxa"/>
          </w:tcPr>
          <w:p w14:paraId="0666EBE1" w14:textId="77777777" w:rsidR="002835D9" w:rsidRDefault="002835D9" w:rsidP="00A03E7B">
            <w:pPr>
              <w:rPr>
                <w:sz w:val="22"/>
                <w:szCs w:val="22"/>
                <w:lang w:val="en-US"/>
              </w:rPr>
            </w:pPr>
            <w:r>
              <w:rPr>
                <w:sz w:val="22"/>
                <w:szCs w:val="22"/>
                <w:lang w:val="en-US"/>
              </w:rPr>
              <w:t>14</w:t>
            </w:r>
          </w:p>
        </w:tc>
        <w:tc>
          <w:tcPr>
            <w:tcW w:w="3821" w:type="dxa"/>
          </w:tcPr>
          <w:p w14:paraId="3573C592" w14:textId="77777777" w:rsidR="002835D9" w:rsidRDefault="002835D9" w:rsidP="00A03E7B">
            <w:pPr>
              <w:rPr>
                <w:sz w:val="22"/>
                <w:szCs w:val="22"/>
                <w:lang w:val="en-US"/>
              </w:rPr>
            </w:pPr>
            <w:r>
              <w:rPr>
                <w:sz w:val="22"/>
                <w:szCs w:val="22"/>
                <w:lang w:val="en-US"/>
              </w:rPr>
              <w:t xml:space="preserve">Redundant </w:t>
            </w:r>
          </w:p>
        </w:tc>
      </w:tr>
      <w:tr w:rsidR="002835D9" w:rsidRPr="00AA7526" w14:paraId="41AC59B9" w14:textId="77777777" w:rsidTr="001C7493">
        <w:tc>
          <w:tcPr>
            <w:tcW w:w="8642" w:type="dxa"/>
          </w:tcPr>
          <w:p w14:paraId="070447D7" w14:textId="77777777" w:rsidR="002835D9" w:rsidRPr="009A030A" w:rsidRDefault="002835D9" w:rsidP="00A03E7B">
            <w:pPr>
              <w:pStyle w:val="NormalWeb"/>
              <w:rPr>
                <w:rFonts w:asciiTheme="minorHAnsi" w:hAnsiTheme="minorHAnsi"/>
                <w:sz w:val="22"/>
                <w:szCs w:val="22"/>
                <w:lang w:val="en-US"/>
              </w:rPr>
            </w:pPr>
            <w:r w:rsidRPr="009A030A">
              <w:rPr>
                <w:rFonts w:asciiTheme="minorHAnsi" w:hAnsiTheme="minorHAnsi"/>
                <w:sz w:val="22"/>
                <w:szCs w:val="22"/>
                <w:lang w:val="en-US"/>
              </w:rPr>
              <w:t>REQUESTS the Secretary General to ensure that the experience of the MedWet Coordination Unit and its partners will be at the disposal of other regional initiatives as required and in the most appropriate form.</w:t>
            </w:r>
          </w:p>
        </w:tc>
        <w:tc>
          <w:tcPr>
            <w:tcW w:w="1418" w:type="dxa"/>
          </w:tcPr>
          <w:p w14:paraId="4A44BA1A" w14:textId="77777777" w:rsidR="002835D9" w:rsidRDefault="002835D9" w:rsidP="00A03E7B">
            <w:pPr>
              <w:rPr>
                <w:sz w:val="22"/>
                <w:szCs w:val="22"/>
                <w:lang w:val="en-US"/>
              </w:rPr>
            </w:pPr>
            <w:r>
              <w:rPr>
                <w:sz w:val="22"/>
                <w:szCs w:val="22"/>
                <w:lang w:val="en-US"/>
              </w:rPr>
              <w:t>15</w:t>
            </w:r>
          </w:p>
        </w:tc>
        <w:tc>
          <w:tcPr>
            <w:tcW w:w="3821" w:type="dxa"/>
          </w:tcPr>
          <w:p w14:paraId="49A45DB9" w14:textId="77777777" w:rsidR="002835D9" w:rsidRDefault="002835D9" w:rsidP="00A03E7B">
            <w:pPr>
              <w:rPr>
                <w:sz w:val="22"/>
                <w:szCs w:val="22"/>
                <w:lang w:val="en-US"/>
              </w:rPr>
            </w:pPr>
            <w:r>
              <w:rPr>
                <w:sz w:val="22"/>
                <w:szCs w:val="22"/>
                <w:lang w:val="en-US"/>
              </w:rPr>
              <w:t xml:space="preserve">Redundant </w:t>
            </w:r>
          </w:p>
        </w:tc>
      </w:tr>
      <w:tr w:rsidR="002835D9" w:rsidRPr="00AA7526" w14:paraId="711A340E" w14:textId="77777777" w:rsidTr="001C7493">
        <w:tc>
          <w:tcPr>
            <w:tcW w:w="8642" w:type="dxa"/>
          </w:tcPr>
          <w:p w14:paraId="0BFAEE0B" w14:textId="77777777" w:rsidR="002835D9" w:rsidRPr="009A030A" w:rsidRDefault="002835D9" w:rsidP="00A03E7B">
            <w:pPr>
              <w:pStyle w:val="NormalWeb"/>
              <w:rPr>
                <w:rFonts w:asciiTheme="minorHAnsi" w:hAnsiTheme="minorHAnsi"/>
                <w:sz w:val="22"/>
                <w:szCs w:val="22"/>
                <w:lang w:val="en-US"/>
              </w:rPr>
            </w:pPr>
          </w:p>
        </w:tc>
        <w:tc>
          <w:tcPr>
            <w:tcW w:w="1418" w:type="dxa"/>
          </w:tcPr>
          <w:p w14:paraId="348ADBB0" w14:textId="77777777" w:rsidR="002835D9" w:rsidRPr="0025104A" w:rsidRDefault="002835D9" w:rsidP="00A03E7B">
            <w:pPr>
              <w:rPr>
                <w:b/>
                <w:sz w:val="22"/>
                <w:szCs w:val="22"/>
                <w:lang w:val="en-US"/>
              </w:rPr>
            </w:pPr>
            <w:r w:rsidRPr="0025104A">
              <w:rPr>
                <w:b/>
                <w:sz w:val="22"/>
                <w:szCs w:val="22"/>
                <w:lang w:val="en-US"/>
              </w:rPr>
              <w:t>VII.22</w:t>
            </w:r>
          </w:p>
        </w:tc>
        <w:tc>
          <w:tcPr>
            <w:tcW w:w="3821" w:type="dxa"/>
          </w:tcPr>
          <w:p w14:paraId="4E1AB18C" w14:textId="77777777" w:rsidR="002835D9" w:rsidRDefault="002835D9" w:rsidP="00A03E7B">
            <w:pPr>
              <w:rPr>
                <w:sz w:val="22"/>
                <w:szCs w:val="22"/>
                <w:lang w:val="en-US"/>
              </w:rPr>
            </w:pPr>
          </w:p>
        </w:tc>
      </w:tr>
      <w:tr w:rsidR="002835D9" w:rsidRPr="00AA7526" w14:paraId="184D5E22" w14:textId="77777777" w:rsidTr="001C7493">
        <w:tc>
          <w:tcPr>
            <w:tcW w:w="8642" w:type="dxa"/>
          </w:tcPr>
          <w:p w14:paraId="154BE204" w14:textId="77777777" w:rsidR="002835D9" w:rsidRPr="009A030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EXPRESSES ITS SATISFACTION at the work carried out so far under the Mediterranean Wetland Initiative and ITS APPRECIATION to the governments and institutions, in particular the European Commission, that have provided financial support to the Initiative; and </w:t>
            </w:r>
            <w:r w:rsidRPr="0025104A">
              <w:rPr>
                <w:rFonts w:asciiTheme="minorHAnsi" w:hAnsiTheme="minorHAnsi"/>
                <w:sz w:val="22"/>
                <w:szCs w:val="22"/>
                <w:lang w:val="en-US"/>
              </w:rPr>
              <w:lastRenderedPageBreak/>
              <w:t xml:space="preserve">RECOGNISES it as a model of regional collaboration, based on endogenous efforts and a wide participation of all sectors; </w:t>
            </w:r>
          </w:p>
        </w:tc>
        <w:tc>
          <w:tcPr>
            <w:tcW w:w="1418" w:type="dxa"/>
          </w:tcPr>
          <w:p w14:paraId="1B2A80B5" w14:textId="77777777" w:rsidR="002835D9" w:rsidRDefault="002835D9" w:rsidP="00A03E7B">
            <w:pPr>
              <w:rPr>
                <w:sz w:val="22"/>
                <w:szCs w:val="22"/>
                <w:lang w:val="en-US"/>
              </w:rPr>
            </w:pPr>
            <w:r>
              <w:rPr>
                <w:sz w:val="22"/>
                <w:szCs w:val="22"/>
                <w:lang w:val="en-US"/>
              </w:rPr>
              <w:lastRenderedPageBreak/>
              <w:t>2</w:t>
            </w:r>
          </w:p>
        </w:tc>
        <w:tc>
          <w:tcPr>
            <w:tcW w:w="3821" w:type="dxa"/>
          </w:tcPr>
          <w:p w14:paraId="48985DA5" w14:textId="77777777" w:rsidR="002835D9" w:rsidRDefault="002835D9" w:rsidP="00A03E7B">
            <w:pPr>
              <w:rPr>
                <w:sz w:val="22"/>
                <w:szCs w:val="22"/>
                <w:lang w:val="en-US"/>
              </w:rPr>
            </w:pPr>
            <w:r>
              <w:rPr>
                <w:sz w:val="22"/>
                <w:szCs w:val="22"/>
                <w:lang w:val="en-US"/>
              </w:rPr>
              <w:t>Redundant</w:t>
            </w:r>
          </w:p>
        </w:tc>
      </w:tr>
      <w:tr w:rsidR="002835D9" w:rsidRPr="00AA7526" w14:paraId="4C238A7E" w14:textId="77777777" w:rsidTr="001C7493">
        <w:tc>
          <w:tcPr>
            <w:tcW w:w="8642" w:type="dxa"/>
          </w:tcPr>
          <w:p w14:paraId="6B20F3FF" w14:textId="77777777" w:rsidR="002835D9" w:rsidRPr="009A030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APPROVES the establishment of the Mediterranean Wetlands Committee (MedWet/Com) within the framework of the Convention, as a forum for collaboration on wetland issues in the Mediterranean and as an advisor to the Convention in this region; </w:t>
            </w:r>
          </w:p>
        </w:tc>
        <w:tc>
          <w:tcPr>
            <w:tcW w:w="1418" w:type="dxa"/>
          </w:tcPr>
          <w:p w14:paraId="6A3D7FEF" w14:textId="77777777" w:rsidR="002835D9" w:rsidRDefault="002835D9" w:rsidP="00A03E7B">
            <w:pPr>
              <w:rPr>
                <w:sz w:val="22"/>
                <w:szCs w:val="22"/>
                <w:lang w:val="en-US"/>
              </w:rPr>
            </w:pPr>
            <w:r>
              <w:rPr>
                <w:sz w:val="22"/>
                <w:szCs w:val="22"/>
                <w:lang w:val="en-US"/>
              </w:rPr>
              <w:t>3</w:t>
            </w:r>
          </w:p>
        </w:tc>
        <w:tc>
          <w:tcPr>
            <w:tcW w:w="3821" w:type="dxa"/>
          </w:tcPr>
          <w:p w14:paraId="5461EF3B" w14:textId="77777777" w:rsidR="002835D9" w:rsidRDefault="002835D9" w:rsidP="00A03E7B">
            <w:pPr>
              <w:rPr>
                <w:sz w:val="22"/>
                <w:szCs w:val="22"/>
                <w:lang w:val="en-US"/>
              </w:rPr>
            </w:pPr>
            <w:r>
              <w:rPr>
                <w:sz w:val="22"/>
                <w:szCs w:val="22"/>
                <w:lang w:val="en-US"/>
              </w:rPr>
              <w:t>Redundant</w:t>
            </w:r>
          </w:p>
        </w:tc>
      </w:tr>
      <w:tr w:rsidR="002835D9" w:rsidRPr="00AA7526" w14:paraId="75714978" w14:textId="77777777" w:rsidTr="001C7493">
        <w:tc>
          <w:tcPr>
            <w:tcW w:w="8642" w:type="dxa"/>
          </w:tcPr>
          <w:p w14:paraId="0A84D85F" w14:textId="77777777" w:rsidR="002835D9" w:rsidRPr="009A030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ENDORSES the Mediterranean Wetland Strategy and the Venice Declaration, which implement the Ramsar Strategic Plan in the region, as the guiding documents for efforts in the Mediterranean; </w:t>
            </w:r>
          </w:p>
        </w:tc>
        <w:tc>
          <w:tcPr>
            <w:tcW w:w="1418" w:type="dxa"/>
          </w:tcPr>
          <w:p w14:paraId="256D6AC3" w14:textId="77777777" w:rsidR="002835D9" w:rsidRDefault="002835D9" w:rsidP="00A03E7B">
            <w:pPr>
              <w:rPr>
                <w:sz w:val="22"/>
                <w:szCs w:val="22"/>
                <w:lang w:val="en-US"/>
              </w:rPr>
            </w:pPr>
            <w:r>
              <w:rPr>
                <w:sz w:val="22"/>
                <w:szCs w:val="22"/>
                <w:lang w:val="en-US"/>
              </w:rPr>
              <w:t>4</w:t>
            </w:r>
          </w:p>
        </w:tc>
        <w:tc>
          <w:tcPr>
            <w:tcW w:w="3821" w:type="dxa"/>
          </w:tcPr>
          <w:p w14:paraId="71A581CB" w14:textId="77777777" w:rsidR="002835D9" w:rsidRDefault="002835D9" w:rsidP="00A03E7B">
            <w:pPr>
              <w:rPr>
                <w:sz w:val="22"/>
                <w:szCs w:val="22"/>
                <w:lang w:val="en-US"/>
              </w:rPr>
            </w:pPr>
            <w:r>
              <w:rPr>
                <w:sz w:val="22"/>
                <w:szCs w:val="22"/>
                <w:lang w:val="en-US"/>
              </w:rPr>
              <w:t>Redundant</w:t>
            </w:r>
          </w:p>
        </w:tc>
      </w:tr>
      <w:tr w:rsidR="002835D9" w:rsidRPr="00AA7526" w14:paraId="194F8FF7" w14:textId="77777777" w:rsidTr="001C7493">
        <w:tc>
          <w:tcPr>
            <w:tcW w:w="8642" w:type="dxa"/>
          </w:tcPr>
          <w:p w14:paraId="161C8332" w14:textId="77777777" w:rsidR="002835D9" w:rsidRPr="0025104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ENTRUSTS the Mediterranean Wetlands Committee with the task of monitoring the implementation of this Strategy and Declaration, and of adapting them to changing conditions; </w:t>
            </w:r>
          </w:p>
        </w:tc>
        <w:tc>
          <w:tcPr>
            <w:tcW w:w="1418" w:type="dxa"/>
          </w:tcPr>
          <w:p w14:paraId="5EE1DFB7" w14:textId="77777777" w:rsidR="002835D9" w:rsidRDefault="002835D9" w:rsidP="00A03E7B">
            <w:pPr>
              <w:rPr>
                <w:sz w:val="22"/>
                <w:szCs w:val="22"/>
                <w:lang w:val="en-US"/>
              </w:rPr>
            </w:pPr>
            <w:r>
              <w:rPr>
                <w:sz w:val="22"/>
                <w:szCs w:val="22"/>
                <w:lang w:val="en-US"/>
              </w:rPr>
              <w:t>5</w:t>
            </w:r>
          </w:p>
        </w:tc>
        <w:tc>
          <w:tcPr>
            <w:tcW w:w="3821" w:type="dxa"/>
          </w:tcPr>
          <w:p w14:paraId="1A50656C" w14:textId="77777777" w:rsidR="002835D9" w:rsidRDefault="002835D9" w:rsidP="00A03E7B">
            <w:pPr>
              <w:rPr>
                <w:sz w:val="22"/>
                <w:szCs w:val="22"/>
                <w:lang w:val="en-US"/>
              </w:rPr>
            </w:pPr>
            <w:r>
              <w:rPr>
                <w:sz w:val="22"/>
                <w:szCs w:val="22"/>
                <w:lang w:val="en-US"/>
              </w:rPr>
              <w:t>Redundant</w:t>
            </w:r>
          </w:p>
        </w:tc>
      </w:tr>
      <w:tr w:rsidR="002835D9" w:rsidRPr="00AA7526" w14:paraId="65100FD5" w14:textId="77777777" w:rsidTr="001C7493">
        <w:tc>
          <w:tcPr>
            <w:tcW w:w="8642" w:type="dxa"/>
          </w:tcPr>
          <w:p w14:paraId="1C52C542" w14:textId="77777777" w:rsidR="002835D9" w:rsidRPr="0025104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ENCOURAGES the Contracting Parties around the Mediterranean to use and further develop the methodological tools elaborated under the MedWet1 and MedWet2 projects, with a view to encouraging integrated and sustainable management of wetlands in the region; </w:t>
            </w:r>
          </w:p>
        </w:tc>
        <w:tc>
          <w:tcPr>
            <w:tcW w:w="1418" w:type="dxa"/>
          </w:tcPr>
          <w:p w14:paraId="2E66363E" w14:textId="77777777" w:rsidR="002835D9" w:rsidRDefault="002835D9" w:rsidP="00A03E7B">
            <w:pPr>
              <w:rPr>
                <w:sz w:val="22"/>
                <w:szCs w:val="22"/>
                <w:lang w:val="en-US"/>
              </w:rPr>
            </w:pPr>
            <w:r>
              <w:rPr>
                <w:sz w:val="22"/>
                <w:szCs w:val="22"/>
                <w:lang w:val="en-US"/>
              </w:rPr>
              <w:t>6</w:t>
            </w:r>
          </w:p>
        </w:tc>
        <w:tc>
          <w:tcPr>
            <w:tcW w:w="3821" w:type="dxa"/>
          </w:tcPr>
          <w:p w14:paraId="223BA405" w14:textId="77777777" w:rsidR="002835D9" w:rsidRDefault="002835D9" w:rsidP="00A03E7B">
            <w:pPr>
              <w:rPr>
                <w:sz w:val="22"/>
                <w:szCs w:val="22"/>
                <w:lang w:val="en-US"/>
              </w:rPr>
            </w:pPr>
            <w:r>
              <w:rPr>
                <w:sz w:val="22"/>
                <w:szCs w:val="22"/>
                <w:lang w:val="en-US"/>
              </w:rPr>
              <w:t>Redundant</w:t>
            </w:r>
          </w:p>
        </w:tc>
      </w:tr>
      <w:tr w:rsidR="002835D9" w:rsidRPr="00AA7526" w14:paraId="1FD957FF" w14:textId="77777777" w:rsidTr="001C7493">
        <w:tc>
          <w:tcPr>
            <w:tcW w:w="8642" w:type="dxa"/>
          </w:tcPr>
          <w:p w14:paraId="343C4B2D" w14:textId="77777777" w:rsidR="002835D9" w:rsidRPr="0025104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INVITES Contracting Parties in other regions, with the assistance of the Ramsar Bureau, to consider using relevant MedWet tools, in particular, as requested in Resolution VII.20, the methodology and database for collecting, managing and storing inventory data on wetlands; and URGES countries and organizations involved in the MedWet Initiative to provide technical and financial assistance to other countries for this purpose; </w:t>
            </w:r>
          </w:p>
        </w:tc>
        <w:tc>
          <w:tcPr>
            <w:tcW w:w="1418" w:type="dxa"/>
          </w:tcPr>
          <w:p w14:paraId="081CCD4D" w14:textId="77777777" w:rsidR="002835D9" w:rsidRDefault="002835D9" w:rsidP="00A03E7B">
            <w:pPr>
              <w:rPr>
                <w:sz w:val="22"/>
                <w:szCs w:val="22"/>
                <w:lang w:val="en-US"/>
              </w:rPr>
            </w:pPr>
            <w:r>
              <w:rPr>
                <w:sz w:val="22"/>
                <w:szCs w:val="22"/>
                <w:lang w:val="en-US"/>
              </w:rPr>
              <w:t>7</w:t>
            </w:r>
          </w:p>
        </w:tc>
        <w:tc>
          <w:tcPr>
            <w:tcW w:w="3821" w:type="dxa"/>
          </w:tcPr>
          <w:p w14:paraId="53FCAF2E" w14:textId="77777777" w:rsidR="002835D9" w:rsidRDefault="002835D9" w:rsidP="00A03E7B">
            <w:pPr>
              <w:rPr>
                <w:sz w:val="22"/>
                <w:szCs w:val="22"/>
                <w:lang w:val="en-US"/>
              </w:rPr>
            </w:pPr>
            <w:r>
              <w:rPr>
                <w:sz w:val="22"/>
                <w:szCs w:val="22"/>
                <w:lang w:val="en-US"/>
              </w:rPr>
              <w:t>Redundant</w:t>
            </w:r>
          </w:p>
        </w:tc>
      </w:tr>
      <w:tr w:rsidR="002835D9" w:rsidRPr="00AA7526" w14:paraId="7ABAD77D" w14:textId="77777777" w:rsidTr="001C7493">
        <w:tc>
          <w:tcPr>
            <w:tcW w:w="8642" w:type="dxa"/>
          </w:tcPr>
          <w:p w14:paraId="701194C5" w14:textId="77777777" w:rsidR="002835D9" w:rsidRPr="0025104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ENDORSES the actions taken by the Secretary General of the Convention to establish and supervise a MedWet Team, consisting of a Coordinator and secretarial units, supported financially by voluntary contributions of governments and organizations in the region and elsewhere; </w:t>
            </w:r>
          </w:p>
        </w:tc>
        <w:tc>
          <w:tcPr>
            <w:tcW w:w="1418" w:type="dxa"/>
          </w:tcPr>
          <w:p w14:paraId="6D85402D" w14:textId="77777777" w:rsidR="002835D9" w:rsidRDefault="002835D9" w:rsidP="00A03E7B">
            <w:pPr>
              <w:rPr>
                <w:sz w:val="22"/>
                <w:szCs w:val="22"/>
                <w:lang w:val="en-US"/>
              </w:rPr>
            </w:pPr>
            <w:r>
              <w:rPr>
                <w:sz w:val="22"/>
                <w:szCs w:val="22"/>
                <w:lang w:val="en-US"/>
              </w:rPr>
              <w:t>8</w:t>
            </w:r>
          </w:p>
        </w:tc>
        <w:tc>
          <w:tcPr>
            <w:tcW w:w="3821" w:type="dxa"/>
          </w:tcPr>
          <w:p w14:paraId="2BFBECDE" w14:textId="77777777" w:rsidR="002835D9" w:rsidRDefault="002835D9" w:rsidP="00A03E7B">
            <w:pPr>
              <w:rPr>
                <w:sz w:val="22"/>
                <w:szCs w:val="22"/>
                <w:lang w:val="en-US"/>
              </w:rPr>
            </w:pPr>
            <w:r>
              <w:rPr>
                <w:sz w:val="22"/>
                <w:szCs w:val="22"/>
                <w:lang w:val="en-US"/>
              </w:rPr>
              <w:t>Redundant</w:t>
            </w:r>
          </w:p>
        </w:tc>
      </w:tr>
      <w:tr w:rsidR="002835D9" w:rsidRPr="00AA7526" w14:paraId="1A5706A5" w14:textId="77777777" w:rsidTr="001C7493">
        <w:tc>
          <w:tcPr>
            <w:tcW w:w="8642" w:type="dxa"/>
          </w:tcPr>
          <w:p w14:paraId="6CE9C441" w14:textId="77777777" w:rsidR="002835D9" w:rsidRPr="0025104A" w:rsidRDefault="002835D9" w:rsidP="00A03E7B">
            <w:pPr>
              <w:pStyle w:val="NormalWeb"/>
              <w:rPr>
                <w:rFonts w:asciiTheme="minorHAnsi" w:hAnsiTheme="minorHAnsi"/>
                <w:sz w:val="22"/>
                <w:szCs w:val="22"/>
                <w:lang w:val="en-US"/>
              </w:rPr>
            </w:pPr>
            <w:r w:rsidRPr="0025104A">
              <w:rPr>
                <w:rFonts w:asciiTheme="minorHAnsi" w:hAnsiTheme="minorHAnsi"/>
                <w:sz w:val="22"/>
                <w:szCs w:val="22"/>
                <w:lang w:val="en-US"/>
              </w:rPr>
              <w:t xml:space="preserve">URGES Contracting Parties and institutions, in particular the European Commission, to continue providing financial support to the MedWet Initiative, in particular for its work in the developing countries and entities of the Mediterranean region; and </w:t>
            </w:r>
          </w:p>
        </w:tc>
        <w:tc>
          <w:tcPr>
            <w:tcW w:w="1418" w:type="dxa"/>
          </w:tcPr>
          <w:p w14:paraId="5F1AD68A" w14:textId="77777777" w:rsidR="002835D9" w:rsidRDefault="002835D9" w:rsidP="00A03E7B">
            <w:pPr>
              <w:rPr>
                <w:sz w:val="22"/>
                <w:szCs w:val="22"/>
                <w:lang w:val="en-US"/>
              </w:rPr>
            </w:pPr>
            <w:r>
              <w:rPr>
                <w:sz w:val="22"/>
                <w:szCs w:val="22"/>
                <w:lang w:val="en-US"/>
              </w:rPr>
              <w:t>9</w:t>
            </w:r>
          </w:p>
        </w:tc>
        <w:tc>
          <w:tcPr>
            <w:tcW w:w="3821" w:type="dxa"/>
          </w:tcPr>
          <w:p w14:paraId="23A55FC0" w14:textId="77777777" w:rsidR="002835D9" w:rsidRDefault="002835D9" w:rsidP="00A03E7B">
            <w:pPr>
              <w:rPr>
                <w:sz w:val="22"/>
                <w:szCs w:val="22"/>
                <w:lang w:val="en-US"/>
              </w:rPr>
            </w:pPr>
            <w:r>
              <w:rPr>
                <w:sz w:val="22"/>
                <w:szCs w:val="22"/>
                <w:lang w:val="en-US"/>
              </w:rPr>
              <w:t>Redundant</w:t>
            </w:r>
          </w:p>
        </w:tc>
      </w:tr>
      <w:tr w:rsidR="002835D9" w:rsidRPr="00AA7526" w14:paraId="4E68806A" w14:textId="77777777" w:rsidTr="001C7493">
        <w:tc>
          <w:tcPr>
            <w:tcW w:w="8642" w:type="dxa"/>
          </w:tcPr>
          <w:p w14:paraId="17A69CC5" w14:textId="77777777" w:rsidR="002835D9" w:rsidRPr="0025104A" w:rsidRDefault="002835D9" w:rsidP="00A03E7B">
            <w:pPr>
              <w:pStyle w:val="NormalWeb"/>
              <w:rPr>
                <w:rFonts w:asciiTheme="minorHAnsi" w:hAnsiTheme="minorHAnsi"/>
                <w:sz w:val="22"/>
                <w:szCs w:val="22"/>
                <w:lang w:val="en-US"/>
              </w:rPr>
            </w:pPr>
          </w:p>
        </w:tc>
        <w:tc>
          <w:tcPr>
            <w:tcW w:w="1418" w:type="dxa"/>
          </w:tcPr>
          <w:p w14:paraId="6DD8E736" w14:textId="77777777" w:rsidR="002835D9" w:rsidRPr="00B30F4A" w:rsidRDefault="002835D9" w:rsidP="00A03E7B">
            <w:pPr>
              <w:rPr>
                <w:b/>
                <w:sz w:val="22"/>
                <w:szCs w:val="22"/>
                <w:lang w:val="en-US"/>
              </w:rPr>
            </w:pPr>
            <w:r w:rsidRPr="00B30F4A">
              <w:rPr>
                <w:b/>
                <w:sz w:val="22"/>
                <w:szCs w:val="22"/>
                <w:lang w:val="en-US"/>
              </w:rPr>
              <w:t>VI.11</w:t>
            </w:r>
          </w:p>
        </w:tc>
        <w:tc>
          <w:tcPr>
            <w:tcW w:w="3821" w:type="dxa"/>
          </w:tcPr>
          <w:p w14:paraId="352B04EB" w14:textId="77777777" w:rsidR="002835D9" w:rsidRDefault="002835D9" w:rsidP="00A03E7B">
            <w:pPr>
              <w:rPr>
                <w:sz w:val="22"/>
                <w:szCs w:val="22"/>
                <w:lang w:val="en-US"/>
              </w:rPr>
            </w:pPr>
          </w:p>
        </w:tc>
      </w:tr>
      <w:tr w:rsidR="002835D9" w:rsidRPr="003A4F70" w14:paraId="5ACBF22B" w14:textId="77777777" w:rsidTr="001C7493">
        <w:tc>
          <w:tcPr>
            <w:tcW w:w="8642" w:type="dxa"/>
          </w:tcPr>
          <w:p w14:paraId="1A134292" w14:textId="77777777" w:rsidR="002835D9" w:rsidRPr="003A4F70" w:rsidRDefault="002835D9" w:rsidP="00A03E7B">
            <w:pPr>
              <w:pStyle w:val="NormalWeb"/>
              <w:rPr>
                <w:rFonts w:asciiTheme="minorHAnsi" w:hAnsiTheme="minorHAnsi"/>
                <w:sz w:val="22"/>
                <w:szCs w:val="22"/>
                <w:lang w:val="en-US"/>
              </w:rPr>
            </w:pPr>
            <w:r w:rsidRPr="003A4F70">
              <w:rPr>
                <w:rFonts w:asciiTheme="minorHAnsi" w:hAnsiTheme="minorHAnsi"/>
                <w:sz w:val="22"/>
                <w:szCs w:val="22"/>
                <w:lang w:val="en-US"/>
              </w:rPr>
              <w:t xml:space="preserve">WELCOMES this form of concerted and integrated collaboration between government and non-government partners for the conservation and wise use of Mediterranean wetlands and considers it a promising model for wetland activities in other regions; </w:t>
            </w:r>
          </w:p>
        </w:tc>
        <w:tc>
          <w:tcPr>
            <w:tcW w:w="1418" w:type="dxa"/>
          </w:tcPr>
          <w:p w14:paraId="6FED8944" w14:textId="77777777" w:rsidR="002835D9" w:rsidRPr="003A4F70" w:rsidRDefault="002835D9" w:rsidP="00A03E7B">
            <w:pPr>
              <w:rPr>
                <w:sz w:val="22"/>
                <w:szCs w:val="22"/>
                <w:lang w:val="en-US"/>
              </w:rPr>
            </w:pPr>
            <w:r>
              <w:rPr>
                <w:sz w:val="22"/>
                <w:szCs w:val="22"/>
                <w:lang w:val="en-US"/>
              </w:rPr>
              <w:t>7</w:t>
            </w:r>
          </w:p>
        </w:tc>
        <w:tc>
          <w:tcPr>
            <w:tcW w:w="3821" w:type="dxa"/>
          </w:tcPr>
          <w:p w14:paraId="06B7F8AE" w14:textId="77777777" w:rsidR="002835D9" w:rsidRPr="003A4F70" w:rsidRDefault="002835D9" w:rsidP="00A03E7B">
            <w:pPr>
              <w:rPr>
                <w:sz w:val="22"/>
                <w:szCs w:val="22"/>
                <w:lang w:val="en-US"/>
              </w:rPr>
            </w:pPr>
            <w:r>
              <w:rPr>
                <w:sz w:val="22"/>
                <w:szCs w:val="22"/>
                <w:lang w:val="en-US"/>
              </w:rPr>
              <w:t xml:space="preserve">Redundant </w:t>
            </w:r>
          </w:p>
        </w:tc>
      </w:tr>
      <w:tr w:rsidR="002835D9" w:rsidRPr="003A4F70" w14:paraId="30B8A853" w14:textId="77777777" w:rsidTr="001C7493">
        <w:tc>
          <w:tcPr>
            <w:tcW w:w="8642" w:type="dxa"/>
          </w:tcPr>
          <w:p w14:paraId="5D1635FC" w14:textId="77777777" w:rsidR="002835D9" w:rsidRPr="003A4F70" w:rsidRDefault="002835D9" w:rsidP="00A03E7B">
            <w:pPr>
              <w:pStyle w:val="NormalWeb"/>
              <w:rPr>
                <w:rFonts w:asciiTheme="minorHAnsi" w:hAnsiTheme="minorHAnsi"/>
                <w:sz w:val="22"/>
                <w:szCs w:val="22"/>
                <w:lang w:val="en-US"/>
              </w:rPr>
            </w:pPr>
            <w:r w:rsidRPr="003A4F70">
              <w:rPr>
                <w:rFonts w:asciiTheme="minorHAnsi" w:hAnsiTheme="minorHAnsi"/>
                <w:sz w:val="22"/>
                <w:szCs w:val="22"/>
                <w:lang w:val="en-US"/>
              </w:rPr>
              <w:t xml:space="preserve">ENCOURAGES the current partners to extend this collaboration to all the countries of the Mediterranean Basin, opening it to all Mediterranean governments and appropriate </w:t>
            </w:r>
            <w:r w:rsidRPr="003A4F70">
              <w:rPr>
                <w:rFonts w:asciiTheme="minorHAnsi" w:hAnsiTheme="minorHAnsi"/>
                <w:sz w:val="22"/>
                <w:szCs w:val="22"/>
                <w:lang w:val="en-US"/>
              </w:rPr>
              <w:lastRenderedPageBreak/>
              <w:t xml:space="preserve">institutions, bodies and non-government organizations in the region, including the private sector; </w:t>
            </w:r>
          </w:p>
        </w:tc>
        <w:tc>
          <w:tcPr>
            <w:tcW w:w="1418" w:type="dxa"/>
          </w:tcPr>
          <w:p w14:paraId="3821E0A2" w14:textId="77777777" w:rsidR="002835D9" w:rsidRPr="003A4F70" w:rsidRDefault="002835D9" w:rsidP="00A03E7B">
            <w:pPr>
              <w:rPr>
                <w:sz w:val="22"/>
                <w:szCs w:val="22"/>
                <w:lang w:val="en-US"/>
              </w:rPr>
            </w:pPr>
            <w:r>
              <w:rPr>
                <w:sz w:val="22"/>
                <w:szCs w:val="22"/>
                <w:lang w:val="en-US"/>
              </w:rPr>
              <w:lastRenderedPageBreak/>
              <w:t>8</w:t>
            </w:r>
          </w:p>
        </w:tc>
        <w:tc>
          <w:tcPr>
            <w:tcW w:w="3821" w:type="dxa"/>
          </w:tcPr>
          <w:p w14:paraId="06B389C3" w14:textId="77777777" w:rsidR="002835D9" w:rsidRPr="003A4F70" w:rsidRDefault="002835D9" w:rsidP="00A03E7B">
            <w:pPr>
              <w:rPr>
                <w:sz w:val="22"/>
                <w:szCs w:val="22"/>
                <w:lang w:val="en-US"/>
              </w:rPr>
            </w:pPr>
            <w:r>
              <w:rPr>
                <w:sz w:val="22"/>
                <w:szCs w:val="22"/>
                <w:lang w:val="en-US"/>
              </w:rPr>
              <w:t>Redundant</w:t>
            </w:r>
          </w:p>
        </w:tc>
      </w:tr>
      <w:tr w:rsidR="002835D9" w:rsidRPr="003A4F70" w14:paraId="05AFB48D" w14:textId="77777777" w:rsidTr="001C7493">
        <w:tc>
          <w:tcPr>
            <w:tcW w:w="8642" w:type="dxa"/>
          </w:tcPr>
          <w:p w14:paraId="371E519E" w14:textId="77777777" w:rsidR="002835D9" w:rsidRPr="003A4F70" w:rsidRDefault="002835D9" w:rsidP="00A03E7B">
            <w:pPr>
              <w:pStyle w:val="NormalWeb"/>
              <w:rPr>
                <w:rFonts w:asciiTheme="minorHAnsi" w:hAnsiTheme="minorHAnsi"/>
                <w:sz w:val="22"/>
                <w:szCs w:val="22"/>
                <w:lang w:val="en-US"/>
              </w:rPr>
            </w:pPr>
            <w:r w:rsidRPr="003A4F70">
              <w:rPr>
                <w:rFonts w:asciiTheme="minorHAnsi" w:hAnsiTheme="minorHAnsi"/>
                <w:sz w:val="22"/>
                <w:szCs w:val="22"/>
                <w:lang w:val="en-US"/>
              </w:rPr>
              <w:t xml:space="preserve">ENCOURAGES the remaining states of the Mediterranean to participate in this long-term effort through a Mediterranean Wetland Forum or an equivalent body; </w:t>
            </w:r>
          </w:p>
        </w:tc>
        <w:tc>
          <w:tcPr>
            <w:tcW w:w="1418" w:type="dxa"/>
          </w:tcPr>
          <w:p w14:paraId="212DEF98" w14:textId="77777777" w:rsidR="002835D9" w:rsidRPr="003A4F70" w:rsidRDefault="002835D9" w:rsidP="00A03E7B">
            <w:pPr>
              <w:rPr>
                <w:sz w:val="22"/>
                <w:szCs w:val="22"/>
                <w:lang w:val="en-US"/>
              </w:rPr>
            </w:pPr>
            <w:r>
              <w:rPr>
                <w:sz w:val="22"/>
                <w:szCs w:val="22"/>
                <w:lang w:val="en-US"/>
              </w:rPr>
              <w:t>9</w:t>
            </w:r>
          </w:p>
        </w:tc>
        <w:tc>
          <w:tcPr>
            <w:tcW w:w="3821" w:type="dxa"/>
          </w:tcPr>
          <w:p w14:paraId="7A4D61D9" w14:textId="77777777" w:rsidR="002835D9" w:rsidRPr="003A4F70" w:rsidRDefault="002835D9" w:rsidP="00A03E7B">
            <w:pPr>
              <w:rPr>
                <w:sz w:val="22"/>
                <w:szCs w:val="22"/>
                <w:lang w:val="en-US"/>
              </w:rPr>
            </w:pPr>
            <w:r>
              <w:rPr>
                <w:sz w:val="22"/>
                <w:szCs w:val="22"/>
                <w:lang w:val="en-US"/>
              </w:rPr>
              <w:t>Redundant</w:t>
            </w:r>
          </w:p>
        </w:tc>
      </w:tr>
      <w:tr w:rsidR="002835D9" w:rsidRPr="003A4F70" w14:paraId="73B838E7" w14:textId="77777777" w:rsidTr="001C7493">
        <w:tc>
          <w:tcPr>
            <w:tcW w:w="8642" w:type="dxa"/>
          </w:tcPr>
          <w:p w14:paraId="40AE3C4C" w14:textId="77777777" w:rsidR="002835D9" w:rsidRPr="003A4F70" w:rsidRDefault="002835D9" w:rsidP="00A03E7B">
            <w:pPr>
              <w:pStyle w:val="NormalWeb"/>
              <w:rPr>
                <w:rFonts w:asciiTheme="minorHAnsi" w:hAnsiTheme="minorHAnsi"/>
                <w:sz w:val="22"/>
                <w:szCs w:val="22"/>
                <w:lang w:val="en-US"/>
              </w:rPr>
            </w:pPr>
            <w:r w:rsidRPr="003A4F70">
              <w:rPr>
                <w:rFonts w:asciiTheme="minorHAnsi" w:hAnsiTheme="minorHAnsi"/>
                <w:sz w:val="22"/>
                <w:szCs w:val="22"/>
                <w:lang w:val="en-US"/>
              </w:rPr>
              <w:t xml:space="preserve">URGES all government and non-government organizations and individuals concerned with wetlands in the Mediterranean to commit their best efforts for the preparation and implementation of a concerted Mediterranean Wetlands Strategy; </w:t>
            </w:r>
          </w:p>
        </w:tc>
        <w:tc>
          <w:tcPr>
            <w:tcW w:w="1418" w:type="dxa"/>
          </w:tcPr>
          <w:p w14:paraId="774BF67D" w14:textId="77777777" w:rsidR="002835D9" w:rsidRPr="003A4F70" w:rsidRDefault="002835D9" w:rsidP="00A03E7B">
            <w:pPr>
              <w:rPr>
                <w:sz w:val="22"/>
                <w:szCs w:val="22"/>
                <w:lang w:val="en-US"/>
              </w:rPr>
            </w:pPr>
            <w:r>
              <w:rPr>
                <w:sz w:val="22"/>
                <w:szCs w:val="22"/>
                <w:lang w:val="en-US"/>
              </w:rPr>
              <w:t>10</w:t>
            </w:r>
          </w:p>
        </w:tc>
        <w:tc>
          <w:tcPr>
            <w:tcW w:w="3821" w:type="dxa"/>
          </w:tcPr>
          <w:p w14:paraId="383C132B" w14:textId="77777777" w:rsidR="002835D9" w:rsidRPr="003A4F70" w:rsidRDefault="002835D9" w:rsidP="00A03E7B">
            <w:pPr>
              <w:rPr>
                <w:sz w:val="22"/>
                <w:szCs w:val="22"/>
                <w:lang w:val="en-US"/>
              </w:rPr>
            </w:pPr>
            <w:r>
              <w:rPr>
                <w:sz w:val="22"/>
                <w:szCs w:val="22"/>
                <w:lang w:val="en-US"/>
              </w:rPr>
              <w:t>Redundant</w:t>
            </w:r>
          </w:p>
        </w:tc>
      </w:tr>
      <w:tr w:rsidR="002835D9" w:rsidRPr="003A4F70" w14:paraId="09CE34A4" w14:textId="77777777" w:rsidTr="001C7493">
        <w:tc>
          <w:tcPr>
            <w:tcW w:w="8642" w:type="dxa"/>
          </w:tcPr>
          <w:p w14:paraId="7D6BDF6A" w14:textId="77777777" w:rsidR="002835D9" w:rsidRPr="003A4F70" w:rsidRDefault="002835D9" w:rsidP="00A03E7B">
            <w:pPr>
              <w:pStyle w:val="NormalWeb"/>
              <w:rPr>
                <w:rFonts w:asciiTheme="minorHAnsi" w:hAnsiTheme="minorHAnsi"/>
                <w:sz w:val="22"/>
                <w:szCs w:val="22"/>
                <w:lang w:val="en-US"/>
              </w:rPr>
            </w:pPr>
            <w:r w:rsidRPr="003A4F70">
              <w:rPr>
                <w:rFonts w:asciiTheme="minorHAnsi" w:hAnsiTheme="minorHAnsi"/>
                <w:sz w:val="22"/>
                <w:szCs w:val="22"/>
                <w:lang w:val="en-US"/>
              </w:rPr>
              <w:t xml:space="preserve">CALLS on funding agencies, both multilateral and bilateral, and from the private sector, to continue their essential financial support for coordinated action for the conservation of Mediterranean wetlands; </w:t>
            </w:r>
          </w:p>
        </w:tc>
        <w:tc>
          <w:tcPr>
            <w:tcW w:w="1418" w:type="dxa"/>
          </w:tcPr>
          <w:p w14:paraId="2E66DC1F" w14:textId="77777777" w:rsidR="002835D9" w:rsidRPr="003A4F70" w:rsidRDefault="002835D9" w:rsidP="00A03E7B">
            <w:pPr>
              <w:rPr>
                <w:sz w:val="22"/>
                <w:szCs w:val="22"/>
                <w:lang w:val="en-US"/>
              </w:rPr>
            </w:pPr>
            <w:r>
              <w:rPr>
                <w:sz w:val="22"/>
                <w:szCs w:val="22"/>
                <w:lang w:val="en-US"/>
              </w:rPr>
              <w:t>11</w:t>
            </w:r>
          </w:p>
        </w:tc>
        <w:tc>
          <w:tcPr>
            <w:tcW w:w="3821" w:type="dxa"/>
          </w:tcPr>
          <w:p w14:paraId="3B17596B" w14:textId="77777777" w:rsidR="002835D9" w:rsidRPr="003A4F70" w:rsidRDefault="002835D9" w:rsidP="00A03E7B">
            <w:pPr>
              <w:rPr>
                <w:sz w:val="22"/>
                <w:szCs w:val="22"/>
                <w:lang w:val="en-US"/>
              </w:rPr>
            </w:pPr>
            <w:r>
              <w:rPr>
                <w:sz w:val="22"/>
                <w:szCs w:val="22"/>
                <w:lang w:val="en-US"/>
              </w:rPr>
              <w:t>Redundant</w:t>
            </w:r>
          </w:p>
        </w:tc>
      </w:tr>
      <w:tr w:rsidR="002835D9" w:rsidRPr="003A4F70" w14:paraId="6C178627" w14:textId="77777777" w:rsidTr="001C7493">
        <w:tc>
          <w:tcPr>
            <w:tcW w:w="8642" w:type="dxa"/>
          </w:tcPr>
          <w:p w14:paraId="46C63817" w14:textId="77777777" w:rsidR="002835D9" w:rsidRPr="003A4F70" w:rsidRDefault="002835D9" w:rsidP="00A03E7B">
            <w:pPr>
              <w:pStyle w:val="NormalWeb"/>
              <w:rPr>
                <w:rFonts w:asciiTheme="minorHAnsi" w:hAnsiTheme="minorHAnsi"/>
                <w:sz w:val="22"/>
                <w:szCs w:val="22"/>
                <w:lang w:val="en-US"/>
              </w:rPr>
            </w:pPr>
            <w:r>
              <w:rPr>
                <w:rFonts w:asciiTheme="minorHAnsi" w:hAnsiTheme="minorHAnsi"/>
                <w:sz w:val="22"/>
                <w:szCs w:val="22"/>
                <w:lang w:val="en-US"/>
              </w:rPr>
              <w:t>REQUESTS that a full report on all further developments of collaboration for wetlands in the Mediterranean during the coming three-year period is presented at the 7</w:t>
            </w:r>
            <w:r w:rsidRPr="003A4F70">
              <w:rPr>
                <w:rFonts w:asciiTheme="minorHAnsi" w:hAnsiTheme="minorHAnsi"/>
                <w:sz w:val="22"/>
                <w:szCs w:val="22"/>
                <w:vertAlign w:val="superscript"/>
                <w:lang w:val="en-US"/>
              </w:rPr>
              <w:t>th</w:t>
            </w:r>
            <w:r>
              <w:rPr>
                <w:rFonts w:asciiTheme="minorHAnsi" w:hAnsiTheme="minorHAnsi"/>
                <w:sz w:val="22"/>
                <w:szCs w:val="22"/>
                <w:lang w:val="en-US"/>
              </w:rPr>
              <w:t xml:space="preserve"> meeting of the Conference of the Contracting Parties in 1999; and </w:t>
            </w:r>
          </w:p>
        </w:tc>
        <w:tc>
          <w:tcPr>
            <w:tcW w:w="1418" w:type="dxa"/>
          </w:tcPr>
          <w:p w14:paraId="3D62B341" w14:textId="77777777" w:rsidR="002835D9" w:rsidRPr="003A4F70" w:rsidRDefault="002835D9" w:rsidP="00A03E7B">
            <w:pPr>
              <w:rPr>
                <w:sz w:val="22"/>
                <w:szCs w:val="22"/>
                <w:lang w:val="en-US"/>
              </w:rPr>
            </w:pPr>
            <w:r>
              <w:rPr>
                <w:sz w:val="22"/>
                <w:szCs w:val="22"/>
                <w:lang w:val="en-US"/>
              </w:rPr>
              <w:t>12</w:t>
            </w:r>
          </w:p>
        </w:tc>
        <w:tc>
          <w:tcPr>
            <w:tcW w:w="3821" w:type="dxa"/>
          </w:tcPr>
          <w:p w14:paraId="0E83A9D8" w14:textId="77777777" w:rsidR="002835D9" w:rsidRPr="003A4F70" w:rsidRDefault="002835D9" w:rsidP="00A03E7B">
            <w:pPr>
              <w:rPr>
                <w:sz w:val="22"/>
                <w:szCs w:val="22"/>
                <w:lang w:val="en-US"/>
              </w:rPr>
            </w:pPr>
            <w:r>
              <w:rPr>
                <w:sz w:val="22"/>
                <w:szCs w:val="22"/>
                <w:lang w:val="en-US"/>
              </w:rPr>
              <w:t>Redundant</w:t>
            </w:r>
          </w:p>
        </w:tc>
      </w:tr>
      <w:tr w:rsidR="002835D9" w:rsidRPr="003A4F70" w14:paraId="0768FA12" w14:textId="77777777" w:rsidTr="001C7493">
        <w:tc>
          <w:tcPr>
            <w:tcW w:w="8642" w:type="dxa"/>
          </w:tcPr>
          <w:p w14:paraId="5D827955" w14:textId="77777777" w:rsidR="002835D9" w:rsidRPr="003A4F70" w:rsidRDefault="002835D9" w:rsidP="00A03E7B">
            <w:pPr>
              <w:pStyle w:val="NormalWeb"/>
              <w:rPr>
                <w:rFonts w:asciiTheme="minorHAnsi" w:hAnsiTheme="minorHAnsi"/>
                <w:sz w:val="22"/>
                <w:szCs w:val="22"/>
                <w:lang w:val="en-US"/>
              </w:rPr>
            </w:pPr>
            <w:r w:rsidRPr="003A4F70">
              <w:rPr>
                <w:rFonts w:asciiTheme="minorHAnsi" w:hAnsiTheme="minorHAnsi"/>
                <w:sz w:val="22"/>
                <w:szCs w:val="22"/>
                <w:lang w:val="en-US"/>
              </w:rPr>
              <w:t xml:space="preserve">CALLS on Contracting Parties in the Mediterranean to designate as Ramsar sites those wetlands which meet the approved Ramsar criteria, and in particular those of major significance as links on the migratory route between Europe and Africa. </w:t>
            </w:r>
          </w:p>
        </w:tc>
        <w:tc>
          <w:tcPr>
            <w:tcW w:w="1418" w:type="dxa"/>
          </w:tcPr>
          <w:p w14:paraId="717592C2" w14:textId="77777777" w:rsidR="002835D9" w:rsidRPr="003A4F70" w:rsidRDefault="002835D9" w:rsidP="00A03E7B">
            <w:pPr>
              <w:rPr>
                <w:sz w:val="22"/>
                <w:szCs w:val="22"/>
                <w:lang w:val="en-US"/>
              </w:rPr>
            </w:pPr>
            <w:r>
              <w:rPr>
                <w:sz w:val="22"/>
                <w:szCs w:val="22"/>
                <w:lang w:val="en-US"/>
              </w:rPr>
              <w:t>13</w:t>
            </w:r>
          </w:p>
        </w:tc>
        <w:tc>
          <w:tcPr>
            <w:tcW w:w="3821" w:type="dxa"/>
          </w:tcPr>
          <w:p w14:paraId="468C175C" w14:textId="77777777" w:rsidR="002835D9" w:rsidRPr="003A4F70" w:rsidRDefault="002835D9" w:rsidP="00A03E7B">
            <w:pPr>
              <w:rPr>
                <w:sz w:val="22"/>
                <w:szCs w:val="22"/>
                <w:lang w:val="en-US"/>
              </w:rPr>
            </w:pPr>
            <w:r>
              <w:rPr>
                <w:sz w:val="22"/>
                <w:szCs w:val="22"/>
                <w:lang w:val="en-US"/>
              </w:rPr>
              <w:t>Redundant</w:t>
            </w:r>
          </w:p>
        </w:tc>
      </w:tr>
      <w:tr w:rsidR="002835D9" w:rsidRPr="003A4F70" w14:paraId="2A09BBBC" w14:textId="77777777" w:rsidTr="001C7493">
        <w:tc>
          <w:tcPr>
            <w:tcW w:w="8642" w:type="dxa"/>
          </w:tcPr>
          <w:p w14:paraId="614E2941" w14:textId="77777777" w:rsidR="002835D9" w:rsidRPr="003A4F70" w:rsidRDefault="002835D9" w:rsidP="00A03E7B">
            <w:pPr>
              <w:pStyle w:val="NormalWeb"/>
              <w:rPr>
                <w:rFonts w:asciiTheme="minorHAnsi" w:hAnsiTheme="minorHAnsi"/>
                <w:sz w:val="22"/>
                <w:szCs w:val="22"/>
                <w:lang w:val="en-US"/>
              </w:rPr>
            </w:pPr>
          </w:p>
        </w:tc>
        <w:tc>
          <w:tcPr>
            <w:tcW w:w="1418" w:type="dxa"/>
          </w:tcPr>
          <w:p w14:paraId="0E917C9B" w14:textId="77777777" w:rsidR="002835D9" w:rsidRPr="00F611E9" w:rsidRDefault="002835D9" w:rsidP="00A03E7B">
            <w:pPr>
              <w:rPr>
                <w:b/>
                <w:sz w:val="22"/>
                <w:szCs w:val="22"/>
                <w:lang w:val="en-US"/>
              </w:rPr>
            </w:pPr>
            <w:r>
              <w:rPr>
                <w:b/>
                <w:sz w:val="22"/>
                <w:szCs w:val="22"/>
                <w:lang w:val="en-US"/>
              </w:rPr>
              <w:t>V</w:t>
            </w:r>
            <w:r w:rsidRPr="00F611E9">
              <w:rPr>
                <w:b/>
                <w:sz w:val="22"/>
                <w:szCs w:val="22"/>
                <w:lang w:val="en-US"/>
              </w:rPr>
              <w:t>.14</w:t>
            </w:r>
            <w:r>
              <w:rPr>
                <w:rStyle w:val="FootnoteReference"/>
                <w:b/>
                <w:sz w:val="22"/>
                <w:szCs w:val="22"/>
                <w:lang w:val="en-US"/>
              </w:rPr>
              <w:footnoteReference w:id="5"/>
            </w:r>
          </w:p>
        </w:tc>
        <w:tc>
          <w:tcPr>
            <w:tcW w:w="3821" w:type="dxa"/>
          </w:tcPr>
          <w:p w14:paraId="7E65FF8D" w14:textId="77777777" w:rsidR="002835D9" w:rsidRPr="003A4F70" w:rsidRDefault="002835D9" w:rsidP="00A03E7B">
            <w:pPr>
              <w:rPr>
                <w:sz w:val="22"/>
                <w:szCs w:val="22"/>
                <w:lang w:val="en-US"/>
              </w:rPr>
            </w:pPr>
          </w:p>
        </w:tc>
      </w:tr>
      <w:tr w:rsidR="002835D9" w:rsidRPr="003A4F70" w14:paraId="5EE04015" w14:textId="77777777" w:rsidTr="001C7493">
        <w:tc>
          <w:tcPr>
            <w:tcW w:w="8642" w:type="dxa"/>
          </w:tcPr>
          <w:p w14:paraId="5273EA58" w14:textId="77777777" w:rsidR="002835D9" w:rsidRPr="00F611E9" w:rsidRDefault="002835D9" w:rsidP="00A03E7B">
            <w:pPr>
              <w:pStyle w:val="NormalWeb"/>
              <w:rPr>
                <w:rFonts w:asciiTheme="minorHAnsi" w:hAnsiTheme="minorHAnsi"/>
                <w:sz w:val="22"/>
                <w:szCs w:val="22"/>
                <w:lang w:val="en-US"/>
              </w:rPr>
            </w:pPr>
            <w:r w:rsidRPr="00F611E9">
              <w:rPr>
                <w:rFonts w:asciiTheme="minorHAnsi" w:hAnsiTheme="minorHAnsi"/>
                <w:sz w:val="22"/>
                <w:szCs w:val="22"/>
                <w:lang w:val="en-US"/>
              </w:rPr>
              <w:t xml:space="preserve">WELCOMES this regional collaboration activity, and considers it to be a very promising approach to wetland conservation at an international level; </w:t>
            </w:r>
          </w:p>
        </w:tc>
        <w:tc>
          <w:tcPr>
            <w:tcW w:w="1418" w:type="dxa"/>
          </w:tcPr>
          <w:p w14:paraId="43F22402" w14:textId="77777777" w:rsidR="002835D9" w:rsidRPr="003A4F70" w:rsidRDefault="002835D9" w:rsidP="00A03E7B">
            <w:pPr>
              <w:rPr>
                <w:sz w:val="22"/>
                <w:szCs w:val="22"/>
                <w:lang w:val="en-US"/>
              </w:rPr>
            </w:pPr>
            <w:r>
              <w:rPr>
                <w:sz w:val="22"/>
                <w:szCs w:val="22"/>
                <w:lang w:val="en-US"/>
              </w:rPr>
              <w:t xml:space="preserve">6 </w:t>
            </w:r>
          </w:p>
        </w:tc>
        <w:tc>
          <w:tcPr>
            <w:tcW w:w="3821" w:type="dxa"/>
          </w:tcPr>
          <w:p w14:paraId="3B5C4C19" w14:textId="77777777" w:rsidR="002835D9" w:rsidRPr="003A4F70" w:rsidRDefault="002835D9" w:rsidP="00A03E7B">
            <w:pPr>
              <w:rPr>
                <w:sz w:val="22"/>
                <w:szCs w:val="22"/>
                <w:lang w:val="en-US"/>
              </w:rPr>
            </w:pPr>
            <w:r>
              <w:rPr>
                <w:sz w:val="22"/>
                <w:szCs w:val="22"/>
                <w:lang w:val="en-US"/>
              </w:rPr>
              <w:t>Redundant</w:t>
            </w:r>
          </w:p>
        </w:tc>
      </w:tr>
      <w:tr w:rsidR="002835D9" w:rsidRPr="003A4F70" w14:paraId="59C7D159" w14:textId="77777777" w:rsidTr="001C7493">
        <w:tc>
          <w:tcPr>
            <w:tcW w:w="8642" w:type="dxa"/>
          </w:tcPr>
          <w:p w14:paraId="5C076023" w14:textId="77777777" w:rsidR="002835D9" w:rsidRPr="00F611E9" w:rsidRDefault="002835D9" w:rsidP="00A03E7B">
            <w:pPr>
              <w:pStyle w:val="NormalWeb"/>
              <w:rPr>
                <w:rFonts w:asciiTheme="minorHAnsi" w:hAnsiTheme="minorHAnsi"/>
                <w:sz w:val="22"/>
                <w:szCs w:val="22"/>
                <w:lang w:val="en-US"/>
              </w:rPr>
            </w:pPr>
            <w:r w:rsidRPr="00F611E9">
              <w:rPr>
                <w:rFonts w:asciiTheme="minorHAnsi" w:hAnsiTheme="minorHAnsi"/>
                <w:sz w:val="22"/>
                <w:szCs w:val="22"/>
                <w:lang w:val="en-US"/>
              </w:rPr>
              <w:t xml:space="preserve">URGES the initial ten MedWet partners to make the utmost efforts for present MedWet activities to include all Mediterranean countries; </w:t>
            </w:r>
          </w:p>
        </w:tc>
        <w:tc>
          <w:tcPr>
            <w:tcW w:w="1418" w:type="dxa"/>
          </w:tcPr>
          <w:p w14:paraId="21FFF7E2" w14:textId="77777777" w:rsidR="002835D9" w:rsidRPr="003A4F70" w:rsidRDefault="002835D9" w:rsidP="00A03E7B">
            <w:pPr>
              <w:rPr>
                <w:sz w:val="22"/>
                <w:szCs w:val="22"/>
                <w:lang w:val="en-US"/>
              </w:rPr>
            </w:pPr>
            <w:r>
              <w:rPr>
                <w:sz w:val="22"/>
                <w:szCs w:val="22"/>
                <w:lang w:val="en-US"/>
              </w:rPr>
              <w:t>7</w:t>
            </w:r>
          </w:p>
        </w:tc>
        <w:tc>
          <w:tcPr>
            <w:tcW w:w="3821" w:type="dxa"/>
          </w:tcPr>
          <w:p w14:paraId="73D5526B" w14:textId="77777777" w:rsidR="002835D9" w:rsidRPr="003A4F70" w:rsidRDefault="002835D9" w:rsidP="00A03E7B">
            <w:pPr>
              <w:rPr>
                <w:sz w:val="22"/>
                <w:szCs w:val="22"/>
                <w:lang w:val="en-US"/>
              </w:rPr>
            </w:pPr>
            <w:r>
              <w:rPr>
                <w:sz w:val="22"/>
                <w:szCs w:val="22"/>
                <w:lang w:val="en-US"/>
              </w:rPr>
              <w:t>Redundant</w:t>
            </w:r>
          </w:p>
        </w:tc>
      </w:tr>
      <w:tr w:rsidR="002835D9" w:rsidRPr="003A4F70" w14:paraId="6DD0ECB8" w14:textId="77777777" w:rsidTr="001C7493">
        <w:tc>
          <w:tcPr>
            <w:tcW w:w="8642" w:type="dxa"/>
          </w:tcPr>
          <w:p w14:paraId="61B7348C" w14:textId="77777777" w:rsidR="002835D9" w:rsidRPr="00F611E9" w:rsidRDefault="002835D9" w:rsidP="00A03E7B">
            <w:pPr>
              <w:pStyle w:val="NormalWeb"/>
              <w:rPr>
                <w:rFonts w:asciiTheme="minorHAnsi" w:hAnsiTheme="minorHAnsi"/>
                <w:sz w:val="22"/>
                <w:szCs w:val="22"/>
                <w:lang w:val="en-US"/>
              </w:rPr>
            </w:pPr>
            <w:r w:rsidRPr="00F611E9">
              <w:rPr>
                <w:rFonts w:asciiTheme="minorHAnsi" w:hAnsiTheme="minorHAnsi"/>
                <w:sz w:val="22"/>
                <w:szCs w:val="22"/>
                <w:lang w:val="en-US"/>
              </w:rPr>
              <w:t xml:space="preserve">ENCOURAGES other Mediterranean Contracting Parties to work closely with the present MedWet partners to achieve MedWet’s aims and, in particular, to arrest and reverse the degradation and loss of wetlands around the Basin and ensure their wise use; and </w:t>
            </w:r>
          </w:p>
        </w:tc>
        <w:tc>
          <w:tcPr>
            <w:tcW w:w="1418" w:type="dxa"/>
          </w:tcPr>
          <w:p w14:paraId="4C67CA4E" w14:textId="77777777" w:rsidR="002835D9" w:rsidRPr="003A4F70" w:rsidRDefault="002835D9" w:rsidP="00A03E7B">
            <w:pPr>
              <w:rPr>
                <w:sz w:val="22"/>
                <w:szCs w:val="22"/>
                <w:lang w:val="en-US"/>
              </w:rPr>
            </w:pPr>
            <w:r>
              <w:rPr>
                <w:sz w:val="22"/>
                <w:szCs w:val="22"/>
                <w:lang w:val="en-US"/>
              </w:rPr>
              <w:t>8</w:t>
            </w:r>
          </w:p>
        </w:tc>
        <w:tc>
          <w:tcPr>
            <w:tcW w:w="3821" w:type="dxa"/>
          </w:tcPr>
          <w:p w14:paraId="44C8FE4F" w14:textId="77777777" w:rsidR="002835D9" w:rsidRPr="003A4F70" w:rsidRDefault="002835D9" w:rsidP="00A03E7B">
            <w:pPr>
              <w:rPr>
                <w:sz w:val="22"/>
                <w:szCs w:val="22"/>
                <w:lang w:val="en-US"/>
              </w:rPr>
            </w:pPr>
            <w:r>
              <w:rPr>
                <w:sz w:val="22"/>
                <w:szCs w:val="22"/>
                <w:lang w:val="en-US"/>
              </w:rPr>
              <w:t>Redundant</w:t>
            </w:r>
          </w:p>
        </w:tc>
      </w:tr>
      <w:tr w:rsidR="002835D9" w:rsidRPr="003A4F70" w14:paraId="6B5766E8" w14:textId="77777777" w:rsidTr="001C7493">
        <w:tc>
          <w:tcPr>
            <w:tcW w:w="8642" w:type="dxa"/>
          </w:tcPr>
          <w:p w14:paraId="03164EC0" w14:textId="77777777" w:rsidR="002835D9" w:rsidRPr="00F611E9" w:rsidRDefault="002835D9" w:rsidP="00A03E7B">
            <w:pPr>
              <w:pStyle w:val="NormalWeb"/>
              <w:rPr>
                <w:rFonts w:asciiTheme="minorHAnsi" w:hAnsiTheme="minorHAnsi"/>
                <w:sz w:val="22"/>
                <w:szCs w:val="22"/>
                <w:lang w:val="en-US"/>
              </w:rPr>
            </w:pPr>
            <w:r w:rsidRPr="00F611E9">
              <w:rPr>
                <w:rFonts w:asciiTheme="minorHAnsi" w:hAnsiTheme="minorHAnsi"/>
                <w:sz w:val="22"/>
                <w:szCs w:val="22"/>
                <w:lang w:val="en-US"/>
              </w:rPr>
              <w:t xml:space="preserve">REQUESTS the MedWet partners to present a full report on progress of the MedWet initiative at the Sixth Meeting of the Conference of the Contracting Parties in 1996. </w:t>
            </w:r>
          </w:p>
        </w:tc>
        <w:tc>
          <w:tcPr>
            <w:tcW w:w="1418" w:type="dxa"/>
          </w:tcPr>
          <w:p w14:paraId="09D7D1A1" w14:textId="77777777" w:rsidR="002835D9" w:rsidRPr="003A4F70" w:rsidRDefault="002835D9" w:rsidP="00A03E7B">
            <w:pPr>
              <w:rPr>
                <w:sz w:val="22"/>
                <w:szCs w:val="22"/>
                <w:lang w:val="en-US"/>
              </w:rPr>
            </w:pPr>
            <w:r>
              <w:rPr>
                <w:sz w:val="22"/>
                <w:szCs w:val="22"/>
                <w:lang w:val="en-US"/>
              </w:rPr>
              <w:t>9</w:t>
            </w:r>
          </w:p>
        </w:tc>
        <w:tc>
          <w:tcPr>
            <w:tcW w:w="3821" w:type="dxa"/>
          </w:tcPr>
          <w:p w14:paraId="3791B19B" w14:textId="77777777" w:rsidR="002835D9" w:rsidRPr="003A4F70" w:rsidRDefault="002835D9" w:rsidP="00A03E7B">
            <w:pPr>
              <w:rPr>
                <w:sz w:val="22"/>
                <w:szCs w:val="22"/>
                <w:lang w:val="en-US"/>
              </w:rPr>
            </w:pPr>
            <w:r>
              <w:rPr>
                <w:sz w:val="22"/>
                <w:szCs w:val="22"/>
                <w:lang w:val="en-US"/>
              </w:rPr>
              <w:t>Redundant</w:t>
            </w:r>
          </w:p>
        </w:tc>
      </w:tr>
    </w:tbl>
    <w:p w14:paraId="1313BA82" w14:textId="77777777" w:rsidR="001C7493" w:rsidRDefault="001C7493">
      <w:pPr>
        <w:rPr>
          <w:b/>
          <w:sz w:val="22"/>
          <w:szCs w:val="22"/>
          <w:lang w:val="en-US"/>
        </w:rPr>
      </w:pPr>
      <w:r>
        <w:rPr>
          <w:b/>
          <w:sz w:val="22"/>
          <w:szCs w:val="22"/>
          <w:lang w:val="en-US"/>
        </w:rPr>
        <w:br w:type="page"/>
      </w:r>
    </w:p>
    <w:p w14:paraId="76E6DA2D" w14:textId="77777777" w:rsidR="00F85FDD" w:rsidRPr="003B12BC" w:rsidRDefault="003B12BC" w:rsidP="00F85FDD">
      <w:pPr>
        <w:ind w:left="360"/>
        <w:jc w:val="center"/>
        <w:rPr>
          <w:b/>
          <w:color w:val="4472C4" w:themeColor="accent1"/>
          <w:sz w:val="22"/>
          <w:szCs w:val="22"/>
          <w:lang w:val="en-US"/>
        </w:rPr>
      </w:pPr>
      <w:r w:rsidRPr="003B12BC">
        <w:rPr>
          <w:b/>
          <w:color w:val="4472C4" w:themeColor="accent1"/>
          <w:sz w:val="22"/>
          <w:szCs w:val="22"/>
          <w:lang w:val="en-US"/>
        </w:rPr>
        <w:lastRenderedPageBreak/>
        <w:t xml:space="preserve">Annex 3: SC Decisions concerning RRIs that are redundant </w:t>
      </w:r>
    </w:p>
    <w:p w14:paraId="114CDF18" w14:textId="77777777" w:rsidR="00F85FDD" w:rsidRDefault="00F85FDD" w:rsidP="00F85FDD">
      <w:pPr>
        <w:ind w:left="360"/>
        <w:rPr>
          <w:b/>
          <w:sz w:val="22"/>
          <w:szCs w:val="22"/>
          <w:lang w:val="en-US"/>
        </w:rPr>
      </w:pPr>
    </w:p>
    <w:tbl>
      <w:tblPr>
        <w:tblStyle w:val="TableGrid"/>
        <w:tblW w:w="0" w:type="auto"/>
        <w:tblInd w:w="-45" w:type="dxa"/>
        <w:tblLook w:val="04A0" w:firstRow="1" w:lastRow="0" w:firstColumn="1" w:lastColumn="0" w:noHBand="0" w:noVBand="1"/>
      </w:tblPr>
      <w:tblGrid>
        <w:gridCol w:w="2869"/>
        <w:gridCol w:w="8647"/>
        <w:gridCol w:w="2410"/>
      </w:tblGrid>
      <w:tr w:rsidR="00F85FDD" w14:paraId="4342083E" w14:textId="77777777" w:rsidTr="001C7493">
        <w:tc>
          <w:tcPr>
            <w:tcW w:w="2869" w:type="dxa"/>
          </w:tcPr>
          <w:p w14:paraId="4D17612D" w14:textId="77777777" w:rsidR="00F85FDD" w:rsidRDefault="00F85FDD" w:rsidP="00A03E7B">
            <w:pPr>
              <w:rPr>
                <w:b/>
                <w:sz w:val="22"/>
                <w:szCs w:val="22"/>
                <w:lang w:val="en-US"/>
              </w:rPr>
            </w:pPr>
            <w:r w:rsidRPr="009F4507">
              <w:rPr>
                <w:b/>
                <w:sz w:val="22"/>
                <w:szCs w:val="22"/>
                <w:lang w:val="en-US"/>
              </w:rPr>
              <w:t xml:space="preserve">SC Decision </w:t>
            </w:r>
          </w:p>
        </w:tc>
        <w:tc>
          <w:tcPr>
            <w:tcW w:w="8647" w:type="dxa"/>
          </w:tcPr>
          <w:p w14:paraId="14F7E3CD" w14:textId="77777777" w:rsidR="00F85FDD" w:rsidRDefault="00F85FDD" w:rsidP="00A03E7B">
            <w:pPr>
              <w:rPr>
                <w:b/>
                <w:sz w:val="22"/>
                <w:szCs w:val="22"/>
                <w:lang w:val="en-US"/>
              </w:rPr>
            </w:pPr>
            <w:r w:rsidRPr="009F4507">
              <w:rPr>
                <w:b/>
                <w:sz w:val="22"/>
                <w:szCs w:val="22"/>
                <w:lang w:val="en-US"/>
              </w:rPr>
              <w:t>Contents</w:t>
            </w:r>
          </w:p>
        </w:tc>
        <w:tc>
          <w:tcPr>
            <w:tcW w:w="2410" w:type="dxa"/>
          </w:tcPr>
          <w:p w14:paraId="04EAEAE5" w14:textId="77777777" w:rsidR="00F85FDD" w:rsidRDefault="00F85FDD" w:rsidP="00A03E7B">
            <w:pPr>
              <w:rPr>
                <w:b/>
                <w:sz w:val="22"/>
                <w:szCs w:val="22"/>
                <w:lang w:val="en-US"/>
              </w:rPr>
            </w:pPr>
            <w:r w:rsidRPr="009F4507">
              <w:rPr>
                <w:b/>
                <w:sz w:val="22"/>
                <w:szCs w:val="22"/>
                <w:lang w:val="en-US"/>
              </w:rPr>
              <w:t>Note</w:t>
            </w:r>
          </w:p>
        </w:tc>
      </w:tr>
      <w:tr w:rsidR="00F85FDD" w:rsidRPr="00217036" w14:paraId="01FF325A" w14:textId="77777777" w:rsidTr="001C7493">
        <w:tc>
          <w:tcPr>
            <w:tcW w:w="2869" w:type="dxa"/>
          </w:tcPr>
          <w:p w14:paraId="5742FD13" w14:textId="77777777" w:rsidR="00F85FDD" w:rsidRPr="00465E26" w:rsidRDefault="00F85FDD" w:rsidP="00A03E7B">
            <w:pPr>
              <w:rPr>
                <w:sz w:val="22"/>
                <w:szCs w:val="22"/>
                <w:lang w:val="en-US"/>
              </w:rPr>
            </w:pPr>
            <w:r w:rsidRPr="00465E26">
              <w:rPr>
                <w:rFonts w:ascii="Calibri" w:hAnsi="Calibri"/>
                <w:bCs/>
                <w:sz w:val="22"/>
                <w:szCs w:val="22"/>
                <w:lang w:val="en-US"/>
              </w:rPr>
              <w:t>SC56-07</w:t>
            </w:r>
          </w:p>
          <w:p w14:paraId="3FF3B7D7" w14:textId="77777777" w:rsidR="00F85FDD" w:rsidRDefault="00F85FDD" w:rsidP="00A03E7B">
            <w:pPr>
              <w:rPr>
                <w:b/>
                <w:sz w:val="22"/>
                <w:szCs w:val="22"/>
                <w:lang w:val="en-US"/>
              </w:rPr>
            </w:pPr>
          </w:p>
        </w:tc>
        <w:tc>
          <w:tcPr>
            <w:tcW w:w="8647" w:type="dxa"/>
          </w:tcPr>
          <w:p w14:paraId="03E08934" w14:textId="77777777" w:rsidR="00F85FDD" w:rsidRPr="00F43743" w:rsidRDefault="00F85FDD" w:rsidP="00A03E7B">
            <w:pPr>
              <w:pStyle w:val="Standard"/>
              <w:rPr>
                <w:rFonts w:asciiTheme="minorHAnsi" w:hAnsiTheme="minorHAnsi" w:cstheme="minorHAnsi"/>
                <w:bCs/>
                <w:sz w:val="22"/>
                <w:szCs w:val="22"/>
              </w:rPr>
            </w:pPr>
            <w:r w:rsidRPr="00F43743">
              <w:rPr>
                <w:rFonts w:asciiTheme="minorHAnsi" w:hAnsiTheme="minorHAnsi" w:cstheme="minorHAnsi"/>
                <w:bCs/>
                <w:sz w:val="22"/>
                <w:szCs w:val="22"/>
              </w:rPr>
              <w:t>Decision SC56-07: The Standing Committee agreed to defer further consideration of the Ramsar Regional Initiatives Working Group, and of the allocation of funds, until its 57th meeting.</w:t>
            </w:r>
          </w:p>
        </w:tc>
        <w:tc>
          <w:tcPr>
            <w:tcW w:w="2410" w:type="dxa"/>
          </w:tcPr>
          <w:p w14:paraId="57FC380D" w14:textId="77777777" w:rsidR="00F85FDD" w:rsidRDefault="00F85FDD" w:rsidP="00A03E7B">
            <w:pPr>
              <w:rPr>
                <w:b/>
                <w:sz w:val="22"/>
                <w:szCs w:val="22"/>
                <w:lang w:val="en-US"/>
              </w:rPr>
            </w:pPr>
          </w:p>
        </w:tc>
      </w:tr>
      <w:tr w:rsidR="00F85FDD" w:rsidRPr="00217036" w14:paraId="55B6A4B8" w14:textId="77777777" w:rsidTr="001C7493">
        <w:tc>
          <w:tcPr>
            <w:tcW w:w="2869" w:type="dxa"/>
          </w:tcPr>
          <w:p w14:paraId="363B6230" w14:textId="77777777" w:rsidR="00F85FDD" w:rsidRPr="00465E26" w:rsidRDefault="00F85FDD" w:rsidP="00A03E7B">
            <w:pPr>
              <w:rPr>
                <w:sz w:val="22"/>
                <w:szCs w:val="22"/>
                <w:lang w:val="en-US"/>
              </w:rPr>
            </w:pPr>
            <w:r w:rsidRPr="00465E26">
              <w:rPr>
                <w:rFonts w:ascii="Calibri" w:hAnsi="Calibri"/>
                <w:bCs/>
                <w:sz w:val="22"/>
                <w:szCs w:val="22"/>
                <w:lang w:val="en-US"/>
              </w:rPr>
              <w:t>SC55-11</w:t>
            </w:r>
          </w:p>
          <w:p w14:paraId="1F32ADD3" w14:textId="77777777" w:rsidR="00F85FDD" w:rsidRDefault="00F85FDD" w:rsidP="00A03E7B">
            <w:pPr>
              <w:rPr>
                <w:b/>
                <w:sz w:val="22"/>
                <w:szCs w:val="22"/>
                <w:lang w:val="en-US"/>
              </w:rPr>
            </w:pPr>
          </w:p>
        </w:tc>
        <w:tc>
          <w:tcPr>
            <w:tcW w:w="8647" w:type="dxa"/>
          </w:tcPr>
          <w:p w14:paraId="76432EB9" w14:textId="77777777" w:rsidR="00F85FDD" w:rsidRPr="00F43743" w:rsidRDefault="00F85FDD" w:rsidP="00A03E7B">
            <w:pPr>
              <w:contextualSpacing/>
              <w:rPr>
                <w:sz w:val="22"/>
                <w:szCs w:val="22"/>
                <w:lang w:val="en-US"/>
              </w:rPr>
            </w:pPr>
            <w:r w:rsidRPr="00F43743">
              <w:rPr>
                <w:sz w:val="22"/>
                <w:szCs w:val="22"/>
                <w:lang w:val="en-US"/>
              </w:rPr>
              <w:t>Decision SC55-11: The Standing Committee took note of document SC55 Doc.9.</w:t>
            </w:r>
          </w:p>
          <w:p w14:paraId="0A645C75" w14:textId="77777777" w:rsidR="00F85FDD" w:rsidRPr="00F43743" w:rsidRDefault="00F85FDD" w:rsidP="00A03E7B">
            <w:pPr>
              <w:rPr>
                <w:sz w:val="22"/>
                <w:szCs w:val="22"/>
                <w:lang w:val="en-US"/>
              </w:rPr>
            </w:pPr>
          </w:p>
        </w:tc>
        <w:tc>
          <w:tcPr>
            <w:tcW w:w="2410" w:type="dxa"/>
          </w:tcPr>
          <w:p w14:paraId="473BA1B0" w14:textId="77777777" w:rsidR="00F85FDD" w:rsidRDefault="00F85FDD" w:rsidP="00A03E7B">
            <w:pPr>
              <w:rPr>
                <w:b/>
                <w:sz w:val="22"/>
                <w:szCs w:val="22"/>
                <w:lang w:val="en-US"/>
              </w:rPr>
            </w:pPr>
          </w:p>
        </w:tc>
      </w:tr>
      <w:tr w:rsidR="00F85FDD" w:rsidRPr="00217036" w14:paraId="7FBD32A6" w14:textId="77777777" w:rsidTr="001C7493">
        <w:tc>
          <w:tcPr>
            <w:tcW w:w="2869" w:type="dxa"/>
          </w:tcPr>
          <w:p w14:paraId="5ADA0122" w14:textId="77777777" w:rsidR="00F85FDD" w:rsidRPr="00465E26" w:rsidRDefault="00F85FDD" w:rsidP="00A03E7B">
            <w:pPr>
              <w:rPr>
                <w:sz w:val="22"/>
                <w:szCs w:val="22"/>
                <w:lang w:val="en-US"/>
              </w:rPr>
            </w:pPr>
            <w:r w:rsidRPr="00465E26">
              <w:rPr>
                <w:rFonts w:ascii="Calibri" w:hAnsi="Calibri"/>
                <w:bCs/>
                <w:sz w:val="22"/>
                <w:szCs w:val="22"/>
                <w:lang w:val="en-US"/>
              </w:rPr>
              <w:t>SC54-30</w:t>
            </w:r>
          </w:p>
          <w:p w14:paraId="786A4A78" w14:textId="77777777" w:rsidR="00F85FDD" w:rsidRDefault="00F85FDD" w:rsidP="00A03E7B">
            <w:pPr>
              <w:rPr>
                <w:b/>
                <w:sz w:val="22"/>
                <w:szCs w:val="22"/>
                <w:lang w:val="en-US"/>
              </w:rPr>
            </w:pPr>
          </w:p>
        </w:tc>
        <w:tc>
          <w:tcPr>
            <w:tcW w:w="8647" w:type="dxa"/>
          </w:tcPr>
          <w:p w14:paraId="20B7C49F" w14:textId="77777777" w:rsidR="00F85FDD" w:rsidRPr="00F43743" w:rsidRDefault="00F85FDD" w:rsidP="00A03E7B">
            <w:pPr>
              <w:rPr>
                <w:sz w:val="22"/>
                <w:szCs w:val="22"/>
                <w:lang w:val="en-US"/>
              </w:rPr>
            </w:pPr>
            <w:r w:rsidRPr="00F43743">
              <w:rPr>
                <w:sz w:val="22"/>
                <w:szCs w:val="22"/>
                <w:lang w:val="en-US"/>
              </w:rPr>
              <w:t>Decision SC54-30: The Standing Committee instructed the Secretariat to conduct a review of the legal status of Ramsar Regional Initiatives and the implications for the Convention; and to edit, finalize and publish the draft resolution contained in document SC54-Com.11 and its Annex for consideration at COP13, with both the text of the draft resolution and the Annex placed in square brackets, but otherwise without additional amendment, noting that Parties held a range of views requiring further discussion at the COP.</w:t>
            </w:r>
          </w:p>
        </w:tc>
        <w:tc>
          <w:tcPr>
            <w:tcW w:w="2410" w:type="dxa"/>
          </w:tcPr>
          <w:p w14:paraId="44FED84F" w14:textId="77777777" w:rsidR="00F85FDD" w:rsidRDefault="00F85FDD" w:rsidP="00A03E7B">
            <w:pPr>
              <w:rPr>
                <w:b/>
                <w:sz w:val="22"/>
                <w:szCs w:val="22"/>
                <w:lang w:val="en-US"/>
              </w:rPr>
            </w:pPr>
          </w:p>
        </w:tc>
      </w:tr>
      <w:tr w:rsidR="00F85FDD" w:rsidRPr="00217036" w14:paraId="643933E1" w14:textId="77777777" w:rsidTr="001C7493">
        <w:tc>
          <w:tcPr>
            <w:tcW w:w="2869" w:type="dxa"/>
          </w:tcPr>
          <w:p w14:paraId="184D1659" w14:textId="77777777" w:rsidR="00F85FDD" w:rsidRPr="00465E26" w:rsidRDefault="00F85FDD" w:rsidP="00A03E7B">
            <w:pPr>
              <w:rPr>
                <w:sz w:val="22"/>
                <w:szCs w:val="22"/>
                <w:lang w:val="en-US"/>
              </w:rPr>
            </w:pPr>
            <w:r w:rsidRPr="00465E26">
              <w:rPr>
                <w:rFonts w:ascii="Calibri" w:hAnsi="Calibri"/>
                <w:bCs/>
                <w:sz w:val="22"/>
                <w:szCs w:val="22"/>
                <w:lang w:val="en-US"/>
              </w:rPr>
              <w:t>SC53-09,</w:t>
            </w:r>
            <w:r>
              <w:rPr>
                <w:rFonts w:ascii="Calibri" w:hAnsi="Calibri"/>
                <w:bCs/>
                <w:sz w:val="22"/>
                <w:szCs w:val="22"/>
                <w:lang w:val="en-US"/>
              </w:rPr>
              <w:t xml:space="preserve"> SC53-11,</w:t>
            </w:r>
            <w:r w:rsidRPr="00465E26">
              <w:rPr>
                <w:rFonts w:ascii="Calibri" w:hAnsi="Calibri"/>
                <w:bCs/>
                <w:sz w:val="22"/>
                <w:szCs w:val="22"/>
                <w:lang w:val="en-US"/>
              </w:rPr>
              <w:t xml:space="preserve"> SC53-12, SC53-37, SC53-38 </w:t>
            </w:r>
          </w:p>
          <w:p w14:paraId="605F1A8A" w14:textId="77777777" w:rsidR="00F85FDD" w:rsidRDefault="00F85FDD" w:rsidP="00A03E7B">
            <w:pPr>
              <w:rPr>
                <w:b/>
                <w:sz w:val="22"/>
                <w:szCs w:val="22"/>
                <w:lang w:val="en-US"/>
              </w:rPr>
            </w:pPr>
          </w:p>
        </w:tc>
        <w:tc>
          <w:tcPr>
            <w:tcW w:w="8647" w:type="dxa"/>
          </w:tcPr>
          <w:p w14:paraId="3B8A018A" w14:textId="77777777" w:rsidR="00F85FDD" w:rsidRPr="00DB25CB" w:rsidRDefault="00F85FDD" w:rsidP="00A03E7B">
            <w:pPr>
              <w:rPr>
                <w:sz w:val="22"/>
                <w:szCs w:val="22"/>
                <w:lang w:val="en-US"/>
              </w:rPr>
            </w:pPr>
            <w:r w:rsidRPr="00DB25CB">
              <w:rPr>
                <w:sz w:val="22"/>
                <w:szCs w:val="22"/>
                <w:lang w:val="en-US"/>
              </w:rPr>
              <w:t>Decision SC53-09: The Standing Committee took note of the update on Ramsar Regional Initiatives contained in document SC53-12 and recommended to the Sub-group on Finance the allocation of CHF 30,000 from the 2017 core budget for RRIs to each of the four new initiatives covering the Senegal Basin, Amazon Basin, Central Asia and Indo-Burma. The Standing Committee confirmed that the allocation of funds should be considered by the Sub-group on Finance, during its deliberations on the allocation of the 2016 core budget surplus.</w:t>
            </w:r>
          </w:p>
          <w:p w14:paraId="3869EA11" w14:textId="77777777" w:rsidR="00F85FDD" w:rsidRPr="00DB25CB" w:rsidRDefault="00F85FDD" w:rsidP="00A03E7B">
            <w:pPr>
              <w:pStyle w:val="NormalWeb"/>
              <w:rPr>
                <w:lang w:val="en-US"/>
              </w:rPr>
            </w:pPr>
            <w:r w:rsidRPr="00DB25CB">
              <w:rPr>
                <w:rFonts w:ascii="Calibri" w:hAnsi="Calibri"/>
                <w:bCs/>
                <w:sz w:val="22"/>
                <w:szCs w:val="22"/>
                <w:lang w:val="en-US"/>
              </w:rPr>
              <w:t xml:space="preserve">Decision SC53-11: The Standing Committee noted that some Contracting Parties would continue to implement the Operational Guidelines in effect as of COP12. </w:t>
            </w:r>
          </w:p>
          <w:p w14:paraId="52456D55" w14:textId="77777777" w:rsidR="00F85FDD" w:rsidRPr="00DB25CB" w:rsidRDefault="00F85FDD" w:rsidP="00A03E7B">
            <w:pPr>
              <w:pStyle w:val="NormalWeb"/>
              <w:rPr>
                <w:rFonts w:ascii="Calibri" w:hAnsi="Calibri"/>
                <w:bCs/>
                <w:sz w:val="22"/>
                <w:szCs w:val="22"/>
                <w:lang w:val="en-US"/>
              </w:rPr>
            </w:pPr>
            <w:r w:rsidRPr="00DB25CB">
              <w:rPr>
                <w:rFonts w:ascii="Calibri" w:hAnsi="Calibri"/>
                <w:bCs/>
                <w:sz w:val="22"/>
                <w:szCs w:val="22"/>
                <w:lang w:val="en-US"/>
              </w:rPr>
              <w:t xml:space="preserve">Decision SC53-12: The Standing Committee decided that a Draft Resolution on Ramsar Regional Initiatives should be prepared by the Secretariat, in consultation with interested Parties, for consideration at COP13. This work should take account of the information contained in the Working Group’s report, as contained in document SC53-12. </w:t>
            </w:r>
          </w:p>
          <w:p w14:paraId="4C8049F1" w14:textId="77777777" w:rsidR="00F85FDD" w:rsidRPr="00DB25CB" w:rsidRDefault="00F85FDD" w:rsidP="00A03E7B">
            <w:pPr>
              <w:pStyle w:val="NormalWeb"/>
              <w:rPr>
                <w:lang w:val="en-US"/>
              </w:rPr>
            </w:pPr>
            <w:r w:rsidRPr="00DB25CB">
              <w:rPr>
                <w:rFonts w:ascii="Calibri" w:hAnsi="Calibri"/>
                <w:bCs/>
                <w:sz w:val="22"/>
                <w:szCs w:val="22"/>
                <w:lang w:val="en-US"/>
              </w:rPr>
              <w:t xml:space="preserve">Decision SC53-37: The Standing Committee: </w:t>
            </w:r>
          </w:p>
          <w:p w14:paraId="70A18A40" w14:textId="77777777" w:rsidR="00F85FDD" w:rsidRPr="00DB25CB" w:rsidRDefault="00F85FDD" w:rsidP="00A03E7B">
            <w:pPr>
              <w:pStyle w:val="NormalWeb"/>
              <w:numPr>
                <w:ilvl w:val="0"/>
                <w:numId w:val="9"/>
              </w:numPr>
              <w:rPr>
                <w:lang w:val="en-US"/>
              </w:rPr>
            </w:pPr>
            <w:r w:rsidRPr="00DB25CB">
              <w:rPr>
                <w:rFonts w:ascii="Calibri" w:hAnsi="Calibri"/>
                <w:bCs/>
                <w:sz w:val="22"/>
                <w:szCs w:val="22"/>
                <w:lang w:val="en-US"/>
              </w:rPr>
              <w:t xml:space="preserve">took note of the cumulative voluntary contributions of Contracting Parties in the Africa </w:t>
            </w:r>
            <w:r>
              <w:rPr>
                <w:rFonts w:ascii="Calibri" w:hAnsi="Calibri"/>
                <w:bCs/>
                <w:sz w:val="22"/>
                <w:szCs w:val="22"/>
                <w:lang w:val="en-US"/>
              </w:rPr>
              <w:t>region, which had tota</w:t>
            </w:r>
            <w:r w:rsidRPr="00DB25CB">
              <w:rPr>
                <w:rFonts w:ascii="Calibri" w:hAnsi="Calibri"/>
                <w:bCs/>
                <w:sz w:val="22"/>
                <w:szCs w:val="22"/>
                <w:lang w:val="en-US"/>
              </w:rPr>
              <w:t xml:space="preserve">led approximately CHF 99,000 between 2009 and 31 </w:t>
            </w:r>
            <w:r w:rsidRPr="00DB25CB">
              <w:rPr>
                <w:rFonts w:ascii="Calibri" w:hAnsi="Calibri"/>
                <w:bCs/>
                <w:sz w:val="22"/>
                <w:szCs w:val="22"/>
                <w:lang w:val="en-US"/>
              </w:rPr>
              <w:lastRenderedPageBreak/>
              <w:t>December 2016, and recognized that such contributions should be allocated to Regional Initiatives for the Africa region; and</w:t>
            </w:r>
          </w:p>
          <w:p w14:paraId="0041A214" w14:textId="77777777" w:rsidR="00F85FDD" w:rsidRPr="00DB25CB" w:rsidRDefault="00F85FDD" w:rsidP="00A03E7B">
            <w:pPr>
              <w:pStyle w:val="NormalWeb"/>
              <w:numPr>
                <w:ilvl w:val="0"/>
                <w:numId w:val="9"/>
              </w:numPr>
              <w:rPr>
                <w:lang w:val="en-US"/>
              </w:rPr>
            </w:pPr>
            <w:r w:rsidRPr="00DB25CB">
              <w:rPr>
                <w:rFonts w:ascii="Calibri" w:hAnsi="Calibri"/>
                <w:bCs/>
                <w:sz w:val="22"/>
                <w:szCs w:val="22"/>
                <w:lang w:val="en-US"/>
              </w:rPr>
              <w:t xml:space="preserve"> instructed the Secretariat, upon further analysis and subsequent audit confirmation of the final balance of the voluntary contributions for 2016, to seek advice from the Africa region on the allocation of the 2016 balance for the African Regional Initiatives. </w:t>
            </w:r>
          </w:p>
          <w:p w14:paraId="70F3913C" w14:textId="77777777" w:rsidR="00F85FDD" w:rsidRPr="00DB25CB" w:rsidRDefault="00F85FDD" w:rsidP="00A03E7B">
            <w:pPr>
              <w:pStyle w:val="NormalWeb"/>
              <w:rPr>
                <w:lang w:val="en-US"/>
              </w:rPr>
            </w:pPr>
            <w:r w:rsidRPr="00DB25CB">
              <w:rPr>
                <w:rFonts w:ascii="Calibri" w:hAnsi="Calibri"/>
                <w:bCs/>
                <w:sz w:val="22"/>
                <w:szCs w:val="22"/>
                <w:lang w:val="en-US"/>
              </w:rPr>
              <w:t>Decision SC53-38: The Standing Committee allocated, from the 2017 core budget for Ramsar Regional Initiatives, CHF 30,000 to each of the following new initiatives: Amazon Basin, Central Asia, Indo-Burma and Senegal Basin.</w:t>
            </w:r>
            <w:r w:rsidRPr="00DB25CB">
              <w:rPr>
                <w:rFonts w:ascii="Calibri" w:hAnsi="Calibri"/>
                <w:b/>
                <w:bCs/>
                <w:sz w:val="22"/>
                <w:szCs w:val="22"/>
                <w:lang w:val="en-US"/>
              </w:rPr>
              <w:t xml:space="preserve"> </w:t>
            </w:r>
          </w:p>
        </w:tc>
        <w:tc>
          <w:tcPr>
            <w:tcW w:w="2410" w:type="dxa"/>
          </w:tcPr>
          <w:p w14:paraId="4B179EF0" w14:textId="77777777" w:rsidR="00F85FDD" w:rsidRDefault="00F85FDD" w:rsidP="00A03E7B">
            <w:pPr>
              <w:rPr>
                <w:b/>
                <w:sz w:val="22"/>
                <w:szCs w:val="22"/>
                <w:lang w:val="en-US"/>
              </w:rPr>
            </w:pPr>
          </w:p>
        </w:tc>
      </w:tr>
      <w:tr w:rsidR="00F85FDD" w:rsidRPr="00217036" w14:paraId="1F65E6A8" w14:textId="77777777" w:rsidTr="001C7493">
        <w:tc>
          <w:tcPr>
            <w:tcW w:w="2869" w:type="dxa"/>
          </w:tcPr>
          <w:p w14:paraId="01881EA7" w14:textId="77777777" w:rsidR="00F85FDD" w:rsidRPr="00465E26" w:rsidRDefault="00F85FDD" w:rsidP="00A03E7B">
            <w:pPr>
              <w:rPr>
                <w:sz w:val="22"/>
                <w:szCs w:val="22"/>
                <w:lang w:val="en-US"/>
              </w:rPr>
            </w:pPr>
            <w:r w:rsidRPr="00465E26">
              <w:rPr>
                <w:sz w:val="22"/>
                <w:szCs w:val="22"/>
                <w:lang w:val="en-US"/>
              </w:rPr>
              <w:t>SC52-17, SC52-18, SC52-19, SC52-20</w:t>
            </w:r>
          </w:p>
          <w:p w14:paraId="5E0C8CF6" w14:textId="77777777" w:rsidR="00F85FDD" w:rsidRPr="00465E26" w:rsidRDefault="00F85FDD" w:rsidP="00A03E7B">
            <w:pPr>
              <w:rPr>
                <w:sz w:val="22"/>
                <w:szCs w:val="22"/>
                <w:lang w:val="en-US"/>
              </w:rPr>
            </w:pPr>
          </w:p>
        </w:tc>
        <w:tc>
          <w:tcPr>
            <w:tcW w:w="8647" w:type="dxa"/>
          </w:tcPr>
          <w:p w14:paraId="22889E39" w14:textId="77777777" w:rsidR="00F85FDD" w:rsidRPr="00033E87" w:rsidRDefault="00F85FDD" w:rsidP="00A03E7B">
            <w:pPr>
              <w:pStyle w:val="NormalWeb"/>
              <w:rPr>
                <w:lang w:val="en-US"/>
              </w:rPr>
            </w:pPr>
            <w:r w:rsidRPr="00033E87">
              <w:rPr>
                <w:rFonts w:ascii="Calibri" w:hAnsi="Calibri"/>
                <w:bCs/>
                <w:sz w:val="22"/>
                <w:szCs w:val="22"/>
                <w:lang w:val="en-US"/>
              </w:rPr>
              <w:t>Decision SC52-17: The Standing Committee approved the Ramsar Regional Initiatives list as functional within the framework of the Convention for the period 2016-2018, as follows: 1) Ramsar Centre for Eastern Africa (RAMCEA), 2) Ramsar Regional Centre – Central and West Asia (RRC- CWA), 3) Ramsar Regional Centre – East Asia (RRC-EA), 4) Ramsar Regional Centre for Training and Research in the Western Hemisphere (</w:t>
            </w:r>
            <w:r w:rsidRPr="00033E87">
              <w:rPr>
                <w:rFonts w:ascii="Calibri" w:hAnsi="Calibri"/>
                <w:bCs/>
                <w:i/>
                <w:iCs/>
                <w:sz w:val="22"/>
                <w:szCs w:val="22"/>
                <w:lang w:val="en-US"/>
              </w:rPr>
              <w:t xml:space="preserve">Centro Regional Ramsar para la </w:t>
            </w:r>
            <w:proofErr w:type="spellStart"/>
            <w:r w:rsidRPr="00033E87">
              <w:rPr>
                <w:rFonts w:ascii="Calibri" w:hAnsi="Calibri"/>
                <w:bCs/>
                <w:i/>
                <w:iCs/>
                <w:sz w:val="22"/>
                <w:szCs w:val="22"/>
                <w:lang w:val="en-US"/>
              </w:rPr>
              <w:t>Capacitación</w:t>
            </w:r>
            <w:proofErr w:type="spellEnd"/>
            <w:r w:rsidRPr="00033E87">
              <w:rPr>
                <w:rFonts w:ascii="Calibri" w:hAnsi="Calibri"/>
                <w:bCs/>
                <w:i/>
                <w:iCs/>
                <w:sz w:val="22"/>
                <w:szCs w:val="22"/>
                <w:lang w:val="en-US"/>
              </w:rPr>
              <w:t xml:space="preserve"> e </w:t>
            </w:r>
            <w:proofErr w:type="spellStart"/>
            <w:r w:rsidRPr="00033E87">
              <w:rPr>
                <w:rFonts w:ascii="Calibri" w:hAnsi="Calibri"/>
                <w:bCs/>
                <w:i/>
                <w:iCs/>
                <w:sz w:val="22"/>
                <w:szCs w:val="22"/>
                <w:lang w:val="en-US"/>
              </w:rPr>
              <w:t>Investigación</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sobre</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Humedales</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en</w:t>
            </w:r>
            <w:proofErr w:type="spellEnd"/>
            <w:r w:rsidRPr="00033E87">
              <w:rPr>
                <w:rFonts w:ascii="Calibri" w:hAnsi="Calibri"/>
                <w:bCs/>
                <w:i/>
                <w:iCs/>
                <w:sz w:val="22"/>
                <w:szCs w:val="22"/>
                <w:lang w:val="en-US"/>
              </w:rPr>
              <w:t xml:space="preserve"> el </w:t>
            </w:r>
            <w:proofErr w:type="spellStart"/>
            <w:r w:rsidRPr="00033E87">
              <w:rPr>
                <w:rFonts w:ascii="Calibri" w:hAnsi="Calibri"/>
                <w:bCs/>
                <w:i/>
                <w:iCs/>
                <w:sz w:val="22"/>
                <w:szCs w:val="22"/>
                <w:lang w:val="en-US"/>
              </w:rPr>
              <w:t>Hemisferio</w:t>
            </w:r>
            <w:proofErr w:type="spellEnd"/>
            <w:r w:rsidRPr="00033E87">
              <w:rPr>
                <w:rFonts w:ascii="Calibri" w:hAnsi="Calibri"/>
                <w:bCs/>
                <w:i/>
                <w:iCs/>
                <w:sz w:val="22"/>
                <w:szCs w:val="22"/>
                <w:lang w:val="en-US"/>
              </w:rPr>
              <w:t xml:space="preserve"> Occidental</w:t>
            </w:r>
            <w:r w:rsidRPr="00033E87">
              <w:rPr>
                <w:rFonts w:ascii="Calibri" w:hAnsi="Calibri"/>
                <w:bCs/>
                <w:sz w:val="22"/>
                <w:szCs w:val="22"/>
                <w:lang w:val="en-US"/>
              </w:rPr>
              <w:t>, CREHO), 5) West African Coastal Zone Wetlands Network (</w:t>
            </w:r>
            <w:proofErr w:type="spellStart"/>
            <w:r w:rsidRPr="00033E87">
              <w:rPr>
                <w:rFonts w:ascii="Calibri" w:hAnsi="Calibri"/>
                <w:bCs/>
                <w:sz w:val="22"/>
                <w:szCs w:val="22"/>
                <w:lang w:val="en-US"/>
              </w:rPr>
              <w:t>WACOWet</w:t>
            </w:r>
            <w:proofErr w:type="spellEnd"/>
            <w:r w:rsidRPr="00033E87">
              <w:rPr>
                <w:rFonts w:ascii="Calibri" w:hAnsi="Calibri"/>
                <w:bCs/>
                <w:sz w:val="22"/>
                <w:szCs w:val="22"/>
                <w:lang w:val="en-US"/>
              </w:rPr>
              <w:t>), 6) Niger River Basin Network (NigerWet), 7) Regional Initiative for the Conservation and Wise Use of High Andean Wetlands (</w:t>
            </w:r>
            <w:proofErr w:type="spellStart"/>
            <w:r w:rsidRPr="00033E87">
              <w:rPr>
                <w:rFonts w:ascii="Calibri" w:hAnsi="Calibri"/>
                <w:bCs/>
                <w:i/>
                <w:iCs/>
                <w:sz w:val="22"/>
                <w:szCs w:val="22"/>
                <w:lang w:val="en-US"/>
              </w:rPr>
              <w:t>Iniciativa</w:t>
            </w:r>
            <w:proofErr w:type="spellEnd"/>
            <w:r w:rsidRPr="00033E87">
              <w:rPr>
                <w:rFonts w:ascii="Calibri" w:hAnsi="Calibri"/>
                <w:bCs/>
                <w:i/>
                <w:iCs/>
                <w:sz w:val="22"/>
                <w:szCs w:val="22"/>
                <w:lang w:val="en-US"/>
              </w:rPr>
              <w:t xml:space="preserve"> Regional de </w:t>
            </w:r>
            <w:proofErr w:type="spellStart"/>
            <w:r w:rsidRPr="00033E87">
              <w:rPr>
                <w:rFonts w:ascii="Calibri" w:hAnsi="Calibri"/>
                <w:bCs/>
                <w:i/>
                <w:iCs/>
                <w:sz w:val="22"/>
                <w:szCs w:val="22"/>
                <w:lang w:val="en-US"/>
              </w:rPr>
              <w:t>Conservación</w:t>
            </w:r>
            <w:proofErr w:type="spellEnd"/>
            <w:r w:rsidRPr="00033E87">
              <w:rPr>
                <w:rFonts w:ascii="Calibri" w:hAnsi="Calibri"/>
                <w:bCs/>
                <w:i/>
                <w:iCs/>
                <w:sz w:val="22"/>
                <w:szCs w:val="22"/>
                <w:lang w:val="en-US"/>
              </w:rPr>
              <w:t xml:space="preserve"> y </w:t>
            </w:r>
            <w:proofErr w:type="spellStart"/>
            <w:r w:rsidRPr="00033E87">
              <w:rPr>
                <w:rFonts w:ascii="Calibri" w:hAnsi="Calibri"/>
                <w:bCs/>
                <w:i/>
                <w:iCs/>
                <w:sz w:val="22"/>
                <w:szCs w:val="22"/>
                <w:lang w:val="en-US"/>
              </w:rPr>
              <w:t>Uso</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Sostenible</w:t>
            </w:r>
            <w:proofErr w:type="spellEnd"/>
            <w:r w:rsidRPr="00033E87">
              <w:rPr>
                <w:rFonts w:ascii="Calibri" w:hAnsi="Calibri"/>
                <w:bCs/>
                <w:i/>
                <w:iCs/>
                <w:sz w:val="22"/>
                <w:szCs w:val="22"/>
                <w:lang w:val="en-US"/>
              </w:rPr>
              <w:t xml:space="preserve"> de los </w:t>
            </w:r>
            <w:proofErr w:type="spellStart"/>
            <w:r w:rsidRPr="00033E87">
              <w:rPr>
                <w:rFonts w:ascii="Calibri" w:hAnsi="Calibri"/>
                <w:bCs/>
                <w:i/>
                <w:iCs/>
                <w:sz w:val="22"/>
                <w:szCs w:val="22"/>
                <w:lang w:val="en-US"/>
              </w:rPr>
              <w:t>Humedales</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Altoandinos</w:t>
            </w:r>
            <w:proofErr w:type="spellEnd"/>
            <w:r w:rsidRPr="00033E87">
              <w:rPr>
                <w:rFonts w:ascii="Calibri" w:hAnsi="Calibri"/>
                <w:bCs/>
                <w:sz w:val="22"/>
                <w:szCs w:val="22"/>
                <w:lang w:val="en-US"/>
              </w:rPr>
              <w:t>), 8) Regional Initiative for the Conservation and Wise Use of the Plata River Basin (</w:t>
            </w:r>
            <w:proofErr w:type="spellStart"/>
            <w:r w:rsidRPr="00033E87">
              <w:rPr>
                <w:rFonts w:ascii="Calibri" w:hAnsi="Calibri"/>
                <w:bCs/>
                <w:i/>
                <w:iCs/>
                <w:sz w:val="22"/>
                <w:szCs w:val="22"/>
                <w:lang w:val="en-US"/>
              </w:rPr>
              <w:t>Iniciativa</w:t>
            </w:r>
            <w:proofErr w:type="spellEnd"/>
            <w:r w:rsidRPr="00033E87">
              <w:rPr>
                <w:rFonts w:ascii="Calibri" w:hAnsi="Calibri"/>
                <w:bCs/>
                <w:i/>
                <w:iCs/>
                <w:sz w:val="22"/>
                <w:szCs w:val="22"/>
                <w:lang w:val="en-US"/>
              </w:rPr>
              <w:t xml:space="preserve"> para la </w:t>
            </w:r>
            <w:proofErr w:type="spellStart"/>
            <w:r w:rsidRPr="00033E87">
              <w:rPr>
                <w:rFonts w:ascii="Calibri" w:hAnsi="Calibri"/>
                <w:bCs/>
                <w:i/>
                <w:iCs/>
                <w:sz w:val="22"/>
                <w:szCs w:val="22"/>
                <w:lang w:val="en-US"/>
              </w:rPr>
              <w:t>Conservación</w:t>
            </w:r>
            <w:proofErr w:type="spellEnd"/>
            <w:r w:rsidRPr="00033E87">
              <w:rPr>
                <w:rFonts w:ascii="Calibri" w:hAnsi="Calibri"/>
                <w:bCs/>
                <w:i/>
                <w:iCs/>
                <w:sz w:val="22"/>
                <w:szCs w:val="22"/>
                <w:lang w:val="en-US"/>
              </w:rPr>
              <w:t xml:space="preserve"> y </w:t>
            </w:r>
            <w:proofErr w:type="spellStart"/>
            <w:r w:rsidRPr="00033E87">
              <w:rPr>
                <w:rFonts w:ascii="Calibri" w:hAnsi="Calibri"/>
                <w:bCs/>
                <w:i/>
                <w:iCs/>
                <w:sz w:val="22"/>
                <w:szCs w:val="22"/>
                <w:lang w:val="en-US"/>
              </w:rPr>
              <w:t>Uso</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Sustentable</w:t>
            </w:r>
            <w:proofErr w:type="spellEnd"/>
            <w:r w:rsidRPr="00033E87">
              <w:rPr>
                <w:rFonts w:ascii="Calibri" w:hAnsi="Calibri"/>
                <w:bCs/>
                <w:i/>
                <w:iCs/>
                <w:sz w:val="22"/>
                <w:szCs w:val="22"/>
                <w:lang w:val="en-US"/>
              </w:rPr>
              <w:t xml:space="preserve"> de los </w:t>
            </w:r>
            <w:proofErr w:type="spellStart"/>
            <w:r w:rsidRPr="00033E87">
              <w:rPr>
                <w:rFonts w:ascii="Calibri" w:hAnsi="Calibri"/>
                <w:bCs/>
                <w:i/>
                <w:iCs/>
                <w:sz w:val="22"/>
                <w:szCs w:val="22"/>
                <w:lang w:val="en-US"/>
              </w:rPr>
              <w:t>Humedales</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Fluviales</w:t>
            </w:r>
            <w:proofErr w:type="spellEnd"/>
            <w:r w:rsidRPr="00033E87">
              <w:rPr>
                <w:rFonts w:ascii="Calibri" w:hAnsi="Calibri"/>
                <w:bCs/>
                <w:i/>
                <w:iCs/>
                <w:sz w:val="22"/>
                <w:szCs w:val="22"/>
                <w:lang w:val="en-US"/>
              </w:rPr>
              <w:t xml:space="preserve"> de la Cuenca del Plata</w:t>
            </w:r>
            <w:r w:rsidRPr="00033E87">
              <w:rPr>
                <w:rFonts w:ascii="Calibri" w:hAnsi="Calibri"/>
                <w:bCs/>
                <w:sz w:val="22"/>
                <w:szCs w:val="22"/>
                <w:lang w:val="en-US"/>
              </w:rPr>
              <w:t>), 9) Caribbean Wetlands Regional Initiative (CariWet), 10) Regional Initiative for the Integral Management and Wise Use of Mangroves and Coral Reefs (</w:t>
            </w:r>
            <w:proofErr w:type="spellStart"/>
            <w:r w:rsidRPr="00033E87">
              <w:rPr>
                <w:rFonts w:ascii="Calibri" w:hAnsi="Calibri"/>
                <w:bCs/>
                <w:i/>
                <w:iCs/>
                <w:sz w:val="22"/>
                <w:szCs w:val="22"/>
                <w:lang w:val="en-US"/>
              </w:rPr>
              <w:t>Iniciativa</w:t>
            </w:r>
            <w:proofErr w:type="spellEnd"/>
            <w:r w:rsidRPr="00033E87">
              <w:rPr>
                <w:rFonts w:ascii="Calibri" w:hAnsi="Calibri"/>
                <w:bCs/>
                <w:i/>
                <w:iCs/>
                <w:sz w:val="22"/>
                <w:szCs w:val="22"/>
                <w:lang w:val="en-US"/>
              </w:rPr>
              <w:t xml:space="preserve"> Regional para la </w:t>
            </w:r>
            <w:proofErr w:type="spellStart"/>
            <w:r w:rsidRPr="00033E87">
              <w:rPr>
                <w:rFonts w:ascii="Calibri" w:hAnsi="Calibri"/>
                <w:bCs/>
                <w:i/>
                <w:iCs/>
                <w:sz w:val="22"/>
                <w:szCs w:val="22"/>
                <w:lang w:val="en-US"/>
              </w:rPr>
              <w:t>Conservación</w:t>
            </w:r>
            <w:proofErr w:type="spellEnd"/>
            <w:r w:rsidRPr="00033E87">
              <w:rPr>
                <w:rFonts w:ascii="Calibri" w:hAnsi="Calibri"/>
                <w:bCs/>
                <w:i/>
                <w:iCs/>
                <w:sz w:val="22"/>
                <w:szCs w:val="22"/>
                <w:lang w:val="en-US"/>
              </w:rPr>
              <w:t xml:space="preserve"> y </w:t>
            </w:r>
            <w:proofErr w:type="spellStart"/>
            <w:r w:rsidRPr="00033E87">
              <w:rPr>
                <w:rFonts w:ascii="Calibri" w:hAnsi="Calibri"/>
                <w:bCs/>
                <w:i/>
                <w:iCs/>
                <w:sz w:val="22"/>
                <w:szCs w:val="22"/>
                <w:lang w:val="en-US"/>
              </w:rPr>
              <w:t>Uso</w:t>
            </w:r>
            <w:proofErr w:type="spellEnd"/>
            <w:r w:rsidRPr="00033E87">
              <w:rPr>
                <w:rFonts w:ascii="Calibri" w:hAnsi="Calibri"/>
                <w:bCs/>
                <w:i/>
                <w:iCs/>
                <w:sz w:val="22"/>
                <w:szCs w:val="22"/>
                <w:lang w:val="en-US"/>
              </w:rPr>
              <w:t xml:space="preserve"> </w:t>
            </w:r>
            <w:proofErr w:type="spellStart"/>
            <w:r w:rsidRPr="00033E87">
              <w:rPr>
                <w:rFonts w:ascii="Calibri" w:hAnsi="Calibri"/>
                <w:bCs/>
                <w:i/>
                <w:iCs/>
                <w:sz w:val="22"/>
                <w:szCs w:val="22"/>
                <w:lang w:val="en-US"/>
              </w:rPr>
              <w:t>Racional</w:t>
            </w:r>
            <w:proofErr w:type="spellEnd"/>
            <w:r w:rsidRPr="00033E87">
              <w:rPr>
                <w:rFonts w:ascii="Calibri" w:hAnsi="Calibri"/>
                <w:bCs/>
                <w:i/>
                <w:iCs/>
                <w:sz w:val="22"/>
                <w:szCs w:val="22"/>
                <w:lang w:val="en-US"/>
              </w:rPr>
              <w:t xml:space="preserve"> de </w:t>
            </w:r>
            <w:proofErr w:type="spellStart"/>
            <w:r w:rsidRPr="00033E87">
              <w:rPr>
                <w:rFonts w:ascii="Calibri" w:hAnsi="Calibri"/>
                <w:bCs/>
                <w:i/>
                <w:iCs/>
                <w:sz w:val="22"/>
                <w:szCs w:val="22"/>
                <w:lang w:val="en-US"/>
              </w:rPr>
              <w:t>Manglares</w:t>
            </w:r>
            <w:proofErr w:type="spellEnd"/>
            <w:r w:rsidRPr="00033E87">
              <w:rPr>
                <w:rFonts w:ascii="Calibri" w:hAnsi="Calibri"/>
                <w:bCs/>
                <w:i/>
                <w:iCs/>
                <w:sz w:val="22"/>
                <w:szCs w:val="22"/>
                <w:lang w:val="en-US"/>
              </w:rPr>
              <w:t xml:space="preserve"> y </w:t>
            </w:r>
            <w:proofErr w:type="spellStart"/>
            <w:r w:rsidRPr="00033E87">
              <w:rPr>
                <w:rFonts w:ascii="Calibri" w:hAnsi="Calibri"/>
                <w:bCs/>
                <w:i/>
                <w:iCs/>
                <w:sz w:val="22"/>
                <w:szCs w:val="22"/>
                <w:lang w:val="en-US"/>
              </w:rPr>
              <w:t>Corales</w:t>
            </w:r>
            <w:proofErr w:type="spellEnd"/>
            <w:r w:rsidRPr="00033E87">
              <w:rPr>
                <w:rFonts w:ascii="Calibri" w:hAnsi="Calibri"/>
                <w:bCs/>
                <w:sz w:val="22"/>
                <w:szCs w:val="22"/>
                <w:lang w:val="en-US"/>
              </w:rPr>
              <w:t xml:space="preserve">), 11) East Asian-Australasian Flyway Partnership, 12) Mediterranean Wetlands Initiative (MedWet), 13) Carpathian Wetlands Initiative, 14) Nordic-Baltic Wetlands Initiative (NorBalWet), 15) Regional Initiative on Black and Azov Seas Coastal Wetlands (BlackSeaWet). </w:t>
            </w:r>
          </w:p>
          <w:p w14:paraId="6E2AC260" w14:textId="77777777" w:rsidR="00F85FDD" w:rsidRPr="00033E87" w:rsidRDefault="00F85FDD" w:rsidP="00A03E7B">
            <w:pPr>
              <w:rPr>
                <w:sz w:val="22"/>
                <w:szCs w:val="22"/>
                <w:lang w:val="en-US"/>
              </w:rPr>
            </w:pPr>
            <w:r w:rsidRPr="00033E87">
              <w:rPr>
                <w:sz w:val="22"/>
                <w:szCs w:val="22"/>
                <w:lang w:val="en-US"/>
              </w:rPr>
              <w:t>Decision SC52-18: The Standing Committee asked the Contracting Parties members of Ramsar Regional Initiatives, through the Working Group, to assess the applicability of Operational Guidelines as approved, at the latest four months before the 53rd Standing Committee.</w:t>
            </w:r>
          </w:p>
          <w:p w14:paraId="796FDCA0" w14:textId="77777777" w:rsidR="00F85FDD" w:rsidRPr="00033E87" w:rsidRDefault="00F85FDD" w:rsidP="00A03E7B">
            <w:pPr>
              <w:rPr>
                <w:sz w:val="22"/>
                <w:szCs w:val="22"/>
                <w:lang w:val="en-US"/>
              </w:rPr>
            </w:pPr>
          </w:p>
          <w:p w14:paraId="536FDACA" w14:textId="77777777" w:rsidR="00F85FDD" w:rsidRPr="00033E87" w:rsidRDefault="00F85FDD" w:rsidP="00A03E7B">
            <w:pPr>
              <w:rPr>
                <w:sz w:val="22"/>
                <w:szCs w:val="22"/>
                <w:lang w:val="en-US"/>
              </w:rPr>
            </w:pPr>
            <w:r w:rsidRPr="00033E87">
              <w:rPr>
                <w:sz w:val="22"/>
                <w:szCs w:val="22"/>
                <w:lang w:val="en-US"/>
              </w:rPr>
              <w:lastRenderedPageBreak/>
              <w:t>Decision SC52-19: The Standing Committee requested the Working Group, in conjunction with the Secretariat, to present at the 53rd Standing Committee a summary report of the issues raised by the Ramsar Regional Initiatives and any proposals related to them.</w:t>
            </w:r>
          </w:p>
          <w:p w14:paraId="05294A2F" w14:textId="77777777" w:rsidR="00F85FDD" w:rsidRPr="00033E87" w:rsidRDefault="00F85FDD" w:rsidP="00A03E7B">
            <w:pPr>
              <w:rPr>
                <w:sz w:val="22"/>
                <w:szCs w:val="22"/>
                <w:lang w:val="en-US"/>
              </w:rPr>
            </w:pPr>
          </w:p>
          <w:p w14:paraId="1C0F958A" w14:textId="77777777" w:rsidR="00F85FDD" w:rsidRPr="00033E87" w:rsidRDefault="00F85FDD" w:rsidP="00A03E7B">
            <w:pPr>
              <w:pStyle w:val="ListParagraph"/>
              <w:suppressAutoHyphens/>
              <w:ind w:left="0"/>
              <w:contextualSpacing w:val="0"/>
              <w:rPr>
                <w:rFonts w:cs="Calibri"/>
                <w:lang w:val="en-US"/>
              </w:rPr>
            </w:pPr>
            <w:r w:rsidRPr="00033E87">
              <w:rPr>
                <w:sz w:val="22"/>
                <w:szCs w:val="22"/>
                <w:lang w:val="en-US"/>
              </w:rPr>
              <w:t xml:space="preserve">Decision SC52-20: The Standing Committee endorsed the four new Ramsar Regional Initiatives named in Doc. SC52-12 and approved an allocation from the Ramsar core budget of CHF 30,000 for each (corrected from CHF 25,000 each as proposed in Document SC52-12) as follows: 1) Regional Initiative for the </w:t>
            </w:r>
            <w:r w:rsidRPr="00033E87">
              <w:rPr>
                <w:rFonts w:cs="Calibri"/>
                <w:sz w:val="22"/>
                <w:szCs w:val="22"/>
                <w:lang w:val="en-US"/>
              </w:rPr>
              <w:t xml:space="preserve">Amazon River Basin, 2) Regional Initiative for Central Asia, 3) Indo-Burma Regional Initiative and 4) Regional Initiative for the Senegal River Basin. </w:t>
            </w:r>
          </w:p>
        </w:tc>
        <w:tc>
          <w:tcPr>
            <w:tcW w:w="2410" w:type="dxa"/>
          </w:tcPr>
          <w:p w14:paraId="1CE885E8" w14:textId="77777777" w:rsidR="00F85FDD" w:rsidRDefault="00F85FDD" w:rsidP="00A03E7B">
            <w:pPr>
              <w:rPr>
                <w:b/>
                <w:sz w:val="22"/>
                <w:szCs w:val="22"/>
                <w:lang w:val="en-US"/>
              </w:rPr>
            </w:pPr>
          </w:p>
        </w:tc>
      </w:tr>
      <w:tr w:rsidR="00F85FDD" w:rsidRPr="00217036" w14:paraId="50ADDFC4" w14:textId="77777777" w:rsidTr="001C7493">
        <w:tc>
          <w:tcPr>
            <w:tcW w:w="2869" w:type="dxa"/>
          </w:tcPr>
          <w:p w14:paraId="234E788D" w14:textId="77777777" w:rsidR="00F85FDD" w:rsidRPr="00465E26" w:rsidRDefault="00F85FDD" w:rsidP="00A03E7B">
            <w:pPr>
              <w:rPr>
                <w:sz w:val="22"/>
                <w:szCs w:val="22"/>
                <w:lang w:val="en-US"/>
              </w:rPr>
            </w:pPr>
            <w:r w:rsidRPr="00465E26">
              <w:rPr>
                <w:sz w:val="22"/>
                <w:szCs w:val="22"/>
                <w:lang w:val="en-US"/>
              </w:rPr>
              <w:t>SC51-11, SC51-12, SC51-13, SC51-14</w:t>
            </w:r>
          </w:p>
        </w:tc>
        <w:tc>
          <w:tcPr>
            <w:tcW w:w="8647" w:type="dxa"/>
          </w:tcPr>
          <w:p w14:paraId="14737192" w14:textId="77777777" w:rsidR="00F85FDD" w:rsidRPr="00033E87" w:rsidRDefault="00F85FDD" w:rsidP="00A03E7B">
            <w:pPr>
              <w:pStyle w:val="NormalWeb"/>
              <w:rPr>
                <w:rFonts w:ascii="Calibri" w:hAnsi="Calibri"/>
                <w:bCs/>
                <w:sz w:val="22"/>
                <w:szCs w:val="22"/>
                <w:lang w:val="en-US"/>
              </w:rPr>
            </w:pPr>
            <w:r w:rsidRPr="00033E87">
              <w:rPr>
                <w:rFonts w:ascii="Calibri" w:hAnsi="Calibri"/>
                <w:bCs/>
                <w:sz w:val="22"/>
                <w:szCs w:val="22"/>
                <w:lang w:val="en-US"/>
              </w:rPr>
              <w:t>Decision SC51-11: The Standing Committee agreed to establish a new Working Group to examine the implications of the proposed new Operational Guidelines for Regional Initiatives and asked the Secretariat to support the setting up of this group.</w:t>
            </w:r>
          </w:p>
          <w:p w14:paraId="2BD8B84B" w14:textId="77777777" w:rsidR="00F85FDD" w:rsidRPr="00033E87" w:rsidRDefault="00F85FDD" w:rsidP="00A03E7B">
            <w:pPr>
              <w:pStyle w:val="NormalWeb"/>
              <w:spacing w:before="0" w:beforeAutospacing="0" w:after="0" w:afterAutospacing="0"/>
              <w:rPr>
                <w:rFonts w:ascii="Calibri" w:hAnsi="Calibri"/>
                <w:bCs/>
                <w:sz w:val="22"/>
                <w:szCs w:val="22"/>
                <w:lang w:val="en-US"/>
              </w:rPr>
            </w:pPr>
            <w:r w:rsidRPr="00033E87">
              <w:rPr>
                <w:rFonts w:ascii="Calibri" w:hAnsi="Calibri"/>
                <w:bCs/>
                <w:sz w:val="22"/>
                <w:szCs w:val="22"/>
                <w:lang w:val="en-US"/>
              </w:rPr>
              <w:t>Decision SC51-12: The Standing Committee instructed the Secretariat to complete the assessment of existing Ramsar Regional Initiatives and to support a common communications strategy taking into account the comments made at the meeting.</w:t>
            </w:r>
          </w:p>
          <w:p w14:paraId="3422EF50" w14:textId="77777777" w:rsidR="00F85FDD" w:rsidRDefault="00F85FDD" w:rsidP="00A03E7B">
            <w:pPr>
              <w:pStyle w:val="NormalWeb"/>
              <w:spacing w:before="0" w:beforeAutospacing="0" w:after="0" w:afterAutospacing="0"/>
              <w:rPr>
                <w:rFonts w:ascii="Calibri" w:hAnsi="Calibri"/>
                <w:bCs/>
                <w:sz w:val="22"/>
                <w:szCs w:val="22"/>
                <w:lang w:val="en-US"/>
              </w:rPr>
            </w:pPr>
            <w:r w:rsidRPr="00033E87">
              <w:rPr>
                <w:rFonts w:ascii="Calibri" w:hAnsi="Calibri"/>
                <w:bCs/>
                <w:sz w:val="22"/>
                <w:szCs w:val="22"/>
                <w:lang w:val="en-US"/>
              </w:rPr>
              <w:t>Decision SC51-13: The Standing Committee agreed that a one-day workshop to revise the Operational Guidelines for Regional Initiatives should be held immediately before SC52.</w:t>
            </w:r>
          </w:p>
          <w:p w14:paraId="3B439047" w14:textId="77777777" w:rsidR="00F85FDD" w:rsidRDefault="00F85FDD" w:rsidP="00A03E7B">
            <w:pPr>
              <w:pStyle w:val="NormalWeb"/>
              <w:spacing w:before="0" w:beforeAutospacing="0" w:after="0" w:afterAutospacing="0"/>
              <w:rPr>
                <w:rFonts w:ascii="Calibri" w:hAnsi="Calibri"/>
                <w:bCs/>
                <w:sz w:val="22"/>
                <w:szCs w:val="22"/>
                <w:lang w:val="en-US"/>
              </w:rPr>
            </w:pPr>
          </w:p>
          <w:p w14:paraId="2A02C0D2" w14:textId="77777777" w:rsidR="00F85FDD" w:rsidRPr="002E555E" w:rsidRDefault="00F85FDD" w:rsidP="00A03E7B">
            <w:pPr>
              <w:pStyle w:val="NormalWeb"/>
              <w:spacing w:before="0" w:beforeAutospacing="0" w:after="0" w:afterAutospacing="0"/>
              <w:rPr>
                <w:rFonts w:ascii="Calibri" w:hAnsi="Calibri"/>
                <w:bCs/>
                <w:sz w:val="22"/>
                <w:szCs w:val="22"/>
                <w:lang w:val="en-US"/>
              </w:rPr>
            </w:pPr>
            <w:r w:rsidRPr="00033E87">
              <w:rPr>
                <w:rFonts w:ascii="Calibri" w:hAnsi="Calibri"/>
                <w:bCs/>
                <w:sz w:val="22"/>
                <w:szCs w:val="22"/>
                <w:lang w:val="en-US"/>
              </w:rPr>
              <w:t>Decision SC51-14: The Standing Committee agreed that proposed new Ramsar Regional Initiatives be invited to submit relevant documentation against a checklist of requirements to be provided by the Secretariat for consideration by SC52.</w:t>
            </w:r>
          </w:p>
        </w:tc>
        <w:tc>
          <w:tcPr>
            <w:tcW w:w="2410" w:type="dxa"/>
          </w:tcPr>
          <w:p w14:paraId="46AC07A3" w14:textId="77777777" w:rsidR="00F85FDD" w:rsidRDefault="00F85FDD" w:rsidP="00A03E7B">
            <w:pPr>
              <w:rPr>
                <w:b/>
                <w:sz w:val="22"/>
                <w:szCs w:val="22"/>
                <w:lang w:val="en-US"/>
              </w:rPr>
            </w:pPr>
          </w:p>
        </w:tc>
      </w:tr>
      <w:tr w:rsidR="00F85FDD" w:rsidRPr="00217036" w14:paraId="437A62A7" w14:textId="77777777" w:rsidTr="001C7493">
        <w:tc>
          <w:tcPr>
            <w:tcW w:w="2869" w:type="dxa"/>
          </w:tcPr>
          <w:p w14:paraId="396E3D18" w14:textId="77777777" w:rsidR="00F85FDD" w:rsidRPr="00465E26" w:rsidRDefault="00F85FDD" w:rsidP="00A03E7B">
            <w:pPr>
              <w:rPr>
                <w:sz w:val="22"/>
                <w:szCs w:val="22"/>
                <w:lang w:val="en-US"/>
              </w:rPr>
            </w:pPr>
            <w:r w:rsidRPr="00465E26">
              <w:rPr>
                <w:sz w:val="22"/>
                <w:szCs w:val="22"/>
                <w:lang w:val="en-US"/>
              </w:rPr>
              <w:t>SC49-03</w:t>
            </w:r>
          </w:p>
        </w:tc>
        <w:tc>
          <w:tcPr>
            <w:tcW w:w="8647" w:type="dxa"/>
          </w:tcPr>
          <w:p w14:paraId="552A81DB" w14:textId="77777777" w:rsidR="00F85FDD" w:rsidRPr="002E555E" w:rsidRDefault="00F85FDD" w:rsidP="00A03E7B">
            <w:pPr>
              <w:rPr>
                <w:sz w:val="22"/>
                <w:szCs w:val="22"/>
                <w:lang w:val="en-US"/>
              </w:rPr>
            </w:pPr>
            <w:r w:rsidRPr="002E555E">
              <w:rPr>
                <w:sz w:val="22"/>
                <w:szCs w:val="22"/>
                <w:lang w:val="en-US"/>
              </w:rPr>
              <w:t>Decision SC49-03 The Standing Committee agreed to the allocation of funds from Ramsar core budget line D as set out in column F of Table 1 in Document SC49-02.</w:t>
            </w:r>
          </w:p>
        </w:tc>
        <w:tc>
          <w:tcPr>
            <w:tcW w:w="2410" w:type="dxa"/>
          </w:tcPr>
          <w:p w14:paraId="5AC49AFB" w14:textId="77777777" w:rsidR="00F85FDD" w:rsidRDefault="00F85FDD" w:rsidP="00A03E7B">
            <w:pPr>
              <w:rPr>
                <w:b/>
                <w:sz w:val="22"/>
                <w:szCs w:val="22"/>
                <w:lang w:val="en-US"/>
              </w:rPr>
            </w:pPr>
          </w:p>
        </w:tc>
      </w:tr>
      <w:tr w:rsidR="00F85FDD" w:rsidRPr="00217036" w14:paraId="77DDF43B" w14:textId="77777777" w:rsidTr="001C7493">
        <w:tc>
          <w:tcPr>
            <w:tcW w:w="2869" w:type="dxa"/>
          </w:tcPr>
          <w:p w14:paraId="492787D8" w14:textId="77777777" w:rsidR="00F85FDD" w:rsidRPr="00465E26" w:rsidRDefault="00F85FDD" w:rsidP="00A03E7B">
            <w:pPr>
              <w:rPr>
                <w:sz w:val="22"/>
                <w:szCs w:val="22"/>
                <w:lang w:val="en-US"/>
              </w:rPr>
            </w:pPr>
            <w:r w:rsidRPr="00465E26">
              <w:rPr>
                <w:sz w:val="22"/>
                <w:szCs w:val="22"/>
                <w:lang w:val="en-US"/>
              </w:rPr>
              <w:t>SC48-25</w:t>
            </w:r>
          </w:p>
        </w:tc>
        <w:tc>
          <w:tcPr>
            <w:tcW w:w="8647" w:type="dxa"/>
          </w:tcPr>
          <w:p w14:paraId="0C9347E2" w14:textId="77777777" w:rsidR="00F85FDD" w:rsidRPr="00365AB5" w:rsidRDefault="00F85FDD" w:rsidP="00A03E7B">
            <w:pPr>
              <w:pStyle w:val="NormalWeb"/>
              <w:rPr>
                <w:lang w:val="en-US"/>
              </w:rPr>
            </w:pPr>
            <w:r w:rsidRPr="00365AB5">
              <w:rPr>
                <w:rFonts w:ascii="Calibri" w:hAnsi="Calibri"/>
                <w:bCs/>
                <w:sz w:val="22"/>
                <w:szCs w:val="22"/>
                <w:lang w:val="en-US"/>
              </w:rPr>
              <w:t xml:space="preserve">Decision SC48-25: The Standing Committee approved forwarding, without further amendment, Draft Resolution DOC. SC48-24 Rev.1 </w:t>
            </w:r>
            <w:r w:rsidRPr="00365AB5">
              <w:rPr>
                <w:rFonts w:ascii="Calibri" w:hAnsi="Calibri"/>
                <w:bCs/>
                <w:i/>
                <w:iCs/>
                <w:sz w:val="22"/>
                <w:szCs w:val="22"/>
                <w:lang w:val="en-US"/>
              </w:rPr>
              <w:t xml:space="preserve">Regional initiatives operating in the framework of the Ramsar Convention </w:t>
            </w:r>
            <w:r w:rsidRPr="00365AB5">
              <w:rPr>
                <w:rFonts w:ascii="Calibri" w:hAnsi="Calibri"/>
                <w:bCs/>
                <w:sz w:val="22"/>
                <w:szCs w:val="22"/>
                <w:lang w:val="en-US"/>
              </w:rPr>
              <w:t xml:space="preserve">for consideration at COP12. </w:t>
            </w:r>
          </w:p>
        </w:tc>
        <w:tc>
          <w:tcPr>
            <w:tcW w:w="2410" w:type="dxa"/>
          </w:tcPr>
          <w:p w14:paraId="0939577C" w14:textId="77777777" w:rsidR="00F85FDD" w:rsidRDefault="00F85FDD" w:rsidP="00A03E7B">
            <w:pPr>
              <w:rPr>
                <w:b/>
                <w:sz w:val="22"/>
                <w:szCs w:val="22"/>
                <w:lang w:val="en-US"/>
              </w:rPr>
            </w:pPr>
          </w:p>
        </w:tc>
      </w:tr>
      <w:tr w:rsidR="00F85FDD" w:rsidRPr="00217036" w14:paraId="43BE2C77" w14:textId="77777777" w:rsidTr="001C7493">
        <w:tc>
          <w:tcPr>
            <w:tcW w:w="2869" w:type="dxa"/>
          </w:tcPr>
          <w:p w14:paraId="18EF6084" w14:textId="77777777" w:rsidR="00F85FDD" w:rsidRPr="00A22DE0" w:rsidRDefault="00F85FDD" w:rsidP="00A03E7B">
            <w:pPr>
              <w:rPr>
                <w:sz w:val="22"/>
                <w:szCs w:val="22"/>
                <w:lang w:val="en-US"/>
              </w:rPr>
            </w:pPr>
            <w:r w:rsidRPr="00A22DE0">
              <w:rPr>
                <w:sz w:val="22"/>
                <w:szCs w:val="22"/>
                <w:lang w:val="en-US"/>
              </w:rPr>
              <w:t>SC47-08, SC47-10, SC47-26</w:t>
            </w:r>
          </w:p>
        </w:tc>
        <w:tc>
          <w:tcPr>
            <w:tcW w:w="8647" w:type="dxa"/>
          </w:tcPr>
          <w:p w14:paraId="32565CC7" w14:textId="77777777" w:rsidR="00F85FDD" w:rsidRPr="00A22DE0" w:rsidRDefault="00F85FDD" w:rsidP="00A03E7B">
            <w:pPr>
              <w:pStyle w:val="NormalWeb"/>
              <w:rPr>
                <w:rFonts w:asciiTheme="minorHAnsi" w:hAnsiTheme="minorHAnsi"/>
                <w:bCs/>
                <w:sz w:val="22"/>
                <w:szCs w:val="22"/>
                <w:lang w:val="en-US"/>
              </w:rPr>
            </w:pPr>
            <w:r w:rsidRPr="00A22DE0">
              <w:rPr>
                <w:rFonts w:asciiTheme="minorHAnsi" w:hAnsiTheme="minorHAnsi"/>
                <w:bCs/>
                <w:sz w:val="22"/>
                <w:szCs w:val="22"/>
                <w:lang w:val="en-US"/>
              </w:rPr>
              <w:t xml:space="preserve">Decision SC47‐08: </w:t>
            </w:r>
            <w:proofErr w:type="gramStart"/>
            <w:r w:rsidRPr="00A22DE0">
              <w:rPr>
                <w:rFonts w:asciiTheme="minorHAnsi" w:hAnsiTheme="minorHAnsi"/>
                <w:bCs/>
                <w:sz w:val="22"/>
                <w:szCs w:val="22"/>
                <w:lang w:val="en-US"/>
              </w:rPr>
              <w:t>the</w:t>
            </w:r>
            <w:proofErr w:type="gramEnd"/>
            <w:r w:rsidRPr="00A22DE0">
              <w:rPr>
                <w:rFonts w:asciiTheme="minorHAnsi" w:hAnsiTheme="minorHAnsi"/>
                <w:bCs/>
                <w:sz w:val="22"/>
                <w:szCs w:val="22"/>
                <w:lang w:val="en-US"/>
              </w:rPr>
              <w:t xml:space="preserve"> Standing Committee approved the report of the Strategic Plan Working Group (SPWG) and agreed: </w:t>
            </w:r>
          </w:p>
          <w:p w14:paraId="36321A4E" w14:textId="77777777" w:rsidR="00F85FDD" w:rsidRPr="00A22DE0" w:rsidRDefault="00F85FDD" w:rsidP="00A03E7B">
            <w:pPr>
              <w:pStyle w:val="NormalWeb"/>
              <w:rPr>
                <w:rFonts w:asciiTheme="minorHAnsi" w:hAnsiTheme="minorHAnsi"/>
                <w:bCs/>
                <w:sz w:val="22"/>
                <w:szCs w:val="22"/>
                <w:lang w:val="en-US"/>
              </w:rPr>
            </w:pPr>
            <w:r w:rsidRPr="00A22DE0">
              <w:rPr>
                <w:rFonts w:asciiTheme="minorHAnsi" w:hAnsiTheme="minorHAnsi"/>
                <w:bCs/>
                <w:sz w:val="22"/>
                <w:szCs w:val="22"/>
                <w:lang w:val="en-US"/>
              </w:rPr>
              <w:t>…</w:t>
            </w:r>
          </w:p>
          <w:p w14:paraId="3B27FE46" w14:textId="77777777" w:rsidR="00F85FDD" w:rsidRPr="00A22DE0" w:rsidRDefault="00F85FDD" w:rsidP="00A03E7B">
            <w:pPr>
              <w:pStyle w:val="NormalWeb"/>
              <w:rPr>
                <w:rFonts w:asciiTheme="minorHAnsi" w:hAnsiTheme="minorHAnsi"/>
                <w:sz w:val="22"/>
                <w:szCs w:val="22"/>
                <w:lang w:val="en-US"/>
              </w:rPr>
            </w:pPr>
            <w:r w:rsidRPr="00A22DE0">
              <w:rPr>
                <w:rFonts w:asciiTheme="minorHAnsi" w:hAnsiTheme="minorHAnsi"/>
                <w:sz w:val="22"/>
                <w:szCs w:val="22"/>
                <w:lang w:val="en-US"/>
              </w:rPr>
              <w:lastRenderedPageBreak/>
              <w:t xml:space="preserve">viii) to consult the Ramsar Regional </w:t>
            </w:r>
            <w:proofErr w:type="spellStart"/>
            <w:r w:rsidRPr="00A22DE0">
              <w:rPr>
                <w:rFonts w:asciiTheme="minorHAnsi" w:hAnsiTheme="minorHAnsi"/>
                <w:sz w:val="22"/>
                <w:szCs w:val="22"/>
                <w:lang w:val="en-US"/>
              </w:rPr>
              <w:t>Centres</w:t>
            </w:r>
            <w:proofErr w:type="spellEnd"/>
            <w:r w:rsidRPr="00A22DE0">
              <w:rPr>
                <w:rFonts w:asciiTheme="minorHAnsi" w:hAnsiTheme="minorHAnsi"/>
                <w:sz w:val="22"/>
                <w:szCs w:val="22"/>
                <w:lang w:val="en-US"/>
              </w:rPr>
              <w:t xml:space="preserve"> in preparing the strategic plan;</w:t>
            </w:r>
          </w:p>
          <w:p w14:paraId="08529867" w14:textId="77777777" w:rsidR="00F85FDD" w:rsidRDefault="00F85FDD" w:rsidP="00A03E7B">
            <w:pPr>
              <w:pStyle w:val="NormalWeb"/>
              <w:rPr>
                <w:rFonts w:asciiTheme="minorHAnsi" w:hAnsiTheme="minorHAnsi"/>
                <w:sz w:val="22"/>
                <w:szCs w:val="22"/>
                <w:lang w:val="en-US"/>
              </w:rPr>
            </w:pPr>
            <w:r w:rsidRPr="00A22DE0">
              <w:rPr>
                <w:rFonts w:asciiTheme="minorHAnsi" w:hAnsiTheme="minorHAnsi"/>
                <w:sz w:val="22"/>
                <w:szCs w:val="22"/>
                <w:lang w:val="en-US"/>
              </w:rPr>
              <w:t>Decision SC47</w:t>
            </w:r>
            <w:r w:rsidRPr="00A22DE0">
              <w:rPr>
                <w:rFonts w:asciiTheme="minorHAnsi" w:eastAsia="Calibri" w:hAnsiTheme="minorHAnsi" w:cs="Calibri"/>
                <w:sz w:val="22"/>
                <w:szCs w:val="22"/>
                <w:lang w:val="en-US"/>
              </w:rPr>
              <w:t>‐</w:t>
            </w:r>
            <w:r w:rsidRPr="00A22DE0">
              <w:rPr>
                <w:rFonts w:asciiTheme="minorHAnsi" w:hAnsiTheme="minorHAnsi"/>
                <w:sz w:val="22"/>
                <w:szCs w:val="22"/>
                <w:lang w:val="en-US"/>
              </w:rPr>
              <w:t xml:space="preserve">10: The Standing Committee agreed to no changes to the COP11 approved core budget for Regional Initiatives for 2014, and endorsed the 2014 funds </w:t>
            </w:r>
            <w:r>
              <w:rPr>
                <w:rFonts w:asciiTheme="minorHAnsi" w:hAnsiTheme="minorHAnsi"/>
                <w:sz w:val="22"/>
                <w:szCs w:val="22"/>
                <w:lang w:val="en-US"/>
              </w:rPr>
              <w:t xml:space="preserve">allocated </w:t>
            </w:r>
            <w:r w:rsidRPr="00A22DE0">
              <w:rPr>
                <w:rFonts w:asciiTheme="minorHAnsi" w:hAnsiTheme="minorHAnsi"/>
                <w:sz w:val="22"/>
                <w:szCs w:val="22"/>
                <w:lang w:val="en-US"/>
              </w:rPr>
              <w:t>as below:</w:t>
            </w:r>
          </w:p>
          <w:p w14:paraId="63AD5A24" w14:textId="77777777" w:rsidR="00F85FDD" w:rsidRDefault="00F85FDD" w:rsidP="00A03E7B">
            <w:pPr>
              <w:pStyle w:val="NormalWeb"/>
              <w:numPr>
                <w:ilvl w:val="0"/>
                <w:numId w:val="10"/>
              </w:numPr>
              <w:rPr>
                <w:rFonts w:asciiTheme="minorHAnsi" w:hAnsiTheme="minorHAnsi"/>
                <w:sz w:val="22"/>
                <w:szCs w:val="22"/>
                <w:lang w:val="en-US"/>
              </w:rPr>
            </w:pPr>
            <w:r w:rsidRPr="00A22DE0">
              <w:rPr>
                <w:rFonts w:asciiTheme="minorHAnsi" w:hAnsiTheme="minorHAnsi"/>
                <w:sz w:val="22"/>
                <w:szCs w:val="22"/>
                <w:lang w:val="en-US"/>
              </w:rPr>
              <w:t>East African centre</w:t>
            </w:r>
            <w:r>
              <w:rPr>
                <w:rFonts w:asciiTheme="minorHAnsi" w:hAnsiTheme="minorHAnsi"/>
                <w:sz w:val="22"/>
                <w:szCs w:val="22"/>
                <w:lang w:val="en-US"/>
              </w:rPr>
              <w:t xml:space="preserve"> </w:t>
            </w:r>
            <w:r w:rsidRPr="00A22DE0">
              <w:rPr>
                <w:rFonts w:asciiTheme="minorHAnsi" w:hAnsiTheme="minorHAnsi"/>
                <w:sz w:val="22"/>
                <w:szCs w:val="22"/>
                <w:lang w:val="en-US"/>
              </w:rPr>
              <w:t>CHF 28,000</w:t>
            </w:r>
          </w:p>
          <w:p w14:paraId="0C681629" w14:textId="77777777" w:rsidR="00F85FDD" w:rsidRDefault="00F85FDD" w:rsidP="00A03E7B">
            <w:pPr>
              <w:pStyle w:val="NormalWeb"/>
              <w:numPr>
                <w:ilvl w:val="0"/>
                <w:numId w:val="10"/>
              </w:numPr>
              <w:rPr>
                <w:rFonts w:asciiTheme="minorHAnsi" w:hAnsiTheme="minorHAnsi"/>
                <w:sz w:val="22"/>
                <w:szCs w:val="22"/>
                <w:lang w:val="en-US"/>
              </w:rPr>
            </w:pPr>
            <w:r w:rsidRPr="00A22DE0">
              <w:rPr>
                <w:rFonts w:asciiTheme="minorHAnsi" w:hAnsiTheme="minorHAnsi"/>
                <w:sz w:val="22"/>
                <w:szCs w:val="22"/>
                <w:lang w:val="en-US"/>
              </w:rPr>
              <w:t>Niger river basin network</w:t>
            </w:r>
            <w:r>
              <w:rPr>
                <w:rFonts w:asciiTheme="minorHAnsi" w:hAnsiTheme="minorHAnsi"/>
                <w:sz w:val="22"/>
                <w:szCs w:val="22"/>
                <w:lang w:val="en-US"/>
              </w:rPr>
              <w:t xml:space="preserve"> </w:t>
            </w:r>
            <w:r w:rsidRPr="00A22DE0">
              <w:rPr>
                <w:rFonts w:asciiTheme="minorHAnsi" w:hAnsiTheme="minorHAnsi"/>
                <w:sz w:val="22"/>
                <w:szCs w:val="22"/>
                <w:lang w:val="en-US"/>
              </w:rPr>
              <w:t>CHF 30,000</w:t>
            </w:r>
          </w:p>
          <w:p w14:paraId="1026D8C5" w14:textId="77777777" w:rsidR="00F85FDD" w:rsidRDefault="00F85FDD" w:rsidP="00A03E7B">
            <w:pPr>
              <w:pStyle w:val="NormalWeb"/>
              <w:numPr>
                <w:ilvl w:val="0"/>
                <w:numId w:val="10"/>
              </w:numPr>
              <w:rPr>
                <w:rFonts w:asciiTheme="minorHAnsi" w:hAnsiTheme="minorHAnsi"/>
                <w:sz w:val="22"/>
                <w:szCs w:val="22"/>
                <w:lang w:val="en-US"/>
              </w:rPr>
            </w:pPr>
            <w:r w:rsidRPr="00A22DE0">
              <w:rPr>
                <w:rFonts w:asciiTheme="minorHAnsi" w:hAnsiTheme="minorHAnsi"/>
                <w:sz w:val="22"/>
                <w:szCs w:val="22"/>
                <w:lang w:val="en-US"/>
              </w:rPr>
              <w:t>La Plata river basin network</w:t>
            </w:r>
            <w:r>
              <w:rPr>
                <w:rFonts w:asciiTheme="minorHAnsi" w:hAnsiTheme="minorHAnsi"/>
                <w:sz w:val="22"/>
                <w:szCs w:val="22"/>
                <w:lang w:val="en-US"/>
              </w:rPr>
              <w:t xml:space="preserve"> </w:t>
            </w:r>
            <w:r w:rsidRPr="00A22DE0">
              <w:rPr>
                <w:rFonts w:asciiTheme="minorHAnsi" w:hAnsiTheme="minorHAnsi"/>
                <w:sz w:val="22"/>
                <w:szCs w:val="22"/>
                <w:lang w:val="en-US"/>
              </w:rPr>
              <w:t>CHF 16,000</w:t>
            </w:r>
          </w:p>
          <w:p w14:paraId="3D56C80C" w14:textId="77777777" w:rsidR="00F85FDD" w:rsidRDefault="00F85FDD" w:rsidP="00A03E7B">
            <w:pPr>
              <w:pStyle w:val="NormalWeb"/>
              <w:numPr>
                <w:ilvl w:val="0"/>
                <w:numId w:val="10"/>
              </w:numPr>
              <w:rPr>
                <w:rFonts w:asciiTheme="minorHAnsi" w:hAnsiTheme="minorHAnsi"/>
                <w:sz w:val="22"/>
                <w:szCs w:val="22"/>
                <w:lang w:val="en-US"/>
              </w:rPr>
            </w:pPr>
            <w:r w:rsidRPr="00A22DE0">
              <w:rPr>
                <w:rFonts w:asciiTheme="minorHAnsi" w:hAnsiTheme="minorHAnsi"/>
                <w:sz w:val="22"/>
                <w:szCs w:val="22"/>
                <w:lang w:val="en-US"/>
              </w:rPr>
              <w:t>Caribbean network</w:t>
            </w:r>
            <w:r>
              <w:rPr>
                <w:rFonts w:asciiTheme="minorHAnsi" w:hAnsiTheme="minorHAnsi"/>
                <w:sz w:val="22"/>
                <w:szCs w:val="22"/>
                <w:lang w:val="en-US"/>
              </w:rPr>
              <w:t xml:space="preserve"> </w:t>
            </w:r>
            <w:r w:rsidRPr="00A22DE0">
              <w:rPr>
                <w:rFonts w:asciiTheme="minorHAnsi" w:hAnsiTheme="minorHAnsi"/>
                <w:sz w:val="22"/>
                <w:szCs w:val="22"/>
                <w:lang w:val="en-US"/>
              </w:rPr>
              <w:t>CHF 16,000</w:t>
            </w:r>
          </w:p>
          <w:p w14:paraId="45453CF7" w14:textId="77777777" w:rsidR="00F85FDD" w:rsidRDefault="00F85FDD" w:rsidP="00A03E7B">
            <w:pPr>
              <w:pStyle w:val="NormalWeb"/>
              <w:numPr>
                <w:ilvl w:val="0"/>
                <w:numId w:val="10"/>
              </w:numPr>
              <w:rPr>
                <w:rFonts w:asciiTheme="minorHAnsi" w:hAnsiTheme="minorHAnsi"/>
                <w:sz w:val="22"/>
                <w:szCs w:val="22"/>
                <w:lang w:val="en-US"/>
              </w:rPr>
            </w:pPr>
            <w:r w:rsidRPr="00A22DE0">
              <w:rPr>
                <w:rFonts w:asciiTheme="minorHAnsi" w:hAnsiTheme="minorHAnsi"/>
                <w:sz w:val="22"/>
                <w:szCs w:val="22"/>
                <w:lang w:val="en-US"/>
              </w:rPr>
              <w:t>Mangroves and reefs network (Americas)*</w:t>
            </w:r>
            <w:r>
              <w:rPr>
                <w:rFonts w:asciiTheme="minorHAnsi" w:hAnsiTheme="minorHAnsi"/>
                <w:sz w:val="22"/>
                <w:szCs w:val="22"/>
                <w:lang w:val="en-US"/>
              </w:rPr>
              <w:t xml:space="preserve"> </w:t>
            </w:r>
            <w:r w:rsidRPr="00A22DE0">
              <w:rPr>
                <w:rFonts w:asciiTheme="minorHAnsi" w:hAnsiTheme="minorHAnsi"/>
                <w:sz w:val="22"/>
                <w:szCs w:val="22"/>
                <w:lang w:val="en-US"/>
              </w:rPr>
              <w:t>CHF 20,000</w:t>
            </w:r>
          </w:p>
          <w:p w14:paraId="0C40A9F3" w14:textId="77777777" w:rsidR="00F85FDD" w:rsidRDefault="00F85FDD" w:rsidP="00A03E7B">
            <w:pPr>
              <w:pStyle w:val="NormalWeb"/>
              <w:numPr>
                <w:ilvl w:val="0"/>
                <w:numId w:val="10"/>
              </w:numPr>
              <w:rPr>
                <w:rFonts w:asciiTheme="minorHAnsi" w:hAnsiTheme="minorHAnsi"/>
                <w:sz w:val="22"/>
                <w:szCs w:val="22"/>
                <w:lang w:val="en-US"/>
              </w:rPr>
            </w:pPr>
            <w:r w:rsidRPr="00A22DE0">
              <w:rPr>
                <w:rFonts w:asciiTheme="minorHAnsi" w:hAnsiTheme="minorHAnsi"/>
                <w:sz w:val="22"/>
                <w:szCs w:val="22"/>
                <w:lang w:val="en-US"/>
              </w:rPr>
              <w:t>Carpathian Wetland Initiative</w:t>
            </w:r>
            <w:r>
              <w:rPr>
                <w:rFonts w:asciiTheme="minorHAnsi" w:hAnsiTheme="minorHAnsi"/>
                <w:sz w:val="22"/>
                <w:szCs w:val="22"/>
                <w:lang w:val="en-US"/>
              </w:rPr>
              <w:t xml:space="preserve"> </w:t>
            </w:r>
            <w:r w:rsidRPr="00A22DE0">
              <w:rPr>
                <w:rFonts w:asciiTheme="minorHAnsi" w:hAnsiTheme="minorHAnsi"/>
                <w:sz w:val="22"/>
                <w:szCs w:val="22"/>
                <w:lang w:val="en-US"/>
              </w:rPr>
              <w:t>CHF 10,000</w:t>
            </w:r>
          </w:p>
          <w:p w14:paraId="27C47711" w14:textId="77777777" w:rsidR="00F85FDD" w:rsidRPr="00A22DE0" w:rsidRDefault="00F85FDD" w:rsidP="00A03E7B">
            <w:pPr>
              <w:pStyle w:val="NormalWeb"/>
              <w:rPr>
                <w:lang w:val="en-US"/>
              </w:rPr>
            </w:pPr>
            <w:r w:rsidRPr="00A22DE0">
              <w:rPr>
                <w:rFonts w:ascii="Calibri" w:hAnsi="Calibri"/>
                <w:bCs/>
                <w:lang w:val="en-US"/>
              </w:rPr>
              <w:t xml:space="preserve">Decision SC47‐26: The Standing Committee accepted the annual reports of progress and endorsed the active four regional </w:t>
            </w:r>
            <w:proofErr w:type="spellStart"/>
            <w:r w:rsidRPr="00A22DE0">
              <w:rPr>
                <w:rFonts w:ascii="Calibri" w:hAnsi="Calibri"/>
                <w:bCs/>
                <w:lang w:val="en-US"/>
              </w:rPr>
              <w:t>centres</w:t>
            </w:r>
            <w:proofErr w:type="spellEnd"/>
            <w:r w:rsidRPr="00A22DE0">
              <w:rPr>
                <w:rFonts w:ascii="Calibri" w:hAnsi="Calibri"/>
                <w:bCs/>
                <w:lang w:val="en-US"/>
              </w:rPr>
              <w:t xml:space="preserve"> and eleven regional networks as fully meeting the Operational Guidelines 2013‐2015 and operating in the framework of the Convention during this period. </w:t>
            </w:r>
          </w:p>
        </w:tc>
        <w:tc>
          <w:tcPr>
            <w:tcW w:w="2410" w:type="dxa"/>
          </w:tcPr>
          <w:p w14:paraId="37188BF6" w14:textId="77777777" w:rsidR="00F85FDD" w:rsidRDefault="00F85FDD" w:rsidP="00A03E7B">
            <w:pPr>
              <w:rPr>
                <w:b/>
                <w:sz w:val="22"/>
                <w:szCs w:val="22"/>
                <w:lang w:val="en-US"/>
              </w:rPr>
            </w:pPr>
          </w:p>
        </w:tc>
      </w:tr>
      <w:tr w:rsidR="00F85FDD" w:rsidRPr="00217036" w14:paraId="3BA45FFF" w14:textId="77777777" w:rsidTr="001C7493">
        <w:tc>
          <w:tcPr>
            <w:tcW w:w="2869" w:type="dxa"/>
          </w:tcPr>
          <w:p w14:paraId="71BCB1BC" w14:textId="77777777" w:rsidR="00F85FDD" w:rsidRPr="00465E26" w:rsidRDefault="00F85FDD" w:rsidP="00A03E7B">
            <w:pPr>
              <w:rPr>
                <w:sz w:val="22"/>
                <w:szCs w:val="22"/>
                <w:lang w:val="en-US"/>
              </w:rPr>
            </w:pPr>
            <w:r w:rsidRPr="00465E26">
              <w:rPr>
                <w:sz w:val="22"/>
                <w:szCs w:val="22"/>
                <w:lang w:val="en-US"/>
              </w:rPr>
              <w:t>SC46-13, SC46-23, SC46-28</w:t>
            </w:r>
          </w:p>
        </w:tc>
        <w:tc>
          <w:tcPr>
            <w:tcW w:w="8647" w:type="dxa"/>
          </w:tcPr>
          <w:p w14:paraId="6EFB77B3" w14:textId="77777777" w:rsidR="00F85FDD" w:rsidRPr="00183216" w:rsidRDefault="00F85FDD" w:rsidP="00A03E7B">
            <w:pPr>
              <w:pStyle w:val="NormalWeb"/>
              <w:rPr>
                <w:rFonts w:asciiTheme="minorHAnsi" w:hAnsiTheme="minorHAnsi"/>
                <w:sz w:val="22"/>
                <w:szCs w:val="22"/>
                <w:lang w:val="en-US"/>
              </w:rPr>
            </w:pPr>
            <w:r w:rsidRPr="00183216">
              <w:rPr>
                <w:rFonts w:asciiTheme="minorHAnsi" w:hAnsiTheme="minorHAnsi"/>
                <w:sz w:val="22"/>
                <w:szCs w:val="22"/>
                <w:lang w:val="en-US"/>
              </w:rPr>
              <w:t>Decision SC46-13: The Standing Committee</w:t>
            </w:r>
            <w:r w:rsidRPr="00183216">
              <w:rPr>
                <w:rFonts w:asciiTheme="minorHAnsi" w:hAnsiTheme="minorHAnsi"/>
                <w:sz w:val="22"/>
                <w:szCs w:val="22"/>
                <w:lang w:val="en-US"/>
              </w:rPr>
              <w:br/>
              <w:t xml:space="preserve">i) endorsed the 15 Regional Initiatives listed in DOC. SC46-11 as meeting the Operational Guidelines 2009-2012 in the framework of the Ramsar Convention on Wetlands and within the framework of the Convention during 2013; </w:t>
            </w:r>
          </w:p>
          <w:p w14:paraId="677AD17D" w14:textId="77777777" w:rsidR="00F85FDD" w:rsidRDefault="00F85FDD" w:rsidP="00A03E7B">
            <w:pPr>
              <w:rPr>
                <w:sz w:val="22"/>
                <w:szCs w:val="22"/>
                <w:lang w:val="en-US"/>
              </w:rPr>
            </w:pPr>
            <w:r w:rsidRPr="00183216">
              <w:rPr>
                <w:sz w:val="22"/>
                <w:szCs w:val="22"/>
                <w:lang w:val="en-US"/>
              </w:rPr>
              <w:t>ii) noting the shortcomings and priority areas for action identified in the annual reports of the Regional Initiatives, requested the Regional Initiatives to report, through the Secretariat, on the remedial steps they had taken to the Standing Committee at its 47</w:t>
            </w:r>
            <w:r w:rsidRPr="00183216">
              <w:rPr>
                <w:sz w:val="22"/>
                <w:szCs w:val="22"/>
                <w:vertAlign w:val="superscript"/>
                <w:lang w:val="en-US"/>
              </w:rPr>
              <w:t>th</w:t>
            </w:r>
            <w:r w:rsidRPr="00183216">
              <w:rPr>
                <w:sz w:val="22"/>
                <w:szCs w:val="22"/>
                <w:lang w:val="en-US"/>
              </w:rPr>
              <w:t xml:space="preserve"> meeting.</w:t>
            </w:r>
          </w:p>
          <w:p w14:paraId="10064C88" w14:textId="77777777" w:rsidR="009E4069" w:rsidRDefault="009E4069" w:rsidP="00A03E7B">
            <w:pPr>
              <w:rPr>
                <w:sz w:val="22"/>
                <w:szCs w:val="22"/>
                <w:lang w:val="en-US"/>
              </w:rPr>
            </w:pPr>
          </w:p>
          <w:p w14:paraId="50F32BD9" w14:textId="389617C8" w:rsidR="009E4069" w:rsidRDefault="009E4069" w:rsidP="00A03E7B">
            <w:pPr>
              <w:rPr>
                <w:sz w:val="22"/>
                <w:szCs w:val="22"/>
                <w:lang w:val="en-US"/>
              </w:rPr>
            </w:pPr>
            <w:r>
              <w:rPr>
                <w:sz w:val="22"/>
                <w:szCs w:val="22"/>
                <w:lang w:val="en-US"/>
              </w:rPr>
              <w:t>Decision SC46-2</w:t>
            </w:r>
            <w:r w:rsidRPr="00183216">
              <w:rPr>
                <w:sz w:val="22"/>
                <w:szCs w:val="22"/>
                <w:lang w:val="en-US"/>
              </w:rPr>
              <w:t>3:</w:t>
            </w:r>
            <w:r w:rsidR="0022619F">
              <w:rPr>
                <w:sz w:val="22"/>
                <w:szCs w:val="22"/>
                <w:lang w:val="en-US"/>
              </w:rPr>
              <w:t xml:space="preserve"> The Standing Committee approved various matters pertaining to the budget, including allocation of the budget. </w:t>
            </w:r>
          </w:p>
          <w:p w14:paraId="1BE607F0" w14:textId="77777777" w:rsidR="009E4069" w:rsidRDefault="009E4069" w:rsidP="00A03E7B">
            <w:pPr>
              <w:rPr>
                <w:sz w:val="22"/>
                <w:szCs w:val="22"/>
                <w:lang w:val="en-US"/>
              </w:rPr>
            </w:pPr>
          </w:p>
          <w:p w14:paraId="402BF85A" w14:textId="564BC1C6" w:rsidR="009E4069" w:rsidRPr="0022619F" w:rsidRDefault="009E4069" w:rsidP="00A03E7B">
            <w:pPr>
              <w:rPr>
                <w:sz w:val="22"/>
                <w:szCs w:val="22"/>
                <w:lang w:val="en-US"/>
              </w:rPr>
            </w:pPr>
            <w:r>
              <w:rPr>
                <w:sz w:val="22"/>
                <w:szCs w:val="22"/>
                <w:lang w:val="en-US"/>
              </w:rPr>
              <w:t>Decision SC46-28</w:t>
            </w:r>
            <w:r w:rsidRPr="00183216">
              <w:rPr>
                <w:sz w:val="22"/>
                <w:szCs w:val="22"/>
                <w:lang w:val="en-US"/>
              </w:rPr>
              <w:t>:</w:t>
            </w:r>
            <w:r w:rsidR="0022619F">
              <w:rPr>
                <w:sz w:val="22"/>
                <w:szCs w:val="22"/>
                <w:lang w:val="en-US"/>
              </w:rPr>
              <w:t xml:space="preserve"> </w:t>
            </w:r>
            <w:r w:rsidR="0022619F" w:rsidRPr="0022619F">
              <w:rPr>
                <w:sz w:val="22"/>
                <w:szCs w:val="22"/>
                <w:lang w:val="en-US"/>
              </w:rPr>
              <w:t xml:space="preserve">The Standing Committee endorsed the revised Operational Guidelines 2013- 2015 for Regional Initiatives, and requested the Secretariat to </w:t>
            </w:r>
            <w:proofErr w:type="spellStart"/>
            <w:r w:rsidR="0022619F" w:rsidRPr="0022619F">
              <w:rPr>
                <w:sz w:val="22"/>
                <w:szCs w:val="22"/>
                <w:lang w:val="en-US"/>
              </w:rPr>
              <w:t>finalise</w:t>
            </w:r>
            <w:proofErr w:type="spellEnd"/>
            <w:r w:rsidR="0022619F" w:rsidRPr="0022619F">
              <w:rPr>
                <w:sz w:val="22"/>
                <w:szCs w:val="22"/>
                <w:lang w:val="en-US"/>
              </w:rPr>
              <w:t xml:space="preserve"> and issue the guidelines taking into account any further amendments received from Parties. </w:t>
            </w:r>
          </w:p>
        </w:tc>
        <w:tc>
          <w:tcPr>
            <w:tcW w:w="2410" w:type="dxa"/>
          </w:tcPr>
          <w:p w14:paraId="71E364F1" w14:textId="0DAE5EA2" w:rsidR="00F85FDD" w:rsidRPr="0022619F" w:rsidRDefault="0022619F" w:rsidP="0022619F">
            <w:pPr>
              <w:rPr>
                <w:sz w:val="22"/>
                <w:szCs w:val="22"/>
                <w:lang w:val="en-US"/>
              </w:rPr>
            </w:pPr>
            <w:r w:rsidRPr="0022619F">
              <w:rPr>
                <w:sz w:val="22"/>
                <w:szCs w:val="22"/>
                <w:lang w:val="en-US"/>
              </w:rPr>
              <w:t>Full text for SC46-23 not included due to length</w:t>
            </w:r>
            <w:r>
              <w:rPr>
                <w:sz w:val="22"/>
                <w:szCs w:val="22"/>
                <w:lang w:val="en-US"/>
              </w:rPr>
              <w:t>.</w:t>
            </w:r>
            <w:r w:rsidRPr="0022619F">
              <w:rPr>
                <w:sz w:val="22"/>
                <w:szCs w:val="22"/>
                <w:lang w:val="en-US"/>
              </w:rPr>
              <w:t xml:space="preserve"> </w:t>
            </w:r>
          </w:p>
        </w:tc>
      </w:tr>
      <w:tr w:rsidR="00F85FDD" w:rsidRPr="00217036" w14:paraId="1C3CF6D7" w14:textId="77777777" w:rsidTr="001C7493">
        <w:tc>
          <w:tcPr>
            <w:tcW w:w="2869" w:type="dxa"/>
          </w:tcPr>
          <w:p w14:paraId="2C038996" w14:textId="77777777" w:rsidR="00F85FDD" w:rsidRPr="00465E26" w:rsidRDefault="00F85FDD" w:rsidP="00A03E7B">
            <w:pPr>
              <w:rPr>
                <w:sz w:val="22"/>
                <w:szCs w:val="22"/>
                <w:lang w:val="en-US"/>
              </w:rPr>
            </w:pPr>
            <w:r w:rsidRPr="00465E26">
              <w:rPr>
                <w:sz w:val="22"/>
                <w:szCs w:val="22"/>
                <w:lang w:val="en-US"/>
              </w:rPr>
              <w:lastRenderedPageBreak/>
              <w:t>SC43-7, SC43-17, SC43-21, SC43-35</w:t>
            </w:r>
          </w:p>
        </w:tc>
        <w:tc>
          <w:tcPr>
            <w:tcW w:w="8647" w:type="dxa"/>
          </w:tcPr>
          <w:p w14:paraId="1EC21211" w14:textId="77777777" w:rsidR="00F85FDD" w:rsidRPr="00A902A5" w:rsidRDefault="00F85FDD" w:rsidP="00A03E7B">
            <w:pPr>
              <w:pStyle w:val="NormalWeb"/>
              <w:rPr>
                <w:rFonts w:asciiTheme="minorHAnsi" w:hAnsiTheme="minorHAnsi"/>
                <w:sz w:val="22"/>
                <w:szCs w:val="22"/>
                <w:lang w:val="en-US"/>
              </w:rPr>
            </w:pPr>
            <w:r w:rsidRPr="00A902A5">
              <w:rPr>
                <w:rFonts w:asciiTheme="minorHAnsi" w:hAnsiTheme="minorHAnsi"/>
                <w:sz w:val="22"/>
                <w:szCs w:val="22"/>
                <w:lang w:val="en-US"/>
              </w:rPr>
              <w:t xml:space="preserve">Decision SC43-7: The Standing Committee requested the CEPA Oversight Panel to draft an operative paragraph on identifying capacity building needs of Ramsar Regional Centre staff for inclusion in the COP11 Draft Resolution on “Regional Initiatives”. </w:t>
            </w:r>
          </w:p>
          <w:p w14:paraId="163BD019" w14:textId="77777777" w:rsidR="00F85FDD" w:rsidRPr="00A902A5" w:rsidRDefault="00F85FDD" w:rsidP="00A03E7B">
            <w:pPr>
              <w:pStyle w:val="NormalWeb"/>
              <w:rPr>
                <w:rFonts w:asciiTheme="minorHAnsi" w:hAnsiTheme="minorHAnsi"/>
                <w:sz w:val="22"/>
                <w:szCs w:val="22"/>
                <w:lang w:val="en-US"/>
              </w:rPr>
            </w:pPr>
            <w:r w:rsidRPr="00A902A5">
              <w:rPr>
                <w:rFonts w:asciiTheme="minorHAnsi" w:hAnsiTheme="minorHAnsi"/>
                <w:sz w:val="22"/>
                <w:szCs w:val="22"/>
                <w:lang w:val="en-US"/>
              </w:rPr>
              <w:t xml:space="preserve">Decision SC43-17: The Standing Committee recognized that financial challenges would likely continue in 2012 and approved the 2012 </w:t>
            </w:r>
            <w:proofErr w:type="spellStart"/>
            <w:r w:rsidRPr="00A902A5">
              <w:rPr>
                <w:rFonts w:asciiTheme="minorHAnsi" w:hAnsiTheme="minorHAnsi"/>
                <w:sz w:val="22"/>
                <w:szCs w:val="22"/>
                <w:lang w:val="en-US"/>
              </w:rPr>
              <w:t>rebudget</w:t>
            </w:r>
            <w:proofErr w:type="spellEnd"/>
            <w:r w:rsidRPr="00A902A5">
              <w:rPr>
                <w:rFonts w:asciiTheme="minorHAnsi" w:hAnsiTheme="minorHAnsi"/>
                <w:sz w:val="22"/>
                <w:szCs w:val="22"/>
                <w:lang w:val="en-US"/>
              </w:rPr>
              <w:t xml:space="preserve"> (annexed to this report) reflecting zero salary increases, an increase of the Reserve Fund of CHF 100,000, a carryover of CHF 121,000 from 2011 Regional Initiative allocations and further 2012 Regional Initiative allocations of CHF 73,000. The Standing Committee requested that efforts to secure alternative, non-Core sources of funding for Regional Initiatives should be stepped up both for 2012 and for 2013-2015. </w:t>
            </w:r>
          </w:p>
          <w:p w14:paraId="0FAB1239" w14:textId="77777777" w:rsidR="00F85FDD" w:rsidRPr="00A902A5" w:rsidRDefault="00F85FDD" w:rsidP="00A03E7B">
            <w:pPr>
              <w:pStyle w:val="NormalWeb"/>
              <w:rPr>
                <w:rFonts w:asciiTheme="minorHAnsi" w:hAnsiTheme="minorHAnsi"/>
                <w:sz w:val="22"/>
                <w:szCs w:val="22"/>
                <w:lang w:val="en-US"/>
              </w:rPr>
            </w:pPr>
            <w:r w:rsidRPr="00A902A5">
              <w:rPr>
                <w:rFonts w:asciiTheme="minorHAnsi" w:hAnsiTheme="minorHAnsi"/>
                <w:sz w:val="22"/>
                <w:szCs w:val="22"/>
                <w:lang w:val="en-US"/>
              </w:rPr>
              <w:t xml:space="preserve">Decision SC43-21: The Standing Committee noted that a number of items had been identified by the Secretariat and Contracting Parties as providing potential opportunities for cost savings in 2013-2015 budget scenarios, including Regional Initiatives, STRP Chair’s stipend, STRP core contribution to projects, CEPA/ communications activities, travel, and legal support, and requested the Secretariat to focus on these items in particular when developing its revised budget scenarios for Contracting Parties consideration. </w:t>
            </w:r>
          </w:p>
          <w:p w14:paraId="30E6BE98" w14:textId="77777777" w:rsidR="00F85FDD" w:rsidRPr="00F85FDD" w:rsidRDefault="00F85FDD" w:rsidP="00A03E7B">
            <w:pPr>
              <w:pStyle w:val="NormalWeb"/>
              <w:rPr>
                <w:rFonts w:asciiTheme="minorHAnsi" w:hAnsiTheme="minorHAnsi"/>
                <w:sz w:val="22"/>
                <w:szCs w:val="22"/>
                <w:lang w:val="en-US"/>
              </w:rPr>
            </w:pPr>
            <w:r w:rsidRPr="00A902A5">
              <w:rPr>
                <w:rFonts w:asciiTheme="minorHAnsi" w:hAnsiTheme="minorHAnsi"/>
                <w:sz w:val="22"/>
                <w:szCs w:val="22"/>
                <w:lang w:val="en-US"/>
              </w:rPr>
              <w:t xml:space="preserve">Decision SC43-35: The Standing Committee, recalling the Terms of Reference for the Partnership Coordinator (DOC. SC41-19 annex), requested the Secretary General and the Secretariat to undertake further work on and revise the Strategic Framework for Ramsar Partnerships as presented in DOC. </w:t>
            </w:r>
            <w:r w:rsidRPr="00F85FDD">
              <w:rPr>
                <w:rFonts w:asciiTheme="minorHAnsi" w:hAnsiTheme="minorHAnsi"/>
                <w:sz w:val="22"/>
                <w:szCs w:val="22"/>
                <w:lang w:val="en-US"/>
              </w:rPr>
              <w:t xml:space="preserve">SC43-09, particularly in order: </w:t>
            </w:r>
          </w:p>
          <w:p w14:paraId="1F2A954D" w14:textId="77777777" w:rsidR="00F85FDD" w:rsidRPr="00A902A5" w:rsidRDefault="00F85FDD" w:rsidP="00A03E7B">
            <w:pPr>
              <w:pStyle w:val="NormalWeb"/>
              <w:rPr>
                <w:rFonts w:asciiTheme="minorHAnsi" w:hAnsiTheme="minorHAnsi"/>
                <w:sz w:val="22"/>
                <w:szCs w:val="22"/>
                <w:lang w:val="en-US"/>
              </w:rPr>
            </w:pPr>
            <w:r w:rsidRPr="00A902A5">
              <w:rPr>
                <w:rFonts w:asciiTheme="minorHAnsi" w:hAnsiTheme="minorHAnsi"/>
                <w:sz w:val="22"/>
                <w:szCs w:val="22"/>
                <w:lang w:val="en-US"/>
              </w:rPr>
              <w:t>….</w:t>
            </w:r>
          </w:p>
          <w:p w14:paraId="3FAE7AC6" w14:textId="77777777" w:rsidR="00F85FDD" w:rsidRPr="00183216" w:rsidRDefault="00F85FDD" w:rsidP="00A03E7B">
            <w:pPr>
              <w:pStyle w:val="NormalWeb"/>
              <w:ind w:left="360"/>
              <w:rPr>
                <w:lang w:val="en-US"/>
              </w:rPr>
            </w:pPr>
            <w:r w:rsidRPr="00A902A5">
              <w:rPr>
                <w:rFonts w:asciiTheme="minorHAnsi" w:hAnsiTheme="minorHAnsi"/>
                <w:sz w:val="22"/>
                <w:szCs w:val="22"/>
                <w:lang w:val="en-US"/>
              </w:rPr>
              <w:t>b) in cooperation with the STRP, the IOPs, and Regional Initiatives, as well as National Focal Points, to identify potential global, regional, and national donors and to prepare tailor-made products and projects for them;</w:t>
            </w:r>
            <w:r w:rsidRPr="00A902A5">
              <w:rPr>
                <w:rFonts w:ascii="Garamond" w:hAnsi="Garamond"/>
                <w:lang w:val="en-US"/>
              </w:rPr>
              <w:t xml:space="preserve"> </w:t>
            </w:r>
          </w:p>
        </w:tc>
        <w:tc>
          <w:tcPr>
            <w:tcW w:w="2410" w:type="dxa"/>
          </w:tcPr>
          <w:p w14:paraId="23A8C291" w14:textId="77777777" w:rsidR="00F85FDD" w:rsidRDefault="00F85FDD" w:rsidP="00A03E7B">
            <w:pPr>
              <w:rPr>
                <w:b/>
                <w:sz w:val="22"/>
                <w:szCs w:val="22"/>
                <w:lang w:val="en-US"/>
              </w:rPr>
            </w:pPr>
          </w:p>
        </w:tc>
      </w:tr>
      <w:tr w:rsidR="00F85FDD" w:rsidRPr="00217036" w14:paraId="5C08BEC5" w14:textId="77777777" w:rsidTr="001C7493">
        <w:tc>
          <w:tcPr>
            <w:tcW w:w="2869" w:type="dxa"/>
          </w:tcPr>
          <w:p w14:paraId="69D6587D" w14:textId="77777777" w:rsidR="00F85FDD" w:rsidRPr="00465E26" w:rsidRDefault="00F85FDD" w:rsidP="00A03E7B">
            <w:pPr>
              <w:rPr>
                <w:sz w:val="22"/>
                <w:szCs w:val="22"/>
                <w:lang w:val="en-US"/>
              </w:rPr>
            </w:pPr>
            <w:r w:rsidRPr="00465E26">
              <w:rPr>
                <w:sz w:val="22"/>
                <w:szCs w:val="22"/>
                <w:lang w:val="en-US"/>
              </w:rPr>
              <w:t>SC42-15, SC42-20</w:t>
            </w:r>
          </w:p>
        </w:tc>
        <w:tc>
          <w:tcPr>
            <w:tcW w:w="8647" w:type="dxa"/>
          </w:tcPr>
          <w:p w14:paraId="5F0DB110" w14:textId="77777777" w:rsidR="00F85FDD" w:rsidRPr="004A2DFD" w:rsidRDefault="00F85FDD" w:rsidP="00A03E7B">
            <w:pPr>
              <w:pStyle w:val="NormalWeb"/>
              <w:rPr>
                <w:rFonts w:asciiTheme="minorHAnsi" w:hAnsiTheme="minorHAnsi"/>
                <w:sz w:val="22"/>
                <w:szCs w:val="22"/>
                <w:lang w:val="en-US"/>
              </w:rPr>
            </w:pPr>
            <w:r w:rsidRPr="00A03E7B">
              <w:rPr>
                <w:rFonts w:asciiTheme="minorHAnsi" w:hAnsiTheme="minorHAnsi"/>
                <w:bCs/>
                <w:sz w:val="22"/>
                <w:szCs w:val="22"/>
                <w:lang w:val="en-US"/>
              </w:rPr>
              <w:t>Decision SC42-15</w:t>
            </w:r>
            <w:r w:rsidRPr="00585813">
              <w:rPr>
                <w:rFonts w:asciiTheme="minorHAnsi" w:hAnsiTheme="minorHAnsi"/>
                <w:b/>
                <w:bCs/>
                <w:sz w:val="22"/>
                <w:szCs w:val="22"/>
                <w:lang w:val="en-US"/>
              </w:rPr>
              <w:t xml:space="preserve">: </w:t>
            </w:r>
            <w:r w:rsidRPr="00585813">
              <w:rPr>
                <w:rFonts w:asciiTheme="minorHAnsi" w:hAnsiTheme="minorHAnsi"/>
                <w:sz w:val="22"/>
                <w:szCs w:val="22"/>
                <w:lang w:val="en-US"/>
              </w:rPr>
              <w:t xml:space="preserve">The Standing Committee approved the 2011 budget with minor reallocations between core budget lines, as set out in DOC. SC42-07, and agreed to use any unallocated or unused 2011 Regional Initiatives allocations for pre-COP regional meetings or necessary 2011 legal costs; thanked all Parties that have made additional voluntary </w:t>
            </w:r>
            <w:r w:rsidRPr="00585813">
              <w:rPr>
                <w:rFonts w:asciiTheme="minorHAnsi" w:hAnsiTheme="minorHAnsi"/>
                <w:sz w:val="22"/>
                <w:szCs w:val="22"/>
                <w:lang w:val="en-US"/>
              </w:rPr>
              <w:lastRenderedPageBreak/>
              <w:t xml:space="preserve">contributions but expressed concern at the continuing decline in such voluntary contributions; and urged all SC members, Parties, and the Secretariat to redouble their efforts to find voluntary funding for important upcoming activities such as pre-COP11 regional meetings, COP11 sponsored delegates, Small Grants Fund, STRP, and Ramsar Advisory </w:t>
            </w:r>
            <w:r w:rsidRPr="004A2DFD">
              <w:rPr>
                <w:rFonts w:asciiTheme="minorHAnsi" w:hAnsiTheme="minorHAnsi"/>
                <w:sz w:val="22"/>
                <w:szCs w:val="22"/>
                <w:lang w:val="en-US"/>
              </w:rPr>
              <w:t xml:space="preserve">Missions. </w:t>
            </w:r>
          </w:p>
          <w:p w14:paraId="2B4EA41B" w14:textId="77777777" w:rsidR="00F85FDD" w:rsidRPr="008A1CB7" w:rsidRDefault="00F85FDD" w:rsidP="00A03E7B">
            <w:pPr>
              <w:rPr>
                <w:sz w:val="22"/>
                <w:szCs w:val="22"/>
                <w:lang w:val="en-US"/>
              </w:rPr>
            </w:pPr>
            <w:r w:rsidRPr="004A2DFD">
              <w:rPr>
                <w:sz w:val="22"/>
                <w:szCs w:val="22"/>
                <w:lang w:val="en-US"/>
              </w:rPr>
              <w:t>Decision SC42-20: The Standing Committee noted the progress of the Regional Initiatives that it endorsed at its 40</w:t>
            </w:r>
            <w:r w:rsidRPr="004A2DFD">
              <w:rPr>
                <w:sz w:val="22"/>
                <w:szCs w:val="22"/>
                <w:vertAlign w:val="superscript"/>
                <w:lang w:val="en-US"/>
              </w:rPr>
              <w:t>th</w:t>
            </w:r>
            <w:r w:rsidRPr="004A2DFD">
              <w:rPr>
                <w:sz w:val="22"/>
                <w:szCs w:val="22"/>
                <w:lang w:val="en-US"/>
              </w:rPr>
              <w:t xml:space="preserve"> and 41</w:t>
            </w:r>
            <w:r w:rsidRPr="004A2DFD">
              <w:rPr>
                <w:sz w:val="22"/>
                <w:szCs w:val="22"/>
                <w:vertAlign w:val="superscript"/>
                <w:lang w:val="en-US"/>
              </w:rPr>
              <w:t>st</w:t>
            </w:r>
            <w:r w:rsidRPr="004A2DFD">
              <w:rPr>
                <w:sz w:val="22"/>
                <w:szCs w:val="22"/>
                <w:lang w:val="en-US"/>
              </w:rPr>
              <w:t xml:space="preserve"> meetings as operating within the framework of the Convention for 2009-2012; determined to withdraw consideration from three inactive Initiatives (Pacific Islands, Himalayan, and Lake Chad Basin); approved the 2011 allocations to Regional Initiatives as summarized below; agreed to require 2011 reports and requests for 2012 to be submitted by 29 February and make the allocations for 2012 by electronic circulation no later than April 2012; and noted that the Secretariat will prepare a review for SC43 of the success of the Regional Initiative programme to serve as an Information Paper for COP11.</w:t>
            </w:r>
          </w:p>
        </w:tc>
        <w:tc>
          <w:tcPr>
            <w:tcW w:w="2410" w:type="dxa"/>
          </w:tcPr>
          <w:p w14:paraId="02FA6BDD" w14:textId="77777777" w:rsidR="00F85FDD" w:rsidRDefault="00F85FDD" w:rsidP="00A03E7B">
            <w:pPr>
              <w:rPr>
                <w:b/>
                <w:sz w:val="22"/>
                <w:szCs w:val="22"/>
                <w:lang w:val="en-US"/>
              </w:rPr>
            </w:pPr>
          </w:p>
        </w:tc>
      </w:tr>
      <w:tr w:rsidR="00F85FDD" w:rsidRPr="00217036" w14:paraId="58C86760" w14:textId="77777777" w:rsidTr="001C7493">
        <w:tc>
          <w:tcPr>
            <w:tcW w:w="2869" w:type="dxa"/>
          </w:tcPr>
          <w:p w14:paraId="568B8254" w14:textId="77777777" w:rsidR="00F85FDD" w:rsidRPr="00203410" w:rsidRDefault="00F85FDD" w:rsidP="00A03E7B">
            <w:pPr>
              <w:rPr>
                <w:sz w:val="22"/>
                <w:szCs w:val="22"/>
                <w:lang w:val="en-US"/>
              </w:rPr>
            </w:pPr>
            <w:r w:rsidRPr="00203410">
              <w:rPr>
                <w:sz w:val="22"/>
                <w:szCs w:val="22"/>
                <w:lang w:val="en-US"/>
              </w:rPr>
              <w:t>SC41-18, SC41-19, SC41-20, SC41-23</w:t>
            </w:r>
          </w:p>
        </w:tc>
        <w:tc>
          <w:tcPr>
            <w:tcW w:w="8647" w:type="dxa"/>
          </w:tcPr>
          <w:p w14:paraId="4113BD89" w14:textId="77777777" w:rsidR="00F85FDD" w:rsidRPr="00931A31" w:rsidRDefault="00F85FDD" w:rsidP="00A03E7B">
            <w:pPr>
              <w:pStyle w:val="NormalWeb"/>
              <w:rPr>
                <w:rFonts w:asciiTheme="minorHAnsi" w:hAnsiTheme="minorHAnsi"/>
                <w:sz w:val="22"/>
                <w:szCs w:val="22"/>
                <w:lang w:val="en-US"/>
              </w:rPr>
            </w:pPr>
            <w:r w:rsidRPr="00931A31">
              <w:rPr>
                <w:rFonts w:asciiTheme="minorHAnsi" w:hAnsiTheme="minorHAnsi"/>
                <w:bCs/>
                <w:sz w:val="22"/>
                <w:szCs w:val="22"/>
                <w:lang w:val="en-US"/>
              </w:rPr>
              <w:t>Decision SC41-18</w:t>
            </w:r>
            <w:r w:rsidRPr="00931A31">
              <w:rPr>
                <w:rFonts w:asciiTheme="minorHAnsi" w:hAnsiTheme="minorHAnsi"/>
                <w:sz w:val="22"/>
                <w:szCs w:val="22"/>
                <w:lang w:val="en-US"/>
              </w:rPr>
              <w:t xml:space="preserve">: The Standing Committee once again urged Parties and others to find ways to support the SGF and increase its capacity to fund more excellent projects. </w:t>
            </w:r>
          </w:p>
          <w:p w14:paraId="2D5B15A0" w14:textId="77777777" w:rsidR="00F85FDD" w:rsidRPr="00931A31" w:rsidRDefault="00F85FDD" w:rsidP="00A03E7B">
            <w:pPr>
              <w:pStyle w:val="NormalWeb"/>
              <w:rPr>
                <w:rFonts w:asciiTheme="minorHAnsi" w:hAnsiTheme="minorHAnsi"/>
                <w:sz w:val="22"/>
                <w:szCs w:val="22"/>
                <w:lang w:val="en-US"/>
              </w:rPr>
            </w:pPr>
            <w:r w:rsidRPr="00931A31">
              <w:rPr>
                <w:rFonts w:asciiTheme="minorHAnsi" w:hAnsiTheme="minorHAnsi"/>
                <w:bCs/>
                <w:sz w:val="22"/>
                <w:szCs w:val="22"/>
                <w:lang w:val="en-US"/>
              </w:rPr>
              <w:t>Decision SC41-19</w:t>
            </w:r>
            <w:r w:rsidRPr="00931A31">
              <w:rPr>
                <w:rFonts w:asciiTheme="minorHAnsi" w:hAnsiTheme="minorHAnsi"/>
                <w:b/>
                <w:bCs/>
                <w:sz w:val="22"/>
                <w:szCs w:val="22"/>
                <w:lang w:val="en-US"/>
              </w:rPr>
              <w:t xml:space="preserve">: </w:t>
            </w:r>
            <w:r w:rsidRPr="00931A31">
              <w:rPr>
                <w:rFonts w:asciiTheme="minorHAnsi" w:hAnsiTheme="minorHAnsi"/>
                <w:sz w:val="22"/>
                <w:szCs w:val="22"/>
                <w:lang w:val="en-US"/>
              </w:rPr>
              <w:t>The Standing Committee approved allocation of funds for Regional Initiatives for 2010 as follows (in CHF): …</w:t>
            </w:r>
          </w:p>
          <w:p w14:paraId="1A596156" w14:textId="77777777" w:rsidR="00F85FDD" w:rsidRPr="00931A31" w:rsidRDefault="00F85FDD" w:rsidP="00A03E7B">
            <w:pPr>
              <w:pStyle w:val="NormalWeb"/>
              <w:rPr>
                <w:rFonts w:asciiTheme="minorHAnsi" w:hAnsiTheme="minorHAnsi"/>
                <w:sz w:val="22"/>
                <w:szCs w:val="22"/>
                <w:lang w:val="en-US"/>
              </w:rPr>
            </w:pPr>
            <w:r w:rsidRPr="00931A31">
              <w:rPr>
                <w:rFonts w:asciiTheme="minorHAnsi" w:hAnsiTheme="minorHAnsi"/>
                <w:sz w:val="22"/>
                <w:szCs w:val="22"/>
                <w:lang w:val="en-US"/>
              </w:rPr>
              <w:t>Decision SC41-20: The Standing Committee approved the accrual of any unallocated funds for Regional Initiatives in 2010 for reallocation under the same budget line for 2011 at the 42</w:t>
            </w:r>
            <w:r w:rsidRPr="00931A31">
              <w:rPr>
                <w:rFonts w:asciiTheme="minorHAnsi" w:hAnsiTheme="minorHAnsi"/>
                <w:sz w:val="22"/>
                <w:szCs w:val="22"/>
                <w:vertAlign w:val="superscript"/>
                <w:lang w:val="en-US"/>
              </w:rPr>
              <w:t>nd</w:t>
            </w:r>
            <w:r w:rsidRPr="00931A31">
              <w:rPr>
                <w:rFonts w:asciiTheme="minorHAnsi" w:hAnsiTheme="minorHAnsi"/>
                <w:sz w:val="22"/>
                <w:szCs w:val="22"/>
                <w:lang w:val="en-US"/>
              </w:rPr>
              <w:t xml:space="preserve"> meeting of the SC.</w:t>
            </w:r>
          </w:p>
          <w:p w14:paraId="71F7DB48" w14:textId="77777777" w:rsidR="00F85FDD" w:rsidRPr="00931A31" w:rsidRDefault="00F85FDD" w:rsidP="00A03E7B">
            <w:pPr>
              <w:pStyle w:val="NormalWeb"/>
              <w:rPr>
                <w:lang w:val="en-US"/>
              </w:rPr>
            </w:pPr>
            <w:r w:rsidRPr="003516C6">
              <w:rPr>
                <w:rFonts w:asciiTheme="minorHAnsi" w:hAnsiTheme="minorHAnsi"/>
                <w:bCs/>
                <w:sz w:val="22"/>
                <w:szCs w:val="22"/>
                <w:lang w:val="en-US"/>
              </w:rPr>
              <w:t xml:space="preserve">Decision SC41-23: </w:t>
            </w:r>
            <w:r w:rsidRPr="003516C6">
              <w:rPr>
                <w:rFonts w:asciiTheme="minorHAnsi" w:hAnsiTheme="minorHAnsi"/>
                <w:sz w:val="22"/>
                <w:szCs w:val="22"/>
                <w:lang w:val="en-US"/>
              </w:rPr>
              <w:t>The Standing Committee noted the Secretariat’s report on Regional Initiatives, endorsed the three new Initiatives (Black Sea Coast, Caribbean, and American Mangroves) as operating under the framework of the Convention, adopted the combined format for reporting and forward planning, and welcomed the model contract for disbursing annual budget allocations to the Initiatives.</w:t>
            </w:r>
            <w:r w:rsidRPr="003516C6">
              <w:rPr>
                <w:rFonts w:ascii="Garamond" w:hAnsi="Garamond"/>
                <w:lang w:val="en-US"/>
              </w:rPr>
              <w:t xml:space="preserve"> </w:t>
            </w:r>
          </w:p>
        </w:tc>
        <w:tc>
          <w:tcPr>
            <w:tcW w:w="2410" w:type="dxa"/>
          </w:tcPr>
          <w:p w14:paraId="4CA45E74" w14:textId="77777777" w:rsidR="00F85FDD" w:rsidRDefault="00F85FDD" w:rsidP="00A03E7B">
            <w:pPr>
              <w:rPr>
                <w:b/>
                <w:sz w:val="22"/>
                <w:szCs w:val="22"/>
                <w:lang w:val="en-US"/>
              </w:rPr>
            </w:pPr>
          </w:p>
        </w:tc>
      </w:tr>
      <w:tr w:rsidR="00F85FDD" w:rsidRPr="003F6A46" w14:paraId="5D74DC2F" w14:textId="77777777" w:rsidTr="001C7493">
        <w:tc>
          <w:tcPr>
            <w:tcW w:w="2869" w:type="dxa"/>
          </w:tcPr>
          <w:p w14:paraId="1B32A28C" w14:textId="77777777" w:rsidR="00F85FDD" w:rsidRPr="0074539C" w:rsidRDefault="00F85FDD" w:rsidP="00A03E7B">
            <w:pPr>
              <w:rPr>
                <w:sz w:val="22"/>
                <w:szCs w:val="22"/>
                <w:lang w:val="en-US"/>
              </w:rPr>
            </w:pPr>
            <w:r w:rsidRPr="0074539C">
              <w:rPr>
                <w:sz w:val="22"/>
                <w:szCs w:val="22"/>
                <w:lang w:val="en-US"/>
              </w:rPr>
              <w:t>SC40-17</w:t>
            </w:r>
          </w:p>
        </w:tc>
        <w:tc>
          <w:tcPr>
            <w:tcW w:w="8647" w:type="dxa"/>
          </w:tcPr>
          <w:p w14:paraId="00929214" w14:textId="77777777" w:rsidR="00F85FDD" w:rsidRPr="00D016D0" w:rsidRDefault="00F85FDD" w:rsidP="00A03E7B">
            <w:pPr>
              <w:pStyle w:val="NormalWeb"/>
              <w:rPr>
                <w:rFonts w:asciiTheme="minorHAnsi" w:hAnsiTheme="minorHAnsi"/>
                <w:sz w:val="22"/>
                <w:szCs w:val="22"/>
                <w:lang w:val="en-GB"/>
              </w:rPr>
            </w:pPr>
            <w:r w:rsidRPr="004F4CC9">
              <w:rPr>
                <w:rFonts w:asciiTheme="minorHAnsi" w:hAnsiTheme="minorHAnsi"/>
                <w:bCs/>
                <w:sz w:val="22"/>
                <w:szCs w:val="22"/>
                <w:lang w:val="en-US"/>
              </w:rPr>
              <w:t xml:space="preserve">Decision SC40-17: </w:t>
            </w:r>
            <w:r w:rsidRPr="004F4CC9">
              <w:rPr>
                <w:rFonts w:asciiTheme="minorHAnsi" w:hAnsiTheme="minorHAnsi"/>
                <w:sz w:val="22"/>
                <w:szCs w:val="22"/>
                <w:lang w:val="en-US"/>
              </w:rPr>
              <w:t xml:space="preserve">The Standing Committee welcomed the model letter of support as found in Annex III of DOC. SC40-10, with the deletion of the last line of para. </w:t>
            </w:r>
            <w:r w:rsidRPr="00D016D0">
              <w:rPr>
                <w:rFonts w:asciiTheme="minorHAnsi" w:hAnsiTheme="minorHAnsi"/>
                <w:sz w:val="22"/>
                <w:szCs w:val="22"/>
                <w:lang w:val="en-GB"/>
              </w:rPr>
              <w:t xml:space="preserve">3 of the preamble. </w:t>
            </w:r>
          </w:p>
        </w:tc>
        <w:tc>
          <w:tcPr>
            <w:tcW w:w="2410" w:type="dxa"/>
          </w:tcPr>
          <w:p w14:paraId="11FACC1B" w14:textId="77777777" w:rsidR="00F85FDD" w:rsidRDefault="00F85FDD" w:rsidP="00A03E7B">
            <w:pPr>
              <w:rPr>
                <w:b/>
                <w:sz w:val="22"/>
                <w:szCs w:val="22"/>
                <w:lang w:val="en-US"/>
              </w:rPr>
            </w:pPr>
          </w:p>
        </w:tc>
      </w:tr>
      <w:tr w:rsidR="00F85FDD" w14:paraId="293EAEE8" w14:textId="77777777" w:rsidTr="001C7493">
        <w:tc>
          <w:tcPr>
            <w:tcW w:w="2869" w:type="dxa"/>
          </w:tcPr>
          <w:p w14:paraId="672FDB24" w14:textId="77777777" w:rsidR="00F85FDD" w:rsidRPr="0074539C" w:rsidRDefault="00F85FDD" w:rsidP="00A03E7B">
            <w:pPr>
              <w:rPr>
                <w:sz w:val="22"/>
                <w:szCs w:val="22"/>
                <w:lang w:val="en-US"/>
              </w:rPr>
            </w:pPr>
            <w:r w:rsidRPr="0074539C">
              <w:rPr>
                <w:sz w:val="22"/>
                <w:szCs w:val="22"/>
                <w:lang w:val="en-US"/>
              </w:rPr>
              <w:t>SC37-7</w:t>
            </w:r>
          </w:p>
        </w:tc>
        <w:tc>
          <w:tcPr>
            <w:tcW w:w="8647" w:type="dxa"/>
          </w:tcPr>
          <w:p w14:paraId="31F6D0FE" w14:textId="77777777" w:rsidR="00F85FDD" w:rsidRPr="004F4CC9" w:rsidRDefault="00F85FDD" w:rsidP="00A03E7B">
            <w:pPr>
              <w:pStyle w:val="NormalWeb"/>
              <w:rPr>
                <w:rFonts w:asciiTheme="minorHAnsi" w:hAnsiTheme="minorHAnsi"/>
                <w:sz w:val="22"/>
                <w:szCs w:val="22"/>
              </w:rPr>
            </w:pPr>
            <w:r w:rsidRPr="004F4CC9">
              <w:rPr>
                <w:rFonts w:asciiTheme="minorHAnsi" w:hAnsiTheme="minorHAnsi"/>
                <w:b/>
                <w:bCs/>
                <w:sz w:val="22"/>
                <w:szCs w:val="22"/>
                <w:lang w:val="en-US"/>
              </w:rPr>
              <w:t xml:space="preserve">Decision SC37-7: </w:t>
            </w:r>
            <w:r w:rsidRPr="004F4CC9">
              <w:rPr>
                <w:rFonts w:asciiTheme="minorHAnsi" w:hAnsiTheme="minorHAnsi"/>
                <w:sz w:val="22"/>
                <w:szCs w:val="22"/>
                <w:lang w:val="en-US"/>
              </w:rPr>
              <w:t xml:space="preserve">The Standing Committee approved for transmittal to the COP the draft Resolution on regional initiatives and its annex, as amended, and requested the Secretariat to </w:t>
            </w:r>
            <w:r w:rsidRPr="004F4CC9">
              <w:rPr>
                <w:rFonts w:asciiTheme="minorHAnsi" w:hAnsiTheme="minorHAnsi"/>
                <w:sz w:val="22"/>
                <w:szCs w:val="22"/>
                <w:lang w:val="en-US"/>
              </w:rPr>
              <w:lastRenderedPageBreak/>
              <w:t xml:space="preserve">prepare a new version of the explanatory background portions of DOC. </w:t>
            </w:r>
            <w:r w:rsidRPr="004F4CC9">
              <w:rPr>
                <w:rFonts w:asciiTheme="minorHAnsi" w:hAnsiTheme="minorHAnsi"/>
                <w:sz w:val="22"/>
                <w:szCs w:val="22"/>
              </w:rPr>
              <w:t xml:space="preserve">SC37-8 as an Information Paper for COP10. </w:t>
            </w:r>
          </w:p>
        </w:tc>
        <w:tc>
          <w:tcPr>
            <w:tcW w:w="2410" w:type="dxa"/>
          </w:tcPr>
          <w:p w14:paraId="64BC5CBD" w14:textId="77777777" w:rsidR="00F85FDD" w:rsidRDefault="00F85FDD" w:rsidP="00A03E7B">
            <w:pPr>
              <w:rPr>
                <w:b/>
                <w:sz w:val="22"/>
                <w:szCs w:val="22"/>
                <w:lang w:val="en-US"/>
              </w:rPr>
            </w:pPr>
          </w:p>
        </w:tc>
      </w:tr>
      <w:tr w:rsidR="00F85FDD" w:rsidRPr="00217036" w14:paraId="0E06D33B" w14:textId="77777777" w:rsidTr="001C7493">
        <w:tc>
          <w:tcPr>
            <w:tcW w:w="2869" w:type="dxa"/>
          </w:tcPr>
          <w:p w14:paraId="64C8B180" w14:textId="77777777" w:rsidR="00F85FDD" w:rsidRPr="0074539C" w:rsidRDefault="00F85FDD" w:rsidP="00A03E7B">
            <w:pPr>
              <w:rPr>
                <w:sz w:val="22"/>
                <w:szCs w:val="22"/>
                <w:lang w:val="en-US"/>
              </w:rPr>
            </w:pPr>
            <w:r w:rsidRPr="0074539C">
              <w:rPr>
                <w:sz w:val="22"/>
                <w:szCs w:val="22"/>
                <w:lang w:val="en-US"/>
              </w:rPr>
              <w:t>SC36-19, SC36-13</w:t>
            </w:r>
          </w:p>
          <w:p w14:paraId="024E76B0" w14:textId="77777777" w:rsidR="00F85FDD" w:rsidRDefault="00F85FDD" w:rsidP="00A03E7B">
            <w:pPr>
              <w:rPr>
                <w:b/>
                <w:sz w:val="22"/>
                <w:szCs w:val="22"/>
                <w:lang w:val="en-US"/>
              </w:rPr>
            </w:pPr>
          </w:p>
        </w:tc>
        <w:tc>
          <w:tcPr>
            <w:tcW w:w="8647" w:type="dxa"/>
          </w:tcPr>
          <w:p w14:paraId="172BE2BB" w14:textId="77777777" w:rsidR="00F85FDD" w:rsidRPr="004F4CC9" w:rsidRDefault="00F85FDD" w:rsidP="00A03E7B">
            <w:pPr>
              <w:pStyle w:val="NormalWeb"/>
              <w:rPr>
                <w:rFonts w:asciiTheme="minorHAnsi" w:hAnsiTheme="minorHAnsi"/>
                <w:sz w:val="22"/>
                <w:szCs w:val="22"/>
                <w:lang w:val="en-US"/>
              </w:rPr>
            </w:pPr>
            <w:r w:rsidRPr="004F4CC9">
              <w:rPr>
                <w:rFonts w:asciiTheme="minorHAnsi" w:hAnsiTheme="minorHAnsi"/>
                <w:b/>
                <w:bCs/>
                <w:sz w:val="22"/>
                <w:szCs w:val="22"/>
                <w:lang w:val="en-US"/>
              </w:rPr>
              <w:t xml:space="preserve">Decision SC36-13: </w:t>
            </w:r>
            <w:r w:rsidRPr="004F4CC9">
              <w:rPr>
                <w:rFonts w:asciiTheme="minorHAnsi" w:hAnsiTheme="minorHAnsi"/>
                <w:sz w:val="22"/>
                <w:szCs w:val="22"/>
                <w:lang w:val="en-US"/>
              </w:rPr>
              <w:t>The Standing Committee approved the following 2008 core budget allocations for regional initiatives: …</w:t>
            </w:r>
          </w:p>
          <w:p w14:paraId="09A5DA89" w14:textId="77777777" w:rsidR="00F85FDD" w:rsidRPr="004F4CC9" w:rsidRDefault="00F85FDD" w:rsidP="00A03E7B">
            <w:pPr>
              <w:pStyle w:val="NormalWeb"/>
              <w:rPr>
                <w:rFonts w:asciiTheme="minorHAnsi" w:hAnsiTheme="minorHAnsi"/>
                <w:sz w:val="22"/>
                <w:szCs w:val="22"/>
                <w:lang w:val="en-US"/>
              </w:rPr>
            </w:pPr>
            <w:r w:rsidRPr="004F4CC9">
              <w:rPr>
                <w:rFonts w:asciiTheme="minorHAnsi" w:hAnsiTheme="minorHAnsi"/>
                <w:b/>
                <w:bCs/>
                <w:sz w:val="22"/>
                <w:szCs w:val="22"/>
                <w:lang w:val="en-US"/>
              </w:rPr>
              <w:t xml:space="preserve">Decision SC36-19: </w:t>
            </w:r>
            <w:r w:rsidRPr="004F4CC9">
              <w:rPr>
                <w:rFonts w:asciiTheme="minorHAnsi" w:hAnsiTheme="minorHAnsi"/>
                <w:sz w:val="22"/>
                <w:szCs w:val="22"/>
                <w:lang w:val="en-US"/>
              </w:rPr>
              <w:t xml:space="preserve">The Standing Committee requested the Management Working Group, working with the Secretariat, to prepare a proposal on “umbrella” regional initiatives to be considered at SC37. </w:t>
            </w:r>
          </w:p>
        </w:tc>
        <w:tc>
          <w:tcPr>
            <w:tcW w:w="2410" w:type="dxa"/>
          </w:tcPr>
          <w:p w14:paraId="3ABD5F89" w14:textId="77777777" w:rsidR="00F85FDD" w:rsidRDefault="00F85FDD" w:rsidP="00A03E7B">
            <w:pPr>
              <w:rPr>
                <w:b/>
                <w:sz w:val="22"/>
                <w:szCs w:val="22"/>
                <w:lang w:val="en-US"/>
              </w:rPr>
            </w:pPr>
          </w:p>
        </w:tc>
      </w:tr>
      <w:tr w:rsidR="00F85FDD" w:rsidRPr="00217036" w14:paraId="2E7BF7A6" w14:textId="77777777" w:rsidTr="001C7493">
        <w:tc>
          <w:tcPr>
            <w:tcW w:w="2869" w:type="dxa"/>
          </w:tcPr>
          <w:p w14:paraId="36E22459" w14:textId="77777777" w:rsidR="00F85FDD" w:rsidRPr="0074539C" w:rsidRDefault="00F85FDD" w:rsidP="00A03E7B">
            <w:pPr>
              <w:rPr>
                <w:sz w:val="22"/>
                <w:szCs w:val="22"/>
                <w:lang w:val="en-US"/>
              </w:rPr>
            </w:pPr>
            <w:r w:rsidRPr="0074539C">
              <w:rPr>
                <w:sz w:val="22"/>
                <w:szCs w:val="22"/>
                <w:lang w:val="en-US"/>
              </w:rPr>
              <w:t>SC35-7</w:t>
            </w:r>
          </w:p>
          <w:p w14:paraId="1C9940BA" w14:textId="77777777" w:rsidR="00F85FDD" w:rsidRDefault="00F85FDD" w:rsidP="00A03E7B">
            <w:pPr>
              <w:rPr>
                <w:b/>
                <w:sz w:val="22"/>
                <w:szCs w:val="22"/>
                <w:lang w:val="en-US"/>
              </w:rPr>
            </w:pPr>
          </w:p>
        </w:tc>
        <w:tc>
          <w:tcPr>
            <w:tcW w:w="8647" w:type="dxa"/>
          </w:tcPr>
          <w:p w14:paraId="3E54E39B" w14:textId="77777777" w:rsidR="00F85FDD" w:rsidRPr="00FE5C01" w:rsidRDefault="00F85FDD" w:rsidP="00A03E7B">
            <w:pPr>
              <w:pStyle w:val="NormalWeb"/>
              <w:rPr>
                <w:rFonts w:asciiTheme="minorHAnsi" w:hAnsiTheme="minorHAnsi"/>
                <w:sz w:val="22"/>
                <w:szCs w:val="22"/>
                <w:lang w:val="en-US"/>
              </w:rPr>
            </w:pPr>
            <w:r w:rsidRPr="00FE5C01">
              <w:rPr>
                <w:rFonts w:asciiTheme="minorHAnsi" w:hAnsiTheme="minorHAnsi"/>
                <w:b/>
                <w:bCs/>
                <w:sz w:val="22"/>
                <w:szCs w:val="22"/>
                <w:lang w:val="en-US"/>
              </w:rPr>
              <w:t xml:space="preserve">Decision SC35-7: </w:t>
            </w:r>
            <w:r w:rsidRPr="00FE5C01">
              <w:rPr>
                <w:rFonts w:asciiTheme="minorHAnsi" w:hAnsiTheme="minorHAnsi"/>
                <w:sz w:val="22"/>
                <w:szCs w:val="22"/>
                <w:lang w:val="en-US"/>
              </w:rPr>
              <w:t xml:space="preserve">The Standing Committee decided that: </w:t>
            </w:r>
          </w:p>
          <w:p w14:paraId="59AC8873" w14:textId="77777777" w:rsidR="00F85FDD" w:rsidRPr="00FE5C01" w:rsidRDefault="00F85FDD" w:rsidP="00A03E7B">
            <w:pPr>
              <w:pStyle w:val="NormalWeb"/>
              <w:rPr>
                <w:rFonts w:asciiTheme="minorHAnsi" w:hAnsiTheme="minorHAnsi"/>
                <w:sz w:val="22"/>
                <w:szCs w:val="22"/>
                <w:lang w:val="en-US"/>
              </w:rPr>
            </w:pPr>
            <w:r w:rsidRPr="00FE5C01">
              <w:rPr>
                <w:rFonts w:asciiTheme="minorHAnsi" w:hAnsiTheme="minorHAnsi"/>
                <w:sz w:val="22"/>
                <w:szCs w:val="22"/>
                <w:lang w:val="en-US"/>
              </w:rPr>
              <w:t>i) Owing to a delay in initiation of implementation of the “</w:t>
            </w:r>
            <w:proofErr w:type="spellStart"/>
            <w:r w:rsidRPr="00FE5C01">
              <w:rPr>
                <w:rFonts w:asciiTheme="minorHAnsi" w:hAnsiTheme="minorHAnsi"/>
                <w:sz w:val="22"/>
                <w:szCs w:val="22"/>
                <w:lang w:val="en-US"/>
              </w:rPr>
              <w:t>WacoWet</w:t>
            </w:r>
            <w:proofErr w:type="spellEnd"/>
            <w:r w:rsidRPr="00FE5C01">
              <w:rPr>
                <w:rFonts w:asciiTheme="minorHAnsi" w:hAnsiTheme="minorHAnsi"/>
                <w:sz w:val="22"/>
                <w:szCs w:val="22"/>
                <w:lang w:val="en-US"/>
              </w:rPr>
              <w:t>” Initiative during 2006, the 2006 allocation to this initiative is carried over from the 2007 core budget to be available for allocation during 2007; ….</w:t>
            </w:r>
          </w:p>
        </w:tc>
        <w:tc>
          <w:tcPr>
            <w:tcW w:w="2410" w:type="dxa"/>
          </w:tcPr>
          <w:p w14:paraId="4AFB8722" w14:textId="77777777" w:rsidR="00F85FDD" w:rsidRDefault="00F85FDD" w:rsidP="00A03E7B">
            <w:pPr>
              <w:rPr>
                <w:b/>
                <w:sz w:val="22"/>
                <w:szCs w:val="22"/>
                <w:lang w:val="en-US"/>
              </w:rPr>
            </w:pPr>
            <w:r>
              <w:rPr>
                <w:sz w:val="22"/>
                <w:szCs w:val="22"/>
                <w:lang w:val="en-US"/>
              </w:rPr>
              <w:t>The remaining sub-clauses set out budget allocations.</w:t>
            </w:r>
          </w:p>
        </w:tc>
      </w:tr>
      <w:tr w:rsidR="00F85FDD" w:rsidRPr="00217036" w14:paraId="0ED4004B" w14:textId="77777777" w:rsidTr="001C7493">
        <w:tc>
          <w:tcPr>
            <w:tcW w:w="2869" w:type="dxa"/>
          </w:tcPr>
          <w:p w14:paraId="64D85C0A" w14:textId="77777777" w:rsidR="00F85FDD" w:rsidRPr="0074539C" w:rsidRDefault="00F85FDD" w:rsidP="00A03E7B">
            <w:pPr>
              <w:rPr>
                <w:sz w:val="22"/>
                <w:szCs w:val="22"/>
                <w:lang w:val="en-US"/>
              </w:rPr>
            </w:pPr>
            <w:r w:rsidRPr="0074539C">
              <w:rPr>
                <w:sz w:val="22"/>
                <w:szCs w:val="22"/>
                <w:lang w:val="en-US"/>
              </w:rPr>
              <w:t>SC34-21</w:t>
            </w:r>
          </w:p>
          <w:p w14:paraId="5B4FE970" w14:textId="77777777" w:rsidR="00F85FDD" w:rsidRDefault="00F85FDD" w:rsidP="00A03E7B">
            <w:pPr>
              <w:rPr>
                <w:b/>
                <w:sz w:val="22"/>
                <w:szCs w:val="22"/>
                <w:lang w:val="en-US"/>
              </w:rPr>
            </w:pPr>
          </w:p>
        </w:tc>
        <w:tc>
          <w:tcPr>
            <w:tcW w:w="8647" w:type="dxa"/>
          </w:tcPr>
          <w:p w14:paraId="23BB468E" w14:textId="77777777" w:rsidR="00F85FDD" w:rsidRPr="00D547CB" w:rsidRDefault="00F85FDD" w:rsidP="00D547CB">
            <w:pPr>
              <w:pStyle w:val="NormalWeb"/>
              <w:rPr>
                <w:rFonts w:asciiTheme="minorHAnsi" w:hAnsiTheme="minorHAnsi"/>
                <w:sz w:val="22"/>
                <w:szCs w:val="22"/>
                <w:lang w:val="en-US"/>
              </w:rPr>
            </w:pPr>
            <w:r w:rsidRPr="00276D12">
              <w:rPr>
                <w:rFonts w:asciiTheme="minorHAnsi" w:hAnsiTheme="minorHAnsi"/>
                <w:bCs/>
                <w:sz w:val="22"/>
                <w:szCs w:val="22"/>
                <w:lang w:val="en-US"/>
              </w:rPr>
              <w:t xml:space="preserve">Decision SC34-21: </w:t>
            </w:r>
            <w:r w:rsidRPr="00276D12">
              <w:rPr>
                <w:rFonts w:asciiTheme="minorHAnsi" w:hAnsiTheme="minorHAnsi"/>
                <w:sz w:val="22"/>
                <w:szCs w:val="22"/>
                <w:lang w:val="en-US"/>
              </w:rPr>
              <w:t>Having considered the matters raised in DOC. SC34-21 and DOC. SC34-21 Addendum, the St</w:t>
            </w:r>
            <w:r w:rsidR="00D547CB">
              <w:rPr>
                <w:rFonts w:asciiTheme="minorHAnsi" w:hAnsiTheme="minorHAnsi"/>
                <w:sz w:val="22"/>
                <w:szCs w:val="22"/>
                <w:lang w:val="en-US"/>
              </w:rPr>
              <w:t>anding Committee decided to: ….</w:t>
            </w:r>
          </w:p>
        </w:tc>
        <w:tc>
          <w:tcPr>
            <w:tcW w:w="2410" w:type="dxa"/>
          </w:tcPr>
          <w:p w14:paraId="628E7965" w14:textId="77777777" w:rsidR="00F85FDD" w:rsidRPr="00FE5C01" w:rsidRDefault="00F85FDD" w:rsidP="00A03E7B">
            <w:pPr>
              <w:rPr>
                <w:sz w:val="22"/>
                <w:szCs w:val="22"/>
                <w:lang w:val="en-US"/>
              </w:rPr>
            </w:pPr>
            <w:r>
              <w:rPr>
                <w:sz w:val="22"/>
                <w:szCs w:val="22"/>
                <w:lang w:val="en-US"/>
              </w:rPr>
              <w:t>The remaining sub-clauses set out budget allocations.</w:t>
            </w:r>
          </w:p>
        </w:tc>
      </w:tr>
      <w:tr w:rsidR="00F85FDD" w:rsidRPr="00217036" w14:paraId="02A0C044" w14:textId="77777777" w:rsidTr="001C7493">
        <w:tc>
          <w:tcPr>
            <w:tcW w:w="2869" w:type="dxa"/>
          </w:tcPr>
          <w:p w14:paraId="761C0699" w14:textId="77777777" w:rsidR="00F85FDD" w:rsidRPr="0074539C" w:rsidRDefault="00F85FDD" w:rsidP="00A03E7B">
            <w:pPr>
              <w:rPr>
                <w:sz w:val="22"/>
                <w:szCs w:val="22"/>
                <w:lang w:val="en-US"/>
              </w:rPr>
            </w:pPr>
            <w:r w:rsidRPr="0074539C">
              <w:rPr>
                <w:sz w:val="22"/>
                <w:szCs w:val="22"/>
                <w:lang w:val="en-US"/>
              </w:rPr>
              <w:t>SC31-24</w:t>
            </w:r>
          </w:p>
          <w:p w14:paraId="2C36151E" w14:textId="77777777" w:rsidR="00F85FDD" w:rsidRDefault="00F85FDD" w:rsidP="00A03E7B">
            <w:pPr>
              <w:rPr>
                <w:b/>
                <w:sz w:val="22"/>
                <w:szCs w:val="22"/>
                <w:lang w:val="en-US"/>
              </w:rPr>
            </w:pPr>
          </w:p>
        </w:tc>
        <w:tc>
          <w:tcPr>
            <w:tcW w:w="8647" w:type="dxa"/>
          </w:tcPr>
          <w:p w14:paraId="31D4EB5A" w14:textId="77777777" w:rsidR="00F85FDD" w:rsidRPr="00276D12" w:rsidRDefault="00F85FDD" w:rsidP="00A03E7B">
            <w:pPr>
              <w:pStyle w:val="NormalWeb"/>
              <w:rPr>
                <w:rFonts w:asciiTheme="minorHAnsi" w:hAnsiTheme="minorHAnsi"/>
                <w:sz w:val="22"/>
                <w:szCs w:val="22"/>
                <w:lang w:val="en-US"/>
              </w:rPr>
            </w:pPr>
            <w:r w:rsidRPr="00276D12">
              <w:rPr>
                <w:rFonts w:asciiTheme="minorHAnsi" w:hAnsiTheme="minorHAnsi"/>
                <w:bCs/>
                <w:sz w:val="22"/>
                <w:szCs w:val="22"/>
                <w:lang w:val="en-US"/>
              </w:rPr>
              <w:t xml:space="preserve">Decision SC31-24: The Standing Committee instructed that DR8 on regional initiatives be finalized in light of the Subgroup on Finance’s recommendations for funding and endorsement, and circulated to the SC participants for comment before transmittal to the COP for its consideration. </w:t>
            </w:r>
          </w:p>
        </w:tc>
        <w:tc>
          <w:tcPr>
            <w:tcW w:w="2410" w:type="dxa"/>
          </w:tcPr>
          <w:p w14:paraId="5055B229" w14:textId="77777777" w:rsidR="00F85FDD" w:rsidRDefault="00F85FDD" w:rsidP="00A03E7B">
            <w:pPr>
              <w:rPr>
                <w:b/>
                <w:sz w:val="22"/>
                <w:szCs w:val="22"/>
                <w:lang w:val="en-US"/>
              </w:rPr>
            </w:pPr>
          </w:p>
        </w:tc>
      </w:tr>
      <w:tr w:rsidR="00F85FDD" w:rsidRPr="00217036" w14:paraId="3FA9481C" w14:textId="77777777" w:rsidTr="001C7493">
        <w:tc>
          <w:tcPr>
            <w:tcW w:w="2869" w:type="dxa"/>
          </w:tcPr>
          <w:p w14:paraId="6BFC9D5C" w14:textId="77777777" w:rsidR="00F85FDD" w:rsidRPr="0074539C" w:rsidRDefault="00F85FDD" w:rsidP="00A03E7B">
            <w:pPr>
              <w:rPr>
                <w:sz w:val="22"/>
                <w:szCs w:val="22"/>
                <w:lang w:val="en-US"/>
              </w:rPr>
            </w:pPr>
            <w:r w:rsidRPr="0074539C">
              <w:rPr>
                <w:sz w:val="22"/>
                <w:szCs w:val="22"/>
                <w:lang w:val="en-US"/>
              </w:rPr>
              <w:t>SC30-18</w:t>
            </w:r>
          </w:p>
          <w:p w14:paraId="552DB627" w14:textId="77777777" w:rsidR="00F85FDD" w:rsidRDefault="00F85FDD" w:rsidP="00A03E7B">
            <w:pPr>
              <w:rPr>
                <w:b/>
                <w:sz w:val="22"/>
                <w:szCs w:val="22"/>
                <w:lang w:val="en-US"/>
              </w:rPr>
            </w:pPr>
          </w:p>
        </w:tc>
        <w:tc>
          <w:tcPr>
            <w:tcW w:w="8647" w:type="dxa"/>
          </w:tcPr>
          <w:p w14:paraId="55B1DDF1" w14:textId="77777777" w:rsidR="00F85FDD" w:rsidRPr="00830D5C" w:rsidRDefault="00F85FDD" w:rsidP="00A03E7B">
            <w:pPr>
              <w:pStyle w:val="NormalWeb"/>
              <w:rPr>
                <w:rFonts w:asciiTheme="minorHAnsi" w:hAnsiTheme="minorHAnsi"/>
                <w:lang w:val="en-US"/>
              </w:rPr>
            </w:pPr>
            <w:r w:rsidRPr="00830D5C">
              <w:rPr>
                <w:rFonts w:asciiTheme="minorHAnsi" w:hAnsiTheme="minorHAnsi"/>
                <w:bCs/>
                <w:sz w:val="22"/>
                <w:szCs w:val="22"/>
                <w:lang w:val="en-US"/>
              </w:rPr>
              <w:t xml:space="preserve">Decision SC30-18: The Standing Committee welcomed the new developments in bringing the ‘Regional Ramsar Centre for Training and Research on Wetlands in the Western Hemisphere’ to life and expressed gratitude for the gestures of support from the USA, Spain and others for its continuing work. The Committee acknowledged with thanks the great efforts that Panama has made to achieve these results. </w:t>
            </w:r>
          </w:p>
        </w:tc>
        <w:tc>
          <w:tcPr>
            <w:tcW w:w="2410" w:type="dxa"/>
          </w:tcPr>
          <w:p w14:paraId="239C5659" w14:textId="77777777" w:rsidR="00F85FDD" w:rsidRDefault="00F85FDD" w:rsidP="00A03E7B">
            <w:pPr>
              <w:rPr>
                <w:b/>
                <w:sz w:val="22"/>
                <w:szCs w:val="22"/>
                <w:lang w:val="en-US"/>
              </w:rPr>
            </w:pPr>
          </w:p>
        </w:tc>
      </w:tr>
      <w:tr w:rsidR="00F85FDD" w:rsidRPr="00217036" w14:paraId="194F952C" w14:textId="77777777" w:rsidTr="001C7493">
        <w:tc>
          <w:tcPr>
            <w:tcW w:w="2869" w:type="dxa"/>
          </w:tcPr>
          <w:p w14:paraId="5C40215A" w14:textId="77777777" w:rsidR="00F85FDD" w:rsidRPr="0074539C" w:rsidRDefault="00F85FDD" w:rsidP="00A03E7B">
            <w:pPr>
              <w:rPr>
                <w:sz w:val="22"/>
                <w:szCs w:val="22"/>
                <w:lang w:val="en-US"/>
              </w:rPr>
            </w:pPr>
            <w:r w:rsidRPr="0074539C">
              <w:rPr>
                <w:sz w:val="22"/>
                <w:szCs w:val="22"/>
                <w:lang w:val="en-US"/>
              </w:rPr>
              <w:t>SC29-4</w:t>
            </w:r>
          </w:p>
        </w:tc>
        <w:tc>
          <w:tcPr>
            <w:tcW w:w="8647" w:type="dxa"/>
          </w:tcPr>
          <w:p w14:paraId="234C68F7" w14:textId="77777777" w:rsidR="00F85FDD" w:rsidRPr="00292D7B" w:rsidRDefault="00F85FDD" w:rsidP="00A03E7B">
            <w:pPr>
              <w:pStyle w:val="NormalWeb"/>
              <w:rPr>
                <w:rFonts w:asciiTheme="minorHAnsi" w:hAnsiTheme="minorHAnsi"/>
                <w:sz w:val="22"/>
                <w:szCs w:val="22"/>
                <w:lang w:val="en-US"/>
              </w:rPr>
            </w:pPr>
            <w:r w:rsidRPr="00292D7B">
              <w:rPr>
                <w:rFonts w:asciiTheme="minorHAnsi" w:hAnsiTheme="minorHAnsi"/>
                <w:bCs/>
                <w:sz w:val="22"/>
                <w:szCs w:val="22"/>
                <w:lang w:val="en-US"/>
              </w:rPr>
              <w:t xml:space="preserve">Decision SC29-4: The Standing Committee endorsed Revision 2 of the proposed agreement between Panama and the Ramsar Bureau on the establishment of a Regional Ramsar Centre for Training and Research on Wetlands in the Western Hemisphere, to be based in Panama. </w:t>
            </w:r>
          </w:p>
        </w:tc>
        <w:tc>
          <w:tcPr>
            <w:tcW w:w="2410" w:type="dxa"/>
          </w:tcPr>
          <w:p w14:paraId="45639B74" w14:textId="77777777" w:rsidR="00F85FDD" w:rsidRDefault="00F85FDD" w:rsidP="00A03E7B">
            <w:pPr>
              <w:rPr>
                <w:b/>
                <w:sz w:val="22"/>
                <w:szCs w:val="22"/>
                <w:lang w:val="en-US"/>
              </w:rPr>
            </w:pPr>
          </w:p>
        </w:tc>
      </w:tr>
    </w:tbl>
    <w:p w14:paraId="1D1A7F45" w14:textId="77777777" w:rsidR="00D547CB" w:rsidRDefault="00D547CB">
      <w:pPr>
        <w:rPr>
          <w:sz w:val="22"/>
          <w:szCs w:val="22"/>
          <w:lang w:val="en-US"/>
        </w:rPr>
      </w:pPr>
      <w:r>
        <w:rPr>
          <w:sz w:val="22"/>
          <w:szCs w:val="22"/>
          <w:lang w:val="en-US"/>
        </w:rPr>
        <w:br w:type="page"/>
      </w:r>
    </w:p>
    <w:p w14:paraId="1C913C15" w14:textId="77777777" w:rsidR="00D93227" w:rsidRPr="003B12BC" w:rsidRDefault="003B12BC" w:rsidP="00D93227">
      <w:pPr>
        <w:ind w:left="360"/>
        <w:jc w:val="center"/>
        <w:rPr>
          <w:b/>
          <w:color w:val="4472C4" w:themeColor="accent1"/>
          <w:sz w:val="22"/>
          <w:szCs w:val="22"/>
          <w:lang w:val="en-US"/>
        </w:rPr>
      </w:pPr>
      <w:r w:rsidRPr="003B12BC">
        <w:rPr>
          <w:b/>
          <w:color w:val="4472C4" w:themeColor="accent1"/>
          <w:sz w:val="22"/>
          <w:szCs w:val="22"/>
          <w:lang w:val="en-US"/>
        </w:rPr>
        <w:lastRenderedPageBreak/>
        <w:t xml:space="preserve">Annex 4: Paragraphs from Resolutions and Recommendations directly concerning RRIs that are not inconsistent with XIII.9 </w:t>
      </w:r>
    </w:p>
    <w:p w14:paraId="0ABAA615" w14:textId="77777777" w:rsidR="00D93227" w:rsidRDefault="00D93227" w:rsidP="002835D9">
      <w:pPr>
        <w:ind w:left="360"/>
        <w:rPr>
          <w:b/>
          <w:sz w:val="22"/>
          <w:szCs w:val="22"/>
          <w:lang w:val="en-US"/>
        </w:rPr>
      </w:pPr>
    </w:p>
    <w:p w14:paraId="35822CCD" w14:textId="77777777" w:rsidR="00D93227" w:rsidRPr="00FD600C" w:rsidRDefault="00D93227" w:rsidP="00D93227">
      <w:pPr>
        <w:rPr>
          <w:sz w:val="22"/>
          <w:szCs w:val="22"/>
          <w:lang w:val="en-US"/>
        </w:rPr>
      </w:pPr>
    </w:p>
    <w:tbl>
      <w:tblPr>
        <w:tblStyle w:val="TableGrid"/>
        <w:tblW w:w="13881" w:type="dxa"/>
        <w:tblLook w:val="04A0" w:firstRow="1" w:lastRow="0" w:firstColumn="1" w:lastColumn="0" w:noHBand="0" w:noVBand="1"/>
      </w:tblPr>
      <w:tblGrid>
        <w:gridCol w:w="6832"/>
        <w:gridCol w:w="1668"/>
        <w:gridCol w:w="5381"/>
      </w:tblGrid>
      <w:tr w:rsidR="00D93227" w:rsidRPr="00217036" w14:paraId="1DF208C9" w14:textId="77777777" w:rsidTr="00D547CB">
        <w:tc>
          <w:tcPr>
            <w:tcW w:w="6832" w:type="dxa"/>
          </w:tcPr>
          <w:p w14:paraId="5DFD7EA6" w14:textId="77777777" w:rsidR="00D93227" w:rsidRPr="00FD600C" w:rsidRDefault="00D93227" w:rsidP="00A03E7B">
            <w:pPr>
              <w:rPr>
                <w:b/>
                <w:sz w:val="22"/>
                <w:szCs w:val="22"/>
                <w:lang w:val="en-US"/>
              </w:rPr>
            </w:pPr>
            <w:r w:rsidRPr="00FD600C">
              <w:rPr>
                <w:b/>
                <w:sz w:val="22"/>
                <w:szCs w:val="22"/>
                <w:lang w:val="en-US"/>
              </w:rPr>
              <w:t xml:space="preserve">Preamble </w:t>
            </w:r>
          </w:p>
        </w:tc>
        <w:tc>
          <w:tcPr>
            <w:tcW w:w="1668" w:type="dxa"/>
          </w:tcPr>
          <w:p w14:paraId="60F09FC3" w14:textId="77777777" w:rsidR="00D93227" w:rsidRPr="00FD600C" w:rsidRDefault="00D93227" w:rsidP="00A03E7B">
            <w:pPr>
              <w:rPr>
                <w:b/>
                <w:sz w:val="22"/>
                <w:szCs w:val="22"/>
                <w:lang w:val="en-US"/>
              </w:rPr>
            </w:pPr>
            <w:r w:rsidRPr="00FD600C">
              <w:rPr>
                <w:b/>
                <w:sz w:val="22"/>
                <w:szCs w:val="22"/>
                <w:lang w:val="en-US"/>
              </w:rPr>
              <w:t xml:space="preserve">Resolution </w:t>
            </w:r>
          </w:p>
        </w:tc>
        <w:tc>
          <w:tcPr>
            <w:tcW w:w="5381" w:type="dxa"/>
          </w:tcPr>
          <w:p w14:paraId="0A2DE68B" w14:textId="77777777" w:rsidR="00D93227" w:rsidRPr="00FD600C" w:rsidRDefault="00D93227" w:rsidP="00A03E7B">
            <w:pPr>
              <w:rPr>
                <w:b/>
                <w:sz w:val="22"/>
                <w:szCs w:val="22"/>
                <w:lang w:val="en-US"/>
              </w:rPr>
            </w:pPr>
            <w:r w:rsidRPr="00FD600C">
              <w:rPr>
                <w:b/>
                <w:sz w:val="22"/>
                <w:szCs w:val="22"/>
                <w:lang w:val="en-US"/>
              </w:rPr>
              <w:t xml:space="preserve">Equivalent in XIII.9 </w:t>
            </w:r>
            <w:r>
              <w:rPr>
                <w:b/>
                <w:sz w:val="22"/>
                <w:szCs w:val="22"/>
                <w:lang w:val="en-US"/>
              </w:rPr>
              <w:t>(where relevant)</w:t>
            </w:r>
          </w:p>
        </w:tc>
      </w:tr>
      <w:tr w:rsidR="00D93227" w:rsidRPr="00FD600C" w14:paraId="7EDB5D09" w14:textId="77777777" w:rsidTr="00D547CB">
        <w:tc>
          <w:tcPr>
            <w:tcW w:w="6832" w:type="dxa"/>
          </w:tcPr>
          <w:p w14:paraId="6947D9E3" w14:textId="77777777" w:rsidR="00D93227" w:rsidRPr="00FD600C" w:rsidRDefault="00D93227" w:rsidP="00A03E7B">
            <w:pPr>
              <w:pStyle w:val="BodyText"/>
              <w:ind w:left="0" w:right="-42" w:firstLine="0"/>
              <w:rPr>
                <w:rFonts w:asciiTheme="minorHAnsi" w:hAnsiTheme="minorHAnsi"/>
              </w:rPr>
            </w:pPr>
          </w:p>
        </w:tc>
        <w:tc>
          <w:tcPr>
            <w:tcW w:w="1668" w:type="dxa"/>
          </w:tcPr>
          <w:p w14:paraId="047ED5A0" w14:textId="39103C93" w:rsidR="00D93227" w:rsidRPr="0097736E" w:rsidRDefault="00D93227" w:rsidP="00400CEA">
            <w:pPr>
              <w:rPr>
                <w:b/>
                <w:sz w:val="22"/>
                <w:szCs w:val="22"/>
                <w:lang w:val="en-US"/>
              </w:rPr>
            </w:pPr>
            <w:r>
              <w:rPr>
                <w:b/>
                <w:sz w:val="22"/>
                <w:szCs w:val="22"/>
                <w:lang w:val="en-US"/>
              </w:rPr>
              <w:t>XII.</w:t>
            </w:r>
            <w:r w:rsidR="00400CEA">
              <w:rPr>
                <w:b/>
                <w:sz w:val="22"/>
                <w:szCs w:val="22"/>
                <w:lang w:val="en-US"/>
              </w:rPr>
              <w:t>8</w:t>
            </w:r>
          </w:p>
        </w:tc>
        <w:tc>
          <w:tcPr>
            <w:tcW w:w="5381" w:type="dxa"/>
          </w:tcPr>
          <w:p w14:paraId="10D60DC8" w14:textId="77777777" w:rsidR="00D93227" w:rsidRPr="00FD600C" w:rsidRDefault="00D93227" w:rsidP="00A03E7B">
            <w:pPr>
              <w:rPr>
                <w:sz w:val="22"/>
                <w:szCs w:val="22"/>
                <w:lang w:val="en-US"/>
              </w:rPr>
            </w:pPr>
          </w:p>
        </w:tc>
      </w:tr>
      <w:tr w:rsidR="00D93227" w:rsidRPr="00217036" w14:paraId="6D148563" w14:textId="77777777" w:rsidTr="00D547CB">
        <w:tc>
          <w:tcPr>
            <w:tcW w:w="6832" w:type="dxa"/>
          </w:tcPr>
          <w:p w14:paraId="408D28FE" w14:textId="77777777" w:rsidR="00D93227" w:rsidRPr="00D547CB" w:rsidRDefault="00D93227" w:rsidP="00D547CB">
            <w:pPr>
              <w:pStyle w:val="BodyText"/>
              <w:ind w:left="0" w:right="-42" w:firstLine="0"/>
              <w:rPr>
                <w:rFonts w:asciiTheme="minorHAnsi" w:hAnsiTheme="minorHAnsi"/>
              </w:rPr>
            </w:pPr>
            <w:r w:rsidRPr="00FD600C">
              <w:rPr>
                <w:rFonts w:asciiTheme="minorHAnsi" w:hAnsiTheme="minorHAnsi"/>
              </w:rPr>
              <w:t xml:space="preserve">RECALLING that regional initiatives under the Ramsar Convention, which include </w:t>
            </w:r>
            <w:proofErr w:type="spellStart"/>
            <w:r w:rsidRPr="00FD600C">
              <w:rPr>
                <w:rFonts w:asciiTheme="minorHAnsi" w:hAnsiTheme="minorHAnsi"/>
              </w:rPr>
              <w:t>centres</w:t>
            </w:r>
            <w:proofErr w:type="spellEnd"/>
            <w:r w:rsidRPr="00FD600C">
              <w:rPr>
                <w:rFonts w:asciiTheme="minorHAnsi" w:hAnsiTheme="minorHAnsi"/>
              </w:rPr>
              <w:t xml:space="preserve"> for training and capacity building and networks which facilitate cooperation, are intended as operational means to provide effective support for an improved implementation of the Convention and its Strategic Plan in specific geographic regions, through international cooperation on wetland-re</w:t>
            </w:r>
            <w:r w:rsidR="00D547CB">
              <w:rPr>
                <w:rFonts w:asciiTheme="minorHAnsi" w:hAnsiTheme="minorHAnsi"/>
              </w:rPr>
              <w:t>lated issues of common concern;</w:t>
            </w:r>
          </w:p>
        </w:tc>
        <w:tc>
          <w:tcPr>
            <w:tcW w:w="1668" w:type="dxa"/>
          </w:tcPr>
          <w:p w14:paraId="026A6288" w14:textId="77777777" w:rsidR="00D93227" w:rsidRPr="00FD600C" w:rsidRDefault="00D93227" w:rsidP="00A03E7B">
            <w:pPr>
              <w:rPr>
                <w:sz w:val="22"/>
                <w:szCs w:val="22"/>
                <w:lang w:val="en-US"/>
              </w:rPr>
            </w:pPr>
            <w:r w:rsidRPr="00FD600C">
              <w:rPr>
                <w:sz w:val="22"/>
                <w:szCs w:val="22"/>
                <w:lang w:val="en-US"/>
              </w:rPr>
              <w:t>1</w:t>
            </w:r>
          </w:p>
        </w:tc>
        <w:tc>
          <w:tcPr>
            <w:tcW w:w="5381" w:type="dxa"/>
          </w:tcPr>
          <w:p w14:paraId="4652AF1B" w14:textId="77777777" w:rsidR="00D93227" w:rsidRPr="00FD600C" w:rsidRDefault="00D93227" w:rsidP="00A03E7B">
            <w:pPr>
              <w:rPr>
                <w:sz w:val="22"/>
                <w:szCs w:val="22"/>
                <w:lang w:val="en-US"/>
              </w:rPr>
            </w:pPr>
            <w:r w:rsidRPr="00FD600C">
              <w:rPr>
                <w:sz w:val="22"/>
                <w:szCs w:val="22"/>
                <w:lang w:val="en-US"/>
              </w:rPr>
              <w:t>Para</w:t>
            </w:r>
            <w:r>
              <w:rPr>
                <w:sz w:val="22"/>
                <w:szCs w:val="22"/>
                <w:lang w:val="en-US"/>
              </w:rPr>
              <w:t xml:space="preserve"> 1 (note does not include reference to Strategic Plan) </w:t>
            </w:r>
          </w:p>
        </w:tc>
      </w:tr>
      <w:tr w:rsidR="00D93227" w:rsidRPr="00217036" w14:paraId="2BEF3518" w14:textId="77777777" w:rsidTr="00D547CB">
        <w:tc>
          <w:tcPr>
            <w:tcW w:w="6832" w:type="dxa"/>
          </w:tcPr>
          <w:p w14:paraId="474E0AFE" w14:textId="77777777" w:rsidR="00D93227" w:rsidRPr="00BB75F2" w:rsidRDefault="00D93227" w:rsidP="00A03E7B">
            <w:pPr>
              <w:widowControl w:val="0"/>
              <w:ind w:right="-42"/>
              <w:rPr>
                <w:rFonts w:eastAsia="Calibri" w:cs="Calibri"/>
                <w:sz w:val="22"/>
                <w:szCs w:val="22"/>
                <w:lang w:val="en-US"/>
              </w:rPr>
            </w:pPr>
            <w:r w:rsidRPr="000D2FEB">
              <w:rPr>
                <w:sz w:val="22"/>
                <w:szCs w:val="22"/>
                <w:lang w:val="en-US"/>
              </w:rPr>
              <w:t xml:space="preserve">NOTING that the </w:t>
            </w:r>
            <w:r w:rsidRPr="000D2FEB">
              <w:rPr>
                <w:i/>
                <w:sz w:val="22"/>
                <w:szCs w:val="22"/>
                <w:lang w:val="en-US"/>
              </w:rPr>
              <w:t xml:space="preserve">Guidelines for international cooperation under the Ramsar Convention </w:t>
            </w:r>
            <w:r w:rsidRPr="000D2FEB">
              <w:rPr>
                <w:sz w:val="22"/>
                <w:szCs w:val="22"/>
                <w:lang w:val="en-US"/>
              </w:rPr>
              <w:t>(Resolution VII.19, 1999) provide a framework for promoting international collaboration between Contracting Parties and other partners;</w:t>
            </w:r>
          </w:p>
        </w:tc>
        <w:tc>
          <w:tcPr>
            <w:tcW w:w="1668" w:type="dxa"/>
          </w:tcPr>
          <w:p w14:paraId="18089EFF" w14:textId="77777777" w:rsidR="00D93227" w:rsidRPr="00FD600C" w:rsidRDefault="00D93227" w:rsidP="00A03E7B">
            <w:pPr>
              <w:rPr>
                <w:sz w:val="22"/>
                <w:szCs w:val="22"/>
                <w:lang w:val="en-US"/>
              </w:rPr>
            </w:pPr>
            <w:r>
              <w:rPr>
                <w:sz w:val="22"/>
                <w:szCs w:val="22"/>
                <w:lang w:val="en-US"/>
              </w:rPr>
              <w:t>2</w:t>
            </w:r>
          </w:p>
        </w:tc>
        <w:tc>
          <w:tcPr>
            <w:tcW w:w="5381" w:type="dxa"/>
          </w:tcPr>
          <w:p w14:paraId="1DC8659F" w14:textId="77777777" w:rsidR="00D93227" w:rsidRPr="00FD600C" w:rsidRDefault="00D93227" w:rsidP="00A03E7B">
            <w:pPr>
              <w:rPr>
                <w:sz w:val="22"/>
                <w:szCs w:val="22"/>
                <w:lang w:val="en-US"/>
              </w:rPr>
            </w:pPr>
            <w:r>
              <w:rPr>
                <w:sz w:val="22"/>
                <w:szCs w:val="22"/>
                <w:lang w:val="en-US"/>
              </w:rPr>
              <w:t xml:space="preserve">N/A (no equivalent in XIII.9, but not inconsistent per se). </w:t>
            </w:r>
          </w:p>
        </w:tc>
      </w:tr>
      <w:tr w:rsidR="00D93227" w:rsidRPr="00217036" w14:paraId="05FE6E02" w14:textId="77777777" w:rsidTr="00D547CB">
        <w:tc>
          <w:tcPr>
            <w:tcW w:w="6832" w:type="dxa"/>
          </w:tcPr>
          <w:p w14:paraId="12D49344" w14:textId="77777777" w:rsidR="00D93227" w:rsidRPr="00D547CB" w:rsidRDefault="00D93227" w:rsidP="00D547CB">
            <w:pPr>
              <w:pStyle w:val="BodyText"/>
              <w:ind w:left="0" w:right="-42" w:firstLine="0"/>
              <w:rPr>
                <w:rFonts w:asciiTheme="minorHAnsi" w:hAnsiTheme="minorHAnsi"/>
              </w:rPr>
            </w:pPr>
            <w:r w:rsidRPr="000D2FEB">
              <w:rPr>
                <w:rFonts w:asciiTheme="minorHAnsi" w:hAnsiTheme="minorHAnsi"/>
              </w:rPr>
              <w:t>ALSO RECALLING that the Contracting Parties recognized the importance of regional initiatives in promoting the objectives of the Convention in Resolution VIII.30 (2002), and subsequently through Resolutions IX.7 (2005), X.6 (2008) and XI.5 (2012), and endorsed a number of regional initiatives as operating within the framework o</w:t>
            </w:r>
            <w:r w:rsidR="00D547CB">
              <w:rPr>
                <w:rFonts w:asciiTheme="minorHAnsi" w:hAnsiTheme="minorHAnsi"/>
              </w:rPr>
              <w:t>f the Convention in 2013- 2015;</w:t>
            </w:r>
          </w:p>
        </w:tc>
        <w:tc>
          <w:tcPr>
            <w:tcW w:w="1668" w:type="dxa"/>
          </w:tcPr>
          <w:p w14:paraId="00225E5D" w14:textId="77777777" w:rsidR="00D93227" w:rsidRPr="00FD600C" w:rsidRDefault="00D93227" w:rsidP="00A03E7B">
            <w:pPr>
              <w:rPr>
                <w:sz w:val="22"/>
                <w:szCs w:val="22"/>
                <w:lang w:val="en-US"/>
              </w:rPr>
            </w:pPr>
            <w:r>
              <w:rPr>
                <w:sz w:val="22"/>
                <w:szCs w:val="22"/>
                <w:lang w:val="en-US"/>
              </w:rPr>
              <w:t>3</w:t>
            </w:r>
          </w:p>
        </w:tc>
        <w:tc>
          <w:tcPr>
            <w:tcW w:w="5381" w:type="dxa"/>
          </w:tcPr>
          <w:p w14:paraId="418AD447" w14:textId="77777777" w:rsidR="00D93227" w:rsidRPr="00FD600C" w:rsidRDefault="00D93227" w:rsidP="00A03E7B">
            <w:pPr>
              <w:rPr>
                <w:sz w:val="22"/>
                <w:szCs w:val="22"/>
                <w:lang w:val="en-US"/>
              </w:rPr>
            </w:pPr>
            <w:r>
              <w:rPr>
                <w:sz w:val="22"/>
                <w:szCs w:val="22"/>
                <w:lang w:val="en-US"/>
              </w:rPr>
              <w:t>Para 2 (note does not include specific references to Resolutions, though).</w:t>
            </w:r>
          </w:p>
        </w:tc>
      </w:tr>
      <w:tr w:rsidR="00D93227" w:rsidRPr="00217036" w14:paraId="51240E5C" w14:textId="77777777" w:rsidTr="00D547CB">
        <w:tc>
          <w:tcPr>
            <w:tcW w:w="6832" w:type="dxa"/>
          </w:tcPr>
          <w:p w14:paraId="0CCEE5CC" w14:textId="77777777" w:rsidR="00D93227" w:rsidRPr="00D547CB" w:rsidRDefault="00D93227" w:rsidP="00D547CB">
            <w:pPr>
              <w:pStyle w:val="BodyText"/>
              <w:ind w:left="0" w:right="-42" w:firstLine="0"/>
              <w:rPr>
                <w:rFonts w:asciiTheme="minorHAnsi" w:hAnsiTheme="minorHAnsi"/>
              </w:rPr>
            </w:pPr>
            <w:r w:rsidRPr="000D2FEB">
              <w:rPr>
                <w:rFonts w:asciiTheme="minorHAnsi" w:hAnsiTheme="minorHAnsi"/>
              </w:rPr>
              <w:t xml:space="preserve">TAKING INTO ACCOUNT the experience gained through the operational years of those regional initiatives, the application of the </w:t>
            </w:r>
            <w:r w:rsidRPr="000D2FEB">
              <w:rPr>
                <w:rFonts w:asciiTheme="minorHAnsi" w:hAnsiTheme="minorHAnsi"/>
                <w:i/>
              </w:rPr>
              <w:t>Operational Guidelines</w:t>
            </w:r>
            <w:r w:rsidRPr="000D2FEB">
              <w:rPr>
                <w:rFonts w:asciiTheme="minorHAnsi" w:hAnsiTheme="minorHAnsi"/>
              </w:rPr>
              <w:t xml:space="preserve"> in selecting and supporting Initiatives, and the conclusions derived from the</w:t>
            </w:r>
            <w:r w:rsidR="00D547CB">
              <w:rPr>
                <w:rFonts w:asciiTheme="minorHAnsi" w:hAnsiTheme="minorHAnsi"/>
              </w:rPr>
              <w:t xml:space="preserve"> review of their effectiveness;</w:t>
            </w:r>
          </w:p>
        </w:tc>
        <w:tc>
          <w:tcPr>
            <w:tcW w:w="1668" w:type="dxa"/>
          </w:tcPr>
          <w:p w14:paraId="785276E2" w14:textId="77777777" w:rsidR="00D93227" w:rsidRPr="00FD600C" w:rsidRDefault="00D93227" w:rsidP="00A03E7B">
            <w:pPr>
              <w:rPr>
                <w:sz w:val="22"/>
                <w:szCs w:val="22"/>
                <w:lang w:val="en-US"/>
              </w:rPr>
            </w:pPr>
            <w:r>
              <w:rPr>
                <w:sz w:val="22"/>
                <w:szCs w:val="22"/>
                <w:lang w:val="en-US"/>
              </w:rPr>
              <w:t xml:space="preserve">7 </w:t>
            </w:r>
          </w:p>
        </w:tc>
        <w:tc>
          <w:tcPr>
            <w:tcW w:w="5381" w:type="dxa"/>
          </w:tcPr>
          <w:p w14:paraId="0EA7A9A6" w14:textId="77777777" w:rsidR="00D93227" w:rsidRPr="00FD600C" w:rsidRDefault="00D93227" w:rsidP="00A03E7B">
            <w:pPr>
              <w:rPr>
                <w:sz w:val="22"/>
                <w:szCs w:val="22"/>
                <w:lang w:val="en-US"/>
              </w:rPr>
            </w:pPr>
            <w:r w:rsidRPr="000D2FEB">
              <w:rPr>
                <w:sz w:val="22"/>
                <w:szCs w:val="22"/>
                <w:lang w:val="en-US"/>
              </w:rPr>
              <w:t>Other – no equivalent in XIII.9 but not inconsistent, either. Could be reworked in light of the discretionary application of Operational Guidelines in XIII.9.</w:t>
            </w:r>
            <w:r>
              <w:rPr>
                <w:sz w:val="22"/>
                <w:szCs w:val="22"/>
                <w:lang w:val="en-US"/>
              </w:rPr>
              <w:t xml:space="preserve"> </w:t>
            </w:r>
          </w:p>
        </w:tc>
      </w:tr>
      <w:tr w:rsidR="00D93227" w:rsidRPr="00FD600C" w14:paraId="09C00C20" w14:textId="77777777" w:rsidTr="00D547CB">
        <w:tc>
          <w:tcPr>
            <w:tcW w:w="6832" w:type="dxa"/>
          </w:tcPr>
          <w:p w14:paraId="6F47BD14" w14:textId="77777777" w:rsidR="00D93227" w:rsidRPr="0097736E" w:rsidRDefault="00D93227" w:rsidP="00A03E7B">
            <w:pPr>
              <w:rPr>
                <w:sz w:val="22"/>
                <w:szCs w:val="22"/>
                <w:lang w:val="en-US"/>
              </w:rPr>
            </w:pPr>
          </w:p>
        </w:tc>
        <w:tc>
          <w:tcPr>
            <w:tcW w:w="1668" w:type="dxa"/>
          </w:tcPr>
          <w:p w14:paraId="2E2DAA6B" w14:textId="77777777" w:rsidR="00D93227" w:rsidRPr="0097736E" w:rsidRDefault="00D93227" w:rsidP="00A03E7B">
            <w:pPr>
              <w:rPr>
                <w:b/>
                <w:sz w:val="22"/>
                <w:szCs w:val="22"/>
                <w:lang w:val="en-US"/>
              </w:rPr>
            </w:pPr>
            <w:r>
              <w:rPr>
                <w:b/>
                <w:sz w:val="22"/>
                <w:szCs w:val="22"/>
                <w:lang w:val="en-US"/>
              </w:rPr>
              <w:t>XI.5</w:t>
            </w:r>
          </w:p>
        </w:tc>
        <w:tc>
          <w:tcPr>
            <w:tcW w:w="5381" w:type="dxa"/>
          </w:tcPr>
          <w:p w14:paraId="28EF91FB" w14:textId="77777777" w:rsidR="00D93227" w:rsidRDefault="00D93227" w:rsidP="00A03E7B">
            <w:pPr>
              <w:rPr>
                <w:rFonts w:eastAsia="Calibri" w:cs="Calibri"/>
                <w:sz w:val="22"/>
                <w:szCs w:val="22"/>
                <w:lang w:val="en-US"/>
              </w:rPr>
            </w:pPr>
          </w:p>
        </w:tc>
      </w:tr>
      <w:tr w:rsidR="00D93227" w:rsidRPr="00217036" w14:paraId="3603C2F6" w14:textId="77777777" w:rsidTr="00D547CB">
        <w:tc>
          <w:tcPr>
            <w:tcW w:w="6832" w:type="dxa"/>
          </w:tcPr>
          <w:p w14:paraId="279DD51C" w14:textId="77777777" w:rsidR="00D93227" w:rsidRPr="00FD600C" w:rsidRDefault="00D93227" w:rsidP="00A03E7B">
            <w:pPr>
              <w:rPr>
                <w:sz w:val="22"/>
                <w:szCs w:val="22"/>
                <w:lang w:val="en-US"/>
              </w:rPr>
            </w:pPr>
            <w:r w:rsidRPr="0097736E">
              <w:rPr>
                <w:sz w:val="22"/>
                <w:szCs w:val="22"/>
                <w:lang w:val="en-US"/>
              </w:rPr>
              <w:t>RECALLING that Regional Initiatives under the Ramsar Convention are intended as operational means to provide effective support for an improved implementation of the objectives of the Convention and its Strategic Plan in specific geographical regions, through international cooperation on wetland-related issues of common concern;</w:t>
            </w:r>
          </w:p>
        </w:tc>
        <w:tc>
          <w:tcPr>
            <w:tcW w:w="1668" w:type="dxa"/>
          </w:tcPr>
          <w:p w14:paraId="6D055076" w14:textId="77777777" w:rsidR="00D93227" w:rsidRPr="00FD600C" w:rsidRDefault="00D93227" w:rsidP="00A03E7B">
            <w:pPr>
              <w:rPr>
                <w:sz w:val="22"/>
                <w:szCs w:val="22"/>
                <w:lang w:val="en-US"/>
              </w:rPr>
            </w:pPr>
            <w:r>
              <w:rPr>
                <w:sz w:val="22"/>
                <w:szCs w:val="22"/>
                <w:lang w:val="en-US"/>
              </w:rPr>
              <w:t xml:space="preserve">1 </w:t>
            </w:r>
          </w:p>
        </w:tc>
        <w:tc>
          <w:tcPr>
            <w:tcW w:w="5381" w:type="dxa"/>
          </w:tcPr>
          <w:p w14:paraId="7FECAF08" w14:textId="77777777" w:rsidR="00D93227" w:rsidRPr="00FD600C" w:rsidRDefault="00D93227" w:rsidP="00A03E7B">
            <w:pPr>
              <w:rPr>
                <w:sz w:val="22"/>
                <w:szCs w:val="22"/>
                <w:lang w:val="en-US"/>
              </w:rPr>
            </w:pPr>
            <w:r>
              <w:rPr>
                <w:rFonts w:eastAsia="Calibri" w:cs="Calibri"/>
                <w:sz w:val="22"/>
                <w:szCs w:val="22"/>
                <w:lang w:val="en-US"/>
              </w:rPr>
              <w:t xml:space="preserve">Para 1. </w:t>
            </w:r>
            <w:r w:rsidRPr="000D2FEB">
              <w:rPr>
                <w:rFonts w:eastAsia="Calibri" w:cs="Calibri"/>
                <w:sz w:val="22"/>
                <w:szCs w:val="22"/>
                <w:lang w:val="en-US"/>
              </w:rPr>
              <w:t>Consistent (minus reference to strategic plan …also ‘voluntary international cooperation’ is used in XIII.9</w:t>
            </w:r>
            <w:r>
              <w:rPr>
                <w:rFonts w:eastAsia="Calibri" w:cs="Calibri"/>
                <w:sz w:val="22"/>
                <w:szCs w:val="22"/>
                <w:lang w:val="en-US"/>
              </w:rPr>
              <w:t xml:space="preserve">). </w:t>
            </w:r>
          </w:p>
        </w:tc>
      </w:tr>
      <w:tr w:rsidR="00D93227" w:rsidRPr="00217036" w14:paraId="1C874A44" w14:textId="77777777" w:rsidTr="00D547CB">
        <w:tc>
          <w:tcPr>
            <w:tcW w:w="6832" w:type="dxa"/>
          </w:tcPr>
          <w:p w14:paraId="495B375A" w14:textId="77777777" w:rsidR="00D93227" w:rsidRPr="00FD600C" w:rsidRDefault="00D93227" w:rsidP="00A03E7B">
            <w:pPr>
              <w:rPr>
                <w:sz w:val="22"/>
                <w:szCs w:val="22"/>
                <w:lang w:val="en-US"/>
              </w:rPr>
            </w:pPr>
            <w:r w:rsidRPr="003B1C24">
              <w:rPr>
                <w:sz w:val="22"/>
                <w:szCs w:val="22"/>
                <w:lang w:val="en-US"/>
              </w:rPr>
              <w:t xml:space="preserve">AWARE that the Guidelines for international cooperation under the Ramsar Convention (Resolution VII.19, 1999) provide the appropriate </w:t>
            </w:r>
            <w:r w:rsidRPr="003B1C24">
              <w:rPr>
                <w:sz w:val="22"/>
                <w:szCs w:val="22"/>
                <w:lang w:val="en-US"/>
              </w:rPr>
              <w:lastRenderedPageBreak/>
              <w:t>framework for promoting international collaboration amongst Contracting Parties and other partners;</w:t>
            </w:r>
          </w:p>
        </w:tc>
        <w:tc>
          <w:tcPr>
            <w:tcW w:w="1668" w:type="dxa"/>
          </w:tcPr>
          <w:p w14:paraId="4B674552" w14:textId="77777777" w:rsidR="00D93227" w:rsidRPr="00FD600C" w:rsidRDefault="00D93227" w:rsidP="00A03E7B">
            <w:pPr>
              <w:rPr>
                <w:sz w:val="22"/>
                <w:szCs w:val="22"/>
                <w:lang w:val="en-US"/>
              </w:rPr>
            </w:pPr>
            <w:r>
              <w:rPr>
                <w:sz w:val="22"/>
                <w:szCs w:val="22"/>
                <w:lang w:val="en-US"/>
              </w:rPr>
              <w:lastRenderedPageBreak/>
              <w:t xml:space="preserve">2 </w:t>
            </w:r>
          </w:p>
        </w:tc>
        <w:tc>
          <w:tcPr>
            <w:tcW w:w="5381" w:type="dxa"/>
          </w:tcPr>
          <w:p w14:paraId="53DB3B85"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referred to in XIII.9 but not inconsistent per se</w:t>
            </w:r>
            <w:r>
              <w:rPr>
                <w:sz w:val="22"/>
                <w:szCs w:val="22"/>
                <w:lang w:val="en-US"/>
              </w:rPr>
              <w:t>.</w:t>
            </w:r>
          </w:p>
        </w:tc>
      </w:tr>
      <w:tr w:rsidR="00D93227" w:rsidRPr="00217036" w14:paraId="251FF573" w14:textId="77777777" w:rsidTr="00D547CB">
        <w:tc>
          <w:tcPr>
            <w:tcW w:w="6832" w:type="dxa"/>
          </w:tcPr>
          <w:p w14:paraId="0D38CA3A" w14:textId="77777777" w:rsidR="00D93227" w:rsidRPr="00FD600C" w:rsidRDefault="00D93227" w:rsidP="00A03E7B">
            <w:pPr>
              <w:rPr>
                <w:sz w:val="22"/>
                <w:szCs w:val="22"/>
                <w:lang w:val="en-US"/>
              </w:rPr>
            </w:pPr>
            <w:r w:rsidRPr="00137A8D">
              <w:rPr>
                <w:sz w:val="22"/>
                <w:szCs w:val="22"/>
                <w:lang w:val="en-US"/>
              </w:rPr>
              <w:t>ALSO RECALLING that the Contracting Parties recognized the importance of Regional Initiatives in promoting the objectives of the Convention in Resolution VIII.30 (2002), and that Resolution IX.7 (2005) both endorsed a number of Regional Initiatives as operating within the framework of the Convention in 2006-2008 and recognized the potential of a number of other initiatives to become operational within the framework of t</w:t>
            </w:r>
            <w:r w:rsidR="00D547CB">
              <w:rPr>
                <w:sz w:val="22"/>
                <w:szCs w:val="22"/>
                <w:lang w:val="en-US"/>
              </w:rPr>
              <w:t>he Convention;</w:t>
            </w:r>
          </w:p>
        </w:tc>
        <w:tc>
          <w:tcPr>
            <w:tcW w:w="1668" w:type="dxa"/>
          </w:tcPr>
          <w:p w14:paraId="56B2DD66" w14:textId="77777777" w:rsidR="00D93227" w:rsidRPr="00FD600C" w:rsidRDefault="00D93227" w:rsidP="00A03E7B">
            <w:pPr>
              <w:rPr>
                <w:sz w:val="22"/>
                <w:szCs w:val="22"/>
                <w:lang w:val="en-US"/>
              </w:rPr>
            </w:pPr>
            <w:r>
              <w:rPr>
                <w:sz w:val="22"/>
                <w:szCs w:val="22"/>
                <w:lang w:val="en-US"/>
              </w:rPr>
              <w:t>3</w:t>
            </w:r>
          </w:p>
        </w:tc>
        <w:tc>
          <w:tcPr>
            <w:tcW w:w="5381" w:type="dxa"/>
          </w:tcPr>
          <w:p w14:paraId="26E47317" w14:textId="77777777" w:rsidR="00D93227" w:rsidRPr="00FD600C" w:rsidRDefault="00D93227" w:rsidP="00A03E7B">
            <w:pPr>
              <w:rPr>
                <w:sz w:val="22"/>
                <w:szCs w:val="22"/>
                <w:lang w:val="en-US"/>
              </w:rPr>
            </w:pPr>
            <w:r>
              <w:rPr>
                <w:rFonts w:eastAsia="Calibri" w:cs="Calibri"/>
                <w:sz w:val="22"/>
                <w:szCs w:val="22"/>
                <w:lang w:val="en-US"/>
              </w:rPr>
              <w:t xml:space="preserve">Para 3. </w:t>
            </w:r>
            <w:r w:rsidRPr="000D2FEB">
              <w:rPr>
                <w:rFonts w:eastAsia="Calibri" w:cs="Calibri"/>
                <w:sz w:val="22"/>
                <w:szCs w:val="22"/>
                <w:lang w:val="en-US"/>
              </w:rPr>
              <w:t>References to previous resolutions is consistent (although specific resolutions are not mentioned in XIII.9); r</w:t>
            </w:r>
            <w:r w:rsidR="000A092A">
              <w:rPr>
                <w:rFonts w:eastAsia="Calibri" w:cs="Calibri"/>
                <w:sz w:val="22"/>
                <w:szCs w:val="22"/>
                <w:lang w:val="en-US"/>
              </w:rPr>
              <w:t>emainder is redundant</w:t>
            </w:r>
            <w:r>
              <w:rPr>
                <w:rFonts w:eastAsia="Calibri" w:cs="Calibri"/>
                <w:sz w:val="22"/>
                <w:szCs w:val="22"/>
                <w:lang w:val="en-US"/>
              </w:rPr>
              <w:t xml:space="preserve">. </w:t>
            </w:r>
          </w:p>
        </w:tc>
      </w:tr>
      <w:tr w:rsidR="00D93227" w:rsidRPr="00FD600C" w14:paraId="3F0F1B1A" w14:textId="77777777" w:rsidTr="00D547CB">
        <w:tc>
          <w:tcPr>
            <w:tcW w:w="6832" w:type="dxa"/>
          </w:tcPr>
          <w:p w14:paraId="56180A2D" w14:textId="77777777" w:rsidR="00D93227" w:rsidRPr="00137A8D" w:rsidRDefault="00D93227" w:rsidP="00A03E7B">
            <w:pPr>
              <w:rPr>
                <w:b/>
                <w:sz w:val="22"/>
                <w:szCs w:val="22"/>
                <w:lang w:val="en-US"/>
              </w:rPr>
            </w:pPr>
          </w:p>
        </w:tc>
        <w:tc>
          <w:tcPr>
            <w:tcW w:w="1668" w:type="dxa"/>
          </w:tcPr>
          <w:p w14:paraId="734B5289" w14:textId="77777777" w:rsidR="00D93227" w:rsidRPr="00FD600C" w:rsidRDefault="00D93227" w:rsidP="00A03E7B">
            <w:pPr>
              <w:rPr>
                <w:sz w:val="22"/>
                <w:szCs w:val="22"/>
                <w:lang w:val="en-US"/>
              </w:rPr>
            </w:pPr>
            <w:r w:rsidRPr="00137A8D">
              <w:rPr>
                <w:b/>
                <w:sz w:val="22"/>
                <w:szCs w:val="22"/>
                <w:lang w:val="en-US"/>
              </w:rPr>
              <w:t>X.6</w:t>
            </w:r>
            <w:r>
              <w:rPr>
                <w:b/>
                <w:sz w:val="22"/>
                <w:szCs w:val="22"/>
                <w:lang w:val="en-US"/>
              </w:rPr>
              <w:t xml:space="preserve"> </w:t>
            </w:r>
          </w:p>
        </w:tc>
        <w:tc>
          <w:tcPr>
            <w:tcW w:w="5381" w:type="dxa"/>
          </w:tcPr>
          <w:p w14:paraId="2BAA4B14" w14:textId="77777777" w:rsidR="00D93227" w:rsidRPr="00FD600C" w:rsidRDefault="00D93227" w:rsidP="00A03E7B">
            <w:pPr>
              <w:rPr>
                <w:sz w:val="22"/>
                <w:szCs w:val="22"/>
                <w:lang w:val="en-US"/>
              </w:rPr>
            </w:pPr>
          </w:p>
        </w:tc>
      </w:tr>
      <w:tr w:rsidR="00D93227" w:rsidRPr="00217036" w14:paraId="505B8080" w14:textId="77777777" w:rsidTr="00D547CB">
        <w:tc>
          <w:tcPr>
            <w:tcW w:w="6832" w:type="dxa"/>
          </w:tcPr>
          <w:p w14:paraId="418F904F" w14:textId="77777777" w:rsidR="00D93227" w:rsidRPr="00FD600C" w:rsidRDefault="00D93227" w:rsidP="00A03E7B">
            <w:pPr>
              <w:rPr>
                <w:sz w:val="22"/>
                <w:szCs w:val="22"/>
                <w:lang w:val="en-US"/>
              </w:rPr>
            </w:pPr>
            <w:r w:rsidRPr="000D2FEB">
              <w:rPr>
                <w:sz w:val="22"/>
                <w:szCs w:val="22"/>
                <w:lang w:val="en-US"/>
              </w:rPr>
              <w:t>RECALLING that r</w:t>
            </w:r>
            <w:r w:rsidRPr="000D2FEB">
              <w:rPr>
                <w:sz w:val="22"/>
                <w:szCs w:val="22"/>
                <w:lang w:val="en-US" w:eastAsia="ja-JP"/>
              </w:rPr>
              <w:t xml:space="preserve">egional </w:t>
            </w:r>
            <w:r w:rsidRPr="000D2FEB">
              <w:rPr>
                <w:sz w:val="22"/>
                <w:szCs w:val="22"/>
                <w:lang w:val="en-US"/>
              </w:rPr>
              <w:t>initiatives under the Ramsar Convention are intended as operational means to provide effective support for an improved implementation of the objectives of the Convention and its Strategic Plan in specific geographical regions, through international cooperation on wetland-related issues of common concern;</w:t>
            </w:r>
          </w:p>
        </w:tc>
        <w:tc>
          <w:tcPr>
            <w:tcW w:w="1668" w:type="dxa"/>
          </w:tcPr>
          <w:p w14:paraId="3B9FF4B3" w14:textId="77777777" w:rsidR="00D93227" w:rsidRPr="00FD600C" w:rsidRDefault="00D93227" w:rsidP="00A03E7B">
            <w:pPr>
              <w:rPr>
                <w:sz w:val="22"/>
                <w:szCs w:val="22"/>
                <w:lang w:val="en-US"/>
              </w:rPr>
            </w:pPr>
            <w:r>
              <w:rPr>
                <w:sz w:val="22"/>
                <w:szCs w:val="22"/>
                <w:lang w:val="en-US"/>
              </w:rPr>
              <w:t xml:space="preserve">1 </w:t>
            </w:r>
          </w:p>
        </w:tc>
        <w:tc>
          <w:tcPr>
            <w:tcW w:w="5381" w:type="dxa"/>
          </w:tcPr>
          <w:p w14:paraId="027B543E" w14:textId="77777777" w:rsidR="00D93227" w:rsidRPr="00FD600C" w:rsidRDefault="00D93227" w:rsidP="00A03E7B">
            <w:pPr>
              <w:rPr>
                <w:sz w:val="22"/>
                <w:szCs w:val="22"/>
                <w:lang w:val="en-US"/>
              </w:rPr>
            </w:pPr>
            <w:r>
              <w:rPr>
                <w:sz w:val="22"/>
                <w:szCs w:val="22"/>
                <w:lang w:val="en-US"/>
              </w:rPr>
              <w:t xml:space="preserve">Para 1. </w:t>
            </w:r>
            <w:r w:rsidRPr="000D2FEB">
              <w:rPr>
                <w:sz w:val="22"/>
                <w:szCs w:val="22"/>
                <w:lang w:val="en-US"/>
              </w:rPr>
              <w:t>Consistent (although no reference to Strategic Plan in XIII.9)</w:t>
            </w:r>
            <w:r>
              <w:rPr>
                <w:sz w:val="22"/>
                <w:szCs w:val="22"/>
                <w:lang w:val="en-US"/>
              </w:rPr>
              <w:t>.</w:t>
            </w:r>
          </w:p>
        </w:tc>
      </w:tr>
      <w:tr w:rsidR="00D93227" w:rsidRPr="00217036" w14:paraId="063799C1" w14:textId="77777777" w:rsidTr="00D547CB">
        <w:tc>
          <w:tcPr>
            <w:tcW w:w="6832" w:type="dxa"/>
          </w:tcPr>
          <w:p w14:paraId="615D8E42" w14:textId="77777777" w:rsidR="00D93227" w:rsidRPr="00FD600C" w:rsidRDefault="00D93227" w:rsidP="00A03E7B">
            <w:pPr>
              <w:rPr>
                <w:sz w:val="22"/>
                <w:szCs w:val="22"/>
                <w:lang w:val="en-US"/>
              </w:rPr>
            </w:pPr>
            <w:r w:rsidRPr="00BC53C4">
              <w:rPr>
                <w:sz w:val="22"/>
                <w:szCs w:val="22"/>
                <w:lang w:val="en-US"/>
              </w:rPr>
              <w:t xml:space="preserve">ALSO RECALLING that the </w:t>
            </w:r>
            <w:r w:rsidRPr="00BC53C4">
              <w:rPr>
                <w:i/>
                <w:sz w:val="22"/>
                <w:szCs w:val="22"/>
                <w:lang w:val="en-US"/>
              </w:rPr>
              <w:t>Guidelines for international cooperation under the Ramsar Convention</w:t>
            </w:r>
            <w:r w:rsidRPr="00BC53C4">
              <w:rPr>
                <w:sz w:val="22"/>
                <w:szCs w:val="22"/>
                <w:lang w:val="en-US"/>
              </w:rPr>
              <w:t xml:space="preserve"> (Resolution VII.19, 1999) provide the appropriate framework for promoting international collaboration amongst Contract</w:t>
            </w:r>
            <w:r w:rsidR="00D547CB">
              <w:rPr>
                <w:sz w:val="22"/>
                <w:szCs w:val="22"/>
                <w:lang w:val="en-US"/>
              </w:rPr>
              <w:t>ing Parties and other partners;</w:t>
            </w:r>
          </w:p>
        </w:tc>
        <w:tc>
          <w:tcPr>
            <w:tcW w:w="1668" w:type="dxa"/>
          </w:tcPr>
          <w:p w14:paraId="5D277010" w14:textId="77777777" w:rsidR="00D93227" w:rsidRPr="00FD600C" w:rsidRDefault="00D93227" w:rsidP="00A03E7B">
            <w:pPr>
              <w:rPr>
                <w:sz w:val="22"/>
                <w:szCs w:val="22"/>
                <w:lang w:val="en-US"/>
              </w:rPr>
            </w:pPr>
            <w:r>
              <w:rPr>
                <w:sz w:val="22"/>
                <w:szCs w:val="22"/>
                <w:lang w:val="en-US"/>
              </w:rPr>
              <w:t>2</w:t>
            </w:r>
          </w:p>
        </w:tc>
        <w:tc>
          <w:tcPr>
            <w:tcW w:w="5381" w:type="dxa"/>
          </w:tcPr>
          <w:p w14:paraId="4D02F9D7"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referred to in XIII.9 but not inconsistent per se</w:t>
            </w:r>
            <w:r>
              <w:rPr>
                <w:sz w:val="22"/>
                <w:szCs w:val="22"/>
                <w:lang w:val="en-US"/>
              </w:rPr>
              <w:t xml:space="preserve">. </w:t>
            </w:r>
          </w:p>
        </w:tc>
      </w:tr>
      <w:tr w:rsidR="00D93227" w:rsidRPr="00FD600C" w14:paraId="0C9D3490" w14:textId="77777777" w:rsidTr="00D547CB">
        <w:tc>
          <w:tcPr>
            <w:tcW w:w="6832" w:type="dxa"/>
          </w:tcPr>
          <w:p w14:paraId="1E124321" w14:textId="77777777" w:rsidR="00D93227" w:rsidRPr="00FD600C" w:rsidRDefault="00D93227" w:rsidP="00A03E7B">
            <w:pPr>
              <w:rPr>
                <w:sz w:val="22"/>
                <w:szCs w:val="22"/>
                <w:lang w:val="en-US"/>
              </w:rPr>
            </w:pPr>
            <w:r w:rsidRPr="000D2FEB">
              <w:rPr>
                <w:sz w:val="22"/>
                <w:szCs w:val="22"/>
                <w:lang w:val="en-US"/>
              </w:rPr>
              <w:t xml:space="preserve">ALSO RECALLING that in Resolution VIII.30 (2002) the Contracting Parties recognized the importance of regional initiatives in promoting the objectives of the Convention and established </w:t>
            </w:r>
            <w:r w:rsidRPr="000D2FEB">
              <w:rPr>
                <w:i/>
                <w:sz w:val="22"/>
                <w:szCs w:val="22"/>
                <w:lang w:val="en-US"/>
              </w:rPr>
              <w:t>Guidelines for the development of regional initiatives in the framework of the Convention on Wetlands</w:t>
            </w:r>
            <w:r w:rsidRPr="000D2FEB">
              <w:rPr>
                <w:sz w:val="22"/>
                <w:szCs w:val="22"/>
                <w:lang w:val="en-US"/>
              </w:rPr>
              <w:t>;</w:t>
            </w:r>
          </w:p>
        </w:tc>
        <w:tc>
          <w:tcPr>
            <w:tcW w:w="1668" w:type="dxa"/>
          </w:tcPr>
          <w:p w14:paraId="3DA5FD70" w14:textId="77777777" w:rsidR="00D93227" w:rsidRPr="00FD600C" w:rsidRDefault="00D93227" w:rsidP="00A03E7B">
            <w:pPr>
              <w:rPr>
                <w:sz w:val="22"/>
                <w:szCs w:val="22"/>
                <w:lang w:val="en-US"/>
              </w:rPr>
            </w:pPr>
            <w:r>
              <w:rPr>
                <w:sz w:val="22"/>
                <w:szCs w:val="22"/>
                <w:lang w:val="en-US"/>
              </w:rPr>
              <w:t>3</w:t>
            </w:r>
          </w:p>
        </w:tc>
        <w:tc>
          <w:tcPr>
            <w:tcW w:w="5381" w:type="dxa"/>
          </w:tcPr>
          <w:p w14:paraId="23F89139" w14:textId="77777777" w:rsidR="00D93227" w:rsidRPr="000D2FEB" w:rsidRDefault="00D93227" w:rsidP="00A03E7B">
            <w:pPr>
              <w:rPr>
                <w:sz w:val="22"/>
                <w:szCs w:val="22"/>
                <w:lang w:val="en-US"/>
              </w:rPr>
            </w:pPr>
            <w:r>
              <w:rPr>
                <w:sz w:val="22"/>
                <w:szCs w:val="22"/>
                <w:lang w:val="en-US"/>
              </w:rPr>
              <w:t>Para 3. First sentence</w:t>
            </w:r>
            <w:r w:rsidRPr="000D2FEB">
              <w:rPr>
                <w:sz w:val="22"/>
                <w:szCs w:val="22"/>
                <w:lang w:val="en-US"/>
              </w:rPr>
              <w:t xml:space="preserve"> – Consistent (although XIII.9 doesn’t specify Resolutions)</w:t>
            </w:r>
          </w:p>
          <w:p w14:paraId="11E801E4" w14:textId="77777777" w:rsidR="00D93227" w:rsidRPr="00FD600C" w:rsidRDefault="00D93227" w:rsidP="00A03E7B">
            <w:pPr>
              <w:rPr>
                <w:sz w:val="22"/>
                <w:szCs w:val="22"/>
                <w:lang w:val="en-US"/>
              </w:rPr>
            </w:pPr>
            <w:r>
              <w:rPr>
                <w:sz w:val="22"/>
                <w:szCs w:val="22"/>
                <w:lang w:val="en-US"/>
              </w:rPr>
              <w:t>Second sentence</w:t>
            </w:r>
            <w:r w:rsidRPr="000D2FEB">
              <w:rPr>
                <w:sz w:val="22"/>
                <w:szCs w:val="22"/>
                <w:lang w:val="en-US"/>
              </w:rPr>
              <w:t xml:space="preserve"> – Inconsistent</w:t>
            </w:r>
            <w:r>
              <w:rPr>
                <w:sz w:val="22"/>
                <w:szCs w:val="22"/>
                <w:lang w:val="en-US"/>
              </w:rPr>
              <w:t xml:space="preserve">. </w:t>
            </w:r>
          </w:p>
        </w:tc>
      </w:tr>
      <w:tr w:rsidR="00D93227" w:rsidRPr="00FD600C" w14:paraId="3BC2642B" w14:textId="77777777" w:rsidTr="00D547CB">
        <w:tc>
          <w:tcPr>
            <w:tcW w:w="6832" w:type="dxa"/>
          </w:tcPr>
          <w:p w14:paraId="05F63CA7" w14:textId="77777777" w:rsidR="00D93227" w:rsidRPr="00FD600C" w:rsidRDefault="00D93227" w:rsidP="00A03E7B">
            <w:pPr>
              <w:rPr>
                <w:sz w:val="22"/>
                <w:szCs w:val="22"/>
                <w:lang w:val="en-US"/>
              </w:rPr>
            </w:pPr>
          </w:p>
        </w:tc>
        <w:tc>
          <w:tcPr>
            <w:tcW w:w="1668" w:type="dxa"/>
          </w:tcPr>
          <w:p w14:paraId="528178F5" w14:textId="77777777" w:rsidR="00D93227" w:rsidRPr="00025F24" w:rsidRDefault="00D93227" w:rsidP="00A03E7B">
            <w:pPr>
              <w:rPr>
                <w:b/>
                <w:sz w:val="22"/>
                <w:szCs w:val="22"/>
                <w:lang w:val="en-US"/>
              </w:rPr>
            </w:pPr>
            <w:r>
              <w:rPr>
                <w:b/>
                <w:sz w:val="22"/>
                <w:szCs w:val="22"/>
                <w:lang w:val="en-US"/>
              </w:rPr>
              <w:t>IX</w:t>
            </w:r>
            <w:r w:rsidRPr="00025F24">
              <w:rPr>
                <w:b/>
                <w:sz w:val="22"/>
                <w:szCs w:val="22"/>
                <w:lang w:val="en-US"/>
              </w:rPr>
              <w:t>.</w:t>
            </w:r>
            <w:r>
              <w:rPr>
                <w:b/>
                <w:sz w:val="22"/>
                <w:szCs w:val="22"/>
                <w:lang w:val="en-US"/>
              </w:rPr>
              <w:t>7</w:t>
            </w:r>
          </w:p>
        </w:tc>
        <w:tc>
          <w:tcPr>
            <w:tcW w:w="5381" w:type="dxa"/>
          </w:tcPr>
          <w:p w14:paraId="4C0A21E0" w14:textId="77777777" w:rsidR="00D93227" w:rsidRPr="00FD600C" w:rsidRDefault="00D93227" w:rsidP="00A03E7B">
            <w:pPr>
              <w:rPr>
                <w:sz w:val="22"/>
                <w:szCs w:val="22"/>
                <w:lang w:val="en-US"/>
              </w:rPr>
            </w:pPr>
          </w:p>
        </w:tc>
      </w:tr>
      <w:tr w:rsidR="00D93227" w:rsidRPr="00217036" w14:paraId="066C16AE" w14:textId="77777777" w:rsidTr="00D547CB">
        <w:tc>
          <w:tcPr>
            <w:tcW w:w="6832" w:type="dxa"/>
          </w:tcPr>
          <w:p w14:paraId="2B899EA3" w14:textId="77777777" w:rsidR="00D93227" w:rsidRPr="00FD600C" w:rsidRDefault="00D93227" w:rsidP="00A03E7B">
            <w:pPr>
              <w:rPr>
                <w:sz w:val="22"/>
                <w:szCs w:val="22"/>
                <w:lang w:val="en-US"/>
              </w:rPr>
            </w:pPr>
            <w:r w:rsidRPr="007705F7">
              <w:rPr>
                <w:sz w:val="22"/>
                <w:szCs w:val="22"/>
                <w:lang w:val="en-US"/>
              </w:rPr>
              <w:t>RECALLING that the Guidelines for international cooperation under the Ramsar Convention (Resolution VII.19) provide the appropriate framework for promoting international collaboration amongst Contracting Parties and other partners;</w:t>
            </w:r>
          </w:p>
        </w:tc>
        <w:tc>
          <w:tcPr>
            <w:tcW w:w="1668" w:type="dxa"/>
          </w:tcPr>
          <w:p w14:paraId="5997A4F6" w14:textId="77777777" w:rsidR="00D93227" w:rsidRPr="00FD600C" w:rsidRDefault="00D93227" w:rsidP="00A03E7B">
            <w:pPr>
              <w:rPr>
                <w:sz w:val="22"/>
                <w:szCs w:val="22"/>
                <w:lang w:val="en-US"/>
              </w:rPr>
            </w:pPr>
            <w:r>
              <w:rPr>
                <w:sz w:val="22"/>
                <w:szCs w:val="22"/>
                <w:lang w:val="en-US"/>
              </w:rPr>
              <w:t>1</w:t>
            </w:r>
          </w:p>
        </w:tc>
        <w:tc>
          <w:tcPr>
            <w:tcW w:w="5381" w:type="dxa"/>
          </w:tcPr>
          <w:p w14:paraId="29A051BA"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referred to in XIII.9 but not inconsistent per se</w:t>
            </w:r>
            <w:r>
              <w:rPr>
                <w:sz w:val="22"/>
                <w:szCs w:val="22"/>
                <w:lang w:val="en-US"/>
              </w:rPr>
              <w:t xml:space="preserve">. </w:t>
            </w:r>
          </w:p>
        </w:tc>
      </w:tr>
      <w:tr w:rsidR="00D93227" w:rsidRPr="007D2147" w14:paraId="0A7507A0" w14:textId="77777777" w:rsidTr="00D547CB">
        <w:tc>
          <w:tcPr>
            <w:tcW w:w="6832" w:type="dxa"/>
          </w:tcPr>
          <w:p w14:paraId="7BAEB6F9" w14:textId="77777777" w:rsidR="00D93227" w:rsidRPr="00FD600C" w:rsidRDefault="00D93227" w:rsidP="00A03E7B">
            <w:pPr>
              <w:rPr>
                <w:sz w:val="22"/>
                <w:szCs w:val="22"/>
                <w:lang w:val="en-US"/>
              </w:rPr>
            </w:pPr>
            <w:r w:rsidRPr="007705F7">
              <w:rPr>
                <w:sz w:val="22"/>
                <w:szCs w:val="22"/>
                <w:lang w:val="en-US"/>
              </w:rPr>
              <w:t xml:space="preserve">ALSO RECALLING that in Resolution VIII.30 the Contracting Parties recognized the importance of regional initiatives in promoting the objectives of the Convention and established Guidelines for the </w:t>
            </w:r>
            <w:r w:rsidRPr="007705F7">
              <w:rPr>
                <w:sz w:val="22"/>
                <w:szCs w:val="22"/>
                <w:lang w:val="en-US"/>
              </w:rPr>
              <w:lastRenderedPageBreak/>
              <w:t>development of regional initiatives in the framework of the Convention on Wetlands;</w:t>
            </w:r>
            <w:r>
              <w:rPr>
                <w:sz w:val="22"/>
                <w:szCs w:val="22"/>
                <w:lang w:val="en-US"/>
              </w:rPr>
              <w:t xml:space="preserve"> </w:t>
            </w:r>
          </w:p>
        </w:tc>
        <w:tc>
          <w:tcPr>
            <w:tcW w:w="1668" w:type="dxa"/>
          </w:tcPr>
          <w:p w14:paraId="78AE5D46" w14:textId="77777777" w:rsidR="00D93227" w:rsidRPr="00FD600C" w:rsidRDefault="00D93227" w:rsidP="00A03E7B">
            <w:pPr>
              <w:rPr>
                <w:sz w:val="22"/>
                <w:szCs w:val="22"/>
                <w:lang w:val="en-US"/>
              </w:rPr>
            </w:pPr>
            <w:r>
              <w:rPr>
                <w:sz w:val="22"/>
                <w:szCs w:val="22"/>
                <w:lang w:val="en-US"/>
              </w:rPr>
              <w:lastRenderedPageBreak/>
              <w:t>2</w:t>
            </w:r>
          </w:p>
        </w:tc>
        <w:tc>
          <w:tcPr>
            <w:tcW w:w="5381" w:type="dxa"/>
          </w:tcPr>
          <w:p w14:paraId="543D3925" w14:textId="77777777" w:rsidR="00D93227" w:rsidRPr="000D2FEB" w:rsidRDefault="00D93227" w:rsidP="00A03E7B">
            <w:pPr>
              <w:rPr>
                <w:sz w:val="22"/>
                <w:szCs w:val="22"/>
                <w:lang w:val="en-US"/>
              </w:rPr>
            </w:pPr>
            <w:r>
              <w:rPr>
                <w:sz w:val="22"/>
                <w:szCs w:val="22"/>
                <w:lang w:val="en-US"/>
              </w:rPr>
              <w:t xml:space="preserve">Para 2. </w:t>
            </w:r>
            <w:r w:rsidRPr="000D2FEB">
              <w:rPr>
                <w:sz w:val="22"/>
                <w:szCs w:val="22"/>
                <w:lang w:val="en-US"/>
              </w:rPr>
              <w:t>First sentence – consistent (although XIII.9 doesn’t mention specific resolutions)</w:t>
            </w:r>
          </w:p>
          <w:p w14:paraId="4BC61DE0" w14:textId="77777777" w:rsidR="00D93227" w:rsidRPr="00FD600C" w:rsidRDefault="00D93227" w:rsidP="00A03E7B">
            <w:pPr>
              <w:rPr>
                <w:sz w:val="22"/>
                <w:szCs w:val="22"/>
                <w:lang w:val="en-US"/>
              </w:rPr>
            </w:pPr>
            <w:r>
              <w:rPr>
                <w:sz w:val="22"/>
                <w:szCs w:val="22"/>
                <w:lang w:val="en-US"/>
              </w:rPr>
              <w:t xml:space="preserve">Second sentence – redundant. </w:t>
            </w:r>
          </w:p>
        </w:tc>
      </w:tr>
      <w:tr w:rsidR="00D93227" w:rsidRPr="00FD600C" w14:paraId="372BB52C" w14:textId="77777777" w:rsidTr="00D547CB">
        <w:tc>
          <w:tcPr>
            <w:tcW w:w="6832" w:type="dxa"/>
          </w:tcPr>
          <w:p w14:paraId="46B23228" w14:textId="77777777" w:rsidR="00D93227" w:rsidRPr="00FD600C" w:rsidRDefault="00D93227" w:rsidP="00A03E7B">
            <w:pPr>
              <w:rPr>
                <w:sz w:val="22"/>
                <w:szCs w:val="22"/>
                <w:lang w:val="en-US"/>
              </w:rPr>
            </w:pPr>
          </w:p>
        </w:tc>
        <w:tc>
          <w:tcPr>
            <w:tcW w:w="1668" w:type="dxa"/>
          </w:tcPr>
          <w:p w14:paraId="3D3B08BD" w14:textId="77777777" w:rsidR="00D93227" w:rsidRDefault="00D93227" w:rsidP="00A03E7B">
            <w:pPr>
              <w:rPr>
                <w:b/>
                <w:sz w:val="22"/>
                <w:szCs w:val="22"/>
                <w:lang w:val="en-US"/>
              </w:rPr>
            </w:pPr>
            <w:r>
              <w:rPr>
                <w:b/>
                <w:sz w:val="22"/>
                <w:szCs w:val="22"/>
                <w:lang w:val="en-US"/>
              </w:rPr>
              <w:t>VIII.43</w:t>
            </w:r>
          </w:p>
        </w:tc>
        <w:tc>
          <w:tcPr>
            <w:tcW w:w="5381" w:type="dxa"/>
          </w:tcPr>
          <w:p w14:paraId="1CCB1D31" w14:textId="77777777" w:rsidR="00D93227" w:rsidRPr="00FD600C" w:rsidRDefault="00D93227" w:rsidP="00A03E7B">
            <w:pPr>
              <w:rPr>
                <w:sz w:val="22"/>
                <w:szCs w:val="22"/>
                <w:lang w:val="en-US"/>
              </w:rPr>
            </w:pPr>
          </w:p>
        </w:tc>
      </w:tr>
      <w:tr w:rsidR="00D93227" w:rsidRPr="00217036" w14:paraId="65C240BA" w14:textId="77777777" w:rsidTr="00D547CB">
        <w:tc>
          <w:tcPr>
            <w:tcW w:w="6832" w:type="dxa"/>
          </w:tcPr>
          <w:p w14:paraId="22D220B1" w14:textId="77777777" w:rsidR="00D93227" w:rsidRPr="00FD600C" w:rsidRDefault="00D93227" w:rsidP="00A03E7B">
            <w:pPr>
              <w:rPr>
                <w:sz w:val="22"/>
                <w:szCs w:val="22"/>
                <w:lang w:val="en-US"/>
              </w:rPr>
            </w:pPr>
            <w:r w:rsidRPr="00042AF8">
              <w:rPr>
                <w:sz w:val="22"/>
                <w:szCs w:val="22"/>
                <w:lang w:val="en-US"/>
              </w:rPr>
              <w:t xml:space="preserve">RECALLING that Article 5 of the Convention stipulates that the Contracting Parties “shall </w:t>
            </w:r>
            <w:proofErr w:type="spellStart"/>
            <w:r w:rsidRPr="00042AF8">
              <w:rPr>
                <w:sz w:val="22"/>
                <w:szCs w:val="22"/>
                <w:lang w:val="en-US"/>
              </w:rPr>
              <w:t>endeavour</w:t>
            </w:r>
            <w:proofErr w:type="spellEnd"/>
            <w:r w:rsidRPr="00042AF8">
              <w:rPr>
                <w:sz w:val="22"/>
                <w:szCs w:val="22"/>
                <w:lang w:val="en-US"/>
              </w:rPr>
              <w:t xml:space="preserve"> to coordinate and support present and future policies and regulations concerning the conservation of wetlands”;</w:t>
            </w:r>
          </w:p>
        </w:tc>
        <w:tc>
          <w:tcPr>
            <w:tcW w:w="1668" w:type="dxa"/>
          </w:tcPr>
          <w:p w14:paraId="723CF99E" w14:textId="77777777" w:rsidR="00D93227" w:rsidRPr="00E94E10" w:rsidRDefault="00D93227" w:rsidP="00A03E7B">
            <w:pPr>
              <w:rPr>
                <w:sz w:val="22"/>
                <w:szCs w:val="22"/>
                <w:lang w:val="en-US"/>
              </w:rPr>
            </w:pPr>
            <w:r w:rsidRPr="00E94E10">
              <w:rPr>
                <w:sz w:val="22"/>
                <w:szCs w:val="22"/>
                <w:lang w:val="en-US"/>
              </w:rPr>
              <w:t>1</w:t>
            </w:r>
          </w:p>
        </w:tc>
        <w:tc>
          <w:tcPr>
            <w:tcW w:w="5381" w:type="dxa"/>
          </w:tcPr>
          <w:p w14:paraId="28412201"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referred to in XIII.9 but not inconsistent per se</w:t>
            </w:r>
            <w:r>
              <w:rPr>
                <w:sz w:val="22"/>
                <w:szCs w:val="22"/>
                <w:lang w:val="en-US"/>
              </w:rPr>
              <w:t>.</w:t>
            </w:r>
          </w:p>
        </w:tc>
      </w:tr>
      <w:tr w:rsidR="00D93227" w:rsidRPr="00217036" w14:paraId="592CD5B1" w14:textId="77777777" w:rsidTr="00D547CB">
        <w:tc>
          <w:tcPr>
            <w:tcW w:w="6832" w:type="dxa"/>
          </w:tcPr>
          <w:p w14:paraId="6839FA88" w14:textId="77777777" w:rsidR="00D93227" w:rsidRPr="00042AF8" w:rsidRDefault="00D93227" w:rsidP="00A03E7B">
            <w:pPr>
              <w:rPr>
                <w:sz w:val="22"/>
                <w:szCs w:val="22"/>
                <w:lang w:val="en-US"/>
              </w:rPr>
            </w:pPr>
            <w:r w:rsidRPr="00E94E10">
              <w:rPr>
                <w:sz w:val="22"/>
                <w:szCs w:val="22"/>
                <w:lang w:val="en-US"/>
              </w:rPr>
              <w:t>RECOGNIZING the importance of establishing practical initiatives that support effective implementation of the Convention and its instruments, such as the Strategic Plan and the various guidelines adopted by the Conference of the Parties; and</w:t>
            </w:r>
          </w:p>
        </w:tc>
        <w:tc>
          <w:tcPr>
            <w:tcW w:w="1668" w:type="dxa"/>
          </w:tcPr>
          <w:p w14:paraId="134D20E1" w14:textId="77777777" w:rsidR="00D93227" w:rsidRPr="00E94E10" w:rsidRDefault="00D93227" w:rsidP="00A03E7B">
            <w:pPr>
              <w:rPr>
                <w:sz w:val="22"/>
                <w:szCs w:val="22"/>
                <w:lang w:val="en-US"/>
              </w:rPr>
            </w:pPr>
            <w:r w:rsidRPr="00E94E10">
              <w:rPr>
                <w:sz w:val="22"/>
                <w:szCs w:val="22"/>
                <w:lang w:val="en-US"/>
              </w:rPr>
              <w:t>5</w:t>
            </w:r>
          </w:p>
        </w:tc>
        <w:tc>
          <w:tcPr>
            <w:tcW w:w="5381" w:type="dxa"/>
          </w:tcPr>
          <w:p w14:paraId="10F319AE" w14:textId="77777777" w:rsidR="00D93227" w:rsidRDefault="00D93227" w:rsidP="00A03E7B">
            <w:pPr>
              <w:rPr>
                <w:sz w:val="22"/>
                <w:szCs w:val="22"/>
                <w:lang w:val="en-US"/>
              </w:rPr>
            </w:pPr>
            <w:r>
              <w:rPr>
                <w:sz w:val="22"/>
                <w:szCs w:val="22"/>
                <w:lang w:val="en-US"/>
              </w:rPr>
              <w:t xml:space="preserve">N/A. </w:t>
            </w:r>
            <w:r w:rsidRPr="000D2FEB">
              <w:rPr>
                <w:sz w:val="22"/>
                <w:szCs w:val="22"/>
                <w:lang w:val="en-US"/>
              </w:rPr>
              <w:t>Other – not referred to in XIII.9 but not inconsistent per se</w:t>
            </w:r>
            <w:r>
              <w:rPr>
                <w:sz w:val="22"/>
                <w:szCs w:val="22"/>
                <w:lang w:val="en-US"/>
              </w:rPr>
              <w:t>.</w:t>
            </w:r>
          </w:p>
        </w:tc>
      </w:tr>
      <w:tr w:rsidR="00D93227" w:rsidRPr="00FD600C" w14:paraId="36142BDE" w14:textId="77777777" w:rsidTr="00D547CB">
        <w:tc>
          <w:tcPr>
            <w:tcW w:w="6832" w:type="dxa"/>
          </w:tcPr>
          <w:p w14:paraId="280ECAF5" w14:textId="77777777" w:rsidR="00D93227" w:rsidRPr="00FD600C" w:rsidRDefault="00D93227" w:rsidP="00A03E7B">
            <w:pPr>
              <w:rPr>
                <w:sz w:val="22"/>
                <w:szCs w:val="22"/>
                <w:lang w:val="en-US"/>
              </w:rPr>
            </w:pPr>
          </w:p>
        </w:tc>
        <w:tc>
          <w:tcPr>
            <w:tcW w:w="1668" w:type="dxa"/>
          </w:tcPr>
          <w:p w14:paraId="5A8CE2CF" w14:textId="77777777" w:rsidR="00D93227" w:rsidRPr="007705F7" w:rsidRDefault="00D93227" w:rsidP="00A03E7B">
            <w:pPr>
              <w:rPr>
                <w:b/>
                <w:sz w:val="22"/>
                <w:szCs w:val="22"/>
                <w:lang w:val="en-US"/>
              </w:rPr>
            </w:pPr>
            <w:r>
              <w:rPr>
                <w:b/>
                <w:sz w:val="22"/>
                <w:szCs w:val="22"/>
                <w:lang w:val="en-US"/>
              </w:rPr>
              <w:t>VIII.41</w:t>
            </w:r>
          </w:p>
        </w:tc>
        <w:tc>
          <w:tcPr>
            <w:tcW w:w="5381" w:type="dxa"/>
          </w:tcPr>
          <w:p w14:paraId="69E5F5D0" w14:textId="77777777" w:rsidR="00D93227" w:rsidRPr="00FD600C" w:rsidRDefault="00D93227" w:rsidP="00A03E7B">
            <w:pPr>
              <w:rPr>
                <w:sz w:val="22"/>
                <w:szCs w:val="22"/>
                <w:lang w:val="en-US"/>
              </w:rPr>
            </w:pPr>
          </w:p>
        </w:tc>
      </w:tr>
      <w:tr w:rsidR="00D93227" w:rsidRPr="00217036" w14:paraId="6FC59E48" w14:textId="77777777" w:rsidTr="00D547CB">
        <w:tc>
          <w:tcPr>
            <w:tcW w:w="6832" w:type="dxa"/>
          </w:tcPr>
          <w:p w14:paraId="3EE3AE6D" w14:textId="77777777" w:rsidR="00D93227" w:rsidRPr="00FD600C" w:rsidRDefault="00D93227" w:rsidP="00A03E7B">
            <w:pPr>
              <w:rPr>
                <w:sz w:val="22"/>
                <w:szCs w:val="22"/>
                <w:lang w:val="en-US"/>
              </w:rPr>
            </w:pPr>
            <w:r w:rsidRPr="00D04AC7">
              <w:rPr>
                <w:sz w:val="22"/>
                <w:szCs w:val="22"/>
                <w:lang w:val="en-US"/>
              </w:rPr>
              <w:t>AWARE of the importance of training and research as a means of increasing the capacity of Contracting Parties to improve their implementation of the Convention;</w:t>
            </w:r>
          </w:p>
        </w:tc>
        <w:tc>
          <w:tcPr>
            <w:tcW w:w="1668" w:type="dxa"/>
          </w:tcPr>
          <w:p w14:paraId="3FA77014" w14:textId="77777777" w:rsidR="00D93227" w:rsidRPr="00042AF8" w:rsidRDefault="00D93227" w:rsidP="00A03E7B">
            <w:pPr>
              <w:rPr>
                <w:sz w:val="22"/>
                <w:szCs w:val="22"/>
                <w:lang w:val="en-US"/>
              </w:rPr>
            </w:pPr>
            <w:r w:rsidRPr="00042AF8">
              <w:rPr>
                <w:sz w:val="22"/>
                <w:szCs w:val="22"/>
                <w:lang w:val="en-US"/>
              </w:rPr>
              <w:t>1</w:t>
            </w:r>
          </w:p>
        </w:tc>
        <w:tc>
          <w:tcPr>
            <w:tcW w:w="5381" w:type="dxa"/>
          </w:tcPr>
          <w:p w14:paraId="158378FF"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inconsistent but does not reflect current wording</w:t>
            </w:r>
            <w:r>
              <w:rPr>
                <w:sz w:val="22"/>
                <w:szCs w:val="22"/>
                <w:lang w:val="en-US"/>
              </w:rPr>
              <w:t xml:space="preserve"> in XIII.9.</w:t>
            </w:r>
          </w:p>
        </w:tc>
      </w:tr>
      <w:tr w:rsidR="00D93227" w:rsidRPr="00217036" w14:paraId="7AD659E5" w14:textId="77777777" w:rsidTr="00D547CB">
        <w:tc>
          <w:tcPr>
            <w:tcW w:w="6832" w:type="dxa"/>
          </w:tcPr>
          <w:p w14:paraId="0B563396" w14:textId="77777777" w:rsidR="00D93227" w:rsidRPr="00D04AC7" w:rsidRDefault="00D93227" w:rsidP="00A03E7B">
            <w:pPr>
              <w:rPr>
                <w:sz w:val="22"/>
                <w:szCs w:val="22"/>
                <w:lang w:val="en-US"/>
              </w:rPr>
            </w:pPr>
            <w:r w:rsidRPr="00042AF8">
              <w:rPr>
                <w:sz w:val="22"/>
                <w:szCs w:val="22"/>
                <w:lang w:val="en-US"/>
              </w:rPr>
              <w:t>RECALLING that the Convention was agreed on 2 February 1971 in the city of Ramsar, in the Islamic Republic of Iran;</w:t>
            </w:r>
          </w:p>
        </w:tc>
        <w:tc>
          <w:tcPr>
            <w:tcW w:w="1668" w:type="dxa"/>
          </w:tcPr>
          <w:p w14:paraId="0505A5B0" w14:textId="77777777" w:rsidR="00D93227" w:rsidRPr="00042AF8" w:rsidRDefault="00D93227" w:rsidP="00A03E7B">
            <w:pPr>
              <w:rPr>
                <w:sz w:val="22"/>
                <w:szCs w:val="22"/>
                <w:lang w:val="en-US"/>
              </w:rPr>
            </w:pPr>
            <w:r w:rsidRPr="00042AF8">
              <w:rPr>
                <w:sz w:val="22"/>
                <w:szCs w:val="22"/>
                <w:lang w:val="en-US"/>
              </w:rPr>
              <w:t>2</w:t>
            </w:r>
          </w:p>
        </w:tc>
        <w:tc>
          <w:tcPr>
            <w:tcW w:w="5381" w:type="dxa"/>
          </w:tcPr>
          <w:p w14:paraId="44B1FA26" w14:textId="77777777" w:rsidR="00D93227" w:rsidRDefault="00D93227" w:rsidP="00A03E7B">
            <w:pPr>
              <w:rPr>
                <w:sz w:val="22"/>
                <w:szCs w:val="22"/>
                <w:lang w:val="en-US"/>
              </w:rPr>
            </w:pPr>
            <w:r>
              <w:rPr>
                <w:sz w:val="22"/>
                <w:szCs w:val="22"/>
                <w:lang w:val="en-US"/>
              </w:rPr>
              <w:t xml:space="preserve">N/A. </w:t>
            </w:r>
            <w:r w:rsidRPr="000D2FEB">
              <w:rPr>
                <w:sz w:val="22"/>
                <w:szCs w:val="22"/>
                <w:lang w:val="en-US"/>
              </w:rPr>
              <w:t>Other – not inconsistent but does not reflect current wording</w:t>
            </w:r>
            <w:r>
              <w:rPr>
                <w:sz w:val="22"/>
                <w:szCs w:val="22"/>
                <w:lang w:val="en-US"/>
              </w:rPr>
              <w:t xml:space="preserve"> in XIII.9.</w:t>
            </w:r>
          </w:p>
        </w:tc>
      </w:tr>
      <w:tr w:rsidR="00D93227" w:rsidRPr="00217036" w14:paraId="5CBA14F4" w14:textId="77777777" w:rsidTr="00D547CB">
        <w:tc>
          <w:tcPr>
            <w:tcW w:w="6832" w:type="dxa"/>
          </w:tcPr>
          <w:p w14:paraId="0C439B15" w14:textId="77777777" w:rsidR="00D93227" w:rsidRPr="00D04AC7" w:rsidRDefault="00D93227" w:rsidP="00A03E7B">
            <w:pPr>
              <w:rPr>
                <w:sz w:val="22"/>
                <w:szCs w:val="22"/>
                <w:lang w:val="en-US"/>
              </w:rPr>
            </w:pPr>
            <w:r w:rsidRPr="00042AF8">
              <w:rPr>
                <w:sz w:val="22"/>
                <w:szCs w:val="22"/>
                <w:lang w:val="en-US"/>
              </w:rPr>
              <w:t>ALSO RECALLING that through Article 4.5 of the Convention, the Contracting Parties “shall promote the training of personnel competent in the fields of wetland resea</w:t>
            </w:r>
            <w:r w:rsidR="00D547CB">
              <w:rPr>
                <w:sz w:val="22"/>
                <w:szCs w:val="22"/>
                <w:lang w:val="en-US"/>
              </w:rPr>
              <w:t xml:space="preserve">rch, management and </w:t>
            </w:r>
            <w:proofErr w:type="spellStart"/>
            <w:r w:rsidR="00D547CB">
              <w:rPr>
                <w:sz w:val="22"/>
                <w:szCs w:val="22"/>
                <w:lang w:val="en-US"/>
              </w:rPr>
              <w:t>wardening</w:t>
            </w:r>
            <w:proofErr w:type="spellEnd"/>
            <w:r w:rsidR="00D547CB">
              <w:rPr>
                <w:sz w:val="22"/>
                <w:szCs w:val="22"/>
                <w:lang w:val="en-US"/>
              </w:rPr>
              <w:t>”;</w:t>
            </w:r>
          </w:p>
        </w:tc>
        <w:tc>
          <w:tcPr>
            <w:tcW w:w="1668" w:type="dxa"/>
          </w:tcPr>
          <w:p w14:paraId="18A135E5" w14:textId="77777777" w:rsidR="00D93227" w:rsidRPr="00042AF8" w:rsidRDefault="00D93227" w:rsidP="00A03E7B">
            <w:pPr>
              <w:rPr>
                <w:sz w:val="22"/>
                <w:szCs w:val="22"/>
                <w:lang w:val="en-US"/>
              </w:rPr>
            </w:pPr>
            <w:r w:rsidRPr="00042AF8">
              <w:rPr>
                <w:sz w:val="22"/>
                <w:szCs w:val="22"/>
                <w:lang w:val="en-US"/>
              </w:rPr>
              <w:t>3</w:t>
            </w:r>
          </w:p>
        </w:tc>
        <w:tc>
          <w:tcPr>
            <w:tcW w:w="5381" w:type="dxa"/>
          </w:tcPr>
          <w:p w14:paraId="7B9D4DAE" w14:textId="77777777" w:rsidR="00D93227" w:rsidRDefault="00D93227" w:rsidP="00A03E7B">
            <w:pPr>
              <w:rPr>
                <w:sz w:val="22"/>
                <w:szCs w:val="22"/>
                <w:lang w:val="en-US"/>
              </w:rPr>
            </w:pPr>
            <w:r>
              <w:rPr>
                <w:sz w:val="22"/>
                <w:szCs w:val="22"/>
                <w:lang w:val="en-US"/>
              </w:rPr>
              <w:t xml:space="preserve">N/A. </w:t>
            </w:r>
            <w:r w:rsidRPr="000D2FEB">
              <w:rPr>
                <w:sz w:val="22"/>
                <w:szCs w:val="22"/>
                <w:lang w:val="en-US"/>
              </w:rPr>
              <w:t>Other – not inconsistent but does not reflect current wording</w:t>
            </w:r>
            <w:r>
              <w:rPr>
                <w:sz w:val="22"/>
                <w:szCs w:val="22"/>
                <w:lang w:val="en-US"/>
              </w:rPr>
              <w:t xml:space="preserve"> in XIII.9.</w:t>
            </w:r>
          </w:p>
        </w:tc>
      </w:tr>
      <w:tr w:rsidR="00D93227" w:rsidRPr="00FD600C" w14:paraId="58634F94" w14:textId="77777777" w:rsidTr="00D547CB">
        <w:tc>
          <w:tcPr>
            <w:tcW w:w="6832" w:type="dxa"/>
          </w:tcPr>
          <w:p w14:paraId="69C2C182" w14:textId="77777777" w:rsidR="00D93227" w:rsidRPr="00FD600C" w:rsidRDefault="00D93227" w:rsidP="00A03E7B">
            <w:pPr>
              <w:rPr>
                <w:sz w:val="22"/>
                <w:szCs w:val="22"/>
                <w:lang w:val="en-US"/>
              </w:rPr>
            </w:pPr>
          </w:p>
        </w:tc>
        <w:tc>
          <w:tcPr>
            <w:tcW w:w="1668" w:type="dxa"/>
          </w:tcPr>
          <w:p w14:paraId="6F869581" w14:textId="77777777" w:rsidR="00D93227" w:rsidRPr="007705F7" w:rsidRDefault="00D93227" w:rsidP="00A03E7B">
            <w:pPr>
              <w:rPr>
                <w:b/>
                <w:sz w:val="22"/>
                <w:szCs w:val="22"/>
                <w:lang w:val="en-US"/>
              </w:rPr>
            </w:pPr>
            <w:r w:rsidRPr="007705F7">
              <w:rPr>
                <w:b/>
                <w:sz w:val="22"/>
                <w:szCs w:val="22"/>
                <w:lang w:val="en-US"/>
              </w:rPr>
              <w:t>VIII</w:t>
            </w:r>
            <w:r>
              <w:rPr>
                <w:b/>
                <w:sz w:val="22"/>
                <w:szCs w:val="22"/>
                <w:lang w:val="en-US"/>
              </w:rPr>
              <w:t>.30</w:t>
            </w:r>
          </w:p>
        </w:tc>
        <w:tc>
          <w:tcPr>
            <w:tcW w:w="5381" w:type="dxa"/>
          </w:tcPr>
          <w:p w14:paraId="19226AAE" w14:textId="77777777" w:rsidR="00D93227" w:rsidRPr="00FD600C" w:rsidRDefault="00D93227" w:rsidP="00A03E7B">
            <w:pPr>
              <w:rPr>
                <w:sz w:val="22"/>
                <w:szCs w:val="22"/>
                <w:lang w:val="en-US"/>
              </w:rPr>
            </w:pPr>
          </w:p>
        </w:tc>
      </w:tr>
      <w:tr w:rsidR="00D93227" w:rsidRPr="00217036" w14:paraId="254DF53A" w14:textId="77777777" w:rsidTr="00D547CB">
        <w:tc>
          <w:tcPr>
            <w:tcW w:w="6832" w:type="dxa"/>
          </w:tcPr>
          <w:p w14:paraId="74F0CDB5" w14:textId="77777777" w:rsidR="00D93227" w:rsidRPr="009722C1" w:rsidRDefault="00D93227" w:rsidP="00A03E7B">
            <w:pPr>
              <w:rPr>
                <w:sz w:val="22"/>
                <w:szCs w:val="22"/>
                <w:lang w:val="en-US"/>
              </w:rPr>
            </w:pPr>
            <w:r w:rsidRPr="009722C1">
              <w:rPr>
                <w:sz w:val="22"/>
                <w:szCs w:val="22"/>
                <w:lang w:val="en-US"/>
              </w:rPr>
              <w:t xml:space="preserve">RECOGNIZING the importance of regional initiatives in promoting the objectives of the Convention in general and in implementing the Ramsar Strategic Plan in particular, as they can build upon bio-geographic commonalities, shared wetland systems and wetland- dependent species, and solidly established common social and cultural links; </w:t>
            </w:r>
          </w:p>
          <w:p w14:paraId="55109D00" w14:textId="77777777" w:rsidR="00D93227" w:rsidRPr="00FD600C" w:rsidRDefault="00D93227" w:rsidP="00A03E7B">
            <w:pPr>
              <w:rPr>
                <w:sz w:val="22"/>
                <w:szCs w:val="22"/>
                <w:lang w:val="en-US"/>
              </w:rPr>
            </w:pPr>
          </w:p>
        </w:tc>
        <w:tc>
          <w:tcPr>
            <w:tcW w:w="1668" w:type="dxa"/>
          </w:tcPr>
          <w:p w14:paraId="7963F9C4" w14:textId="77777777" w:rsidR="00D93227" w:rsidRPr="00FD600C" w:rsidRDefault="00D93227" w:rsidP="00A03E7B">
            <w:pPr>
              <w:rPr>
                <w:sz w:val="22"/>
                <w:szCs w:val="22"/>
                <w:lang w:val="en-US"/>
              </w:rPr>
            </w:pPr>
            <w:r>
              <w:rPr>
                <w:sz w:val="22"/>
                <w:szCs w:val="22"/>
                <w:lang w:val="en-US"/>
              </w:rPr>
              <w:t>1</w:t>
            </w:r>
          </w:p>
        </w:tc>
        <w:tc>
          <w:tcPr>
            <w:tcW w:w="5381" w:type="dxa"/>
          </w:tcPr>
          <w:p w14:paraId="0B71BC35"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inconsistent but does not reflect current wording</w:t>
            </w:r>
            <w:r>
              <w:rPr>
                <w:sz w:val="22"/>
                <w:szCs w:val="22"/>
                <w:lang w:val="en-US"/>
              </w:rPr>
              <w:t xml:space="preserve"> in XIII.9.</w:t>
            </w:r>
          </w:p>
        </w:tc>
      </w:tr>
      <w:tr w:rsidR="00D93227" w:rsidRPr="00217036" w14:paraId="7B638E81" w14:textId="77777777" w:rsidTr="00D547CB">
        <w:tc>
          <w:tcPr>
            <w:tcW w:w="6832" w:type="dxa"/>
          </w:tcPr>
          <w:p w14:paraId="3AC57FD9" w14:textId="77777777" w:rsidR="00D93227" w:rsidRPr="00FD600C" w:rsidRDefault="00D93227" w:rsidP="00A03E7B">
            <w:pPr>
              <w:rPr>
                <w:sz w:val="22"/>
                <w:szCs w:val="22"/>
                <w:lang w:val="en-US"/>
              </w:rPr>
            </w:pPr>
            <w:r w:rsidRPr="009722C1">
              <w:rPr>
                <w:sz w:val="22"/>
                <w:szCs w:val="22"/>
                <w:lang w:val="en-US"/>
              </w:rPr>
              <w:t>CONSIDERING that the Convention, through its provisions under Article 5 as elaborated by the Guidelines for international cooperation under the Ramsar Convention (Resolution VII.19), provides the appropriate framework for promoting international collaboration among Parties and other partners;</w:t>
            </w:r>
            <w:r>
              <w:rPr>
                <w:sz w:val="22"/>
                <w:szCs w:val="22"/>
                <w:lang w:val="en-US"/>
              </w:rPr>
              <w:t xml:space="preserve"> </w:t>
            </w:r>
          </w:p>
        </w:tc>
        <w:tc>
          <w:tcPr>
            <w:tcW w:w="1668" w:type="dxa"/>
          </w:tcPr>
          <w:p w14:paraId="45C67023" w14:textId="77777777" w:rsidR="00D93227" w:rsidRPr="00FD600C" w:rsidRDefault="00D93227" w:rsidP="00A03E7B">
            <w:pPr>
              <w:rPr>
                <w:sz w:val="22"/>
                <w:szCs w:val="22"/>
                <w:lang w:val="en-US"/>
              </w:rPr>
            </w:pPr>
            <w:r>
              <w:rPr>
                <w:sz w:val="22"/>
                <w:szCs w:val="22"/>
                <w:lang w:val="en-US"/>
              </w:rPr>
              <w:t>2</w:t>
            </w:r>
          </w:p>
        </w:tc>
        <w:tc>
          <w:tcPr>
            <w:tcW w:w="5381" w:type="dxa"/>
          </w:tcPr>
          <w:p w14:paraId="68C8D36B"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referred to in XIII.9 but not inconsistent per se</w:t>
            </w:r>
            <w:r>
              <w:rPr>
                <w:sz w:val="22"/>
                <w:szCs w:val="22"/>
                <w:lang w:val="en-US"/>
              </w:rPr>
              <w:t xml:space="preserve">. </w:t>
            </w:r>
          </w:p>
        </w:tc>
      </w:tr>
      <w:tr w:rsidR="00D93227" w:rsidRPr="00217036" w14:paraId="0F82A1AF" w14:textId="77777777" w:rsidTr="00D547CB">
        <w:tc>
          <w:tcPr>
            <w:tcW w:w="6832" w:type="dxa"/>
          </w:tcPr>
          <w:p w14:paraId="355ED483" w14:textId="77777777" w:rsidR="00D93227" w:rsidRPr="00FD600C" w:rsidRDefault="00D93227" w:rsidP="00A03E7B">
            <w:pPr>
              <w:rPr>
                <w:sz w:val="22"/>
                <w:szCs w:val="22"/>
                <w:lang w:val="en-US"/>
              </w:rPr>
            </w:pPr>
            <w:r w:rsidRPr="009722C1">
              <w:rPr>
                <w:sz w:val="22"/>
                <w:szCs w:val="22"/>
                <w:lang w:val="en-US"/>
              </w:rPr>
              <w:lastRenderedPageBreak/>
              <w:t>ACKNOWLEDGING the positive, catalytic, and decisive role of international collaboration in planning and providing technical and financial support for projects and activities with that aim;</w:t>
            </w:r>
          </w:p>
        </w:tc>
        <w:tc>
          <w:tcPr>
            <w:tcW w:w="1668" w:type="dxa"/>
          </w:tcPr>
          <w:p w14:paraId="120B83ED" w14:textId="77777777" w:rsidR="00D93227" w:rsidRPr="00FD600C" w:rsidRDefault="00D93227" w:rsidP="00A03E7B">
            <w:pPr>
              <w:rPr>
                <w:sz w:val="22"/>
                <w:szCs w:val="22"/>
                <w:lang w:val="en-US"/>
              </w:rPr>
            </w:pPr>
            <w:r>
              <w:rPr>
                <w:sz w:val="22"/>
                <w:szCs w:val="22"/>
                <w:lang w:val="en-US"/>
              </w:rPr>
              <w:t xml:space="preserve">3 </w:t>
            </w:r>
          </w:p>
        </w:tc>
        <w:tc>
          <w:tcPr>
            <w:tcW w:w="5381" w:type="dxa"/>
          </w:tcPr>
          <w:p w14:paraId="5ED0E8DF"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referred to in XIII.9 but not inconsistent per se</w:t>
            </w:r>
            <w:r>
              <w:rPr>
                <w:sz w:val="22"/>
                <w:szCs w:val="22"/>
                <w:lang w:val="en-US"/>
              </w:rPr>
              <w:t xml:space="preserve">. </w:t>
            </w:r>
          </w:p>
        </w:tc>
      </w:tr>
      <w:tr w:rsidR="00D93227" w:rsidRPr="00FD600C" w14:paraId="7B7EE367" w14:textId="77777777" w:rsidTr="00D547CB">
        <w:tc>
          <w:tcPr>
            <w:tcW w:w="6832" w:type="dxa"/>
          </w:tcPr>
          <w:p w14:paraId="218174EB" w14:textId="77777777" w:rsidR="00D93227" w:rsidRPr="00FD600C" w:rsidRDefault="00D93227" w:rsidP="00A03E7B">
            <w:pPr>
              <w:rPr>
                <w:sz w:val="22"/>
                <w:szCs w:val="22"/>
                <w:lang w:val="en-US"/>
              </w:rPr>
            </w:pPr>
          </w:p>
        </w:tc>
        <w:tc>
          <w:tcPr>
            <w:tcW w:w="1668" w:type="dxa"/>
          </w:tcPr>
          <w:p w14:paraId="7E6F13A4" w14:textId="77777777" w:rsidR="00D93227" w:rsidRPr="000025F4" w:rsidRDefault="00D93227" w:rsidP="00A03E7B">
            <w:pPr>
              <w:rPr>
                <w:b/>
                <w:sz w:val="22"/>
                <w:szCs w:val="22"/>
                <w:lang w:val="en-US"/>
              </w:rPr>
            </w:pPr>
            <w:r w:rsidRPr="000025F4">
              <w:rPr>
                <w:b/>
                <w:sz w:val="22"/>
                <w:szCs w:val="22"/>
                <w:lang w:val="en-US"/>
              </w:rPr>
              <w:t>VII.26</w:t>
            </w:r>
          </w:p>
        </w:tc>
        <w:tc>
          <w:tcPr>
            <w:tcW w:w="5381" w:type="dxa"/>
          </w:tcPr>
          <w:p w14:paraId="0651643B" w14:textId="77777777" w:rsidR="00D93227" w:rsidRPr="00FD600C" w:rsidRDefault="00D93227" w:rsidP="00A03E7B">
            <w:pPr>
              <w:rPr>
                <w:sz w:val="22"/>
                <w:szCs w:val="22"/>
                <w:lang w:val="en-US"/>
              </w:rPr>
            </w:pPr>
          </w:p>
        </w:tc>
      </w:tr>
      <w:tr w:rsidR="00D93227" w:rsidRPr="00217036" w14:paraId="127757D8" w14:textId="77777777" w:rsidTr="00D547CB">
        <w:tc>
          <w:tcPr>
            <w:tcW w:w="6832" w:type="dxa"/>
          </w:tcPr>
          <w:p w14:paraId="4DE6DA8E" w14:textId="77777777" w:rsidR="00D93227" w:rsidRPr="00FD600C" w:rsidRDefault="00D93227" w:rsidP="00A03E7B">
            <w:pPr>
              <w:rPr>
                <w:sz w:val="22"/>
                <w:szCs w:val="22"/>
                <w:lang w:val="en-US"/>
              </w:rPr>
            </w:pPr>
            <w:r w:rsidRPr="00566747">
              <w:rPr>
                <w:sz w:val="22"/>
                <w:szCs w:val="22"/>
                <w:lang w:val="en-US"/>
              </w:rPr>
              <w:t>RECOGNIZING that Article 4.5 of the Convention provides that “the Contracting Parties should promote the training of scientists for the study, management</w:t>
            </w:r>
            <w:r w:rsidR="00D547CB">
              <w:rPr>
                <w:sz w:val="22"/>
                <w:szCs w:val="22"/>
                <w:lang w:val="en-US"/>
              </w:rPr>
              <w:t xml:space="preserve"> and conservation of wetlands”;</w:t>
            </w:r>
          </w:p>
        </w:tc>
        <w:tc>
          <w:tcPr>
            <w:tcW w:w="1668" w:type="dxa"/>
          </w:tcPr>
          <w:p w14:paraId="2C5B6868" w14:textId="77777777" w:rsidR="00D93227" w:rsidRPr="00FD600C" w:rsidRDefault="00D93227" w:rsidP="00A03E7B">
            <w:pPr>
              <w:rPr>
                <w:sz w:val="22"/>
                <w:szCs w:val="22"/>
                <w:lang w:val="en-US"/>
              </w:rPr>
            </w:pPr>
            <w:r>
              <w:rPr>
                <w:sz w:val="22"/>
                <w:szCs w:val="22"/>
                <w:lang w:val="en-US"/>
              </w:rPr>
              <w:t>1</w:t>
            </w:r>
          </w:p>
        </w:tc>
        <w:tc>
          <w:tcPr>
            <w:tcW w:w="5381" w:type="dxa"/>
          </w:tcPr>
          <w:p w14:paraId="49C12A0F"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not inconsistent but does not reflect current wording</w:t>
            </w:r>
            <w:r>
              <w:rPr>
                <w:sz w:val="22"/>
                <w:szCs w:val="22"/>
                <w:lang w:val="en-US"/>
              </w:rPr>
              <w:t>.</w:t>
            </w:r>
          </w:p>
        </w:tc>
      </w:tr>
      <w:tr w:rsidR="00D93227" w:rsidRPr="00217036" w14:paraId="06D9E924" w14:textId="77777777" w:rsidTr="00D547CB">
        <w:tc>
          <w:tcPr>
            <w:tcW w:w="6832" w:type="dxa"/>
          </w:tcPr>
          <w:p w14:paraId="0771BD82" w14:textId="77777777" w:rsidR="00D93227" w:rsidRPr="00566747" w:rsidRDefault="00D93227" w:rsidP="00A03E7B">
            <w:pPr>
              <w:rPr>
                <w:b/>
                <w:sz w:val="22"/>
                <w:szCs w:val="22"/>
                <w:lang w:val="en-US"/>
              </w:rPr>
            </w:pPr>
            <w:r>
              <w:rPr>
                <w:b/>
                <w:sz w:val="22"/>
                <w:szCs w:val="22"/>
                <w:lang w:val="en-US"/>
              </w:rPr>
              <w:t xml:space="preserve">International and regional co-operation </w:t>
            </w:r>
          </w:p>
        </w:tc>
        <w:tc>
          <w:tcPr>
            <w:tcW w:w="1668" w:type="dxa"/>
          </w:tcPr>
          <w:p w14:paraId="317FD502" w14:textId="77777777" w:rsidR="00D93227" w:rsidRPr="00566747" w:rsidRDefault="00D93227" w:rsidP="00A03E7B">
            <w:pPr>
              <w:rPr>
                <w:b/>
                <w:sz w:val="22"/>
                <w:szCs w:val="22"/>
                <w:lang w:val="en-US"/>
              </w:rPr>
            </w:pPr>
            <w:r w:rsidRPr="00566747">
              <w:rPr>
                <w:b/>
                <w:sz w:val="22"/>
                <w:szCs w:val="22"/>
                <w:lang w:val="en-US"/>
              </w:rPr>
              <w:t xml:space="preserve">Resolution </w:t>
            </w:r>
          </w:p>
        </w:tc>
        <w:tc>
          <w:tcPr>
            <w:tcW w:w="5381" w:type="dxa"/>
          </w:tcPr>
          <w:p w14:paraId="101B6AB9" w14:textId="77777777" w:rsidR="00D93227" w:rsidRPr="00FD600C" w:rsidRDefault="00D93227" w:rsidP="00A03E7B">
            <w:pPr>
              <w:rPr>
                <w:sz w:val="22"/>
                <w:szCs w:val="22"/>
                <w:lang w:val="en-US"/>
              </w:rPr>
            </w:pPr>
            <w:r w:rsidRPr="00FD600C">
              <w:rPr>
                <w:b/>
                <w:sz w:val="22"/>
                <w:szCs w:val="22"/>
                <w:lang w:val="en-US"/>
              </w:rPr>
              <w:t xml:space="preserve">Equivalent in XIII.9 </w:t>
            </w:r>
            <w:r>
              <w:rPr>
                <w:b/>
                <w:sz w:val="22"/>
                <w:szCs w:val="22"/>
                <w:lang w:val="en-US"/>
              </w:rPr>
              <w:t>(where relevant)</w:t>
            </w:r>
          </w:p>
        </w:tc>
      </w:tr>
      <w:tr w:rsidR="00D93227" w:rsidRPr="00FD600C" w14:paraId="122D3323" w14:textId="77777777" w:rsidTr="00D547CB">
        <w:tc>
          <w:tcPr>
            <w:tcW w:w="6832" w:type="dxa"/>
          </w:tcPr>
          <w:p w14:paraId="70D1CAD0" w14:textId="77777777" w:rsidR="00D93227" w:rsidRPr="00FD600C" w:rsidRDefault="00D93227" w:rsidP="00A03E7B">
            <w:pPr>
              <w:rPr>
                <w:sz w:val="22"/>
                <w:szCs w:val="22"/>
                <w:lang w:val="en-US"/>
              </w:rPr>
            </w:pPr>
          </w:p>
        </w:tc>
        <w:tc>
          <w:tcPr>
            <w:tcW w:w="1668" w:type="dxa"/>
          </w:tcPr>
          <w:p w14:paraId="3B5E8B5E" w14:textId="7310F981" w:rsidR="00D93227" w:rsidRPr="002A3CD1" w:rsidRDefault="00D93227" w:rsidP="009B12BB">
            <w:pPr>
              <w:rPr>
                <w:b/>
                <w:sz w:val="22"/>
                <w:szCs w:val="22"/>
                <w:lang w:val="en-US"/>
              </w:rPr>
            </w:pPr>
            <w:r w:rsidRPr="002A3CD1">
              <w:rPr>
                <w:b/>
                <w:sz w:val="22"/>
                <w:szCs w:val="22"/>
                <w:lang w:val="en-US"/>
              </w:rPr>
              <w:t>XII.</w:t>
            </w:r>
            <w:r w:rsidR="009B12BB">
              <w:rPr>
                <w:b/>
                <w:sz w:val="22"/>
                <w:szCs w:val="22"/>
                <w:lang w:val="en-US"/>
              </w:rPr>
              <w:t>8</w:t>
            </w:r>
          </w:p>
        </w:tc>
        <w:tc>
          <w:tcPr>
            <w:tcW w:w="5381" w:type="dxa"/>
          </w:tcPr>
          <w:p w14:paraId="35156E17" w14:textId="77777777" w:rsidR="00D93227" w:rsidRPr="00FD600C" w:rsidRDefault="00D93227" w:rsidP="00A03E7B">
            <w:pPr>
              <w:rPr>
                <w:sz w:val="22"/>
                <w:szCs w:val="22"/>
                <w:lang w:val="en-US"/>
              </w:rPr>
            </w:pPr>
          </w:p>
        </w:tc>
      </w:tr>
      <w:tr w:rsidR="00D93227" w:rsidRPr="00217036" w14:paraId="07E05E5B" w14:textId="77777777" w:rsidTr="00D547CB">
        <w:tc>
          <w:tcPr>
            <w:tcW w:w="6832" w:type="dxa"/>
          </w:tcPr>
          <w:p w14:paraId="6B0F83D4" w14:textId="77777777" w:rsidR="00D93227" w:rsidRPr="00FD600C" w:rsidRDefault="00D93227" w:rsidP="00A03E7B">
            <w:pPr>
              <w:rPr>
                <w:sz w:val="22"/>
                <w:szCs w:val="22"/>
                <w:lang w:val="en-US"/>
              </w:rPr>
            </w:pPr>
            <w:r w:rsidRPr="002A3CD1">
              <w:rPr>
                <w:sz w:val="22"/>
                <w:szCs w:val="22"/>
                <w:lang w:val="en-US"/>
              </w:rPr>
              <w:t xml:space="preserve">REAFFIRMS the effectiveness of regional cooperation, through networks and </w:t>
            </w:r>
            <w:proofErr w:type="spellStart"/>
            <w:r w:rsidRPr="002A3CD1">
              <w:rPr>
                <w:sz w:val="22"/>
                <w:szCs w:val="22"/>
                <w:lang w:val="en-US"/>
              </w:rPr>
              <w:t>centres</w:t>
            </w:r>
            <w:proofErr w:type="spellEnd"/>
            <w:r w:rsidRPr="002A3CD1">
              <w:rPr>
                <w:sz w:val="22"/>
                <w:szCs w:val="22"/>
                <w:lang w:val="en-US"/>
              </w:rPr>
              <w:t>, in supporting improved implementation of the Con</w:t>
            </w:r>
            <w:r w:rsidR="00D547CB">
              <w:rPr>
                <w:sz w:val="22"/>
                <w:szCs w:val="22"/>
                <w:lang w:val="en-US"/>
              </w:rPr>
              <w:t>vention and its Strategic Plan;</w:t>
            </w:r>
          </w:p>
        </w:tc>
        <w:tc>
          <w:tcPr>
            <w:tcW w:w="1668" w:type="dxa"/>
          </w:tcPr>
          <w:p w14:paraId="4D414C1C" w14:textId="77777777" w:rsidR="00D93227" w:rsidRPr="00FD600C" w:rsidRDefault="00D93227" w:rsidP="00A03E7B">
            <w:pPr>
              <w:rPr>
                <w:sz w:val="22"/>
                <w:szCs w:val="22"/>
                <w:lang w:val="en-US"/>
              </w:rPr>
            </w:pPr>
            <w:r>
              <w:rPr>
                <w:sz w:val="22"/>
                <w:szCs w:val="22"/>
                <w:lang w:val="en-US"/>
              </w:rPr>
              <w:t>8</w:t>
            </w:r>
          </w:p>
        </w:tc>
        <w:tc>
          <w:tcPr>
            <w:tcW w:w="5381" w:type="dxa"/>
          </w:tcPr>
          <w:p w14:paraId="5D119DD2" w14:textId="77777777" w:rsidR="00D93227" w:rsidRPr="00FD600C" w:rsidRDefault="00D93227" w:rsidP="00A03E7B">
            <w:pPr>
              <w:rPr>
                <w:sz w:val="22"/>
                <w:szCs w:val="22"/>
                <w:lang w:val="en-US"/>
              </w:rPr>
            </w:pPr>
            <w:r>
              <w:rPr>
                <w:sz w:val="22"/>
                <w:szCs w:val="22"/>
                <w:lang w:val="en-US"/>
              </w:rPr>
              <w:t xml:space="preserve">N/A. </w:t>
            </w:r>
            <w:r w:rsidRPr="000D2FEB">
              <w:rPr>
                <w:sz w:val="22"/>
                <w:szCs w:val="22"/>
                <w:lang w:val="en-US"/>
              </w:rPr>
              <w:t>Other – no equivalent in XIII.9 but not inconsistent, either.</w:t>
            </w:r>
          </w:p>
        </w:tc>
      </w:tr>
      <w:tr w:rsidR="00D93227" w:rsidRPr="00217036" w14:paraId="7CCD2881" w14:textId="77777777" w:rsidTr="00D547CB">
        <w:tc>
          <w:tcPr>
            <w:tcW w:w="6832" w:type="dxa"/>
          </w:tcPr>
          <w:p w14:paraId="45906D19" w14:textId="77777777" w:rsidR="00D93227" w:rsidRPr="00D547CB" w:rsidRDefault="00D93227" w:rsidP="00D547CB">
            <w:pPr>
              <w:pStyle w:val="BodyText"/>
              <w:ind w:left="0" w:right="-42" w:firstLine="0"/>
              <w:rPr>
                <w:rFonts w:asciiTheme="minorHAnsi" w:hAnsiTheme="minorHAnsi"/>
              </w:rPr>
            </w:pPr>
            <w:r w:rsidRPr="000D2FEB">
              <w:rPr>
                <w:rFonts w:asciiTheme="minorHAnsi" w:hAnsiTheme="minorHAnsi"/>
              </w:rPr>
              <w:t xml:space="preserve">ENCOURAGES Contracting Parties and INVITES international organizations and regional and </w:t>
            </w:r>
            <w:proofErr w:type="spellStart"/>
            <w:r w:rsidRPr="000D2FEB">
              <w:rPr>
                <w:rFonts w:asciiTheme="minorHAnsi" w:hAnsiTheme="minorHAnsi"/>
              </w:rPr>
              <w:t>subregional</w:t>
            </w:r>
            <w:proofErr w:type="spellEnd"/>
            <w:r w:rsidRPr="000D2FEB">
              <w:rPr>
                <w:rFonts w:asciiTheme="minorHAnsi" w:hAnsiTheme="minorHAnsi"/>
              </w:rPr>
              <w:t xml:space="preserve"> multilateral agreements to identify, for possible inclusion among regional initiatives, transboundary river/g</w:t>
            </w:r>
            <w:r w:rsidR="00D547CB">
              <w:rPr>
                <w:rFonts w:asciiTheme="minorHAnsi" w:hAnsiTheme="minorHAnsi"/>
              </w:rPr>
              <w:t>roundwater basin organizations;</w:t>
            </w:r>
          </w:p>
        </w:tc>
        <w:tc>
          <w:tcPr>
            <w:tcW w:w="1668" w:type="dxa"/>
          </w:tcPr>
          <w:p w14:paraId="50B64015" w14:textId="77777777" w:rsidR="00D93227" w:rsidRPr="00FD600C" w:rsidRDefault="00D93227" w:rsidP="00A03E7B">
            <w:pPr>
              <w:rPr>
                <w:sz w:val="22"/>
                <w:szCs w:val="22"/>
                <w:lang w:val="en-US"/>
              </w:rPr>
            </w:pPr>
            <w:r>
              <w:rPr>
                <w:sz w:val="22"/>
                <w:szCs w:val="22"/>
                <w:lang w:val="en-US"/>
              </w:rPr>
              <w:t>23</w:t>
            </w:r>
          </w:p>
        </w:tc>
        <w:tc>
          <w:tcPr>
            <w:tcW w:w="5381" w:type="dxa"/>
          </w:tcPr>
          <w:p w14:paraId="7AC543F6" w14:textId="77777777" w:rsidR="00D93227" w:rsidRPr="00FD600C" w:rsidRDefault="00D93227" w:rsidP="00A03E7B">
            <w:pPr>
              <w:rPr>
                <w:sz w:val="22"/>
                <w:szCs w:val="22"/>
                <w:lang w:val="en-US"/>
              </w:rPr>
            </w:pPr>
            <w:r>
              <w:rPr>
                <w:sz w:val="22"/>
                <w:szCs w:val="22"/>
                <w:lang w:val="en-US"/>
              </w:rPr>
              <w:t>Para 23. Note, however, l</w:t>
            </w:r>
            <w:r w:rsidRPr="000D2FEB">
              <w:rPr>
                <w:sz w:val="22"/>
                <w:szCs w:val="22"/>
                <w:lang w:val="en-US"/>
              </w:rPr>
              <w:t>anguage inconsistent with para 23 (para 23 ‘encourages CP, as appropriate, to invite…’)</w:t>
            </w:r>
            <w:r>
              <w:rPr>
                <w:sz w:val="22"/>
                <w:szCs w:val="22"/>
                <w:lang w:val="en-US"/>
              </w:rPr>
              <w:t>.</w:t>
            </w:r>
          </w:p>
        </w:tc>
      </w:tr>
      <w:tr w:rsidR="00D93227" w:rsidRPr="00FD600C" w14:paraId="430078BE" w14:textId="77777777" w:rsidTr="00D547CB">
        <w:tc>
          <w:tcPr>
            <w:tcW w:w="6832" w:type="dxa"/>
          </w:tcPr>
          <w:p w14:paraId="6F6AC32C" w14:textId="77777777" w:rsidR="00D93227" w:rsidRPr="00FD600C" w:rsidRDefault="00D93227" w:rsidP="00A03E7B">
            <w:pPr>
              <w:rPr>
                <w:sz w:val="22"/>
                <w:szCs w:val="22"/>
                <w:lang w:val="en-US"/>
              </w:rPr>
            </w:pPr>
          </w:p>
        </w:tc>
        <w:tc>
          <w:tcPr>
            <w:tcW w:w="1668" w:type="dxa"/>
          </w:tcPr>
          <w:p w14:paraId="6DCE4ED1" w14:textId="77777777" w:rsidR="00D93227" w:rsidRPr="00E07FA9" w:rsidRDefault="00D93227" w:rsidP="00A03E7B">
            <w:pPr>
              <w:rPr>
                <w:b/>
                <w:sz w:val="22"/>
                <w:szCs w:val="22"/>
                <w:lang w:val="en-US"/>
              </w:rPr>
            </w:pPr>
            <w:r w:rsidRPr="00E07FA9">
              <w:rPr>
                <w:b/>
                <w:sz w:val="22"/>
                <w:szCs w:val="22"/>
                <w:lang w:val="en-US"/>
              </w:rPr>
              <w:t>XI.5</w:t>
            </w:r>
          </w:p>
        </w:tc>
        <w:tc>
          <w:tcPr>
            <w:tcW w:w="5381" w:type="dxa"/>
          </w:tcPr>
          <w:p w14:paraId="1EB28E0E" w14:textId="77777777" w:rsidR="00D93227" w:rsidRPr="00FD600C" w:rsidRDefault="00D93227" w:rsidP="00A03E7B">
            <w:pPr>
              <w:rPr>
                <w:sz w:val="22"/>
                <w:szCs w:val="22"/>
                <w:lang w:val="en-US"/>
              </w:rPr>
            </w:pPr>
          </w:p>
        </w:tc>
      </w:tr>
      <w:tr w:rsidR="00D93227" w:rsidRPr="00FD600C" w14:paraId="3F45BB7C" w14:textId="77777777" w:rsidTr="00D547CB">
        <w:tc>
          <w:tcPr>
            <w:tcW w:w="6832" w:type="dxa"/>
          </w:tcPr>
          <w:p w14:paraId="0424D9B5" w14:textId="77777777" w:rsidR="00D93227" w:rsidRPr="00FD600C" w:rsidRDefault="00D93227" w:rsidP="00A03E7B">
            <w:pPr>
              <w:rPr>
                <w:sz w:val="22"/>
                <w:szCs w:val="22"/>
                <w:lang w:val="en-US"/>
              </w:rPr>
            </w:pPr>
            <w:r w:rsidRPr="002A0C77">
              <w:rPr>
                <w:sz w:val="22"/>
                <w:szCs w:val="22"/>
                <w:lang w:val="en-US"/>
              </w:rPr>
              <w:t xml:space="preserve">REAFFIRMS the usefulness of cooperation at regional level through networks and </w:t>
            </w:r>
            <w:proofErr w:type="spellStart"/>
            <w:r w:rsidRPr="002A0C77">
              <w:rPr>
                <w:sz w:val="22"/>
                <w:szCs w:val="22"/>
                <w:lang w:val="en-US"/>
              </w:rPr>
              <w:t>centres</w:t>
            </w:r>
            <w:proofErr w:type="spellEnd"/>
            <w:r w:rsidRPr="002A0C77">
              <w:rPr>
                <w:sz w:val="22"/>
                <w:szCs w:val="22"/>
                <w:lang w:val="en-US"/>
              </w:rPr>
              <w:t xml:space="preserve"> for training and capacity building in providing effective support for improved implementation of the objectives and approaches of the Convention;</w:t>
            </w:r>
          </w:p>
        </w:tc>
        <w:tc>
          <w:tcPr>
            <w:tcW w:w="1668" w:type="dxa"/>
          </w:tcPr>
          <w:p w14:paraId="14C0AF93" w14:textId="77777777" w:rsidR="00D93227" w:rsidRPr="00FD600C" w:rsidRDefault="00D93227" w:rsidP="00A03E7B">
            <w:pPr>
              <w:rPr>
                <w:sz w:val="22"/>
                <w:szCs w:val="22"/>
                <w:lang w:val="en-US"/>
              </w:rPr>
            </w:pPr>
            <w:r>
              <w:rPr>
                <w:sz w:val="22"/>
                <w:szCs w:val="22"/>
                <w:lang w:val="en-US"/>
              </w:rPr>
              <w:t>7</w:t>
            </w:r>
          </w:p>
        </w:tc>
        <w:tc>
          <w:tcPr>
            <w:tcW w:w="5381" w:type="dxa"/>
          </w:tcPr>
          <w:p w14:paraId="3F1C646F" w14:textId="77777777" w:rsidR="00D93227" w:rsidRPr="00FD600C" w:rsidRDefault="00D93227" w:rsidP="00A03E7B">
            <w:pPr>
              <w:rPr>
                <w:sz w:val="22"/>
                <w:szCs w:val="22"/>
                <w:lang w:val="en-US"/>
              </w:rPr>
            </w:pPr>
            <w:r>
              <w:rPr>
                <w:sz w:val="22"/>
                <w:szCs w:val="22"/>
                <w:lang w:val="en-US"/>
              </w:rPr>
              <w:t>N/A.</w:t>
            </w:r>
          </w:p>
        </w:tc>
      </w:tr>
      <w:tr w:rsidR="003F6A46" w:rsidRPr="00217036" w14:paraId="07B059DD" w14:textId="77777777" w:rsidTr="00D547CB">
        <w:tc>
          <w:tcPr>
            <w:tcW w:w="6832" w:type="dxa"/>
          </w:tcPr>
          <w:p w14:paraId="59460B56" w14:textId="5F8FDEF0" w:rsidR="003F6A46" w:rsidRPr="002A0C77" w:rsidRDefault="003F6A46" w:rsidP="00A03E7B">
            <w:pPr>
              <w:rPr>
                <w:sz w:val="22"/>
                <w:szCs w:val="22"/>
                <w:lang w:val="en-US"/>
              </w:rPr>
            </w:pPr>
            <w:r w:rsidRPr="000D2FEB">
              <w:rPr>
                <w:sz w:val="22"/>
                <w:szCs w:val="22"/>
                <w:lang w:val="en-US"/>
              </w:rPr>
              <w:t xml:space="preserve">ENCOURAGES Contracting Parties, international organizations, international bodies, regional and </w:t>
            </w:r>
            <w:proofErr w:type="spellStart"/>
            <w:r w:rsidRPr="000D2FEB">
              <w:rPr>
                <w:sz w:val="22"/>
                <w:szCs w:val="22"/>
                <w:lang w:val="en-US"/>
              </w:rPr>
              <w:t>subregional</w:t>
            </w:r>
            <w:proofErr w:type="spellEnd"/>
            <w:r w:rsidRPr="000D2FEB">
              <w:rPr>
                <w:sz w:val="22"/>
                <w:szCs w:val="22"/>
                <w:lang w:val="en-US"/>
              </w:rPr>
              <w:t xml:space="preserve"> organizations to identify for possible inclusion among Regional Ini</w:t>
            </w:r>
            <w:r w:rsidR="00292D7A">
              <w:rPr>
                <w:sz w:val="22"/>
                <w:szCs w:val="22"/>
                <w:lang w:val="en-US"/>
              </w:rPr>
              <w:t>ti</w:t>
            </w:r>
            <w:r w:rsidRPr="000D2FEB">
              <w:rPr>
                <w:sz w:val="22"/>
                <w:szCs w:val="22"/>
                <w:lang w:val="en-US"/>
              </w:rPr>
              <w:t>atives particular basins of global importance, such as the Amazon;</w:t>
            </w:r>
          </w:p>
        </w:tc>
        <w:tc>
          <w:tcPr>
            <w:tcW w:w="1668" w:type="dxa"/>
          </w:tcPr>
          <w:p w14:paraId="6F2DBB1B" w14:textId="2A299F0A" w:rsidR="003F6A46" w:rsidRDefault="003F6A46" w:rsidP="00A03E7B">
            <w:pPr>
              <w:rPr>
                <w:sz w:val="22"/>
                <w:szCs w:val="22"/>
                <w:lang w:val="en-US"/>
              </w:rPr>
            </w:pPr>
            <w:r w:rsidRPr="00CD7303">
              <w:rPr>
                <w:sz w:val="22"/>
                <w:szCs w:val="22"/>
                <w:lang w:val="en-US"/>
              </w:rPr>
              <w:t>25</w:t>
            </w:r>
          </w:p>
        </w:tc>
        <w:tc>
          <w:tcPr>
            <w:tcW w:w="5381" w:type="dxa"/>
          </w:tcPr>
          <w:p w14:paraId="486FE4FB" w14:textId="19C716A1" w:rsidR="003F6A46" w:rsidRDefault="003F6A46" w:rsidP="00A03E7B">
            <w:pPr>
              <w:rPr>
                <w:sz w:val="22"/>
                <w:szCs w:val="22"/>
                <w:lang w:val="en-US"/>
              </w:rPr>
            </w:pPr>
            <w:r>
              <w:rPr>
                <w:sz w:val="22"/>
                <w:szCs w:val="22"/>
                <w:lang w:val="en-US"/>
              </w:rPr>
              <w:t>Para 23. Note, however, l</w:t>
            </w:r>
            <w:r w:rsidRPr="000D2FEB">
              <w:rPr>
                <w:sz w:val="22"/>
                <w:szCs w:val="22"/>
                <w:lang w:val="en-US"/>
              </w:rPr>
              <w:t>anguage inconsistent with para 23 (para 23 ‘encourages CP, as appropriate, to invite…’)</w:t>
            </w:r>
            <w:r>
              <w:rPr>
                <w:sz w:val="22"/>
                <w:szCs w:val="22"/>
                <w:lang w:val="en-US"/>
              </w:rPr>
              <w:t>.</w:t>
            </w:r>
          </w:p>
        </w:tc>
      </w:tr>
      <w:tr w:rsidR="003F6A46" w:rsidRPr="00FD600C" w14:paraId="43EED504" w14:textId="77777777" w:rsidTr="00D547CB">
        <w:tc>
          <w:tcPr>
            <w:tcW w:w="6832" w:type="dxa"/>
          </w:tcPr>
          <w:p w14:paraId="7136509F" w14:textId="77777777" w:rsidR="003F6A46" w:rsidRPr="00FD600C" w:rsidRDefault="003F6A46" w:rsidP="00A03E7B">
            <w:pPr>
              <w:rPr>
                <w:sz w:val="22"/>
                <w:szCs w:val="22"/>
                <w:lang w:val="en-US"/>
              </w:rPr>
            </w:pPr>
            <w:r>
              <w:rPr>
                <w:b/>
                <w:sz w:val="22"/>
                <w:szCs w:val="22"/>
                <w:lang w:val="en-US"/>
              </w:rPr>
              <w:t xml:space="preserve">Governance </w:t>
            </w:r>
          </w:p>
        </w:tc>
        <w:tc>
          <w:tcPr>
            <w:tcW w:w="1668" w:type="dxa"/>
          </w:tcPr>
          <w:p w14:paraId="4BBFD607" w14:textId="77777777" w:rsidR="003F6A46" w:rsidRPr="00FD600C" w:rsidRDefault="003F6A46" w:rsidP="00A03E7B">
            <w:pPr>
              <w:rPr>
                <w:sz w:val="22"/>
                <w:szCs w:val="22"/>
                <w:lang w:val="en-US"/>
              </w:rPr>
            </w:pPr>
          </w:p>
        </w:tc>
        <w:tc>
          <w:tcPr>
            <w:tcW w:w="5381" w:type="dxa"/>
          </w:tcPr>
          <w:p w14:paraId="1982A489" w14:textId="77777777" w:rsidR="003F6A46" w:rsidRPr="00FD600C" w:rsidRDefault="003F6A46" w:rsidP="00A03E7B">
            <w:pPr>
              <w:rPr>
                <w:sz w:val="22"/>
                <w:szCs w:val="22"/>
                <w:lang w:val="en-US"/>
              </w:rPr>
            </w:pPr>
          </w:p>
        </w:tc>
      </w:tr>
      <w:tr w:rsidR="003F6A46" w:rsidRPr="00FD600C" w14:paraId="196EA18C" w14:textId="77777777" w:rsidTr="00D547CB">
        <w:tc>
          <w:tcPr>
            <w:tcW w:w="6832" w:type="dxa"/>
          </w:tcPr>
          <w:p w14:paraId="3C6ECB9A" w14:textId="77777777" w:rsidR="003F6A46" w:rsidRPr="00FD600C" w:rsidRDefault="003F6A46" w:rsidP="00A03E7B">
            <w:pPr>
              <w:rPr>
                <w:sz w:val="22"/>
                <w:szCs w:val="22"/>
                <w:lang w:val="en-US"/>
              </w:rPr>
            </w:pPr>
          </w:p>
        </w:tc>
        <w:tc>
          <w:tcPr>
            <w:tcW w:w="1668" w:type="dxa"/>
          </w:tcPr>
          <w:p w14:paraId="0185A1ED" w14:textId="6AAD6A80" w:rsidR="003F6A46" w:rsidRPr="00347A90" w:rsidRDefault="003F6A46" w:rsidP="00400CEA">
            <w:pPr>
              <w:rPr>
                <w:b/>
                <w:sz w:val="22"/>
                <w:szCs w:val="22"/>
                <w:lang w:val="en-US"/>
              </w:rPr>
            </w:pPr>
            <w:r w:rsidRPr="00347A90">
              <w:rPr>
                <w:b/>
                <w:sz w:val="22"/>
                <w:szCs w:val="22"/>
                <w:lang w:val="en-US"/>
              </w:rPr>
              <w:t>XII</w:t>
            </w:r>
            <w:r>
              <w:rPr>
                <w:b/>
                <w:sz w:val="22"/>
                <w:szCs w:val="22"/>
                <w:lang w:val="en-US"/>
              </w:rPr>
              <w:t>.8</w:t>
            </w:r>
          </w:p>
        </w:tc>
        <w:tc>
          <w:tcPr>
            <w:tcW w:w="5381" w:type="dxa"/>
          </w:tcPr>
          <w:p w14:paraId="7EA19F71" w14:textId="77777777" w:rsidR="003F6A46" w:rsidRPr="00FD600C" w:rsidRDefault="003F6A46" w:rsidP="00A03E7B">
            <w:pPr>
              <w:rPr>
                <w:sz w:val="22"/>
                <w:szCs w:val="22"/>
                <w:lang w:val="en-US"/>
              </w:rPr>
            </w:pPr>
          </w:p>
        </w:tc>
      </w:tr>
      <w:tr w:rsidR="003F6A46" w:rsidRPr="00217036" w14:paraId="23D8A0B5" w14:textId="77777777" w:rsidTr="00D547CB">
        <w:tc>
          <w:tcPr>
            <w:tcW w:w="6832" w:type="dxa"/>
          </w:tcPr>
          <w:p w14:paraId="443841AA" w14:textId="77777777" w:rsidR="003F6A46" w:rsidRPr="00336733" w:rsidRDefault="003F6A46" w:rsidP="00A03E7B">
            <w:pPr>
              <w:pStyle w:val="BodyText"/>
              <w:spacing w:line="239" w:lineRule="auto"/>
              <w:ind w:left="0" w:right="-42" w:firstLine="0"/>
              <w:rPr>
                <w:rFonts w:asciiTheme="minorHAnsi" w:hAnsiTheme="minorHAnsi"/>
              </w:rPr>
            </w:pPr>
            <w:r w:rsidRPr="000D2FEB">
              <w:rPr>
                <w:rFonts w:asciiTheme="minorHAnsi" w:hAnsiTheme="minorHAnsi"/>
              </w:rPr>
              <w:t>EMPHASIZES the importance for regional initiatives to establish governance and financial structures which are transparent, accountable, and permit and motivate the participation and representation of all their relevant parties, including the participation of government agencies and non-governmental organizations;</w:t>
            </w:r>
          </w:p>
        </w:tc>
        <w:tc>
          <w:tcPr>
            <w:tcW w:w="1668" w:type="dxa"/>
          </w:tcPr>
          <w:p w14:paraId="3D3BED60" w14:textId="77777777" w:rsidR="003F6A46" w:rsidRPr="00FD600C" w:rsidRDefault="003F6A46" w:rsidP="00A03E7B">
            <w:pPr>
              <w:rPr>
                <w:sz w:val="22"/>
                <w:szCs w:val="22"/>
                <w:lang w:val="en-US"/>
              </w:rPr>
            </w:pPr>
            <w:r>
              <w:rPr>
                <w:sz w:val="22"/>
                <w:szCs w:val="22"/>
                <w:lang w:val="en-US"/>
              </w:rPr>
              <w:t>13</w:t>
            </w:r>
          </w:p>
        </w:tc>
        <w:tc>
          <w:tcPr>
            <w:tcW w:w="5381" w:type="dxa"/>
          </w:tcPr>
          <w:p w14:paraId="3F0E54D1" w14:textId="77777777" w:rsidR="003F6A46" w:rsidRPr="00FD600C" w:rsidRDefault="003F6A46" w:rsidP="00A03E7B">
            <w:pPr>
              <w:rPr>
                <w:sz w:val="22"/>
                <w:szCs w:val="22"/>
                <w:lang w:val="en-US"/>
              </w:rPr>
            </w:pPr>
            <w:r w:rsidRPr="000D2FEB">
              <w:rPr>
                <w:sz w:val="22"/>
                <w:szCs w:val="22"/>
                <w:lang w:val="en-US"/>
              </w:rPr>
              <w:t xml:space="preserve">Broadly consistent </w:t>
            </w:r>
            <w:r>
              <w:rPr>
                <w:sz w:val="22"/>
                <w:szCs w:val="22"/>
                <w:lang w:val="en-US"/>
              </w:rPr>
              <w:t xml:space="preserve">with paras </w:t>
            </w:r>
            <w:r w:rsidRPr="000D2FEB">
              <w:rPr>
                <w:sz w:val="22"/>
                <w:szCs w:val="22"/>
                <w:lang w:val="en-US"/>
              </w:rPr>
              <w:t xml:space="preserve">8 </w:t>
            </w:r>
            <w:r>
              <w:rPr>
                <w:sz w:val="22"/>
                <w:szCs w:val="22"/>
                <w:lang w:val="en-US"/>
              </w:rPr>
              <w:t>c</w:t>
            </w:r>
            <w:r w:rsidRPr="000D2FEB">
              <w:rPr>
                <w:sz w:val="22"/>
                <w:szCs w:val="22"/>
                <w:lang w:val="en-US"/>
              </w:rPr>
              <w:t>,</w:t>
            </w:r>
            <w:r>
              <w:rPr>
                <w:sz w:val="22"/>
                <w:szCs w:val="22"/>
                <w:lang w:val="en-US"/>
              </w:rPr>
              <w:t xml:space="preserve"> </w:t>
            </w:r>
            <w:r w:rsidRPr="000D2FEB">
              <w:rPr>
                <w:sz w:val="22"/>
                <w:szCs w:val="22"/>
                <w:lang w:val="en-US"/>
              </w:rPr>
              <w:t>d,</w:t>
            </w:r>
            <w:r>
              <w:rPr>
                <w:sz w:val="22"/>
                <w:szCs w:val="22"/>
                <w:lang w:val="en-US"/>
              </w:rPr>
              <w:t xml:space="preserve"> </w:t>
            </w:r>
            <w:r w:rsidRPr="000D2FEB">
              <w:rPr>
                <w:sz w:val="22"/>
                <w:szCs w:val="22"/>
                <w:lang w:val="en-US"/>
              </w:rPr>
              <w:t>f, 23</w:t>
            </w:r>
            <w:r>
              <w:rPr>
                <w:sz w:val="22"/>
                <w:szCs w:val="22"/>
                <w:lang w:val="en-US"/>
              </w:rPr>
              <w:t xml:space="preserve"> of XIII.9</w:t>
            </w:r>
            <w:r w:rsidRPr="000D2FEB">
              <w:rPr>
                <w:sz w:val="22"/>
                <w:szCs w:val="22"/>
                <w:lang w:val="en-US"/>
              </w:rPr>
              <w:t xml:space="preserve"> (although not identical</w:t>
            </w:r>
            <w:r>
              <w:rPr>
                <w:sz w:val="22"/>
                <w:szCs w:val="22"/>
                <w:lang w:val="en-US"/>
              </w:rPr>
              <w:t>).</w:t>
            </w:r>
          </w:p>
        </w:tc>
      </w:tr>
      <w:tr w:rsidR="003F6A46" w:rsidRPr="00FD600C" w14:paraId="192A908C" w14:textId="77777777" w:rsidTr="00D547CB">
        <w:tc>
          <w:tcPr>
            <w:tcW w:w="6832" w:type="dxa"/>
          </w:tcPr>
          <w:p w14:paraId="4899FDDF" w14:textId="77777777" w:rsidR="003F6A46" w:rsidRPr="00FD600C" w:rsidRDefault="003F6A46" w:rsidP="00A03E7B">
            <w:pPr>
              <w:rPr>
                <w:sz w:val="22"/>
                <w:szCs w:val="22"/>
                <w:lang w:val="en-US"/>
              </w:rPr>
            </w:pPr>
          </w:p>
        </w:tc>
        <w:tc>
          <w:tcPr>
            <w:tcW w:w="1668" w:type="dxa"/>
          </w:tcPr>
          <w:p w14:paraId="56AD1DBD" w14:textId="77777777" w:rsidR="003F6A46" w:rsidRPr="006F1520" w:rsidRDefault="003F6A46" w:rsidP="00A03E7B">
            <w:pPr>
              <w:rPr>
                <w:b/>
                <w:sz w:val="22"/>
                <w:szCs w:val="22"/>
                <w:lang w:val="en-US"/>
              </w:rPr>
            </w:pPr>
            <w:r w:rsidRPr="006F1520">
              <w:rPr>
                <w:b/>
                <w:sz w:val="22"/>
                <w:szCs w:val="22"/>
                <w:lang w:val="en-US"/>
              </w:rPr>
              <w:t>XI.5</w:t>
            </w:r>
          </w:p>
        </w:tc>
        <w:tc>
          <w:tcPr>
            <w:tcW w:w="5381" w:type="dxa"/>
          </w:tcPr>
          <w:p w14:paraId="4A5AD1AC" w14:textId="77777777" w:rsidR="003F6A46" w:rsidRPr="00FD600C" w:rsidRDefault="003F6A46" w:rsidP="00A03E7B">
            <w:pPr>
              <w:rPr>
                <w:sz w:val="22"/>
                <w:szCs w:val="22"/>
                <w:lang w:val="en-US"/>
              </w:rPr>
            </w:pPr>
          </w:p>
        </w:tc>
      </w:tr>
      <w:tr w:rsidR="003F6A46" w:rsidRPr="00217036" w14:paraId="3420FBF9" w14:textId="77777777" w:rsidTr="00D547CB">
        <w:tc>
          <w:tcPr>
            <w:tcW w:w="6832" w:type="dxa"/>
          </w:tcPr>
          <w:p w14:paraId="10F81544" w14:textId="77777777" w:rsidR="003F6A46" w:rsidRPr="00FD600C" w:rsidRDefault="003F6A46" w:rsidP="00A03E7B">
            <w:pPr>
              <w:rPr>
                <w:sz w:val="22"/>
                <w:szCs w:val="22"/>
                <w:lang w:val="en-US"/>
              </w:rPr>
            </w:pPr>
            <w:r w:rsidRPr="00CA7835">
              <w:rPr>
                <w:sz w:val="22"/>
                <w:szCs w:val="22"/>
                <w:lang w:val="en-US"/>
              </w:rPr>
              <w:lastRenderedPageBreak/>
              <w:t xml:space="preserve">EMPHASIZES the importance for Regional Initiatives to establish their operational governance structures in a transparent way, based on written terms describing their roles and responsibilities, to ensure that government agencies, research </w:t>
            </w:r>
            <w:proofErr w:type="spellStart"/>
            <w:r w:rsidRPr="00CA7835">
              <w:rPr>
                <w:sz w:val="22"/>
                <w:szCs w:val="22"/>
                <w:lang w:val="en-US"/>
              </w:rPr>
              <w:t>centres</w:t>
            </w:r>
            <w:proofErr w:type="spellEnd"/>
            <w:r w:rsidRPr="00CA7835">
              <w:rPr>
                <w:sz w:val="22"/>
                <w:szCs w:val="22"/>
                <w:lang w:val="en-US"/>
              </w:rPr>
              <w:t>, NGOs and all other relevant partners are adequately represented in such structures, and to report on this to the Secretariat;</w:t>
            </w:r>
          </w:p>
        </w:tc>
        <w:tc>
          <w:tcPr>
            <w:tcW w:w="1668" w:type="dxa"/>
          </w:tcPr>
          <w:p w14:paraId="18549358" w14:textId="77777777" w:rsidR="003F6A46" w:rsidRPr="00FD600C" w:rsidRDefault="003F6A46" w:rsidP="00A03E7B">
            <w:pPr>
              <w:rPr>
                <w:sz w:val="22"/>
                <w:szCs w:val="22"/>
                <w:lang w:val="en-US"/>
              </w:rPr>
            </w:pPr>
            <w:r>
              <w:rPr>
                <w:sz w:val="22"/>
                <w:szCs w:val="22"/>
                <w:lang w:val="en-US"/>
              </w:rPr>
              <w:t>23</w:t>
            </w:r>
          </w:p>
        </w:tc>
        <w:tc>
          <w:tcPr>
            <w:tcW w:w="5381" w:type="dxa"/>
          </w:tcPr>
          <w:p w14:paraId="7FA54EF0" w14:textId="77777777" w:rsidR="003F6A46" w:rsidRDefault="003F6A46" w:rsidP="00A03E7B">
            <w:pPr>
              <w:rPr>
                <w:rFonts w:eastAsia="Calibri" w:cs="Calibri"/>
                <w:sz w:val="22"/>
                <w:szCs w:val="22"/>
                <w:lang w:val="en-US"/>
              </w:rPr>
            </w:pPr>
            <w:r>
              <w:rPr>
                <w:rFonts w:eastAsia="Calibri" w:cs="Calibri"/>
                <w:sz w:val="22"/>
                <w:szCs w:val="22"/>
                <w:lang w:val="en-US"/>
              </w:rPr>
              <w:t>First sentence broadly consistent with p</w:t>
            </w:r>
            <w:r w:rsidRPr="000D2FEB">
              <w:rPr>
                <w:rFonts w:eastAsia="Calibri" w:cs="Calibri"/>
                <w:sz w:val="22"/>
                <w:szCs w:val="22"/>
                <w:lang w:val="en-US"/>
              </w:rPr>
              <w:t>ara</w:t>
            </w:r>
            <w:r>
              <w:rPr>
                <w:rFonts w:eastAsia="Calibri" w:cs="Calibri"/>
                <w:sz w:val="22"/>
                <w:szCs w:val="22"/>
                <w:lang w:val="en-US"/>
              </w:rPr>
              <w:t>s</w:t>
            </w:r>
            <w:r w:rsidRPr="000D2FEB">
              <w:rPr>
                <w:rFonts w:eastAsia="Calibri" w:cs="Calibri"/>
                <w:sz w:val="22"/>
                <w:szCs w:val="22"/>
                <w:lang w:val="en-US"/>
              </w:rPr>
              <w:t xml:space="preserve"> 8</w:t>
            </w:r>
            <w:r>
              <w:rPr>
                <w:rFonts w:eastAsia="Calibri" w:cs="Calibri"/>
                <w:sz w:val="22"/>
                <w:szCs w:val="22"/>
                <w:lang w:val="en-US"/>
              </w:rPr>
              <w:t xml:space="preserve"> c, d of XIII.9.</w:t>
            </w:r>
          </w:p>
          <w:p w14:paraId="03D24155" w14:textId="77777777" w:rsidR="003F6A46" w:rsidRPr="00FD600C" w:rsidRDefault="003F6A46" w:rsidP="00A03E7B">
            <w:pPr>
              <w:rPr>
                <w:sz w:val="22"/>
                <w:szCs w:val="22"/>
                <w:lang w:val="en-US"/>
              </w:rPr>
            </w:pPr>
            <w:r>
              <w:rPr>
                <w:rFonts w:eastAsia="Calibri" w:cs="Calibri"/>
                <w:sz w:val="22"/>
                <w:szCs w:val="22"/>
                <w:lang w:val="en-US"/>
              </w:rPr>
              <w:t xml:space="preserve">Second sentence analogous to para </w:t>
            </w:r>
            <w:r w:rsidRPr="000D2FEB">
              <w:rPr>
                <w:rFonts w:eastAsia="Calibri" w:cs="Calibri"/>
                <w:sz w:val="22"/>
                <w:szCs w:val="22"/>
                <w:lang w:val="en-US"/>
              </w:rPr>
              <w:t>23</w:t>
            </w:r>
            <w:r>
              <w:rPr>
                <w:rFonts w:eastAsia="Calibri" w:cs="Calibri"/>
                <w:sz w:val="22"/>
                <w:szCs w:val="22"/>
                <w:lang w:val="en-US"/>
              </w:rPr>
              <w:t xml:space="preserve"> of XIII.9, but for the directive ‘to ensure that…’.</w:t>
            </w:r>
          </w:p>
        </w:tc>
      </w:tr>
      <w:tr w:rsidR="003F6A46" w:rsidRPr="00FD600C" w14:paraId="5ACF8554" w14:textId="77777777" w:rsidTr="00D547CB">
        <w:tc>
          <w:tcPr>
            <w:tcW w:w="6832" w:type="dxa"/>
          </w:tcPr>
          <w:p w14:paraId="706F4BBB" w14:textId="77777777" w:rsidR="003F6A46" w:rsidRPr="0037038F" w:rsidRDefault="003F6A46" w:rsidP="00A03E7B">
            <w:pPr>
              <w:rPr>
                <w:b/>
                <w:sz w:val="22"/>
                <w:szCs w:val="22"/>
                <w:lang w:val="en-US"/>
              </w:rPr>
            </w:pPr>
            <w:r w:rsidRPr="0037038F">
              <w:rPr>
                <w:b/>
                <w:sz w:val="22"/>
                <w:szCs w:val="22"/>
                <w:lang w:val="en-US"/>
              </w:rPr>
              <w:t xml:space="preserve">Reporting </w:t>
            </w:r>
            <w:r>
              <w:rPr>
                <w:b/>
                <w:sz w:val="22"/>
                <w:szCs w:val="22"/>
                <w:lang w:val="en-US"/>
              </w:rPr>
              <w:t>to SC</w:t>
            </w:r>
          </w:p>
        </w:tc>
        <w:tc>
          <w:tcPr>
            <w:tcW w:w="1668" w:type="dxa"/>
          </w:tcPr>
          <w:p w14:paraId="78B941B0" w14:textId="77777777" w:rsidR="003F6A46" w:rsidRPr="00FD600C" w:rsidRDefault="003F6A46" w:rsidP="00A03E7B">
            <w:pPr>
              <w:rPr>
                <w:sz w:val="22"/>
                <w:szCs w:val="22"/>
                <w:lang w:val="en-US"/>
              </w:rPr>
            </w:pPr>
          </w:p>
        </w:tc>
        <w:tc>
          <w:tcPr>
            <w:tcW w:w="5381" w:type="dxa"/>
          </w:tcPr>
          <w:p w14:paraId="7619E768" w14:textId="77777777" w:rsidR="003F6A46" w:rsidRPr="00FD600C" w:rsidRDefault="003F6A46" w:rsidP="00A03E7B">
            <w:pPr>
              <w:rPr>
                <w:sz w:val="22"/>
                <w:szCs w:val="22"/>
                <w:lang w:val="en-US"/>
              </w:rPr>
            </w:pPr>
          </w:p>
        </w:tc>
      </w:tr>
      <w:tr w:rsidR="003F6A46" w:rsidRPr="00FD600C" w14:paraId="01DF1C1E" w14:textId="77777777" w:rsidTr="00D547CB">
        <w:tc>
          <w:tcPr>
            <w:tcW w:w="6832" w:type="dxa"/>
          </w:tcPr>
          <w:p w14:paraId="663ACDCA" w14:textId="77777777" w:rsidR="003F6A46" w:rsidRPr="00E07FA9" w:rsidRDefault="003F6A46" w:rsidP="00A03E7B">
            <w:pPr>
              <w:rPr>
                <w:b/>
                <w:sz w:val="22"/>
                <w:szCs w:val="22"/>
                <w:lang w:val="en-US"/>
              </w:rPr>
            </w:pPr>
          </w:p>
        </w:tc>
        <w:tc>
          <w:tcPr>
            <w:tcW w:w="1668" w:type="dxa"/>
          </w:tcPr>
          <w:p w14:paraId="78F5BC42" w14:textId="0D00DD66" w:rsidR="003F6A46" w:rsidRPr="00347A90" w:rsidRDefault="003F6A46" w:rsidP="00400CEA">
            <w:pPr>
              <w:rPr>
                <w:b/>
                <w:sz w:val="22"/>
                <w:szCs w:val="22"/>
                <w:lang w:val="en-US"/>
              </w:rPr>
            </w:pPr>
            <w:r w:rsidRPr="00347A90">
              <w:rPr>
                <w:b/>
                <w:sz w:val="22"/>
                <w:szCs w:val="22"/>
                <w:lang w:val="en-US"/>
              </w:rPr>
              <w:t>XII.</w:t>
            </w:r>
            <w:r>
              <w:rPr>
                <w:b/>
                <w:sz w:val="22"/>
                <w:szCs w:val="22"/>
                <w:lang w:val="en-US"/>
              </w:rPr>
              <w:t>8</w:t>
            </w:r>
          </w:p>
        </w:tc>
        <w:tc>
          <w:tcPr>
            <w:tcW w:w="5381" w:type="dxa"/>
          </w:tcPr>
          <w:p w14:paraId="0644362D" w14:textId="77777777" w:rsidR="003F6A46" w:rsidRPr="00FD600C" w:rsidRDefault="003F6A46" w:rsidP="00A03E7B">
            <w:pPr>
              <w:rPr>
                <w:sz w:val="22"/>
                <w:szCs w:val="22"/>
                <w:lang w:val="en-US"/>
              </w:rPr>
            </w:pPr>
          </w:p>
        </w:tc>
      </w:tr>
      <w:tr w:rsidR="003F6A46" w:rsidRPr="00217036" w14:paraId="552A8FC5" w14:textId="77777777" w:rsidTr="00D547CB">
        <w:tc>
          <w:tcPr>
            <w:tcW w:w="6832" w:type="dxa"/>
          </w:tcPr>
          <w:p w14:paraId="67464E1D" w14:textId="77777777" w:rsidR="003F6A46" w:rsidRPr="00FD600C" w:rsidRDefault="003F6A46" w:rsidP="00A03E7B">
            <w:pPr>
              <w:rPr>
                <w:sz w:val="22"/>
                <w:szCs w:val="22"/>
                <w:lang w:val="en-US"/>
              </w:rPr>
            </w:pPr>
            <w:r w:rsidRPr="00347A90">
              <w:rPr>
                <w:sz w:val="22"/>
                <w:szCs w:val="22"/>
                <w:lang w:val="en-US"/>
              </w:rPr>
              <w:t>INSTRUCTS all regional initiatives endorsed by the Convention to continue to submit to the Standing Committee annual reports on their progress and operations, and specifically on their success in fulfilling the Operational Guidelines, and to continue to submit annual plans according to the timetable and format adopted by the Standing Committee;</w:t>
            </w:r>
          </w:p>
        </w:tc>
        <w:tc>
          <w:tcPr>
            <w:tcW w:w="1668" w:type="dxa"/>
          </w:tcPr>
          <w:p w14:paraId="0F2F969E" w14:textId="77777777" w:rsidR="003F6A46" w:rsidRPr="00FD600C" w:rsidRDefault="003F6A46" w:rsidP="00A03E7B">
            <w:pPr>
              <w:rPr>
                <w:sz w:val="22"/>
                <w:szCs w:val="22"/>
                <w:lang w:val="en-US"/>
              </w:rPr>
            </w:pPr>
            <w:r>
              <w:rPr>
                <w:sz w:val="22"/>
                <w:szCs w:val="22"/>
                <w:lang w:val="en-US"/>
              </w:rPr>
              <w:t>11</w:t>
            </w:r>
          </w:p>
        </w:tc>
        <w:tc>
          <w:tcPr>
            <w:tcW w:w="5381" w:type="dxa"/>
          </w:tcPr>
          <w:p w14:paraId="2FB1DAFB" w14:textId="77777777" w:rsidR="003F6A46" w:rsidRPr="00FD600C" w:rsidRDefault="003F6A46" w:rsidP="00A03E7B">
            <w:pPr>
              <w:rPr>
                <w:sz w:val="22"/>
                <w:szCs w:val="22"/>
                <w:lang w:val="en-US"/>
              </w:rPr>
            </w:pPr>
            <w:r w:rsidRPr="000D2FEB">
              <w:rPr>
                <w:sz w:val="22"/>
                <w:szCs w:val="22"/>
                <w:lang w:val="en-US"/>
              </w:rPr>
              <w:t>Some elements broadly consistent with para 8f of XIII.9. Reference to O</w:t>
            </w:r>
            <w:r>
              <w:rPr>
                <w:sz w:val="22"/>
                <w:szCs w:val="22"/>
                <w:lang w:val="en-US"/>
              </w:rPr>
              <w:t xml:space="preserve">perational </w:t>
            </w:r>
            <w:r w:rsidRPr="000D2FEB">
              <w:rPr>
                <w:sz w:val="22"/>
                <w:szCs w:val="22"/>
                <w:lang w:val="en-US"/>
              </w:rPr>
              <w:t>G</w:t>
            </w:r>
            <w:r>
              <w:rPr>
                <w:sz w:val="22"/>
                <w:szCs w:val="22"/>
                <w:lang w:val="en-US"/>
              </w:rPr>
              <w:t>uidelines</w:t>
            </w:r>
            <w:r w:rsidRPr="000D2FEB">
              <w:rPr>
                <w:sz w:val="22"/>
                <w:szCs w:val="22"/>
                <w:lang w:val="en-US"/>
              </w:rPr>
              <w:t xml:space="preserve"> is not consistent</w:t>
            </w:r>
            <w:r>
              <w:rPr>
                <w:sz w:val="22"/>
                <w:szCs w:val="22"/>
                <w:lang w:val="en-US"/>
              </w:rPr>
              <w:t xml:space="preserve"> with para 6 of XIII.9.</w:t>
            </w:r>
          </w:p>
        </w:tc>
      </w:tr>
      <w:tr w:rsidR="003F6A46" w:rsidRPr="00FD600C" w14:paraId="4C2E333F" w14:textId="77777777" w:rsidTr="00D547CB">
        <w:tc>
          <w:tcPr>
            <w:tcW w:w="6832" w:type="dxa"/>
          </w:tcPr>
          <w:p w14:paraId="5CDA686F" w14:textId="77777777" w:rsidR="003F6A46" w:rsidRPr="00FD600C" w:rsidRDefault="003F6A46" w:rsidP="00A03E7B">
            <w:pPr>
              <w:rPr>
                <w:sz w:val="22"/>
                <w:szCs w:val="22"/>
                <w:lang w:val="en-US"/>
              </w:rPr>
            </w:pPr>
          </w:p>
        </w:tc>
        <w:tc>
          <w:tcPr>
            <w:tcW w:w="1668" w:type="dxa"/>
          </w:tcPr>
          <w:p w14:paraId="41E54B6E" w14:textId="77777777" w:rsidR="003F6A46" w:rsidRPr="006F1520" w:rsidRDefault="003F6A46" w:rsidP="00A03E7B">
            <w:pPr>
              <w:rPr>
                <w:b/>
                <w:sz w:val="22"/>
                <w:szCs w:val="22"/>
                <w:lang w:val="en-US"/>
              </w:rPr>
            </w:pPr>
            <w:r w:rsidRPr="006F1520">
              <w:rPr>
                <w:b/>
                <w:sz w:val="22"/>
                <w:szCs w:val="22"/>
                <w:lang w:val="en-US"/>
              </w:rPr>
              <w:t>XI.5</w:t>
            </w:r>
          </w:p>
        </w:tc>
        <w:tc>
          <w:tcPr>
            <w:tcW w:w="5381" w:type="dxa"/>
          </w:tcPr>
          <w:p w14:paraId="148BA463" w14:textId="77777777" w:rsidR="003F6A46" w:rsidRPr="00FD600C" w:rsidRDefault="003F6A46" w:rsidP="00A03E7B">
            <w:pPr>
              <w:rPr>
                <w:sz w:val="22"/>
                <w:szCs w:val="22"/>
                <w:lang w:val="en-US"/>
              </w:rPr>
            </w:pPr>
          </w:p>
        </w:tc>
      </w:tr>
      <w:tr w:rsidR="003F6A46" w:rsidRPr="00217036" w14:paraId="67479F54" w14:textId="77777777" w:rsidTr="00D547CB">
        <w:tc>
          <w:tcPr>
            <w:tcW w:w="6832" w:type="dxa"/>
          </w:tcPr>
          <w:p w14:paraId="2370C417" w14:textId="77777777" w:rsidR="003F6A46" w:rsidRPr="00FD600C" w:rsidRDefault="003F6A46" w:rsidP="00A03E7B">
            <w:pPr>
              <w:rPr>
                <w:sz w:val="22"/>
                <w:szCs w:val="22"/>
                <w:lang w:val="en-US"/>
              </w:rPr>
            </w:pPr>
            <w:r w:rsidRPr="000D2FEB">
              <w:rPr>
                <w:sz w:val="22"/>
                <w:szCs w:val="22"/>
                <w:lang w:val="en-US"/>
              </w:rPr>
              <w:t>INSTRUCTS all initiatives approved by the Convention to submit to the Standing Committee annual reports on their progress and operations, and specifically on their success in fulfilling the Operational Guidelines, as well as to forward annual work and finance plans in the format adopted by the Standing Committee;</w:t>
            </w:r>
          </w:p>
        </w:tc>
        <w:tc>
          <w:tcPr>
            <w:tcW w:w="1668" w:type="dxa"/>
          </w:tcPr>
          <w:p w14:paraId="381F75C8" w14:textId="77777777" w:rsidR="003F6A46" w:rsidRPr="00FD600C" w:rsidRDefault="003F6A46" w:rsidP="00A03E7B">
            <w:pPr>
              <w:rPr>
                <w:sz w:val="22"/>
                <w:szCs w:val="22"/>
                <w:lang w:val="en-US"/>
              </w:rPr>
            </w:pPr>
            <w:r>
              <w:rPr>
                <w:sz w:val="22"/>
                <w:szCs w:val="22"/>
                <w:lang w:val="en-US"/>
              </w:rPr>
              <w:t>9</w:t>
            </w:r>
          </w:p>
        </w:tc>
        <w:tc>
          <w:tcPr>
            <w:tcW w:w="5381" w:type="dxa"/>
          </w:tcPr>
          <w:p w14:paraId="29F641D0" w14:textId="77777777" w:rsidR="003F6A46" w:rsidRPr="00FD600C" w:rsidRDefault="003F6A46" w:rsidP="00A03E7B">
            <w:pPr>
              <w:rPr>
                <w:sz w:val="22"/>
                <w:szCs w:val="22"/>
                <w:lang w:val="en-US"/>
              </w:rPr>
            </w:pPr>
            <w:r w:rsidRPr="000D2FEB">
              <w:rPr>
                <w:sz w:val="22"/>
                <w:szCs w:val="22"/>
                <w:lang w:val="en-US"/>
              </w:rPr>
              <w:t>Some elements broadly consistent with para 8f of XIII.9. Reference to O</w:t>
            </w:r>
            <w:r>
              <w:rPr>
                <w:sz w:val="22"/>
                <w:szCs w:val="22"/>
                <w:lang w:val="en-US"/>
              </w:rPr>
              <w:t xml:space="preserve">perational </w:t>
            </w:r>
            <w:r w:rsidRPr="000D2FEB">
              <w:rPr>
                <w:sz w:val="22"/>
                <w:szCs w:val="22"/>
                <w:lang w:val="en-US"/>
              </w:rPr>
              <w:t>G</w:t>
            </w:r>
            <w:r>
              <w:rPr>
                <w:sz w:val="22"/>
                <w:szCs w:val="22"/>
                <w:lang w:val="en-US"/>
              </w:rPr>
              <w:t>uidelines</w:t>
            </w:r>
            <w:r w:rsidRPr="000D2FEB">
              <w:rPr>
                <w:sz w:val="22"/>
                <w:szCs w:val="22"/>
                <w:lang w:val="en-US"/>
              </w:rPr>
              <w:t xml:space="preserve"> is not consistent</w:t>
            </w:r>
            <w:r>
              <w:rPr>
                <w:sz w:val="22"/>
                <w:szCs w:val="22"/>
                <w:lang w:val="en-US"/>
              </w:rPr>
              <w:t xml:space="preserve"> with para 6 of XIII.9. </w:t>
            </w:r>
          </w:p>
        </w:tc>
      </w:tr>
      <w:tr w:rsidR="003F6A46" w:rsidRPr="00FD600C" w14:paraId="5CC4D7A8" w14:textId="77777777" w:rsidTr="00D547CB">
        <w:tc>
          <w:tcPr>
            <w:tcW w:w="6832" w:type="dxa"/>
          </w:tcPr>
          <w:p w14:paraId="41B84064" w14:textId="77777777" w:rsidR="003F6A46" w:rsidRPr="00893B23" w:rsidRDefault="003F6A46" w:rsidP="00A03E7B">
            <w:pPr>
              <w:rPr>
                <w:sz w:val="22"/>
                <w:szCs w:val="22"/>
                <w:lang w:val="en-US"/>
              </w:rPr>
            </w:pPr>
          </w:p>
        </w:tc>
        <w:tc>
          <w:tcPr>
            <w:tcW w:w="1668" w:type="dxa"/>
          </w:tcPr>
          <w:p w14:paraId="548B253A" w14:textId="77777777" w:rsidR="003F6A46" w:rsidRPr="00893B23" w:rsidRDefault="003F6A46" w:rsidP="00A03E7B">
            <w:pPr>
              <w:rPr>
                <w:b/>
                <w:sz w:val="22"/>
                <w:szCs w:val="22"/>
                <w:lang w:val="en-US"/>
              </w:rPr>
            </w:pPr>
            <w:r w:rsidRPr="00893B23">
              <w:rPr>
                <w:b/>
                <w:sz w:val="22"/>
                <w:szCs w:val="22"/>
                <w:lang w:val="en-US"/>
              </w:rPr>
              <w:t>X.6</w:t>
            </w:r>
          </w:p>
        </w:tc>
        <w:tc>
          <w:tcPr>
            <w:tcW w:w="5381" w:type="dxa"/>
          </w:tcPr>
          <w:p w14:paraId="7920074C" w14:textId="77777777" w:rsidR="003F6A46" w:rsidRPr="00FD600C" w:rsidRDefault="003F6A46" w:rsidP="00A03E7B">
            <w:pPr>
              <w:rPr>
                <w:sz w:val="22"/>
                <w:szCs w:val="22"/>
                <w:lang w:val="en-US"/>
              </w:rPr>
            </w:pPr>
          </w:p>
        </w:tc>
      </w:tr>
      <w:tr w:rsidR="003F6A46" w:rsidRPr="00217036" w14:paraId="2A40B837" w14:textId="77777777" w:rsidTr="00D547CB">
        <w:tc>
          <w:tcPr>
            <w:tcW w:w="6832" w:type="dxa"/>
          </w:tcPr>
          <w:p w14:paraId="06923B5A" w14:textId="77777777" w:rsidR="003F6A46" w:rsidRPr="00893B23" w:rsidRDefault="003F6A46" w:rsidP="00A03E7B">
            <w:pPr>
              <w:rPr>
                <w:sz w:val="22"/>
                <w:szCs w:val="22"/>
                <w:lang w:val="en-US"/>
              </w:rPr>
            </w:pPr>
            <w:r w:rsidRPr="00893B23">
              <w:rPr>
                <w:sz w:val="22"/>
                <w:szCs w:val="22"/>
                <w:lang w:val="en-US"/>
              </w:rPr>
              <w:t>INSTRUCTS all initiatives under the present Resolution, and particularly those funded from the core budget, to submit to the Standing Committee annual reports on progress and operations of the initiatives concerned, and specifically on their success in fulfilling the Operational Guidelines;</w:t>
            </w:r>
          </w:p>
        </w:tc>
        <w:tc>
          <w:tcPr>
            <w:tcW w:w="1668" w:type="dxa"/>
          </w:tcPr>
          <w:p w14:paraId="32FB8DB7" w14:textId="5E087312" w:rsidR="003F6A46" w:rsidRPr="00FD600C" w:rsidRDefault="003F6A46" w:rsidP="00A03E7B">
            <w:pPr>
              <w:rPr>
                <w:sz w:val="22"/>
                <w:szCs w:val="22"/>
                <w:lang w:val="en-US"/>
              </w:rPr>
            </w:pPr>
            <w:r>
              <w:rPr>
                <w:sz w:val="22"/>
                <w:szCs w:val="22"/>
                <w:lang w:val="en-US"/>
              </w:rPr>
              <w:t>12</w:t>
            </w:r>
          </w:p>
        </w:tc>
        <w:tc>
          <w:tcPr>
            <w:tcW w:w="5381" w:type="dxa"/>
          </w:tcPr>
          <w:p w14:paraId="77786AC9" w14:textId="77777777" w:rsidR="003F6A46" w:rsidRPr="00FD600C" w:rsidRDefault="003F6A46" w:rsidP="00A03E7B">
            <w:pPr>
              <w:rPr>
                <w:sz w:val="22"/>
                <w:szCs w:val="22"/>
                <w:lang w:val="en-US"/>
              </w:rPr>
            </w:pPr>
            <w:r>
              <w:rPr>
                <w:sz w:val="22"/>
                <w:szCs w:val="22"/>
                <w:lang w:val="en-US"/>
              </w:rPr>
              <w:t xml:space="preserve">Broadly consistent with elements of para 8f of XIII.9 however inconsistent with para 6 of XIII.9 (which makes adherence to Operational Guidelines discretionary). </w:t>
            </w:r>
          </w:p>
          <w:p w14:paraId="61A5A1E5" w14:textId="77777777" w:rsidR="003F6A46" w:rsidRPr="00FD600C" w:rsidRDefault="003F6A46" w:rsidP="00A03E7B">
            <w:pPr>
              <w:rPr>
                <w:sz w:val="22"/>
                <w:szCs w:val="22"/>
                <w:lang w:val="en-US"/>
              </w:rPr>
            </w:pPr>
          </w:p>
        </w:tc>
      </w:tr>
      <w:tr w:rsidR="003F6A46" w:rsidRPr="00FD600C" w14:paraId="7F6E6CEE" w14:textId="77777777" w:rsidTr="00D547CB">
        <w:tc>
          <w:tcPr>
            <w:tcW w:w="6832" w:type="dxa"/>
          </w:tcPr>
          <w:p w14:paraId="0FE7F0A6" w14:textId="77777777" w:rsidR="003F6A46" w:rsidRPr="00FD600C" w:rsidRDefault="003F6A46" w:rsidP="00A03E7B">
            <w:pPr>
              <w:rPr>
                <w:sz w:val="22"/>
                <w:szCs w:val="22"/>
                <w:lang w:val="en-US"/>
              </w:rPr>
            </w:pPr>
            <w:r>
              <w:rPr>
                <w:b/>
                <w:sz w:val="22"/>
                <w:szCs w:val="22"/>
                <w:lang w:val="en-US"/>
              </w:rPr>
              <w:t xml:space="preserve">Assessment </w:t>
            </w:r>
          </w:p>
        </w:tc>
        <w:tc>
          <w:tcPr>
            <w:tcW w:w="1668" w:type="dxa"/>
          </w:tcPr>
          <w:p w14:paraId="5007BB8A" w14:textId="77777777" w:rsidR="003F6A46" w:rsidRPr="00FD600C" w:rsidRDefault="003F6A46" w:rsidP="00A03E7B">
            <w:pPr>
              <w:rPr>
                <w:sz w:val="22"/>
                <w:szCs w:val="22"/>
                <w:lang w:val="en-US"/>
              </w:rPr>
            </w:pPr>
          </w:p>
        </w:tc>
        <w:tc>
          <w:tcPr>
            <w:tcW w:w="5381" w:type="dxa"/>
          </w:tcPr>
          <w:p w14:paraId="53B26F8E" w14:textId="77777777" w:rsidR="003F6A46" w:rsidRPr="00FD600C" w:rsidRDefault="003F6A46" w:rsidP="00A03E7B">
            <w:pPr>
              <w:rPr>
                <w:sz w:val="22"/>
                <w:szCs w:val="22"/>
                <w:lang w:val="en-US"/>
              </w:rPr>
            </w:pPr>
          </w:p>
        </w:tc>
      </w:tr>
      <w:tr w:rsidR="003F6A46" w:rsidRPr="00FD600C" w14:paraId="5C31E991" w14:textId="77777777" w:rsidTr="00D547CB">
        <w:tc>
          <w:tcPr>
            <w:tcW w:w="6832" w:type="dxa"/>
          </w:tcPr>
          <w:p w14:paraId="4A55D834" w14:textId="77777777" w:rsidR="003F6A46" w:rsidRPr="008B3E74" w:rsidRDefault="003F6A46" w:rsidP="00A03E7B">
            <w:pPr>
              <w:rPr>
                <w:sz w:val="22"/>
                <w:szCs w:val="22"/>
                <w:lang w:val="en-US"/>
              </w:rPr>
            </w:pPr>
          </w:p>
        </w:tc>
        <w:tc>
          <w:tcPr>
            <w:tcW w:w="1668" w:type="dxa"/>
          </w:tcPr>
          <w:p w14:paraId="5A54128A" w14:textId="77777777" w:rsidR="003F6A46" w:rsidRPr="00724076" w:rsidRDefault="003F6A46" w:rsidP="00A03E7B">
            <w:pPr>
              <w:rPr>
                <w:b/>
                <w:sz w:val="22"/>
                <w:szCs w:val="22"/>
                <w:lang w:val="en-US"/>
              </w:rPr>
            </w:pPr>
            <w:r w:rsidRPr="00724076">
              <w:rPr>
                <w:b/>
                <w:sz w:val="22"/>
                <w:szCs w:val="22"/>
                <w:lang w:val="en-US"/>
              </w:rPr>
              <w:t>XII.9</w:t>
            </w:r>
          </w:p>
        </w:tc>
        <w:tc>
          <w:tcPr>
            <w:tcW w:w="5381" w:type="dxa"/>
          </w:tcPr>
          <w:p w14:paraId="66581531" w14:textId="77777777" w:rsidR="003F6A46" w:rsidRPr="00FD600C" w:rsidRDefault="003F6A46" w:rsidP="00A03E7B">
            <w:pPr>
              <w:rPr>
                <w:sz w:val="22"/>
                <w:szCs w:val="22"/>
                <w:lang w:val="en-US"/>
              </w:rPr>
            </w:pPr>
          </w:p>
        </w:tc>
      </w:tr>
      <w:tr w:rsidR="003F6A46" w:rsidRPr="00A51B73" w14:paraId="6382C881" w14:textId="77777777" w:rsidTr="00D547CB">
        <w:tc>
          <w:tcPr>
            <w:tcW w:w="6832" w:type="dxa"/>
          </w:tcPr>
          <w:p w14:paraId="01DA47AE" w14:textId="77777777" w:rsidR="003F6A46" w:rsidRPr="00FD600C" w:rsidRDefault="003F6A46" w:rsidP="00A03E7B">
            <w:pPr>
              <w:rPr>
                <w:sz w:val="22"/>
                <w:szCs w:val="22"/>
                <w:lang w:val="en-US"/>
              </w:rPr>
            </w:pPr>
            <w:r w:rsidRPr="008B3E74">
              <w:rPr>
                <w:sz w:val="22"/>
                <w:szCs w:val="22"/>
                <w:lang w:val="en-US"/>
              </w:rPr>
              <w:t xml:space="preserve">REQUESTS the Standing Committee to continue to assess annually, based on the reports submitted, according to the format adopted through Standing Committee Decision SC41-21, the functioning of Ramsar regional initiatives in relation to the </w:t>
            </w:r>
            <w:r w:rsidRPr="008B3E74">
              <w:rPr>
                <w:i/>
                <w:sz w:val="22"/>
                <w:szCs w:val="22"/>
                <w:lang w:val="en-US"/>
              </w:rPr>
              <w:t>Operational Guidelines</w:t>
            </w:r>
            <w:r w:rsidRPr="008B3E74">
              <w:rPr>
                <w:sz w:val="22"/>
                <w:szCs w:val="22"/>
                <w:lang w:val="en-US"/>
              </w:rPr>
              <w:t>, the implementation of the Convention and the Ramsar Strategic Plan 2016-2024, seeking support from the CE</w:t>
            </w:r>
            <w:r>
              <w:rPr>
                <w:sz w:val="22"/>
                <w:szCs w:val="22"/>
                <w:lang w:val="en-US"/>
              </w:rPr>
              <w:t>PA Oversight Panel as required;</w:t>
            </w:r>
          </w:p>
        </w:tc>
        <w:tc>
          <w:tcPr>
            <w:tcW w:w="1668" w:type="dxa"/>
          </w:tcPr>
          <w:p w14:paraId="2DFC962F" w14:textId="77777777" w:rsidR="003F6A46" w:rsidRPr="00FD600C" w:rsidRDefault="003F6A46" w:rsidP="00A03E7B">
            <w:pPr>
              <w:rPr>
                <w:sz w:val="22"/>
                <w:szCs w:val="22"/>
                <w:lang w:val="en-US"/>
              </w:rPr>
            </w:pPr>
            <w:r>
              <w:rPr>
                <w:sz w:val="22"/>
                <w:szCs w:val="22"/>
                <w:lang w:val="en-US"/>
              </w:rPr>
              <w:t>12</w:t>
            </w:r>
          </w:p>
        </w:tc>
        <w:tc>
          <w:tcPr>
            <w:tcW w:w="5381" w:type="dxa"/>
          </w:tcPr>
          <w:p w14:paraId="4E1A56DA" w14:textId="77777777" w:rsidR="003F6A46" w:rsidRPr="00FD600C" w:rsidRDefault="003F6A46" w:rsidP="00A03E7B">
            <w:pPr>
              <w:rPr>
                <w:sz w:val="22"/>
                <w:szCs w:val="22"/>
                <w:lang w:val="en-US"/>
              </w:rPr>
            </w:pPr>
            <w:r w:rsidRPr="000D2FEB">
              <w:rPr>
                <w:sz w:val="22"/>
                <w:szCs w:val="22"/>
                <w:lang w:val="en-US"/>
              </w:rPr>
              <w:t xml:space="preserve">Some elements inconsistent; some elements </w:t>
            </w:r>
            <w:proofErr w:type="gramStart"/>
            <w:r w:rsidRPr="000D2FEB">
              <w:rPr>
                <w:sz w:val="22"/>
                <w:szCs w:val="22"/>
                <w:lang w:val="en-US"/>
              </w:rPr>
              <w:t xml:space="preserve">redundant  </w:t>
            </w:r>
            <w:r>
              <w:rPr>
                <w:sz w:val="22"/>
                <w:szCs w:val="22"/>
                <w:lang w:val="en-US"/>
              </w:rPr>
              <w:t>(</w:t>
            </w:r>
            <w:proofErr w:type="gramEnd"/>
            <w:r>
              <w:rPr>
                <w:sz w:val="22"/>
                <w:szCs w:val="22"/>
                <w:lang w:val="en-US"/>
              </w:rPr>
              <w:t xml:space="preserve">Para 6; </w:t>
            </w:r>
            <w:r w:rsidRPr="000D2FEB">
              <w:rPr>
                <w:sz w:val="22"/>
                <w:szCs w:val="22"/>
                <w:lang w:val="en-US"/>
              </w:rPr>
              <w:t>P</w:t>
            </w:r>
            <w:r>
              <w:rPr>
                <w:sz w:val="22"/>
                <w:szCs w:val="22"/>
                <w:lang w:val="en-US"/>
              </w:rPr>
              <w:t xml:space="preserve">ara 8b and f). </w:t>
            </w:r>
          </w:p>
        </w:tc>
      </w:tr>
      <w:tr w:rsidR="003F6A46" w:rsidRPr="00FD600C" w14:paraId="1C0B91FC" w14:textId="77777777" w:rsidTr="00D547CB">
        <w:tc>
          <w:tcPr>
            <w:tcW w:w="6832" w:type="dxa"/>
          </w:tcPr>
          <w:p w14:paraId="2B52D881" w14:textId="77777777" w:rsidR="003F6A46" w:rsidRPr="00FD600C" w:rsidRDefault="003F6A46" w:rsidP="00A03E7B">
            <w:pPr>
              <w:rPr>
                <w:sz w:val="22"/>
                <w:szCs w:val="22"/>
                <w:lang w:val="en-US"/>
              </w:rPr>
            </w:pPr>
          </w:p>
        </w:tc>
        <w:tc>
          <w:tcPr>
            <w:tcW w:w="1668" w:type="dxa"/>
          </w:tcPr>
          <w:p w14:paraId="244885F6" w14:textId="77777777" w:rsidR="003F6A46" w:rsidRPr="00A26961" w:rsidRDefault="003F6A46" w:rsidP="00A03E7B">
            <w:pPr>
              <w:rPr>
                <w:b/>
                <w:sz w:val="22"/>
                <w:szCs w:val="22"/>
                <w:lang w:val="en-US"/>
              </w:rPr>
            </w:pPr>
            <w:r w:rsidRPr="00A26961">
              <w:rPr>
                <w:b/>
                <w:sz w:val="22"/>
                <w:szCs w:val="22"/>
                <w:lang w:val="en-US"/>
              </w:rPr>
              <w:t>XI.5</w:t>
            </w:r>
          </w:p>
        </w:tc>
        <w:tc>
          <w:tcPr>
            <w:tcW w:w="5381" w:type="dxa"/>
          </w:tcPr>
          <w:p w14:paraId="0D47F195" w14:textId="77777777" w:rsidR="003F6A46" w:rsidRPr="00FD600C" w:rsidRDefault="003F6A46" w:rsidP="00A03E7B">
            <w:pPr>
              <w:rPr>
                <w:sz w:val="22"/>
                <w:szCs w:val="22"/>
                <w:lang w:val="en-US"/>
              </w:rPr>
            </w:pPr>
          </w:p>
        </w:tc>
      </w:tr>
      <w:tr w:rsidR="003F6A46" w:rsidRPr="00217036" w14:paraId="4F07AF12" w14:textId="77777777" w:rsidTr="00D547CB">
        <w:tc>
          <w:tcPr>
            <w:tcW w:w="6832" w:type="dxa"/>
          </w:tcPr>
          <w:p w14:paraId="02EC3483" w14:textId="77777777" w:rsidR="003F6A46" w:rsidRPr="00FD600C" w:rsidRDefault="003F6A46" w:rsidP="00A03E7B">
            <w:pPr>
              <w:rPr>
                <w:sz w:val="22"/>
                <w:szCs w:val="22"/>
                <w:lang w:val="en-US"/>
              </w:rPr>
            </w:pPr>
            <w:r w:rsidRPr="000D2FEB">
              <w:rPr>
                <w:sz w:val="22"/>
                <w:szCs w:val="22"/>
                <w:lang w:val="en-US"/>
              </w:rPr>
              <w:lastRenderedPageBreak/>
              <w:t>INSTRUCTS the Standing Committee to continue to assess annually, based on formal reports submitted on time, the extent to which the existing Regional Initiatives continue to meet the standards of the Operational Guidelines and actively contribute to the implementation of the Convention;</w:t>
            </w:r>
          </w:p>
        </w:tc>
        <w:tc>
          <w:tcPr>
            <w:tcW w:w="1668" w:type="dxa"/>
          </w:tcPr>
          <w:p w14:paraId="3AA72F67" w14:textId="77777777" w:rsidR="003F6A46" w:rsidRPr="00FD600C" w:rsidRDefault="003F6A46" w:rsidP="00A03E7B">
            <w:pPr>
              <w:rPr>
                <w:sz w:val="22"/>
                <w:szCs w:val="22"/>
                <w:lang w:val="en-US"/>
              </w:rPr>
            </w:pPr>
            <w:r>
              <w:rPr>
                <w:sz w:val="22"/>
                <w:szCs w:val="22"/>
                <w:lang w:val="en-US"/>
              </w:rPr>
              <w:t>10.</w:t>
            </w:r>
          </w:p>
        </w:tc>
        <w:tc>
          <w:tcPr>
            <w:tcW w:w="5381" w:type="dxa"/>
          </w:tcPr>
          <w:p w14:paraId="3AD24389" w14:textId="77777777" w:rsidR="003F6A46" w:rsidRPr="000D2FEB" w:rsidRDefault="003F6A46" w:rsidP="00A03E7B">
            <w:pPr>
              <w:spacing w:before="2"/>
              <w:ind w:right="-42"/>
              <w:rPr>
                <w:rFonts w:eastAsia="Calibri" w:cs="Calibri"/>
                <w:sz w:val="22"/>
                <w:szCs w:val="22"/>
                <w:lang w:val="en-US"/>
              </w:rPr>
            </w:pPr>
            <w:r>
              <w:rPr>
                <w:rFonts w:eastAsia="Calibri" w:cs="Calibri"/>
                <w:sz w:val="22"/>
                <w:szCs w:val="22"/>
                <w:lang w:val="en-US"/>
              </w:rPr>
              <w:t>I</w:t>
            </w:r>
            <w:r w:rsidRPr="000D2FEB">
              <w:rPr>
                <w:rFonts w:eastAsia="Calibri" w:cs="Calibri"/>
                <w:sz w:val="22"/>
                <w:szCs w:val="22"/>
                <w:lang w:val="en-US"/>
              </w:rPr>
              <w:t xml:space="preserve">nconsistent </w:t>
            </w:r>
            <w:r>
              <w:rPr>
                <w:rFonts w:eastAsia="Calibri" w:cs="Calibri"/>
                <w:sz w:val="22"/>
                <w:szCs w:val="22"/>
                <w:lang w:val="en-US"/>
              </w:rPr>
              <w:t>(</w:t>
            </w:r>
            <w:r w:rsidRPr="000D2FEB">
              <w:rPr>
                <w:rFonts w:eastAsia="Calibri" w:cs="Calibri"/>
                <w:sz w:val="22"/>
                <w:szCs w:val="22"/>
                <w:lang w:val="en-US"/>
              </w:rPr>
              <w:t>Para</w:t>
            </w:r>
            <w:r>
              <w:rPr>
                <w:rFonts w:eastAsia="Calibri" w:cs="Calibri"/>
                <w:sz w:val="22"/>
                <w:szCs w:val="22"/>
                <w:lang w:val="en-US"/>
              </w:rPr>
              <w:t>s</w:t>
            </w:r>
            <w:r w:rsidRPr="000D2FEB">
              <w:rPr>
                <w:rFonts w:eastAsia="Calibri" w:cs="Calibri"/>
                <w:sz w:val="22"/>
                <w:szCs w:val="22"/>
                <w:lang w:val="en-US"/>
              </w:rPr>
              <w:t xml:space="preserve"> 6</w:t>
            </w:r>
            <w:r>
              <w:rPr>
                <w:rFonts w:eastAsia="Calibri" w:cs="Calibri"/>
                <w:sz w:val="22"/>
                <w:szCs w:val="22"/>
                <w:lang w:val="en-US"/>
              </w:rPr>
              <w:t xml:space="preserve"> and 8 of XIII.9).</w:t>
            </w:r>
            <w:r w:rsidRPr="000D2FEB">
              <w:rPr>
                <w:rFonts w:eastAsia="Calibri" w:cs="Calibri"/>
                <w:sz w:val="22"/>
                <w:szCs w:val="22"/>
                <w:lang w:val="en-US"/>
              </w:rPr>
              <w:t xml:space="preserve"> </w:t>
            </w:r>
          </w:p>
          <w:p w14:paraId="2F75A355" w14:textId="77777777" w:rsidR="003F6A46" w:rsidRPr="00FD600C" w:rsidRDefault="003F6A46" w:rsidP="00A03E7B">
            <w:pPr>
              <w:rPr>
                <w:sz w:val="22"/>
                <w:szCs w:val="22"/>
                <w:lang w:val="en-US"/>
              </w:rPr>
            </w:pPr>
          </w:p>
        </w:tc>
      </w:tr>
      <w:tr w:rsidR="003F6A46" w:rsidRPr="00FD600C" w14:paraId="05803400" w14:textId="77777777" w:rsidTr="00D547CB">
        <w:tc>
          <w:tcPr>
            <w:tcW w:w="6832" w:type="dxa"/>
          </w:tcPr>
          <w:p w14:paraId="74D43268" w14:textId="77777777" w:rsidR="003F6A46" w:rsidRPr="000D2FEB" w:rsidRDefault="003F6A46" w:rsidP="00A03E7B">
            <w:pPr>
              <w:rPr>
                <w:sz w:val="22"/>
                <w:szCs w:val="22"/>
                <w:lang w:val="en-US"/>
              </w:rPr>
            </w:pPr>
          </w:p>
        </w:tc>
        <w:tc>
          <w:tcPr>
            <w:tcW w:w="1668" w:type="dxa"/>
          </w:tcPr>
          <w:p w14:paraId="0B9EBD11" w14:textId="77777777" w:rsidR="003F6A46" w:rsidRPr="00EF6A85" w:rsidRDefault="003F6A46" w:rsidP="00A03E7B">
            <w:pPr>
              <w:rPr>
                <w:b/>
                <w:sz w:val="22"/>
                <w:szCs w:val="22"/>
                <w:lang w:val="en-US"/>
              </w:rPr>
            </w:pPr>
            <w:r w:rsidRPr="00EF6A85">
              <w:rPr>
                <w:b/>
                <w:sz w:val="22"/>
                <w:szCs w:val="22"/>
                <w:lang w:val="en-US"/>
              </w:rPr>
              <w:t>X.6</w:t>
            </w:r>
          </w:p>
        </w:tc>
        <w:tc>
          <w:tcPr>
            <w:tcW w:w="5381" w:type="dxa"/>
          </w:tcPr>
          <w:p w14:paraId="63C7DD43" w14:textId="77777777" w:rsidR="003F6A46" w:rsidRDefault="003F6A46" w:rsidP="00A03E7B">
            <w:pPr>
              <w:rPr>
                <w:sz w:val="22"/>
                <w:szCs w:val="22"/>
                <w:lang w:val="en-US"/>
              </w:rPr>
            </w:pPr>
          </w:p>
        </w:tc>
      </w:tr>
      <w:tr w:rsidR="003F6A46" w:rsidRPr="00217036" w14:paraId="181341D5" w14:textId="77777777" w:rsidTr="00D547CB">
        <w:tc>
          <w:tcPr>
            <w:tcW w:w="6832" w:type="dxa"/>
          </w:tcPr>
          <w:p w14:paraId="2257A39E" w14:textId="77777777" w:rsidR="003F6A46" w:rsidRPr="00FD600C" w:rsidRDefault="003F6A46" w:rsidP="00A03E7B">
            <w:pPr>
              <w:rPr>
                <w:sz w:val="22"/>
                <w:szCs w:val="22"/>
                <w:lang w:val="en-US"/>
              </w:rPr>
            </w:pPr>
            <w:r w:rsidRPr="000D2FEB">
              <w:rPr>
                <w:sz w:val="22"/>
                <w:szCs w:val="22"/>
                <w:lang w:val="en-US"/>
              </w:rPr>
              <w:t>AUTHORIZES the Standing Committee to examine and approve, between meetings of the Conference of the Contracting Parties, new initiatives selected from those which fully meet the Operational Guidelines listed in the annex to this Resolution as operating within the framework of the Convention. Such new approved initiatives should be reported to the following COP;</w:t>
            </w:r>
          </w:p>
        </w:tc>
        <w:tc>
          <w:tcPr>
            <w:tcW w:w="1668" w:type="dxa"/>
          </w:tcPr>
          <w:p w14:paraId="172CA00B" w14:textId="21B5679B" w:rsidR="003F6A46" w:rsidRPr="00FD600C" w:rsidRDefault="003F6A46" w:rsidP="00A03E7B">
            <w:pPr>
              <w:rPr>
                <w:sz w:val="22"/>
                <w:szCs w:val="22"/>
                <w:lang w:val="en-US"/>
              </w:rPr>
            </w:pPr>
            <w:r>
              <w:rPr>
                <w:sz w:val="22"/>
                <w:szCs w:val="22"/>
                <w:lang w:val="en-US"/>
              </w:rPr>
              <w:t>9</w:t>
            </w:r>
          </w:p>
        </w:tc>
        <w:tc>
          <w:tcPr>
            <w:tcW w:w="5381" w:type="dxa"/>
          </w:tcPr>
          <w:p w14:paraId="26048FF4" w14:textId="77777777" w:rsidR="003F6A46" w:rsidRPr="00FD600C" w:rsidRDefault="003F6A46" w:rsidP="00A03E7B">
            <w:pPr>
              <w:rPr>
                <w:sz w:val="22"/>
                <w:szCs w:val="22"/>
                <w:lang w:val="en-US"/>
              </w:rPr>
            </w:pPr>
            <w:r>
              <w:rPr>
                <w:sz w:val="22"/>
                <w:szCs w:val="22"/>
                <w:lang w:val="en-US"/>
              </w:rPr>
              <w:t xml:space="preserve">Inconsistent (paras 6 and 8 of XIII.9). </w:t>
            </w:r>
          </w:p>
        </w:tc>
      </w:tr>
      <w:tr w:rsidR="003F6A46" w:rsidRPr="00FD600C" w14:paraId="79C9ADF4" w14:textId="77777777" w:rsidTr="00D547CB">
        <w:tc>
          <w:tcPr>
            <w:tcW w:w="6832" w:type="dxa"/>
          </w:tcPr>
          <w:p w14:paraId="35D15914" w14:textId="77777777" w:rsidR="003F6A46" w:rsidRPr="00FD600C" w:rsidRDefault="003F6A46" w:rsidP="00A03E7B">
            <w:pPr>
              <w:rPr>
                <w:sz w:val="22"/>
                <w:szCs w:val="22"/>
                <w:lang w:val="en-US"/>
              </w:rPr>
            </w:pPr>
            <w:r>
              <w:rPr>
                <w:b/>
                <w:sz w:val="22"/>
                <w:szCs w:val="22"/>
                <w:lang w:val="en-US"/>
              </w:rPr>
              <w:t xml:space="preserve">Funding </w:t>
            </w:r>
          </w:p>
        </w:tc>
        <w:tc>
          <w:tcPr>
            <w:tcW w:w="1668" w:type="dxa"/>
          </w:tcPr>
          <w:p w14:paraId="3B531FCB" w14:textId="77777777" w:rsidR="003F6A46" w:rsidRPr="00FD600C" w:rsidRDefault="003F6A46" w:rsidP="00A03E7B">
            <w:pPr>
              <w:rPr>
                <w:sz w:val="22"/>
                <w:szCs w:val="22"/>
                <w:lang w:val="en-US"/>
              </w:rPr>
            </w:pPr>
          </w:p>
        </w:tc>
        <w:tc>
          <w:tcPr>
            <w:tcW w:w="5381" w:type="dxa"/>
          </w:tcPr>
          <w:p w14:paraId="7EF78C2E" w14:textId="77777777" w:rsidR="003F6A46" w:rsidRPr="00FD600C" w:rsidRDefault="003F6A46" w:rsidP="00A03E7B">
            <w:pPr>
              <w:rPr>
                <w:sz w:val="22"/>
                <w:szCs w:val="22"/>
                <w:lang w:val="en-US"/>
              </w:rPr>
            </w:pPr>
          </w:p>
        </w:tc>
      </w:tr>
      <w:tr w:rsidR="003F6A46" w:rsidRPr="00FD600C" w14:paraId="24D325D4" w14:textId="77777777" w:rsidTr="00D547CB">
        <w:tc>
          <w:tcPr>
            <w:tcW w:w="6832" w:type="dxa"/>
          </w:tcPr>
          <w:p w14:paraId="4923638C" w14:textId="77777777" w:rsidR="003F6A46" w:rsidRPr="00FD600C" w:rsidRDefault="003F6A46" w:rsidP="00A03E7B">
            <w:pPr>
              <w:rPr>
                <w:sz w:val="22"/>
                <w:szCs w:val="22"/>
                <w:lang w:val="en-US"/>
              </w:rPr>
            </w:pPr>
          </w:p>
        </w:tc>
        <w:tc>
          <w:tcPr>
            <w:tcW w:w="1668" w:type="dxa"/>
          </w:tcPr>
          <w:p w14:paraId="6DAEE014" w14:textId="08386A93" w:rsidR="003F6A46" w:rsidRPr="001E3FE1" w:rsidRDefault="003F6A46" w:rsidP="00400CEA">
            <w:pPr>
              <w:rPr>
                <w:b/>
                <w:sz w:val="22"/>
                <w:szCs w:val="22"/>
                <w:lang w:val="en-US"/>
              </w:rPr>
            </w:pPr>
            <w:r w:rsidRPr="001E3FE1">
              <w:rPr>
                <w:b/>
                <w:sz w:val="22"/>
                <w:szCs w:val="22"/>
                <w:lang w:val="en-US"/>
              </w:rPr>
              <w:t>XII.</w:t>
            </w:r>
            <w:r>
              <w:rPr>
                <w:b/>
                <w:sz w:val="22"/>
                <w:szCs w:val="22"/>
                <w:lang w:val="en-US"/>
              </w:rPr>
              <w:t>8</w:t>
            </w:r>
          </w:p>
        </w:tc>
        <w:tc>
          <w:tcPr>
            <w:tcW w:w="5381" w:type="dxa"/>
          </w:tcPr>
          <w:p w14:paraId="68D74085" w14:textId="77777777" w:rsidR="003F6A46" w:rsidRPr="00FD600C" w:rsidRDefault="003F6A46" w:rsidP="00A03E7B">
            <w:pPr>
              <w:rPr>
                <w:sz w:val="22"/>
                <w:szCs w:val="22"/>
                <w:lang w:val="en-US"/>
              </w:rPr>
            </w:pPr>
          </w:p>
        </w:tc>
      </w:tr>
      <w:tr w:rsidR="003F6A46" w:rsidRPr="00217036" w14:paraId="32B3357A" w14:textId="77777777" w:rsidTr="00D547CB">
        <w:tc>
          <w:tcPr>
            <w:tcW w:w="6832" w:type="dxa"/>
          </w:tcPr>
          <w:p w14:paraId="535F04FD" w14:textId="77777777" w:rsidR="003F6A46" w:rsidRPr="00FD600C" w:rsidRDefault="003F6A46" w:rsidP="00A03E7B">
            <w:pPr>
              <w:rPr>
                <w:sz w:val="22"/>
                <w:szCs w:val="22"/>
                <w:lang w:val="en-US"/>
              </w:rPr>
            </w:pPr>
            <w:r w:rsidRPr="001E3FE1">
              <w:rPr>
                <w:sz w:val="22"/>
                <w:szCs w:val="22"/>
                <w:lang w:val="en-US"/>
              </w:rPr>
              <w:t>STRONGLY URGES those regional initiatives that receive financial support from the core budget to use part of this support to seek sustainable long-term funding from other sources, particularly during the second triennium in which</w:t>
            </w:r>
            <w:r>
              <w:rPr>
                <w:sz w:val="22"/>
                <w:szCs w:val="22"/>
                <w:lang w:val="en-US"/>
              </w:rPr>
              <w:t xml:space="preserve"> they qualify for such support;</w:t>
            </w:r>
          </w:p>
        </w:tc>
        <w:tc>
          <w:tcPr>
            <w:tcW w:w="1668" w:type="dxa"/>
          </w:tcPr>
          <w:p w14:paraId="7F4F48FB" w14:textId="77777777" w:rsidR="003F6A46" w:rsidRPr="00FD600C" w:rsidRDefault="003F6A46" w:rsidP="00A03E7B">
            <w:pPr>
              <w:rPr>
                <w:sz w:val="22"/>
                <w:szCs w:val="22"/>
                <w:lang w:val="en-US"/>
              </w:rPr>
            </w:pPr>
            <w:r>
              <w:rPr>
                <w:sz w:val="22"/>
                <w:szCs w:val="22"/>
                <w:lang w:val="en-US"/>
              </w:rPr>
              <w:t>16</w:t>
            </w:r>
          </w:p>
        </w:tc>
        <w:tc>
          <w:tcPr>
            <w:tcW w:w="5381" w:type="dxa"/>
          </w:tcPr>
          <w:p w14:paraId="1FAFB4AE" w14:textId="77777777" w:rsidR="003F6A46" w:rsidRPr="00FD600C" w:rsidRDefault="003F6A46" w:rsidP="00A03E7B">
            <w:pPr>
              <w:rPr>
                <w:sz w:val="22"/>
                <w:szCs w:val="22"/>
                <w:lang w:val="en-US"/>
              </w:rPr>
            </w:pPr>
            <w:r w:rsidRPr="000D2FEB">
              <w:rPr>
                <w:sz w:val="22"/>
                <w:szCs w:val="22"/>
                <w:lang w:val="en-US"/>
              </w:rPr>
              <w:t xml:space="preserve">Broadly consistent </w:t>
            </w:r>
            <w:r>
              <w:rPr>
                <w:sz w:val="22"/>
                <w:szCs w:val="22"/>
                <w:lang w:val="en-US"/>
              </w:rPr>
              <w:t xml:space="preserve">with para 25 of XIII.9 </w:t>
            </w:r>
            <w:r w:rsidRPr="000D2FEB">
              <w:rPr>
                <w:sz w:val="22"/>
                <w:szCs w:val="22"/>
                <w:lang w:val="en-US"/>
              </w:rPr>
              <w:t>(but not identical)</w:t>
            </w:r>
            <w:r>
              <w:rPr>
                <w:sz w:val="22"/>
                <w:szCs w:val="22"/>
                <w:lang w:val="en-US"/>
              </w:rPr>
              <w:t>.</w:t>
            </w:r>
          </w:p>
        </w:tc>
      </w:tr>
      <w:tr w:rsidR="003F6A46" w:rsidRPr="00217036" w14:paraId="03401D86" w14:textId="77777777" w:rsidTr="00D547CB">
        <w:tc>
          <w:tcPr>
            <w:tcW w:w="6832" w:type="dxa"/>
          </w:tcPr>
          <w:p w14:paraId="201760FD" w14:textId="77777777" w:rsidR="003F6A46" w:rsidRPr="00D547CB" w:rsidRDefault="003F6A46" w:rsidP="00A03E7B">
            <w:pPr>
              <w:pStyle w:val="BodyText"/>
              <w:spacing w:line="241" w:lineRule="auto"/>
              <w:ind w:left="0" w:right="-42" w:firstLine="0"/>
              <w:rPr>
                <w:rFonts w:asciiTheme="minorHAnsi" w:hAnsiTheme="minorHAnsi"/>
              </w:rPr>
            </w:pPr>
            <w:r w:rsidRPr="000D2FEB">
              <w:rPr>
                <w:rFonts w:asciiTheme="minorHAnsi" w:hAnsiTheme="minorHAnsi"/>
              </w:rPr>
              <w:t>ENCOURAGES Contracting Parties and other potential donors to support regional initiatives, whether or not they are also receiving funding through the Convention’s core budget, and URGES Contracting Parties geographically related to a regional initiative that have not yet done so to provide formal letters of suppor</w:t>
            </w:r>
            <w:r>
              <w:rPr>
                <w:rFonts w:asciiTheme="minorHAnsi" w:hAnsiTheme="minorHAnsi"/>
              </w:rPr>
              <w:t>t as well as financial support;</w:t>
            </w:r>
          </w:p>
        </w:tc>
        <w:tc>
          <w:tcPr>
            <w:tcW w:w="1668" w:type="dxa"/>
          </w:tcPr>
          <w:p w14:paraId="3BF09151" w14:textId="77777777" w:rsidR="003F6A46" w:rsidRPr="00FD600C" w:rsidRDefault="003F6A46" w:rsidP="00A03E7B">
            <w:pPr>
              <w:rPr>
                <w:sz w:val="22"/>
                <w:szCs w:val="22"/>
                <w:lang w:val="en-US"/>
              </w:rPr>
            </w:pPr>
            <w:r>
              <w:rPr>
                <w:sz w:val="22"/>
                <w:szCs w:val="22"/>
                <w:lang w:val="en-US"/>
              </w:rPr>
              <w:t>17</w:t>
            </w:r>
          </w:p>
        </w:tc>
        <w:tc>
          <w:tcPr>
            <w:tcW w:w="5381" w:type="dxa"/>
          </w:tcPr>
          <w:p w14:paraId="1703AE3D" w14:textId="77777777" w:rsidR="003F6A46" w:rsidRPr="00FD600C" w:rsidRDefault="003F6A46" w:rsidP="00A03E7B">
            <w:pPr>
              <w:rPr>
                <w:sz w:val="22"/>
                <w:szCs w:val="22"/>
                <w:lang w:val="en-US"/>
              </w:rPr>
            </w:pPr>
            <w:r w:rsidRPr="000D2FEB">
              <w:rPr>
                <w:sz w:val="22"/>
                <w:szCs w:val="22"/>
                <w:lang w:val="en-US"/>
              </w:rPr>
              <w:t>Consistent</w:t>
            </w:r>
            <w:r>
              <w:rPr>
                <w:sz w:val="22"/>
                <w:szCs w:val="22"/>
                <w:lang w:val="en-US"/>
              </w:rPr>
              <w:t xml:space="preserve"> with paras 18, 26 of XIII.9. </w:t>
            </w:r>
          </w:p>
        </w:tc>
      </w:tr>
      <w:tr w:rsidR="003F6A46" w:rsidRPr="00FD600C" w14:paraId="5BA0D84B" w14:textId="77777777" w:rsidTr="00D547CB">
        <w:tc>
          <w:tcPr>
            <w:tcW w:w="6832" w:type="dxa"/>
          </w:tcPr>
          <w:p w14:paraId="4DB95C78" w14:textId="77777777" w:rsidR="003F6A46" w:rsidRPr="00FD600C" w:rsidRDefault="003F6A46" w:rsidP="00A03E7B">
            <w:pPr>
              <w:rPr>
                <w:sz w:val="22"/>
                <w:szCs w:val="22"/>
                <w:lang w:val="en-US"/>
              </w:rPr>
            </w:pPr>
          </w:p>
        </w:tc>
        <w:tc>
          <w:tcPr>
            <w:tcW w:w="1668" w:type="dxa"/>
          </w:tcPr>
          <w:p w14:paraId="5B1D49AD" w14:textId="77777777" w:rsidR="003F6A46" w:rsidRPr="00FD600C" w:rsidRDefault="003F6A46" w:rsidP="00A03E7B">
            <w:pPr>
              <w:rPr>
                <w:sz w:val="22"/>
                <w:szCs w:val="22"/>
                <w:lang w:val="en-US"/>
              </w:rPr>
            </w:pPr>
            <w:r w:rsidRPr="00A26961">
              <w:rPr>
                <w:b/>
                <w:sz w:val="22"/>
                <w:szCs w:val="22"/>
                <w:lang w:val="en-US"/>
              </w:rPr>
              <w:t>XI.5</w:t>
            </w:r>
          </w:p>
        </w:tc>
        <w:tc>
          <w:tcPr>
            <w:tcW w:w="5381" w:type="dxa"/>
          </w:tcPr>
          <w:p w14:paraId="0DA059C7" w14:textId="77777777" w:rsidR="003F6A46" w:rsidRPr="00FD600C" w:rsidRDefault="003F6A46" w:rsidP="00A03E7B">
            <w:pPr>
              <w:rPr>
                <w:sz w:val="22"/>
                <w:szCs w:val="22"/>
                <w:lang w:val="en-US"/>
              </w:rPr>
            </w:pPr>
          </w:p>
        </w:tc>
      </w:tr>
      <w:tr w:rsidR="003F6A46" w:rsidRPr="00217036" w14:paraId="7F106959" w14:textId="77777777" w:rsidTr="00D547CB">
        <w:tc>
          <w:tcPr>
            <w:tcW w:w="6832" w:type="dxa"/>
          </w:tcPr>
          <w:p w14:paraId="4496AD82" w14:textId="77777777" w:rsidR="003F6A46" w:rsidRPr="00FD600C" w:rsidRDefault="003F6A46" w:rsidP="00A03E7B">
            <w:pPr>
              <w:rPr>
                <w:sz w:val="22"/>
                <w:szCs w:val="22"/>
                <w:lang w:val="en-US"/>
              </w:rPr>
            </w:pPr>
            <w:r w:rsidRPr="000D2FEB">
              <w:rPr>
                <w:sz w:val="22"/>
                <w:szCs w:val="22"/>
                <w:lang w:val="en-US"/>
              </w:rPr>
              <w:t xml:space="preserve">STRONGLY URGES those Regional Initiatives that receive initial financial support from the core budget to use this support </w:t>
            </w:r>
            <w:r w:rsidRPr="000D2FEB">
              <w:rPr>
                <w:i/>
                <w:sz w:val="22"/>
                <w:szCs w:val="22"/>
                <w:lang w:val="en-US"/>
              </w:rPr>
              <w:t>inter alia</w:t>
            </w:r>
            <w:r w:rsidRPr="000D2FEB">
              <w:rPr>
                <w:sz w:val="22"/>
                <w:szCs w:val="22"/>
                <w:lang w:val="en-US"/>
              </w:rPr>
              <w:t xml:space="preserve"> to seek alternative flows of sustainable funding, for example through trust funds, to strengthen their financial sustainability;</w:t>
            </w:r>
          </w:p>
        </w:tc>
        <w:tc>
          <w:tcPr>
            <w:tcW w:w="1668" w:type="dxa"/>
          </w:tcPr>
          <w:p w14:paraId="638B1C28" w14:textId="77777777" w:rsidR="003F6A46" w:rsidRPr="00FD600C" w:rsidRDefault="003F6A46" w:rsidP="00A03E7B">
            <w:pPr>
              <w:rPr>
                <w:sz w:val="22"/>
                <w:szCs w:val="22"/>
                <w:lang w:val="en-US"/>
              </w:rPr>
            </w:pPr>
            <w:r>
              <w:rPr>
                <w:sz w:val="22"/>
                <w:szCs w:val="22"/>
                <w:lang w:val="en-US"/>
              </w:rPr>
              <w:t>14</w:t>
            </w:r>
          </w:p>
        </w:tc>
        <w:tc>
          <w:tcPr>
            <w:tcW w:w="5381" w:type="dxa"/>
          </w:tcPr>
          <w:p w14:paraId="6AC412C1" w14:textId="77777777" w:rsidR="003F6A46" w:rsidRPr="00FD600C" w:rsidRDefault="003F6A46" w:rsidP="00A03E7B">
            <w:pPr>
              <w:rPr>
                <w:sz w:val="22"/>
                <w:szCs w:val="22"/>
                <w:lang w:val="en-US"/>
              </w:rPr>
            </w:pPr>
            <w:r w:rsidRPr="000D2FEB">
              <w:rPr>
                <w:sz w:val="22"/>
                <w:szCs w:val="22"/>
                <w:lang w:val="en-US"/>
              </w:rPr>
              <w:t xml:space="preserve">Broadly consistent </w:t>
            </w:r>
            <w:r>
              <w:rPr>
                <w:sz w:val="22"/>
                <w:szCs w:val="22"/>
                <w:lang w:val="en-US"/>
              </w:rPr>
              <w:t xml:space="preserve">with para 25 of XIII.9 </w:t>
            </w:r>
            <w:r w:rsidRPr="000D2FEB">
              <w:rPr>
                <w:sz w:val="22"/>
                <w:szCs w:val="22"/>
                <w:lang w:val="en-US"/>
              </w:rPr>
              <w:t>(but not identical)</w:t>
            </w:r>
            <w:r>
              <w:rPr>
                <w:sz w:val="22"/>
                <w:szCs w:val="22"/>
                <w:lang w:val="en-US"/>
              </w:rPr>
              <w:t>.</w:t>
            </w:r>
          </w:p>
        </w:tc>
      </w:tr>
      <w:tr w:rsidR="003F6A46" w:rsidRPr="00217036" w14:paraId="7A945CE1" w14:textId="77777777" w:rsidTr="00D547CB">
        <w:tc>
          <w:tcPr>
            <w:tcW w:w="6832" w:type="dxa"/>
          </w:tcPr>
          <w:p w14:paraId="33A68979" w14:textId="77777777" w:rsidR="003F6A46" w:rsidRPr="00FD600C" w:rsidRDefault="003F6A46" w:rsidP="00A03E7B">
            <w:pPr>
              <w:rPr>
                <w:sz w:val="22"/>
                <w:szCs w:val="22"/>
                <w:lang w:val="en-US"/>
              </w:rPr>
            </w:pPr>
          </w:p>
        </w:tc>
        <w:tc>
          <w:tcPr>
            <w:tcW w:w="1668" w:type="dxa"/>
          </w:tcPr>
          <w:p w14:paraId="16F4B077" w14:textId="77777777" w:rsidR="003F6A46" w:rsidRPr="00FD600C" w:rsidRDefault="003F6A46" w:rsidP="00A03E7B">
            <w:pPr>
              <w:rPr>
                <w:sz w:val="22"/>
                <w:szCs w:val="22"/>
                <w:lang w:val="en-US"/>
              </w:rPr>
            </w:pPr>
          </w:p>
        </w:tc>
        <w:tc>
          <w:tcPr>
            <w:tcW w:w="5381" w:type="dxa"/>
          </w:tcPr>
          <w:p w14:paraId="44227FF9" w14:textId="77777777" w:rsidR="003F6A46" w:rsidRPr="00FD600C" w:rsidRDefault="003F6A46" w:rsidP="00A03E7B">
            <w:pPr>
              <w:rPr>
                <w:sz w:val="22"/>
                <w:szCs w:val="22"/>
                <w:lang w:val="en-US"/>
              </w:rPr>
            </w:pPr>
          </w:p>
        </w:tc>
      </w:tr>
      <w:tr w:rsidR="003F6A46" w:rsidRPr="00217036" w14:paraId="0D3CCE48" w14:textId="77777777" w:rsidTr="00D547CB">
        <w:tc>
          <w:tcPr>
            <w:tcW w:w="6832" w:type="dxa"/>
          </w:tcPr>
          <w:p w14:paraId="28BC1362" w14:textId="77777777" w:rsidR="003F6A46" w:rsidRPr="00FD600C" w:rsidRDefault="003F6A46" w:rsidP="00A03E7B">
            <w:pPr>
              <w:rPr>
                <w:sz w:val="22"/>
                <w:szCs w:val="22"/>
                <w:lang w:val="en-US"/>
              </w:rPr>
            </w:pPr>
            <w:r w:rsidRPr="00E73A72">
              <w:rPr>
                <w:sz w:val="22"/>
                <w:szCs w:val="22"/>
                <w:lang w:val="en-US"/>
              </w:rPr>
              <w:t>REAFFIRMS that, in accordance with Resolution X.6, financial support for Regional Initiatives from the Convention’s core budget will, in principle, only be provided for a period corresponding to the interval between two meetings of COP;</w:t>
            </w:r>
          </w:p>
        </w:tc>
        <w:tc>
          <w:tcPr>
            <w:tcW w:w="1668" w:type="dxa"/>
          </w:tcPr>
          <w:p w14:paraId="524062F4" w14:textId="77777777" w:rsidR="003F6A46" w:rsidRPr="00FD600C" w:rsidRDefault="003F6A46" w:rsidP="00A03E7B">
            <w:pPr>
              <w:rPr>
                <w:sz w:val="22"/>
                <w:szCs w:val="22"/>
                <w:lang w:val="en-US"/>
              </w:rPr>
            </w:pPr>
            <w:r>
              <w:rPr>
                <w:sz w:val="22"/>
                <w:szCs w:val="22"/>
                <w:lang w:val="en-US"/>
              </w:rPr>
              <w:t>15</w:t>
            </w:r>
          </w:p>
        </w:tc>
        <w:tc>
          <w:tcPr>
            <w:tcW w:w="5381" w:type="dxa"/>
          </w:tcPr>
          <w:p w14:paraId="0B210801" w14:textId="77777777" w:rsidR="003F6A46" w:rsidRPr="00FD600C" w:rsidRDefault="003F6A46" w:rsidP="00A03E7B">
            <w:pPr>
              <w:rPr>
                <w:sz w:val="22"/>
                <w:szCs w:val="22"/>
                <w:lang w:val="en-US"/>
              </w:rPr>
            </w:pPr>
            <w:r>
              <w:rPr>
                <w:rFonts w:eastAsia="Calibri" w:cs="Calibri"/>
                <w:sz w:val="22"/>
                <w:szCs w:val="22"/>
                <w:lang w:val="en-US"/>
              </w:rPr>
              <w:t xml:space="preserve">Analogous to para 14 in </w:t>
            </w:r>
            <w:r w:rsidRPr="000D2FEB">
              <w:rPr>
                <w:rFonts w:eastAsia="Calibri" w:cs="Calibri"/>
                <w:sz w:val="22"/>
                <w:szCs w:val="22"/>
                <w:lang w:val="en-US"/>
              </w:rPr>
              <w:t>XIII.9</w:t>
            </w:r>
            <w:r>
              <w:rPr>
                <w:rFonts w:eastAsia="Calibri" w:cs="Calibri"/>
                <w:sz w:val="22"/>
                <w:szCs w:val="22"/>
                <w:lang w:val="en-US"/>
              </w:rPr>
              <w:t xml:space="preserve"> however para 14 focuses on</w:t>
            </w:r>
            <w:r w:rsidRPr="000D2FEB">
              <w:rPr>
                <w:rFonts w:eastAsia="Calibri" w:cs="Calibri"/>
                <w:sz w:val="22"/>
                <w:szCs w:val="22"/>
                <w:lang w:val="en-US"/>
              </w:rPr>
              <w:t xml:space="preserve"> start up support for RRIs establ</w:t>
            </w:r>
            <w:r>
              <w:rPr>
                <w:rFonts w:eastAsia="Calibri" w:cs="Calibri"/>
                <w:sz w:val="22"/>
                <w:szCs w:val="22"/>
                <w:lang w:val="en-US"/>
              </w:rPr>
              <w:t>ished for fewer than six years.</w:t>
            </w:r>
          </w:p>
        </w:tc>
      </w:tr>
      <w:tr w:rsidR="003F6A46" w:rsidRPr="00217036" w14:paraId="74AD1968" w14:textId="77777777" w:rsidTr="00D547CB">
        <w:tc>
          <w:tcPr>
            <w:tcW w:w="6832" w:type="dxa"/>
          </w:tcPr>
          <w:p w14:paraId="70C2514E" w14:textId="77777777" w:rsidR="003F6A46" w:rsidRPr="000D2FEB" w:rsidRDefault="003F6A46" w:rsidP="00A03E7B">
            <w:pPr>
              <w:ind w:left="25" w:hanging="25"/>
              <w:rPr>
                <w:sz w:val="22"/>
                <w:szCs w:val="22"/>
                <w:lang w:val="en-US"/>
              </w:rPr>
            </w:pPr>
            <w:r w:rsidRPr="000D2FEB">
              <w:rPr>
                <w:sz w:val="22"/>
                <w:szCs w:val="22"/>
                <w:lang w:val="en-US"/>
              </w:rPr>
              <w:lastRenderedPageBreak/>
              <w:t xml:space="preserve">DECIDES that financial support for Ramsar Regional </w:t>
            </w:r>
            <w:proofErr w:type="spellStart"/>
            <w:r w:rsidRPr="000D2FEB">
              <w:rPr>
                <w:sz w:val="22"/>
                <w:szCs w:val="22"/>
                <w:lang w:val="en-US"/>
              </w:rPr>
              <w:t>Centres</w:t>
            </w:r>
            <w:proofErr w:type="spellEnd"/>
            <w:r w:rsidRPr="000D2FEB">
              <w:rPr>
                <w:sz w:val="22"/>
                <w:szCs w:val="22"/>
                <w:lang w:val="en-US"/>
              </w:rPr>
              <w:t xml:space="preserve"> that meet the Operational Guidelines can be obtained for a period of up to six years in total;</w:t>
            </w:r>
          </w:p>
          <w:p w14:paraId="69B62388" w14:textId="77777777" w:rsidR="003F6A46" w:rsidRPr="00FD600C" w:rsidRDefault="003F6A46" w:rsidP="00A03E7B">
            <w:pPr>
              <w:rPr>
                <w:sz w:val="22"/>
                <w:szCs w:val="22"/>
                <w:lang w:val="en-US"/>
              </w:rPr>
            </w:pPr>
          </w:p>
        </w:tc>
        <w:tc>
          <w:tcPr>
            <w:tcW w:w="1668" w:type="dxa"/>
          </w:tcPr>
          <w:p w14:paraId="0B7DFE89" w14:textId="77777777" w:rsidR="003F6A46" w:rsidRPr="00FD600C" w:rsidRDefault="003F6A46" w:rsidP="00A03E7B">
            <w:pPr>
              <w:rPr>
                <w:sz w:val="22"/>
                <w:szCs w:val="22"/>
                <w:lang w:val="en-US"/>
              </w:rPr>
            </w:pPr>
            <w:r>
              <w:rPr>
                <w:sz w:val="22"/>
                <w:szCs w:val="22"/>
                <w:lang w:val="en-US"/>
              </w:rPr>
              <w:t>16</w:t>
            </w:r>
          </w:p>
        </w:tc>
        <w:tc>
          <w:tcPr>
            <w:tcW w:w="5381" w:type="dxa"/>
          </w:tcPr>
          <w:p w14:paraId="7B9A9759" w14:textId="77777777" w:rsidR="003F6A46" w:rsidRPr="00FD600C" w:rsidRDefault="003F6A46" w:rsidP="00A03E7B">
            <w:pPr>
              <w:rPr>
                <w:sz w:val="22"/>
                <w:szCs w:val="22"/>
                <w:lang w:val="en-US"/>
              </w:rPr>
            </w:pPr>
            <w:r>
              <w:rPr>
                <w:rFonts w:eastAsia="Calibri" w:cs="Calibri"/>
                <w:sz w:val="22"/>
                <w:szCs w:val="22"/>
                <w:lang w:val="en-US"/>
              </w:rPr>
              <w:t xml:space="preserve">Analogous to para 14 in </w:t>
            </w:r>
            <w:r w:rsidRPr="000D2FEB">
              <w:rPr>
                <w:rFonts w:eastAsia="Calibri" w:cs="Calibri"/>
                <w:sz w:val="22"/>
                <w:szCs w:val="22"/>
                <w:lang w:val="en-US"/>
              </w:rPr>
              <w:t>XIII.9</w:t>
            </w:r>
            <w:r>
              <w:rPr>
                <w:rFonts w:eastAsia="Calibri" w:cs="Calibri"/>
                <w:sz w:val="22"/>
                <w:szCs w:val="22"/>
                <w:lang w:val="en-US"/>
              </w:rPr>
              <w:t xml:space="preserve"> however para 14 focuses on</w:t>
            </w:r>
            <w:r w:rsidRPr="000D2FEB">
              <w:rPr>
                <w:rFonts w:eastAsia="Calibri" w:cs="Calibri"/>
                <w:sz w:val="22"/>
                <w:szCs w:val="22"/>
                <w:lang w:val="en-US"/>
              </w:rPr>
              <w:t xml:space="preserve"> start up support for RRIs establ</w:t>
            </w:r>
            <w:r>
              <w:rPr>
                <w:rFonts w:eastAsia="Calibri" w:cs="Calibri"/>
                <w:sz w:val="22"/>
                <w:szCs w:val="22"/>
                <w:lang w:val="en-US"/>
              </w:rPr>
              <w:t>ished for fewer than six years AND funding is not conditional on meeting requirements of Operational Guidelines as per para 6 of XIII.9.</w:t>
            </w:r>
          </w:p>
        </w:tc>
      </w:tr>
      <w:tr w:rsidR="003F6A46" w:rsidRPr="00217036" w14:paraId="798BB3D2" w14:textId="77777777" w:rsidTr="00D547CB">
        <w:tc>
          <w:tcPr>
            <w:tcW w:w="6832" w:type="dxa"/>
          </w:tcPr>
          <w:p w14:paraId="2FB49029" w14:textId="77777777" w:rsidR="003F6A46" w:rsidRPr="00FD600C" w:rsidRDefault="003F6A46" w:rsidP="00A03E7B">
            <w:pPr>
              <w:rPr>
                <w:sz w:val="22"/>
                <w:szCs w:val="22"/>
                <w:lang w:val="en-US"/>
              </w:rPr>
            </w:pPr>
            <w:r w:rsidRPr="00000794">
              <w:rPr>
                <w:sz w:val="22"/>
                <w:szCs w:val="22"/>
                <w:lang w:val="en-US"/>
              </w:rPr>
              <w:t>DECIDES that Regional Initiative Networks that have already received financial support from the Convention’s core budget for one triennium may have a three-year phasing out period, giving them the opportunity to find complementary means of financing their activities, and that financial support from the Convention’s core budget will then cease;</w:t>
            </w:r>
          </w:p>
        </w:tc>
        <w:tc>
          <w:tcPr>
            <w:tcW w:w="1668" w:type="dxa"/>
          </w:tcPr>
          <w:p w14:paraId="3D0B4598" w14:textId="77777777" w:rsidR="003F6A46" w:rsidRPr="00FD600C" w:rsidRDefault="003F6A46" w:rsidP="00A03E7B">
            <w:pPr>
              <w:rPr>
                <w:sz w:val="22"/>
                <w:szCs w:val="22"/>
                <w:lang w:val="en-US"/>
              </w:rPr>
            </w:pPr>
            <w:r>
              <w:rPr>
                <w:sz w:val="22"/>
                <w:szCs w:val="22"/>
                <w:lang w:val="en-US"/>
              </w:rPr>
              <w:t>17</w:t>
            </w:r>
          </w:p>
        </w:tc>
        <w:tc>
          <w:tcPr>
            <w:tcW w:w="5381" w:type="dxa"/>
          </w:tcPr>
          <w:p w14:paraId="7479A3BE" w14:textId="77777777" w:rsidR="003F6A46" w:rsidRPr="00FD600C" w:rsidRDefault="003F6A46" w:rsidP="00A03E7B">
            <w:pPr>
              <w:rPr>
                <w:sz w:val="22"/>
                <w:szCs w:val="22"/>
                <w:lang w:val="en-US"/>
              </w:rPr>
            </w:pPr>
            <w:r>
              <w:rPr>
                <w:rFonts w:eastAsia="Calibri" w:cs="Calibri"/>
                <w:sz w:val="22"/>
                <w:szCs w:val="22"/>
                <w:lang w:val="en-US"/>
              </w:rPr>
              <w:t xml:space="preserve">Analogous to para 14 in </w:t>
            </w:r>
            <w:r w:rsidRPr="000D2FEB">
              <w:rPr>
                <w:rFonts w:eastAsia="Calibri" w:cs="Calibri"/>
                <w:sz w:val="22"/>
                <w:szCs w:val="22"/>
                <w:lang w:val="en-US"/>
              </w:rPr>
              <w:t>XIII.9</w:t>
            </w:r>
            <w:r>
              <w:rPr>
                <w:rFonts w:eastAsia="Calibri" w:cs="Calibri"/>
                <w:sz w:val="22"/>
                <w:szCs w:val="22"/>
                <w:lang w:val="en-US"/>
              </w:rPr>
              <w:t xml:space="preserve"> however para 14 focuses on</w:t>
            </w:r>
            <w:r w:rsidRPr="000D2FEB">
              <w:rPr>
                <w:rFonts w:eastAsia="Calibri" w:cs="Calibri"/>
                <w:sz w:val="22"/>
                <w:szCs w:val="22"/>
                <w:lang w:val="en-US"/>
              </w:rPr>
              <w:t xml:space="preserve"> start up support for RRIs establ</w:t>
            </w:r>
            <w:r>
              <w:rPr>
                <w:rFonts w:eastAsia="Calibri" w:cs="Calibri"/>
                <w:sz w:val="22"/>
                <w:szCs w:val="22"/>
                <w:lang w:val="en-US"/>
              </w:rPr>
              <w:t xml:space="preserve">ished for fewer than six years. </w:t>
            </w:r>
          </w:p>
        </w:tc>
      </w:tr>
      <w:tr w:rsidR="003F6A46" w:rsidRPr="00217036" w14:paraId="53447FB9" w14:textId="77777777" w:rsidTr="00D547CB">
        <w:tc>
          <w:tcPr>
            <w:tcW w:w="6832" w:type="dxa"/>
          </w:tcPr>
          <w:p w14:paraId="7F7E6C9B" w14:textId="77777777" w:rsidR="003F6A46" w:rsidRPr="00FD600C" w:rsidRDefault="003F6A46" w:rsidP="00A03E7B">
            <w:pPr>
              <w:rPr>
                <w:sz w:val="22"/>
                <w:szCs w:val="22"/>
                <w:lang w:val="en-US"/>
              </w:rPr>
            </w:pPr>
            <w:r w:rsidRPr="00000794">
              <w:rPr>
                <w:sz w:val="22"/>
                <w:szCs w:val="22"/>
                <w:lang w:val="en-US"/>
              </w:rPr>
              <w:t xml:space="preserve">ENCOURAGES Contracting Parties, intergovernmental agencies, International Organization Partners, national NGOs, private businesses, regional institutions and </w:t>
            </w:r>
            <w:proofErr w:type="spellStart"/>
            <w:r w:rsidRPr="00000794">
              <w:rPr>
                <w:sz w:val="22"/>
                <w:szCs w:val="22"/>
                <w:lang w:val="en-US"/>
              </w:rPr>
              <w:t>programmes</w:t>
            </w:r>
            <w:proofErr w:type="spellEnd"/>
            <w:r w:rsidRPr="00000794">
              <w:rPr>
                <w:sz w:val="22"/>
                <w:szCs w:val="22"/>
                <w:lang w:val="en-US"/>
              </w:rPr>
              <w:t xml:space="preserve"> of relevance to wetlands and other potential donors to support Regional Initiatives seeking financial assistance from the Ramsar Convention with additional voluntary contributions, to match Ramsar funding and ensure the financial sustainability of the initiatives;</w:t>
            </w:r>
          </w:p>
        </w:tc>
        <w:tc>
          <w:tcPr>
            <w:tcW w:w="1668" w:type="dxa"/>
          </w:tcPr>
          <w:p w14:paraId="3019771D" w14:textId="77777777" w:rsidR="003F6A46" w:rsidRPr="00FD600C" w:rsidRDefault="003F6A46" w:rsidP="00A03E7B">
            <w:pPr>
              <w:rPr>
                <w:sz w:val="22"/>
                <w:szCs w:val="22"/>
                <w:lang w:val="en-US"/>
              </w:rPr>
            </w:pPr>
            <w:r>
              <w:rPr>
                <w:sz w:val="22"/>
                <w:szCs w:val="22"/>
                <w:lang w:val="en-US"/>
              </w:rPr>
              <w:t>18</w:t>
            </w:r>
          </w:p>
        </w:tc>
        <w:tc>
          <w:tcPr>
            <w:tcW w:w="5381" w:type="dxa"/>
          </w:tcPr>
          <w:p w14:paraId="5BFB504D" w14:textId="77777777" w:rsidR="003F6A46" w:rsidRPr="00FD600C" w:rsidRDefault="003F6A46" w:rsidP="00A03E7B">
            <w:pPr>
              <w:rPr>
                <w:sz w:val="22"/>
                <w:szCs w:val="22"/>
                <w:lang w:val="en-US"/>
              </w:rPr>
            </w:pPr>
            <w:r>
              <w:rPr>
                <w:sz w:val="22"/>
                <w:szCs w:val="22"/>
                <w:lang w:val="en-US"/>
              </w:rPr>
              <w:t xml:space="preserve">Broadly consistent with </w:t>
            </w:r>
            <w:r w:rsidRPr="000D2FEB">
              <w:rPr>
                <w:rFonts w:eastAsia="Calibri" w:cs="Calibri"/>
                <w:sz w:val="22"/>
                <w:szCs w:val="22"/>
                <w:lang w:val="en-US"/>
              </w:rPr>
              <w:t>Para 18, 25, 26</w:t>
            </w:r>
            <w:r>
              <w:rPr>
                <w:rFonts w:eastAsia="Calibri" w:cs="Calibri"/>
                <w:sz w:val="22"/>
                <w:szCs w:val="22"/>
                <w:lang w:val="en-US"/>
              </w:rPr>
              <w:t xml:space="preserve"> of XIII.9. </w:t>
            </w:r>
          </w:p>
        </w:tc>
      </w:tr>
      <w:tr w:rsidR="003F6A46" w:rsidRPr="00217036" w14:paraId="25B54F2F" w14:textId="77777777" w:rsidTr="00D547CB">
        <w:tc>
          <w:tcPr>
            <w:tcW w:w="6832" w:type="dxa"/>
          </w:tcPr>
          <w:p w14:paraId="05E4CFAD" w14:textId="77777777" w:rsidR="003F6A46" w:rsidRPr="00FD600C" w:rsidRDefault="003F6A46" w:rsidP="00A03E7B">
            <w:pPr>
              <w:rPr>
                <w:sz w:val="22"/>
                <w:szCs w:val="22"/>
                <w:lang w:val="en-US"/>
              </w:rPr>
            </w:pPr>
            <w:r w:rsidRPr="000D2FEB">
              <w:rPr>
                <w:sz w:val="22"/>
                <w:szCs w:val="22"/>
                <w:lang w:val="en-US"/>
              </w:rPr>
              <w:t>ENCOURAGES Contracting Parties geographically related to a Regional Initiative that have not yet done so to provide support to the initiative and to signal this through the provision of formal letters of support and financial support, as appropriate;</w:t>
            </w:r>
          </w:p>
        </w:tc>
        <w:tc>
          <w:tcPr>
            <w:tcW w:w="1668" w:type="dxa"/>
          </w:tcPr>
          <w:p w14:paraId="35FFCFCD" w14:textId="77777777" w:rsidR="003F6A46" w:rsidRPr="00FD600C" w:rsidRDefault="003F6A46" w:rsidP="00A03E7B">
            <w:pPr>
              <w:rPr>
                <w:sz w:val="22"/>
                <w:szCs w:val="22"/>
                <w:lang w:val="en-US"/>
              </w:rPr>
            </w:pPr>
            <w:r>
              <w:rPr>
                <w:sz w:val="22"/>
                <w:szCs w:val="22"/>
                <w:lang w:val="en-US"/>
              </w:rPr>
              <w:t>24</w:t>
            </w:r>
          </w:p>
        </w:tc>
        <w:tc>
          <w:tcPr>
            <w:tcW w:w="5381" w:type="dxa"/>
          </w:tcPr>
          <w:p w14:paraId="31D3CEE7" w14:textId="77777777" w:rsidR="003F6A46" w:rsidRPr="00FD600C" w:rsidRDefault="003F6A46" w:rsidP="00A03E7B">
            <w:pPr>
              <w:rPr>
                <w:sz w:val="22"/>
                <w:szCs w:val="22"/>
                <w:lang w:val="en-US"/>
              </w:rPr>
            </w:pPr>
            <w:r w:rsidRPr="000D2FEB">
              <w:rPr>
                <w:rFonts w:eastAsia="Calibri" w:cs="Calibri"/>
                <w:sz w:val="22"/>
                <w:szCs w:val="22"/>
                <w:lang w:val="en-US"/>
              </w:rPr>
              <w:t>Broadly consistent (no reference to letter, though)</w:t>
            </w:r>
            <w:r>
              <w:rPr>
                <w:rFonts w:eastAsia="Calibri" w:cs="Calibri"/>
                <w:sz w:val="22"/>
                <w:szCs w:val="22"/>
                <w:lang w:val="en-US"/>
              </w:rPr>
              <w:t xml:space="preserve"> with para 18, second sentence. </w:t>
            </w:r>
          </w:p>
        </w:tc>
      </w:tr>
      <w:tr w:rsidR="003F6A46" w:rsidRPr="00FD600C" w14:paraId="22D1D418" w14:textId="77777777" w:rsidTr="00D547CB">
        <w:tc>
          <w:tcPr>
            <w:tcW w:w="6832" w:type="dxa"/>
          </w:tcPr>
          <w:p w14:paraId="37AB7AB1" w14:textId="77777777" w:rsidR="003F6A46" w:rsidRPr="00FD600C" w:rsidRDefault="003F6A46" w:rsidP="00A03E7B">
            <w:pPr>
              <w:rPr>
                <w:sz w:val="22"/>
                <w:szCs w:val="22"/>
                <w:lang w:val="en-US"/>
              </w:rPr>
            </w:pPr>
          </w:p>
        </w:tc>
        <w:tc>
          <w:tcPr>
            <w:tcW w:w="1668" w:type="dxa"/>
          </w:tcPr>
          <w:p w14:paraId="488EB01E" w14:textId="77777777" w:rsidR="003F6A46" w:rsidRPr="00336733" w:rsidRDefault="003F6A46" w:rsidP="00A03E7B">
            <w:pPr>
              <w:rPr>
                <w:b/>
                <w:sz w:val="22"/>
                <w:szCs w:val="22"/>
                <w:lang w:val="en-US"/>
              </w:rPr>
            </w:pPr>
            <w:r w:rsidRPr="00336733">
              <w:rPr>
                <w:b/>
                <w:sz w:val="22"/>
                <w:szCs w:val="22"/>
                <w:lang w:val="en-US"/>
              </w:rPr>
              <w:t>X.6</w:t>
            </w:r>
          </w:p>
        </w:tc>
        <w:tc>
          <w:tcPr>
            <w:tcW w:w="5381" w:type="dxa"/>
          </w:tcPr>
          <w:p w14:paraId="2507443E" w14:textId="77777777" w:rsidR="003F6A46" w:rsidRPr="00FD600C" w:rsidRDefault="003F6A46" w:rsidP="00A03E7B">
            <w:pPr>
              <w:rPr>
                <w:sz w:val="22"/>
                <w:szCs w:val="22"/>
                <w:lang w:val="en-US"/>
              </w:rPr>
            </w:pPr>
          </w:p>
        </w:tc>
      </w:tr>
      <w:tr w:rsidR="003F6A46" w:rsidRPr="00217036" w14:paraId="74036997" w14:textId="77777777" w:rsidTr="00D547CB">
        <w:tc>
          <w:tcPr>
            <w:tcW w:w="6832" w:type="dxa"/>
          </w:tcPr>
          <w:p w14:paraId="66C260D4" w14:textId="77777777" w:rsidR="003F6A46" w:rsidRPr="00FD600C" w:rsidRDefault="003F6A46" w:rsidP="00A03E7B">
            <w:pPr>
              <w:rPr>
                <w:sz w:val="22"/>
                <w:szCs w:val="22"/>
                <w:lang w:val="en-US"/>
              </w:rPr>
            </w:pPr>
            <w:r w:rsidRPr="000D2FEB">
              <w:rPr>
                <w:sz w:val="22"/>
                <w:szCs w:val="22"/>
                <w:lang w:val="en-US"/>
              </w:rPr>
              <w:t>ENCOURAGES Contracting Parties, intergovernmental agencies, International Organization Partners, national NGOs and other potential donors to support such regional initiatives seeking financial assistance from the Ramsar Convention with additional voluntary contributions;</w:t>
            </w:r>
          </w:p>
        </w:tc>
        <w:tc>
          <w:tcPr>
            <w:tcW w:w="1668" w:type="dxa"/>
          </w:tcPr>
          <w:p w14:paraId="4A098320" w14:textId="77777777" w:rsidR="003F6A46" w:rsidRPr="00FD600C" w:rsidRDefault="003F6A46" w:rsidP="00A03E7B">
            <w:pPr>
              <w:rPr>
                <w:sz w:val="22"/>
                <w:szCs w:val="22"/>
                <w:lang w:val="en-US"/>
              </w:rPr>
            </w:pPr>
            <w:r>
              <w:rPr>
                <w:sz w:val="22"/>
                <w:szCs w:val="22"/>
                <w:lang w:val="en-US"/>
              </w:rPr>
              <w:t>13</w:t>
            </w:r>
          </w:p>
        </w:tc>
        <w:tc>
          <w:tcPr>
            <w:tcW w:w="5381" w:type="dxa"/>
          </w:tcPr>
          <w:p w14:paraId="69F841DB" w14:textId="77777777" w:rsidR="003F6A46" w:rsidRPr="00FD600C" w:rsidRDefault="003F6A46" w:rsidP="00A03E7B">
            <w:pPr>
              <w:rPr>
                <w:sz w:val="22"/>
                <w:szCs w:val="22"/>
                <w:lang w:val="en-US"/>
              </w:rPr>
            </w:pPr>
            <w:r>
              <w:rPr>
                <w:sz w:val="22"/>
                <w:szCs w:val="22"/>
                <w:lang w:val="en-US"/>
              </w:rPr>
              <w:t>Broadly consistent with p</w:t>
            </w:r>
            <w:r w:rsidRPr="000D2FEB">
              <w:rPr>
                <w:sz w:val="22"/>
                <w:szCs w:val="22"/>
                <w:lang w:val="en-US"/>
              </w:rPr>
              <w:t>ara</w:t>
            </w:r>
            <w:r>
              <w:rPr>
                <w:sz w:val="22"/>
                <w:szCs w:val="22"/>
                <w:lang w:val="en-US"/>
              </w:rPr>
              <w:t>s</w:t>
            </w:r>
            <w:r w:rsidRPr="000D2FEB">
              <w:rPr>
                <w:sz w:val="22"/>
                <w:szCs w:val="22"/>
                <w:lang w:val="en-US"/>
              </w:rPr>
              <w:t xml:space="preserve"> 18, 25, 26, 27</w:t>
            </w:r>
            <w:r>
              <w:rPr>
                <w:sz w:val="22"/>
                <w:szCs w:val="22"/>
                <w:lang w:val="en-US"/>
              </w:rPr>
              <w:t xml:space="preserve"> of XIII.9. </w:t>
            </w:r>
          </w:p>
        </w:tc>
      </w:tr>
      <w:tr w:rsidR="003F6A46" w:rsidRPr="00217036" w14:paraId="5F7E8E53" w14:textId="77777777" w:rsidTr="00D547CB">
        <w:tc>
          <w:tcPr>
            <w:tcW w:w="6832" w:type="dxa"/>
          </w:tcPr>
          <w:p w14:paraId="41F6A96F" w14:textId="77777777" w:rsidR="003F6A46" w:rsidRPr="00FD600C" w:rsidRDefault="003F6A46" w:rsidP="00A03E7B">
            <w:pPr>
              <w:rPr>
                <w:sz w:val="22"/>
                <w:szCs w:val="22"/>
                <w:lang w:val="en-US"/>
              </w:rPr>
            </w:pPr>
            <w:r w:rsidRPr="000D2FEB">
              <w:rPr>
                <w:sz w:val="22"/>
                <w:szCs w:val="22"/>
                <w:lang w:val="en-US"/>
              </w:rPr>
              <w:t xml:space="preserve">STRONGLY URGES those regional initiatives that receive initial financial support from the core budget to use this support </w:t>
            </w:r>
            <w:r w:rsidRPr="000D2FEB">
              <w:rPr>
                <w:i/>
                <w:sz w:val="22"/>
                <w:szCs w:val="22"/>
                <w:lang w:val="en-US"/>
              </w:rPr>
              <w:t>inter alia</w:t>
            </w:r>
            <w:r w:rsidRPr="000D2FEB">
              <w:rPr>
                <w:sz w:val="22"/>
                <w:szCs w:val="22"/>
                <w:lang w:val="en-US"/>
              </w:rPr>
              <w:t xml:space="preserve"> to seek alternative flows of sustainable funding;</w:t>
            </w:r>
          </w:p>
        </w:tc>
        <w:tc>
          <w:tcPr>
            <w:tcW w:w="1668" w:type="dxa"/>
          </w:tcPr>
          <w:p w14:paraId="2ECEF09A" w14:textId="77777777" w:rsidR="003F6A46" w:rsidRPr="00FD600C" w:rsidRDefault="003F6A46" w:rsidP="00A03E7B">
            <w:pPr>
              <w:rPr>
                <w:sz w:val="22"/>
                <w:szCs w:val="22"/>
                <w:lang w:val="en-US"/>
              </w:rPr>
            </w:pPr>
            <w:r>
              <w:rPr>
                <w:sz w:val="22"/>
                <w:szCs w:val="22"/>
                <w:lang w:val="en-US"/>
              </w:rPr>
              <w:t>14</w:t>
            </w:r>
          </w:p>
        </w:tc>
        <w:tc>
          <w:tcPr>
            <w:tcW w:w="5381" w:type="dxa"/>
          </w:tcPr>
          <w:p w14:paraId="53F0FF4A" w14:textId="77777777" w:rsidR="003F6A46" w:rsidRPr="00FD600C" w:rsidRDefault="003F6A46" w:rsidP="00A03E7B">
            <w:pPr>
              <w:rPr>
                <w:sz w:val="22"/>
                <w:szCs w:val="22"/>
                <w:lang w:val="en-US"/>
              </w:rPr>
            </w:pPr>
            <w:r>
              <w:rPr>
                <w:sz w:val="22"/>
                <w:szCs w:val="22"/>
                <w:lang w:val="en-US"/>
              </w:rPr>
              <w:t>Broadly consistent with para 25 of XIII.9.</w:t>
            </w:r>
          </w:p>
        </w:tc>
      </w:tr>
      <w:tr w:rsidR="003F6A46" w:rsidRPr="00FD600C" w14:paraId="527DC52A" w14:textId="77777777" w:rsidTr="00D547CB">
        <w:tc>
          <w:tcPr>
            <w:tcW w:w="6832" w:type="dxa"/>
          </w:tcPr>
          <w:p w14:paraId="1526FB31" w14:textId="77777777" w:rsidR="003F6A46" w:rsidRPr="00FD600C" w:rsidRDefault="003F6A46" w:rsidP="00A03E7B">
            <w:pPr>
              <w:rPr>
                <w:sz w:val="22"/>
                <w:szCs w:val="22"/>
                <w:lang w:val="en-US"/>
              </w:rPr>
            </w:pPr>
          </w:p>
        </w:tc>
        <w:tc>
          <w:tcPr>
            <w:tcW w:w="1668" w:type="dxa"/>
          </w:tcPr>
          <w:p w14:paraId="137F5601" w14:textId="77777777" w:rsidR="003F6A46" w:rsidRPr="00336733" w:rsidRDefault="003F6A46" w:rsidP="00A03E7B">
            <w:pPr>
              <w:rPr>
                <w:b/>
                <w:sz w:val="22"/>
                <w:szCs w:val="22"/>
                <w:lang w:val="en-US"/>
              </w:rPr>
            </w:pPr>
            <w:r w:rsidRPr="00336733">
              <w:rPr>
                <w:b/>
                <w:sz w:val="22"/>
                <w:szCs w:val="22"/>
                <w:lang w:val="en-US"/>
              </w:rPr>
              <w:t>IX.7</w:t>
            </w:r>
          </w:p>
        </w:tc>
        <w:tc>
          <w:tcPr>
            <w:tcW w:w="5381" w:type="dxa"/>
          </w:tcPr>
          <w:p w14:paraId="1713179E" w14:textId="77777777" w:rsidR="003F6A46" w:rsidRPr="00FD600C" w:rsidRDefault="003F6A46" w:rsidP="00A03E7B">
            <w:pPr>
              <w:rPr>
                <w:sz w:val="22"/>
                <w:szCs w:val="22"/>
                <w:lang w:val="en-US"/>
              </w:rPr>
            </w:pPr>
          </w:p>
        </w:tc>
      </w:tr>
      <w:tr w:rsidR="003F6A46" w:rsidRPr="00217036" w14:paraId="317A2254" w14:textId="77777777" w:rsidTr="00D547CB">
        <w:tc>
          <w:tcPr>
            <w:tcW w:w="6832" w:type="dxa"/>
          </w:tcPr>
          <w:p w14:paraId="3E01C203" w14:textId="77777777" w:rsidR="003F6A46" w:rsidRPr="00FD600C" w:rsidRDefault="003F6A46" w:rsidP="00A03E7B">
            <w:pPr>
              <w:rPr>
                <w:sz w:val="22"/>
                <w:szCs w:val="22"/>
                <w:lang w:val="en-US"/>
              </w:rPr>
            </w:pPr>
            <w:r w:rsidRPr="0057049C">
              <w:rPr>
                <w:sz w:val="22"/>
                <w:szCs w:val="22"/>
                <w:lang w:val="en-US"/>
              </w:rPr>
              <w:t xml:space="preserve">ENCOURAGES Contracting Parties, intergovernmental agencies, IOPs, national NGOs and other donors to support such regional initiatives seeking financial assistance from the Ramsar Convention with additional </w:t>
            </w:r>
            <w:r w:rsidRPr="0057049C">
              <w:rPr>
                <w:sz w:val="22"/>
                <w:szCs w:val="22"/>
                <w:lang w:val="en-US"/>
              </w:rPr>
              <w:lastRenderedPageBreak/>
              <w:t>voluntary contributions, and STRONGLY URGES those regional initiatives that receive financial support from the core budget to use this support inter alia to seek alternative flows of sustainable funding;</w:t>
            </w:r>
          </w:p>
        </w:tc>
        <w:tc>
          <w:tcPr>
            <w:tcW w:w="1668" w:type="dxa"/>
          </w:tcPr>
          <w:p w14:paraId="647CBA30" w14:textId="77777777" w:rsidR="003F6A46" w:rsidRPr="00FD600C" w:rsidRDefault="003F6A46" w:rsidP="00A03E7B">
            <w:pPr>
              <w:rPr>
                <w:sz w:val="22"/>
                <w:szCs w:val="22"/>
                <w:lang w:val="en-US"/>
              </w:rPr>
            </w:pPr>
            <w:r>
              <w:rPr>
                <w:sz w:val="22"/>
                <w:szCs w:val="22"/>
                <w:lang w:val="en-US"/>
              </w:rPr>
              <w:lastRenderedPageBreak/>
              <w:t>10</w:t>
            </w:r>
          </w:p>
        </w:tc>
        <w:tc>
          <w:tcPr>
            <w:tcW w:w="5381" w:type="dxa"/>
          </w:tcPr>
          <w:p w14:paraId="1FFFC01F" w14:textId="77777777" w:rsidR="003F6A46" w:rsidRPr="00FD600C" w:rsidRDefault="003F6A46" w:rsidP="00A03E7B">
            <w:pPr>
              <w:rPr>
                <w:sz w:val="22"/>
                <w:szCs w:val="22"/>
                <w:lang w:val="en-US"/>
              </w:rPr>
            </w:pPr>
            <w:r>
              <w:rPr>
                <w:sz w:val="22"/>
                <w:szCs w:val="22"/>
                <w:lang w:val="en-US"/>
              </w:rPr>
              <w:t>Broadly consistent with p</w:t>
            </w:r>
            <w:r w:rsidRPr="000D2FEB">
              <w:rPr>
                <w:sz w:val="22"/>
                <w:szCs w:val="22"/>
                <w:lang w:val="en-US"/>
              </w:rPr>
              <w:t>ara</w:t>
            </w:r>
            <w:r>
              <w:rPr>
                <w:sz w:val="22"/>
                <w:szCs w:val="22"/>
                <w:lang w:val="en-US"/>
              </w:rPr>
              <w:t>s</w:t>
            </w:r>
            <w:r w:rsidRPr="000D2FEB">
              <w:rPr>
                <w:sz w:val="22"/>
                <w:szCs w:val="22"/>
                <w:lang w:val="en-US"/>
              </w:rPr>
              <w:t xml:space="preserve"> 18, 25, 26, 27</w:t>
            </w:r>
            <w:r>
              <w:rPr>
                <w:sz w:val="22"/>
                <w:szCs w:val="22"/>
                <w:lang w:val="en-US"/>
              </w:rPr>
              <w:t xml:space="preserve"> of XIII.9.</w:t>
            </w:r>
          </w:p>
        </w:tc>
      </w:tr>
      <w:tr w:rsidR="003F6A46" w:rsidRPr="00FD600C" w14:paraId="23823B3B" w14:textId="77777777" w:rsidTr="00D547CB">
        <w:tc>
          <w:tcPr>
            <w:tcW w:w="6832" w:type="dxa"/>
          </w:tcPr>
          <w:p w14:paraId="3583CBC7" w14:textId="77777777" w:rsidR="003F6A46" w:rsidRPr="006E54B4" w:rsidRDefault="003F6A46" w:rsidP="00A03E7B">
            <w:pPr>
              <w:rPr>
                <w:b/>
                <w:sz w:val="22"/>
                <w:szCs w:val="22"/>
                <w:lang w:val="en-US"/>
              </w:rPr>
            </w:pPr>
            <w:r>
              <w:rPr>
                <w:b/>
                <w:sz w:val="22"/>
                <w:szCs w:val="22"/>
                <w:lang w:val="en-US"/>
              </w:rPr>
              <w:t xml:space="preserve">Contact with Secretariat </w:t>
            </w:r>
          </w:p>
        </w:tc>
        <w:tc>
          <w:tcPr>
            <w:tcW w:w="1668" w:type="dxa"/>
          </w:tcPr>
          <w:p w14:paraId="1C2D7447" w14:textId="77777777" w:rsidR="003F6A46" w:rsidRPr="00FD600C" w:rsidRDefault="003F6A46" w:rsidP="00A03E7B">
            <w:pPr>
              <w:rPr>
                <w:sz w:val="22"/>
                <w:szCs w:val="22"/>
                <w:lang w:val="en-US"/>
              </w:rPr>
            </w:pPr>
          </w:p>
        </w:tc>
        <w:tc>
          <w:tcPr>
            <w:tcW w:w="5381" w:type="dxa"/>
          </w:tcPr>
          <w:p w14:paraId="16D27940" w14:textId="77777777" w:rsidR="003F6A46" w:rsidRPr="00FD600C" w:rsidRDefault="003F6A46" w:rsidP="00A03E7B">
            <w:pPr>
              <w:rPr>
                <w:sz w:val="22"/>
                <w:szCs w:val="22"/>
                <w:lang w:val="en-US"/>
              </w:rPr>
            </w:pPr>
          </w:p>
        </w:tc>
      </w:tr>
      <w:tr w:rsidR="003F6A46" w:rsidRPr="00FD600C" w14:paraId="3BDBB169" w14:textId="77777777" w:rsidTr="00D547CB">
        <w:tc>
          <w:tcPr>
            <w:tcW w:w="6832" w:type="dxa"/>
          </w:tcPr>
          <w:p w14:paraId="56271C00" w14:textId="77777777" w:rsidR="003F6A46" w:rsidRPr="000B2543" w:rsidRDefault="003F6A46" w:rsidP="00A03E7B">
            <w:pPr>
              <w:rPr>
                <w:b/>
                <w:sz w:val="22"/>
                <w:szCs w:val="22"/>
                <w:lang w:val="en-US"/>
              </w:rPr>
            </w:pPr>
          </w:p>
        </w:tc>
        <w:tc>
          <w:tcPr>
            <w:tcW w:w="1668" w:type="dxa"/>
          </w:tcPr>
          <w:p w14:paraId="356A1679" w14:textId="51D260C9" w:rsidR="003F6A46" w:rsidRPr="006E54B4" w:rsidRDefault="003F6A46" w:rsidP="00400CEA">
            <w:pPr>
              <w:rPr>
                <w:b/>
                <w:sz w:val="22"/>
                <w:szCs w:val="22"/>
                <w:lang w:val="en-US"/>
              </w:rPr>
            </w:pPr>
            <w:r w:rsidRPr="006E54B4">
              <w:rPr>
                <w:b/>
                <w:sz w:val="22"/>
                <w:szCs w:val="22"/>
                <w:lang w:val="en-US"/>
              </w:rPr>
              <w:t>XII.</w:t>
            </w:r>
            <w:r>
              <w:rPr>
                <w:b/>
                <w:sz w:val="22"/>
                <w:szCs w:val="22"/>
                <w:lang w:val="en-US"/>
              </w:rPr>
              <w:t>8</w:t>
            </w:r>
          </w:p>
        </w:tc>
        <w:tc>
          <w:tcPr>
            <w:tcW w:w="5381" w:type="dxa"/>
          </w:tcPr>
          <w:p w14:paraId="41ECFE11" w14:textId="77777777" w:rsidR="003F6A46" w:rsidRPr="00FD600C" w:rsidRDefault="003F6A46" w:rsidP="00A03E7B">
            <w:pPr>
              <w:rPr>
                <w:sz w:val="22"/>
                <w:szCs w:val="22"/>
                <w:lang w:val="en-US"/>
              </w:rPr>
            </w:pPr>
          </w:p>
        </w:tc>
      </w:tr>
      <w:tr w:rsidR="003F6A46" w:rsidRPr="00217036" w14:paraId="20A0CC7B" w14:textId="77777777" w:rsidTr="00D547CB">
        <w:tc>
          <w:tcPr>
            <w:tcW w:w="6832" w:type="dxa"/>
          </w:tcPr>
          <w:p w14:paraId="7631DDCF" w14:textId="77777777" w:rsidR="003F6A46" w:rsidRPr="00D547CB" w:rsidRDefault="003F6A46" w:rsidP="00D547CB">
            <w:pPr>
              <w:pStyle w:val="BodyText"/>
              <w:spacing w:line="239" w:lineRule="auto"/>
              <w:ind w:left="0" w:right="-42" w:firstLine="0"/>
              <w:rPr>
                <w:rFonts w:asciiTheme="minorHAnsi" w:hAnsiTheme="minorHAnsi"/>
              </w:rPr>
            </w:pPr>
            <w:r w:rsidRPr="000D2FEB">
              <w:rPr>
                <w:rFonts w:asciiTheme="minorHAnsi" w:hAnsiTheme="minorHAnsi"/>
              </w:rPr>
              <w:t>REQUESTS the regional initiatives to maintain active and regular contact with the Secretariat, to ensure that the global Ramsar guidelines are applied and that the strategic and operational objectives of regional initiatives are in full harmony with the Convention’s Strategic Plan, and INSTRUCTS the Secretariat to support and advise regional initiatives, according to its means, to reinforce th</w:t>
            </w:r>
            <w:r>
              <w:rPr>
                <w:rFonts w:asciiTheme="minorHAnsi" w:hAnsiTheme="minorHAnsi"/>
              </w:rPr>
              <w:t>eir capacity and effectiveness;</w:t>
            </w:r>
          </w:p>
        </w:tc>
        <w:tc>
          <w:tcPr>
            <w:tcW w:w="1668" w:type="dxa"/>
          </w:tcPr>
          <w:p w14:paraId="72175824" w14:textId="77777777" w:rsidR="003F6A46" w:rsidRPr="00FD600C" w:rsidRDefault="003F6A46" w:rsidP="00A03E7B">
            <w:pPr>
              <w:rPr>
                <w:sz w:val="22"/>
                <w:szCs w:val="22"/>
                <w:lang w:val="en-US"/>
              </w:rPr>
            </w:pPr>
            <w:r>
              <w:rPr>
                <w:sz w:val="22"/>
                <w:szCs w:val="22"/>
                <w:lang w:val="en-US"/>
              </w:rPr>
              <w:t>19</w:t>
            </w:r>
          </w:p>
        </w:tc>
        <w:tc>
          <w:tcPr>
            <w:tcW w:w="5381" w:type="dxa"/>
          </w:tcPr>
          <w:p w14:paraId="049D465B" w14:textId="77777777" w:rsidR="003F6A46" w:rsidRPr="00FD600C" w:rsidRDefault="003F6A46" w:rsidP="00A03E7B">
            <w:pPr>
              <w:rPr>
                <w:sz w:val="22"/>
                <w:szCs w:val="22"/>
                <w:lang w:val="en-US"/>
              </w:rPr>
            </w:pPr>
            <w:r>
              <w:rPr>
                <w:sz w:val="22"/>
                <w:szCs w:val="22"/>
                <w:lang w:val="en-US"/>
              </w:rPr>
              <w:t>First clause in sentence (up to comma) analogous to first clause of para 21 of XIII.9; second clause in sentence (up to second comma) inconsistent; third clause in sentence analogous but not identical to second clause in para 21 of XIII.9.</w:t>
            </w:r>
          </w:p>
        </w:tc>
      </w:tr>
      <w:tr w:rsidR="003F6A46" w:rsidRPr="00FD600C" w14:paraId="5EE10EA8" w14:textId="77777777" w:rsidTr="00D547CB">
        <w:tc>
          <w:tcPr>
            <w:tcW w:w="6832" w:type="dxa"/>
          </w:tcPr>
          <w:p w14:paraId="53D13FBB" w14:textId="77777777" w:rsidR="003F6A46" w:rsidRPr="00FD600C" w:rsidRDefault="003F6A46" w:rsidP="00A03E7B">
            <w:pPr>
              <w:rPr>
                <w:sz w:val="22"/>
                <w:szCs w:val="22"/>
                <w:lang w:val="en-US"/>
              </w:rPr>
            </w:pPr>
          </w:p>
        </w:tc>
        <w:tc>
          <w:tcPr>
            <w:tcW w:w="1668" w:type="dxa"/>
          </w:tcPr>
          <w:p w14:paraId="1D86D9DA" w14:textId="77777777" w:rsidR="003F6A46" w:rsidRPr="00FD600C" w:rsidRDefault="003F6A46" w:rsidP="00A03E7B">
            <w:pPr>
              <w:rPr>
                <w:sz w:val="22"/>
                <w:szCs w:val="22"/>
                <w:lang w:val="en-US"/>
              </w:rPr>
            </w:pPr>
            <w:r w:rsidRPr="00A26961">
              <w:rPr>
                <w:b/>
                <w:sz w:val="22"/>
                <w:szCs w:val="22"/>
                <w:lang w:val="en-US"/>
              </w:rPr>
              <w:t>XI.5</w:t>
            </w:r>
            <w:r>
              <w:rPr>
                <w:b/>
                <w:sz w:val="22"/>
                <w:szCs w:val="22"/>
                <w:lang w:val="en-US"/>
              </w:rPr>
              <w:t xml:space="preserve"> </w:t>
            </w:r>
          </w:p>
        </w:tc>
        <w:tc>
          <w:tcPr>
            <w:tcW w:w="5381" w:type="dxa"/>
          </w:tcPr>
          <w:p w14:paraId="59604FC5" w14:textId="77777777" w:rsidR="003F6A46" w:rsidRPr="00FD600C" w:rsidRDefault="003F6A46" w:rsidP="00A03E7B">
            <w:pPr>
              <w:rPr>
                <w:sz w:val="22"/>
                <w:szCs w:val="22"/>
                <w:lang w:val="en-US"/>
              </w:rPr>
            </w:pPr>
          </w:p>
        </w:tc>
      </w:tr>
      <w:tr w:rsidR="003F6A46" w:rsidRPr="00217036" w14:paraId="1A14FD07" w14:textId="77777777" w:rsidTr="00D547CB">
        <w:tc>
          <w:tcPr>
            <w:tcW w:w="6832" w:type="dxa"/>
          </w:tcPr>
          <w:p w14:paraId="7AFC37EB" w14:textId="77777777" w:rsidR="003F6A46" w:rsidRPr="00FD600C" w:rsidRDefault="003F6A46" w:rsidP="00D547CB">
            <w:pPr>
              <w:ind w:left="32"/>
              <w:rPr>
                <w:sz w:val="22"/>
                <w:szCs w:val="22"/>
                <w:lang w:val="en-US"/>
              </w:rPr>
            </w:pPr>
            <w:r w:rsidRPr="000D2FEB">
              <w:rPr>
                <w:sz w:val="22"/>
                <w:szCs w:val="22"/>
                <w:lang w:val="en-US"/>
              </w:rPr>
              <w:t xml:space="preserve">ENCOURAGES the Regional Initiatives to maintain active and regular contacts and exchanges with the Secretariat, </w:t>
            </w:r>
            <w:r w:rsidRPr="000D2FEB">
              <w:rPr>
                <w:i/>
                <w:sz w:val="22"/>
                <w:szCs w:val="22"/>
                <w:lang w:val="en-US"/>
              </w:rPr>
              <w:t>inter alia</w:t>
            </w:r>
            <w:r w:rsidRPr="000D2FEB">
              <w:rPr>
                <w:sz w:val="22"/>
                <w:szCs w:val="22"/>
                <w:lang w:val="en-US"/>
              </w:rPr>
              <w:t xml:space="preserve"> to assist in ensuring that the global Ramsar guidelines are applied and that the strategic and operational objectives of Regional Initiatives are in full harmony with the Conve</w:t>
            </w:r>
            <w:r>
              <w:rPr>
                <w:sz w:val="22"/>
                <w:szCs w:val="22"/>
                <w:lang w:val="en-US"/>
              </w:rPr>
              <w:t>ntion’s Strategic Plan;</w:t>
            </w:r>
          </w:p>
        </w:tc>
        <w:tc>
          <w:tcPr>
            <w:tcW w:w="1668" w:type="dxa"/>
          </w:tcPr>
          <w:p w14:paraId="38FA19FF" w14:textId="77777777" w:rsidR="003F6A46" w:rsidRPr="00FD600C" w:rsidRDefault="003F6A46" w:rsidP="00A03E7B">
            <w:pPr>
              <w:rPr>
                <w:sz w:val="22"/>
                <w:szCs w:val="22"/>
                <w:lang w:val="en-US"/>
              </w:rPr>
            </w:pPr>
            <w:r>
              <w:rPr>
                <w:sz w:val="22"/>
                <w:szCs w:val="22"/>
                <w:lang w:val="en-US"/>
              </w:rPr>
              <w:t>21</w:t>
            </w:r>
          </w:p>
        </w:tc>
        <w:tc>
          <w:tcPr>
            <w:tcW w:w="5381" w:type="dxa"/>
          </w:tcPr>
          <w:p w14:paraId="6DC42D91" w14:textId="77777777" w:rsidR="003F6A46" w:rsidRPr="00FD600C" w:rsidRDefault="003F6A46" w:rsidP="00A03E7B">
            <w:pPr>
              <w:rPr>
                <w:sz w:val="22"/>
                <w:szCs w:val="22"/>
                <w:lang w:val="en-US"/>
              </w:rPr>
            </w:pPr>
            <w:r>
              <w:rPr>
                <w:sz w:val="22"/>
                <w:szCs w:val="22"/>
                <w:lang w:val="en-US"/>
              </w:rPr>
              <w:t xml:space="preserve">First sentence (up to comma) analogous to first sentence of para 21 of XIII.9 (the remainder inconsistent, though). </w:t>
            </w:r>
          </w:p>
        </w:tc>
      </w:tr>
      <w:tr w:rsidR="003F6A46" w:rsidRPr="00FD600C" w14:paraId="0C211941" w14:textId="77777777" w:rsidTr="00D547CB">
        <w:tc>
          <w:tcPr>
            <w:tcW w:w="6832" w:type="dxa"/>
          </w:tcPr>
          <w:p w14:paraId="323BB801" w14:textId="77777777" w:rsidR="003F6A46" w:rsidRPr="00871A79" w:rsidRDefault="003F6A46" w:rsidP="00A03E7B">
            <w:pPr>
              <w:rPr>
                <w:b/>
                <w:sz w:val="22"/>
                <w:szCs w:val="22"/>
                <w:lang w:val="en-US"/>
              </w:rPr>
            </w:pPr>
            <w:r w:rsidRPr="00871A79">
              <w:rPr>
                <w:b/>
                <w:sz w:val="22"/>
                <w:szCs w:val="22"/>
                <w:lang w:val="en-US"/>
              </w:rPr>
              <w:t xml:space="preserve">Support from Secretariat </w:t>
            </w:r>
          </w:p>
        </w:tc>
        <w:tc>
          <w:tcPr>
            <w:tcW w:w="1668" w:type="dxa"/>
          </w:tcPr>
          <w:p w14:paraId="380EDCA0" w14:textId="77777777" w:rsidR="003F6A46" w:rsidRPr="00FD600C" w:rsidRDefault="003F6A46" w:rsidP="00A03E7B">
            <w:pPr>
              <w:rPr>
                <w:sz w:val="22"/>
                <w:szCs w:val="22"/>
                <w:lang w:val="en-US"/>
              </w:rPr>
            </w:pPr>
          </w:p>
        </w:tc>
        <w:tc>
          <w:tcPr>
            <w:tcW w:w="5381" w:type="dxa"/>
          </w:tcPr>
          <w:p w14:paraId="2D32ACEF" w14:textId="77777777" w:rsidR="003F6A46" w:rsidRPr="00FD600C" w:rsidRDefault="003F6A46" w:rsidP="00A03E7B">
            <w:pPr>
              <w:rPr>
                <w:sz w:val="22"/>
                <w:szCs w:val="22"/>
                <w:lang w:val="en-US"/>
              </w:rPr>
            </w:pPr>
          </w:p>
        </w:tc>
      </w:tr>
      <w:tr w:rsidR="003F6A46" w:rsidRPr="00FD600C" w14:paraId="55C26E2D" w14:textId="77777777" w:rsidTr="00D547CB">
        <w:tc>
          <w:tcPr>
            <w:tcW w:w="6832" w:type="dxa"/>
          </w:tcPr>
          <w:p w14:paraId="6CD29094" w14:textId="77777777" w:rsidR="003F6A46" w:rsidRPr="00FD600C" w:rsidRDefault="003F6A46" w:rsidP="00A03E7B">
            <w:pPr>
              <w:rPr>
                <w:sz w:val="22"/>
                <w:szCs w:val="22"/>
                <w:lang w:val="en-US"/>
              </w:rPr>
            </w:pPr>
          </w:p>
        </w:tc>
        <w:tc>
          <w:tcPr>
            <w:tcW w:w="1668" w:type="dxa"/>
          </w:tcPr>
          <w:p w14:paraId="65015FEB" w14:textId="4343D700" w:rsidR="003F6A46" w:rsidRPr="009C18C0" w:rsidRDefault="003F6A46" w:rsidP="00400CEA">
            <w:pPr>
              <w:rPr>
                <w:b/>
                <w:sz w:val="22"/>
                <w:szCs w:val="22"/>
                <w:lang w:val="en-US"/>
              </w:rPr>
            </w:pPr>
            <w:r w:rsidRPr="009C18C0">
              <w:rPr>
                <w:b/>
                <w:sz w:val="22"/>
                <w:szCs w:val="22"/>
                <w:lang w:val="en-US"/>
              </w:rPr>
              <w:t>XII.</w:t>
            </w:r>
            <w:r>
              <w:rPr>
                <w:b/>
                <w:sz w:val="22"/>
                <w:szCs w:val="22"/>
                <w:lang w:val="en-US"/>
              </w:rPr>
              <w:t>8</w:t>
            </w:r>
          </w:p>
        </w:tc>
        <w:tc>
          <w:tcPr>
            <w:tcW w:w="5381" w:type="dxa"/>
          </w:tcPr>
          <w:p w14:paraId="00C9B8C8" w14:textId="77777777" w:rsidR="003F6A46" w:rsidRPr="00FD600C" w:rsidRDefault="003F6A46" w:rsidP="00A03E7B">
            <w:pPr>
              <w:rPr>
                <w:sz w:val="22"/>
                <w:szCs w:val="22"/>
                <w:lang w:val="en-US"/>
              </w:rPr>
            </w:pPr>
          </w:p>
        </w:tc>
      </w:tr>
      <w:tr w:rsidR="003F6A46" w:rsidRPr="00217036" w14:paraId="7E8AA69C" w14:textId="77777777" w:rsidTr="00D547CB">
        <w:tc>
          <w:tcPr>
            <w:tcW w:w="6832" w:type="dxa"/>
          </w:tcPr>
          <w:p w14:paraId="1F09A3EB" w14:textId="77777777" w:rsidR="003F6A46" w:rsidRPr="00D547CB" w:rsidRDefault="003F6A46" w:rsidP="00D547CB">
            <w:pPr>
              <w:pStyle w:val="BodyText"/>
              <w:spacing w:line="239" w:lineRule="auto"/>
              <w:ind w:left="0" w:right="-42" w:firstLine="0"/>
              <w:rPr>
                <w:rFonts w:asciiTheme="minorHAnsi" w:hAnsiTheme="minorHAnsi"/>
              </w:rPr>
            </w:pPr>
            <w:r w:rsidRPr="000D2FEB">
              <w:rPr>
                <w:rFonts w:asciiTheme="minorHAnsi" w:hAnsiTheme="minorHAnsi"/>
              </w:rPr>
              <w:t>REQUESTS the regional initiatives to maintain active and regular contact with the Secretariat, to ensure that the global Ramsar guidelines are applied and that the strategic and operational objectives of regional initiatives are in full harmony with the Convention’s Strategic Plan, and INSTRUCTS the Secretariat to support and advise regional initiatives, according to its means, to reinforce th</w:t>
            </w:r>
            <w:r>
              <w:rPr>
                <w:rFonts w:asciiTheme="minorHAnsi" w:hAnsiTheme="minorHAnsi"/>
              </w:rPr>
              <w:t>eir capacity and effectiveness;</w:t>
            </w:r>
          </w:p>
        </w:tc>
        <w:tc>
          <w:tcPr>
            <w:tcW w:w="1668" w:type="dxa"/>
          </w:tcPr>
          <w:p w14:paraId="4FE23F11" w14:textId="77777777" w:rsidR="003F6A46" w:rsidRPr="009C18C0" w:rsidRDefault="003F6A46" w:rsidP="00A03E7B">
            <w:pPr>
              <w:rPr>
                <w:sz w:val="22"/>
                <w:szCs w:val="22"/>
                <w:lang w:val="en-US"/>
              </w:rPr>
            </w:pPr>
            <w:r w:rsidRPr="009C18C0">
              <w:rPr>
                <w:sz w:val="22"/>
                <w:szCs w:val="22"/>
                <w:lang w:val="en-US"/>
              </w:rPr>
              <w:t>19</w:t>
            </w:r>
          </w:p>
        </w:tc>
        <w:tc>
          <w:tcPr>
            <w:tcW w:w="5381" w:type="dxa"/>
          </w:tcPr>
          <w:p w14:paraId="359A6111" w14:textId="77777777" w:rsidR="003F6A46" w:rsidRPr="00FD600C" w:rsidRDefault="003F6A46" w:rsidP="00A03E7B">
            <w:pPr>
              <w:rPr>
                <w:sz w:val="22"/>
                <w:szCs w:val="22"/>
                <w:lang w:val="en-US"/>
              </w:rPr>
            </w:pPr>
            <w:r>
              <w:rPr>
                <w:sz w:val="22"/>
                <w:szCs w:val="22"/>
                <w:lang w:val="en-US"/>
              </w:rPr>
              <w:t>Third clause in sentence analogous (but not identical) to second clause in para 21 of XIII.9.</w:t>
            </w:r>
          </w:p>
        </w:tc>
      </w:tr>
      <w:tr w:rsidR="003F6A46" w:rsidRPr="00FD600C" w14:paraId="144F369C" w14:textId="77777777" w:rsidTr="00D547CB">
        <w:tc>
          <w:tcPr>
            <w:tcW w:w="6832" w:type="dxa"/>
          </w:tcPr>
          <w:p w14:paraId="28269BEB" w14:textId="77777777" w:rsidR="003F6A46" w:rsidRPr="00FD600C" w:rsidRDefault="003F6A46" w:rsidP="00A03E7B">
            <w:pPr>
              <w:rPr>
                <w:sz w:val="22"/>
                <w:szCs w:val="22"/>
                <w:lang w:val="en-US"/>
              </w:rPr>
            </w:pPr>
            <w:r w:rsidRPr="00871A79">
              <w:rPr>
                <w:b/>
                <w:sz w:val="22"/>
                <w:szCs w:val="22"/>
                <w:lang w:val="en-US"/>
              </w:rPr>
              <w:t>Publicity, CEPA</w:t>
            </w:r>
            <w:r>
              <w:rPr>
                <w:b/>
                <w:sz w:val="22"/>
                <w:szCs w:val="22"/>
                <w:lang w:val="en-US"/>
              </w:rPr>
              <w:t xml:space="preserve">, Identity </w:t>
            </w:r>
          </w:p>
        </w:tc>
        <w:tc>
          <w:tcPr>
            <w:tcW w:w="1668" w:type="dxa"/>
          </w:tcPr>
          <w:p w14:paraId="6C3859EA" w14:textId="3EF0A958" w:rsidR="003F6A46" w:rsidRPr="00FD600C" w:rsidRDefault="003F6A46" w:rsidP="00400CEA">
            <w:pPr>
              <w:rPr>
                <w:sz w:val="22"/>
                <w:szCs w:val="22"/>
                <w:lang w:val="en-US"/>
              </w:rPr>
            </w:pPr>
            <w:r w:rsidRPr="009C18C0">
              <w:rPr>
                <w:b/>
                <w:sz w:val="22"/>
                <w:szCs w:val="22"/>
                <w:lang w:val="en-US"/>
              </w:rPr>
              <w:t>XII.</w:t>
            </w:r>
            <w:r>
              <w:rPr>
                <w:b/>
                <w:sz w:val="22"/>
                <w:szCs w:val="22"/>
                <w:lang w:val="en-US"/>
              </w:rPr>
              <w:t>8</w:t>
            </w:r>
          </w:p>
        </w:tc>
        <w:tc>
          <w:tcPr>
            <w:tcW w:w="5381" w:type="dxa"/>
          </w:tcPr>
          <w:p w14:paraId="48DE5427" w14:textId="77777777" w:rsidR="003F6A46" w:rsidRPr="00FD600C" w:rsidRDefault="003F6A46" w:rsidP="00A03E7B">
            <w:pPr>
              <w:rPr>
                <w:sz w:val="22"/>
                <w:szCs w:val="22"/>
                <w:lang w:val="en-US"/>
              </w:rPr>
            </w:pPr>
          </w:p>
        </w:tc>
      </w:tr>
      <w:tr w:rsidR="003F6A46" w:rsidRPr="00217036" w14:paraId="3A00EF49" w14:textId="77777777" w:rsidTr="00D547CB">
        <w:tc>
          <w:tcPr>
            <w:tcW w:w="6832" w:type="dxa"/>
          </w:tcPr>
          <w:p w14:paraId="3DEEBB5D" w14:textId="77777777" w:rsidR="003F6A46" w:rsidRPr="00D547CB" w:rsidRDefault="003F6A46" w:rsidP="00D547CB">
            <w:pPr>
              <w:pStyle w:val="BodyText"/>
              <w:ind w:left="0" w:right="-42" w:firstLine="0"/>
              <w:rPr>
                <w:rFonts w:asciiTheme="minorHAnsi" w:hAnsiTheme="minorHAnsi"/>
              </w:rPr>
            </w:pPr>
            <w:r w:rsidRPr="000D2FEB">
              <w:rPr>
                <w:rFonts w:asciiTheme="minorHAnsi" w:hAnsiTheme="minorHAnsi"/>
              </w:rPr>
              <w:t>INSTRUCTS the Ramsar Secretariat to publicize at global level regional initiatives as an operational means to provide support for the implementation of the objectives of the Ramsar Convention to complement the efforts of</w:t>
            </w:r>
            <w:r w:rsidRPr="000D2FEB" w:rsidDel="0047701A">
              <w:rPr>
                <w:rFonts w:asciiTheme="minorHAnsi" w:hAnsiTheme="minorHAnsi"/>
              </w:rPr>
              <w:t xml:space="preserve"> </w:t>
            </w:r>
            <w:r w:rsidRPr="000D2FEB">
              <w:rPr>
                <w:rFonts w:asciiTheme="minorHAnsi" w:hAnsiTheme="minorHAnsi"/>
              </w:rPr>
              <w:t>the Ramsar Administrative Authorities at national level and the r</w:t>
            </w:r>
            <w:r>
              <w:rPr>
                <w:rFonts w:asciiTheme="minorHAnsi" w:hAnsiTheme="minorHAnsi"/>
              </w:rPr>
              <w:t>egional initiatives themselves;</w:t>
            </w:r>
          </w:p>
        </w:tc>
        <w:tc>
          <w:tcPr>
            <w:tcW w:w="1668" w:type="dxa"/>
          </w:tcPr>
          <w:p w14:paraId="0A96BD93" w14:textId="77777777" w:rsidR="003F6A46" w:rsidRPr="00FD600C" w:rsidRDefault="003F6A46" w:rsidP="00A03E7B">
            <w:pPr>
              <w:rPr>
                <w:sz w:val="22"/>
                <w:szCs w:val="22"/>
                <w:lang w:val="en-US"/>
              </w:rPr>
            </w:pPr>
            <w:r>
              <w:rPr>
                <w:sz w:val="22"/>
                <w:szCs w:val="22"/>
                <w:lang w:val="en-US"/>
              </w:rPr>
              <w:t>18</w:t>
            </w:r>
          </w:p>
        </w:tc>
        <w:tc>
          <w:tcPr>
            <w:tcW w:w="5381" w:type="dxa"/>
          </w:tcPr>
          <w:p w14:paraId="53F35B43" w14:textId="77777777" w:rsidR="003F6A46" w:rsidRPr="00FD600C" w:rsidRDefault="003F6A46" w:rsidP="00A03E7B">
            <w:pPr>
              <w:rPr>
                <w:sz w:val="22"/>
                <w:szCs w:val="22"/>
                <w:lang w:val="en-US"/>
              </w:rPr>
            </w:pPr>
            <w:r w:rsidRPr="000D2FEB">
              <w:rPr>
                <w:sz w:val="22"/>
                <w:szCs w:val="22"/>
                <w:lang w:val="en-US"/>
              </w:rPr>
              <w:t>Broadly consistent</w:t>
            </w:r>
            <w:r>
              <w:rPr>
                <w:sz w:val="22"/>
                <w:szCs w:val="22"/>
                <w:lang w:val="en-US"/>
              </w:rPr>
              <w:t xml:space="preserve"> with para 20 of XIII.9</w:t>
            </w:r>
            <w:r w:rsidRPr="000D2FEB">
              <w:rPr>
                <w:sz w:val="22"/>
                <w:szCs w:val="22"/>
                <w:lang w:val="en-US"/>
              </w:rPr>
              <w:t xml:space="preserve"> (note that </w:t>
            </w:r>
            <w:r>
              <w:rPr>
                <w:sz w:val="22"/>
                <w:szCs w:val="22"/>
                <w:lang w:val="en-US"/>
              </w:rPr>
              <w:t>this para</w:t>
            </w:r>
            <w:r w:rsidRPr="000D2FEB">
              <w:rPr>
                <w:sz w:val="22"/>
                <w:szCs w:val="22"/>
                <w:lang w:val="en-US"/>
              </w:rPr>
              <w:t xml:space="preserve"> also says ‘…mechanism to promote international cooperation…’)</w:t>
            </w:r>
          </w:p>
        </w:tc>
      </w:tr>
      <w:tr w:rsidR="003F6A46" w:rsidRPr="00217036" w14:paraId="51069A11" w14:textId="77777777" w:rsidTr="00D547CB">
        <w:tc>
          <w:tcPr>
            <w:tcW w:w="6832" w:type="dxa"/>
          </w:tcPr>
          <w:p w14:paraId="50E8841B" w14:textId="77777777" w:rsidR="003F6A46" w:rsidRPr="00FD600C" w:rsidRDefault="003F6A46" w:rsidP="00A03E7B">
            <w:pPr>
              <w:rPr>
                <w:sz w:val="22"/>
                <w:szCs w:val="22"/>
                <w:lang w:val="en-US"/>
              </w:rPr>
            </w:pPr>
            <w:r w:rsidRPr="009C18C0">
              <w:rPr>
                <w:sz w:val="22"/>
                <w:szCs w:val="22"/>
                <w:lang w:val="en-US"/>
              </w:rPr>
              <w:t xml:space="preserve">REQUESTS the Secretariat to continue publishing information provided by the regional initiatives, including reports on their success in fulfilling the </w:t>
            </w:r>
            <w:r w:rsidRPr="009C18C0">
              <w:rPr>
                <w:sz w:val="22"/>
                <w:szCs w:val="22"/>
                <w:lang w:val="en-US"/>
              </w:rPr>
              <w:lastRenderedPageBreak/>
              <w:t>Operational Guidelines and work plans, on the Convention’s website, to make it accessible for the parties and the public;</w:t>
            </w:r>
          </w:p>
        </w:tc>
        <w:tc>
          <w:tcPr>
            <w:tcW w:w="1668" w:type="dxa"/>
          </w:tcPr>
          <w:p w14:paraId="0320EFAE" w14:textId="77777777" w:rsidR="003F6A46" w:rsidRPr="00FD600C" w:rsidRDefault="003F6A46" w:rsidP="00A03E7B">
            <w:pPr>
              <w:rPr>
                <w:sz w:val="22"/>
                <w:szCs w:val="22"/>
                <w:lang w:val="en-US"/>
              </w:rPr>
            </w:pPr>
            <w:r>
              <w:rPr>
                <w:sz w:val="22"/>
                <w:szCs w:val="22"/>
                <w:lang w:val="en-US"/>
              </w:rPr>
              <w:lastRenderedPageBreak/>
              <w:t>20</w:t>
            </w:r>
          </w:p>
        </w:tc>
        <w:tc>
          <w:tcPr>
            <w:tcW w:w="5381" w:type="dxa"/>
          </w:tcPr>
          <w:p w14:paraId="2197A0F5" w14:textId="77777777" w:rsidR="003F6A46" w:rsidRPr="00FD600C" w:rsidRDefault="003F6A46" w:rsidP="00A03E7B">
            <w:pPr>
              <w:rPr>
                <w:sz w:val="22"/>
                <w:szCs w:val="22"/>
                <w:lang w:val="en-US"/>
              </w:rPr>
            </w:pPr>
            <w:r>
              <w:rPr>
                <w:sz w:val="22"/>
                <w:szCs w:val="22"/>
                <w:lang w:val="en-US"/>
              </w:rPr>
              <w:t>Broadly consistent with para 22 of XIII.9 (but for reference to Operational Guidelines).</w:t>
            </w:r>
          </w:p>
        </w:tc>
      </w:tr>
      <w:tr w:rsidR="003F6A46" w:rsidRPr="00FD600C" w14:paraId="5476051E" w14:textId="77777777" w:rsidTr="00D547CB">
        <w:tc>
          <w:tcPr>
            <w:tcW w:w="6832" w:type="dxa"/>
          </w:tcPr>
          <w:p w14:paraId="05515E76" w14:textId="77777777" w:rsidR="003F6A46" w:rsidRPr="00FD600C" w:rsidRDefault="003F6A46" w:rsidP="00A03E7B">
            <w:pPr>
              <w:rPr>
                <w:sz w:val="22"/>
                <w:szCs w:val="22"/>
                <w:lang w:val="en-US"/>
              </w:rPr>
            </w:pPr>
          </w:p>
        </w:tc>
        <w:tc>
          <w:tcPr>
            <w:tcW w:w="1668" w:type="dxa"/>
          </w:tcPr>
          <w:p w14:paraId="1DA19801" w14:textId="77777777" w:rsidR="003F6A46" w:rsidRPr="003C1D06" w:rsidRDefault="003F6A46" w:rsidP="00A03E7B">
            <w:pPr>
              <w:rPr>
                <w:b/>
                <w:sz w:val="22"/>
                <w:szCs w:val="22"/>
                <w:lang w:val="en-US"/>
              </w:rPr>
            </w:pPr>
            <w:r w:rsidRPr="003C1D06">
              <w:rPr>
                <w:b/>
                <w:sz w:val="22"/>
                <w:szCs w:val="22"/>
                <w:lang w:val="en-US"/>
              </w:rPr>
              <w:t>XI.5</w:t>
            </w:r>
          </w:p>
        </w:tc>
        <w:tc>
          <w:tcPr>
            <w:tcW w:w="5381" w:type="dxa"/>
          </w:tcPr>
          <w:p w14:paraId="5B512E9C" w14:textId="77777777" w:rsidR="003F6A46" w:rsidRPr="00FD600C" w:rsidRDefault="003F6A46" w:rsidP="00A03E7B">
            <w:pPr>
              <w:rPr>
                <w:sz w:val="22"/>
                <w:szCs w:val="22"/>
                <w:lang w:val="en-US"/>
              </w:rPr>
            </w:pPr>
          </w:p>
        </w:tc>
      </w:tr>
      <w:tr w:rsidR="003F6A46" w:rsidRPr="00217036" w14:paraId="4109B91F" w14:textId="77777777" w:rsidTr="00D547CB">
        <w:tc>
          <w:tcPr>
            <w:tcW w:w="6832" w:type="dxa"/>
          </w:tcPr>
          <w:p w14:paraId="4EAF1FB2" w14:textId="77777777" w:rsidR="003F6A46" w:rsidRPr="007339BF" w:rsidRDefault="003F6A46" w:rsidP="00A03E7B">
            <w:pPr>
              <w:rPr>
                <w:sz w:val="22"/>
                <w:szCs w:val="22"/>
                <w:lang w:val="en-US"/>
              </w:rPr>
            </w:pPr>
            <w:r w:rsidRPr="008822C6">
              <w:rPr>
                <w:sz w:val="22"/>
                <w:szCs w:val="22"/>
                <w:lang w:val="en-US"/>
              </w:rPr>
              <w:t xml:space="preserve">INSTRUCTS both Regional </w:t>
            </w:r>
            <w:proofErr w:type="spellStart"/>
            <w:r w:rsidRPr="008822C6">
              <w:rPr>
                <w:sz w:val="22"/>
                <w:szCs w:val="22"/>
                <w:lang w:val="en-US"/>
              </w:rPr>
              <w:t>Centres</w:t>
            </w:r>
            <w:proofErr w:type="spellEnd"/>
            <w:r w:rsidRPr="008822C6">
              <w:rPr>
                <w:sz w:val="22"/>
                <w:szCs w:val="22"/>
                <w:lang w:val="en-US"/>
              </w:rPr>
              <w:t xml:space="preserve"> and Regional Networks operating in the framework of the Convention to describe themselves as an operational means to provide support for the implementation of the objectives of the Ramsar Convention, but to present themselves with their own independent and individual identities to the public and other partners, in order to avoid any confusion in the public mind between these Initiatives and the different roles of the Ramsar Administrative Authorities at national level and the Ramsar Secretariat at international level, and REQUESTS the Secretariat to support and promote the value of the Regional </w:t>
            </w:r>
            <w:proofErr w:type="spellStart"/>
            <w:r w:rsidRPr="008822C6">
              <w:rPr>
                <w:sz w:val="22"/>
                <w:szCs w:val="22"/>
                <w:lang w:val="en-US"/>
              </w:rPr>
              <w:t>Centres</w:t>
            </w:r>
            <w:proofErr w:type="spellEnd"/>
            <w:r w:rsidRPr="008822C6">
              <w:rPr>
                <w:sz w:val="22"/>
                <w:szCs w:val="22"/>
                <w:lang w:val="en-US"/>
              </w:rPr>
              <w:t xml:space="preserve"> and Networks and facilitate those </w:t>
            </w:r>
            <w:r>
              <w:rPr>
                <w:sz w:val="22"/>
                <w:szCs w:val="22"/>
                <w:lang w:val="en-US"/>
              </w:rPr>
              <w:t>efforts to the extent possible;</w:t>
            </w:r>
          </w:p>
        </w:tc>
        <w:tc>
          <w:tcPr>
            <w:tcW w:w="1668" w:type="dxa"/>
          </w:tcPr>
          <w:p w14:paraId="2F5FDAAA" w14:textId="77777777" w:rsidR="003F6A46" w:rsidRDefault="003F6A46" w:rsidP="00A03E7B">
            <w:pPr>
              <w:rPr>
                <w:sz w:val="22"/>
                <w:szCs w:val="22"/>
                <w:lang w:val="en-US"/>
              </w:rPr>
            </w:pPr>
            <w:r>
              <w:rPr>
                <w:sz w:val="22"/>
                <w:szCs w:val="22"/>
                <w:lang w:val="en-US"/>
              </w:rPr>
              <w:t>19</w:t>
            </w:r>
          </w:p>
        </w:tc>
        <w:tc>
          <w:tcPr>
            <w:tcW w:w="5381" w:type="dxa"/>
          </w:tcPr>
          <w:p w14:paraId="0B546DEC" w14:textId="77777777" w:rsidR="003F6A46" w:rsidRDefault="003F6A46" w:rsidP="00A03E7B">
            <w:pPr>
              <w:rPr>
                <w:sz w:val="22"/>
                <w:szCs w:val="22"/>
                <w:lang w:val="en-US"/>
              </w:rPr>
            </w:pPr>
            <w:r>
              <w:rPr>
                <w:rFonts w:eastAsia="Calibri" w:cs="Calibri"/>
                <w:sz w:val="22"/>
                <w:szCs w:val="22"/>
                <w:lang w:val="en-US"/>
              </w:rPr>
              <w:t xml:space="preserve">First three clauses (up to ‘and Requests) analogous to para 8 e of XIII.9. </w:t>
            </w:r>
          </w:p>
        </w:tc>
      </w:tr>
      <w:tr w:rsidR="003F6A46" w:rsidRPr="00FD600C" w14:paraId="357B6937" w14:textId="77777777" w:rsidTr="00D547CB">
        <w:tc>
          <w:tcPr>
            <w:tcW w:w="6832" w:type="dxa"/>
          </w:tcPr>
          <w:p w14:paraId="2D0FB18E" w14:textId="77777777" w:rsidR="003F6A46" w:rsidRPr="00FD600C" w:rsidRDefault="003F6A46" w:rsidP="00A03E7B">
            <w:pPr>
              <w:rPr>
                <w:sz w:val="22"/>
                <w:szCs w:val="22"/>
                <w:lang w:val="en-US"/>
              </w:rPr>
            </w:pPr>
            <w:r w:rsidRPr="007339BF">
              <w:rPr>
                <w:sz w:val="22"/>
                <w:szCs w:val="22"/>
                <w:lang w:val="en-US"/>
              </w:rPr>
              <w:t xml:space="preserve">REQUESTS the CEPA Oversight Panel to work with the representatives of the Ramsar Regional </w:t>
            </w:r>
            <w:proofErr w:type="spellStart"/>
            <w:r w:rsidRPr="007339BF">
              <w:rPr>
                <w:sz w:val="22"/>
                <w:szCs w:val="22"/>
                <w:lang w:val="en-US"/>
              </w:rPr>
              <w:t>Centres</w:t>
            </w:r>
            <w:proofErr w:type="spellEnd"/>
            <w:r w:rsidRPr="007339BF">
              <w:rPr>
                <w:sz w:val="22"/>
                <w:szCs w:val="22"/>
                <w:lang w:val="en-US"/>
              </w:rPr>
              <w:t xml:space="preserve"> to identify and advise on the capacity building needs for RRC staff to optimize their performance, and REQUESTS the Standing Committee to assess the functioning of Ramsar Regional </w:t>
            </w:r>
            <w:proofErr w:type="spellStart"/>
            <w:r w:rsidRPr="007339BF">
              <w:rPr>
                <w:sz w:val="22"/>
                <w:szCs w:val="22"/>
                <w:lang w:val="en-US"/>
              </w:rPr>
              <w:t>Centres</w:t>
            </w:r>
            <w:proofErr w:type="spellEnd"/>
            <w:r w:rsidRPr="007339BF">
              <w:rPr>
                <w:sz w:val="22"/>
                <w:szCs w:val="22"/>
                <w:lang w:val="en-US"/>
              </w:rPr>
              <w:t xml:space="preserve"> in relation to the Operational Guidelines and the Ramsar Strategic Plan 2009-2015, requesting support from the CE</w:t>
            </w:r>
            <w:r>
              <w:rPr>
                <w:sz w:val="22"/>
                <w:szCs w:val="22"/>
                <w:lang w:val="en-US"/>
              </w:rPr>
              <w:t>PA Oversight Panel as required;</w:t>
            </w:r>
          </w:p>
        </w:tc>
        <w:tc>
          <w:tcPr>
            <w:tcW w:w="1668" w:type="dxa"/>
          </w:tcPr>
          <w:p w14:paraId="4E1B5F84" w14:textId="77777777" w:rsidR="003F6A46" w:rsidRPr="00FD600C" w:rsidRDefault="003F6A46" w:rsidP="00A03E7B">
            <w:pPr>
              <w:rPr>
                <w:sz w:val="22"/>
                <w:szCs w:val="22"/>
                <w:lang w:val="en-US"/>
              </w:rPr>
            </w:pPr>
            <w:r>
              <w:rPr>
                <w:sz w:val="22"/>
                <w:szCs w:val="22"/>
                <w:lang w:val="en-US"/>
              </w:rPr>
              <w:t>26</w:t>
            </w:r>
          </w:p>
        </w:tc>
        <w:tc>
          <w:tcPr>
            <w:tcW w:w="5381" w:type="dxa"/>
          </w:tcPr>
          <w:p w14:paraId="0B2C1702" w14:textId="6D27CEBA" w:rsidR="003F6A46" w:rsidRPr="00FD600C" w:rsidRDefault="003F6A46" w:rsidP="00A03E7B">
            <w:pPr>
              <w:rPr>
                <w:sz w:val="22"/>
                <w:szCs w:val="22"/>
                <w:lang w:val="en-US"/>
              </w:rPr>
            </w:pPr>
            <w:r>
              <w:rPr>
                <w:sz w:val="22"/>
                <w:szCs w:val="22"/>
                <w:lang w:val="en-US"/>
              </w:rPr>
              <w:t>First clause not inconsistent with XIII.9 but no equivalent (closest is para 24 of XIII.9). Second clause redundant.</w:t>
            </w:r>
          </w:p>
        </w:tc>
      </w:tr>
      <w:tr w:rsidR="003F6A46" w:rsidRPr="00FD600C" w14:paraId="23B90228" w14:textId="77777777" w:rsidTr="00D547CB">
        <w:tc>
          <w:tcPr>
            <w:tcW w:w="6832" w:type="dxa"/>
          </w:tcPr>
          <w:p w14:paraId="5A803361" w14:textId="77777777" w:rsidR="003F6A46" w:rsidRPr="00AE6F40" w:rsidRDefault="003F6A46" w:rsidP="00A03E7B">
            <w:pPr>
              <w:rPr>
                <w:b/>
                <w:sz w:val="22"/>
                <w:szCs w:val="22"/>
                <w:lang w:val="en-US"/>
              </w:rPr>
            </w:pPr>
            <w:r w:rsidRPr="00AE6F40">
              <w:rPr>
                <w:b/>
                <w:sz w:val="22"/>
                <w:szCs w:val="22"/>
                <w:lang w:val="en-US"/>
              </w:rPr>
              <w:t xml:space="preserve">STRP </w:t>
            </w:r>
          </w:p>
        </w:tc>
        <w:tc>
          <w:tcPr>
            <w:tcW w:w="1668" w:type="dxa"/>
          </w:tcPr>
          <w:p w14:paraId="033FE643" w14:textId="77777777" w:rsidR="003F6A46" w:rsidRPr="00FD600C" w:rsidRDefault="003F6A46" w:rsidP="00A03E7B">
            <w:pPr>
              <w:rPr>
                <w:sz w:val="22"/>
                <w:szCs w:val="22"/>
                <w:lang w:val="en-US"/>
              </w:rPr>
            </w:pPr>
          </w:p>
        </w:tc>
        <w:tc>
          <w:tcPr>
            <w:tcW w:w="5381" w:type="dxa"/>
          </w:tcPr>
          <w:p w14:paraId="45713988" w14:textId="77777777" w:rsidR="003F6A46" w:rsidRPr="00FD600C" w:rsidRDefault="003F6A46" w:rsidP="00A03E7B">
            <w:pPr>
              <w:rPr>
                <w:sz w:val="22"/>
                <w:szCs w:val="22"/>
                <w:lang w:val="en-US"/>
              </w:rPr>
            </w:pPr>
          </w:p>
        </w:tc>
      </w:tr>
      <w:tr w:rsidR="003F6A46" w:rsidRPr="00FD600C" w14:paraId="67070A92" w14:textId="77777777" w:rsidTr="00D547CB">
        <w:tc>
          <w:tcPr>
            <w:tcW w:w="6832" w:type="dxa"/>
          </w:tcPr>
          <w:p w14:paraId="0B948AA8" w14:textId="77777777" w:rsidR="003F6A46" w:rsidRPr="00FD600C" w:rsidRDefault="003F6A46" w:rsidP="00A03E7B">
            <w:pPr>
              <w:rPr>
                <w:sz w:val="22"/>
                <w:szCs w:val="22"/>
                <w:lang w:val="en-US"/>
              </w:rPr>
            </w:pPr>
          </w:p>
        </w:tc>
        <w:tc>
          <w:tcPr>
            <w:tcW w:w="1668" w:type="dxa"/>
          </w:tcPr>
          <w:p w14:paraId="5C980581" w14:textId="319D7BEC" w:rsidR="003F6A46" w:rsidRPr="00C74021" w:rsidRDefault="003F6A46" w:rsidP="00D11DDD">
            <w:pPr>
              <w:rPr>
                <w:b/>
                <w:sz w:val="22"/>
                <w:szCs w:val="22"/>
                <w:lang w:val="en-US"/>
              </w:rPr>
            </w:pPr>
            <w:r w:rsidRPr="00C74021">
              <w:rPr>
                <w:b/>
                <w:sz w:val="22"/>
                <w:szCs w:val="22"/>
                <w:lang w:val="en-US"/>
              </w:rPr>
              <w:t>XII.</w:t>
            </w:r>
            <w:r>
              <w:rPr>
                <w:b/>
                <w:sz w:val="22"/>
                <w:szCs w:val="22"/>
                <w:lang w:val="en-US"/>
              </w:rPr>
              <w:t>8</w:t>
            </w:r>
          </w:p>
        </w:tc>
        <w:tc>
          <w:tcPr>
            <w:tcW w:w="5381" w:type="dxa"/>
          </w:tcPr>
          <w:p w14:paraId="4F1801BA" w14:textId="77777777" w:rsidR="003F6A46" w:rsidRPr="00FD600C" w:rsidRDefault="003F6A46" w:rsidP="00A03E7B">
            <w:pPr>
              <w:rPr>
                <w:sz w:val="22"/>
                <w:szCs w:val="22"/>
                <w:lang w:val="en-US"/>
              </w:rPr>
            </w:pPr>
          </w:p>
        </w:tc>
      </w:tr>
      <w:tr w:rsidR="003F6A46" w:rsidRPr="00217036" w14:paraId="597CED1E" w14:textId="77777777" w:rsidTr="00D547CB">
        <w:tc>
          <w:tcPr>
            <w:tcW w:w="6832" w:type="dxa"/>
          </w:tcPr>
          <w:p w14:paraId="142D6041" w14:textId="77777777" w:rsidR="003F6A46" w:rsidRPr="00FD600C" w:rsidRDefault="003F6A46" w:rsidP="00A03E7B">
            <w:pPr>
              <w:rPr>
                <w:sz w:val="22"/>
                <w:szCs w:val="22"/>
                <w:lang w:val="en-US"/>
              </w:rPr>
            </w:pPr>
            <w:r w:rsidRPr="00C74021">
              <w:rPr>
                <w:sz w:val="22"/>
                <w:szCs w:val="22"/>
                <w:lang w:val="en-US"/>
              </w:rPr>
              <w:t>URGES STRP members and National Focal Points to apply experiences of regi</w:t>
            </w:r>
            <w:r>
              <w:rPr>
                <w:sz w:val="22"/>
                <w:szCs w:val="22"/>
                <w:lang w:val="en-US"/>
              </w:rPr>
              <w:t>onal initiatives in their work;</w:t>
            </w:r>
          </w:p>
        </w:tc>
        <w:tc>
          <w:tcPr>
            <w:tcW w:w="1668" w:type="dxa"/>
          </w:tcPr>
          <w:p w14:paraId="2BD24F98" w14:textId="77777777" w:rsidR="003F6A46" w:rsidRPr="00FD600C" w:rsidRDefault="003F6A46" w:rsidP="00A03E7B">
            <w:pPr>
              <w:rPr>
                <w:sz w:val="22"/>
                <w:szCs w:val="22"/>
                <w:lang w:val="en-US"/>
              </w:rPr>
            </w:pPr>
            <w:r>
              <w:rPr>
                <w:sz w:val="22"/>
                <w:szCs w:val="22"/>
                <w:lang w:val="en-US"/>
              </w:rPr>
              <w:t>22</w:t>
            </w:r>
          </w:p>
        </w:tc>
        <w:tc>
          <w:tcPr>
            <w:tcW w:w="5381" w:type="dxa"/>
          </w:tcPr>
          <w:p w14:paraId="3E44339D" w14:textId="77777777" w:rsidR="003F6A46" w:rsidRPr="00FD600C" w:rsidRDefault="003F6A46" w:rsidP="00A03E7B">
            <w:pPr>
              <w:rPr>
                <w:sz w:val="22"/>
                <w:szCs w:val="22"/>
                <w:lang w:val="en-US"/>
              </w:rPr>
            </w:pPr>
            <w:r>
              <w:rPr>
                <w:sz w:val="22"/>
                <w:szCs w:val="22"/>
                <w:lang w:val="en-US"/>
              </w:rPr>
              <w:t xml:space="preserve">Not inconsistent with XIII.9 but no equivalent (closest is para 24 of XIII.9). </w:t>
            </w:r>
          </w:p>
        </w:tc>
      </w:tr>
      <w:tr w:rsidR="003F6A46" w:rsidRPr="00217036" w14:paraId="2C93A067" w14:textId="77777777" w:rsidTr="00D547CB">
        <w:tc>
          <w:tcPr>
            <w:tcW w:w="6832" w:type="dxa"/>
          </w:tcPr>
          <w:p w14:paraId="28A184FF" w14:textId="77777777" w:rsidR="003F6A46" w:rsidRPr="00FD600C" w:rsidRDefault="003F6A46" w:rsidP="00A03E7B">
            <w:pPr>
              <w:rPr>
                <w:sz w:val="22"/>
                <w:szCs w:val="22"/>
                <w:lang w:val="en-US"/>
              </w:rPr>
            </w:pPr>
            <w:r w:rsidRPr="000A726A">
              <w:rPr>
                <w:sz w:val="22"/>
                <w:szCs w:val="22"/>
                <w:lang w:val="en-US"/>
              </w:rPr>
              <w:t>URGES the Scientific and Technical Review Panel (STRP) to explore ways of making good use of experiences from Regional Initiatives in its work;</w:t>
            </w:r>
          </w:p>
        </w:tc>
        <w:tc>
          <w:tcPr>
            <w:tcW w:w="1668" w:type="dxa"/>
          </w:tcPr>
          <w:p w14:paraId="5777F018" w14:textId="77777777" w:rsidR="003F6A46" w:rsidRPr="000A726A" w:rsidRDefault="003F6A46" w:rsidP="00A03E7B">
            <w:pPr>
              <w:rPr>
                <w:b/>
                <w:sz w:val="22"/>
                <w:szCs w:val="22"/>
                <w:lang w:val="en-US"/>
              </w:rPr>
            </w:pPr>
            <w:r w:rsidRPr="000A726A">
              <w:rPr>
                <w:b/>
                <w:sz w:val="22"/>
                <w:szCs w:val="22"/>
                <w:lang w:val="en-US"/>
              </w:rPr>
              <w:t>XI.5</w:t>
            </w:r>
          </w:p>
        </w:tc>
        <w:tc>
          <w:tcPr>
            <w:tcW w:w="5381" w:type="dxa"/>
          </w:tcPr>
          <w:p w14:paraId="2F42B12C" w14:textId="77777777" w:rsidR="003F6A46" w:rsidRPr="00FD600C" w:rsidRDefault="003F6A46" w:rsidP="00A03E7B">
            <w:pPr>
              <w:rPr>
                <w:sz w:val="22"/>
                <w:szCs w:val="22"/>
                <w:lang w:val="en-US"/>
              </w:rPr>
            </w:pPr>
            <w:r>
              <w:rPr>
                <w:sz w:val="22"/>
                <w:szCs w:val="22"/>
                <w:lang w:val="en-US"/>
              </w:rPr>
              <w:t xml:space="preserve">Not inconsistent with XIII.9 but no equivalent (closest is para 24 of XIII.9). </w:t>
            </w:r>
          </w:p>
        </w:tc>
      </w:tr>
      <w:tr w:rsidR="003F6A46" w:rsidRPr="007D2147" w14:paraId="7F846E25" w14:textId="77777777" w:rsidTr="00D547CB">
        <w:tc>
          <w:tcPr>
            <w:tcW w:w="6832" w:type="dxa"/>
          </w:tcPr>
          <w:p w14:paraId="367D6AD5" w14:textId="77777777" w:rsidR="003F6A46" w:rsidRPr="00D521C7" w:rsidRDefault="003F6A46" w:rsidP="00A03E7B">
            <w:pPr>
              <w:rPr>
                <w:b/>
                <w:sz w:val="22"/>
                <w:szCs w:val="22"/>
                <w:lang w:val="en-US"/>
              </w:rPr>
            </w:pPr>
            <w:r w:rsidRPr="00D521C7">
              <w:rPr>
                <w:b/>
                <w:sz w:val="22"/>
                <w:szCs w:val="22"/>
                <w:lang w:val="en-US"/>
              </w:rPr>
              <w:t>Other</w:t>
            </w:r>
          </w:p>
        </w:tc>
        <w:tc>
          <w:tcPr>
            <w:tcW w:w="1668" w:type="dxa"/>
          </w:tcPr>
          <w:p w14:paraId="047837F0" w14:textId="77777777" w:rsidR="003F6A46" w:rsidRPr="000A726A" w:rsidRDefault="003F6A46" w:rsidP="00A03E7B">
            <w:pPr>
              <w:rPr>
                <w:b/>
                <w:sz w:val="22"/>
                <w:szCs w:val="22"/>
                <w:lang w:val="en-US"/>
              </w:rPr>
            </w:pPr>
          </w:p>
        </w:tc>
        <w:tc>
          <w:tcPr>
            <w:tcW w:w="5381" w:type="dxa"/>
          </w:tcPr>
          <w:p w14:paraId="13069B67" w14:textId="77777777" w:rsidR="003F6A46" w:rsidRDefault="003F6A46" w:rsidP="00A03E7B">
            <w:pPr>
              <w:rPr>
                <w:sz w:val="22"/>
                <w:szCs w:val="22"/>
                <w:lang w:val="en-US"/>
              </w:rPr>
            </w:pPr>
          </w:p>
        </w:tc>
      </w:tr>
      <w:tr w:rsidR="003F6A46" w:rsidRPr="007D2147" w14:paraId="60FE5D34" w14:textId="77777777" w:rsidTr="00D547CB">
        <w:tc>
          <w:tcPr>
            <w:tcW w:w="6832" w:type="dxa"/>
          </w:tcPr>
          <w:p w14:paraId="16827655" w14:textId="77777777" w:rsidR="003F6A46" w:rsidRDefault="003F6A46" w:rsidP="00A03E7B">
            <w:pPr>
              <w:rPr>
                <w:sz w:val="22"/>
                <w:szCs w:val="22"/>
                <w:lang w:val="en-US"/>
              </w:rPr>
            </w:pPr>
          </w:p>
        </w:tc>
        <w:tc>
          <w:tcPr>
            <w:tcW w:w="1668" w:type="dxa"/>
          </w:tcPr>
          <w:p w14:paraId="26025C25" w14:textId="77777777" w:rsidR="003F6A46" w:rsidRPr="000A726A" w:rsidRDefault="003F6A46" w:rsidP="00A03E7B">
            <w:pPr>
              <w:rPr>
                <w:b/>
                <w:sz w:val="22"/>
                <w:szCs w:val="22"/>
                <w:lang w:val="en-US"/>
              </w:rPr>
            </w:pPr>
          </w:p>
        </w:tc>
        <w:tc>
          <w:tcPr>
            <w:tcW w:w="5381" w:type="dxa"/>
          </w:tcPr>
          <w:p w14:paraId="4395B2EF" w14:textId="77777777" w:rsidR="003F6A46" w:rsidRDefault="003F6A46" w:rsidP="00A03E7B">
            <w:pPr>
              <w:rPr>
                <w:sz w:val="22"/>
                <w:szCs w:val="22"/>
                <w:lang w:val="en-US"/>
              </w:rPr>
            </w:pPr>
          </w:p>
        </w:tc>
      </w:tr>
      <w:tr w:rsidR="003F6A46" w:rsidRPr="007D2147" w14:paraId="71E7BB8D" w14:textId="77777777" w:rsidTr="00D547CB">
        <w:tc>
          <w:tcPr>
            <w:tcW w:w="6832" w:type="dxa"/>
          </w:tcPr>
          <w:p w14:paraId="194A80B0" w14:textId="77777777" w:rsidR="003F6A46" w:rsidRDefault="003F6A46" w:rsidP="00A03E7B">
            <w:pPr>
              <w:rPr>
                <w:sz w:val="22"/>
                <w:szCs w:val="22"/>
                <w:lang w:val="en-US"/>
              </w:rPr>
            </w:pPr>
          </w:p>
        </w:tc>
        <w:tc>
          <w:tcPr>
            <w:tcW w:w="1668" w:type="dxa"/>
          </w:tcPr>
          <w:p w14:paraId="5A37AFE2" w14:textId="77777777" w:rsidR="003F6A46" w:rsidRPr="000A726A" w:rsidRDefault="003F6A46" w:rsidP="00A03E7B">
            <w:pPr>
              <w:rPr>
                <w:b/>
                <w:sz w:val="22"/>
                <w:szCs w:val="22"/>
                <w:lang w:val="en-US"/>
              </w:rPr>
            </w:pPr>
          </w:p>
        </w:tc>
        <w:tc>
          <w:tcPr>
            <w:tcW w:w="5381" w:type="dxa"/>
          </w:tcPr>
          <w:p w14:paraId="25636A0A" w14:textId="77777777" w:rsidR="003F6A46" w:rsidRDefault="003F6A46" w:rsidP="007026E7">
            <w:pPr>
              <w:tabs>
                <w:tab w:val="left" w:pos="3652"/>
              </w:tabs>
              <w:rPr>
                <w:sz w:val="22"/>
                <w:szCs w:val="22"/>
                <w:lang w:val="en-US"/>
              </w:rPr>
            </w:pPr>
          </w:p>
        </w:tc>
      </w:tr>
    </w:tbl>
    <w:p w14:paraId="6212F9B8" w14:textId="77777777" w:rsidR="00D547CB" w:rsidRDefault="00D547CB" w:rsidP="00D93227">
      <w:pPr>
        <w:rPr>
          <w:sz w:val="22"/>
          <w:szCs w:val="22"/>
          <w:lang w:val="en-US"/>
        </w:rPr>
      </w:pPr>
    </w:p>
    <w:p w14:paraId="0D02FE75" w14:textId="77777777" w:rsidR="00D547CB" w:rsidRDefault="00D547CB">
      <w:pPr>
        <w:rPr>
          <w:sz w:val="22"/>
          <w:szCs w:val="22"/>
          <w:lang w:val="en-US"/>
        </w:rPr>
      </w:pPr>
      <w:r>
        <w:rPr>
          <w:sz w:val="22"/>
          <w:szCs w:val="22"/>
          <w:lang w:val="en-US"/>
        </w:rPr>
        <w:br w:type="page"/>
      </w:r>
    </w:p>
    <w:p w14:paraId="46E89696" w14:textId="77777777" w:rsidR="00D93227" w:rsidRPr="003B12BC" w:rsidRDefault="003B12BC" w:rsidP="003B12BC">
      <w:pPr>
        <w:jc w:val="center"/>
        <w:rPr>
          <w:b/>
          <w:color w:val="4472C4" w:themeColor="accent1"/>
          <w:sz w:val="22"/>
          <w:szCs w:val="22"/>
          <w:lang w:val="en-US"/>
        </w:rPr>
      </w:pPr>
      <w:r w:rsidRPr="003B12BC">
        <w:rPr>
          <w:b/>
          <w:color w:val="4472C4" w:themeColor="accent1"/>
          <w:sz w:val="22"/>
          <w:szCs w:val="22"/>
          <w:lang w:val="en-US"/>
        </w:rPr>
        <w:lastRenderedPageBreak/>
        <w:t xml:space="preserve">Annex 5: Other Resolutions and Recommendations that include paragraphs concerning RRIs that are still in force </w:t>
      </w:r>
    </w:p>
    <w:p w14:paraId="63E5C84A" w14:textId="77777777" w:rsidR="00870476" w:rsidRDefault="00870476" w:rsidP="00870476">
      <w:pPr>
        <w:ind w:left="360"/>
        <w:outlineLvl w:val="0"/>
        <w:rPr>
          <w:sz w:val="22"/>
          <w:szCs w:val="22"/>
          <w:lang w:val="en-US"/>
        </w:rPr>
      </w:pPr>
    </w:p>
    <w:tbl>
      <w:tblPr>
        <w:tblStyle w:val="TableGrid"/>
        <w:tblW w:w="13881" w:type="dxa"/>
        <w:tblLook w:val="04A0" w:firstRow="1" w:lastRow="0" w:firstColumn="1" w:lastColumn="0" w:noHBand="0" w:noVBand="1"/>
      </w:tblPr>
      <w:tblGrid>
        <w:gridCol w:w="3681"/>
        <w:gridCol w:w="7371"/>
        <w:gridCol w:w="2829"/>
      </w:tblGrid>
      <w:tr w:rsidR="00870476" w:rsidRPr="00880E6E" w14:paraId="1B84891D" w14:textId="77777777" w:rsidTr="00DF6A89">
        <w:tc>
          <w:tcPr>
            <w:tcW w:w="3681" w:type="dxa"/>
          </w:tcPr>
          <w:p w14:paraId="0141A9E2" w14:textId="77777777" w:rsidR="00870476" w:rsidRPr="001436E3" w:rsidRDefault="00870476" w:rsidP="00A03E7B">
            <w:pPr>
              <w:rPr>
                <w:b/>
                <w:sz w:val="22"/>
                <w:szCs w:val="22"/>
                <w:lang w:val="en-US"/>
              </w:rPr>
            </w:pPr>
            <w:r w:rsidRPr="001436E3">
              <w:rPr>
                <w:b/>
                <w:sz w:val="22"/>
                <w:szCs w:val="22"/>
                <w:lang w:val="en-US"/>
              </w:rPr>
              <w:t>COP1</w:t>
            </w:r>
            <w:r>
              <w:rPr>
                <w:b/>
                <w:sz w:val="22"/>
                <w:szCs w:val="22"/>
                <w:lang w:val="en-US"/>
              </w:rPr>
              <w:t>3</w:t>
            </w:r>
          </w:p>
        </w:tc>
        <w:tc>
          <w:tcPr>
            <w:tcW w:w="7371" w:type="dxa"/>
          </w:tcPr>
          <w:p w14:paraId="4F1F0543" w14:textId="77777777" w:rsidR="00870476" w:rsidRPr="00880E6E" w:rsidRDefault="00870476" w:rsidP="00A03E7B">
            <w:pPr>
              <w:rPr>
                <w:b/>
                <w:sz w:val="22"/>
                <w:szCs w:val="22"/>
                <w:lang w:val="en-US"/>
              </w:rPr>
            </w:pPr>
            <w:r w:rsidRPr="00880E6E">
              <w:rPr>
                <w:b/>
                <w:sz w:val="22"/>
                <w:szCs w:val="22"/>
                <w:lang w:val="en-US"/>
              </w:rPr>
              <w:t xml:space="preserve">Relevant content </w:t>
            </w:r>
          </w:p>
        </w:tc>
        <w:tc>
          <w:tcPr>
            <w:tcW w:w="2829" w:type="dxa"/>
          </w:tcPr>
          <w:p w14:paraId="7419C417" w14:textId="77777777" w:rsidR="00870476" w:rsidRPr="00880E6E" w:rsidRDefault="00870476" w:rsidP="00A03E7B">
            <w:pPr>
              <w:rPr>
                <w:b/>
                <w:sz w:val="22"/>
                <w:szCs w:val="22"/>
                <w:lang w:val="en-US"/>
              </w:rPr>
            </w:pPr>
            <w:r w:rsidRPr="00880E6E">
              <w:rPr>
                <w:b/>
                <w:sz w:val="22"/>
                <w:szCs w:val="22"/>
                <w:lang w:val="en-US"/>
              </w:rPr>
              <w:t>Notes</w:t>
            </w:r>
          </w:p>
        </w:tc>
      </w:tr>
      <w:tr w:rsidR="00870476" w:rsidRPr="00217036" w14:paraId="3D580552" w14:textId="77777777" w:rsidTr="00DF6A89">
        <w:tc>
          <w:tcPr>
            <w:tcW w:w="3681" w:type="dxa"/>
          </w:tcPr>
          <w:p w14:paraId="468CE099" w14:textId="77777777" w:rsidR="00870476" w:rsidRPr="00DB3588" w:rsidRDefault="00870476" w:rsidP="00A03E7B">
            <w:pPr>
              <w:rPr>
                <w:sz w:val="22"/>
                <w:szCs w:val="22"/>
                <w:lang w:val="en-US"/>
              </w:rPr>
            </w:pPr>
            <w:r w:rsidRPr="00DB3588">
              <w:rPr>
                <w:sz w:val="22"/>
                <w:szCs w:val="22"/>
                <w:lang w:val="en-US"/>
              </w:rPr>
              <w:t>XIII.2: Financial and budgetary matters</w:t>
            </w:r>
          </w:p>
        </w:tc>
        <w:tc>
          <w:tcPr>
            <w:tcW w:w="7371" w:type="dxa"/>
          </w:tcPr>
          <w:p w14:paraId="259116DD" w14:textId="77777777" w:rsidR="00870476" w:rsidRDefault="00870476" w:rsidP="00A03E7B">
            <w:pPr>
              <w:pStyle w:val="NormalWeb"/>
              <w:rPr>
                <w:rFonts w:ascii="Calibri" w:hAnsi="Calibri"/>
                <w:sz w:val="22"/>
                <w:szCs w:val="22"/>
                <w:lang w:val="en-US"/>
              </w:rPr>
            </w:pPr>
            <w:r>
              <w:rPr>
                <w:rFonts w:ascii="Calibri" w:hAnsi="Calibri"/>
                <w:sz w:val="22"/>
                <w:szCs w:val="22"/>
                <w:lang w:val="en-US"/>
              </w:rPr>
              <w:t xml:space="preserve">4 </w:t>
            </w:r>
            <w:r w:rsidRPr="002B1743">
              <w:rPr>
                <w:rFonts w:ascii="Calibri" w:hAnsi="Calibri"/>
                <w:sz w:val="22"/>
                <w:szCs w:val="22"/>
                <w:lang w:val="en-US"/>
              </w:rPr>
              <w:t xml:space="preserve">NOTING WITH GRATITUDE the additional voluntary financial contributions made by many Contracting Parties, including those from Contracting Parties of Africa specifically earmarked for African Regional Initiatives (in accordance with paragraph 23 of Resolution X.2 on </w:t>
            </w:r>
            <w:r w:rsidRPr="002B1743">
              <w:rPr>
                <w:rFonts w:ascii="Calibri" w:hAnsi="Calibri"/>
                <w:i/>
                <w:iCs/>
                <w:sz w:val="22"/>
                <w:szCs w:val="22"/>
                <w:lang w:val="en-US"/>
              </w:rPr>
              <w:t>Financial and budgetary matters</w:t>
            </w:r>
            <w:r w:rsidRPr="002B1743">
              <w:rPr>
                <w:rFonts w:ascii="Calibri" w:hAnsi="Calibri"/>
                <w:sz w:val="22"/>
                <w:szCs w:val="22"/>
                <w:lang w:val="en-US"/>
              </w:rPr>
              <w:t xml:space="preserve">), and also the contributions made by non-governmental organizations and private companies for activities undertaken by the Secretariat; </w:t>
            </w:r>
          </w:p>
          <w:p w14:paraId="4A26E87D" w14:textId="77777777" w:rsidR="00870476" w:rsidRDefault="00870476" w:rsidP="00A03E7B">
            <w:pPr>
              <w:pStyle w:val="NormalWeb"/>
              <w:rPr>
                <w:rFonts w:ascii="Calibri" w:hAnsi="Calibri"/>
                <w:sz w:val="22"/>
                <w:szCs w:val="22"/>
                <w:lang w:val="en-US"/>
              </w:rPr>
            </w:pPr>
            <w:r>
              <w:rPr>
                <w:rFonts w:ascii="Calibri" w:hAnsi="Calibri"/>
                <w:sz w:val="22"/>
                <w:szCs w:val="22"/>
                <w:lang w:val="en-US"/>
              </w:rPr>
              <w:t xml:space="preserve">24 </w:t>
            </w:r>
            <w:r w:rsidRPr="002A2A09">
              <w:rPr>
                <w:rFonts w:ascii="Calibri" w:hAnsi="Calibri"/>
                <w:sz w:val="22"/>
                <w:szCs w:val="22"/>
                <w:lang w:val="en-US"/>
              </w:rPr>
              <w:t xml:space="preserve">REQUESTS the Secretariat to provide to the Ramsar Regional Initiatives (RRIs) in Africa, on an annual basis, the available balance of the African voluntary contribution fund; and INVITES those RRIs to submit requests to the Secretariat as part of the reports to access available funds in accordance with the provisions of Resolution XIII.9 on </w:t>
            </w:r>
            <w:r w:rsidRPr="002A2A09">
              <w:rPr>
                <w:rFonts w:ascii="Calibri" w:hAnsi="Calibri"/>
                <w:i/>
                <w:iCs/>
                <w:sz w:val="22"/>
                <w:szCs w:val="22"/>
                <w:lang w:val="en-US"/>
              </w:rPr>
              <w:t>Ramsar Regional Initiatives 2019-2021</w:t>
            </w:r>
            <w:r w:rsidRPr="002A2A09">
              <w:rPr>
                <w:rFonts w:ascii="Calibri" w:hAnsi="Calibri"/>
                <w:sz w:val="22"/>
                <w:szCs w:val="22"/>
                <w:lang w:val="en-US"/>
              </w:rPr>
              <w:t xml:space="preserve">; </w:t>
            </w:r>
          </w:p>
          <w:p w14:paraId="51B1D2D5" w14:textId="77777777" w:rsidR="00870476" w:rsidRPr="002A2A09" w:rsidRDefault="00870476" w:rsidP="00A03E7B">
            <w:pPr>
              <w:pStyle w:val="NormalWeb"/>
              <w:rPr>
                <w:rFonts w:ascii="Calibri" w:hAnsi="Calibri"/>
                <w:color w:val="232323"/>
                <w:sz w:val="22"/>
                <w:szCs w:val="22"/>
                <w:lang w:val="en-US"/>
              </w:rPr>
            </w:pPr>
            <w:r>
              <w:rPr>
                <w:rFonts w:ascii="Calibri" w:hAnsi="Calibri"/>
                <w:color w:val="232323"/>
                <w:sz w:val="22"/>
                <w:szCs w:val="22"/>
                <w:lang w:val="en-US"/>
              </w:rPr>
              <w:t xml:space="preserve">26 </w:t>
            </w:r>
            <w:r w:rsidRPr="002A2A09">
              <w:rPr>
                <w:rFonts w:ascii="Calibri" w:hAnsi="Calibri"/>
                <w:color w:val="232323"/>
                <w:sz w:val="22"/>
                <w:szCs w:val="22"/>
                <w:lang w:val="en-US"/>
              </w:rPr>
              <w:t xml:space="preserve">REQUESTS the Secretariat within its existing legal framework and mandate, to assist, as appropriate, Contracting Parties in the administration of non-core funded projects, including, but not limited to successful fund-raising for Regional Initiatives; and FURTHER INSTRUCTS Secretariat staff, identified in Annex 4, supported with core funds, not to be involved in the day- to-day administration of non-core funded projects as this role would be the responsibility of any Secretariat staff supported with non-core funds for that specific purpose. </w:t>
            </w:r>
          </w:p>
        </w:tc>
        <w:tc>
          <w:tcPr>
            <w:tcW w:w="2829" w:type="dxa"/>
          </w:tcPr>
          <w:p w14:paraId="2DF223E6" w14:textId="77777777" w:rsidR="00870476" w:rsidRPr="00880E6E" w:rsidRDefault="00870476" w:rsidP="00A03E7B">
            <w:pPr>
              <w:rPr>
                <w:b/>
                <w:sz w:val="22"/>
                <w:szCs w:val="22"/>
                <w:lang w:val="en-US"/>
              </w:rPr>
            </w:pPr>
          </w:p>
        </w:tc>
      </w:tr>
      <w:tr w:rsidR="00870476" w:rsidRPr="00217036" w14:paraId="47F14E07" w14:textId="77777777" w:rsidTr="00DF6A89">
        <w:tc>
          <w:tcPr>
            <w:tcW w:w="3681" w:type="dxa"/>
          </w:tcPr>
          <w:p w14:paraId="74D101AA" w14:textId="77777777" w:rsidR="00870476" w:rsidRPr="00DB3588" w:rsidRDefault="00F12419" w:rsidP="00A03E7B">
            <w:pPr>
              <w:rPr>
                <w:sz w:val="22"/>
                <w:szCs w:val="22"/>
                <w:lang w:val="en-US"/>
              </w:rPr>
            </w:pPr>
            <w:r>
              <w:rPr>
                <w:sz w:val="22"/>
                <w:szCs w:val="22"/>
                <w:lang w:val="en-US"/>
              </w:rPr>
              <w:t xml:space="preserve">XIII.5 </w:t>
            </w:r>
            <w:r w:rsidR="00870476" w:rsidRPr="00AB2ACC">
              <w:rPr>
                <w:sz w:val="22"/>
                <w:szCs w:val="22"/>
                <w:lang w:val="en-US"/>
              </w:rPr>
              <w:t>Review of the fourth Strategic Plan of the Ramsar Convention</w:t>
            </w:r>
          </w:p>
        </w:tc>
        <w:tc>
          <w:tcPr>
            <w:tcW w:w="7371" w:type="dxa"/>
          </w:tcPr>
          <w:p w14:paraId="1139BFA9" w14:textId="77777777" w:rsidR="00870476" w:rsidRDefault="00870476" w:rsidP="00A03E7B">
            <w:pPr>
              <w:pStyle w:val="NormalWeb"/>
              <w:rPr>
                <w:rFonts w:ascii="Calibri" w:hAnsi="Calibri"/>
                <w:sz w:val="22"/>
                <w:szCs w:val="22"/>
                <w:lang w:val="en-US"/>
              </w:rPr>
            </w:pPr>
            <w:r>
              <w:rPr>
                <w:rFonts w:ascii="Calibri" w:hAnsi="Calibri"/>
                <w:sz w:val="22"/>
                <w:szCs w:val="22"/>
                <w:lang w:val="en-US"/>
              </w:rPr>
              <w:t xml:space="preserve">11 </w:t>
            </w:r>
            <w:r w:rsidRPr="00AB2ACC">
              <w:rPr>
                <w:rFonts w:ascii="Calibri" w:hAnsi="Calibri"/>
                <w:sz w:val="22"/>
                <w:szCs w:val="22"/>
                <w:lang w:val="en-US"/>
              </w:rPr>
              <w:t>EXPRESSING APPRECIATION for the support provided to Contracting Parties to implement the Strategic Plan by the Ramsar Regional Initiatives, intergovernmental organizations, International Organization Partners and non-governmental organizations; and</w:t>
            </w:r>
          </w:p>
        </w:tc>
        <w:tc>
          <w:tcPr>
            <w:tcW w:w="2829" w:type="dxa"/>
          </w:tcPr>
          <w:p w14:paraId="6F7A7542" w14:textId="77777777" w:rsidR="00870476" w:rsidRPr="00880E6E" w:rsidRDefault="00870476" w:rsidP="00A03E7B">
            <w:pPr>
              <w:rPr>
                <w:b/>
                <w:sz w:val="22"/>
                <w:szCs w:val="22"/>
                <w:lang w:val="en-US"/>
              </w:rPr>
            </w:pPr>
          </w:p>
        </w:tc>
      </w:tr>
      <w:tr w:rsidR="00870476" w:rsidRPr="00217036" w14:paraId="0F5216A4" w14:textId="77777777" w:rsidTr="00DF6A89">
        <w:tc>
          <w:tcPr>
            <w:tcW w:w="3681" w:type="dxa"/>
          </w:tcPr>
          <w:p w14:paraId="0F4B2F7F" w14:textId="77777777" w:rsidR="00870476" w:rsidRPr="00AB2ACC" w:rsidRDefault="00870476" w:rsidP="00A03E7B">
            <w:pPr>
              <w:rPr>
                <w:sz w:val="22"/>
                <w:szCs w:val="22"/>
                <w:lang w:val="en-US"/>
              </w:rPr>
            </w:pPr>
            <w:r>
              <w:rPr>
                <w:sz w:val="22"/>
                <w:szCs w:val="22"/>
                <w:lang w:val="en-US"/>
              </w:rPr>
              <w:t xml:space="preserve">XIII.7 </w:t>
            </w:r>
            <w:r w:rsidRPr="00AF67A0">
              <w:rPr>
                <w:sz w:val="22"/>
                <w:szCs w:val="22"/>
                <w:lang w:val="en-US"/>
              </w:rPr>
              <w:t>Enhancing the Convention’s visibility and synergies with other multilateral environmental agreements and other international institutions</w:t>
            </w:r>
            <w:r>
              <w:rPr>
                <w:sz w:val="22"/>
                <w:szCs w:val="22"/>
                <w:lang w:val="en-US"/>
              </w:rPr>
              <w:t xml:space="preserve"> </w:t>
            </w:r>
          </w:p>
        </w:tc>
        <w:tc>
          <w:tcPr>
            <w:tcW w:w="7371" w:type="dxa"/>
          </w:tcPr>
          <w:p w14:paraId="5269E384" w14:textId="77777777" w:rsidR="00870476" w:rsidRDefault="00870476" w:rsidP="00A03E7B">
            <w:pPr>
              <w:pStyle w:val="NormalWeb"/>
              <w:rPr>
                <w:rFonts w:ascii="Calibri" w:hAnsi="Calibri"/>
                <w:sz w:val="22"/>
                <w:szCs w:val="22"/>
                <w:lang w:val="en-US"/>
              </w:rPr>
            </w:pPr>
            <w:r>
              <w:rPr>
                <w:rFonts w:ascii="Calibri" w:hAnsi="Calibri"/>
                <w:sz w:val="22"/>
                <w:szCs w:val="22"/>
                <w:lang w:val="en-US"/>
              </w:rPr>
              <w:t xml:space="preserve">1 </w:t>
            </w:r>
            <w:r w:rsidRPr="00AF67A0">
              <w:rPr>
                <w:rFonts w:ascii="Calibri" w:hAnsi="Calibri"/>
                <w:sz w:val="22"/>
                <w:szCs w:val="22"/>
                <w:lang w:val="en-US"/>
              </w:rPr>
              <w:t xml:space="preserve">RECALLING that Resolution XI.1, on </w:t>
            </w:r>
            <w:r w:rsidRPr="00AF67A0">
              <w:rPr>
                <w:rFonts w:ascii="Calibri" w:hAnsi="Calibri"/>
                <w:i/>
                <w:iCs/>
                <w:sz w:val="22"/>
                <w:szCs w:val="22"/>
                <w:lang w:val="en-US"/>
              </w:rPr>
              <w:t>Institutional hosting of the Ramsar Secretariat</w:t>
            </w:r>
            <w:r w:rsidRPr="00AF67A0">
              <w:rPr>
                <w:rFonts w:ascii="Calibri" w:hAnsi="Calibri"/>
                <w:sz w:val="22"/>
                <w:szCs w:val="22"/>
                <w:lang w:val="en-US"/>
              </w:rPr>
              <w:t xml:space="preserve">, in paragraphs 17 and 18, instructs the Standing Committee and Contracting Parties to develop strategies that explore the accommodation of UN languages into the Convention, the elevation of the Convention’s visibility and stature, including </w:t>
            </w:r>
            <w:r w:rsidRPr="00AF67A0">
              <w:rPr>
                <w:rFonts w:ascii="Calibri" w:hAnsi="Calibri"/>
                <w:i/>
                <w:iCs/>
                <w:sz w:val="22"/>
                <w:szCs w:val="22"/>
                <w:lang w:val="en-US"/>
              </w:rPr>
              <w:t xml:space="preserve">inter alia </w:t>
            </w:r>
            <w:r w:rsidRPr="00AF67A0">
              <w:rPr>
                <w:rFonts w:ascii="Calibri" w:hAnsi="Calibri"/>
                <w:sz w:val="22"/>
                <w:szCs w:val="22"/>
                <w:lang w:val="en-US"/>
              </w:rPr>
              <w:t xml:space="preserve">through enhancing high-level political </w:t>
            </w:r>
            <w:r w:rsidRPr="00AF67A0">
              <w:rPr>
                <w:rFonts w:ascii="Calibri" w:hAnsi="Calibri"/>
                <w:sz w:val="22"/>
                <w:szCs w:val="22"/>
                <w:lang w:val="en-US"/>
              </w:rPr>
              <w:lastRenderedPageBreak/>
              <w:t xml:space="preserve">engagement in its work at national, regional, and global levels, the enhancement of synergies with multilateral environmental agreements (MEAs) and other international entities including through regional initiatives, and the increased involvement in the initiatives of the United Nations Environment Programme (UNEP); </w:t>
            </w:r>
          </w:p>
        </w:tc>
        <w:tc>
          <w:tcPr>
            <w:tcW w:w="2829" w:type="dxa"/>
          </w:tcPr>
          <w:p w14:paraId="434A2AA0" w14:textId="77777777" w:rsidR="00870476" w:rsidRPr="00880E6E" w:rsidRDefault="00870476" w:rsidP="00A03E7B">
            <w:pPr>
              <w:rPr>
                <w:b/>
                <w:sz w:val="22"/>
                <w:szCs w:val="22"/>
                <w:lang w:val="en-US"/>
              </w:rPr>
            </w:pPr>
          </w:p>
        </w:tc>
      </w:tr>
      <w:tr w:rsidR="00870476" w:rsidRPr="00217036" w14:paraId="04F608D6" w14:textId="77777777" w:rsidTr="00DF6A89">
        <w:tc>
          <w:tcPr>
            <w:tcW w:w="3681" w:type="dxa"/>
          </w:tcPr>
          <w:p w14:paraId="5B3B553D" w14:textId="77777777" w:rsidR="00870476" w:rsidRPr="00A022AA" w:rsidRDefault="00870476" w:rsidP="00A03E7B">
            <w:pPr>
              <w:rPr>
                <w:sz w:val="22"/>
                <w:szCs w:val="22"/>
                <w:lang w:val="en-US"/>
              </w:rPr>
            </w:pPr>
            <w:r w:rsidRPr="00A022AA">
              <w:rPr>
                <w:sz w:val="22"/>
                <w:szCs w:val="22"/>
                <w:lang w:val="en-US"/>
              </w:rPr>
              <w:t>XIII.15 Cultural values and practices of indigenous peoples and local communities and their contribution to climate-change mitigation and adaptation in wetlands</w:t>
            </w:r>
          </w:p>
        </w:tc>
        <w:tc>
          <w:tcPr>
            <w:tcW w:w="7371" w:type="dxa"/>
          </w:tcPr>
          <w:p w14:paraId="0E41DFD4" w14:textId="77777777" w:rsidR="00870476" w:rsidRDefault="00870476" w:rsidP="00A03E7B">
            <w:pPr>
              <w:pStyle w:val="NormalWeb"/>
              <w:rPr>
                <w:rFonts w:ascii="Calibri" w:hAnsi="Calibri"/>
                <w:sz w:val="22"/>
                <w:szCs w:val="22"/>
                <w:lang w:val="en-US"/>
              </w:rPr>
            </w:pPr>
            <w:r>
              <w:rPr>
                <w:rFonts w:ascii="Calibri" w:hAnsi="Calibri"/>
                <w:sz w:val="22"/>
                <w:szCs w:val="22"/>
                <w:lang w:val="en-US"/>
              </w:rPr>
              <w:t xml:space="preserve">16 </w:t>
            </w:r>
            <w:r w:rsidRPr="00A022AA">
              <w:rPr>
                <w:rFonts w:ascii="Calibri" w:hAnsi="Calibri"/>
                <w:sz w:val="22"/>
                <w:szCs w:val="22"/>
                <w:lang w:val="en-US"/>
              </w:rPr>
              <w:t xml:space="preserve">ENCOURAGES Contracting Parties, the Ramsar Convention Secretariat and Ramsar Regional Initiatives, and INVITES interested organizations and networks, to protect, support and promote the use of cultural values, traditional knowledge, innovations and practices of indigenous peoples and local communities in adapting to the increasing negative impacts of climate change, taking into consideration vulnerable groups, communities and ecosystems; </w:t>
            </w:r>
          </w:p>
          <w:p w14:paraId="10347341" w14:textId="77777777" w:rsidR="00870476" w:rsidRPr="00A022AA" w:rsidRDefault="00870476" w:rsidP="00A03E7B">
            <w:pPr>
              <w:pStyle w:val="NormalWeb"/>
              <w:rPr>
                <w:rFonts w:ascii="Calibri" w:hAnsi="Calibri"/>
                <w:sz w:val="22"/>
                <w:szCs w:val="22"/>
                <w:lang w:val="en-US"/>
              </w:rPr>
            </w:pPr>
            <w:r>
              <w:rPr>
                <w:rFonts w:ascii="Calibri" w:hAnsi="Calibri"/>
                <w:sz w:val="22"/>
                <w:szCs w:val="22"/>
                <w:lang w:val="en-US"/>
              </w:rPr>
              <w:t xml:space="preserve">22 </w:t>
            </w:r>
            <w:r w:rsidRPr="00A022AA">
              <w:rPr>
                <w:rFonts w:ascii="Calibri" w:hAnsi="Calibri"/>
                <w:sz w:val="22"/>
                <w:szCs w:val="22"/>
                <w:lang w:val="en-US"/>
              </w:rPr>
              <w:t xml:space="preserve">REQUESTS the Secretariat, subject to the availability of resources, and INVITES Contracting Parties, Ramsar Regional Initiatives, interested organizations and networks, to continue to undertake enabling activities for the effective consideration of the cultural values of wetlands within wetland protection and management; </w:t>
            </w:r>
          </w:p>
        </w:tc>
        <w:tc>
          <w:tcPr>
            <w:tcW w:w="2829" w:type="dxa"/>
          </w:tcPr>
          <w:p w14:paraId="473630AC" w14:textId="77777777" w:rsidR="00870476" w:rsidRPr="00880E6E" w:rsidRDefault="00870476" w:rsidP="00A03E7B">
            <w:pPr>
              <w:rPr>
                <w:b/>
                <w:sz w:val="22"/>
                <w:szCs w:val="22"/>
                <w:lang w:val="en-US"/>
              </w:rPr>
            </w:pPr>
          </w:p>
        </w:tc>
      </w:tr>
      <w:tr w:rsidR="00870476" w:rsidRPr="00217036" w14:paraId="6403F927" w14:textId="77777777" w:rsidTr="00DF6A89">
        <w:tc>
          <w:tcPr>
            <w:tcW w:w="3681" w:type="dxa"/>
          </w:tcPr>
          <w:p w14:paraId="365B4CE5" w14:textId="77777777" w:rsidR="00D11DDD" w:rsidRPr="00D11DDD" w:rsidRDefault="00D11DDD" w:rsidP="00D11DDD">
            <w:pPr>
              <w:rPr>
                <w:lang w:val="en-GB"/>
              </w:rPr>
            </w:pPr>
            <w:r w:rsidRPr="00D11DDD">
              <w:rPr>
                <w:lang w:val="en-GB"/>
              </w:rPr>
              <w:t>Resolution XIII.8</w:t>
            </w:r>
          </w:p>
          <w:p w14:paraId="67A1AB61" w14:textId="77777777" w:rsidR="00D11DDD" w:rsidRPr="00D11DDD" w:rsidRDefault="00D11DDD" w:rsidP="00D11DDD">
            <w:pPr>
              <w:rPr>
                <w:lang w:val="en-GB"/>
              </w:rPr>
            </w:pPr>
            <w:r w:rsidRPr="00D11DDD">
              <w:rPr>
                <w:lang w:val="en-GB"/>
              </w:rPr>
              <w:t>Future implementation of scientific and technical aspects</w:t>
            </w:r>
          </w:p>
          <w:p w14:paraId="6DBD9EC1" w14:textId="40389F4D" w:rsidR="00870476" w:rsidRPr="00D11DDD" w:rsidRDefault="00D11DDD" w:rsidP="00D11DDD">
            <w:pPr>
              <w:rPr>
                <w:sz w:val="22"/>
                <w:szCs w:val="22"/>
                <w:lang w:val="en-GB"/>
              </w:rPr>
            </w:pPr>
            <w:r w:rsidRPr="00D11DDD">
              <w:rPr>
                <w:lang w:val="en-GB"/>
              </w:rPr>
              <w:t>of the Convention for 2019-2021</w:t>
            </w:r>
          </w:p>
        </w:tc>
        <w:tc>
          <w:tcPr>
            <w:tcW w:w="7371" w:type="dxa"/>
          </w:tcPr>
          <w:p w14:paraId="1E8047FA" w14:textId="77777777" w:rsidR="00870476" w:rsidRPr="000A092A" w:rsidRDefault="00870476" w:rsidP="00A03E7B">
            <w:pPr>
              <w:pStyle w:val="NormalWeb"/>
              <w:rPr>
                <w:rFonts w:asciiTheme="minorHAnsi" w:hAnsiTheme="minorHAnsi"/>
                <w:sz w:val="22"/>
                <w:szCs w:val="22"/>
                <w:lang w:val="en-US"/>
              </w:rPr>
            </w:pPr>
            <w:r w:rsidRPr="000A092A">
              <w:rPr>
                <w:rFonts w:asciiTheme="minorHAnsi" w:hAnsiTheme="minorHAnsi"/>
                <w:bCs/>
                <w:sz w:val="22"/>
                <w:szCs w:val="22"/>
                <w:lang w:val="en-US"/>
              </w:rPr>
              <w:t xml:space="preserve">Annex 3 </w:t>
            </w:r>
          </w:p>
          <w:p w14:paraId="3A561105" w14:textId="77777777" w:rsidR="00870476" w:rsidRPr="000A092A" w:rsidRDefault="00870476" w:rsidP="00A03E7B">
            <w:pPr>
              <w:pStyle w:val="NormalWeb"/>
              <w:rPr>
                <w:rFonts w:asciiTheme="minorHAnsi" w:hAnsiTheme="minorHAnsi"/>
                <w:bCs/>
                <w:sz w:val="22"/>
                <w:szCs w:val="22"/>
                <w:lang w:val="en-US"/>
              </w:rPr>
            </w:pPr>
            <w:r w:rsidRPr="000A092A">
              <w:rPr>
                <w:rFonts w:asciiTheme="minorHAnsi" w:hAnsiTheme="minorHAnsi"/>
                <w:bCs/>
                <w:sz w:val="22"/>
                <w:szCs w:val="22"/>
                <w:lang w:val="en-US"/>
              </w:rPr>
              <w:t xml:space="preserve">Bodies and organizations invited to participate as observers in the meetings and processes of the Scientific and Technical Review Panel for the 2019-2021 triennium </w:t>
            </w:r>
          </w:p>
          <w:p w14:paraId="12D7C66F" w14:textId="77777777" w:rsidR="00870476" w:rsidRPr="000A092A" w:rsidRDefault="00870476" w:rsidP="00A03E7B">
            <w:pPr>
              <w:pStyle w:val="NormalWeb"/>
              <w:rPr>
                <w:rFonts w:asciiTheme="minorHAnsi" w:hAnsiTheme="minorHAnsi"/>
                <w:bCs/>
                <w:sz w:val="22"/>
                <w:szCs w:val="22"/>
                <w:lang w:val="en-US"/>
              </w:rPr>
            </w:pPr>
            <w:r w:rsidRPr="000A092A">
              <w:rPr>
                <w:rFonts w:asciiTheme="minorHAnsi" w:hAnsiTheme="minorHAnsi"/>
                <w:bCs/>
                <w:sz w:val="22"/>
                <w:szCs w:val="22"/>
                <w:lang w:val="en-US"/>
              </w:rPr>
              <w:t>…</w:t>
            </w:r>
          </w:p>
          <w:p w14:paraId="7AE44D16" w14:textId="77777777" w:rsidR="00870476" w:rsidRPr="000A092A" w:rsidRDefault="00870476" w:rsidP="00A03E7B">
            <w:pPr>
              <w:pStyle w:val="NormalWeb"/>
              <w:numPr>
                <w:ilvl w:val="0"/>
                <w:numId w:val="11"/>
              </w:numPr>
              <w:rPr>
                <w:rFonts w:asciiTheme="minorHAnsi" w:hAnsiTheme="minorHAnsi"/>
                <w:bCs/>
                <w:sz w:val="22"/>
                <w:szCs w:val="22"/>
                <w:lang w:val="en-US"/>
              </w:rPr>
            </w:pPr>
            <w:r w:rsidRPr="000A092A">
              <w:rPr>
                <w:rFonts w:asciiTheme="minorHAnsi" w:hAnsiTheme="minorHAnsi"/>
                <w:sz w:val="22"/>
                <w:szCs w:val="22"/>
                <w:lang w:val="en-US"/>
              </w:rPr>
              <w:t xml:space="preserve">Scientific and Technical Network of the Mediterranean Wetlands Ramsar Regional Initiative (MedWet) </w:t>
            </w:r>
          </w:p>
          <w:p w14:paraId="236E511C" w14:textId="77777777" w:rsidR="00870476" w:rsidRPr="000A092A" w:rsidRDefault="00870476" w:rsidP="00A03E7B">
            <w:pPr>
              <w:pStyle w:val="NormalWeb"/>
              <w:rPr>
                <w:rFonts w:asciiTheme="minorHAnsi" w:hAnsiTheme="minorHAnsi"/>
                <w:sz w:val="22"/>
                <w:szCs w:val="22"/>
                <w:lang w:val="en-US"/>
              </w:rPr>
            </w:pPr>
            <w:r w:rsidRPr="000A092A">
              <w:rPr>
                <w:rFonts w:asciiTheme="minorHAnsi" w:hAnsiTheme="minorHAnsi"/>
                <w:bCs/>
                <w:sz w:val="22"/>
                <w:szCs w:val="22"/>
                <w:lang w:val="en-US"/>
              </w:rPr>
              <w:t xml:space="preserve">Annex 4 </w:t>
            </w:r>
          </w:p>
          <w:p w14:paraId="5A2A6C6C" w14:textId="77777777" w:rsidR="00870476" w:rsidRPr="000A092A" w:rsidRDefault="00870476" w:rsidP="00A03E7B">
            <w:pPr>
              <w:pStyle w:val="NormalWeb"/>
              <w:rPr>
                <w:rFonts w:asciiTheme="minorHAnsi" w:hAnsiTheme="minorHAnsi"/>
                <w:sz w:val="22"/>
                <w:szCs w:val="22"/>
                <w:lang w:val="en-US"/>
              </w:rPr>
            </w:pPr>
            <w:r w:rsidRPr="000A092A">
              <w:rPr>
                <w:rFonts w:asciiTheme="minorHAnsi" w:hAnsiTheme="minorHAnsi"/>
                <w:bCs/>
                <w:sz w:val="22"/>
                <w:szCs w:val="22"/>
                <w:lang w:val="en-US"/>
              </w:rPr>
              <w:t xml:space="preserve">Guidelines for developing requests to the Intergovernmental Platform on Biodiversity and Ecosystem Services (IPBES) for its future work </w:t>
            </w:r>
            <w:proofErr w:type="spellStart"/>
            <w:r w:rsidRPr="000A092A">
              <w:rPr>
                <w:rFonts w:asciiTheme="minorHAnsi" w:hAnsiTheme="minorHAnsi"/>
                <w:bCs/>
                <w:sz w:val="22"/>
                <w:szCs w:val="22"/>
                <w:lang w:val="en-US"/>
              </w:rPr>
              <w:t>programmes</w:t>
            </w:r>
            <w:proofErr w:type="spellEnd"/>
            <w:r w:rsidRPr="000A092A">
              <w:rPr>
                <w:rFonts w:asciiTheme="minorHAnsi" w:hAnsiTheme="minorHAnsi"/>
                <w:bCs/>
                <w:sz w:val="22"/>
                <w:szCs w:val="22"/>
                <w:lang w:val="en-US"/>
              </w:rPr>
              <w:t xml:space="preserve"> </w:t>
            </w:r>
          </w:p>
          <w:p w14:paraId="288E4F7D" w14:textId="77777777" w:rsidR="00870476" w:rsidRPr="000A092A" w:rsidRDefault="00870476" w:rsidP="00A03E7B">
            <w:pPr>
              <w:pStyle w:val="NormalWeb"/>
              <w:rPr>
                <w:rFonts w:asciiTheme="minorHAnsi" w:hAnsiTheme="minorHAnsi"/>
                <w:bCs/>
                <w:sz w:val="22"/>
                <w:szCs w:val="22"/>
                <w:lang w:val="en-US"/>
              </w:rPr>
            </w:pPr>
            <w:r w:rsidRPr="000A092A">
              <w:rPr>
                <w:rFonts w:asciiTheme="minorHAnsi" w:hAnsiTheme="minorHAnsi"/>
                <w:bCs/>
                <w:sz w:val="22"/>
                <w:szCs w:val="22"/>
                <w:lang w:val="en-US"/>
              </w:rPr>
              <w:lastRenderedPageBreak/>
              <w:t>…</w:t>
            </w:r>
          </w:p>
          <w:p w14:paraId="768C4998" w14:textId="77777777" w:rsidR="00870476" w:rsidRPr="000A092A" w:rsidRDefault="00870476" w:rsidP="00A03E7B">
            <w:pPr>
              <w:pStyle w:val="NormalWeb"/>
              <w:rPr>
                <w:rFonts w:asciiTheme="minorHAnsi" w:hAnsiTheme="minorHAnsi"/>
                <w:sz w:val="22"/>
                <w:szCs w:val="22"/>
                <w:lang w:val="en-US"/>
              </w:rPr>
            </w:pPr>
            <w:r w:rsidRPr="000A092A">
              <w:rPr>
                <w:rFonts w:asciiTheme="minorHAnsi" w:hAnsiTheme="minorHAnsi"/>
                <w:sz w:val="22"/>
                <w:szCs w:val="22"/>
                <w:lang w:val="en-US"/>
              </w:rPr>
              <w:t xml:space="preserve">2 Any Contracting Party, Ramsar Regional Initiative, the STRP, and multilateral environmental agreements (MEAs) that are proposing a joint submission may develop a proposal for consideration. </w:t>
            </w:r>
          </w:p>
        </w:tc>
        <w:tc>
          <w:tcPr>
            <w:tcW w:w="2829" w:type="dxa"/>
          </w:tcPr>
          <w:p w14:paraId="7EF04E97" w14:textId="77777777" w:rsidR="00870476" w:rsidRPr="00880E6E" w:rsidRDefault="00870476" w:rsidP="00A03E7B">
            <w:pPr>
              <w:rPr>
                <w:b/>
                <w:sz w:val="22"/>
                <w:szCs w:val="22"/>
                <w:lang w:val="en-US"/>
              </w:rPr>
            </w:pPr>
          </w:p>
        </w:tc>
      </w:tr>
      <w:tr w:rsidR="00870476" w:rsidRPr="00217036" w14:paraId="0B7BBA84" w14:textId="77777777" w:rsidTr="00DF6A89">
        <w:tc>
          <w:tcPr>
            <w:tcW w:w="3681" w:type="dxa"/>
          </w:tcPr>
          <w:p w14:paraId="077A4894" w14:textId="77777777" w:rsidR="00870476" w:rsidRPr="001436E3" w:rsidRDefault="00870476" w:rsidP="00A03E7B">
            <w:pPr>
              <w:rPr>
                <w:b/>
                <w:sz w:val="22"/>
                <w:szCs w:val="22"/>
                <w:lang w:val="en-US"/>
              </w:rPr>
            </w:pPr>
            <w:r w:rsidRPr="00ED4FC0">
              <w:rPr>
                <w:sz w:val="22"/>
                <w:szCs w:val="22"/>
                <w:lang w:val="en-US"/>
              </w:rPr>
              <w:t>XIII.22 Wetlands in West Asia</w:t>
            </w:r>
          </w:p>
        </w:tc>
        <w:tc>
          <w:tcPr>
            <w:tcW w:w="7371" w:type="dxa"/>
          </w:tcPr>
          <w:p w14:paraId="793F0F75" w14:textId="77777777" w:rsidR="00870476" w:rsidRDefault="00870476" w:rsidP="00A03E7B">
            <w:pPr>
              <w:pStyle w:val="NormalWeb"/>
              <w:rPr>
                <w:rFonts w:ascii="Calibri" w:hAnsi="Calibri"/>
                <w:sz w:val="22"/>
                <w:szCs w:val="22"/>
                <w:lang w:val="en-US"/>
              </w:rPr>
            </w:pPr>
            <w:r>
              <w:rPr>
                <w:rFonts w:ascii="Calibri" w:hAnsi="Calibri"/>
                <w:sz w:val="22"/>
                <w:szCs w:val="22"/>
                <w:lang w:val="en-US"/>
              </w:rPr>
              <w:t xml:space="preserve">11 </w:t>
            </w:r>
            <w:r w:rsidRPr="00ED4FC0">
              <w:rPr>
                <w:rFonts w:ascii="Calibri" w:hAnsi="Calibri"/>
                <w:sz w:val="22"/>
                <w:szCs w:val="22"/>
                <w:lang w:val="en-US"/>
              </w:rPr>
              <w:t xml:space="preserve">ENCOURAGES Contracting Parties in the West Asia region to consider leveraging existing collaboration and regional initiatives within the context of sustainable development; </w:t>
            </w:r>
          </w:p>
          <w:p w14:paraId="0340F677" w14:textId="77777777" w:rsidR="00870476" w:rsidRPr="00880E6E" w:rsidRDefault="00870476" w:rsidP="00A03E7B">
            <w:pPr>
              <w:rPr>
                <w:b/>
                <w:sz w:val="22"/>
                <w:szCs w:val="22"/>
                <w:lang w:val="en-US"/>
              </w:rPr>
            </w:pPr>
            <w:r>
              <w:rPr>
                <w:rFonts w:ascii="Calibri" w:hAnsi="Calibri"/>
                <w:sz w:val="22"/>
                <w:szCs w:val="22"/>
                <w:lang w:val="en-US"/>
              </w:rPr>
              <w:t xml:space="preserve">14 </w:t>
            </w:r>
            <w:r w:rsidRPr="00ED4FC0">
              <w:rPr>
                <w:rFonts w:ascii="Calibri" w:hAnsi="Calibri"/>
                <w:sz w:val="22"/>
                <w:szCs w:val="22"/>
                <w:lang w:val="en-US"/>
              </w:rPr>
              <w:t xml:space="preserve">REQUESTS the Ramsar Regional Centre – Central and West Asia to follow up the provisions of the present Resolution, within the framework of its mandate, and report to the Conference of the Contracting Parties. </w:t>
            </w:r>
          </w:p>
        </w:tc>
        <w:tc>
          <w:tcPr>
            <w:tcW w:w="2829" w:type="dxa"/>
          </w:tcPr>
          <w:p w14:paraId="6E3BE98D" w14:textId="77777777" w:rsidR="00870476" w:rsidRPr="00880E6E" w:rsidRDefault="00870476" w:rsidP="00A03E7B">
            <w:pPr>
              <w:rPr>
                <w:b/>
                <w:sz w:val="22"/>
                <w:szCs w:val="22"/>
                <w:lang w:val="en-US"/>
              </w:rPr>
            </w:pPr>
          </w:p>
        </w:tc>
      </w:tr>
      <w:tr w:rsidR="00870476" w:rsidRPr="00217036" w14:paraId="6341E38A" w14:textId="77777777" w:rsidTr="00DF6A89">
        <w:tc>
          <w:tcPr>
            <w:tcW w:w="3681" w:type="dxa"/>
          </w:tcPr>
          <w:p w14:paraId="24AF20EA" w14:textId="77777777" w:rsidR="00870476" w:rsidRPr="00DF6A89" w:rsidRDefault="00870476" w:rsidP="00DF6A89">
            <w:pPr>
              <w:pStyle w:val="NormalWeb"/>
              <w:rPr>
                <w:sz w:val="22"/>
                <w:szCs w:val="22"/>
                <w:lang w:val="en-US"/>
              </w:rPr>
            </w:pPr>
            <w:r w:rsidRPr="00870476">
              <w:rPr>
                <w:rFonts w:ascii="Calibri" w:hAnsi="Calibri"/>
                <w:bCs/>
                <w:sz w:val="22"/>
                <w:szCs w:val="22"/>
                <w:lang w:val="en-US"/>
              </w:rPr>
              <w:t xml:space="preserve">XIII.24 </w:t>
            </w:r>
            <w:r w:rsidRPr="00E4794D">
              <w:rPr>
                <w:rFonts w:ascii="Calibri" w:hAnsi="Calibri"/>
                <w:bCs/>
                <w:sz w:val="22"/>
                <w:szCs w:val="22"/>
                <w:lang w:val="en-US"/>
              </w:rPr>
              <w:t xml:space="preserve">The enhanced conservation of coastal marine turtle habitats and the designation of key areas as Ramsar Sites </w:t>
            </w:r>
          </w:p>
        </w:tc>
        <w:tc>
          <w:tcPr>
            <w:tcW w:w="7371" w:type="dxa"/>
          </w:tcPr>
          <w:p w14:paraId="6D8E6501" w14:textId="77777777" w:rsidR="00870476" w:rsidRPr="000A092A" w:rsidRDefault="00870476" w:rsidP="000A092A">
            <w:pPr>
              <w:pStyle w:val="NormalWeb"/>
              <w:rPr>
                <w:rFonts w:ascii="Calibri" w:hAnsi="Calibri"/>
                <w:sz w:val="22"/>
                <w:szCs w:val="22"/>
                <w:lang w:val="en-US"/>
              </w:rPr>
            </w:pPr>
            <w:r>
              <w:rPr>
                <w:rFonts w:ascii="Calibri" w:hAnsi="Calibri"/>
                <w:sz w:val="22"/>
                <w:szCs w:val="22"/>
                <w:lang w:val="en-US"/>
              </w:rPr>
              <w:t xml:space="preserve">22 </w:t>
            </w:r>
            <w:r w:rsidRPr="00E4794D">
              <w:rPr>
                <w:rFonts w:ascii="Calibri" w:hAnsi="Calibri"/>
                <w:sz w:val="22"/>
                <w:szCs w:val="22"/>
                <w:lang w:val="en-US"/>
              </w:rPr>
              <w:t xml:space="preserve">ENCOURAGES Contracting Parties to review their Ramsar Site management plans to seek to ensure they include marine turtle conservation actions, as appropriate; and RECOMMENDS enhancement of synergies and better coordination with Ramsar Regional Initiatives and existing networks rather than establishment of new arrangements; </w:t>
            </w:r>
          </w:p>
        </w:tc>
        <w:tc>
          <w:tcPr>
            <w:tcW w:w="2829" w:type="dxa"/>
          </w:tcPr>
          <w:p w14:paraId="0AC5D9D1" w14:textId="77777777" w:rsidR="00870476" w:rsidRPr="00880E6E" w:rsidRDefault="00870476" w:rsidP="00A03E7B">
            <w:pPr>
              <w:rPr>
                <w:b/>
                <w:sz w:val="22"/>
                <w:szCs w:val="22"/>
                <w:lang w:val="en-US"/>
              </w:rPr>
            </w:pPr>
          </w:p>
        </w:tc>
      </w:tr>
      <w:tr w:rsidR="00870476" w:rsidRPr="00FD600C" w14:paraId="790090AC" w14:textId="77777777" w:rsidTr="00DF6A89">
        <w:tc>
          <w:tcPr>
            <w:tcW w:w="3681" w:type="dxa"/>
          </w:tcPr>
          <w:p w14:paraId="71C3234F" w14:textId="77777777" w:rsidR="00870476" w:rsidRPr="001436E3" w:rsidRDefault="00870476" w:rsidP="00A03E7B">
            <w:pPr>
              <w:rPr>
                <w:b/>
                <w:sz w:val="22"/>
                <w:szCs w:val="22"/>
                <w:lang w:val="en-US"/>
              </w:rPr>
            </w:pPr>
            <w:r w:rsidRPr="001436E3">
              <w:rPr>
                <w:b/>
                <w:sz w:val="22"/>
                <w:szCs w:val="22"/>
                <w:lang w:val="en-US"/>
              </w:rPr>
              <w:t>COP12</w:t>
            </w:r>
          </w:p>
        </w:tc>
        <w:tc>
          <w:tcPr>
            <w:tcW w:w="7371" w:type="dxa"/>
          </w:tcPr>
          <w:p w14:paraId="662E8967" w14:textId="77777777" w:rsidR="00870476" w:rsidRPr="00880E6E" w:rsidRDefault="00870476" w:rsidP="00A03E7B">
            <w:pPr>
              <w:rPr>
                <w:b/>
                <w:sz w:val="22"/>
                <w:szCs w:val="22"/>
                <w:lang w:val="en-US"/>
              </w:rPr>
            </w:pPr>
          </w:p>
        </w:tc>
        <w:tc>
          <w:tcPr>
            <w:tcW w:w="2829" w:type="dxa"/>
          </w:tcPr>
          <w:p w14:paraId="225A306D" w14:textId="77777777" w:rsidR="00870476" w:rsidRPr="00880E6E" w:rsidRDefault="00870476" w:rsidP="00A03E7B">
            <w:pPr>
              <w:rPr>
                <w:b/>
                <w:sz w:val="22"/>
                <w:szCs w:val="22"/>
                <w:lang w:val="en-US"/>
              </w:rPr>
            </w:pPr>
          </w:p>
        </w:tc>
      </w:tr>
      <w:tr w:rsidR="00870476" w:rsidRPr="00FD600C" w14:paraId="247D3756" w14:textId="77777777" w:rsidTr="00DF6A89">
        <w:tc>
          <w:tcPr>
            <w:tcW w:w="3681" w:type="dxa"/>
          </w:tcPr>
          <w:p w14:paraId="25BB16D7" w14:textId="77777777" w:rsidR="00870476" w:rsidRPr="00FD600C" w:rsidRDefault="00870476" w:rsidP="00A03E7B">
            <w:pPr>
              <w:rPr>
                <w:sz w:val="22"/>
                <w:szCs w:val="22"/>
                <w:lang w:val="en-US"/>
              </w:rPr>
            </w:pPr>
            <w:r>
              <w:rPr>
                <w:sz w:val="22"/>
                <w:szCs w:val="22"/>
                <w:lang w:val="en-US"/>
              </w:rPr>
              <w:t xml:space="preserve">XII.2 The Ramsar Strategic Plan </w:t>
            </w:r>
          </w:p>
        </w:tc>
        <w:tc>
          <w:tcPr>
            <w:tcW w:w="7371" w:type="dxa"/>
          </w:tcPr>
          <w:p w14:paraId="1567EF6E" w14:textId="77777777" w:rsidR="00870476" w:rsidRPr="00FD600C" w:rsidRDefault="00870476" w:rsidP="00A03E7B">
            <w:pPr>
              <w:rPr>
                <w:sz w:val="22"/>
                <w:szCs w:val="22"/>
                <w:lang w:val="en-US"/>
              </w:rPr>
            </w:pPr>
            <w:r>
              <w:rPr>
                <w:sz w:val="22"/>
                <w:szCs w:val="22"/>
                <w:lang w:val="en-US"/>
              </w:rPr>
              <w:t xml:space="preserve">Multiple references throughout  </w:t>
            </w:r>
            <w:r w:rsidRPr="000D2FEB">
              <w:rPr>
                <w:sz w:val="22"/>
                <w:szCs w:val="22"/>
                <w:lang w:val="en-US"/>
              </w:rPr>
              <w:t xml:space="preserve"> </w:t>
            </w:r>
          </w:p>
        </w:tc>
        <w:tc>
          <w:tcPr>
            <w:tcW w:w="2829" w:type="dxa"/>
          </w:tcPr>
          <w:p w14:paraId="4F5900B6" w14:textId="77777777" w:rsidR="00870476" w:rsidRPr="00FD600C" w:rsidRDefault="00870476" w:rsidP="00A03E7B">
            <w:pPr>
              <w:rPr>
                <w:sz w:val="22"/>
                <w:szCs w:val="22"/>
                <w:lang w:val="en-US"/>
              </w:rPr>
            </w:pPr>
          </w:p>
        </w:tc>
      </w:tr>
      <w:tr w:rsidR="00870476" w:rsidRPr="00217036" w14:paraId="347DE956" w14:textId="77777777" w:rsidTr="00DF6A89">
        <w:tc>
          <w:tcPr>
            <w:tcW w:w="3681" w:type="dxa"/>
          </w:tcPr>
          <w:p w14:paraId="72C0A353" w14:textId="77777777" w:rsidR="00870476" w:rsidRPr="00356A48" w:rsidRDefault="00870476" w:rsidP="00A03E7B">
            <w:pPr>
              <w:rPr>
                <w:b/>
                <w:sz w:val="22"/>
                <w:szCs w:val="22"/>
                <w:lang w:val="en-GB"/>
              </w:rPr>
            </w:pPr>
            <w:r w:rsidRPr="00171C1F">
              <w:rPr>
                <w:sz w:val="22"/>
                <w:szCs w:val="22"/>
                <w:lang w:val="en-US"/>
              </w:rPr>
              <w:t>XII.5</w:t>
            </w:r>
            <w:r>
              <w:rPr>
                <w:sz w:val="22"/>
                <w:szCs w:val="22"/>
                <w:lang w:val="en-US"/>
              </w:rPr>
              <w:t xml:space="preserve"> </w:t>
            </w:r>
            <w:r w:rsidRPr="00356A48">
              <w:rPr>
                <w:sz w:val="22"/>
                <w:szCs w:val="22"/>
                <w:lang w:val="en-GB"/>
              </w:rPr>
              <w:t>New framework for delivery of scientific and technical advice and guidance on the Convention</w:t>
            </w:r>
          </w:p>
        </w:tc>
        <w:tc>
          <w:tcPr>
            <w:tcW w:w="7371" w:type="dxa"/>
          </w:tcPr>
          <w:p w14:paraId="6346931F" w14:textId="77777777" w:rsidR="00870476" w:rsidRDefault="00870476" w:rsidP="00A03E7B">
            <w:pPr>
              <w:rPr>
                <w:rFonts w:cstheme="minorHAnsi"/>
                <w:b/>
                <w:bCs/>
                <w:sz w:val="22"/>
                <w:szCs w:val="22"/>
                <w:lang w:val="en-US"/>
              </w:rPr>
            </w:pPr>
            <w:r w:rsidRPr="000D2FEB">
              <w:rPr>
                <w:rFonts w:cstheme="minorHAnsi"/>
                <w:b/>
                <w:bCs/>
                <w:sz w:val="22"/>
                <w:szCs w:val="22"/>
                <w:lang w:val="en-US"/>
              </w:rPr>
              <w:t>Role and responsibilities of the STRP members</w:t>
            </w:r>
          </w:p>
          <w:p w14:paraId="258702BA" w14:textId="77777777" w:rsidR="00870476" w:rsidRPr="000D2FEB" w:rsidRDefault="00870476" w:rsidP="00A03E7B">
            <w:pPr>
              <w:rPr>
                <w:rFonts w:cstheme="minorHAnsi"/>
                <w:b/>
                <w:bCs/>
                <w:sz w:val="22"/>
                <w:szCs w:val="22"/>
                <w:lang w:val="en-US"/>
              </w:rPr>
            </w:pPr>
          </w:p>
          <w:p w14:paraId="478053B7" w14:textId="77777777" w:rsidR="00870476" w:rsidRDefault="00870476" w:rsidP="00A03E7B">
            <w:pPr>
              <w:rPr>
                <w:rFonts w:cstheme="minorHAnsi"/>
                <w:bCs/>
                <w:sz w:val="22"/>
                <w:szCs w:val="22"/>
                <w:lang w:val="en-US"/>
              </w:rPr>
            </w:pPr>
            <w:r w:rsidRPr="000D2FEB">
              <w:rPr>
                <w:rFonts w:cstheme="minorHAnsi"/>
                <w:bCs/>
                <w:sz w:val="22"/>
                <w:szCs w:val="22"/>
                <w:lang w:val="en-US"/>
              </w:rPr>
              <w:t>12 The main collective responsibilities of the Panel members are to:</w:t>
            </w:r>
          </w:p>
          <w:p w14:paraId="21186B86" w14:textId="77777777" w:rsidR="00870476" w:rsidRDefault="00870476" w:rsidP="00A03E7B">
            <w:pPr>
              <w:rPr>
                <w:rFonts w:cstheme="minorHAnsi"/>
                <w:bCs/>
                <w:sz w:val="22"/>
                <w:szCs w:val="22"/>
                <w:lang w:val="en-US"/>
              </w:rPr>
            </w:pPr>
          </w:p>
          <w:p w14:paraId="40E1B791" w14:textId="77777777" w:rsidR="00870476" w:rsidRPr="00DF6A89" w:rsidRDefault="00870476" w:rsidP="00A03E7B">
            <w:pPr>
              <w:pStyle w:val="ListParagraph"/>
              <w:numPr>
                <w:ilvl w:val="0"/>
                <w:numId w:val="2"/>
              </w:numPr>
              <w:rPr>
                <w:rFonts w:cstheme="minorHAnsi"/>
                <w:bCs/>
                <w:sz w:val="22"/>
                <w:szCs w:val="22"/>
                <w:lang w:val="en-US"/>
              </w:rPr>
            </w:pPr>
            <w:r w:rsidRPr="00356A48">
              <w:rPr>
                <w:rFonts w:cstheme="minorHAnsi"/>
                <w:sz w:val="22"/>
                <w:szCs w:val="22"/>
                <w:lang w:val="en-US"/>
              </w:rPr>
              <w:t>establish the scope, deliverables and approach to delivery for each assigned task, including through scoping workshops as appropriate, and in so doing ensure input from the network of STRP National Focal Points, Ramsar Regional Initiatives, and any other relevant organizations;</w:t>
            </w:r>
          </w:p>
        </w:tc>
        <w:tc>
          <w:tcPr>
            <w:tcW w:w="2829" w:type="dxa"/>
          </w:tcPr>
          <w:p w14:paraId="2E4BFEE2" w14:textId="77777777" w:rsidR="00870476" w:rsidRPr="00FD600C" w:rsidRDefault="00870476" w:rsidP="00A03E7B">
            <w:pPr>
              <w:rPr>
                <w:sz w:val="22"/>
                <w:szCs w:val="22"/>
                <w:lang w:val="en-US"/>
              </w:rPr>
            </w:pPr>
          </w:p>
        </w:tc>
      </w:tr>
      <w:tr w:rsidR="00870476" w:rsidRPr="00217036" w14:paraId="222650A5" w14:textId="77777777" w:rsidTr="00DF6A89">
        <w:tc>
          <w:tcPr>
            <w:tcW w:w="3681" w:type="dxa"/>
          </w:tcPr>
          <w:p w14:paraId="5D6D5BC9" w14:textId="77777777" w:rsidR="00870476" w:rsidRPr="000B1023" w:rsidRDefault="00870476" w:rsidP="00A03E7B">
            <w:pPr>
              <w:rPr>
                <w:bCs/>
                <w:sz w:val="22"/>
                <w:szCs w:val="22"/>
                <w:lang w:val="en-GB"/>
              </w:rPr>
            </w:pPr>
            <w:r w:rsidRPr="000B1023">
              <w:rPr>
                <w:bCs/>
                <w:sz w:val="22"/>
                <w:szCs w:val="22"/>
                <w:lang w:val="el-GR"/>
              </w:rPr>
              <w:t>XII.</w:t>
            </w:r>
            <w:r w:rsidRPr="000B1023">
              <w:rPr>
                <w:bCs/>
                <w:sz w:val="22"/>
                <w:szCs w:val="22"/>
                <w:lang w:val="en-GB"/>
              </w:rPr>
              <w:t xml:space="preserve">9 </w:t>
            </w:r>
            <w:r w:rsidRPr="000B1023">
              <w:rPr>
                <w:sz w:val="22"/>
                <w:szCs w:val="22"/>
                <w:lang w:val="en-GB"/>
              </w:rPr>
              <w:t>The Ramsar Convention’s Programme on communication, capacity building, education, participation and awareness (CEPA) 2016‐2024</w:t>
            </w:r>
          </w:p>
        </w:tc>
        <w:tc>
          <w:tcPr>
            <w:tcW w:w="7371" w:type="dxa"/>
          </w:tcPr>
          <w:p w14:paraId="47671C2A" w14:textId="77777777" w:rsidR="00870476" w:rsidRPr="000D2FEB"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 xml:space="preserve">13 INVITES all Contracting Parties, as suggested in Resolutions VII.9, VIII.31, X.8 and in the CEPA Programme 2016‐2024, to formulate their Wetland CEPA Action Plans (at national, subnational, catchment, or local levels) for priority activities that address international, regional, national, and local needs, and as appropriate to provide copies of these to the Ramsar Secretariat as a part of </w:t>
            </w:r>
            <w:r w:rsidRPr="000D2FEB">
              <w:rPr>
                <w:rFonts w:asciiTheme="minorHAnsi" w:hAnsiTheme="minorHAnsi"/>
                <w:sz w:val="22"/>
                <w:szCs w:val="22"/>
                <w:lang w:val="en-US"/>
              </w:rPr>
              <w:lastRenderedPageBreak/>
              <w:t xml:space="preserve">their national reporting, in order for these to be shared as examples of good practice, and INSTRUCTS the Secretariat to provide relevant information to the Regional Initiatives on priorities and activities, to support delivery of the CEPA Programme; </w:t>
            </w:r>
          </w:p>
          <w:p w14:paraId="59B0518C" w14:textId="77777777" w:rsidR="00870476" w:rsidRPr="000D2FEB"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 xml:space="preserve">23 INVITES the IOPs, Ramsar Regional Initiatives and other organizations with which the Ramsar Secretariat has collaborative agreements to support the implementation of the CEPA Programme at the global, regional, national or local levels, as appropriate, with the expertise, networks, skills and resources they have at their disposal; </w:t>
            </w:r>
          </w:p>
          <w:p w14:paraId="5C353CFA" w14:textId="77777777" w:rsidR="00870476" w:rsidRDefault="00870476" w:rsidP="00A03E7B">
            <w:pPr>
              <w:pStyle w:val="BodyText"/>
              <w:kinsoku w:val="0"/>
              <w:overflowPunct w:val="0"/>
              <w:ind w:left="0" w:firstLine="0"/>
              <w:rPr>
                <w:rFonts w:asciiTheme="minorHAnsi" w:hAnsiTheme="minorHAnsi"/>
              </w:rPr>
            </w:pPr>
            <w:r w:rsidRPr="000D2FEB">
              <w:rPr>
                <w:rFonts w:asciiTheme="minorHAnsi" w:hAnsiTheme="minorHAnsi"/>
              </w:rPr>
              <w:t xml:space="preserve">See also: </w:t>
            </w:r>
          </w:p>
          <w:p w14:paraId="017129DA" w14:textId="77777777" w:rsidR="00870476" w:rsidRDefault="00870476" w:rsidP="00A03E7B">
            <w:pPr>
              <w:pStyle w:val="BodyText"/>
              <w:kinsoku w:val="0"/>
              <w:overflowPunct w:val="0"/>
              <w:ind w:left="0" w:firstLine="0"/>
              <w:rPr>
                <w:rFonts w:asciiTheme="minorHAnsi" w:hAnsiTheme="minorHAnsi"/>
              </w:rPr>
            </w:pPr>
          </w:p>
          <w:p w14:paraId="6D5F3A4D" w14:textId="77777777" w:rsidR="00870476" w:rsidRPr="000D2FEB" w:rsidRDefault="00870476" w:rsidP="00A03E7B">
            <w:pPr>
              <w:pStyle w:val="BodyText"/>
              <w:kinsoku w:val="0"/>
              <w:overflowPunct w:val="0"/>
              <w:ind w:left="0" w:firstLine="0"/>
              <w:rPr>
                <w:rFonts w:asciiTheme="minorHAnsi" w:hAnsiTheme="minorHAnsi"/>
                <w:b/>
                <w:bCs/>
              </w:rPr>
            </w:pPr>
            <w:r w:rsidRPr="004B23CB">
              <w:rPr>
                <w:rFonts w:asciiTheme="minorHAnsi" w:hAnsiTheme="minorHAnsi"/>
                <w:spacing w:val="-1"/>
              </w:rPr>
              <w:t>Annex</w:t>
            </w:r>
            <w:r w:rsidRPr="004B23CB">
              <w:rPr>
                <w:rFonts w:asciiTheme="minorHAnsi" w:hAnsiTheme="minorHAnsi"/>
                <w:spacing w:val="-9"/>
              </w:rPr>
              <w:t xml:space="preserve"> </w:t>
            </w:r>
            <w:r w:rsidRPr="004B23CB">
              <w:rPr>
                <w:rFonts w:asciiTheme="minorHAnsi" w:hAnsiTheme="minorHAnsi"/>
              </w:rPr>
              <w:t>1</w:t>
            </w:r>
          </w:p>
          <w:p w14:paraId="794C9F52" w14:textId="77777777" w:rsidR="00870476" w:rsidRPr="00DF6A89" w:rsidRDefault="00870476" w:rsidP="00DF6A89">
            <w:pPr>
              <w:pStyle w:val="BodyText"/>
              <w:kinsoku w:val="0"/>
              <w:overflowPunct w:val="0"/>
              <w:ind w:left="0" w:firstLine="0"/>
              <w:rPr>
                <w:rFonts w:asciiTheme="minorHAnsi" w:hAnsiTheme="minorHAnsi"/>
                <w:bCs/>
              </w:rPr>
            </w:pPr>
            <w:r w:rsidRPr="004B23CB">
              <w:rPr>
                <w:rFonts w:asciiTheme="minorHAnsi" w:hAnsiTheme="minorHAnsi"/>
                <w:bCs/>
              </w:rPr>
              <w:t>The Ramsar Convention’s Programme on communication, capacity building, education, participation</w:t>
            </w:r>
            <w:r w:rsidR="00DF6A89">
              <w:rPr>
                <w:rFonts w:asciiTheme="minorHAnsi" w:hAnsiTheme="minorHAnsi"/>
                <w:bCs/>
              </w:rPr>
              <w:t xml:space="preserve"> and awareness (CEPA) 2016‐2024</w:t>
            </w:r>
          </w:p>
        </w:tc>
        <w:tc>
          <w:tcPr>
            <w:tcW w:w="2829" w:type="dxa"/>
          </w:tcPr>
          <w:p w14:paraId="0B890235" w14:textId="77777777" w:rsidR="00870476" w:rsidRPr="00FD600C" w:rsidRDefault="00870476" w:rsidP="00A03E7B">
            <w:pPr>
              <w:rPr>
                <w:sz w:val="22"/>
                <w:szCs w:val="22"/>
                <w:lang w:val="en-US"/>
              </w:rPr>
            </w:pPr>
          </w:p>
        </w:tc>
      </w:tr>
      <w:tr w:rsidR="00870476" w:rsidRPr="00217036" w14:paraId="5B73D9B7" w14:textId="77777777" w:rsidTr="00DF6A89">
        <w:tc>
          <w:tcPr>
            <w:tcW w:w="3681" w:type="dxa"/>
          </w:tcPr>
          <w:p w14:paraId="32F095EB" w14:textId="77777777" w:rsidR="00870476" w:rsidRPr="00F12419" w:rsidRDefault="00F12419" w:rsidP="00A03E7B">
            <w:pPr>
              <w:rPr>
                <w:bCs/>
                <w:sz w:val="22"/>
                <w:szCs w:val="22"/>
                <w:lang w:val="en-GB"/>
              </w:rPr>
            </w:pPr>
            <w:r>
              <w:rPr>
                <w:bCs/>
                <w:sz w:val="22"/>
                <w:szCs w:val="22"/>
                <w:lang w:val="en-GB"/>
              </w:rPr>
              <w:t xml:space="preserve">XII.11 </w:t>
            </w:r>
            <w:r w:rsidR="00870476" w:rsidRPr="00CA6CF3">
              <w:rPr>
                <w:bCs/>
                <w:sz w:val="22"/>
                <w:szCs w:val="22"/>
                <w:lang w:val="en-US"/>
              </w:rPr>
              <w:t>Peatlands, climate change and wise use: Implications for the Ramsar Convention</w:t>
            </w:r>
          </w:p>
          <w:p w14:paraId="52B43941" w14:textId="77777777" w:rsidR="00870476" w:rsidRPr="00FD600C" w:rsidRDefault="00870476" w:rsidP="00A03E7B">
            <w:pPr>
              <w:rPr>
                <w:sz w:val="22"/>
                <w:szCs w:val="22"/>
                <w:lang w:val="en-US"/>
              </w:rPr>
            </w:pPr>
          </w:p>
        </w:tc>
        <w:tc>
          <w:tcPr>
            <w:tcW w:w="7371" w:type="dxa"/>
          </w:tcPr>
          <w:p w14:paraId="67054721" w14:textId="77777777" w:rsidR="00870476" w:rsidRPr="00DF6A89" w:rsidRDefault="00870476" w:rsidP="00DF6A89">
            <w:pPr>
              <w:pStyle w:val="Default"/>
              <w:rPr>
                <w:rFonts w:asciiTheme="minorHAnsi" w:hAnsiTheme="minorHAnsi"/>
                <w:sz w:val="22"/>
                <w:szCs w:val="22"/>
                <w:lang w:val="en-US"/>
              </w:rPr>
            </w:pPr>
            <w:r w:rsidRPr="000D2FEB">
              <w:rPr>
                <w:rFonts w:asciiTheme="minorHAnsi" w:hAnsiTheme="minorHAnsi"/>
                <w:sz w:val="22"/>
                <w:szCs w:val="22"/>
                <w:lang w:val="en-US"/>
              </w:rPr>
              <w:t xml:space="preserve">20 NOTING the Policy Brief on </w:t>
            </w:r>
            <w:r w:rsidRPr="000D2FEB">
              <w:rPr>
                <w:rFonts w:asciiTheme="minorHAnsi" w:hAnsiTheme="minorHAnsi"/>
                <w:i/>
                <w:sz w:val="22"/>
                <w:szCs w:val="22"/>
                <w:lang w:val="en-US"/>
              </w:rPr>
              <w:t>Peatlands, climate change mitigation and biodiversity conservation</w:t>
            </w:r>
            <w:r w:rsidRPr="000D2FEB">
              <w:rPr>
                <w:rFonts w:asciiTheme="minorHAnsi" w:hAnsiTheme="minorHAnsi"/>
                <w:sz w:val="22"/>
                <w:szCs w:val="22"/>
                <w:lang w:val="en-US"/>
              </w:rPr>
              <w:t xml:space="preserve"> and the report </w:t>
            </w:r>
            <w:r w:rsidRPr="000D2FEB">
              <w:rPr>
                <w:rFonts w:asciiTheme="minorHAnsi" w:hAnsiTheme="minorHAnsi"/>
                <w:i/>
                <w:sz w:val="22"/>
                <w:szCs w:val="22"/>
                <w:lang w:val="en-US"/>
              </w:rPr>
              <w:t>Peatlands and Climate Change in a Ramsar context – a Nordic Baltic Perspective</w:t>
            </w:r>
            <w:r w:rsidRPr="000D2FEB">
              <w:rPr>
                <w:rFonts w:asciiTheme="minorHAnsi" w:hAnsiTheme="minorHAnsi"/>
                <w:sz w:val="22"/>
                <w:szCs w:val="22"/>
                <w:lang w:val="en-US"/>
              </w:rPr>
              <w:t xml:space="preserve"> developed under the Ramsar regional initiative NorBalWet as inspiration for other Ramsar regional initiative</w:t>
            </w:r>
            <w:r w:rsidR="00DF6A89">
              <w:rPr>
                <w:rFonts w:asciiTheme="minorHAnsi" w:hAnsiTheme="minorHAnsi"/>
                <w:sz w:val="22"/>
                <w:szCs w:val="22"/>
                <w:lang w:val="en-US"/>
              </w:rPr>
              <w:t>s and Parties, as appropriate;</w:t>
            </w:r>
          </w:p>
        </w:tc>
        <w:tc>
          <w:tcPr>
            <w:tcW w:w="2829" w:type="dxa"/>
          </w:tcPr>
          <w:p w14:paraId="5086B8FE" w14:textId="77777777" w:rsidR="00870476" w:rsidRPr="00FD600C" w:rsidRDefault="00870476" w:rsidP="00A03E7B">
            <w:pPr>
              <w:rPr>
                <w:sz w:val="22"/>
                <w:szCs w:val="22"/>
                <w:lang w:val="en-US"/>
              </w:rPr>
            </w:pPr>
          </w:p>
        </w:tc>
      </w:tr>
      <w:tr w:rsidR="00870476" w:rsidRPr="00217036" w14:paraId="7FACA77D" w14:textId="77777777" w:rsidTr="00DF6A89">
        <w:tc>
          <w:tcPr>
            <w:tcW w:w="3681" w:type="dxa"/>
          </w:tcPr>
          <w:p w14:paraId="06741B79" w14:textId="77777777" w:rsidR="00F453F8" w:rsidRPr="00F453F8" w:rsidRDefault="00F453F8" w:rsidP="00F453F8">
            <w:pPr>
              <w:rPr>
                <w:sz w:val="22"/>
                <w:szCs w:val="22"/>
                <w:lang w:val="en-US"/>
              </w:rPr>
            </w:pPr>
            <w:r w:rsidRPr="00F453F8">
              <w:rPr>
                <w:sz w:val="22"/>
                <w:szCs w:val="22"/>
                <w:lang w:val="en-US"/>
              </w:rPr>
              <w:t>XII.12</w:t>
            </w:r>
          </w:p>
          <w:p w14:paraId="2F4EAA34" w14:textId="77777777" w:rsidR="00870476" w:rsidRPr="00FD600C" w:rsidRDefault="00F453F8" w:rsidP="00F453F8">
            <w:pPr>
              <w:rPr>
                <w:sz w:val="22"/>
                <w:szCs w:val="22"/>
                <w:lang w:val="en-US"/>
              </w:rPr>
            </w:pPr>
            <w:r w:rsidRPr="00F453F8">
              <w:rPr>
                <w:sz w:val="22"/>
                <w:szCs w:val="22"/>
                <w:lang w:val="en-US"/>
              </w:rPr>
              <w:t>Call to action to ensure and protect the water requirements of wetlands for the present and the future</w:t>
            </w:r>
          </w:p>
        </w:tc>
        <w:tc>
          <w:tcPr>
            <w:tcW w:w="7371" w:type="dxa"/>
          </w:tcPr>
          <w:p w14:paraId="77E45E09" w14:textId="77777777" w:rsidR="00870476" w:rsidRPr="000D2FEB" w:rsidRDefault="00F453F8" w:rsidP="00A03E7B">
            <w:pPr>
              <w:rPr>
                <w:sz w:val="22"/>
                <w:szCs w:val="22"/>
                <w:lang w:val="en-US"/>
              </w:rPr>
            </w:pPr>
            <w:r>
              <w:rPr>
                <w:sz w:val="22"/>
                <w:szCs w:val="22"/>
                <w:lang w:val="en-US"/>
              </w:rPr>
              <w:t xml:space="preserve">21 </w:t>
            </w:r>
            <w:r w:rsidR="00870476" w:rsidRPr="000D2FEB">
              <w:rPr>
                <w:sz w:val="22"/>
                <w:szCs w:val="22"/>
                <w:lang w:val="en-US"/>
              </w:rPr>
              <w:t>WELCOMES the process carried out in Mexico for the creation of water reserves for wetlands, described in the Annex to this Resolution</w:t>
            </w:r>
            <w:r w:rsidR="00870476" w:rsidRPr="000D2FEB">
              <w:rPr>
                <w:i/>
                <w:sz w:val="22"/>
                <w:szCs w:val="22"/>
                <w:lang w:val="en-US"/>
              </w:rPr>
              <w:t>;</w:t>
            </w:r>
            <w:r w:rsidR="00870476" w:rsidRPr="000D2FEB">
              <w:rPr>
                <w:sz w:val="22"/>
                <w:szCs w:val="22"/>
                <w:lang w:val="en-US"/>
              </w:rPr>
              <w:t xml:space="preserve"> </w:t>
            </w:r>
          </w:p>
          <w:p w14:paraId="0EF8749C" w14:textId="77777777" w:rsidR="00870476" w:rsidRPr="000D2FEB" w:rsidRDefault="00870476" w:rsidP="00A03E7B">
            <w:pPr>
              <w:pStyle w:val="ListParagraph"/>
              <w:rPr>
                <w:sz w:val="22"/>
                <w:szCs w:val="22"/>
                <w:lang w:val="en-US"/>
              </w:rPr>
            </w:pPr>
          </w:p>
          <w:p w14:paraId="6C9E4987" w14:textId="77777777" w:rsidR="00870476" w:rsidRPr="00FD600C" w:rsidRDefault="00F453F8" w:rsidP="00A03E7B">
            <w:pPr>
              <w:rPr>
                <w:sz w:val="22"/>
                <w:szCs w:val="22"/>
                <w:lang w:val="en-US"/>
              </w:rPr>
            </w:pPr>
            <w:r>
              <w:rPr>
                <w:sz w:val="22"/>
                <w:szCs w:val="22"/>
                <w:lang w:val="en-US"/>
              </w:rPr>
              <w:t xml:space="preserve">22 </w:t>
            </w:r>
            <w:r w:rsidR="00870476" w:rsidRPr="000D2FEB">
              <w:rPr>
                <w:sz w:val="22"/>
                <w:szCs w:val="22"/>
                <w:lang w:val="en-US"/>
              </w:rPr>
              <w:t>ENCOURAGES the Contracting Parties to consider the possibility of using Mexico’s approach, as appropriate, to identify the opportunities to act preventatively, and adapting it as necessary in order to address national and regional conditions and circumstances, within the framework of existing regional initiatives and commitments and within the conte</w:t>
            </w:r>
            <w:r w:rsidR="00DF6A89">
              <w:rPr>
                <w:sz w:val="22"/>
                <w:szCs w:val="22"/>
                <w:lang w:val="en-US"/>
              </w:rPr>
              <w:t xml:space="preserve">xt of sustainable development; </w:t>
            </w:r>
          </w:p>
        </w:tc>
        <w:tc>
          <w:tcPr>
            <w:tcW w:w="2829" w:type="dxa"/>
          </w:tcPr>
          <w:p w14:paraId="0F77BD7A" w14:textId="77777777" w:rsidR="00870476" w:rsidRPr="00FD600C" w:rsidRDefault="00870476" w:rsidP="00A03E7B">
            <w:pPr>
              <w:rPr>
                <w:sz w:val="22"/>
                <w:szCs w:val="22"/>
                <w:lang w:val="en-US"/>
              </w:rPr>
            </w:pPr>
          </w:p>
        </w:tc>
      </w:tr>
      <w:tr w:rsidR="00870476" w:rsidRPr="00FD600C" w14:paraId="3D400A76" w14:textId="77777777" w:rsidTr="00DF6A89">
        <w:tc>
          <w:tcPr>
            <w:tcW w:w="3681" w:type="dxa"/>
          </w:tcPr>
          <w:p w14:paraId="1DA27321" w14:textId="77777777" w:rsidR="00870476" w:rsidRPr="00555960" w:rsidRDefault="00870476" w:rsidP="00A03E7B">
            <w:pPr>
              <w:rPr>
                <w:b/>
                <w:sz w:val="22"/>
                <w:szCs w:val="22"/>
                <w:lang w:val="en-US"/>
              </w:rPr>
            </w:pPr>
            <w:r w:rsidRPr="00555960">
              <w:rPr>
                <w:b/>
                <w:sz w:val="22"/>
                <w:szCs w:val="22"/>
                <w:lang w:val="en-US"/>
              </w:rPr>
              <w:t>COP11</w:t>
            </w:r>
          </w:p>
        </w:tc>
        <w:tc>
          <w:tcPr>
            <w:tcW w:w="7371" w:type="dxa"/>
          </w:tcPr>
          <w:p w14:paraId="7C277142" w14:textId="77777777" w:rsidR="00870476" w:rsidRPr="00FD600C" w:rsidRDefault="00870476" w:rsidP="00A03E7B">
            <w:pPr>
              <w:rPr>
                <w:sz w:val="22"/>
                <w:szCs w:val="22"/>
                <w:lang w:val="en-US"/>
              </w:rPr>
            </w:pPr>
          </w:p>
        </w:tc>
        <w:tc>
          <w:tcPr>
            <w:tcW w:w="2829" w:type="dxa"/>
          </w:tcPr>
          <w:p w14:paraId="1030DAA1" w14:textId="77777777" w:rsidR="00870476" w:rsidRPr="00FD600C" w:rsidRDefault="00870476" w:rsidP="00A03E7B">
            <w:pPr>
              <w:rPr>
                <w:sz w:val="22"/>
                <w:szCs w:val="22"/>
                <w:lang w:val="en-US"/>
              </w:rPr>
            </w:pPr>
          </w:p>
        </w:tc>
      </w:tr>
      <w:tr w:rsidR="00870476" w:rsidRPr="00217036" w14:paraId="52DC8D0F" w14:textId="77777777" w:rsidTr="00DF6A89">
        <w:tc>
          <w:tcPr>
            <w:tcW w:w="3681" w:type="dxa"/>
          </w:tcPr>
          <w:p w14:paraId="5CDE1EA4" w14:textId="77777777" w:rsidR="00870476" w:rsidRPr="000D2FEB" w:rsidRDefault="00056D48" w:rsidP="00A03E7B">
            <w:pPr>
              <w:rPr>
                <w:sz w:val="22"/>
                <w:szCs w:val="22"/>
                <w:lang w:val="en-US"/>
              </w:rPr>
            </w:pPr>
            <w:r>
              <w:rPr>
                <w:sz w:val="22"/>
                <w:szCs w:val="22"/>
                <w:lang w:val="en-US"/>
              </w:rPr>
              <w:lastRenderedPageBreak/>
              <w:t xml:space="preserve">XI.6 </w:t>
            </w:r>
            <w:r w:rsidR="00870476" w:rsidRPr="000D2FEB">
              <w:rPr>
                <w:sz w:val="22"/>
                <w:szCs w:val="22"/>
                <w:lang w:val="en-US"/>
              </w:rPr>
              <w:t xml:space="preserve">Partnerships and synergies with Multilateral Environmental Agreements and other institutions </w:t>
            </w:r>
          </w:p>
          <w:p w14:paraId="504A683F" w14:textId="77777777" w:rsidR="00870476" w:rsidRPr="00FD600C" w:rsidRDefault="00870476" w:rsidP="00A03E7B">
            <w:pPr>
              <w:rPr>
                <w:sz w:val="22"/>
                <w:szCs w:val="22"/>
                <w:lang w:val="en-US"/>
              </w:rPr>
            </w:pPr>
          </w:p>
        </w:tc>
        <w:tc>
          <w:tcPr>
            <w:tcW w:w="7371" w:type="dxa"/>
          </w:tcPr>
          <w:p w14:paraId="518E1D97" w14:textId="77777777" w:rsidR="00870476" w:rsidRPr="005F27E3" w:rsidRDefault="00870476" w:rsidP="00A03E7B">
            <w:pPr>
              <w:pStyle w:val="NormalWeb"/>
              <w:rPr>
                <w:rFonts w:asciiTheme="minorHAnsi" w:hAnsiTheme="minorHAnsi"/>
                <w:sz w:val="22"/>
                <w:szCs w:val="22"/>
                <w:lang w:val="en-US"/>
              </w:rPr>
            </w:pPr>
            <w:r>
              <w:rPr>
                <w:rFonts w:asciiTheme="minorHAnsi" w:hAnsiTheme="minorHAnsi"/>
                <w:sz w:val="22"/>
                <w:szCs w:val="22"/>
                <w:lang w:val="en-US"/>
              </w:rPr>
              <w:t xml:space="preserve">35 </w:t>
            </w:r>
            <w:r w:rsidRPr="000D2FEB">
              <w:rPr>
                <w:rFonts w:asciiTheme="minorHAnsi" w:hAnsiTheme="minorHAnsi"/>
                <w:sz w:val="22"/>
                <w:szCs w:val="22"/>
                <w:lang w:val="en-US"/>
              </w:rPr>
              <w:t xml:space="preserve">REQUESTS the Secretariat to continue to review its memoranda of cooperation with other global and regional environment agreements and other organizations with a view to reinvigorating those most likely to be beneficial to the work of the Convention and its international profile within the time and resources available, taking into account the approach and priorities established in the “Strategic Framework for Partnerships for the Ramsar Convention”, and FURTHER ENCOURAGES the Secretariat to continue to establish and strengthen partnerships and closer working relations with intergovernmental regional and </w:t>
            </w:r>
            <w:proofErr w:type="spellStart"/>
            <w:r w:rsidRPr="000D2FEB">
              <w:rPr>
                <w:rFonts w:asciiTheme="minorHAnsi" w:hAnsiTheme="minorHAnsi"/>
                <w:sz w:val="22"/>
                <w:szCs w:val="22"/>
                <w:lang w:val="en-US"/>
              </w:rPr>
              <w:t>subregional</w:t>
            </w:r>
            <w:proofErr w:type="spellEnd"/>
            <w:r w:rsidRPr="000D2FEB">
              <w:rPr>
                <w:rFonts w:asciiTheme="minorHAnsi" w:hAnsiTheme="minorHAnsi"/>
                <w:sz w:val="22"/>
                <w:szCs w:val="22"/>
                <w:lang w:val="en-US"/>
              </w:rPr>
              <w:t xml:space="preserve"> groups, notably with regional and </w:t>
            </w:r>
            <w:proofErr w:type="spellStart"/>
            <w:r w:rsidRPr="000D2FEB">
              <w:rPr>
                <w:rFonts w:asciiTheme="minorHAnsi" w:hAnsiTheme="minorHAnsi"/>
                <w:sz w:val="22"/>
                <w:szCs w:val="22"/>
                <w:lang w:val="en-US"/>
              </w:rPr>
              <w:t>subregional</w:t>
            </w:r>
            <w:proofErr w:type="spellEnd"/>
            <w:r w:rsidRPr="000D2FEB">
              <w:rPr>
                <w:rFonts w:asciiTheme="minorHAnsi" w:hAnsiTheme="minorHAnsi"/>
                <w:sz w:val="22"/>
                <w:szCs w:val="22"/>
                <w:lang w:val="en-US"/>
              </w:rPr>
              <w:t xml:space="preserve"> organizations and especially with Regional Initiatives, with a view to enhancing the role and visibility of the Convention in those regions; </w:t>
            </w:r>
          </w:p>
        </w:tc>
        <w:tc>
          <w:tcPr>
            <w:tcW w:w="2829" w:type="dxa"/>
          </w:tcPr>
          <w:p w14:paraId="5412087D" w14:textId="77777777" w:rsidR="00870476" w:rsidRPr="00FD600C" w:rsidRDefault="00870476" w:rsidP="00A03E7B">
            <w:pPr>
              <w:rPr>
                <w:sz w:val="22"/>
                <w:szCs w:val="22"/>
                <w:lang w:val="en-US"/>
              </w:rPr>
            </w:pPr>
          </w:p>
        </w:tc>
      </w:tr>
      <w:tr w:rsidR="00870476" w:rsidRPr="00217036" w14:paraId="7434F117" w14:textId="77777777" w:rsidTr="00DF6A89">
        <w:tc>
          <w:tcPr>
            <w:tcW w:w="3681" w:type="dxa"/>
          </w:tcPr>
          <w:p w14:paraId="721C56A2" w14:textId="77777777" w:rsidR="00870476" w:rsidRPr="00E96A89" w:rsidRDefault="00870476" w:rsidP="00A03E7B">
            <w:pPr>
              <w:pStyle w:val="NormalWeb"/>
              <w:rPr>
                <w:rFonts w:asciiTheme="minorHAnsi" w:hAnsiTheme="minorHAnsi"/>
                <w:sz w:val="22"/>
                <w:szCs w:val="22"/>
                <w:lang w:val="en-US"/>
              </w:rPr>
            </w:pPr>
            <w:r w:rsidRPr="00E96A89">
              <w:rPr>
                <w:rFonts w:asciiTheme="minorHAnsi" w:hAnsiTheme="minorHAnsi"/>
                <w:sz w:val="22"/>
                <w:szCs w:val="22"/>
                <w:lang w:val="en-US"/>
              </w:rPr>
              <w:t xml:space="preserve">XI.10 Wetlands and energy issues </w:t>
            </w:r>
          </w:p>
          <w:p w14:paraId="44346B0E" w14:textId="77777777" w:rsidR="00870476" w:rsidRPr="00E96A89" w:rsidRDefault="00870476" w:rsidP="00A03E7B">
            <w:pPr>
              <w:rPr>
                <w:sz w:val="22"/>
                <w:szCs w:val="22"/>
                <w:lang w:val="en-US"/>
              </w:rPr>
            </w:pPr>
          </w:p>
        </w:tc>
        <w:tc>
          <w:tcPr>
            <w:tcW w:w="7371" w:type="dxa"/>
          </w:tcPr>
          <w:p w14:paraId="29FBC8A3" w14:textId="77777777" w:rsidR="00870476" w:rsidRDefault="00870476" w:rsidP="00A03E7B">
            <w:pPr>
              <w:rPr>
                <w:sz w:val="22"/>
                <w:szCs w:val="22"/>
                <w:lang w:val="en-US"/>
              </w:rPr>
            </w:pPr>
            <w:r w:rsidRPr="00540011">
              <w:rPr>
                <w:sz w:val="22"/>
                <w:szCs w:val="22"/>
                <w:lang w:val="en-US"/>
              </w:rPr>
              <w:t xml:space="preserve">14 WELCOMES the Guidance for addressing the implications for wetlands of policies, plans and activities in the energy sector annexed to this Resolution, and INVITES Contracting Parties to make use of this guidance, adapting it as necessary to suit national conditions and circumstances, within the frameworks of existing regional initiatives and commitments; </w:t>
            </w:r>
          </w:p>
          <w:p w14:paraId="3B4CD2CE" w14:textId="77777777" w:rsidR="00870476" w:rsidRPr="00540011" w:rsidRDefault="00870476" w:rsidP="00A03E7B">
            <w:pPr>
              <w:rPr>
                <w:sz w:val="22"/>
                <w:szCs w:val="22"/>
                <w:lang w:val="en-US"/>
              </w:rPr>
            </w:pPr>
          </w:p>
          <w:p w14:paraId="0D400E84" w14:textId="77777777" w:rsidR="00870476" w:rsidRPr="00540011" w:rsidRDefault="00870476" w:rsidP="00A03E7B">
            <w:pPr>
              <w:rPr>
                <w:sz w:val="22"/>
                <w:szCs w:val="22"/>
                <w:lang w:val="en-US"/>
              </w:rPr>
            </w:pPr>
            <w:r w:rsidRPr="00540011">
              <w:rPr>
                <w:sz w:val="22"/>
                <w:szCs w:val="22"/>
                <w:lang w:val="en-US"/>
              </w:rPr>
              <w:t>15…… and REQUESTS the Secretariat, in collaboration with the Scientific and Technical Review Panel (STRP), the CEPA Oversight Panel, the Regional Initiatives and Contracting Parties to support, resources permitting</w:t>
            </w:r>
            <w:r w:rsidR="007026E7">
              <w:rPr>
                <w:sz w:val="22"/>
                <w:szCs w:val="22"/>
                <w:lang w:val="en-US"/>
              </w:rPr>
              <w:t>, Contracting Parties</w:t>
            </w:r>
            <w:r w:rsidRPr="00540011">
              <w:rPr>
                <w:sz w:val="22"/>
                <w:szCs w:val="22"/>
                <w:lang w:val="en-US"/>
              </w:rPr>
              <w:t xml:space="preserve"> training and capacity building efforts; </w:t>
            </w:r>
          </w:p>
          <w:p w14:paraId="6D79A415" w14:textId="77777777" w:rsidR="00870476" w:rsidRPr="00FD600C" w:rsidRDefault="00870476" w:rsidP="00A03E7B">
            <w:pPr>
              <w:rPr>
                <w:sz w:val="22"/>
                <w:szCs w:val="22"/>
                <w:lang w:val="en-US"/>
              </w:rPr>
            </w:pPr>
          </w:p>
        </w:tc>
        <w:tc>
          <w:tcPr>
            <w:tcW w:w="2829" w:type="dxa"/>
          </w:tcPr>
          <w:p w14:paraId="6E98BA6E" w14:textId="77777777" w:rsidR="00870476" w:rsidRPr="00FD600C" w:rsidRDefault="00054119" w:rsidP="00054119">
            <w:pPr>
              <w:rPr>
                <w:sz w:val="22"/>
                <w:szCs w:val="22"/>
                <w:lang w:val="en-US"/>
              </w:rPr>
            </w:pPr>
            <w:r>
              <w:rPr>
                <w:color w:val="000000" w:themeColor="text1"/>
                <w:sz w:val="22"/>
                <w:szCs w:val="22"/>
                <w:lang w:val="en-US"/>
              </w:rPr>
              <w:t xml:space="preserve">Instructed that no specific request made to RRIs regarding this issue. Assuming this resolution is not time bound to 2012-15 cycle </w:t>
            </w:r>
            <w:r w:rsidRPr="00054119">
              <w:rPr>
                <w:color w:val="000000" w:themeColor="text1"/>
                <w:sz w:val="22"/>
                <w:szCs w:val="22"/>
                <w:lang w:val="en-US"/>
              </w:rPr>
              <w:t xml:space="preserve">(see </w:t>
            </w:r>
            <w:r w:rsidR="00870476" w:rsidRPr="00054119">
              <w:rPr>
                <w:color w:val="000000" w:themeColor="text1"/>
                <w:sz w:val="22"/>
                <w:szCs w:val="22"/>
                <w:lang w:val="en-US"/>
              </w:rPr>
              <w:t>XI.17</w:t>
            </w:r>
            <w:r w:rsidRPr="00054119">
              <w:rPr>
                <w:color w:val="000000" w:themeColor="text1"/>
                <w:sz w:val="22"/>
                <w:szCs w:val="22"/>
                <w:lang w:val="en-US"/>
              </w:rPr>
              <w:t>, which alludes to this), then par</w:t>
            </w:r>
            <w:r>
              <w:rPr>
                <w:color w:val="000000" w:themeColor="text1"/>
                <w:sz w:val="22"/>
                <w:szCs w:val="22"/>
                <w:lang w:val="en-US"/>
              </w:rPr>
              <w:t>a 15 still in force</w:t>
            </w:r>
            <w:r w:rsidRPr="00054119">
              <w:rPr>
                <w:color w:val="000000" w:themeColor="text1"/>
                <w:sz w:val="22"/>
                <w:szCs w:val="22"/>
                <w:lang w:val="en-US"/>
              </w:rPr>
              <w:t>.</w:t>
            </w:r>
          </w:p>
        </w:tc>
      </w:tr>
      <w:tr w:rsidR="00870476" w:rsidRPr="00217036" w14:paraId="14763C7A" w14:textId="77777777" w:rsidTr="00DF6A89">
        <w:tc>
          <w:tcPr>
            <w:tcW w:w="3681" w:type="dxa"/>
          </w:tcPr>
          <w:p w14:paraId="2E11E52F" w14:textId="77777777" w:rsidR="00870476" w:rsidRPr="000D2FEB" w:rsidRDefault="00870476" w:rsidP="00A03E7B">
            <w:pPr>
              <w:rPr>
                <w:sz w:val="22"/>
                <w:szCs w:val="22"/>
                <w:lang w:val="en-US"/>
              </w:rPr>
            </w:pPr>
            <w:r w:rsidRPr="000D2FEB">
              <w:rPr>
                <w:sz w:val="22"/>
                <w:szCs w:val="22"/>
                <w:lang w:val="en-US"/>
              </w:rPr>
              <w:t xml:space="preserve">XI.11 </w:t>
            </w:r>
          </w:p>
          <w:p w14:paraId="7F921037" w14:textId="77777777" w:rsidR="00870476" w:rsidRPr="000D2FEB" w:rsidRDefault="00870476" w:rsidP="00A03E7B">
            <w:pPr>
              <w:rPr>
                <w:sz w:val="22"/>
                <w:szCs w:val="22"/>
                <w:lang w:val="en-US"/>
              </w:rPr>
            </w:pPr>
            <w:r w:rsidRPr="000D2FEB">
              <w:rPr>
                <w:sz w:val="22"/>
                <w:szCs w:val="22"/>
                <w:lang w:val="en-US"/>
              </w:rPr>
              <w:t xml:space="preserve">Principles for the planning and management of urban and peri- urban wetlands </w:t>
            </w:r>
          </w:p>
          <w:p w14:paraId="21850D83" w14:textId="77777777" w:rsidR="00870476" w:rsidRPr="00FD600C" w:rsidRDefault="00870476" w:rsidP="00A03E7B">
            <w:pPr>
              <w:rPr>
                <w:sz w:val="22"/>
                <w:szCs w:val="22"/>
                <w:lang w:val="en-US"/>
              </w:rPr>
            </w:pPr>
          </w:p>
        </w:tc>
        <w:tc>
          <w:tcPr>
            <w:tcW w:w="7371" w:type="dxa"/>
          </w:tcPr>
          <w:p w14:paraId="08641410" w14:textId="77777777" w:rsidR="00870476" w:rsidRPr="002C5718"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27 REQUESTS the Ramsar Secretariat and the Scientific and Technical Review Panel (STRP) to strengthen collaborative initiatives with UN-Habitat and continue to develop collaboration with Ramsar Regional Initiatives, the CBD, Ramsar</w:t>
            </w:r>
            <w:r w:rsidR="00054119">
              <w:rPr>
                <w:rFonts w:asciiTheme="minorHAnsi" w:eastAsia="Calibri" w:hAnsiTheme="minorHAnsi" w:cs="Calibri"/>
                <w:sz w:val="22"/>
                <w:szCs w:val="22"/>
                <w:lang w:val="en-US"/>
              </w:rPr>
              <w:t>’s</w:t>
            </w:r>
            <w:r w:rsidRPr="000D2FEB">
              <w:rPr>
                <w:rFonts w:asciiTheme="minorHAnsi" w:hAnsiTheme="minorHAnsi"/>
                <w:sz w:val="22"/>
                <w:szCs w:val="22"/>
                <w:lang w:val="en-US"/>
              </w:rPr>
              <w:t xml:space="preserve"> IOPs, ICLEI and other appropriate urban stakeholders, including individual cities, in order to foster projects that develop demonstration sites which both benefit urban local communities and promote the wise use of wetlands; </w:t>
            </w:r>
          </w:p>
        </w:tc>
        <w:tc>
          <w:tcPr>
            <w:tcW w:w="2829" w:type="dxa"/>
          </w:tcPr>
          <w:p w14:paraId="02626981" w14:textId="77777777" w:rsidR="00870476" w:rsidRPr="00FD600C" w:rsidRDefault="00054119" w:rsidP="00054119">
            <w:pPr>
              <w:rPr>
                <w:sz w:val="22"/>
                <w:szCs w:val="22"/>
                <w:lang w:val="en-US"/>
              </w:rPr>
            </w:pPr>
            <w:r w:rsidRPr="00054119">
              <w:rPr>
                <w:color w:val="000000" w:themeColor="text1"/>
                <w:sz w:val="22"/>
                <w:szCs w:val="22"/>
                <w:lang w:val="en-US"/>
              </w:rPr>
              <w:t>Instructed that there has been no follow up with RRIs regarding this issue. Assuming this resolution is not time bound to 2012-15 cycle (see XI.17, which alludes to this), then par</w:t>
            </w:r>
            <w:r>
              <w:rPr>
                <w:color w:val="000000" w:themeColor="text1"/>
                <w:sz w:val="22"/>
                <w:szCs w:val="22"/>
                <w:lang w:val="en-US"/>
              </w:rPr>
              <w:t>a 27 still in force</w:t>
            </w:r>
            <w:r w:rsidRPr="00054119">
              <w:rPr>
                <w:color w:val="000000" w:themeColor="text1"/>
                <w:sz w:val="22"/>
                <w:szCs w:val="22"/>
                <w:lang w:val="en-US"/>
              </w:rPr>
              <w:t>.</w:t>
            </w:r>
          </w:p>
        </w:tc>
      </w:tr>
      <w:tr w:rsidR="00870476" w:rsidRPr="00217036" w14:paraId="34C6B65E" w14:textId="77777777" w:rsidTr="00DF6A89">
        <w:tc>
          <w:tcPr>
            <w:tcW w:w="3681" w:type="dxa"/>
          </w:tcPr>
          <w:p w14:paraId="16FADA29" w14:textId="77777777" w:rsidR="00870476" w:rsidRPr="00D1183B" w:rsidRDefault="00870476" w:rsidP="00A03E7B">
            <w:pPr>
              <w:rPr>
                <w:sz w:val="22"/>
                <w:szCs w:val="22"/>
                <w:lang w:val="en-US"/>
              </w:rPr>
            </w:pPr>
            <w:r w:rsidRPr="00D1183B">
              <w:rPr>
                <w:sz w:val="22"/>
                <w:szCs w:val="22"/>
                <w:lang w:val="en-US"/>
              </w:rPr>
              <w:t xml:space="preserve">XI.14 </w:t>
            </w:r>
          </w:p>
          <w:p w14:paraId="3090061A" w14:textId="77777777" w:rsidR="00870476" w:rsidRPr="00D1183B" w:rsidRDefault="00870476" w:rsidP="00A03E7B">
            <w:pPr>
              <w:rPr>
                <w:sz w:val="22"/>
                <w:szCs w:val="22"/>
                <w:lang w:val="en-US"/>
              </w:rPr>
            </w:pPr>
            <w:r w:rsidRPr="00D1183B">
              <w:rPr>
                <w:sz w:val="22"/>
                <w:szCs w:val="22"/>
                <w:lang w:val="en-US"/>
              </w:rPr>
              <w:lastRenderedPageBreak/>
              <w:t xml:space="preserve">Climate change and wetlands: implications for the Ramsar Convention on Wetlands </w:t>
            </w:r>
          </w:p>
          <w:p w14:paraId="2046D78F" w14:textId="77777777" w:rsidR="00870476" w:rsidRPr="00893D6F" w:rsidRDefault="00870476" w:rsidP="00A03E7B">
            <w:pPr>
              <w:rPr>
                <w:sz w:val="22"/>
                <w:szCs w:val="22"/>
                <w:highlight w:val="yellow"/>
                <w:lang w:val="en-US"/>
              </w:rPr>
            </w:pPr>
          </w:p>
        </w:tc>
        <w:tc>
          <w:tcPr>
            <w:tcW w:w="7371" w:type="dxa"/>
          </w:tcPr>
          <w:p w14:paraId="58C840B2" w14:textId="77777777" w:rsidR="00870476" w:rsidRPr="000D2FEB"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lastRenderedPageBreak/>
              <w:t xml:space="preserve">32 ENCOURAGES Contracting Parties and relevant organizations to undertake studies of the role of the conservation and/or restoration of both forested and non-forested wetlands in relation to: i) climate change mitigation, including the </w:t>
            </w:r>
            <w:r w:rsidRPr="000D2FEB">
              <w:rPr>
                <w:rFonts w:asciiTheme="minorHAnsi" w:hAnsiTheme="minorHAnsi"/>
                <w:sz w:val="22"/>
                <w:szCs w:val="22"/>
                <w:lang w:val="en-US"/>
              </w:rPr>
              <w:lastRenderedPageBreak/>
              <w:t xml:space="preserve">role of wetlands in carbon storage and sequestration, greenhouse gas emissions from degrading wetlands, avoidance of greenhouse gas emissions through removals of wetland carbon sinks, and ii) adaptation to climate change, including water regulation at local and regional scales, such as flood risk reduction, water supply and storage, and reducing the impacts of sea level rise and extreme weather events, including extreme rainfall situations; </w:t>
            </w:r>
            <w:r w:rsidRPr="007E10DF">
              <w:rPr>
                <w:rFonts w:asciiTheme="minorHAnsi" w:hAnsiTheme="minorHAnsi"/>
                <w:sz w:val="22"/>
                <w:szCs w:val="22"/>
                <w:lang w:val="en-US"/>
              </w:rPr>
              <w:t>and to cooperate, within Regional Initiatives or other regional cooperation fora, in developing and disseminating knowledge about the results,</w:t>
            </w:r>
            <w:r w:rsidRPr="000D2FEB">
              <w:rPr>
                <w:rFonts w:asciiTheme="minorHAnsi" w:hAnsiTheme="minorHAnsi"/>
                <w:sz w:val="22"/>
                <w:szCs w:val="22"/>
                <w:lang w:val="en-US"/>
              </w:rPr>
              <w:t xml:space="preserve"> and INVITES Contracting Parties and other organizations to make their findings available to the Ramsar Secretariat, the Secretariat of the UNFCCC, and other relevant bodies through existing reporting processes; </w:t>
            </w:r>
          </w:p>
          <w:p w14:paraId="1566CBE7" w14:textId="77777777" w:rsidR="00870476" w:rsidRPr="000D2FEB"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 xml:space="preserve">35 REQUESTS the Scientific and Technical Review Panel (STRP): </w:t>
            </w:r>
          </w:p>
          <w:p w14:paraId="23A90B3A" w14:textId="77777777" w:rsidR="00870476" w:rsidRPr="000D2FEB" w:rsidRDefault="00870476" w:rsidP="00A03E7B">
            <w:pPr>
              <w:pStyle w:val="NormalWeb"/>
              <w:ind w:left="360"/>
              <w:rPr>
                <w:rFonts w:asciiTheme="minorHAnsi" w:hAnsiTheme="minorHAnsi"/>
                <w:sz w:val="22"/>
                <w:szCs w:val="22"/>
                <w:lang w:val="en-US"/>
              </w:rPr>
            </w:pPr>
            <w:r w:rsidRPr="000D2FEB">
              <w:rPr>
                <w:rFonts w:asciiTheme="minorHAnsi" w:hAnsiTheme="minorHAnsi"/>
                <w:sz w:val="22"/>
                <w:szCs w:val="22"/>
                <w:lang w:val="en-US"/>
              </w:rPr>
              <w:t>…</w:t>
            </w:r>
          </w:p>
          <w:p w14:paraId="306F9441" w14:textId="77777777" w:rsidR="00E86014" w:rsidRDefault="00870476" w:rsidP="00E86014">
            <w:pPr>
              <w:pStyle w:val="NormalWeb"/>
              <w:rPr>
                <w:rFonts w:asciiTheme="minorHAnsi" w:hAnsiTheme="minorHAnsi"/>
                <w:sz w:val="22"/>
                <w:szCs w:val="22"/>
                <w:lang w:val="en-US"/>
              </w:rPr>
            </w:pPr>
            <w:r w:rsidRPr="000D2FEB">
              <w:rPr>
                <w:rFonts w:asciiTheme="minorHAnsi" w:hAnsiTheme="minorHAnsi"/>
                <w:sz w:val="22"/>
                <w:szCs w:val="22"/>
                <w:lang w:val="en-US"/>
              </w:rPr>
              <w:t xml:space="preserve">iv) in conjunction with the Secretariat and Ramsar Regional Initiative Networks and </w:t>
            </w:r>
            <w:proofErr w:type="spellStart"/>
            <w:r w:rsidRPr="000D2FEB">
              <w:rPr>
                <w:rFonts w:asciiTheme="minorHAnsi" w:hAnsiTheme="minorHAnsi"/>
                <w:sz w:val="22"/>
                <w:szCs w:val="22"/>
                <w:lang w:val="en-US"/>
              </w:rPr>
              <w:t>Centres</w:t>
            </w:r>
            <w:proofErr w:type="spellEnd"/>
            <w:r w:rsidRPr="000D2FEB">
              <w:rPr>
                <w:rFonts w:asciiTheme="minorHAnsi" w:hAnsiTheme="minorHAnsi"/>
                <w:sz w:val="22"/>
                <w:szCs w:val="22"/>
                <w:lang w:val="en-US"/>
              </w:rPr>
              <w:t xml:space="preserve">, to collaborate with relevant international organizations and conventions, within their respective mandates, to further investigate the potential contribution of wetland ecosystems to climate change mitigation and adaptation through: </w:t>
            </w:r>
          </w:p>
          <w:p w14:paraId="2C120631" w14:textId="41B99DCA" w:rsidR="00E86014" w:rsidRPr="00E86014" w:rsidRDefault="00E86014" w:rsidP="009E4069">
            <w:pPr>
              <w:pStyle w:val="NormalWeb"/>
              <w:numPr>
                <w:ilvl w:val="0"/>
                <w:numId w:val="21"/>
              </w:numPr>
              <w:rPr>
                <w:rFonts w:asciiTheme="minorHAnsi" w:hAnsiTheme="minorHAnsi"/>
                <w:sz w:val="22"/>
                <w:szCs w:val="22"/>
                <w:lang w:val="en-US"/>
              </w:rPr>
            </w:pPr>
            <w:r w:rsidRPr="009E4069">
              <w:rPr>
                <w:rFonts w:asciiTheme="minorHAnsi" w:hAnsiTheme="minorHAnsi"/>
                <w:sz w:val="22"/>
                <w:szCs w:val="22"/>
                <w:lang w:val="en-US"/>
              </w:rPr>
              <w:t xml:space="preserve">preparing advice on assessing social resilience and vulnerability of wetlands to climate change, to complement the existing advice on assessing the biophysical vulnerability of a wetlands to climate change (Ramsar Technical Report No. 5/CBD Technical Series No. 57); </w:t>
            </w:r>
          </w:p>
          <w:p w14:paraId="431FE9B6" w14:textId="77777777" w:rsidR="00E86014" w:rsidRPr="00E86014" w:rsidRDefault="00E86014" w:rsidP="009E4069">
            <w:pPr>
              <w:pStyle w:val="NormalWeb"/>
              <w:numPr>
                <w:ilvl w:val="0"/>
                <w:numId w:val="21"/>
              </w:numPr>
              <w:rPr>
                <w:rFonts w:asciiTheme="minorHAnsi" w:hAnsiTheme="minorHAnsi"/>
                <w:sz w:val="22"/>
                <w:szCs w:val="22"/>
                <w:lang w:val="en-US"/>
              </w:rPr>
            </w:pPr>
            <w:r w:rsidRPr="009E4069">
              <w:rPr>
                <w:rFonts w:asciiTheme="minorHAnsi" w:hAnsiTheme="minorHAnsi"/>
                <w:sz w:val="22"/>
                <w:szCs w:val="22"/>
                <w:lang w:val="en-US"/>
              </w:rPr>
              <w:t xml:space="preserve">preparing advice on ecosystem-based adaptation to climate change for coastal and inland wetlands; and </w:t>
            </w:r>
          </w:p>
          <w:p w14:paraId="7A45AC9D" w14:textId="3A55B380" w:rsidR="00E86014" w:rsidRPr="00E86014" w:rsidRDefault="00E86014" w:rsidP="009E4069">
            <w:pPr>
              <w:pStyle w:val="NormalWeb"/>
              <w:numPr>
                <w:ilvl w:val="0"/>
                <w:numId w:val="21"/>
              </w:numPr>
              <w:rPr>
                <w:rFonts w:asciiTheme="minorHAnsi" w:hAnsiTheme="minorHAnsi"/>
                <w:sz w:val="22"/>
                <w:szCs w:val="22"/>
                <w:lang w:val="en-US"/>
              </w:rPr>
            </w:pPr>
            <w:r w:rsidRPr="009E4069">
              <w:rPr>
                <w:rFonts w:asciiTheme="minorHAnsi" w:hAnsiTheme="minorHAnsi"/>
                <w:sz w:val="22"/>
                <w:szCs w:val="22"/>
                <w:lang w:val="en-US"/>
              </w:rPr>
              <w:t xml:space="preserve">reviewing any relevant advice provide by other MEAs, in particular the outcomes of CBD COP-11; </w:t>
            </w:r>
          </w:p>
          <w:p w14:paraId="4F00461D" w14:textId="77777777" w:rsidR="00870476" w:rsidRPr="001C4373"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 xml:space="preserve">without pre-empting any future decisions of the UNFCCC; </w:t>
            </w:r>
          </w:p>
        </w:tc>
        <w:tc>
          <w:tcPr>
            <w:tcW w:w="2829" w:type="dxa"/>
          </w:tcPr>
          <w:p w14:paraId="588EA731" w14:textId="77777777" w:rsidR="00870476" w:rsidRPr="00054119" w:rsidRDefault="00054119" w:rsidP="00A03E7B">
            <w:pPr>
              <w:rPr>
                <w:color w:val="000000" w:themeColor="text1"/>
                <w:sz w:val="22"/>
                <w:szCs w:val="22"/>
                <w:lang w:val="en-US"/>
              </w:rPr>
            </w:pPr>
            <w:r w:rsidRPr="00054119">
              <w:rPr>
                <w:color w:val="000000" w:themeColor="text1"/>
                <w:sz w:val="22"/>
                <w:szCs w:val="22"/>
                <w:lang w:val="en-US"/>
              </w:rPr>
              <w:lastRenderedPageBreak/>
              <w:t xml:space="preserve">Instructed that there has not been any specific request to </w:t>
            </w:r>
            <w:r w:rsidRPr="00054119">
              <w:rPr>
                <w:color w:val="000000" w:themeColor="text1"/>
                <w:sz w:val="22"/>
                <w:szCs w:val="22"/>
                <w:lang w:val="en-US"/>
              </w:rPr>
              <w:lastRenderedPageBreak/>
              <w:t xml:space="preserve">RRIs to report on matters referred to in para 32. </w:t>
            </w:r>
          </w:p>
          <w:p w14:paraId="73B0E8C6" w14:textId="77777777" w:rsidR="00870476" w:rsidRPr="00054119" w:rsidRDefault="00870476" w:rsidP="00A03E7B">
            <w:pPr>
              <w:rPr>
                <w:color w:val="000000" w:themeColor="text1"/>
                <w:sz w:val="22"/>
                <w:szCs w:val="22"/>
                <w:lang w:val="en-US"/>
              </w:rPr>
            </w:pPr>
          </w:p>
          <w:p w14:paraId="64DEFC4C" w14:textId="77777777" w:rsidR="00054119" w:rsidRDefault="00054119" w:rsidP="00A03E7B">
            <w:pPr>
              <w:rPr>
                <w:color w:val="FF0000"/>
                <w:sz w:val="22"/>
                <w:szCs w:val="22"/>
                <w:lang w:val="en-US"/>
              </w:rPr>
            </w:pPr>
            <w:r w:rsidRPr="00054119">
              <w:rPr>
                <w:color w:val="000000" w:themeColor="text1"/>
                <w:sz w:val="22"/>
                <w:szCs w:val="22"/>
                <w:lang w:val="en-US"/>
              </w:rPr>
              <w:t xml:space="preserve">Instructed that in 2012 the STRP produced a briefing note no climate change (item b), however not much progress on the other items in the 2012-15 triennium. </w:t>
            </w:r>
          </w:p>
          <w:p w14:paraId="5981DFED" w14:textId="77777777" w:rsidR="00054119" w:rsidRDefault="00054119" w:rsidP="00A03E7B">
            <w:pPr>
              <w:rPr>
                <w:color w:val="FF0000"/>
                <w:sz w:val="22"/>
                <w:szCs w:val="22"/>
                <w:lang w:val="en-US"/>
              </w:rPr>
            </w:pPr>
          </w:p>
          <w:p w14:paraId="66786BA6" w14:textId="77777777" w:rsidR="00870476" w:rsidRPr="00FD600C" w:rsidRDefault="00054119" w:rsidP="00A03E7B">
            <w:pPr>
              <w:rPr>
                <w:sz w:val="22"/>
                <w:szCs w:val="22"/>
                <w:lang w:val="en-US"/>
              </w:rPr>
            </w:pPr>
            <w:r w:rsidRPr="00054119">
              <w:rPr>
                <w:color w:val="000000" w:themeColor="text1"/>
                <w:sz w:val="22"/>
                <w:szCs w:val="22"/>
                <w:lang w:val="en-US"/>
              </w:rPr>
              <w:t>Assuming this resolution is not time bound to 2012-15 cycle (see XI.17, which alludes to this), then par</w:t>
            </w:r>
            <w:r>
              <w:rPr>
                <w:color w:val="000000" w:themeColor="text1"/>
                <w:sz w:val="22"/>
                <w:szCs w:val="22"/>
                <w:lang w:val="en-US"/>
              </w:rPr>
              <w:t>as 32 and 35 still in force</w:t>
            </w:r>
            <w:r w:rsidRPr="00054119">
              <w:rPr>
                <w:color w:val="000000" w:themeColor="text1"/>
                <w:sz w:val="22"/>
                <w:szCs w:val="22"/>
                <w:lang w:val="en-US"/>
              </w:rPr>
              <w:t>.</w:t>
            </w:r>
          </w:p>
        </w:tc>
      </w:tr>
      <w:tr w:rsidR="00870476" w:rsidRPr="00541E22" w14:paraId="663D52D0" w14:textId="77777777" w:rsidTr="00DF6A89">
        <w:tc>
          <w:tcPr>
            <w:tcW w:w="3681" w:type="dxa"/>
          </w:tcPr>
          <w:p w14:paraId="464EFFAD" w14:textId="01A7D63E" w:rsidR="00870476" w:rsidRPr="005231E5" w:rsidRDefault="00870476" w:rsidP="004D7A72">
            <w:pPr>
              <w:rPr>
                <w:b/>
                <w:sz w:val="22"/>
                <w:szCs w:val="22"/>
                <w:lang w:val="en-US"/>
              </w:rPr>
            </w:pPr>
            <w:r w:rsidRPr="005231E5">
              <w:rPr>
                <w:b/>
                <w:sz w:val="22"/>
                <w:szCs w:val="22"/>
                <w:lang w:val="en-US"/>
              </w:rPr>
              <w:lastRenderedPageBreak/>
              <w:t>COP</w:t>
            </w:r>
            <w:r w:rsidR="004D7A72">
              <w:rPr>
                <w:b/>
                <w:sz w:val="22"/>
                <w:szCs w:val="22"/>
                <w:lang w:val="en-US"/>
              </w:rPr>
              <w:t>10</w:t>
            </w:r>
          </w:p>
        </w:tc>
        <w:tc>
          <w:tcPr>
            <w:tcW w:w="7371" w:type="dxa"/>
          </w:tcPr>
          <w:p w14:paraId="5FB36D48" w14:textId="77777777" w:rsidR="00870476" w:rsidRPr="000D2FEB" w:rsidRDefault="00870476" w:rsidP="00A03E7B">
            <w:pPr>
              <w:pStyle w:val="NormalWeb"/>
              <w:rPr>
                <w:rFonts w:asciiTheme="minorHAnsi" w:hAnsiTheme="minorHAnsi"/>
                <w:sz w:val="22"/>
                <w:szCs w:val="22"/>
                <w:lang w:val="en-US"/>
              </w:rPr>
            </w:pPr>
          </w:p>
        </w:tc>
        <w:tc>
          <w:tcPr>
            <w:tcW w:w="2829" w:type="dxa"/>
          </w:tcPr>
          <w:p w14:paraId="01745068" w14:textId="77777777" w:rsidR="00870476" w:rsidRDefault="00870476" w:rsidP="00A03E7B">
            <w:pPr>
              <w:rPr>
                <w:sz w:val="22"/>
                <w:szCs w:val="22"/>
                <w:lang w:val="en-US"/>
              </w:rPr>
            </w:pPr>
          </w:p>
        </w:tc>
      </w:tr>
      <w:tr w:rsidR="00870476" w:rsidRPr="00217036" w14:paraId="14C889F1" w14:textId="77777777" w:rsidTr="00DF6A89">
        <w:tc>
          <w:tcPr>
            <w:tcW w:w="3681" w:type="dxa"/>
          </w:tcPr>
          <w:p w14:paraId="599ED5C5" w14:textId="77777777" w:rsidR="00870476" w:rsidRPr="000D2FEB" w:rsidRDefault="00870476" w:rsidP="00A03E7B">
            <w:pPr>
              <w:rPr>
                <w:sz w:val="22"/>
                <w:szCs w:val="22"/>
                <w:lang w:val="en-US"/>
              </w:rPr>
            </w:pPr>
            <w:r w:rsidRPr="000D2FEB">
              <w:rPr>
                <w:bCs/>
                <w:sz w:val="22"/>
                <w:szCs w:val="22"/>
                <w:lang w:val="en-US"/>
              </w:rPr>
              <w:lastRenderedPageBreak/>
              <w:t>X.3</w:t>
            </w:r>
            <w:r w:rsidRPr="000D2FEB">
              <w:rPr>
                <w:bCs/>
                <w:sz w:val="22"/>
                <w:szCs w:val="22"/>
                <w:lang w:val="en-US"/>
              </w:rPr>
              <w:br/>
              <w:t xml:space="preserve">The Changwon Declaration on human well-being and wetlands </w:t>
            </w:r>
          </w:p>
          <w:p w14:paraId="3D7BD490" w14:textId="77777777" w:rsidR="00870476" w:rsidRPr="000D2FEB" w:rsidRDefault="00870476" w:rsidP="00A03E7B">
            <w:pPr>
              <w:rPr>
                <w:sz w:val="22"/>
                <w:szCs w:val="22"/>
                <w:lang w:val="en-US"/>
              </w:rPr>
            </w:pPr>
          </w:p>
        </w:tc>
        <w:tc>
          <w:tcPr>
            <w:tcW w:w="7371" w:type="dxa"/>
          </w:tcPr>
          <w:p w14:paraId="529664AA" w14:textId="77777777" w:rsidR="00870476" w:rsidRPr="000D2FEB"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 xml:space="preserve">14 FURTHER STRONGLY URGES the Standing Committee, the STRP, the Ramsar Secretariat, CEPA National Focal Points, regional initiatives operating under the framework of the Convention, the International Organization Partners (IOPs) and others to </w:t>
            </w:r>
            <w:proofErr w:type="spellStart"/>
            <w:r w:rsidRPr="000D2FEB">
              <w:rPr>
                <w:rFonts w:asciiTheme="minorHAnsi" w:hAnsiTheme="minorHAnsi"/>
                <w:sz w:val="22"/>
                <w:szCs w:val="22"/>
                <w:lang w:val="en-US"/>
              </w:rPr>
              <w:t>utilise</w:t>
            </w:r>
            <w:proofErr w:type="spellEnd"/>
            <w:r w:rsidRPr="000D2FEB">
              <w:rPr>
                <w:rFonts w:asciiTheme="minorHAnsi" w:hAnsiTheme="minorHAnsi"/>
                <w:sz w:val="22"/>
                <w:szCs w:val="22"/>
                <w:lang w:val="en-US"/>
              </w:rPr>
              <w:t xml:space="preserve"> the “Changwon Declaration” in their future work and establishment of priorities, and also to use their own means and all other relevant opportunities actively to promote the Declaration; </w:t>
            </w:r>
          </w:p>
        </w:tc>
        <w:tc>
          <w:tcPr>
            <w:tcW w:w="2829" w:type="dxa"/>
          </w:tcPr>
          <w:p w14:paraId="6EA0AB1E" w14:textId="77777777" w:rsidR="00870476" w:rsidRPr="000D2FEB" w:rsidRDefault="00870476" w:rsidP="00A03E7B">
            <w:pPr>
              <w:rPr>
                <w:sz w:val="22"/>
                <w:szCs w:val="22"/>
                <w:lang w:val="en-US"/>
              </w:rPr>
            </w:pPr>
          </w:p>
          <w:p w14:paraId="24D1842D" w14:textId="77777777" w:rsidR="00870476" w:rsidRDefault="00870476" w:rsidP="00A03E7B">
            <w:pPr>
              <w:rPr>
                <w:sz w:val="22"/>
                <w:szCs w:val="22"/>
                <w:lang w:val="en-US"/>
              </w:rPr>
            </w:pPr>
          </w:p>
        </w:tc>
      </w:tr>
      <w:tr w:rsidR="00870476" w:rsidRPr="00217036" w14:paraId="4CE39024" w14:textId="77777777" w:rsidTr="00DF6A89">
        <w:tc>
          <w:tcPr>
            <w:tcW w:w="3681" w:type="dxa"/>
          </w:tcPr>
          <w:p w14:paraId="6C60A2FD" w14:textId="77777777" w:rsidR="00870476" w:rsidRPr="000D2FEB" w:rsidRDefault="00056D48" w:rsidP="00A03E7B">
            <w:pPr>
              <w:rPr>
                <w:bCs/>
                <w:sz w:val="22"/>
                <w:szCs w:val="22"/>
                <w:lang w:val="en-US"/>
              </w:rPr>
            </w:pPr>
            <w:r>
              <w:rPr>
                <w:bCs/>
                <w:sz w:val="22"/>
                <w:szCs w:val="22"/>
                <w:lang w:val="en-US"/>
              </w:rPr>
              <w:t xml:space="preserve">X.15 </w:t>
            </w:r>
            <w:r w:rsidR="00870476" w:rsidRPr="000D2FEB">
              <w:rPr>
                <w:bCs/>
                <w:sz w:val="22"/>
                <w:szCs w:val="22"/>
                <w:lang w:val="en-US"/>
              </w:rPr>
              <w:t xml:space="preserve">Describing the ecological character of wetlands, and data needs and formats for core inventory: harmonized scientific and technical guidance </w:t>
            </w:r>
          </w:p>
          <w:p w14:paraId="5259A5D7" w14:textId="77777777" w:rsidR="00870476" w:rsidRPr="000D2FEB" w:rsidRDefault="00870476" w:rsidP="00A03E7B">
            <w:pPr>
              <w:rPr>
                <w:sz w:val="22"/>
                <w:szCs w:val="22"/>
                <w:lang w:val="en-US"/>
              </w:rPr>
            </w:pPr>
          </w:p>
        </w:tc>
        <w:tc>
          <w:tcPr>
            <w:tcW w:w="7371" w:type="dxa"/>
          </w:tcPr>
          <w:p w14:paraId="543C1287" w14:textId="77777777" w:rsidR="00870476" w:rsidRPr="000D2FEB" w:rsidRDefault="00870476" w:rsidP="00A03E7B">
            <w:pPr>
              <w:pStyle w:val="NormalWeb"/>
              <w:rPr>
                <w:rFonts w:asciiTheme="minorHAnsi" w:hAnsiTheme="minorHAnsi"/>
                <w:sz w:val="22"/>
                <w:szCs w:val="22"/>
                <w:lang w:val="en-US"/>
              </w:rPr>
            </w:pPr>
            <w:r>
              <w:rPr>
                <w:rFonts w:asciiTheme="minorHAnsi" w:hAnsiTheme="minorHAnsi"/>
                <w:sz w:val="22"/>
                <w:szCs w:val="22"/>
                <w:lang w:val="en-US"/>
              </w:rPr>
              <w:t xml:space="preserve">4 </w:t>
            </w:r>
            <w:r w:rsidRPr="000D2FEB">
              <w:rPr>
                <w:rFonts w:asciiTheme="minorHAnsi" w:hAnsiTheme="minorHAnsi"/>
                <w:sz w:val="22"/>
                <w:szCs w:val="22"/>
                <w:lang w:val="en-US"/>
              </w:rPr>
              <w:t xml:space="preserve">WELCOMES the guidance on “Describing the ecological character of wetlands, and harmonized data formats for core inventory” provided in the annex to this Resolution, and URGES Contracting Parties to make good use of it as appropriate, adapting it as necessary to suit national conditions and circumstances, within the frameworks of existing regional initiatives and commitments and in the context of sustainable development; </w:t>
            </w:r>
          </w:p>
        </w:tc>
        <w:tc>
          <w:tcPr>
            <w:tcW w:w="2829" w:type="dxa"/>
          </w:tcPr>
          <w:p w14:paraId="1F9FB4B0" w14:textId="77777777" w:rsidR="00870476" w:rsidRDefault="00315522" w:rsidP="00315522">
            <w:pPr>
              <w:rPr>
                <w:sz w:val="22"/>
                <w:szCs w:val="22"/>
                <w:lang w:val="en-US"/>
              </w:rPr>
            </w:pPr>
            <w:r w:rsidRPr="00315522">
              <w:rPr>
                <w:color w:val="000000" w:themeColor="text1"/>
                <w:sz w:val="22"/>
                <w:szCs w:val="22"/>
                <w:lang w:val="en-US"/>
              </w:rPr>
              <w:t xml:space="preserve">Instructed that no follow up on whether RRI are using guidance document. </w:t>
            </w:r>
          </w:p>
        </w:tc>
      </w:tr>
      <w:tr w:rsidR="00870476" w:rsidRPr="00217036" w14:paraId="7F875900" w14:textId="77777777" w:rsidTr="00DF6A89">
        <w:tc>
          <w:tcPr>
            <w:tcW w:w="3681" w:type="dxa"/>
          </w:tcPr>
          <w:p w14:paraId="511D8480" w14:textId="77777777" w:rsidR="00870476" w:rsidRPr="002C5718" w:rsidRDefault="00056D48" w:rsidP="00A03E7B">
            <w:pPr>
              <w:rPr>
                <w:bCs/>
                <w:sz w:val="22"/>
                <w:szCs w:val="22"/>
                <w:lang w:val="en-US"/>
              </w:rPr>
            </w:pPr>
            <w:r>
              <w:rPr>
                <w:bCs/>
                <w:sz w:val="22"/>
                <w:szCs w:val="22"/>
                <w:lang w:val="en-US"/>
              </w:rPr>
              <w:t xml:space="preserve">X.17 </w:t>
            </w:r>
            <w:r w:rsidR="00870476" w:rsidRPr="002C5718">
              <w:rPr>
                <w:bCs/>
                <w:sz w:val="22"/>
                <w:szCs w:val="22"/>
                <w:lang w:val="en-US"/>
              </w:rPr>
              <w:t xml:space="preserve">Environmental Impact Assessment and Strategic Environmental Assessment: updated scientific and technical guidance </w:t>
            </w:r>
          </w:p>
          <w:p w14:paraId="74711104" w14:textId="77777777" w:rsidR="00870476" w:rsidRPr="000D2FEB" w:rsidRDefault="00870476" w:rsidP="00A03E7B">
            <w:pPr>
              <w:rPr>
                <w:sz w:val="22"/>
                <w:szCs w:val="22"/>
                <w:lang w:val="en-US"/>
              </w:rPr>
            </w:pPr>
          </w:p>
        </w:tc>
        <w:tc>
          <w:tcPr>
            <w:tcW w:w="7371" w:type="dxa"/>
          </w:tcPr>
          <w:p w14:paraId="30A6C396" w14:textId="08EC528E" w:rsidR="00870476" w:rsidRPr="000D2FEB" w:rsidRDefault="00870476" w:rsidP="00A03E7B">
            <w:pPr>
              <w:pStyle w:val="NormalWeb"/>
              <w:rPr>
                <w:rFonts w:asciiTheme="minorHAnsi" w:hAnsiTheme="minorHAnsi"/>
                <w:sz w:val="22"/>
                <w:szCs w:val="22"/>
                <w:lang w:val="en-US"/>
              </w:rPr>
            </w:pPr>
            <w:r>
              <w:rPr>
                <w:rFonts w:asciiTheme="minorHAnsi" w:hAnsiTheme="minorHAnsi"/>
                <w:sz w:val="22"/>
                <w:szCs w:val="22"/>
                <w:lang w:val="en-US"/>
              </w:rPr>
              <w:t xml:space="preserve">8 </w:t>
            </w:r>
            <w:r w:rsidRPr="000D2FEB">
              <w:rPr>
                <w:rFonts w:asciiTheme="minorHAnsi" w:hAnsiTheme="minorHAnsi"/>
                <w:sz w:val="22"/>
                <w:szCs w:val="22"/>
                <w:lang w:val="en-US"/>
              </w:rPr>
              <w:t xml:space="preserve">WELCOMES the guidelines on Biodiversity-Inclusive Environmental Impact Assessment and Strategic Impact Assessment provided in the annex to this Resolution, and INVITES Contracting Parties to make good use of them as appropriate, including within the frameworks of existing regional initiatives and commitments and in the context of sustainable development, without prejudice to the practices already established by the Parties; </w:t>
            </w:r>
          </w:p>
        </w:tc>
        <w:tc>
          <w:tcPr>
            <w:tcW w:w="2829" w:type="dxa"/>
          </w:tcPr>
          <w:p w14:paraId="08AA1229" w14:textId="77777777" w:rsidR="00870476" w:rsidRDefault="00315522" w:rsidP="00A03E7B">
            <w:pPr>
              <w:rPr>
                <w:sz w:val="22"/>
                <w:szCs w:val="22"/>
                <w:lang w:val="en-US"/>
              </w:rPr>
            </w:pPr>
            <w:r w:rsidRPr="00315522">
              <w:rPr>
                <w:color w:val="000000" w:themeColor="text1"/>
                <w:sz w:val="22"/>
                <w:szCs w:val="22"/>
                <w:lang w:val="en-US"/>
              </w:rPr>
              <w:t>Instructed that no follow up on whether RRI are using guidance document.</w:t>
            </w:r>
            <w:r>
              <w:rPr>
                <w:color w:val="000000" w:themeColor="text1"/>
                <w:sz w:val="22"/>
                <w:szCs w:val="22"/>
                <w:lang w:val="en-US"/>
              </w:rPr>
              <w:t xml:space="preserve"> </w:t>
            </w:r>
          </w:p>
        </w:tc>
      </w:tr>
      <w:tr w:rsidR="00870476" w:rsidRPr="00217036" w14:paraId="7EDF6FD9" w14:textId="77777777" w:rsidTr="00DF6A89">
        <w:tc>
          <w:tcPr>
            <w:tcW w:w="3681" w:type="dxa"/>
          </w:tcPr>
          <w:p w14:paraId="066E585A" w14:textId="77777777" w:rsidR="00870476" w:rsidRPr="000D2FEB" w:rsidRDefault="00056D48" w:rsidP="00A03E7B">
            <w:pPr>
              <w:rPr>
                <w:bCs/>
                <w:sz w:val="22"/>
                <w:szCs w:val="22"/>
                <w:lang w:val="en-US"/>
              </w:rPr>
            </w:pPr>
            <w:r>
              <w:rPr>
                <w:bCs/>
                <w:sz w:val="22"/>
                <w:szCs w:val="22"/>
                <w:lang w:val="en-US"/>
              </w:rPr>
              <w:t xml:space="preserve">X.19 </w:t>
            </w:r>
            <w:r w:rsidR="00870476" w:rsidRPr="000D2FEB">
              <w:rPr>
                <w:bCs/>
                <w:sz w:val="22"/>
                <w:szCs w:val="22"/>
                <w:lang w:val="en-US"/>
              </w:rPr>
              <w:t xml:space="preserve">Wetlands and river basin management: consolidated scientific and technical guidance </w:t>
            </w:r>
          </w:p>
          <w:p w14:paraId="52403834" w14:textId="77777777" w:rsidR="00870476" w:rsidRPr="000D2FEB" w:rsidRDefault="00870476" w:rsidP="00A03E7B">
            <w:pPr>
              <w:rPr>
                <w:sz w:val="22"/>
                <w:szCs w:val="22"/>
                <w:lang w:val="en-US"/>
              </w:rPr>
            </w:pPr>
          </w:p>
        </w:tc>
        <w:tc>
          <w:tcPr>
            <w:tcW w:w="7371" w:type="dxa"/>
          </w:tcPr>
          <w:p w14:paraId="04B915FC" w14:textId="77777777" w:rsidR="00870476" w:rsidRPr="000D2FEB"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 xml:space="preserve">5 NOTES the “Consolidated Guidance for integrating wetland conservation and wise use into river basin management” provided in the annex to this Resolution, and INVITES Contracting Parties to make good use of it as appropriate, adapting it as necessary to suit national conditions and circumstances, within the frameworks of existing regional initiatives and commitments, in the context of sustainable development and in accordance with national institutions and legal frameworks; </w:t>
            </w:r>
          </w:p>
        </w:tc>
        <w:tc>
          <w:tcPr>
            <w:tcW w:w="2829" w:type="dxa"/>
          </w:tcPr>
          <w:p w14:paraId="4B8D1806" w14:textId="77777777" w:rsidR="00870476" w:rsidRDefault="00315522" w:rsidP="00A03E7B">
            <w:pPr>
              <w:rPr>
                <w:sz w:val="22"/>
                <w:szCs w:val="22"/>
                <w:lang w:val="en-US"/>
              </w:rPr>
            </w:pPr>
            <w:r w:rsidRPr="00315522">
              <w:rPr>
                <w:color w:val="000000" w:themeColor="text1"/>
                <w:sz w:val="22"/>
                <w:szCs w:val="22"/>
                <w:lang w:val="en-US"/>
              </w:rPr>
              <w:t>Instructed that no follow up on whether RRI are using guidance document.</w:t>
            </w:r>
            <w:r>
              <w:rPr>
                <w:color w:val="000000" w:themeColor="text1"/>
                <w:sz w:val="22"/>
                <w:szCs w:val="22"/>
                <w:lang w:val="en-US"/>
              </w:rPr>
              <w:t xml:space="preserve"> </w:t>
            </w:r>
          </w:p>
        </w:tc>
      </w:tr>
      <w:tr w:rsidR="00870476" w14:paraId="34FA0473" w14:textId="77777777" w:rsidTr="00DF6A89">
        <w:tc>
          <w:tcPr>
            <w:tcW w:w="3681" w:type="dxa"/>
          </w:tcPr>
          <w:p w14:paraId="5CD2D795" w14:textId="1699F122" w:rsidR="00870476" w:rsidRPr="002C5718" w:rsidRDefault="00870476" w:rsidP="004D7A72">
            <w:pPr>
              <w:rPr>
                <w:b/>
                <w:sz w:val="22"/>
                <w:szCs w:val="22"/>
                <w:lang w:val="en-US"/>
              </w:rPr>
            </w:pPr>
            <w:r w:rsidRPr="002C5718">
              <w:rPr>
                <w:b/>
                <w:sz w:val="22"/>
                <w:szCs w:val="22"/>
                <w:lang w:val="en-US"/>
              </w:rPr>
              <w:t>COP</w:t>
            </w:r>
            <w:r w:rsidR="004D7A72">
              <w:rPr>
                <w:b/>
                <w:sz w:val="22"/>
                <w:szCs w:val="22"/>
                <w:lang w:val="en-US"/>
              </w:rPr>
              <w:t>9</w:t>
            </w:r>
          </w:p>
        </w:tc>
        <w:tc>
          <w:tcPr>
            <w:tcW w:w="7371" w:type="dxa"/>
          </w:tcPr>
          <w:p w14:paraId="1FA563CB" w14:textId="77777777" w:rsidR="00870476" w:rsidRPr="000D2FEB" w:rsidRDefault="00870476" w:rsidP="00A03E7B">
            <w:pPr>
              <w:pStyle w:val="NormalWeb"/>
              <w:rPr>
                <w:rFonts w:asciiTheme="minorHAnsi" w:hAnsiTheme="minorHAnsi"/>
                <w:sz w:val="22"/>
                <w:szCs w:val="22"/>
                <w:lang w:val="en-US"/>
              </w:rPr>
            </w:pPr>
          </w:p>
        </w:tc>
        <w:tc>
          <w:tcPr>
            <w:tcW w:w="2829" w:type="dxa"/>
          </w:tcPr>
          <w:p w14:paraId="26F23578" w14:textId="77777777" w:rsidR="00870476" w:rsidRDefault="00870476" w:rsidP="00A03E7B">
            <w:pPr>
              <w:rPr>
                <w:sz w:val="22"/>
                <w:szCs w:val="22"/>
                <w:lang w:val="en-US"/>
              </w:rPr>
            </w:pPr>
          </w:p>
        </w:tc>
      </w:tr>
      <w:tr w:rsidR="00870476" w:rsidRPr="00217036" w14:paraId="05CEFF57" w14:textId="77777777" w:rsidTr="00DF6A89">
        <w:tc>
          <w:tcPr>
            <w:tcW w:w="3681" w:type="dxa"/>
          </w:tcPr>
          <w:p w14:paraId="76899108" w14:textId="77777777" w:rsidR="00870476" w:rsidRPr="000D2FEB" w:rsidRDefault="00870476" w:rsidP="00A03E7B">
            <w:pPr>
              <w:pStyle w:val="NormalWeb"/>
              <w:rPr>
                <w:rFonts w:asciiTheme="minorHAnsi" w:hAnsiTheme="minorHAnsi"/>
                <w:bCs/>
                <w:sz w:val="22"/>
                <w:szCs w:val="22"/>
                <w:lang w:val="en-US"/>
              </w:rPr>
            </w:pPr>
            <w:r w:rsidRPr="000D2FEB">
              <w:rPr>
                <w:rFonts w:asciiTheme="minorHAnsi" w:hAnsiTheme="minorHAnsi"/>
                <w:bCs/>
                <w:sz w:val="22"/>
                <w:szCs w:val="22"/>
                <w:lang w:val="en-US"/>
              </w:rPr>
              <w:t xml:space="preserve">IX.1 Additional scientific and technical guidance for implementing the Ramsar wise use concept </w:t>
            </w:r>
          </w:p>
          <w:p w14:paraId="168DD745" w14:textId="77777777" w:rsidR="00870476" w:rsidRPr="000D2FEB" w:rsidRDefault="00870476" w:rsidP="00A03E7B">
            <w:pPr>
              <w:rPr>
                <w:sz w:val="22"/>
                <w:szCs w:val="22"/>
                <w:lang w:val="en-US"/>
              </w:rPr>
            </w:pPr>
          </w:p>
        </w:tc>
        <w:tc>
          <w:tcPr>
            <w:tcW w:w="7371" w:type="dxa"/>
          </w:tcPr>
          <w:p w14:paraId="5A88332E" w14:textId="77777777" w:rsidR="00870476" w:rsidRPr="000D2FEB" w:rsidRDefault="00870476" w:rsidP="00A03E7B">
            <w:pPr>
              <w:pStyle w:val="NormalWeb"/>
              <w:rPr>
                <w:rFonts w:asciiTheme="minorHAnsi" w:hAnsiTheme="minorHAnsi"/>
                <w:sz w:val="22"/>
                <w:szCs w:val="22"/>
                <w:lang w:val="en-US"/>
              </w:rPr>
            </w:pPr>
            <w:r>
              <w:rPr>
                <w:rFonts w:asciiTheme="minorHAnsi" w:hAnsiTheme="minorHAnsi"/>
                <w:sz w:val="22"/>
                <w:szCs w:val="22"/>
                <w:lang w:val="en-US"/>
              </w:rPr>
              <w:t xml:space="preserve">7 </w:t>
            </w:r>
            <w:r w:rsidRPr="000D2FEB">
              <w:rPr>
                <w:rFonts w:asciiTheme="minorHAnsi" w:hAnsiTheme="minorHAnsi"/>
                <w:sz w:val="22"/>
                <w:szCs w:val="22"/>
                <w:lang w:val="en-US"/>
              </w:rPr>
              <w:t xml:space="preserve">WELCOMES the frameworks, guidelines and other advice provided as annexes C, D, and E to this Resolution and URGES Contracting Parties to make good use of them as appropriate, adapting them as necessary to suit national conditions and circumstances and within the frameworks of existing regional initiatives and commitments and in the context of sustainable development; </w:t>
            </w:r>
          </w:p>
          <w:p w14:paraId="36203FA2" w14:textId="77777777" w:rsidR="00870476" w:rsidRPr="000D2FEB" w:rsidRDefault="00870476" w:rsidP="00A03E7B">
            <w:pPr>
              <w:pStyle w:val="NormalWeb"/>
              <w:rPr>
                <w:rFonts w:asciiTheme="minorHAnsi" w:hAnsiTheme="minorHAnsi"/>
                <w:sz w:val="22"/>
                <w:szCs w:val="22"/>
                <w:lang w:val="en-US"/>
              </w:rPr>
            </w:pPr>
          </w:p>
        </w:tc>
        <w:tc>
          <w:tcPr>
            <w:tcW w:w="2829" w:type="dxa"/>
          </w:tcPr>
          <w:p w14:paraId="0E35EE1D" w14:textId="77777777" w:rsidR="00870476" w:rsidRPr="000D2FEB" w:rsidRDefault="00243D38" w:rsidP="00A03E7B">
            <w:pPr>
              <w:rPr>
                <w:sz w:val="22"/>
                <w:szCs w:val="22"/>
                <w:lang w:val="en-US"/>
              </w:rPr>
            </w:pPr>
            <w:r w:rsidRPr="00315522">
              <w:rPr>
                <w:color w:val="000000" w:themeColor="text1"/>
                <w:sz w:val="22"/>
                <w:szCs w:val="22"/>
                <w:lang w:val="en-US"/>
              </w:rPr>
              <w:t>Instructed that no follow up on whether RRI are using guidance document.</w:t>
            </w:r>
            <w:r>
              <w:rPr>
                <w:color w:val="000000" w:themeColor="text1"/>
                <w:sz w:val="22"/>
                <w:szCs w:val="22"/>
                <w:lang w:val="en-US"/>
              </w:rPr>
              <w:t xml:space="preserve"> </w:t>
            </w:r>
          </w:p>
          <w:p w14:paraId="45FC9438" w14:textId="77777777" w:rsidR="00870476" w:rsidRDefault="00870476" w:rsidP="00A03E7B">
            <w:pPr>
              <w:pStyle w:val="NormalWeb"/>
              <w:rPr>
                <w:sz w:val="22"/>
                <w:szCs w:val="22"/>
                <w:lang w:val="en-US"/>
              </w:rPr>
            </w:pPr>
          </w:p>
        </w:tc>
      </w:tr>
      <w:tr w:rsidR="00870476" w:rsidRPr="00217036" w14:paraId="4373393E" w14:textId="77777777" w:rsidTr="00DF6A89">
        <w:tc>
          <w:tcPr>
            <w:tcW w:w="3681" w:type="dxa"/>
          </w:tcPr>
          <w:p w14:paraId="71265BA8" w14:textId="77777777" w:rsidR="00870476" w:rsidRPr="000D2FEB" w:rsidRDefault="00870476" w:rsidP="00A03E7B">
            <w:pPr>
              <w:pStyle w:val="NormalWeb"/>
              <w:rPr>
                <w:rFonts w:asciiTheme="minorHAnsi" w:hAnsiTheme="minorHAnsi"/>
                <w:bCs/>
                <w:sz w:val="22"/>
                <w:szCs w:val="22"/>
                <w:lang w:val="en-US"/>
              </w:rPr>
            </w:pPr>
            <w:r w:rsidRPr="000D2FEB">
              <w:rPr>
                <w:rFonts w:asciiTheme="minorHAnsi" w:hAnsiTheme="minorHAnsi"/>
                <w:bCs/>
                <w:sz w:val="22"/>
                <w:szCs w:val="22"/>
                <w:lang w:val="en-US"/>
              </w:rPr>
              <w:lastRenderedPageBreak/>
              <w:t xml:space="preserve">IX.19 The importance of regional wetland symposia in effectively implementing the Ramsar Convention </w:t>
            </w:r>
          </w:p>
          <w:p w14:paraId="67973EEE" w14:textId="77777777" w:rsidR="00870476" w:rsidRPr="000D2FEB" w:rsidRDefault="00870476" w:rsidP="00A03E7B">
            <w:pPr>
              <w:rPr>
                <w:sz w:val="22"/>
                <w:szCs w:val="22"/>
                <w:lang w:val="en-US"/>
              </w:rPr>
            </w:pPr>
          </w:p>
        </w:tc>
        <w:tc>
          <w:tcPr>
            <w:tcW w:w="7371" w:type="dxa"/>
          </w:tcPr>
          <w:p w14:paraId="305616E4" w14:textId="77777777" w:rsidR="00870476" w:rsidRPr="000D2FEB" w:rsidRDefault="00870476" w:rsidP="00A03E7B">
            <w:pPr>
              <w:pStyle w:val="NormalWeb"/>
              <w:rPr>
                <w:rFonts w:asciiTheme="minorHAnsi" w:hAnsiTheme="minorHAnsi"/>
                <w:sz w:val="22"/>
                <w:szCs w:val="22"/>
                <w:lang w:val="en-US"/>
              </w:rPr>
            </w:pPr>
            <w:r w:rsidRPr="000D2FEB">
              <w:rPr>
                <w:rFonts w:asciiTheme="minorHAnsi" w:hAnsiTheme="minorHAnsi"/>
                <w:sz w:val="22"/>
                <w:szCs w:val="22"/>
                <w:lang w:val="en-US"/>
              </w:rPr>
              <w:t xml:space="preserve">15 RECOMMENDS that Contracting Parties, international NGOs, and other relevant scientific and technical organizations consider the usefulness of establishing similar periodic regional scientific and technical fora where they do not already exist, drawing on the experiences of the Asian Wetland Symposia, as a means of increasing scientific and technical support for the implementation of the Convention including, </w:t>
            </w:r>
            <w:r w:rsidRPr="000D2FEB">
              <w:rPr>
                <w:rFonts w:asciiTheme="minorHAnsi" w:hAnsiTheme="minorHAnsi"/>
                <w:i/>
                <w:iCs/>
                <w:sz w:val="22"/>
                <w:szCs w:val="22"/>
                <w:lang w:val="en-US"/>
              </w:rPr>
              <w:t>inter alia</w:t>
            </w:r>
            <w:r w:rsidRPr="000D2FEB">
              <w:rPr>
                <w:rFonts w:asciiTheme="minorHAnsi" w:hAnsiTheme="minorHAnsi"/>
                <w:sz w:val="22"/>
                <w:szCs w:val="22"/>
                <w:lang w:val="en-US"/>
              </w:rPr>
              <w:t xml:space="preserve">, any regional initiatives established under the Convention. </w:t>
            </w:r>
          </w:p>
        </w:tc>
        <w:tc>
          <w:tcPr>
            <w:tcW w:w="2829" w:type="dxa"/>
          </w:tcPr>
          <w:p w14:paraId="71B8E7EA" w14:textId="77777777" w:rsidR="00870476" w:rsidRPr="000D2FEB" w:rsidRDefault="00870476" w:rsidP="00A03E7B">
            <w:pPr>
              <w:rPr>
                <w:sz w:val="22"/>
                <w:szCs w:val="22"/>
                <w:lang w:val="en-US"/>
              </w:rPr>
            </w:pPr>
          </w:p>
          <w:p w14:paraId="5DA5F9F6" w14:textId="77777777" w:rsidR="00870476" w:rsidRDefault="00870476" w:rsidP="00A03E7B">
            <w:pPr>
              <w:rPr>
                <w:sz w:val="22"/>
                <w:szCs w:val="22"/>
                <w:lang w:val="en-US"/>
              </w:rPr>
            </w:pPr>
          </w:p>
        </w:tc>
      </w:tr>
      <w:tr w:rsidR="00870476" w14:paraId="22971B2D" w14:textId="77777777" w:rsidTr="00DF6A89">
        <w:tc>
          <w:tcPr>
            <w:tcW w:w="3681" w:type="dxa"/>
          </w:tcPr>
          <w:p w14:paraId="3667E86D" w14:textId="2AC453C5" w:rsidR="00870476" w:rsidRPr="00E367CA" w:rsidRDefault="00870476" w:rsidP="004D7A72">
            <w:pPr>
              <w:rPr>
                <w:b/>
                <w:sz w:val="22"/>
                <w:szCs w:val="22"/>
                <w:lang w:val="en-US"/>
              </w:rPr>
            </w:pPr>
            <w:r w:rsidRPr="00E367CA">
              <w:rPr>
                <w:b/>
                <w:sz w:val="22"/>
                <w:szCs w:val="22"/>
                <w:lang w:val="en-US"/>
              </w:rPr>
              <w:t>COP</w:t>
            </w:r>
            <w:r w:rsidR="004D7A72">
              <w:rPr>
                <w:b/>
                <w:sz w:val="22"/>
                <w:szCs w:val="22"/>
                <w:lang w:val="en-US"/>
              </w:rPr>
              <w:t>7</w:t>
            </w:r>
          </w:p>
        </w:tc>
        <w:tc>
          <w:tcPr>
            <w:tcW w:w="7371" w:type="dxa"/>
          </w:tcPr>
          <w:p w14:paraId="4B4C5C76" w14:textId="77777777" w:rsidR="00870476" w:rsidRPr="00E367CA" w:rsidRDefault="00870476" w:rsidP="00A03E7B">
            <w:pPr>
              <w:pStyle w:val="NormalWeb"/>
              <w:rPr>
                <w:rFonts w:asciiTheme="minorHAnsi" w:hAnsiTheme="minorHAnsi"/>
                <w:sz w:val="22"/>
                <w:szCs w:val="22"/>
                <w:lang w:val="en-US"/>
              </w:rPr>
            </w:pPr>
          </w:p>
        </w:tc>
        <w:tc>
          <w:tcPr>
            <w:tcW w:w="2829" w:type="dxa"/>
          </w:tcPr>
          <w:p w14:paraId="4B8403EB" w14:textId="77777777" w:rsidR="00870476" w:rsidRPr="00E367CA" w:rsidRDefault="00870476" w:rsidP="00A03E7B">
            <w:pPr>
              <w:rPr>
                <w:sz w:val="22"/>
                <w:szCs w:val="22"/>
                <w:lang w:val="en-US"/>
              </w:rPr>
            </w:pPr>
          </w:p>
        </w:tc>
      </w:tr>
      <w:tr w:rsidR="00870476" w:rsidRPr="00217036" w14:paraId="5F577A94" w14:textId="77777777" w:rsidTr="00DF6A89">
        <w:tc>
          <w:tcPr>
            <w:tcW w:w="3681" w:type="dxa"/>
          </w:tcPr>
          <w:p w14:paraId="19FA47CB" w14:textId="77777777" w:rsidR="00870476" w:rsidRPr="00E367CA" w:rsidRDefault="00056D48" w:rsidP="00A03E7B">
            <w:pPr>
              <w:rPr>
                <w:sz w:val="22"/>
                <w:szCs w:val="22"/>
                <w:lang w:val="en-US"/>
              </w:rPr>
            </w:pPr>
            <w:r>
              <w:rPr>
                <w:sz w:val="22"/>
                <w:szCs w:val="22"/>
                <w:lang w:val="en-US"/>
              </w:rPr>
              <w:t xml:space="preserve">XII.19 </w:t>
            </w:r>
            <w:r w:rsidR="00870476" w:rsidRPr="00E367CA">
              <w:rPr>
                <w:sz w:val="22"/>
                <w:szCs w:val="22"/>
                <w:lang w:val="en-US"/>
              </w:rPr>
              <w:t xml:space="preserve">Guidelines for international cooperation under the Ramsar Convention </w:t>
            </w:r>
          </w:p>
        </w:tc>
        <w:tc>
          <w:tcPr>
            <w:tcW w:w="7371" w:type="dxa"/>
          </w:tcPr>
          <w:p w14:paraId="31A1044C" w14:textId="77777777" w:rsidR="00870476" w:rsidRPr="00E367CA" w:rsidRDefault="00870476" w:rsidP="00A03E7B">
            <w:pPr>
              <w:pStyle w:val="NormalWeb"/>
              <w:rPr>
                <w:rFonts w:asciiTheme="minorHAnsi" w:hAnsiTheme="minorHAnsi"/>
                <w:sz w:val="22"/>
                <w:szCs w:val="22"/>
                <w:lang w:val="en-US"/>
              </w:rPr>
            </w:pPr>
            <w:r w:rsidRPr="00E367CA">
              <w:rPr>
                <w:rFonts w:asciiTheme="minorHAnsi" w:hAnsiTheme="minorHAnsi"/>
                <w:sz w:val="22"/>
                <w:szCs w:val="22"/>
                <w:lang w:val="en-US"/>
              </w:rPr>
              <w:t>No reference to regional initiatives but this res</w:t>
            </w:r>
            <w:r w:rsidR="007026E7">
              <w:rPr>
                <w:rFonts w:asciiTheme="minorHAnsi" w:hAnsiTheme="minorHAnsi"/>
                <w:sz w:val="22"/>
                <w:szCs w:val="22"/>
                <w:lang w:val="en-US"/>
              </w:rPr>
              <w:t>olution is cited throughout other resolutions concerning RRIs.</w:t>
            </w:r>
          </w:p>
        </w:tc>
        <w:tc>
          <w:tcPr>
            <w:tcW w:w="2829" w:type="dxa"/>
          </w:tcPr>
          <w:p w14:paraId="092EB161" w14:textId="77777777" w:rsidR="00870476" w:rsidRPr="00E367CA" w:rsidRDefault="00870476" w:rsidP="00A03E7B">
            <w:pPr>
              <w:rPr>
                <w:sz w:val="22"/>
                <w:szCs w:val="22"/>
                <w:lang w:val="en-US"/>
              </w:rPr>
            </w:pPr>
          </w:p>
        </w:tc>
      </w:tr>
    </w:tbl>
    <w:p w14:paraId="3A065D47" w14:textId="77777777" w:rsidR="00D93227" w:rsidRDefault="00D93227" w:rsidP="00D93227">
      <w:pPr>
        <w:rPr>
          <w:sz w:val="22"/>
          <w:szCs w:val="22"/>
          <w:lang w:val="en-US"/>
        </w:rPr>
      </w:pPr>
    </w:p>
    <w:p w14:paraId="21353AA5" w14:textId="77777777" w:rsidR="00D547CB" w:rsidRDefault="00D547CB">
      <w:pPr>
        <w:rPr>
          <w:b/>
          <w:color w:val="4472C4" w:themeColor="accent1"/>
          <w:sz w:val="22"/>
          <w:szCs w:val="22"/>
          <w:lang w:val="en-US"/>
        </w:rPr>
      </w:pPr>
      <w:r>
        <w:rPr>
          <w:b/>
          <w:color w:val="4472C4" w:themeColor="accent1"/>
          <w:sz w:val="22"/>
          <w:szCs w:val="22"/>
          <w:lang w:val="en-US"/>
        </w:rPr>
        <w:br w:type="page"/>
      </w:r>
    </w:p>
    <w:p w14:paraId="12179B38" w14:textId="77777777" w:rsidR="00787BFA" w:rsidRPr="003B12BC" w:rsidRDefault="003B12BC" w:rsidP="00787BFA">
      <w:pPr>
        <w:ind w:left="360"/>
        <w:jc w:val="center"/>
        <w:rPr>
          <w:b/>
          <w:color w:val="4472C4" w:themeColor="accent1"/>
          <w:sz w:val="22"/>
          <w:szCs w:val="22"/>
          <w:lang w:val="en-US"/>
        </w:rPr>
      </w:pPr>
      <w:r w:rsidRPr="003B12BC">
        <w:rPr>
          <w:b/>
          <w:color w:val="4472C4" w:themeColor="accent1"/>
          <w:sz w:val="22"/>
          <w:szCs w:val="22"/>
          <w:lang w:val="en-US"/>
        </w:rPr>
        <w:lastRenderedPageBreak/>
        <w:t xml:space="preserve">Annex 6: SC Decisions that are still in force </w:t>
      </w:r>
    </w:p>
    <w:p w14:paraId="2EAA6D90" w14:textId="77777777" w:rsidR="00787BFA" w:rsidRPr="00341A3D" w:rsidRDefault="00787BFA" w:rsidP="00787BFA">
      <w:pPr>
        <w:rPr>
          <w:sz w:val="22"/>
          <w:szCs w:val="22"/>
          <w:lang w:val="en-US"/>
        </w:rPr>
      </w:pPr>
      <w:r>
        <w:rPr>
          <w:sz w:val="22"/>
          <w:szCs w:val="22"/>
          <w:lang w:val="en-US"/>
        </w:rPr>
        <w:t xml:space="preserve"> </w:t>
      </w:r>
    </w:p>
    <w:tbl>
      <w:tblPr>
        <w:tblStyle w:val="TableGrid"/>
        <w:tblW w:w="13881" w:type="dxa"/>
        <w:tblLook w:val="04A0" w:firstRow="1" w:lastRow="0" w:firstColumn="1" w:lastColumn="0" w:noHBand="0" w:noVBand="1"/>
      </w:tblPr>
      <w:tblGrid>
        <w:gridCol w:w="4248"/>
        <w:gridCol w:w="6528"/>
        <w:gridCol w:w="3105"/>
      </w:tblGrid>
      <w:tr w:rsidR="00787BFA" w14:paraId="109C755B" w14:textId="77777777" w:rsidTr="00DF6A89">
        <w:tc>
          <w:tcPr>
            <w:tcW w:w="4248" w:type="dxa"/>
          </w:tcPr>
          <w:p w14:paraId="5B3A0C52" w14:textId="77777777" w:rsidR="00787BFA" w:rsidRPr="009F4507" w:rsidRDefault="00787BFA" w:rsidP="00A03E7B">
            <w:pPr>
              <w:rPr>
                <w:b/>
                <w:sz w:val="22"/>
                <w:szCs w:val="22"/>
                <w:lang w:val="en-US"/>
              </w:rPr>
            </w:pPr>
            <w:r w:rsidRPr="009F4507">
              <w:rPr>
                <w:b/>
                <w:sz w:val="22"/>
                <w:szCs w:val="22"/>
                <w:lang w:val="en-US"/>
              </w:rPr>
              <w:t xml:space="preserve">SC Decision </w:t>
            </w:r>
          </w:p>
        </w:tc>
        <w:tc>
          <w:tcPr>
            <w:tcW w:w="6528" w:type="dxa"/>
          </w:tcPr>
          <w:p w14:paraId="5CF78BEA" w14:textId="77777777" w:rsidR="00787BFA" w:rsidRPr="009F4507" w:rsidRDefault="00787BFA" w:rsidP="00A03E7B">
            <w:pPr>
              <w:pStyle w:val="NormalWeb"/>
              <w:rPr>
                <w:rFonts w:asciiTheme="minorHAnsi" w:hAnsiTheme="minorHAnsi"/>
                <w:b/>
                <w:sz w:val="22"/>
                <w:szCs w:val="22"/>
                <w:lang w:val="en-US"/>
              </w:rPr>
            </w:pPr>
            <w:r w:rsidRPr="009F4507">
              <w:rPr>
                <w:rFonts w:asciiTheme="minorHAnsi" w:hAnsiTheme="minorHAnsi"/>
                <w:b/>
                <w:sz w:val="22"/>
                <w:szCs w:val="22"/>
                <w:lang w:val="en-US"/>
              </w:rPr>
              <w:t>Contents</w:t>
            </w:r>
          </w:p>
        </w:tc>
        <w:tc>
          <w:tcPr>
            <w:tcW w:w="3105" w:type="dxa"/>
          </w:tcPr>
          <w:p w14:paraId="1FBF7FF4" w14:textId="77777777" w:rsidR="00787BFA" w:rsidRPr="009F4507" w:rsidRDefault="00787BFA" w:rsidP="00A03E7B">
            <w:pPr>
              <w:rPr>
                <w:b/>
                <w:sz w:val="22"/>
                <w:szCs w:val="22"/>
                <w:lang w:val="en-US"/>
              </w:rPr>
            </w:pPr>
            <w:r w:rsidRPr="009F4507">
              <w:rPr>
                <w:b/>
                <w:sz w:val="22"/>
                <w:szCs w:val="22"/>
                <w:lang w:val="en-US"/>
              </w:rPr>
              <w:t>Note</w:t>
            </w:r>
          </w:p>
        </w:tc>
      </w:tr>
      <w:tr w:rsidR="00787BFA" w:rsidRPr="00217036" w14:paraId="4BA1684C" w14:textId="77777777" w:rsidTr="00DF6A89">
        <w:tc>
          <w:tcPr>
            <w:tcW w:w="4248" w:type="dxa"/>
          </w:tcPr>
          <w:p w14:paraId="5D4EE2FF" w14:textId="77777777" w:rsidR="00787BFA" w:rsidRPr="00426A07" w:rsidRDefault="00787BFA" w:rsidP="00A03E7B">
            <w:pPr>
              <w:rPr>
                <w:sz w:val="22"/>
                <w:szCs w:val="22"/>
                <w:lang w:val="en-US"/>
              </w:rPr>
            </w:pPr>
            <w:r w:rsidRPr="00426A07">
              <w:rPr>
                <w:rFonts w:ascii="Calibri" w:hAnsi="Calibri"/>
                <w:bCs/>
                <w:sz w:val="22"/>
                <w:szCs w:val="22"/>
                <w:lang w:val="en-US"/>
              </w:rPr>
              <w:t>SC57-11</w:t>
            </w:r>
          </w:p>
        </w:tc>
        <w:tc>
          <w:tcPr>
            <w:tcW w:w="6528" w:type="dxa"/>
          </w:tcPr>
          <w:p w14:paraId="366740A8" w14:textId="77777777" w:rsidR="00787BFA" w:rsidRPr="00426A07" w:rsidRDefault="00787BFA" w:rsidP="00A03E7B">
            <w:pPr>
              <w:pStyle w:val="NormalWeb"/>
              <w:rPr>
                <w:lang w:val="en-US"/>
              </w:rPr>
            </w:pPr>
            <w:r w:rsidRPr="00426A07">
              <w:rPr>
                <w:rFonts w:ascii="Calibri" w:hAnsi="Calibri"/>
                <w:bCs/>
                <w:sz w:val="22"/>
                <w:szCs w:val="22"/>
                <w:lang w:val="en-US"/>
              </w:rPr>
              <w:t xml:space="preserve">The Standing Committee requested the Secretariat to review the reporting format and process to prepare the summary assessment requested in paragraph 28 of Resolution XIII.9 and to submit a proposal to the 58th meeting of the Standing Committee. </w:t>
            </w:r>
          </w:p>
        </w:tc>
        <w:tc>
          <w:tcPr>
            <w:tcW w:w="3105" w:type="dxa"/>
          </w:tcPr>
          <w:p w14:paraId="322835B6" w14:textId="77777777" w:rsidR="00787BFA" w:rsidRDefault="00787BFA" w:rsidP="00A03E7B">
            <w:pPr>
              <w:rPr>
                <w:sz w:val="22"/>
                <w:szCs w:val="22"/>
                <w:lang w:val="en-US"/>
              </w:rPr>
            </w:pPr>
          </w:p>
        </w:tc>
      </w:tr>
      <w:tr w:rsidR="00787BFA" w:rsidRPr="00217036" w14:paraId="67C97BE0" w14:textId="77777777" w:rsidTr="00DF6A89">
        <w:tc>
          <w:tcPr>
            <w:tcW w:w="4248" w:type="dxa"/>
          </w:tcPr>
          <w:p w14:paraId="0A2B1C01" w14:textId="77777777" w:rsidR="00787BFA" w:rsidRPr="002B7B96" w:rsidRDefault="00787BFA" w:rsidP="00A03E7B">
            <w:pPr>
              <w:rPr>
                <w:rFonts w:cs="Times New Roman"/>
                <w:sz w:val="22"/>
                <w:szCs w:val="22"/>
                <w:lang w:val="en-US" w:eastAsia="fr-FR"/>
              </w:rPr>
            </w:pPr>
            <w:r w:rsidRPr="004373B4">
              <w:rPr>
                <w:rFonts w:ascii="Calibri" w:hAnsi="Calibri"/>
                <w:bCs/>
                <w:sz w:val="22"/>
                <w:szCs w:val="22"/>
                <w:lang w:val="en-US"/>
              </w:rPr>
              <w:t>SC57-28</w:t>
            </w:r>
          </w:p>
        </w:tc>
        <w:tc>
          <w:tcPr>
            <w:tcW w:w="6528" w:type="dxa"/>
          </w:tcPr>
          <w:p w14:paraId="32DE1786" w14:textId="77777777" w:rsidR="00787BFA" w:rsidRPr="004373B4" w:rsidRDefault="00787BFA" w:rsidP="00A03E7B">
            <w:pPr>
              <w:pStyle w:val="NormalWeb"/>
              <w:rPr>
                <w:lang w:val="en-US"/>
              </w:rPr>
            </w:pPr>
            <w:r w:rsidRPr="004373B4">
              <w:rPr>
                <w:rFonts w:ascii="Calibri" w:hAnsi="Calibri"/>
                <w:bCs/>
                <w:sz w:val="22"/>
                <w:szCs w:val="22"/>
                <w:lang w:val="en-US"/>
              </w:rPr>
              <w:t xml:space="preserve">The Standing Committee recognized the Working Group on Ramsar Regional Initiatives comprising the coordinators of each of the Initiatives and the regional representatives on the Standing Committee. It asked the Group to develop its terms of reference and work programme options for addressing Resolution XIII.9, and present these at SC58. </w:t>
            </w:r>
          </w:p>
        </w:tc>
        <w:tc>
          <w:tcPr>
            <w:tcW w:w="3105" w:type="dxa"/>
          </w:tcPr>
          <w:p w14:paraId="0D393C43" w14:textId="77777777" w:rsidR="00787BFA" w:rsidRDefault="00787BFA" w:rsidP="00A03E7B">
            <w:pPr>
              <w:rPr>
                <w:sz w:val="22"/>
                <w:szCs w:val="22"/>
                <w:lang w:val="en-US"/>
              </w:rPr>
            </w:pPr>
          </w:p>
        </w:tc>
      </w:tr>
      <w:tr w:rsidR="00787BFA" w14:paraId="5C146EB1" w14:textId="77777777" w:rsidTr="00DF6A89">
        <w:tc>
          <w:tcPr>
            <w:tcW w:w="4248" w:type="dxa"/>
          </w:tcPr>
          <w:p w14:paraId="37A240A7" w14:textId="77777777" w:rsidR="00787BFA" w:rsidRPr="002B7B96" w:rsidRDefault="00787BFA" w:rsidP="00A03E7B">
            <w:pPr>
              <w:rPr>
                <w:rFonts w:cs="Times New Roman"/>
                <w:sz w:val="22"/>
                <w:szCs w:val="22"/>
                <w:lang w:val="en-US" w:eastAsia="fr-FR"/>
              </w:rPr>
            </w:pPr>
            <w:r w:rsidRPr="004373B4">
              <w:rPr>
                <w:rFonts w:ascii="Calibri" w:hAnsi="Calibri"/>
                <w:bCs/>
                <w:sz w:val="22"/>
                <w:szCs w:val="22"/>
                <w:lang w:val="en-US"/>
              </w:rPr>
              <w:t>SC57-29</w:t>
            </w:r>
          </w:p>
        </w:tc>
        <w:tc>
          <w:tcPr>
            <w:tcW w:w="6528" w:type="dxa"/>
          </w:tcPr>
          <w:p w14:paraId="66971F4E" w14:textId="77777777" w:rsidR="00787BFA" w:rsidRPr="004373B4" w:rsidRDefault="00787BFA" w:rsidP="00A03E7B">
            <w:pPr>
              <w:pStyle w:val="NormalWeb"/>
              <w:rPr>
                <w:lang w:val="en-US"/>
              </w:rPr>
            </w:pPr>
            <w:r w:rsidRPr="004373B4">
              <w:rPr>
                <w:rFonts w:ascii="Calibri" w:hAnsi="Calibri"/>
                <w:bCs/>
                <w:sz w:val="22"/>
                <w:szCs w:val="22"/>
                <w:lang w:val="en-US"/>
              </w:rPr>
              <w:t xml:space="preserve">The Standing Committee asked the Secretariat to seek further guidance from the Ramsar Legal Adviser on the legal status of Ramsar Regional Initiatives and report back to SC58. </w:t>
            </w:r>
          </w:p>
        </w:tc>
        <w:tc>
          <w:tcPr>
            <w:tcW w:w="3105" w:type="dxa"/>
          </w:tcPr>
          <w:p w14:paraId="4E98EEF8" w14:textId="77777777" w:rsidR="00787BFA" w:rsidRDefault="00787BFA" w:rsidP="00A03E7B">
            <w:pPr>
              <w:rPr>
                <w:sz w:val="22"/>
                <w:szCs w:val="22"/>
                <w:lang w:val="en-US"/>
              </w:rPr>
            </w:pPr>
            <w:r>
              <w:rPr>
                <w:sz w:val="22"/>
                <w:szCs w:val="22"/>
                <w:lang w:val="en-US"/>
              </w:rPr>
              <w:t xml:space="preserve">Completed. </w:t>
            </w:r>
          </w:p>
        </w:tc>
      </w:tr>
      <w:tr w:rsidR="00787BFA" w:rsidRPr="00D90B54" w14:paraId="1918249A" w14:textId="77777777" w:rsidTr="00DF6A89">
        <w:tc>
          <w:tcPr>
            <w:tcW w:w="4248" w:type="dxa"/>
          </w:tcPr>
          <w:p w14:paraId="16E76AE6" w14:textId="77777777" w:rsidR="00787BFA" w:rsidRPr="004373B4" w:rsidRDefault="00787BFA" w:rsidP="00A03E7B">
            <w:pPr>
              <w:rPr>
                <w:rFonts w:ascii="Calibri" w:hAnsi="Calibri"/>
                <w:bCs/>
                <w:sz w:val="22"/>
                <w:szCs w:val="22"/>
                <w:lang w:val="en-US"/>
              </w:rPr>
            </w:pPr>
            <w:r w:rsidRPr="002B7B96">
              <w:rPr>
                <w:rFonts w:cs="Times New Roman"/>
                <w:sz w:val="22"/>
                <w:szCs w:val="22"/>
                <w:lang w:val="en-US" w:eastAsia="fr-FR"/>
              </w:rPr>
              <w:t>SC57-4</w:t>
            </w:r>
            <w:r>
              <w:rPr>
                <w:rFonts w:cs="Times New Roman"/>
                <w:sz w:val="22"/>
                <w:szCs w:val="22"/>
                <w:lang w:val="en-US" w:eastAsia="fr-FR"/>
              </w:rPr>
              <w:t>8</w:t>
            </w:r>
            <w:bookmarkStart w:id="1" w:name="_GoBack"/>
            <w:bookmarkEnd w:id="1"/>
          </w:p>
        </w:tc>
        <w:tc>
          <w:tcPr>
            <w:tcW w:w="6528" w:type="dxa"/>
          </w:tcPr>
          <w:p w14:paraId="46FCB0ED" w14:textId="77777777" w:rsidR="00787BFA" w:rsidRDefault="00787BFA" w:rsidP="00A03E7B">
            <w:pPr>
              <w:pStyle w:val="NormalWeb"/>
              <w:rPr>
                <w:rFonts w:ascii="Calibri" w:hAnsi="Calibri"/>
                <w:bCs/>
                <w:sz w:val="22"/>
                <w:szCs w:val="22"/>
                <w:lang w:val="en-US"/>
              </w:rPr>
            </w:pPr>
            <w:r w:rsidRPr="00924904">
              <w:rPr>
                <w:rFonts w:ascii="Calibri" w:hAnsi="Calibri"/>
                <w:bCs/>
                <w:sz w:val="22"/>
                <w:szCs w:val="22"/>
                <w:lang w:val="en-US"/>
              </w:rPr>
              <w:t xml:space="preserve">Decision SC57-48: The Standing Committee approved the allocation CHF 100K from the core budget to Ramsar Regional Initiatives as per Table 2 of Annex 9.2 of the report of SC57, </w:t>
            </w:r>
            <w:r>
              <w:rPr>
                <w:rFonts w:ascii="Calibri" w:hAnsi="Calibri"/>
                <w:bCs/>
                <w:sz w:val="22"/>
                <w:szCs w:val="22"/>
                <w:lang w:val="en-US"/>
              </w:rPr>
              <w:t>and instructed the Secretariat:</w:t>
            </w:r>
          </w:p>
          <w:p w14:paraId="671C56DA" w14:textId="77777777" w:rsidR="00787BFA" w:rsidRDefault="00787BFA" w:rsidP="00A03E7B">
            <w:pPr>
              <w:pStyle w:val="NormalWeb"/>
              <w:numPr>
                <w:ilvl w:val="0"/>
                <w:numId w:val="8"/>
              </w:numPr>
              <w:rPr>
                <w:rFonts w:ascii="Calibri" w:hAnsi="Calibri"/>
                <w:bCs/>
                <w:sz w:val="22"/>
                <w:szCs w:val="22"/>
                <w:lang w:val="en-US"/>
              </w:rPr>
            </w:pPr>
            <w:r w:rsidRPr="00924904">
              <w:rPr>
                <w:rFonts w:ascii="Calibri" w:hAnsi="Calibri"/>
                <w:bCs/>
                <w:sz w:val="22"/>
                <w:szCs w:val="22"/>
                <w:lang w:val="en-US"/>
              </w:rPr>
              <w:t xml:space="preserve">to contact </w:t>
            </w:r>
            <w:proofErr w:type="spellStart"/>
            <w:r w:rsidRPr="00924904">
              <w:rPr>
                <w:rFonts w:ascii="Calibri" w:hAnsi="Calibri"/>
                <w:bCs/>
                <w:sz w:val="22"/>
                <w:szCs w:val="22"/>
                <w:lang w:val="en-US"/>
              </w:rPr>
              <w:t>SenegalWet</w:t>
            </w:r>
            <w:proofErr w:type="spellEnd"/>
            <w:r w:rsidRPr="00924904">
              <w:rPr>
                <w:rFonts w:ascii="Calibri" w:hAnsi="Calibri"/>
                <w:bCs/>
                <w:sz w:val="22"/>
                <w:szCs w:val="22"/>
                <w:lang w:val="en-US"/>
              </w:rPr>
              <w:t xml:space="preserve"> regarding the unspent balance from previous years and its capacity to implement an additional contribution for 2019;</w:t>
            </w:r>
          </w:p>
          <w:p w14:paraId="453CD278" w14:textId="77777777" w:rsidR="00787BFA" w:rsidRDefault="00787BFA" w:rsidP="00A03E7B">
            <w:pPr>
              <w:pStyle w:val="NormalWeb"/>
              <w:numPr>
                <w:ilvl w:val="0"/>
                <w:numId w:val="8"/>
              </w:numPr>
              <w:rPr>
                <w:rFonts w:ascii="Calibri" w:hAnsi="Calibri"/>
                <w:bCs/>
                <w:sz w:val="22"/>
                <w:szCs w:val="22"/>
                <w:lang w:val="en-US"/>
              </w:rPr>
            </w:pPr>
            <w:r w:rsidRPr="00924904">
              <w:rPr>
                <w:rFonts w:ascii="Calibri" w:hAnsi="Calibri"/>
                <w:bCs/>
                <w:sz w:val="22"/>
                <w:szCs w:val="22"/>
                <w:lang w:val="en-US"/>
              </w:rPr>
              <w:t xml:space="preserve">if this additional allocation of CHF25K was not needed by </w:t>
            </w:r>
            <w:proofErr w:type="spellStart"/>
            <w:r w:rsidRPr="00924904">
              <w:rPr>
                <w:rFonts w:ascii="Calibri" w:hAnsi="Calibri"/>
                <w:bCs/>
                <w:sz w:val="22"/>
                <w:szCs w:val="22"/>
                <w:lang w:val="en-US"/>
              </w:rPr>
              <w:t>SenegalWet</w:t>
            </w:r>
            <w:proofErr w:type="spellEnd"/>
            <w:r w:rsidRPr="00924904">
              <w:rPr>
                <w:rFonts w:ascii="Calibri" w:hAnsi="Calibri"/>
                <w:bCs/>
                <w:sz w:val="22"/>
                <w:szCs w:val="22"/>
                <w:lang w:val="en-US"/>
              </w:rPr>
              <w:t xml:space="preserve"> or the Initiative's representatives do not respond by the Secretariat's deadline, to allocate then the amount equally between the remaining three initiatives listed in Table 2; and</w:t>
            </w:r>
          </w:p>
          <w:p w14:paraId="4963274D" w14:textId="5D07A25B" w:rsidR="00787BFA" w:rsidRPr="00924904" w:rsidRDefault="00787BFA" w:rsidP="00A03E7B">
            <w:pPr>
              <w:pStyle w:val="NormalWeb"/>
              <w:numPr>
                <w:ilvl w:val="0"/>
                <w:numId w:val="8"/>
              </w:numPr>
              <w:rPr>
                <w:rFonts w:ascii="Calibri" w:hAnsi="Calibri"/>
                <w:bCs/>
                <w:sz w:val="22"/>
                <w:szCs w:val="22"/>
                <w:lang w:val="en-US"/>
              </w:rPr>
            </w:pPr>
            <w:r w:rsidRPr="00924904">
              <w:rPr>
                <w:rFonts w:ascii="Calibri" w:hAnsi="Calibri"/>
                <w:bCs/>
                <w:sz w:val="22"/>
                <w:szCs w:val="22"/>
                <w:lang w:val="en-US"/>
              </w:rPr>
              <w:t xml:space="preserve">to report to the Subgroup on Finance </w:t>
            </w:r>
            <w:proofErr w:type="spellStart"/>
            <w:r w:rsidRPr="00924904">
              <w:rPr>
                <w:rFonts w:ascii="Calibri" w:hAnsi="Calibri"/>
                <w:bCs/>
                <w:sz w:val="22"/>
                <w:szCs w:val="22"/>
                <w:lang w:val="en-US"/>
              </w:rPr>
              <w:t>intersessionally</w:t>
            </w:r>
            <w:proofErr w:type="spellEnd"/>
            <w:r w:rsidRPr="00924904">
              <w:rPr>
                <w:rFonts w:ascii="Calibri" w:hAnsi="Calibri"/>
                <w:bCs/>
                <w:sz w:val="22"/>
                <w:szCs w:val="22"/>
                <w:lang w:val="en-US"/>
              </w:rPr>
              <w:t xml:space="preserve"> on the outcome of this situation.</w:t>
            </w:r>
          </w:p>
        </w:tc>
        <w:tc>
          <w:tcPr>
            <w:tcW w:w="3105" w:type="dxa"/>
          </w:tcPr>
          <w:p w14:paraId="7BE7896A" w14:textId="77777777" w:rsidR="001174F9" w:rsidRDefault="00D90B54" w:rsidP="00D90B54">
            <w:pPr>
              <w:rPr>
                <w:i/>
                <w:color w:val="00B0F0"/>
                <w:sz w:val="22"/>
                <w:szCs w:val="22"/>
                <w:lang w:val="en-US"/>
              </w:rPr>
            </w:pPr>
            <w:r w:rsidRPr="00D90B54">
              <w:rPr>
                <w:color w:val="000000" w:themeColor="text1"/>
                <w:sz w:val="22"/>
                <w:szCs w:val="22"/>
                <w:lang w:val="en-US"/>
              </w:rPr>
              <w:t>Completed.</w:t>
            </w:r>
            <w:r>
              <w:rPr>
                <w:color w:val="FF0000"/>
                <w:sz w:val="22"/>
                <w:szCs w:val="22"/>
                <w:lang w:val="en-US"/>
              </w:rPr>
              <w:t xml:space="preserve"> </w:t>
            </w:r>
          </w:p>
          <w:p w14:paraId="7C8F9C8B" w14:textId="77777777" w:rsidR="0067440C" w:rsidRDefault="0067440C" w:rsidP="00A03E7B">
            <w:pPr>
              <w:rPr>
                <w:i/>
                <w:color w:val="00B0F0"/>
                <w:sz w:val="22"/>
                <w:szCs w:val="22"/>
                <w:lang w:val="en-US"/>
              </w:rPr>
            </w:pPr>
          </w:p>
          <w:p w14:paraId="2C757636" w14:textId="77777777" w:rsidR="0067440C" w:rsidRDefault="0067440C" w:rsidP="00A03E7B">
            <w:pPr>
              <w:rPr>
                <w:i/>
                <w:color w:val="00B0F0"/>
                <w:sz w:val="22"/>
                <w:szCs w:val="22"/>
                <w:lang w:val="en-US"/>
              </w:rPr>
            </w:pPr>
          </w:p>
          <w:p w14:paraId="3144B6E2" w14:textId="77777777" w:rsidR="0067440C" w:rsidRDefault="0067440C" w:rsidP="00A03E7B">
            <w:pPr>
              <w:rPr>
                <w:i/>
                <w:color w:val="00B0F0"/>
                <w:sz w:val="22"/>
                <w:szCs w:val="22"/>
                <w:lang w:val="en-US"/>
              </w:rPr>
            </w:pPr>
          </w:p>
          <w:p w14:paraId="3428B798" w14:textId="77777777" w:rsidR="0067440C" w:rsidRPr="0067440C" w:rsidRDefault="0067440C" w:rsidP="00A03E7B">
            <w:pPr>
              <w:rPr>
                <w:color w:val="00B0F0"/>
                <w:sz w:val="22"/>
                <w:szCs w:val="22"/>
                <w:lang w:val="en-US"/>
              </w:rPr>
            </w:pPr>
          </w:p>
        </w:tc>
      </w:tr>
      <w:tr w:rsidR="00787BFA" w:rsidRPr="00217036" w14:paraId="354D2803" w14:textId="77777777" w:rsidTr="00DF6A89">
        <w:tc>
          <w:tcPr>
            <w:tcW w:w="4248" w:type="dxa"/>
          </w:tcPr>
          <w:p w14:paraId="4E40EE61" w14:textId="77777777" w:rsidR="00787BFA" w:rsidRDefault="00787BFA" w:rsidP="00A03E7B">
            <w:pPr>
              <w:rPr>
                <w:sz w:val="22"/>
                <w:szCs w:val="22"/>
                <w:lang w:val="en-US"/>
              </w:rPr>
            </w:pPr>
            <w:r w:rsidRPr="002B7B96">
              <w:rPr>
                <w:rFonts w:cs="Times New Roman"/>
                <w:sz w:val="22"/>
                <w:szCs w:val="22"/>
                <w:lang w:val="en-US" w:eastAsia="fr-FR"/>
              </w:rPr>
              <w:lastRenderedPageBreak/>
              <w:t>SC57-49</w:t>
            </w:r>
          </w:p>
        </w:tc>
        <w:tc>
          <w:tcPr>
            <w:tcW w:w="6528" w:type="dxa"/>
          </w:tcPr>
          <w:p w14:paraId="2C05CF30" w14:textId="77777777" w:rsidR="00787BFA" w:rsidRPr="004373B4" w:rsidRDefault="00787BFA" w:rsidP="00A03E7B">
            <w:pPr>
              <w:rPr>
                <w:rFonts w:cs="Times New Roman"/>
                <w:sz w:val="22"/>
                <w:szCs w:val="22"/>
                <w:lang w:val="en-US" w:eastAsia="fr-FR"/>
              </w:rPr>
            </w:pPr>
            <w:r w:rsidRPr="002B7B96">
              <w:rPr>
                <w:rFonts w:cs="Times New Roman"/>
                <w:sz w:val="22"/>
                <w:szCs w:val="22"/>
                <w:lang w:val="en-US" w:eastAsia="fr-FR"/>
              </w:rPr>
              <w:t>The Standing Committee approved the use of CHF 21K carried forward from the 2018 budget line “Support to Regional Initiatives – General” for the operation of the Working Group on Ramsar Regional Initiatives as per paragraph 9 of Resolution XIII.9 on Ramsar Regional Initiatives 2019-2021.</w:t>
            </w:r>
          </w:p>
        </w:tc>
        <w:tc>
          <w:tcPr>
            <w:tcW w:w="3105" w:type="dxa"/>
          </w:tcPr>
          <w:p w14:paraId="75EA3701" w14:textId="77777777" w:rsidR="00787BFA" w:rsidRDefault="00787BFA" w:rsidP="00A03E7B">
            <w:pPr>
              <w:rPr>
                <w:sz w:val="22"/>
                <w:szCs w:val="22"/>
                <w:lang w:val="en-US"/>
              </w:rPr>
            </w:pPr>
          </w:p>
        </w:tc>
      </w:tr>
      <w:tr w:rsidR="00787BFA" w:rsidRPr="00217036" w14:paraId="7CC2B702" w14:textId="77777777" w:rsidTr="00DF6A89">
        <w:tc>
          <w:tcPr>
            <w:tcW w:w="4248" w:type="dxa"/>
          </w:tcPr>
          <w:p w14:paraId="6C04BE4C" w14:textId="77777777" w:rsidR="00787BFA" w:rsidRPr="00E367CA" w:rsidRDefault="00787BFA" w:rsidP="00A03E7B">
            <w:pPr>
              <w:rPr>
                <w:sz w:val="22"/>
                <w:szCs w:val="22"/>
                <w:lang w:val="en-US"/>
              </w:rPr>
            </w:pPr>
            <w:r>
              <w:rPr>
                <w:sz w:val="22"/>
                <w:szCs w:val="22"/>
                <w:lang w:val="en-US"/>
              </w:rPr>
              <w:t>SC52-16</w:t>
            </w:r>
          </w:p>
        </w:tc>
        <w:tc>
          <w:tcPr>
            <w:tcW w:w="6528" w:type="dxa"/>
          </w:tcPr>
          <w:p w14:paraId="0D056731" w14:textId="77777777" w:rsidR="00787BFA" w:rsidRPr="00E367CA" w:rsidRDefault="00787BFA" w:rsidP="00A03E7B">
            <w:pPr>
              <w:pStyle w:val="NormalWeb"/>
              <w:rPr>
                <w:rFonts w:asciiTheme="minorHAnsi" w:hAnsiTheme="minorHAnsi"/>
                <w:sz w:val="22"/>
                <w:szCs w:val="22"/>
                <w:lang w:val="en-US"/>
              </w:rPr>
            </w:pPr>
            <w:r>
              <w:rPr>
                <w:rFonts w:asciiTheme="minorHAnsi" w:hAnsiTheme="minorHAnsi"/>
                <w:sz w:val="22"/>
                <w:szCs w:val="22"/>
                <w:lang w:val="en-US"/>
              </w:rPr>
              <w:t>The Standing Committee adopted the revised Operational Guidelines, submitted to the 52</w:t>
            </w:r>
            <w:r w:rsidRPr="0004567C">
              <w:rPr>
                <w:rFonts w:asciiTheme="minorHAnsi" w:hAnsiTheme="minorHAnsi"/>
                <w:sz w:val="22"/>
                <w:szCs w:val="22"/>
                <w:vertAlign w:val="superscript"/>
                <w:lang w:val="en-US"/>
              </w:rPr>
              <w:t>nd</w:t>
            </w:r>
            <w:r>
              <w:rPr>
                <w:rFonts w:asciiTheme="minorHAnsi" w:hAnsiTheme="minorHAnsi"/>
                <w:sz w:val="22"/>
                <w:szCs w:val="22"/>
                <w:lang w:val="en-US"/>
              </w:rPr>
              <w:t xml:space="preserve"> Standing Committee by the Working Group for the Ramsar Regional Initiatives, as “Operational Guidelines for Ramsar Regional Initiatives to support the implementation of the Convention”. </w:t>
            </w:r>
          </w:p>
        </w:tc>
        <w:tc>
          <w:tcPr>
            <w:tcW w:w="3105" w:type="dxa"/>
          </w:tcPr>
          <w:p w14:paraId="235486C3" w14:textId="77777777" w:rsidR="00787BFA" w:rsidRDefault="00787BFA" w:rsidP="00A03E7B">
            <w:pPr>
              <w:rPr>
                <w:sz w:val="22"/>
                <w:szCs w:val="22"/>
                <w:lang w:val="en-US"/>
              </w:rPr>
            </w:pPr>
            <w:r>
              <w:rPr>
                <w:sz w:val="22"/>
                <w:szCs w:val="22"/>
                <w:lang w:val="en-US"/>
              </w:rPr>
              <w:t>Current. To be revised for COP14 (as per XIII.9, para 6).</w:t>
            </w:r>
          </w:p>
        </w:tc>
      </w:tr>
      <w:tr w:rsidR="00787BFA" w:rsidRPr="00217036" w14:paraId="2AD3820B" w14:textId="77777777" w:rsidTr="00DF6A89">
        <w:tc>
          <w:tcPr>
            <w:tcW w:w="4248" w:type="dxa"/>
          </w:tcPr>
          <w:p w14:paraId="54F3D591" w14:textId="77777777" w:rsidR="00787BFA" w:rsidRPr="00E367CA" w:rsidRDefault="00787BFA" w:rsidP="00A03E7B">
            <w:pPr>
              <w:rPr>
                <w:sz w:val="22"/>
                <w:szCs w:val="22"/>
                <w:lang w:val="en-US"/>
              </w:rPr>
            </w:pPr>
            <w:r>
              <w:rPr>
                <w:sz w:val="22"/>
                <w:szCs w:val="22"/>
                <w:lang w:val="en-US"/>
              </w:rPr>
              <w:t>SC41-21</w:t>
            </w:r>
          </w:p>
        </w:tc>
        <w:tc>
          <w:tcPr>
            <w:tcW w:w="6528" w:type="dxa"/>
          </w:tcPr>
          <w:p w14:paraId="2954EFAC" w14:textId="77777777" w:rsidR="00787BFA" w:rsidRPr="00E367CA" w:rsidRDefault="00787BFA" w:rsidP="00A03E7B">
            <w:pPr>
              <w:pStyle w:val="NormalWeb"/>
              <w:rPr>
                <w:rFonts w:asciiTheme="minorHAnsi" w:hAnsiTheme="minorHAnsi"/>
                <w:sz w:val="22"/>
                <w:szCs w:val="22"/>
                <w:lang w:val="en-US"/>
              </w:rPr>
            </w:pPr>
            <w:r>
              <w:rPr>
                <w:rFonts w:asciiTheme="minorHAnsi" w:hAnsiTheme="minorHAnsi"/>
                <w:sz w:val="22"/>
                <w:szCs w:val="22"/>
                <w:lang w:val="en-US"/>
              </w:rPr>
              <w:t xml:space="preserve">The Standing Committee approved the improved “Combined format for annual reporting and forward planning” by the Regional Initiatives, as presented in DOC.SC41-13, annex I. </w:t>
            </w:r>
          </w:p>
        </w:tc>
        <w:tc>
          <w:tcPr>
            <w:tcW w:w="3105" w:type="dxa"/>
          </w:tcPr>
          <w:p w14:paraId="3A7B64B7" w14:textId="77777777" w:rsidR="00787BFA" w:rsidRDefault="00787BFA" w:rsidP="00A03E7B">
            <w:pPr>
              <w:rPr>
                <w:sz w:val="22"/>
                <w:szCs w:val="22"/>
                <w:lang w:val="en-US"/>
              </w:rPr>
            </w:pPr>
          </w:p>
        </w:tc>
      </w:tr>
      <w:tr w:rsidR="00787BFA" w:rsidRPr="00217036" w14:paraId="79DBB616" w14:textId="77777777" w:rsidTr="00DF6A89">
        <w:tc>
          <w:tcPr>
            <w:tcW w:w="4248" w:type="dxa"/>
          </w:tcPr>
          <w:p w14:paraId="0F30B75E" w14:textId="77777777" w:rsidR="00787BFA" w:rsidRPr="00E367CA" w:rsidRDefault="00787BFA" w:rsidP="00A03E7B">
            <w:pPr>
              <w:rPr>
                <w:sz w:val="22"/>
                <w:szCs w:val="22"/>
                <w:lang w:val="en-US"/>
              </w:rPr>
            </w:pPr>
            <w:r>
              <w:rPr>
                <w:sz w:val="22"/>
                <w:szCs w:val="22"/>
                <w:lang w:val="en-US"/>
              </w:rPr>
              <w:t>SC41-22</w:t>
            </w:r>
          </w:p>
        </w:tc>
        <w:tc>
          <w:tcPr>
            <w:tcW w:w="6528" w:type="dxa"/>
          </w:tcPr>
          <w:p w14:paraId="5AF73CAE" w14:textId="77777777" w:rsidR="00787BFA" w:rsidRPr="00E367CA" w:rsidRDefault="00787BFA" w:rsidP="00A03E7B">
            <w:pPr>
              <w:pStyle w:val="NormalWeb"/>
              <w:rPr>
                <w:rFonts w:asciiTheme="minorHAnsi" w:hAnsiTheme="minorHAnsi"/>
                <w:sz w:val="22"/>
                <w:szCs w:val="22"/>
                <w:lang w:val="en-US"/>
              </w:rPr>
            </w:pPr>
            <w:r>
              <w:rPr>
                <w:rFonts w:asciiTheme="minorHAnsi" w:hAnsiTheme="minorHAnsi"/>
                <w:sz w:val="22"/>
                <w:szCs w:val="22"/>
                <w:lang w:val="en-US"/>
              </w:rPr>
              <w:t xml:space="preserve">The Standing Committee welcomed the model contract (“letter of agreement”) presented in DOC.SC41-13, annex II, used by the Secretariat to disburse annual core budget allocations to Regional Initiatives, which specifies the reporting requirements, subject to minor textual corrections and an amendment proposed by Panama. </w:t>
            </w:r>
          </w:p>
        </w:tc>
        <w:tc>
          <w:tcPr>
            <w:tcW w:w="3105" w:type="dxa"/>
          </w:tcPr>
          <w:p w14:paraId="59DFCD81" w14:textId="77777777" w:rsidR="00787BFA" w:rsidRDefault="00787BFA" w:rsidP="00A03E7B">
            <w:pPr>
              <w:rPr>
                <w:sz w:val="22"/>
                <w:szCs w:val="22"/>
                <w:lang w:val="en-US"/>
              </w:rPr>
            </w:pPr>
          </w:p>
        </w:tc>
      </w:tr>
      <w:tr w:rsidR="00787BFA" w:rsidRPr="003F6A46" w14:paraId="02D2DF27" w14:textId="77777777" w:rsidTr="00DF6A89">
        <w:tc>
          <w:tcPr>
            <w:tcW w:w="4248" w:type="dxa"/>
          </w:tcPr>
          <w:p w14:paraId="7CE55D3B" w14:textId="77777777" w:rsidR="00787BFA" w:rsidRPr="00E367CA" w:rsidRDefault="00787BFA" w:rsidP="00A03E7B">
            <w:pPr>
              <w:rPr>
                <w:sz w:val="22"/>
                <w:szCs w:val="22"/>
                <w:lang w:val="en-US"/>
              </w:rPr>
            </w:pPr>
            <w:r w:rsidRPr="006642CE">
              <w:rPr>
                <w:sz w:val="22"/>
                <w:szCs w:val="22"/>
                <w:lang w:val="en-US"/>
              </w:rPr>
              <w:t>SC40-17</w:t>
            </w:r>
          </w:p>
        </w:tc>
        <w:tc>
          <w:tcPr>
            <w:tcW w:w="6528" w:type="dxa"/>
          </w:tcPr>
          <w:p w14:paraId="0636885D" w14:textId="77777777" w:rsidR="00787BFA" w:rsidRPr="00E367CA" w:rsidRDefault="00787BFA" w:rsidP="00A03E7B">
            <w:pPr>
              <w:pStyle w:val="NormalWeb"/>
              <w:rPr>
                <w:rFonts w:asciiTheme="minorHAnsi" w:hAnsiTheme="minorHAnsi"/>
                <w:sz w:val="22"/>
                <w:szCs w:val="22"/>
                <w:lang w:val="en-US"/>
              </w:rPr>
            </w:pPr>
            <w:r w:rsidRPr="006642CE">
              <w:rPr>
                <w:rFonts w:asciiTheme="minorHAnsi" w:hAnsiTheme="minorHAnsi"/>
                <w:sz w:val="22"/>
                <w:szCs w:val="22"/>
                <w:lang w:val="en-US"/>
              </w:rPr>
              <w:t>The Standing Committee welcomed the model letter of support as found in Annex III of DOC. SC40-10, with the deletion of the last line of para. 3 of the preamble.</w:t>
            </w:r>
          </w:p>
        </w:tc>
        <w:tc>
          <w:tcPr>
            <w:tcW w:w="3105" w:type="dxa"/>
          </w:tcPr>
          <w:p w14:paraId="751A08DC" w14:textId="77777777" w:rsidR="00787BFA" w:rsidRDefault="00787BFA" w:rsidP="00A03E7B">
            <w:pPr>
              <w:rPr>
                <w:sz w:val="22"/>
                <w:szCs w:val="22"/>
                <w:lang w:val="en-US"/>
              </w:rPr>
            </w:pPr>
          </w:p>
        </w:tc>
      </w:tr>
      <w:tr w:rsidR="00787BFA" w:rsidRPr="00217036" w14:paraId="0E8D31AD" w14:textId="77777777" w:rsidTr="00DF6A89">
        <w:tc>
          <w:tcPr>
            <w:tcW w:w="4248" w:type="dxa"/>
          </w:tcPr>
          <w:p w14:paraId="6EC79F20" w14:textId="77777777" w:rsidR="00787BFA" w:rsidRPr="00E367CA" w:rsidRDefault="00787BFA" w:rsidP="00A03E7B">
            <w:pPr>
              <w:rPr>
                <w:sz w:val="22"/>
                <w:szCs w:val="22"/>
                <w:lang w:val="en-US"/>
              </w:rPr>
            </w:pPr>
            <w:r w:rsidRPr="0003623B">
              <w:rPr>
                <w:sz w:val="22"/>
                <w:szCs w:val="22"/>
                <w:lang w:val="en-US"/>
              </w:rPr>
              <w:t>SC35-8</w:t>
            </w:r>
          </w:p>
        </w:tc>
        <w:tc>
          <w:tcPr>
            <w:tcW w:w="6528" w:type="dxa"/>
          </w:tcPr>
          <w:p w14:paraId="7B308529" w14:textId="77777777" w:rsidR="00787BFA" w:rsidRPr="00E367CA" w:rsidRDefault="00787BFA" w:rsidP="00A03E7B">
            <w:pPr>
              <w:pStyle w:val="NormalWeb"/>
              <w:rPr>
                <w:rFonts w:asciiTheme="minorHAnsi" w:hAnsiTheme="minorHAnsi"/>
                <w:sz w:val="22"/>
                <w:szCs w:val="22"/>
                <w:lang w:val="en-US"/>
              </w:rPr>
            </w:pPr>
            <w:r w:rsidRPr="0003623B">
              <w:rPr>
                <w:rFonts w:asciiTheme="minorHAnsi" w:hAnsiTheme="minorHAnsi"/>
                <w:sz w:val="22"/>
                <w:szCs w:val="22"/>
                <w:lang w:val="en-US"/>
              </w:rPr>
              <w:t>The Standing Committee requested the Secretariat to prepare a single clearly set-out paper on regional initiatives not less than one month in advance of the meetings of the Standing Committee that will permit its full review and consideration, and in order to ensure that this can be done, the SC decided that the deadlines for submission of progress reports and requests for further funding by involved regional initiatives are immutable, and that no such information submitted to the Secretariat after established deadlines will be transmitted to the Standing Committee.</w:t>
            </w:r>
          </w:p>
        </w:tc>
        <w:tc>
          <w:tcPr>
            <w:tcW w:w="3105" w:type="dxa"/>
          </w:tcPr>
          <w:p w14:paraId="0F717474" w14:textId="77777777" w:rsidR="00787BFA" w:rsidRDefault="00787BFA" w:rsidP="00A03E7B">
            <w:pPr>
              <w:rPr>
                <w:sz w:val="22"/>
                <w:szCs w:val="22"/>
                <w:lang w:val="en-US"/>
              </w:rPr>
            </w:pPr>
            <w:r w:rsidRPr="009C4791">
              <w:rPr>
                <w:color w:val="FF0000"/>
                <w:sz w:val="22"/>
                <w:szCs w:val="22"/>
                <w:lang w:val="en-US"/>
              </w:rPr>
              <w:t xml:space="preserve">Verify that this is still current. </w:t>
            </w:r>
          </w:p>
        </w:tc>
      </w:tr>
    </w:tbl>
    <w:p w14:paraId="59B781C7" w14:textId="77777777" w:rsidR="002835D9" w:rsidRPr="001C7493" w:rsidRDefault="002835D9" w:rsidP="00341A3D">
      <w:pPr>
        <w:rPr>
          <w:sz w:val="22"/>
          <w:szCs w:val="22"/>
          <w:lang w:val="en-GB"/>
        </w:rPr>
      </w:pPr>
    </w:p>
    <w:sectPr w:rsidR="002835D9" w:rsidRPr="001C7493" w:rsidSect="00E72F78">
      <w:footerReference w:type="even" r:id="rId8"/>
      <w:footerReference w:type="default" r:id="rId9"/>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306C" w14:textId="77777777" w:rsidR="00217036" w:rsidRDefault="00217036" w:rsidP="00424FCC">
      <w:r>
        <w:separator/>
      </w:r>
    </w:p>
  </w:endnote>
  <w:endnote w:type="continuationSeparator" w:id="0">
    <w:p w14:paraId="061FD772" w14:textId="77777777" w:rsidR="00217036" w:rsidRDefault="00217036" w:rsidP="004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B22A" w14:textId="77777777" w:rsidR="00217036" w:rsidRDefault="00217036" w:rsidP="004C60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4D77D" w14:textId="77777777" w:rsidR="00217036" w:rsidRDefault="00217036" w:rsidP="00C55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F041" w14:textId="6FE992F9" w:rsidR="00217036" w:rsidRDefault="00217036" w:rsidP="004C60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C4EE5CC" w14:textId="77777777" w:rsidR="00217036" w:rsidRDefault="00217036" w:rsidP="00C557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1A3BE" w14:textId="77777777" w:rsidR="00217036" w:rsidRDefault="00217036" w:rsidP="00424FCC">
      <w:r>
        <w:separator/>
      </w:r>
    </w:p>
  </w:footnote>
  <w:footnote w:type="continuationSeparator" w:id="0">
    <w:p w14:paraId="40B74C3C" w14:textId="77777777" w:rsidR="00217036" w:rsidRDefault="00217036" w:rsidP="00424FCC">
      <w:r>
        <w:continuationSeparator/>
      </w:r>
    </w:p>
  </w:footnote>
  <w:footnote w:id="1">
    <w:p w14:paraId="0BE382DC" w14:textId="77777777" w:rsidR="00217036" w:rsidRPr="00020857" w:rsidRDefault="00217036">
      <w:pPr>
        <w:pStyle w:val="FootnoteText"/>
        <w:rPr>
          <w:sz w:val="20"/>
          <w:szCs w:val="20"/>
          <w:lang w:val="en-US"/>
        </w:rPr>
      </w:pPr>
      <w:r w:rsidRPr="00020857">
        <w:rPr>
          <w:rStyle w:val="FootnoteReference"/>
          <w:sz w:val="20"/>
          <w:szCs w:val="20"/>
        </w:rPr>
        <w:footnoteRef/>
      </w:r>
      <w:r w:rsidRPr="00020857">
        <w:rPr>
          <w:sz w:val="20"/>
          <w:szCs w:val="20"/>
          <w:lang w:val="en-US"/>
        </w:rPr>
        <w:t xml:space="preserve"> Or not inconsistent. </w:t>
      </w:r>
      <w:r>
        <w:rPr>
          <w:sz w:val="20"/>
          <w:szCs w:val="20"/>
          <w:lang w:val="en-US"/>
        </w:rPr>
        <w:t xml:space="preserve">This includes paragraphs for which there is no equivalent in XIII.9, but which are not inconsistent with that Resolution per se. </w:t>
      </w:r>
    </w:p>
  </w:footnote>
  <w:footnote w:id="2">
    <w:p w14:paraId="321FF2BC" w14:textId="77777777" w:rsidR="00217036" w:rsidRPr="00F85FDD" w:rsidRDefault="00217036">
      <w:pPr>
        <w:pStyle w:val="FootnoteText"/>
        <w:rPr>
          <w:sz w:val="20"/>
          <w:szCs w:val="20"/>
          <w:lang w:val="en-US"/>
        </w:rPr>
      </w:pPr>
      <w:r w:rsidRPr="00F85FDD">
        <w:rPr>
          <w:rStyle w:val="FootnoteReference"/>
          <w:sz w:val="20"/>
          <w:szCs w:val="20"/>
        </w:rPr>
        <w:footnoteRef/>
      </w:r>
      <w:r w:rsidRPr="00F85FDD">
        <w:rPr>
          <w:sz w:val="20"/>
          <w:szCs w:val="20"/>
          <w:lang w:val="en-US"/>
        </w:rPr>
        <w:t xml:space="preserve"> Defined as time bound or </w:t>
      </w:r>
      <w:r>
        <w:rPr>
          <w:sz w:val="20"/>
          <w:szCs w:val="20"/>
          <w:lang w:val="en-US"/>
        </w:rPr>
        <w:t xml:space="preserve">referring to a task that has otherwise been completed. </w:t>
      </w:r>
    </w:p>
  </w:footnote>
  <w:footnote w:id="3">
    <w:p w14:paraId="0EAFF4B6" w14:textId="77777777" w:rsidR="00217036" w:rsidRPr="00020857" w:rsidRDefault="00217036">
      <w:pPr>
        <w:pStyle w:val="FootnoteText"/>
        <w:rPr>
          <w:sz w:val="20"/>
          <w:szCs w:val="20"/>
          <w:lang w:val="en-US"/>
        </w:rPr>
      </w:pPr>
      <w:r w:rsidRPr="00020857">
        <w:rPr>
          <w:rStyle w:val="FootnoteReference"/>
          <w:sz w:val="20"/>
          <w:szCs w:val="20"/>
        </w:rPr>
        <w:footnoteRef/>
      </w:r>
      <w:r w:rsidRPr="00020857">
        <w:rPr>
          <w:sz w:val="20"/>
          <w:szCs w:val="20"/>
          <w:lang w:val="en-US"/>
        </w:rPr>
        <w:t xml:space="preserve"> NB does not mention RRIs but is referred to in Resolutions concerning RRIs. </w:t>
      </w:r>
    </w:p>
  </w:footnote>
  <w:footnote w:id="4">
    <w:p w14:paraId="0F4B9880" w14:textId="77777777" w:rsidR="00217036" w:rsidRPr="00AB1326" w:rsidRDefault="00217036" w:rsidP="00474CC4">
      <w:pPr>
        <w:pStyle w:val="FootnoteText"/>
        <w:rPr>
          <w:sz w:val="20"/>
          <w:szCs w:val="20"/>
          <w:lang w:val="en-US"/>
        </w:rPr>
      </w:pPr>
      <w:r w:rsidRPr="00AB1326">
        <w:rPr>
          <w:rStyle w:val="FootnoteReference"/>
          <w:sz w:val="20"/>
          <w:szCs w:val="20"/>
        </w:rPr>
        <w:footnoteRef/>
      </w:r>
      <w:r w:rsidRPr="00AB1326">
        <w:rPr>
          <w:sz w:val="20"/>
          <w:szCs w:val="20"/>
          <w:lang w:val="en-US"/>
        </w:rPr>
        <w:t xml:space="preserve"> These are listed in Part 2(a) of this document.</w:t>
      </w:r>
    </w:p>
  </w:footnote>
  <w:footnote w:id="5">
    <w:p w14:paraId="62262AAF" w14:textId="77777777" w:rsidR="00217036" w:rsidRPr="00F611E9" w:rsidRDefault="00217036" w:rsidP="002835D9">
      <w:pPr>
        <w:pStyle w:val="FootnoteText"/>
        <w:rPr>
          <w:lang w:val="en-US"/>
        </w:rPr>
      </w:pPr>
      <w:r w:rsidRPr="00020857">
        <w:rPr>
          <w:rStyle w:val="FootnoteReference"/>
          <w:sz w:val="20"/>
          <w:szCs w:val="20"/>
        </w:rPr>
        <w:footnoteRef/>
      </w:r>
      <w:r w:rsidRPr="00020857">
        <w:rPr>
          <w:sz w:val="20"/>
          <w:szCs w:val="20"/>
          <w:lang w:val="en-US"/>
        </w:rPr>
        <w:t xml:space="preserve"> Equivalent paragraph numbers – they are not numbered in the Recommendation.</w:t>
      </w:r>
      <w:r w:rsidRPr="00F611E9">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B3D"/>
    <w:multiLevelType w:val="hybridMultilevel"/>
    <w:tmpl w:val="B2A4BD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BF1034"/>
    <w:multiLevelType w:val="multilevel"/>
    <w:tmpl w:val="41D0572C"/>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ascii="Garamond" w:hAnsi="Garamond"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120A5"/>
    <w:multiLevelType w:val="multilevel"/>
    <w:tmpl w:val="373E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A2C0C"/>
    <w:multiLevelType w:val="hybridMultilevel"/>
    <w:tmpl w:val="F2AEB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05188"/>
    <w:multiLevelType w:val="hybridMultilevel"/>
    <w:tmpl w:val="A4AE258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1D2C43"/>
    <w:multiLevelType w:val="hybridMultilevel"/>
    <w:tmpl w:val="9B30EF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2653BA"/>
    <w:multiLevelType w:val="hybridMultilevel"/>
    <w:tmpl w:val="26AAB362"/>
    <w:lvl w:ilvl="0" w:tplc="9CFE56C4">
      <w:start w:val="2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405011A"/>
    <w:multiLevelType w:val="hybridMultilevel"/>
    <w:tmpl w:val="FEFCBD3C"/>
    <w:lvl w:ilvl="0" w:tplc="EB3631EE">
      <w:start w:val="1"/>
      <w:numFmt w:val="bullet"/>
      <w:lvlText w:val="-"/>
      <w:lvlJc w:val="left"/>
      <w:pPr>
        <w:ind w:left="360" w:hanging="360"/>
      </w:pPr>
      <w:rPr>
        <w:rFonts w:ascii="Calibri" w:eastAsia="Calibri" w:hAnsi="Calibri"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D66F02"/>
    <w:multiLevelType w:val="hybridMultilevel"/>
    <w:tmpl w:val="CDD4F212"/>
    <w:lvl w:ilvl="0" w:tplc="040C0001">
      <w:start w:val="1"/>
      <w:numFmt w:val="bullet"/>
      <w:lvlText w:val=""/>
      <w:lvlJc w:val="left"/>
      <w:pPr>
        <w:ind w:left="1080" w:hanging="360"/>
      </w:pPr>
      <w:rPr>
        <w:rFonts w:ascii="Symbol" w:hAnsi="Symbol" w:hint="default"/>
      </w:rPr>
    </w:lvl>
    <w:lvl w:ilvl="1" w:tplc="EB3631EE">
      <w:start w:val="1"/>
      <w:numFmt w:val="bullet"/>
      <w:lvlText w:val="-"/>
      <w:lvlJc w:val="left"/>
      <w:pPr>
        <w:ind w:left="1800" w:hanging="360"/>
      </w:pPr>
      <w:rPr>
        <w:rFonts w:ascii="Calibri" w:eastAsia="Calibri" w:hAnsi="Calibri" w:hint="default"/>
        <w:sz w:val="22"/>
        <w:szCs w:val="22"/>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A317DFB"/>
    <w:multiLevelType w:val="hybridMultilevel"/>
    <w:tmpl w:val="076AD84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5F13E21"/>
    <w:multiLevelType w:val="hybridMultilevel"/>
    <w:tmpl w:val="8C2E55CA"/>
    <w:lvl w:ilvl="0" w:tplc="040C0019">
      <w:start w:val="1"/>
      <w:numFmt w:val="lowerLetter"/>
      <w:lvlText w:val="%1."/>
      <w:lvlJc w:val="left"/>
      <w:pPr>
        <w:ind w:left="780" w:hanging="360"/>
      </w:pPr>
      <w:rPr>
        <w:rFonts w:hint="default"/>
      </w:rPr>
    </w:lvl>
    <w:lvl w:ilvl="1" w:tplc="040C001B">
      <w:start w:val="1"/>
      <w:numFmt w:val="lowerRoman"/>
      <w:lvlText w:val="%2."/>
      <w:lvlJc w:val="right"/>
      <w:pPr>
        <w:ind w:left="1500" w:hanging="360"/>
      </w:pPr>
      <w:rPr>
        <w:rFonts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57313714"/>
    <w:multiLevelType w:val="hybridMultilevel"/>
    <w:tmpl w:val="836ADC9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3" w15:restartNumberingAfterBreak="0">
    <w:nsid w:val="5D2F0DF2"/>
    <w:multiLevelType w:val="multilevel"/>
    <w:tmpl w:val="373E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C63C3C"/>
    <w:multiLevelType w:val="hybridMultilevel"/>
    <w:tmpl w:val="22068F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68E024D4"/>
    <w:multiLevelType w:val="hybridMultilevel"/>
    <w:tmpl w:val="06949B1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145F9C"/>
    <w:multiLevelType w:val="hybridMultilevel"/>
    <w:tmpl w:val="6FD854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CB07A4"/>
    <w:multiLevelType w:val="multilevel"/>
    <w:tmpl w:val="373EB6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F2D6632"/>
    <w:multiLevelType w:val="hybridMultilevel"/>
    <w:tmpl w:val="3E2C826A"/>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0"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6"/>
  </w:num>
  <w:num w:numId="2">
    <w:abstractNumId w:val="18"/>
  </w:num>
  <w:num w:numId="3">
    <w:abstractNumId w:val="1"/>
  </w:num>
  <w:num w:numId="4">
    <w:abstractNumId w:val="10"/>
  </w:num>
  <w:num w:numId="5">
    <w:abstractNumId w:val="12"/>
  </w:num>
  <w:num w:numId="6">
    <w:abstractNumId w:val="4"/>
  </w:num>
  <w:num w:numId="7">
    <w:abstractNumId w:val="0"/>
  </w:num>
  <w:num w:numId="8">
    <w:abstractNumId w:val="15"/>
  </w:num>
  <w:num w:numId="9">
    <w:abstractNumId w:val="3"/>
  </w:num>
  <w:num w:numId="10">
    <w:abstractNumId w:val="14"/>
  </w:num>
  <w:num w:numId="11">
    <w:abstractNumId w:val="7"/>
  </w:num>
  <w:num w:numId="12">
    <w:abstractNumId w:val="2"/>
  </w:num>
  <w:num w:numId="13">
    <w:abstractNumId w:val="17"/>
  </w:num>
  <w:num w:numId="14">
    <w:abstractNumId w:val="13"/>
  </w:num>
  <w:num w:numId="15">
    <w:abstractNumId w:val="5"/>
  </w:num>
  <w:num w:numId="16">
    <w:abstractNumId w:val="6"/>
  </w:num>
  <w:num w:numId="17">
    <w:abstractNumId w:val="11"/>
  </w:num>
  <w:num w:numId="18">
    <w:abstractNumId w:val="19"/>
  </w:num>
  <w:num w:numId="19">
    <w:abstractNumId w:val="9"/>
  </w:num>
  <w:num w:numId="20">
    <w:abstractNumId w:val="8"/>
  </w:num>
  <w:num w:numId="2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CC"/>
    <w:rsid w:val="00000794"/>
    <w:rsid w:val="000025F4"/>
    <w:rsid w:val="00003560"/>
    <w:rsid w:val="000048C2"/>
    <w:rsid w:val="00011629"/>
    <w:rsid w:val="00012ACB"/>
    <w:rsid w:val="00013ADE"/>
    <w:rsid w:val="00013E43"/>
    <w:rsid w:val="00015EAC"/>
    <w:rsid w:val="00020857"/>
    <w:rsid w:val="000255D6"/>
    <w:rsid w:val="00025F06"/>
    <w:rsid w:val="00025F24"/>
    <w:rsid w:val="00033391"/>
    <w:rsid w:val="00033E87"/>
    <w:rsid w:val="0003623B"/>
    <w:rsid w:val="00036AEA"/>
    <w:rsid w:val="00042AF8"/>
    <w:rsid w:val="0004567C"/>
    <w:rsid w:val="00045E09"/>
    <w:rsid w:val="00046EDD"/>
    <w:rsid w:val="00054119"/>
    <w:rsid w:val="0005578D"/>
    <w:rsid w:val="00056D48"/>
    <w:rsid w:val="00060F22"/>
    <w:rsid w:val="00065234"/>
    <w:rsid w:val="0006600A"/>
    <w:rsid w:val="00074F9D"/>
    <w:rsid w:val="00075DFE"/>
    <w:rsid w:val="00077556"/>
    <w:rsid w:val="000814EE"/>
    <w:rsid w:val="000815C7"/>
    <w:rsid w:val="000828F8"/>
    <w:rsid w:val="0008299A"/>
    <w:rsid w:val="00083290"/>
    <w:rsid w:val="00085CBD"/>
    <w:rsid w:val="000916ED"/>
    <w:rsid w:val="0009513B"/>
    <w:rsid w:val="0009618C"/>
    <w:rsid w:val="000A092A"/>
    <w:rsid w:val="000A458F"/>
    <w:rsid w:val="000A726A"/>
    <w:rsid w:val="000A7A61"/>
    <w:rsid w:val="000B1023"/>
    <w:rsid w:val="000B2543"/>
    <w:rsid w:val="000B7246"/>
    <w:rsid w:val="000B72F0"/>
    <w:rsid w:val="000C130A"/>
    <w:rsid w:val="000C1D77"/>
    <w:rsid w:val="000C2ED4"/>
    <w:rsid w:val="000D1379"/>
    <w:rsid w:val="000D2106"/>
    <w:rsid w:val="000D4D10"/>
    <w:rsid w:val="000E2E84"/>
    <w:rsid w:val="000E6CCD"/>
    <w:rsid w:val="000F19FD"/>
    <w:rsid w:val="000F1B84"/>
    <w:rsid w:val="000F516E"/>
    <w:rsid w:val="000F761D"/>
    <w:rsid w:val="0010111D"/>
    <w:rsid w:val="00101999"/>
    <w:rsid w:val="001100BD"/>
    <w:rsid w:val="001174F9"/>
    <w:rsid w:val="0012147C"/>
    <w:rsid w:val="001268B4"/>
    <w:rsid w:val="00132096"/>
    <w:rsid w:val="00132B93"/>
    <w:rsid w:val="00136295"/>
    <w:rsid w:val="00137A8D"/>
    <w:rsid w:val="00137ECC"/>
    <w:rsid w:val="001436E3"/>
    <w:rsid w:val="00145863"/>
    <w:rsid w:val="00155128"/>
    <w:rsid w:val="0016366B"/>
    <w:rsid w:val="00166F3C"/>
    <w:rsid w:val="00171C1F"/>
    <w:rsid w:val="00175A95"/>
    <w:rsid w:val="00176674"/>
    <w:rsid w:val="00180C7C"/>
    <w:rsid w:val="00183216"/>
    <w:rsid w:val="00185C04"/>
    <w:rsid w:val="00186677"/>
    <w:rsid w:val="00186C32"/>
    <w:rsid w:val="0018755C"/>
    <w:rsid w:val="001A222B"/>
    <w:rsid w:val="001A3A29"/>
    <w:rsid w:val="001B03E9"/>
    <w:rsid w:val="001B25D3"/>
    <w:rsid w:val="001B71AD"/>
    <w:rsid w:val="001B7A93"/>
    <w:rsid w:val="001C13CF"/>
    <w:rsid w:val="001C4373"/>
    <w:rsid w:val="001C7493"/>
    <w:rsid w:val="001D0CDA"/>
    <w:rsid w:val="001D29CA"/>
    <w:rsid w:val="001D3030"/>
    <w:rsid w:val="001D3CFA"/>
    <w:rsid w:val="001D4C9F"/>
    <w:rsid w:val="001D59B8"/>
    <w:rsid w:val="001E3FE1"/>
    <w:rsid w:val="001F2053"/>
    <w:rsid w:val="00201920"/>
    <w:rsid w:val="00202C5C"/>
    <w:rsid w:val="00203410"/>
    <w:rsid w:val="00207E1D"/>
    <w:rsid w:val="00217036"/>
    <w:rsid w:val="0021782A"/>
    <w:rsid w:val="00221598"/>
    <w:rsid w:val="00223D29"/>
    <w:rsid w:val="0022619F"/>
    <w:rsid w:val="00226260"/>
    <w:rsid w:val="00226658"/>
    <w:rsid w:val="00243D38"/>
    <w:rsid w:val="0025104A"/>
    <w:rsid w:val="002513B6"/>
    <w:rsid w:val="00254F6A"/>
    <w:rsid w:val="002559DE"/>
    <w:rsid w:val="0026225C"/>
    <w:rsid w:val="002636F8"/>
    <w:rsid w:val="00267507"/>
    <w:rsid w:val="00267F59"/>
    <w:rsid w:val="002768A0"/>
    <w:rsid w:val="00276D12"/>
    <w:rsid w:val="0027711E"/>
    <w:rsid w:val="002835D9"/>
    <w:rsid w:val="0028619E"/>
    <w:rsid w:val="00292165"/>
    <w:rsid w:val="00292D7A"/>
    <w:rsid w:val="00292D7B"/>
    <w:rsid w:val="002A0C77"/>
    <w:rsid w:val="002A2A09"/>
    <w:rsid w:val="002A3CD1"/>
    <w:rsid w:val="002A7E85"/>
    <w:rsid w:val="002B1743"/>
    <w:rsid w:val="002B3BA8"/>
    <w:rsid w:val="002B52D0"/>
    <w:rsid w:val="002B7B96"/>
    <w:rsid w:val="002C2897"/>
    <w:rsid w:val="002C5718"/>
    <w:rsid w:val="002D0A10"/>
    <w:rsid w:val="002D40F1"/>
    <w:rsid w:val="002D789D"/>
    <w:rsid w:val="002E5497"/>
    <w:rsid w:val="002E555E"/>
    <w:rsid w:val="002F5FF4"/>
    <w:rsid w:val="00305479"/>
    <w:rsid w:val="0030704C"/>
    <w:rsid w:val="00313CB3"/>
    <w:rsid w:val="00314CA4"/>
    <w:rsid w:val="00315522"/>
    <w:rsid w:val="00315BB5"/>
    <w:rsid w:val="003166BC"/>
    <w:rsid w:val="00320D1C"/>
    <w:rsid w:val="00323BFF"/>
    <w:rsid w:val="00333322"/>
    <w:rsid w:val="00333CA5"/>
    <w:rsid w:val="00336733"/>
    <w:rsid w:val="00341A3D"/>
    <w:rsid w:val="00342084"/>
    <w:rsid w:val="003473D2"/>
    <w:rsid w:val="00347A90"/>
    <w:rsid w:val="003516C6"/>
    <w:rsid w:val="00356A48"/>
    <w:rsid w:val="00361480"/>
    <w:rsid w:val="00365AB5"/>
    <w:rsid w:val="0037038F"/>
    <w:rsid w:val="0037065B"/>
    <w:rsid w:val="00371CCC"/>
    <w:rsid w:val="00374655"/>
    <w:rsid w:val="00377485"/>
    <w:rsid w:val="00377531"/>
    <w:rsid w:val="0038576F"/>
    <w:rsid w:val="00385C33"/>
    <w:rsid w:val="003902A1"/>
    <w:rsid w:val="00391F99"/>
    <w:rsid w:val="003A4F70"/>
    <w:rsid w:val="003B12BC"/>
    <w:rsid w:val="003B1C24"/>
    <w:rsid w:val="003C00CC"/>
    <w:rsid w:val="003C1D06"/>
    <w:rsid w:val="003D4A23"/>
    <w:rsid w:val="003D6261"/>
    <w:rsid w:val="003D6E9B"/>
    <w:rsid w:val="003E144E"/>
    <w:rsid w:val="003F1CDF"/>
    <w:rsid w:val="003F2011"/>
    <w:rsid w:val="003F68EA"/>
    <w:rsid w:val="003F6A46"/>
    <w:rsid w:val="003F7058"/>
    <w:rsid w:val="00400CEA"/>
    <w:rsid w:val="00401ACC"/>
    <w:rsid w:val="004074CD"/>
    <w:rsid w:val="00413384"/>
    <w:rsid w:val="00415CC2"/>
    <w:rsid w:val="00421325"/>
    <w:rsid w:val="00424FCC"/>
    <w:rsid w:val="00426445"/>
    <w:rsid w:val="00426A07"/>
    <w:rsid w:val="00426CC3"/>
    <w:rsid w:val="00431B75"/>
    <w:rsid w:val="00433A6E"/>
    <w:rsid w:val="004373B4"/>
    <w:rsid w:val="0044787F"/>
    <w:rsid w:val="004509AD"/>
    <w:rsid w:val="00451198"/>
    <w:rsid w:val="00452C7C"/>
    <w:rsid w:val="00457E3E"/>
    <w:rsid w:val="004657FC"/>
    <w:rsid w:val="00465E26"/>
    <w:rsid w:val="00471217"/>
    <w:rsid w:val="00471C4E"/>
    <w:rsid w:val="00474CC4"/>
    <w:rsid w:val="00482C1D"/>
    <w:rsid w:val="00491AFC"/>
    <w:rsid w:val="00492520"/>
    <w:rsid w:val="004A2DFD"/>
    <w:rsid w:val="004B03A2"/>
    <w:rsid w:val="004B23CB"/>
    <w:rsid w:val="004C0094"/>
    <w:rsid w:val="004C2031"/>
    <w:rsid w:val="004C60A6"/>
    <w:rsid w:val="004D0A2B"/>
    <w:rsid w:val="004D3A41"/>
    <w:rsid w:val="004D6F22"/>
    <w:rsid w:val="004D7A72"/>
    <w:rsid w:val="004F4CC9"/>
    <w:rsid w:val="00500CE3"/>
    <w:rsid w:val="005016F9"/>
    <w:rsid w:val="00505B5D"/>
    <w:rsid w:val="00510AC0"/>
    <w:rsid w:val="00511407"/>
    <w:rsid w:val="00517256"/>
    <w:rsid w:val="00517722"/>
    <w:rsid w:val="0052029F"/>
    <w:rsid w:val="00521BA5"/>
    <w:rsid w:val="005231E5"/>
    <w:rsid w:val="00533D33"/>
    <w:rsid w:val="005343E4"/>
    <w:rsid w:val="0053515C"/>
    <w:rsid w:val="00536F60"/>
    <w:rsid w:val="00537505"/>
    <w:rsid w:val="00537BF9"/>
    <w:rsid w:val="00540011"/>
    <w:rsid w:val="00541E22"/>
    <w:rsid w:val="005442A3"/>
    <w:rsid w:val="00545675"/>
    <w:rsid w:val="00555960"/>
    <w:rsid w:val="00556C7D"/>
    <w:rsid w:val="00566747"/>
    <w:rsid w:val="00566973"/>
    <w:rsid w:val="005712EE"/>
    <w:rsid w:val="00583017"/>
    <w:rsid w:val="005832B6"/>
    <w:rsid w:val="00584894"/>
    <w:rsid w:val="00585813"/>
    <w:rsid w:val="0059120F"/>
    <w:rsid w:val="005A1227"/>
    <w:rsid w:val="005A7CA6"/>
    <w:rsid w:val="005B3FA4"/>
    <w:rsid w:val="005B4CC7"/>
    <w:rsid w:val="005B75B0"/>
    <w:rsid w:val="005C463E"/>
    <w:rsid w:val="005C657B"/>
    <w:rsid w:val="005D029D"/>
    <w:rsid w:val="005D04B2"/>
    <w:rsid w:val="005D41CD"/>
    <w:rsid w:val="005E32BF"/>
    <w:rsid w:val="005E4EF7"/>
    <w:rsid w:val="005E5ED7"/>
    <w:rsid w:val="005F27E3"/>
    <w:rsid w:val="005F3DAA"/>
    <w:rsid w:val="006042B7"/>
    <w:rsid w:val="00606367"/>
    <w:rsid w:val="0061092B"/>
    <w:rsid w:val="006143E5"/>
    <w:rsid w:val="00615218"/>
    <w:rsid w:val="00630260"/>
    <w:rsid w:val="0063258E"/>
    <w:rsid w:val="00633BCC"/>
    <w:rsid w:val="00647BDB"/>
    <w:rsid w:val="006560C8"/>
    <w:rsid w:val="00657C1E"/>
    <w:rsid w:val="006642CE"/>
    <w:rsid w:val="006654AE"/>
    <w:rsid w:val="006739AB"/>
    <w:rsid w:val="0067440C"/>
    <w:rsid w:val="00680B04"/>
    <w:rsid w:val="00680E73"/>
    <w:rsid w:val="006831CA"/>
    <w:rsid w:val="00685389"/>
    <w:rsid w:val="00687AFC"/>
    <w:rsid w:val="00693B56"/>
    <w:rsid w:val="006A061E"/>
    <w:rsid w:val="006A1C96"/>
    <w:rsid w:val="006A2600"/>
    <w:rsid w:val="006A6B1A"/>
    <w:rsid w:val="006B0410"/>
    <w:rsid w:val="006B638B"/>
    <w:rsid w:val="006C270A"/>
    <w:rsid w:val="006C2AF1"/>
    <w:rsid w:val="006C334E"/>
    <w:rsid w:val="006C370E"/>
    <w:rsid w:val="006E1846"/>
    <w:rsid w:val="006E19E0"/>
    <w:rsid w:val="006E54B4"/>
    <w:rsid w:val="006E651E"/>
    <w:rsid w:val="006F1520"/>
    <w:rsid w:val="006F467F"/>
    <w:rsid w:val="0070156A"/>
    <w:rsid w:val="007026E7"/>
    <w:rsid w:val="007141F6"/>
    <w:rsid w:val="00715C02"/>
    <w:rsid w:val="00723DD3"/>
    <w:rsid w:val="00724076"/>
    <w:rsid w:val="0072435F"/>
    <w:rsid w:val="00725E86"/>
    <w:rsid w:val="00727D31"/>
    <w:rsid w:val="007339BF"/>
    <w:rsid w:val="00735EF7"/>
    <w:rsid w:val="007363AC"/>
    <w:rsid w:val="00737012"/>
    <w:rsid w:val="007401A3"/>
    <w:rsid w:val="00741D01"/>
    <w:rsid w:val="00743BB9"/>
    <w:rsid w:val="0074539C"/>
    <w:rsid w:val="00746676"/>
    <w:rsid w:val="0075421D"/>
    <w:rsid w:val="00763236"/>
    <w:rsid w:val="007657CA"/>
    <w:rsid w:val="007705F7"/>
    <w:rsid w:val="00770FB6"/>
    <w:rsid w:val="0077178B"/>
    <w:rsid w:val="00771EA9"/>
    <w:rsid w:val="00784AD2"/>
    <w:rsid w:val="00787BFA"/>
    <w:rsid w:val="00790E1D"/>
    <w:rsid w:val="007A5FC5"/>
    <w:rsid w:val="007B031F"/>
    <w:rsid w:val="007B1F2C"/>
    <w:rsid w:val="007B6D88"/>
    <w:rsid w:val="007C36A5"/>
    <w:rsid w:val="007C3D72"/>
    <w:rsid w:val="007C6049"/>
    <w:rsid w:val="007C62EB"/>
    <w:rsid w:val="007D2147"/>
    <w:rsid w:val="007D586D"/>
    <w:rsid w:val="007D5B8B"/>
    <w:rsid w:val="007D7E8C"/>
    <w:rsid w:val="007E10DF"/>
    <w:rsid w:val="007F071D"/>
    <w:rsid w:val="007F099A"/>
    <w:rsid w:val="007F1A4A"/>
    <w:rsid w:val="007F27F9"/>
    <w:rsid w:val="007F515D"/>
    <w:rsid w:val="007F6CBF"/>
    <w:rsid w:val="00801DB7"/>
    <w:rsid w:val="0080500A"/>
    <w:rsid w:val="00806A9C"/>
    <w:rsid w:val="008119C9"/>
    <w:rsid w:val="008134A9"/>
    <w:rsid w:val="00814B77"/>
    <w:rsid w:val="008154D8"/>
    <w:rsid w:val="00816AD3"/>
    <w:rsid w:val="008207A9"/>
    <w:rsid w:val="00820E78"/>
    <w:rsid w:val="00825234"/>
    <w:rsid w:val="00830D5C"/>
    <w:rsid w:val="00832E4E"/>
    <w:rsid w:val="008339F5"/>
    <w:rsid w:val="00850F0C"/>
    <w:rsid w:val="00851084"/>
    <w:rsid w:val="00852DCF"/>
    <w:rsid w:val="0085480C"/>
    <w:rsid w:val="0085752D"/>
    <w:rsid w:val="0086310F"/>
    <w:rsid w:val="0086560D"/>
    <w:rsid w:val="00865C3A"/>
    <w:rsid w:val="00870476"/>
    <w:rsid w:val="00871A79"/>
    <w:rsid w:val="00872CE4"/>
    <w:rsid w:val="00874F1B"/>
    <w:rsid w:val="00880E6E"/>
    <w:rsid w:val="00881939"/>
    <w:rsid w:val="00881B8A"/>
    <w:rsid w:val="008822C6"/>
    <w:rsid w:val="00882AAC"/>
    <w:rsid w:val="0088334B"/>
    <w:rsid w:val="00883A75"/>
    <w:rsid w:val="00893B23"/>
    <w:rsid w:val="00893D6F"/>
    <w:rsid w:val="0089575A"/>
    <w:rsid w:val="00896108"/>
    <w:rsid w:val="008A1630"/>
    <w:rsid w:val="008A1CB7"/>
    <w:rsid w:val="008A3594"/>
    <w:rsid w:val="008B3885"/>
    <w:rsid w:val="008B3E74"/>
    <w:rsid w:val="008B5FD5"/>
    <w:rsid w:val="008C0FF0"/>
    <w:rsid w:val="008E3D41"/>
    <w:rsid w:val="008E4F06"/>
    <w:rsid w:val="008F1009"/>
    <w:rsid w:val="00901D5F"/>
    <w:rsid w:val="00904384"/>
    <w:rsid w:val="00905110"/>
    <w:rsid w:val="00923DE1"/>
    <w:rsid w:val="009245DC"/>
    <w:rsid w:val="00924904"/>
    <w:rsid w:val="009258B1"/>
    <w:rsid w:val="00931A31"/>
    <w:rsid w:val="00932983"/>
    <w:rsid w:val="009332E5"/>
    <w:rsid w:val="00953830"/>
    <w:rsid w:val="00955F11"/>
    <w:rsid w:val="0095743F"/>
    <w:rsid w:val="00957D96"/>
    <w:rsid w:val="009613A1"/>
    <w:rsid w:val="00965C50"/>
    <w:rsid w:val="009713F2"/>
    <w:rsid w:val="00971E3B"/>
    <w:rsid w:val="009722C1"/>
    <w:rsid w:val="009734F4"/>
    <w:rsid w:val="0097736E"/>
    <w:rsid w:val="0098085B"/>
    <w:rsid w:val="00981659"/>
    <w:rsid w:val="00982D85"/>
    <w:rsid w:val="00996853"/>
    <w:rsid w:val="00997E70"/>
    <w:rsid w:val="009A030A"/>
    <w:rsid w:val="009A2E63"/>
    <w:rsid w:val="009A3A19"/>
    <w:rsid w:val="009B12BB"/>
    <w:rsid w:val="009B2F3D"/>
    <w:rsid w:val="009B725B"/>
    <w:rsid w:val="009B78C7"/>
    <w:rsid w:val="009C1502"/>
    <w:rsid w:val="009C18C0"/>
    <w:rsid w:val="009C4791"/>
    <w:rsid w:val="009D064F"/>
    <w:rsid w:val="009D3C6F"/>
    <w:rsid w:val="009D3C9C"/>
    <w:rsid w:val="009E273B"/>
    <w:rsid w:val="009E31F9"/>
    <w:rsid w:val="009E4069"/>
    <w:rsid w:val="009F4507"/>
    <w:rsid w:val="009F64BB"/>
    <w:rsid w:val="00A022AA"/>
    <w:rsid w:val="00A03E7B"/>
    <w:rsid w:val="00A14D13"/>
    <w:rsid w:val="00A17DFE"/>
    <w:rsid w:val="00A22DE0"/>
    <w:rsid w:val="00A22E5D"/>
    <w:rsid w:val="00A25256"/>
    <w:rsid w:val="00A26961"/>
    <w:rsid w:val="00A30BE1"/>
    <w:rsid w:val="00A324AF"/>
    <w:rsid w:val="00A364C0"/>
    <w:rsid w:val="00A51B73"/>
    <w:rsid w:val="00A57818"/>
    <w:rsid w:val="00A611AA"/>
    <w:rsid w:val="00A615D3"/>
    <w:rsid w:val="00A70D72"/>
    <w:rsid w:val="00A7191A"/>
    <w:rsid w:val="00A7390F"/>
    <w:rsid w:val="00A73F3B"/>
    <w:rsid w:val="00A74062"/>
    <w:rsid w:val="00A74D3D"/>
    <w:rsid w:val="00A75652"/>
    <w:rsid w:val="00A75E07"/>
    <w:rsid w:val="00A81DCB"/>
    <w:rsid w:val="00A8434A"/>
    <w:rsid w:val="00A902A5"/>
    <w:rsid w:val="00A928B7"/>
    <w:rsid w:val="00A96A2A"/>
    <w:rsid w:val="00AA0391"/>
    <w:rsid w:val="00AA64E3"/>
    <w:rsid w:val="00AA7526"/>
    <w:rsid w:val="00AA7BC6"/>
    <w:rsid w:val="00AB1326"/>
    <w:rsid w:val="00AB2ACC"/>
    <w:rsid w:val="00AC199D"/>
    <w:rsid w:val="00AC64F9"/>
    <w:rsid w:val="00AD0D9D"/>
    <w:rsid w:val="00AD46AE"/>
    <w:rsid w:val="00AD57F8"/>
    <w:rsid w:val="00AD6D7B"/>
    <w:rsid w:val="00AD7231"/>
    <w:rsid w:val="00AE24F5"/>
    <w:rsid w:val="00AE51D0"/>
    <w:rsid w:val="00AE5945"/>
    <w:rsid w:val="00AE6B5B"/>
    <w:rsid w:val="00AE6F40"/>
    <w:rsid w:val="00AE76AE"/>
    <w:rsid w:val="00AF1268"/>
    <w:rsid w:val="00AF147D"/>
    <w:rsid w:val="00AF67A0"/>
    <w:rsid w:val="00B1068C"/>
    <w:rsid w:val="00B15325"/>
    <w:rsid w:val="00B177F1"/>
    <w:rsid w:val="00B17EAC"/>
    <w:rsid w:val="00B30F4A"/>
    <w:rsid w:val="00B31927"/>
    <w:rsid w:val="00B31D81"/>
    <w:rsid w:val="00B3242B"/>
    <w:rsid w:val="00B4496F"/>
    <w:rsid w:val="00B47A70"/>
    <w:rsid w:val="00B52BE4"/>
    <w:rsid w:val="00B5378B"/>
    <w:rsid w:val="00B65397"/>
    <w:rsid w:val="00B657BC"/>
    <w:rsid w:val="00B67D4E"/>
    <w:rsid w:val="00B72D96"/>
    <w:rsid w:val="00B813B6"/>
    <w:rsid w:val="00B83B5B"/>
    <w:rsid w:val="00B84DE7"/>
    <w:rsid w:val="00B85F20"/>
    <w:rsid w:val="00B87061"/>
    <w:rsid w:val="00BA4534"/>
    <w:rsid w:val="00BA73B2"/>
    <w:rsid w:val="00BB0B0E"/>
    <w:rsid w:val="00BB189F"/>
    <w:rsid w:val="00BB2114"/>
    <w:rsid w:val="00BB75F2"/>
    <w:rsid w:val="00BC53C4"/>
    <w:rsid w:val="00BC5676"/>
    <w:rsid w:val="00BC5FC6"/>
    <w:rsid w:val="00BD19FF"/>
    <w:rsid w:val="00BD327C"/>
    <w:rsid w:val="00BD33FF"/>
    <w:rsid w:val="00BD3D53"/>
    <w:rsid w:val="00BD6405"/>
    <w:rsid w:val="00BE3CA3"/>
    <w:rsid w:val="00BF7DB4"/>
    <w:rsid w:val="00C11CA5"/>
    <w:rsid w:val="00C1242F"/>
    <w:rsid w:val="00C1774B"/>
    <w:rsid w:val="00C17A36"/>
    <w:rsid w:val="00C20DB6"/>
    <w:rsid w:val="00C21497"/>
    <w:rsid w:val="00C272DA"/>
    <w:rsid w:val="00C276A0"/>
    <w:rsid w:val="00C27AF1"/>
    <w:rsid w:val="00C3697F"/>
    <w:rsid w:val="00C37308"/>
    <w:rsid w:val="00C42942"/>
    <w:rsid w:val="00C5148D"/>
    <w:rsid w:val="00C54E4A"/>
    <w:rsid w:val="00C55789"/>
    <w:rsid w:val="00C57D6A"/>
    <w:rsid w:val="00C6365C"/>
    <w:rsid w:val="00C65459"/>
    <w:rsid w:val="00C656B3"/>
    <w:rsid w:val="00C6798B"/>
    <w:rsid w:val="00C7148B"/>
    <w:rsid w:val="00C72F7B"/>
    <w:rsid w:val="00C74021"/>
    <w:rsid w:val="00C76FA1"/>
    <w:rsid w:val="00C7727D"/>
    <w:rsid w:val="00C84E14"/>
    <w:rsid w:val="00C91195"/>
    <w:rsid w:val="00C9290E"/>
    <w:rsid w:val="00C967D8"/>
    <w:rsid w:val="00C96C21"/>
    <w:rsid w:val="00CA0294"/>
    <w:rsid w:val="00CA11A1"/>
    <w:rsid w:val="00CA1417"/>
    <w:rsid w:val="00CA1958"/>
    <w:rsid w:val="00CA57A1"/>
    <w:rsid w:val="00CA6824"/>
    <w:rsid w:val="00CA6CF3"/>
    <w:rsid w:val="00CA7835"/>
    <w:rsid w:val="00CB0797"/>
    <w:rsid w:val="00CB5F50"/>
    <w:rsid w:val="00CB6922"/>
    <w:rsid w:val="00CB72E7"/>
    <w:rsid w:val="00CC1C7F"/>
    <w:rsid w:val="00CC38D6"/>
    <w:rsid w:val="00CC399A"/>
    <w:rsid w:val="00CC3B32"/>
    <w:rsid w:val="00CC5CEB"/>
    <w:rsid w:val="00CD0621"/>
    <w:rsid w:val="00CD7303"/>
    <w:rsid w:val="00CE1A47"/>
    <w:rsid w:val="00D012A2"/>
    <w:rsid w:val="00D016D0"/>
    <w:rsid w:val="00D04AC7"/>
    <w:rsid w:val="00D05094"/>
    <w:rsid w:val="00D06086"/>
    <w:rsid w:val="00D07E0D"/>
    <w:rsid w:val="00D1183B"/>
    <w:rsid w:val="00D119E8"/>
    <w:rsid w:val="00D11DDD"/>
    <w:rsid w:val="00D14908"/>
    <w:rsid w:val="00D209ED"/>
    <w:rsid w:val="00D20D7F"/>
    <w:rsid w:val="00D21AC0"/>
    <w:rsid w:val="00D24CA9"/>
    <w:rsid w:val="00D24E4A"/>
    <w:rsid w:val="00D32B6C"/>
    <w:rsid w:val="00D32D34"/>
    <w:rsid w:val="00D36CC7"/>
    <w:rsid w:val="00D40DE4"/>
    <w:rsid w:val="00D45E59"/>
    <w:rsid w:val="00D469AD"/>
    <w:rsid w:val="00D5017A"/>
    <w:rsid w:val="00D521C7"/>
    <w:rsid w:val="00D544B9"/>
    <w:rsid w:val="00D547CB"/>
    <w:rsid w:val="00D56F47"/>
    <w:rsid w:val="00D6058B"/>
    <w:rsid w:val="00D6277C"/>
    <w:rsid w:val="00D651DC"/>
    <w:rsid w:val="00D73E8A"/>
    <w:rsid w:val="00D769F9"/>
    <w:rsid w:val="00D81B10"/>
    <w:rsid w:val="00D85F4A"/>
    <w:rsid w:val="00D90B54"/>
    <w:rsid w:val="00D90B6F"/>
    <w:rsid w:val="00D91102"/>
    <w:rsid w:val="00D93227"/>
    <w:rsid w:val="00D93EF4"/>
    <w:rsid w:val="00DA381A"/>
    <w:rsid w:val="00DA4F50"/>
    <w:rsid w:val="00DB231D"/>
    <w:rsid w:val="00DB25CB"/>
    <w:rsid w:val="00DB3588"/>
    <w:rsid w:val="00DB5D02"/>
    <w:rsid w:val="00DC08FD"/>
    <w:rsid w:val="00DC1977"/>
    <w:rsid w:val="00DC24FD"/>
    <w:rsid w:val="00DC4F27"/>
    <w:rsid w:val="00DD00FF"/>
    <w:rsid w:val="00DD1819"/>
    <w:rsid w:val="00DE1EA9"/>
    <w:rsid w:val="00DE4A5B"/>
    <w:rsid w:val="00DE4C36"/>
    <w:rsid w:val="00DF0685"/>
    <w:rsid w:val="00DF3351"/>
    <w:rsid w:val="00DF6A89"/>
    <w:rsid w:val="00DF6B72"/>
    <w:rsid w:val="00DF77C5"/>
    <w:rsid w:val="00E01DC1"/>
    <w:rsid w:val="00E04ACB"/>
    <w:rsid w:val="00E05C0C"/>
    <w:rsid w:val="00E07FA9"/>
    <w:rsid w:val="00E10290"/>
    <w:rsid w:val="00E118C4"/>
    <w:rsid w:val="00E14128"/>
    <w:rsid w:val="00E148BA"/>
    <w:rsid w:val="00E32555"/>
    <w:rsid w:val="00E367CA"/>
    <w:rsid w:val="00E4336F"/>
    <w:rsid w:val="00E4794D"/>
    <w:rsid w:val="00E53D2B"/>
    <w:rsid w:val="00E6078C"/>
    <w:rsid w:val="00E6253E"/>
    <w:rsid w:val="00E6367E"/>
    <w:rsid w:val="00E64EFF"/>
    <w:rsid w:val="00E72F78"/>
    <w:rsid w:val="00E73A72"/>
    <w:rsid w:val="00E81B6D"/>
    <w:rsid w:val="00E84CA6"/>
    <w:rsid w:val="00E86014"/>
    <w:rsid w:val="00E94E10"/>
    <w:rsid w:val="00E96A89"/>
    <w:rsid w:val="00E97A37"/>
    <w:rsid w:val="00EB2129"/>
    <w:rsid w:val="00EB283B"/>
    <w:rsid w:val="00EB3853"/>
    <w:rsid w:val="00EB5A58"/>
    <w:rsid w:val="00EC10C3"/>
    <w:rsid w:val="00EC578A"/>
    <w:rsid w:val="00ED0762"/>
    <w:rsid w:val="00ED2CA9"/>
    <w:rsid w:val="00ED4FC0"/>
    <w:rsid w:val="00EE7F46"/>
    <w:rsid w:val="00EF1C1D"/>
    <w:rsid w:val="00EF2553"/>
    <w:rsid w:val="00EF4ACE"/>
    <w:rsid w:val="00EF6A85"/>
    <w:rsid w:val="00F00C45"/>
    <w:rsid w:val="00F01A4F"/>
    <w:rsid w:val="00F02705"/>
    <w:rsid w:val="00F034D1"/>
    <w:rsid w:val="00F10D6C"/>
    <w:rsid w:val="00F12419"/>
    <w:rsid w:val="00F16FFF"/>
    <w:rsid w:val="00F21EB7"/>
    <w:rsid w:val="00F24541"/>
    <w:rsid w:val="00F36391"/>
    <w:rsid w:val="00F419DD"/>
    <w:rsid w:val="00F42051"/>
    <w:rsid w:val="00F427D5"/>
    <w:rsid w:val="00F43743"/>
    <w:rsid w:val="00F453F8"/>
    <w:rsid w:val="00F50F36"/>
    <w:rsid w:val="00F51CA2"/>
    <w:rsid w:val="00F55A9B"/>
    <w:rsid w:val="00F611E9"/>
    <w:rsid w:val="00F81570"/>
    <w:rsid w:val="00F82794"/>
    <w:rsid w:val="00F85FDD"/>
    <w:rsid w:val="00F86285"/>
    <w:rsid w:val="00F87882"/>
    <w:rsid w:val="00F920C2"/>
    <w:rsid w:val="00F965D1"/>
    <w:rsid w:val="00FA0700"/>
    <w:rsid w:val="00FA4272"/>
    <w:rsid w:val="00FA5094"/>
    <w:rsid w:val="00FA5ABB"/>
    <w:rsid w:val="00FB4782"/>
    <w:rsid w:val="00FB7B21"/>
    <w:rsid w:val="00FC07A6"/>
    <w:rsid w:val="00FC3164"/>
    <w:rsid w:val="00FC6E09"/>
    <w:rsid w:val="00FD5610"/>
    <w:rsid w:val="00FD600C"/>
    <w:rsid w:val="00FE0B39"/>
    <w:rsid w:val="00FE2DCC"/>
    <w:rsid w:val="00FE5C01"/>
    <w:rsid w:val="00FE75A8"/>
    <w:rsid w:val="00FF2658"/>
    <w:rsid w:val="00FF5997"/>
    <w:rsid w:val="00FF75A5"/>
    <w:rsid w:val="00FF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EA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4FCC"/>
    <w:pPr>
      <w:ind w:left="720"/>
      <w:contextualSpacing/>
    </w:pPr>
  </w:style>
  <w:style w:type="paragraph" w:styleId="Header">
    <w:name w:val="header"/>
    <w:basedOn w:val="Normal"/>
    <w:link w:val="HeaderChar"/>
    <w:uiPriority w:val="99"/>
    <w:unhideWhenUsed/>
    <w:rsid w:val="00424FCC"/>
    <w:pPr>
      <w:tabs>
        <w:tab w:val="center" w:pos="4536"/>
        <w:tab w:val="right" w:pos="9072"/>
      </w:tabs>
    </w:pPr>
  </w:style>
  <w:style w:type="character" w:customStyle="1" w:styleId="HeaderChar">
    <w:name w:val="Header Char"/>
    <w:basedOn w:val="DefaultParagraphFont"/>
    <w:link w:val="Header"/>
    <w:uiPriority w:val="99"/>
    <w:rsid w:val="00424FCC"/>
  </w:style>
  <w:style w:type="paragraph" w:styleId="Footer">
    <w:name w:val="footer"/>
    <w:basedOn w:val="Normal"/>
    <w:link w:val="FooterChar"/>
    <w:uiPriority w:val="99"/>
    <w:unhideWhenUsed/>
    <w:rsid w:val="00424FCC"/>
    <w:pPr>
      <w:tabs>
        <w:tab w:val="center" w:pos="4536"/>
        <w:tab w:val="right" w:pos="9072"/>
      </w:tabs>
    </w:pPr>
  </w:style>
  <w:style w:type="character" w:customStyle="1" w:styleId="FooterChar">
    <w:name w:val="Footer Char"/>
    <w:basedOn w:val="DefaultParagraphFont"/>
    <w:link w:val="Footer"/>
    <w:uiPriority w:val="99"/>
    <w:rsid w:val="00424FCC"/>
  </w:style>
  <w:style w:type="table" w:styleId="TableGrid">
    <w:name w:val="Table Grid"/>
    <w:basedOn w:val="TableNormal"/>
    <w:uiPriority w:val="39"/>
    <w:rsid w:val="0049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D600C"/>
    <w:pPr>
      <w:widowControl w:val="0"/>
      <w:ind w:left="546" w:hanging="427"/>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FD600C"/>
    <w:rPr>
      <w:rFonts w:ascii="Calibri" w:eastAsia="Calibri" w:hAnsi="Calibri"/>
      <w:sz w:val="22"/>
      <w:szCs w:val="22"/>
      <w:lang w:val="en-US"/>
    </w:rPr>
  </w:style>
  <w:style w:type="paragraph" w:styleId="NormalWeb">
    <w:name w:val="Normal (Web)"/>
    <w:basedOn w:val="Normal"/>
    <w:uiPriority w:val="99"/>
    <w:unhideWhenUsed/>
    <w:rsid w:val="00965C50"/>
    <w:pPr>
      <w:spacing w:before="100" w:beforeAutospacing="1" w:after="100" w:afterAutospacing="1"/>
    </w:pPr>
    <w:rPr>
      <w:rFonts w:ascii="Times New Roman" w:hAnsi="Times New Roman" w:cs="Times New Roman"/>
      <w:lang w:eastAsia="fr-FR"/>
    </w:rPr>
  </w:style>
  <w:style w:type="paragraph" w:customStyle="1" w:styleId="Default">
    <w:name w:val="Default"/>
    <w:rsid w:val="00CA6CF3"/>
    <w:pPr>
      <w:autoSpaceDE w:val="0"/>
      <w:autoSpaceDN w:val="0"/>
      <w:adjustRightInd w:val="0"/>
    </w:pPr>
    <w:rPr>
      <w:rFonts w:ascii="Garamond" w:eastAsia="Calibri" w:hAnsi="Garamond" w:cs="Garamond"/>
      <w:color w:val="000000"/>
      <w:lang w:val="de-DE"/>
    </w:rPr>
  </w:style>
  <w:style w:type="character" w:styleId="Hyperlink">
    <w:name w:val="Hyperlink"/>
    <w:basedOn w:val="DefaultParagraphFont"/>
    <w:uiPriority w:val="99"/>
    <w:unhideWhenUsed/>
    <w:rsid w:val="003902A1"/>
    <w:rPr>
      <w:color w:val="0563C1" w:themeColor="hyperlink"/>
      <w:u w:val="single"/>
    </w:rPr>
  </w:style>
  <w:style w:type="character" w:styleId="FollowedHyperlink">
    <w:name w:val="FollowedHyperlink"/>
    <w:basedOn w:val="DefaultParagraphFont"/>
    <w:uiPriority w:val="99"/>
    <w:semiHidden/>
    <w:unhideWhenUsed/>
    <w:rsid w:val="00A73F3B"/>
    <w:rPr>
      <w:color w:val="954F72" w:themeColor="followedHyperlink"/>
      <w:u w:val="single"/>
    </w:rPr>
  </w:style>
  <w:style w:type="paragraph" w:styleId="FootnoteText">
    <w:name w:val="footnote text"/>
    <w:basedOn w:val="Normal"/>
    <w:link w:val="FootnoteTextChar"/>
    <w:uiPriority w:val="99"/>
    <w:unhideWhenUsed/>
    <w:rsid w:val="005016F9"/>
  </w:style>
  <w:style w:type="character" w:customStyle="1" w:styleId="FootnoteTextChar">
    <w:name w:val="Footnote Text Char"/>
    <w:basedOn w:val="DefaultParagraphFont"/>
    <w:link w:val="FootnoteText"/>
    <w:uiPriority w:val="99"/>
    <w:rsid w:val="005016F9"/>
  </w:style>
  <w:style w:type="character" w:styleId="FootnoteReference">
    <w:name w:val="footnote reference"/>
    <w:basedOn w:val="DefaultParagraphFont"/>
    <w:uiPriority w:val="99"/>
    <w:unhideWhenUsed/>
    <w:rsid w:val="005016F9"/>
    <w:rPr>
      <w:vertAlign w:val="superscript"/>
    </w:rPr>
  </w:style>
  <w:style w:type="character" w:styleId="PageNumber">
    <w:name w:val="page number"/>
    <w:basedOn w:val="DefaultParagraphFont"/>
    <w:uiPriority w:val="99"/>
    <w:semiHidden/>
    <w:unhideWhenUsed/>
    <w:rsid w:val="00C55789"/>
  </w:style>
  <w:style w:type="paragraph" w:customStyle="1" w:styleId="Standard">
    <w:name w:val="Standard"/>
    <w:rsid w:val="00566973"/>
    <w:pPr>
      <w:widowControl w:val="0"/>
      <w:suppressAutoHyphens/>
      <w:autoSpaceDN w:val="0"/>
      <w:textAlignment w:val="baseline"/>
    </w:pPr>
    <w:rPr>
      <w:rFonts w:ascii="Times New Roman" w:eastAsia="Arial Unicode MS" w:hAnsi="Times New Roman" w:cs="Arial Unicode MS"/>
      <w:kern w:val="3"/>
      <w:lang w:val="en-GB" w:eastAsia="zh-CN" w:bidi="hi-IN"/>
    </w:rPr>
  </w:style>
  <w:style w:type="character" w:styleId="CommentReference">
    <w:name w:val="annotation reference"/>
    <w:basedOn w:val="DefaultParagraphFont"/>
    <w:uiPriority w:val="99"/>
    <w:semiHidden/>
    <w:unhideWhenUsed/>
    <w:rsid w:val="00D016D0"/>
    <w:rPr>
      <w:sz w:val="16"/>
      <w:szCs w:val="16"/>
    </w:rPr>
  </w:style>
  <w:style w:type="paragraph" w:styleId="CommentText">
    <w:name w:val="annotation text"/>
    <w:basedOn w:val="Normal"/>
    <w:link w:val="CommentTextChar"/>
    <w:uiPriority w:val="99"/>
    <w:semiHidden/>
    <w:unhideWhenUsed/>
    <w:rsid w:val="00D016D0"/>
    <w:rPr>
      <w:sz w:val="20"/>
      <w:szCs w:val="20"/>
    </w:rPr>
  </w:style>
  <w:style w:type="character" w:customStyle="1" w:styleId="CommentTextChar">
    <w:name w:val="Comment Text Char"/>
    <w:basedOn w:val="DefaultParagraphFont"/>
    <w:link w:val="CommentText"/>
    <w:uiPriority w:val="99"/>
    <w:semiHidden/>
    <w:rsid w:val="00D016D0"/>
    <w:rPr>
      <w:sz w:val="20"/>
      <w:szCs w:val="20"/>
    </w:rPr>
  </w:style>
  <w:style w:type="paragraph" w:styleId="CommentSubject">
    <w:name w:val="annotation subject"/>
    <w:basedOn w:val="CommentText"/>
    <w:next w:val="CommentText"/>
    <w:link w:val="CommentSubjectChar"/>
    <w:uiPriority w:val="99"/>
    <w:semiHidden/>
    <w:unhideWhenUsed/>
    <w:rsid w:val="00D016D0"/>
    <w:rPr>
      <w:b/>
      <w:bCs/>
    </w:rPr>
  </w:style>
  <w:style w:type="character" w:customStyle="1" w:styleId="CommentSubjectChar">
    <w:name w:val="Comment Subject Char"/>
    <w:basedOn w:val="CommentTextChar"/>
    <w:link w:val="CommentSubject"/>
    <w:uiPriority w:val="99"/>
    <w:semiHidden/>
    <w:rsid w:val="00D016D0"/>
    <w:rPr>
      <w:b/>
      <w:bCs/>
      <w:sz w:val="20"/>
      <w:szCs w:val="20"/>
    </w:rPr>
  </w:style>
  <w:style w:type="paragraph" w:styleId="BalloonText">
    <w:name w:val="Balloon Text"/>
    <w:basedOn w:val="Normal"/>
    <w:link w:val="BalloonTextChar"/>
    <w:uiPriority w:val="99"/>
    <w:semiHidden/>
    <w:unhideWhenUsed/>
    <w:rsid w:val="00D01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D0"/>
    <w:rPr>
      <w:rFonts w:ascii="Segoe UI" w:hAnsi="Segoe UI" w:cs="Segoe UI"/>
      <w:sz w:val="18"/>
      <w:szCs w:val="18"/>
    </w:rPr>
  </w:style>
  <w:style w:type="paragraph" w:styleId="Revision">
    <w:name w:val="Revision"/>
    <w:hidden/>
    <w:uiPriority w:val="99"/>
    <w:semiHidden/>
    <w:rsid w:val="003F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942">
      <w:bodyDiv w:val="1"/>
      <w:marLeft w:val="0"/>
      <w:marRight w:val="0"/>
      <w:marTop w:val="0"/>
      <w:marBottom w:val="0"/>
      <w:divBdr>
        <w:top w:val="none" w:sz="0" w:space="0" w:color="auto"/>
        <w:left w:val="none" w:sz="0" w:space="0" w:color="auto"/>
        <w:bottom w:val="none" w:sz="0" w:space="0" w:color="auto"/>
        <w:right w:val="none" w:sz="0" w:space="0" w:color="auto"/>
      </w:divBdr>
      <w:divsChild>
        <w:div w:id="1881933758">
          <w:marLeft w:val="0"/>
          <w:marRight w:val="0"/>
          <w:marTop w:val="0"/>
          <w:marBottom w:val="0"/>
          <w:divBdr>
            <w:top w:val="none" w:sz="0" w:space="0" w:color="auto"/>
            <w:left w:val="none" w:sz="0" w:space="0" w:color="auto"/>
            <w:bottom w:val="none" w:sz="0" w:space="0" w:color="auto"/>
            <w:right w:val="none" w:sz="0" w:space="0" w:color="auto"/>
          </w:divBdr>
          <w:divsChild>
            <w:div w:id="1774864599">
              <w:marLeft w:val="0"/>
              <w:marRight w:val="0"/>
              <w:marTop w:val="0"/>
              <w:marBottom w:val="0"/>
              <w:divBdr>
                <w:top w:val="none" w:sz="0" w:space="0" w:color="auto"/>
                <w:left w:val="none" w:sz="0" w:space="0" w:color="auto"/>
                <w:bottom w:val="none" w:sz="0" w:space="0" w:color="auto"/>
                <w:right w:val="none" w:sz="0" w:space="0" w:color="auto"/>
              </w:divBdr>
              <w:divsChild>
                <w:div w:id="21359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1521">
      <w:bodyDiv w:val="1"/>
      <w:marLeft w:val="0"/>
      <w:marRight w:val="0"/>
      <w:marTop w:val="0"/>
      <w:marBottom w:val="0"/>
      <w:divBdr>
        <w:top w:val="none" w:sz="0" w:space="0" w:color="auto"/>
        <w:left w:val="none" w:sz="0" w:space="0" w:color="auto"/>
        <w:bottom w:val="none" w:sz="0" w:space="0" w:color="auto"/>
        <w:right w:val="none" w:sz="0" w:space="0" w:color="auto"/>
      </w:divBdr>
      <w:divsChild>
        <w:div w:id="895900512">
          <w:marLeft w:val="0"/>
          <w:marRight w:val="0"/>
          <w:marTop w:val="0"/>
          <w:marBottom w:val="0"/>
          <w:divBdr>
            <w:top w:val="none" w:sz="0" w:space="0" w:color="auto"/>
            <w:left w:val="none" w:sz="0" w:space="0" w:color="auto"/>
            <w:bottom w:val="none" w:sz="0" w:space="0" w:color="auto"/>
            <w:right w:val="none" w:sz="0" w:space="0" w:color="auto"/>
          </w:divBdr>
          <w:divsChild>
            <w:div w:id="2111464957">
              <w:marLeft w:val="0"/>
              <w:marRight w:val="0"/>
              <w:marTop w:val="0"/>
              <w:marBottom w:val="0"/>
              <w:divBdr>
                <w:top w:val="none" w:sz="0" w:space="0" w:color="auto"/>
                <w:left w:val="none" w:sz="0" w:space="0" w:color="auto"/>
                <w:bottom w:val="none" w:sz="0" w:space="0" w:color="auto"/>
                <w:right w:val="none" w:sz="0" w:space="0" w:color="auto"/>
              </w:divBdr>
              <w:divsChild>
                <w:div w:id="16401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450">
      <w:bodyDiv w:val="1"/>
      <w:marLeft w:val="0"/>
      <w:marRight w:val="0"/>
      <w:marTop w:val="0"/>
      <w:marBottom w:val="0"/>
      <w:divBdr>
        <w:top w:val="none" w:sz="0" w:space="0" w:color="auto"/>
        <w:left w:val="none" w:sz="0" w:space="0" w:color="auto"/>
        <w:bottom w:val="none" w:sz="0" w:space="0" w:color="auto"/>
        <w:right w:val="none" w:sz="0" w:space="0" w:color="auto"/>
      </w:divBdr>
      <w:divsChild>
        <w:div w:id="2100251199">
          <w:marLeft w:val="0"/>
          <w:marRight w:val="0"/>
          <w:marTop w:val="0"/>
          <w:marBottom w:val="0"/>
          <w:divBdr>
            <w:top w:val="none" w:sz="0" w:space="0" w:color="auto"/>
            <w:left w:val="none" w:sz="0" w:space="0" w:color="auto"/>
            <w:bottom w:val="none" w:sz="0" w:space="0" w:color="auto"/>
            <w:right w:val="none" w:sz="0" w:space="0" w:color="auto"/>
          </w:divBdr>
          <w:divsChild>
            <w:div w:id="107821493">
              <w:marLeft w:val="0"/>
              <w:marRight w:val="0"/>
              <w:marTop w:val="0"/>
              <w:marBottom w:val="0"/>
              <w:divBdr>
                <w:top w:val="none" w:sz="0" w:space="0" w:color="auto"/>
                <w:left w:val="none" w:sz="0" w:space="0" w:color="auto"/>
                <w:bottom w:val="none" w:sz="0" w:space="0" w:color="auto"/>
                <w:right w:val="none" w:sz="0" w:space="0" w:color="auto"/>
              </w:divBdr>
              <w:divsChild>
                <w:div w:id="5815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8245">
      <w:bodyDiv w:val="1"/>
      <w:marLeft w:val="0"/>
      <w:marRight w:val="0"/>
      <w:marTop w:val="0"/>
      <w:marBottom w:val="0"/>
      <w:divBdr>
        <w:top w:val="none" w:sz="0" w:space="0" w:color="auto"/>
        <w:left w:val="none" w:sz="0" w:space="0" w:color="auto"/>
        <w:bottom w:val="none" w:sz="0" w:space="0" w:color="auto"/>
        <w:right w:val="none" w:sz="0" w:space="0" w:color="auto"/>
      </w:divBdr>
      <w:divsChild>
        <w:div w:id="847870347">
          <w:marLeft w:val="0"/>
          <w:marRight w:val="0"/>
          <w:marTop w:val="0"/>
          <w:marBottom w:val="0"/>
          <w:divBdr>
            <w:top w:val="none" w:sz="0" w:space="0" w:color="auto"/>
            <w:left w:val="none" w:sz="0" w:space="0" w:color="auto"/>
            <w:bottom w:val="none" w:sz="0" w:space="0" w:color="auto"/>
            <w:right w:val="none" w:sz="0" w:space="0" w:color="auto"/>
          </w:divBdr>
          <w:divsChild>
            <w:div w:id="335765692">
              <w:marLeft w:val="0"/>
              <w:marRight w:val="0"/>
              <w:marTop w:val="0"/>
              <w:marBottom w:val="0"/>
              <w:divBdr>
                <w:top w:val="none" w:sz="0" w:space="0" w:color="auto"/>
                <w:left w:val="none" w:sz="0" w:space="0" w:color="auto"/>
                <w:bottom w:val="none" w:sz="0" w:space="0" w:color="auto"/>
                <w:right w:val="none" w:sz="0" w:space="0" w:color="auto"/>
              </w:divBdr>
              <w:divsChild>
                <w:div w:id="5014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212">
      <w:bodyDiv w:val="1"/>
      <w:marLeft w:val="0"/>
      <w:marRight w:val="0"/>
      <w:marTop w:val="0"/>
      <w:marBottom w:val="0"/>
      <w:divBdr>
        <w:top w:val="none" w:sz="0" w:space="0" w:color="auto"/>
        <w:left w:val="none" w:sz="0" w:space="0" w:color="auto"/>
        <w:bottom w:val="none" w:sz="0" w:space="0" w:color="auto"/>
        <w:right w:val="none" w:sz="0" w:space="0" w:color="auto"/>
      </w:divBdr>
      <w:divsChild>
        <w:div w:id="2013797942">
          <w:marLeft w:val="0"/>
          <w:marRight w:val="0"/>
          <w:marTop w:val="0"/>
          <w:marBottom w:val="0"/>
          <w:divBdr>
            <w:top w:val="none" w:sz="0" w:space="0" w:color="auto"/>
            <w:left w:val="none" w:sz="0" w:space="0" w:color="auto"/>
            <w:bottom w:val="none" w:sz="0" w:space="0" w:color="auto"/>
            <w:right w:val="none" w:sz="0" w:space="0" w:color="auto"/>
          </w:divBdr>
          <w:divsChild>
            <w:div w:id="562370548">
              <w:marLeft w:val="0"/>
              <w:marRight w:val="0"/>
              <w:marTop w:val="0"/>
              <w:marBottom w:val="0"/>
              <w:divBdr>
                <w:top w:val="none" w:sz="0" w:space="0" w:color="auto"/>
                <w:left w:val="none" w:sz="0" w:space="0" w:color="auto"/>
                <w:bottom w:val="none" w:sz="0" w:space="0" w:color="auto"/>
                <w:right w:val="none" w:sz="0" w:space="0" w:color="auto"/>
              </w:divBdr>
              <w:divsChild>
                <w:div w:id="18081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477">
      <w:bodyDiv w:val="1"/>
      <w:marLeft w:val="0"/>
      <w:marRight w:val="0"/>
      <w:marTop w:val="0"/>
      <w:marBottom w:val="0"/>
      <w:divBdr>
        <w:top w:val="none" w:sz="0" w:space="0" w:color="auto"/>
        <w:left w:val="none" w:sz="0" w:space="0" w:color="auto"/>
        <w:bottom w:val="none" w:sz="0" w:space="0" w:color="auto"/>
        <w:right w:val="none" w:sz="0" w:space="0" w:color="auto"/>
      </w:divBdr>
      <w:divsChild>
        <w:div w:id="1139104030">
          <w:marLeft w:val="0"/>
          <w:marRight w:val="0"/>
          <w:marTop w:val="0"/>
          <w:marBottom w:val="0"/>
          <w:divBdr>
            <w:top w:val="none" w:sz="0" w:space="0" w:color="auto"/>
            <w:left w:val="none" w:sz="0" w:space="0" w:color="auto"/>
            <w:bottom w:val="none" w:sz="0" w:space="0" w:color="auto"/>
            <w:right w:val="none" w:sz="0" w:space="0" w:color="auto"/>
          </w:divBdr>
          <w:divsChild>
            <w:div w:id="655567730">
              <w:marLeft w:val="0"/>
              <w:marRight w:val="0"/>
              <w:marTop w:val="0"/>
              <w:marBottom w:val="0"/>
              <w:divBdr>
                <w:top w:val="none" w:sz="0" w:space="0" w:color="auto"/>
                <w:left w:val="none" w:sz="0" w:space="0" w:color="auto"/>
                <w:bottom w:val="none" w:sz="0" w:space="0" w:color="auto"/>
                <w:right w:val="none" w:sz="0" w:space="0" w:color="auto"/>
              </w:divBdr>
              <w:divsChild>
                <w:div w:id="21217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7291">
      <w:bodyDiv w:val="1"/>
      <w:marLeft w:val="0"/>
      <w:marRight w:val="0"/>
      <w:marTop w:val="0"/>
      <w:marBottom w:val="0"/>
      <w:divBdr>
        <w:top w:val="none" w:sz="0" w:space="0" w:color="auto"/>
        <w:left w:val="none" w:sz="0" w:space="0" w:color="auto"/>
        <w:bottom w:val="none" w:sz="0" w:space="0" w:color="auto"/>
        <w:right w:val="none" w:sz="0" w:space="0" w:color="auto"/>
      </w:divBdr>
      <w:divsChild>
        <w:div w:id="1378552142">
          <w:marLeft w:val="0"/>
          <w:marRight w:val="0"/>
          <w:marTop w:val="0"/>
          <w:marBottom w:val="0"/>
          <w:divBdr>
            <w:top w:val="none" w:sz="0" w:space="0" w:color="auto"/>
            <w:left w:val="none" w:sz="0" w:space="0" w:color="auto"/>
            <w:bottom w:val="none" w:sz="0" w:space="0" w:color="auto"/>
            <w:right w:val="none" w:sz="0" w:space="0" w:color="auto"/>
          </w:divBdr>
          <w:divsChild>
            <w:div w:id="891697155">
              <w:marLeft w:val="0"/>
              <w:marRight w:val="0"/>
              <w:marTop w:val="0"/>
              <w:marBottom w:val="0"/>
              <w:divBdr>
                <w:top w:val="none" w:sz="0" w:space="0" w:color="auto"/>
                <w:left w:val="none" w:sz="0" w:space="0" w:color="auto"/>
                <w:bottom w:val="none" w:sz="0" w:space="0" w:color="auto"/>
                <w:right w:val="none" w:sz="0" w:space="0" w:color="auto"/>
              </w:divBdr>
              <w:divsChild>
                <w:div w:id="16764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450">
      <w:bodyDiv w:val="1"/>
      <w:marLeft w:val="0"/>
      <w:marRight w:val="0"/>
      <w:marTop w:val="0"/>
      <w:marBottom w:val="0"/>
      <w:divBdr>
        <w:top w:val="none" w:sz="0" w:space="0" w:color="auto"/>
        <w:left w:val="none" w:sz="0" w:space="0" w:color="auto"/>
        <w:bottom w:val="none" w:sz="0" w:space="0" w:color="auto"/>
        <w:right w:val="none" w:sz="0" w:space="0" w:color="auto"/>
      </w:divBdr>
      <w:divsChild>
        <w:div w:id="102463003">
          <w:marLeft w:val="0"/>
          <w:marRight w:val="0"/>
          <w:marTop w:val="0"/>
          <w:marBottom w:val="0"/>
          <w:divBdr>
            <w:top w:val="none" w:sz="0" w:space="0" w:color="auto"/>
            <w:left w:val="none" w:sz="0" w:space="0" w:color="auto"/>
            <w:bottom w:val="none" w:sz="0" w:space="0" w:color="auto"/>
            <w:right w:val="none" w:sz="0" w:space="0" w:color="auto"/>
          </w:divBdr>
          <w:divsChild>
            <w:div w:id="263073996">
              <w:marLeft w:val="0"/>
              <w:marRight w:val="0"/>
              <w:marTop w:val="0"/>
              <w:marBottom w:val="0"/>
              <w:divBdr>
                <w:top w:val="none" w:sz="0" w:space="0" w:color="auto"/>
                <w:left w:val="none" w:sz="0" w:space="0" w:color="auto"/>
                <w:bottom w:val="none" w:sz="0" w:space="0" w:color="auto"/>
                <w:right w:val="none" w:sz="0" w:space="0" w:color="auto"/>
              </w:divBdr>
              <w:divsChild>
                <w:div w:id="11673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2354">
      <w:bodyDiv w:val="1"/>
      <w:marLeft w:val="0"/>
      <w:marRight w:val="0"/>
      <w:marTop w:val="0"/>
      <w:marBottom w:val="0"/>
      <w:divBdr>
        <w:top w:val="none" w:sz="0" w:space="0" w:color="auto"/>
        <w:left w:val="none" w:sz="0" w:space="0" w:color="auto"/>
        <w:bottom w:val="none" w:sz="0" w:space="0" w:color="auto"/>
        <w:right w:val="none" w:sz="0" w:space="0" w:color="auto"/>
      </w:divBdr>
      <w:divsChild>
        <w:div w:id="1990399968">
          <w:marLeft w:val="0"/>
          <w:marRight w:val="0"/>
          <w:marTop w:val="0"/>
          <w:marBottom w:val="0"/>
          <w:divBdr>
            <w:top w:val="none" w:sz="0" w:space="0" w:color="auto"/>
            <w:left w:val="none" w:sz="0" w:space="0" w:color="auto"/>
            <w:bottom w:val="none" w:sz="0" w:space="0" w:color="auto"/>
            <w:right w:val="none" w:sz="0" w:space="0" w:color="auto"/>
          </w:divBdr>
          <w:divsChild>
            <w:div w:id="341512536">
              <w:marLeft w:val="0"/>
              <w:marRight w:val="0"/>
              <w:marTop w:val="0"/>
              <w:marBottom w:val="0"/>
              <w:divBdr>
                <w:top w:val="none" w:sz="0" w:space="0" w:color="auto"/>
                <w:left w:val="none" w:sz="0" w:space="0" w:color="auto"/>
                <w:bottom w:val="none" w:sz="0" w:space="0" w:color="auto"/>
                <w:right w:val="none" w:sz="0" w:space="0" w:color="auto"/>
              </w:divBdr>
              <w:divsChild>
                <w:div w:id="6178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0703">
      <w:bodyDiv w:val="1"/>
      <w:marLeft w:val="0"/>
      <w:marRight w:val="0"/>
      <w:marTop w:val="0"/>
      <w:marBottom w:val="0"/>
      <w:divBdr>
        <w:top w:val="none" w:sz="0" w:space="0" w:color="auto"/>
        <w:left w:val="none" w:sz="0" w:space="0" w:color="auto"/>
        <w:bottom w:val="none" w:sz="0" w:space="0" w:color="auto"/>
        <w:right w:val="none" w:sz="0" w:space="0" w:color="auto"/>
      </w:divBdr>
      <w:divsChild>
        <w:div w:id="804005030">
          <w:marLeft w:val="0"/>
          <w:marRight w:val="0"/>
          <w:marTop w:val="0"/>
          <w:marBottom w:val="0"/>
          <w:divBdr>
            <w:top w:val="none" w:sz="0" w:space="0" w:color="auto"/>
            <w:left w:val="none" w:sz="0" w:space="0" w:color="auto"/>
            <w:bottom w:val="none" w:sz="0" w:space="0" w:color="auto"/>
            <w:right w:val="none" w:sz="0" w:space="0" w:color="auto"/>
          </w:divBdr>
          <w:divsChild>
            <w:div w:id="1008219981">
              <w:marLeft w:val="0"/>
              <w:marRight w:val="0"/>
              <w:marTop w:val="0"/>
              <w:marBottom w:val="0"/>
              <w:divBdr>
                <w:top w:val="none" w:sz="0" w:space="0" w:color="auto"/>
                <w:left w:val="none" w:sz="0" w:space="0" w:color="auto"/>
                <w:bottom w:val="none" w:sz="0" w:space="0" w:color="auto"/>
                <w:right w:val="none" w:sz="0" w:space="0" w:color="auto"/>
              </w:divBdr>
              <w:divsChild>
                <w:div w:id="657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3141">
      <w:bodyDiv w:val="1"/>
      <w:marLeft w:val="0"/>
      <w:marRight w:val="0"/>
      <w:marTop w:val="0"/>
      <w:marBottom w:val="0"/>
      <w:divBdr>
        <w:top w:val="none" w:sz="0" w:space="0" w:color="auto"/>
        <w:left w:val="none" w:sz="0" w:space="0" w:color="auto"/>
        <w:bottom w:val="none" w:sz="0" w:space="0" w:color="auto"/>
        <w:right w:val="none" w:sz="0" w:space="0" w:color="auto"/>
      </w:divBdr>
      <w:divsChild>
        <w:div w:id="1105885720">
          <w:marLeft w:val="0"/>
          <w:marRight w:val="0"/>
          <w:marTop w:val="0"/>
          <w:marBottom w:val="0"/>
          <w:divBdr>
            <w:top w:val="none" w:sz="0" w:space="0" w:color="auto"/>
            <w:left w:val="none" w:sz="0" w:space="0" w:color="auto"/>
            <w:bottom w:val="none" w:sz="0" w:space="0" w:color="auto"/>
            <w:right w:val="none" w:sz="0" w:space="0" w:color="auto"/>
          </w:divBdr>
          <w:divsChild>
            <w:div w:id="921109656">
              <w:marLeft w:val="0"/>
              <w:marRight w:val="0"/>
              <w:marTop w:val="0"/>
              <w:marBottom w:val="0"/>
              <w:divBdr>
                <w:top w:val="none" w:sz="0" w:space="0" w:color="auto"/>
                <w:left w:val="none" w:sz="0" w:space="0" w:color="auto"/>
                <w:bottom w:val="none" w:sz="0" w:space="0" w:color="auto"/>
                <w:right w:val="none" w:sz="0" w:space="0" w:color="auto"/>
              </w:divBdr>
              <w:divsChild>
                <w:div w:id="363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405">
      <w:bodyDiv w:val="1"/>
      <w:marLeft w:val="0"/>
      <w:marRight w:val="0"/>
      <w:marTop w:val="0"/>
      <w:marBottom w:val="0"/>
      <w:divBdr>
        <w:top w:val="none" w:sz="0" w:space="0" w:color="auto"/>
        <w:left w:val="none" w:sz="0" w:space="0" w:color="auto"/>
        <w:bottom w:val="none" w:sz="0" w:space="0" w:color="auto"/>
        <w:right w:val="none" w:sz="0" w:space="0" w:color="auto"/>
      </w:divBdr>
      <w:divsChild>
        <w:div w:id="1696806289">
          <w:marLeft w:val="0"/>
          <w:marRight w:val="0"/>
          <w:marTop w:val="0"/>
          <w:marBottom w:val="0"/>
          <w:divBdr>
            <w:top w:val="none" w:sz="0" w:space="0" w:color="auto"/>
            <w:left w:val="none" w:sz="0" w:space="0" w:color="auto"/>
            <w:bottom w:val="none" w:sz="0" w:space="0" w:color="auto"/>
            <w:right w:val="none" w:sz="0" w:space="0" w:color="auto"/>
          </w:divBdr>
          <w:divsChild>
            <w:div w:id="1280919006">
              <w:marLeft w:val="0"/>
              <w:marRight w:val="0"/>
              <w:marTop w:val="0"/>
              <w:marBottom w:val="0"/>
              <w:divBdr>
                <w:top w:val="none" w:sz="0" w:space="0" w:color="auto"/>
                <w:left w:val="none" w:sz="0" w:space="0" w:color="auto"/>
                <w:bottom w:val="none" w:sz="0" w:space="0" w:color="auto"/>
                <w:right w:val="none" w:sz="0" w:space="0" w:color="auto"/>
              </w:divBdr>
              <w:divsChild>
                <w:div w:id="1816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1260">
      <w:bodyDiv w:val="1"/>
      <w:marLeft w:val="0"/>
      <w:marRight w:val="0"/>
      <w:marTop w:val="0"/>
      <w:marBottom w:val="0"/>
      <w:divBdr>
        <w:top w:val="none" w:sz="0" w:space="0" w:color="auto"/>
        <w:left w:val="none" w:sz="0" w:space="0" w:color="auto"/>
        <w:bottom w:val="none" w:sz="0" w:space="0" w:color="auto"/>
        <w:right w:val="none" w:sz="0" w:space="0" w:color="auto"/>
      </w:divBdr>
      <w:divsChild>
        <w:div w:id="512381991">
          <w:marLeft w:val="0"/>
          <w:marRight w:val="0"/>
          <w:marTop w:val="0"/>
          <w:marBottom w:val="0"/>
          <w:divBdr>
            <w:top w:val="none" w:sz="0" w:space="0" w:color="auto"/>
            <w:left w:val="none" w:sz="0" w:space="0" w:color="auto"/>
            <w:bottom w:val="none" w:sz="0" w:space="0" w:color="auto"/>
            <w:right w:val="none" w:sz="0" w:space="0" w:color="auto"/>
          </w:divBdr>
          <w:divsChild>
            <w:div w:id="2018120165">
              <w:marLeft w:val="0"/>
              <w:marRight w:val="0"/>
              <w:marTop w:val="0"/>
              <w:marBottom w:val="0"/>
              <w:divBdr>
                <w:top w:val="none" w:sz="0" w:space="0" w:color="auto"/>
                <w:left w:val="none" w:sz="0" w:space="0" w:color="auto"/>
                <w:bottom w:val="none" w:sz="0" w:space="0" w:color="auto"/>
                <w:right w:val="none" w:sz="0" w:space="0" w:color="auto"/>
              </w:divBdr>
              <w:divsChild>
                <w:div w:id="12259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019">
      <w:bodyDiv w:val="1"/>
      <w:marLeft w:val="0"/>
      <w:marRight w:val="0"/>
      <w:marTop w:val="0"/>
      <w:marBottom w:val="0"/>
      <w:divBdr>
        <w:top w:val="none" w:sz="0" w:space="0" w:color="auto"/>
        <w:left w:val="none" w:sz="0" w:space="0" w:color="auto"/>
        <w:bottom w:val="none" w:sz="0" w:space="0" w:color="auto"/>
        <w:right w:val="none" w:sz="0" w:space="0" w:color="auto"/>
      </w:divBdr>
      <w:divsChild>
        <w:div w:id="1301962462">
          <w:marLeft w:val="0"/>
          <w:marRight w:val="0"/>
          <w:marTop w:val="0"/>
          <w:marBottom w:val="0"/>
          <w:divBdr>
            <w:top w:val="none" w:sz="0" w:space="0" w:color="auto"/>
            <w:left w:val="none" w:sz="0" w:space="0" w:color="auto"/>
            <w:bottom w:val="none" w:sz="0" w:space="0" w:color="auto"/>
            <w:right w:val="none" w:sz="0" w:space="0" w:color="auto"/>
          </w:divBdr>
          <w:divsChild>
            <w:div w:id="1789161328">
              <w:marLeft w:val="0"/>
              <w:marRight w:val="0"/>
              <w:marTop w:val="0"/>
              <w:marBottom w:val="0"/>
              <w:divBdr>
                <w:top w:val="none" w:sz="0" w:space="0" w:color="auto"/>
                <w:left w:val="none" w:sz="0" w:space="0" w:color="auto"/>
                <w:bottom w:val="none" w:sz="0" w:space="0" w:color="auto"/>
                <w:right w:val="none" w:sz="0" w:space="0" w:color="auto"/>
              </w:divBdr>
              <w:divsChild>
                <w:div w:id="19363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5839">
      <w:bodyDiv w:val="1"/>
      <w:marLeft w:val="0"/>
      <w:marRight w:val="0"/>
      <w:marTop w:val="0"/>
      <w:marBottom w:val="0"/>
      <w:divBdr>
        <w:top w:val="none" w:sz="0" w:space="0" w:color="auto"/>
        <w:left w:val="none" w:sz="0" w:space="0" w:color="auto"/>
        <w:bottom w:val="none" w:sz="0" w:space="0" w:color="auto"/>
        <w:right w:val="none" w:sz="0" w:space="0" w:color="auto"/>
      </w:divBdr>
      <w:divsChild>
        <w:div w:id="320934733">
          <w:marLeft w:val="0"/>
          <w:marRight w:val="0"/>
          <w:marTop w:val="0"/>
          <w:marBottom w:val="0"/>
          <w:divBdr>
            <w:top w:val="none" w:sz="0" w:space="0" w:color="auto"/>
            <w:left w:val="none" w:sz="0" w:space="0" w:color="auto"/>
            <w:bottom w:val="none" w:sz="0" w:space="0" w:color="auto"/>
            <w:right w:val="none" w:sz="0" w:space="0" w:color="auto"/>
          </w:divBdr>
          <w:divsChild>
            <w:div w:id="1579633323">
              <w:marLeft w:val="0"/>
              <w:marRight w:val="0"/>
              <w:marTop w:val="0"/>
              <w:marBottom w:val="0"/>
              <w:divBdr>
                <w:top w:val="none" w:sz="0" w:space="0" w:color="auto"/>
                <w:left w:val="none" w:sz="0" w:space="0" w:color="auto"/>
                <w:bottom w:val="none" w:sz="0" w:space="0" w:color="auto"/>
                <w:right w:val="none" w:sz="0" w:space="0" w:color="auto"/>
              </w:divBdr>
              <w:divsChild>
                <w:div w:id="20280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475">
      <w:bodyDiv w:val="1"/>
      <w:marLeft w:val="0"/>
      <w:marRight w:val="0"/>
      <w:marTop w:val="0"/>
      <w:marBottom w:val="0"/>
      <w:divBdr>
        <w:top w:val="none" w:sz="0" w:space="0" w:color="auto"/>
        <w:left w:val="none" w:sz="0" w:space="0" w:color="auto"/>
        <w:bottom w:val="none" w:sz="0" w:space="0" w:color="auto"/>
        <w:right w:val="none" w:sz="0" w:space="0" w:color="auto"/>
      </w:divBdr>
      <w:divsChild>
        <w:div w:id="1076586013">
          <w:marLeft w:val="0"/>
          <w:marRight w:val="0"/>
          <w:marTop w:val="0"/>
          <w:marBottom w:val="0"/>
          <w:divBdr>
            <w:top w:val="none" w:sz="0" w:space="0" w:color="auto"/>
            <w:left w:val="none" w:sz="0" w:space="0" w:color="auto"/>
            <w:bottom w:val="none" w:sz="0" w:space="0" w:color="auto"/>
            <w:right w:val="none" w:sz="0" w:space="0" w:color="auto"/>
          </w:divBdr>
          <w:divsChild>
            <w:div w:id="1913390082">
              <w:marLeft w:val="0"/>
              <w:marRight w:val="0"/>
              <w:marTop w:val="0"/>
              <w:marBottom w:val="0"/>
              <w:divBdr>
                <w:top w:val="none" w:sz="0" w:space="0" w:color="auto"/>
                <w:left w:val="none" w:sz="0" w:space="0" w:color="auto"/>
                <w:bottom w:val="none" w:sz="0" w:space="0" w:color="auto"/>
                <w:right w:val="none" w:sz="0" w:space="0" w:color="auto"/>
              </w:divBdr>
              <w:divsChild>
                <w:div w:id="14658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2258">
      <w:bodyDiv w:val="1"/>
      <w:marLeft w:val="0"/>
      <w:marRight w:val="0"/>
      <w:marTop w:val="0"/>
      <w:marBottom w:val="0"/>
      <w:divBdr>
        <w:top w:val="none" w:sz="0" w:space="0" w:color="auto"/>
        <w:left w:val="none" w:sz="0" w:space="0" w:color="auto"/>
        <w:bottom w:val="none" w:sz="0" w:space="0" w:color="auto"/>
        <w:right w:val="none" w:sz="0" w:space="0" w:color="auto"/>
      </w:divBdr>
      <w:divsChild>
        <w:div w:id="1819029461">
          <w:marLeft w:val="0"/>
          <w:marRight w:val="0"/>
          <w:marTop w:val="0"/>
          <w:marBottom w:val="0"/>
          <w:divBdr>
            <w:top w:val="none" w:sz="0" w:space="0" w:color="auto"/>
            <w:left w:val="none" w:sz="0" w:space="0" w:color="auto"/>
            <w:bottom w:val="none" w:sz="0" w:space="0" w:color="auto"/>
            <w:right w:val="none" w:sz="0" w:space="0" w:color="auto"/>
          </w:divBdr>
          <w:divsChild>
            <w:div w:id="1115098903">
              <w:marLeft w:val="0"/>
              <w:marRight w:val="0"/>
              <w:marTop w:val="0"/>
              <w:marBottom w:val="0"/>
              <w:divBdr>
                <w:top w:val="none" w:sz="0" w:space="0" w:color="auto"/>
                <w:left w:val="none" w:sz="0" w:space="0" w:color="auto"/>
                <w:bottom w:val="none" w:sz="0" w:space="0" w:color="auto"/>
                <w:right w:val="none" w:sz="0" w:space="0" w:color="auto"/>
              </w:divBdr>
              <w:divsChild>
                <w:div w:id="14927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6584">
      <w:bodyDiv w:val="1"/>
      <w:marLeft w:val="0"/>
      <w:marRight w:val="0"/>
      <w:marTop w:val="0"/>
      <w:marBottom w:val="0"/>
      <w:divBdr>
        <w:top w:val="none" w:sz="0" w:space="0" w:color="auto"/>
        <w:left w:val="none" w:sz="0" w:space="0" w:color="auto"/>
        <w:bottom w:val="none" w:sz="0" w:space="0" w:color="auto"/>
        <w:right w:val="none" w:sz="0" w:space="0" w:color="auto"/>
      </w:divBdr>
      <w:divsChild>
        <w:div w:id="1074818059">
          <w:marLeft w:val="0"/>
          <w:marRight w:val="0"/>
          <w:marTop w:val="0"/>
          <w:marBottom w:val="0"/>
          <w:divBdr>
            <w:top w:val="none" w:sz="0" w:space="0" w:color="auto"/>
            <w:left w:val="none" w:sz="0" w:space="0" w:color="auto"/>
            <w:bottom w:val="none" w:sz="0" w:space="0" w:color="auto"/>
            <w:right w:val="none" w:sz="0" w:space="0" w:color="auto"/>
          </w:divBdr>
          <w:divsChild>
            <w:div w:id="1507868665">
              <w:marLeft w:val="0"/>
              <w:marRight w:val="0"/>
              <w:marTop w:val="0"/>
              <w:marBottom w:val="0"/>
              <w:divBdr>
                <w:top w:val="none" w:sz="0" w:space="0" w:color="auto"/>
                <w:left w:val="none" w:sz="0" w:space="0" w:color="auto"/>
                <w:bottom w:val="none" w:sz="0" w:space="0" w:color="auto"/>
                <w:right w:val="none" w:sz="0" w:space="0" w:color="auto"/>
              </w:divBdr>
              <w:divsChild>
                <w:div w:id="7218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42846">
      <w:bodyDiv w:val="1"/>
      <w:marLeft w:val="0"/>
      <w:marRight w:val="0"/>
      <w:marTop w:val="0"/>
      <w:marBottom w:val="0"/>
      <w:divBdr>
        <w:top w:val="none" w:sz="0" w:space="0" w:color="auto"/>
        <w:left w:val="none" w:sz="0" w:space="0" w:color="auto"/>
        <w:bottom w:val="none" w:sz="0" w:space="0" w:color="auto"/>
        <w:right w:val="none" w:sz="0" w:space="0" w:color="auto"/>
      </w:divBdr>
      <w:divsChild>
        <w:div w:id="2062702672">
          <w:marLeft w:val="0"/>
          <w:marRight w:val="0"/>
          <w:marTop w:val="0"/>
          <w:marBottom w:val="0"/>
          <w:divBdr>
            <w:top w:val="none" w:sz="0" w:space="0" w:color="auto"/>
            <w:left w:val="none" w:sz="0" w:space="0" w:color="auto"/>
            <w:bottom w:val="none" w:sz="0" w:space="0" w:color="auto"/>
            <w:right w:val="none" w:sz="0" w:space="0" w:color="auto"/>
          </w:divBdr>
          <w:divsChild>
            <w:div w:id="1976833055">
              <w:marLeft w:val="0"/>
              <w:marRight w:val="0"/>
              <w:marTop w:val="0"/>
              <w:marBottom w:val="0"/>
              <w:divBdr>
                <w:top w:val="none" w:sz="0" w:space="0" w:color="auto"/>
                <w:left w:val="none" w:sz="0" w:space="0" w:color="auto"/>
                <w:bottom w:val="none" w:sz="0" w:space="0" w:color="auto"/>
                <w:right w:val="none" w:sz="0" w:space="0" w:color="auto"/>
              </w:divBdr>
              <w:divsChild>
                <w:div w:id="11244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8972">
      <w:bodyDiv w:val="1"/>
      <w:marLeft w:val="0"/>
      <w:marRight w:val="0"/>
      <w:marTop w:val="0"/>
      <w:marBottom w:val="0"/>
      <w:divBdr>
        <w:top w:val="none" w:sz="0" w:space="0" w:color="auto"/>
        <w:left w:val="none" w:sz="0" w:space="0" w:color="auto"/>
        <w:bottom w:val="none" w:sz="0" w:space="0" w:color="auto"/>
        <w:right w:val="none" w:sz="0" w:space="0" w:color="auto"/>
      </w:divBdr>
      <w:divsChild>
        <w:div w:id="967588231">
          <w:marLeft w:val="0"/>
          <w:marRight w:val="0"/>
          <w:marTop w:val="0"/>
          <w:marBottom w:val="0"/>
          <w:divBdr>
            <w:top w:val="none" w:sz="0" w:space="0" w:color="auto"/>
            <w:left w:val="none" w:sz="0" w:space="0" w:color="auto"/>
            <w:bottom w:val="none" w:sz="0" w:space="0" w:color="auto"/>
            <w:right w:val="none" w:sz="0" w:space="0" w:color="auto"/>
          </w:divBdr>
          <w:divsChild>
            <w:div w:id="1386756065">
              <w:marLeft w:val="0"/>
              <w:marRight w:val="0"/>
              <w:marTop w:val="0"/>
              <w:marBottom w:val="0"/>
              <w:divBdr>
                <w:top w:val="none" w:sz="0" w:space="0" w:color="auto"/>
                <w:left w:val="none" w:sz="0" w:space="0" w:color="auto"/>
                <w:bottom w:val="none" w:sz="0" w:space="0" w:color="auto"/>
                <w:right w:val="none" w:sz="0" w:space="0" w:color="auto"/>
              </w:divBdr>
              <w:divsChild>
                <w:div w:id="19769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8899">
      <w:bodyDiv w:val="1"/>
      <w:marLeft w:val="0"/>
      <w:marRight w:val="0"/>
      <w:marTop w:val="0"/>
      <w:marBottom w:val="0"/>
      <w:divBdr>
        <w:top w:val="none" w:sz="0" w:space="0" w:color="auto"/>
        <w:left w:val="none" w:sz="0" w:space="0" w:color="auto"/>
        <w:bottom w:val="none" w:sz="0" w:space="0" w:color="auto"/>
        <w:right w:val="none" w:sz="0" w:space="0" w:color="auto"/>
      </w:divBdr>
      <w:divsChild>
        <w:div w:id="420761336">
          <w:marLeft w:val="0"/>
          <w:marRight w:val="0"/>
          <w:marTop w:val="0"/>
          <w:marBottom w:val="0"/>
          <w:divBdr>
            <w:top w:val="none" w:sz="0" w:space="0" w:color="auto"/>
            <w:left w:val="none" w:sz="0" w:space="0" w:color="auto"/>
            <w:bottom w:val="none" w:sz="0" w:space="0" w:color="auto"/>
            <w:right w:val="none" w:sz="0" w:space="0" w:color="auto"/>
          </w:divBdr>
          <w:divsChild>
            <w:div w:id="657080435">
              <w:marLeft w:val="0"/>
              <w:marRight w:val="0"/>
              <w:marTop w:val="0"/>
              <w:marBottom w:val="0"/>
              <w:divBdr>
                <w:top w:val="none" w:sz="0" w:space="0" w:color="auto"/>
                <w:left w:val="none" w:sz="0" w:space="0" w:color="auto"/>
                <w:bottom w:val="none" w:sz="0" w:space="0" w:color="auto"/>
                <w:right w:val="none" w:sz="0" w:space="0" w:color="auto"/>
              </w:divBdr>
              <w:divsChild>
                <w:div w:id="10708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68155">
      <w:bodyDiv w:val="1"/>
      <w:marLeft w:val="0"/>
      <w:marRight w:val="0"/>
      <w:marTop w:val="0"/>
      <w:marBottom w:val="0"/>
      <w:divBdr>
        <w:top w:val="none" w:sz="0" w:space="0" w:color="auto"/>
        <w:left w:val="none" w:sz="0" w:space="0" w:color="auto"/>
        <w:bottom w:val="none" w:sz="0" w:space="0" w:color="auto"/>
        <w:right w:val="none" w:sz="0" w:space="0" w:color="auto"/>
      </w:divBdr>
      <w:divsChild>
        <w:div w:id="1260064856">
          <w:marLeft w:val="0"/>
          <w:marRight w:val="0"/>
          <w:marTop w:val="0"/>
          <w:marBottom w:val="0"/>
          <w:divBdr>
            <w:top w:val="none" w:sz="0" w:space="0" w:color="auto"/>
            <w:left w:val="none" w:sz="0" w:space="0" w:color="auto"/>
            <w:bottom w:val="none" w:sz="0" w:space="0" w:color="auto"/>
            <w:right w:val="none" w:sz="0" w:space="0" w:color="auto"/>
          </w:divBdr>
          <w:divsChild>
            <w:div w:id="1412964993">
              <w:marLeft w:val="0"/>
              <w:marRight w:val="0"/>
              <w:marTop w:val="0"/>
              <w:marBottom w:val="0"/>
              <w:divBdr>
                <w:top w:val="none" w:sz="0" w:space="0" w:color="auto"/>
                <w:left w:val="none" w:sz="0" w:space="0" w:color="auto"/>
                <w:bottom w:val="none" w:sz="0" w:space="0" w:color="auto"/>
                <w:right w:val="none" w:sz="0" w:space="0" w:color="auto"/>
              </w:divBdr>
              <w:divsChild>
                <w:div w:id="11299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5993">
      <w:bodyDiv w:val="1"/>
      <w:marLeft w:val="0"/>
      <w:marRight w:val="0"/>
      <w:marTop w:val="0"/>
      <w:marBottom w:val="0"/>
      <w:divBdr>
        <w:top w:val="none" w:sz="0" w:space="0" w:color="auto"/>
        <w:left w:val="none" w:sz="0" w:space="0" w:color="auto"/>
        <w:bottom w:val="none" w:sz="0" w:space="0" w:color="auto"/>
        <w:right w:val="none" w:sz="0" w:space="0" w:color="auto"/>
      </w:divBdr>
      <w:divsChild>
        <w:div w:id="403919935">
          <w:marLeft w:val="0"/>
          <w:marRight w:val="0"/>
          <w:marTop w:val="0"/>
          <w:marBottom w:val="0"/>
          <w:divBdr>
            <w:top w:val="none" w:sz="0" w:space="0" w:color="auto"/>
            <w:left w:val="none" w:sz="0" w:space="0" w:color="auto"/>
            <w:bottom w:val="none" w:sz="0" w:space="0" w:color="auto"/>
            <w:right w:val="none" w:sz="0" w:space="0" w:color="auto"/>
          </w:divBdr>
          <w:divsChild>
            <w:div w:id="1457682111">
              <w:marLeft w:val="0"/>
              <w:marRight w:val="0"/>
              <w:marTop w:val="0"/>
              <w:marBottom w:val="0"/>
              <w:divBdr>
                <w:top w:val="none" w:sz="0" w:space="0" w:color="auto"/>
                <w:left w:val="none" w:sz="0" w:space="0" w:color="auto"/>
                <w:bottom w:val="none" w:sz="0" w:space="0" w:color="auto"/>
                <w:right w:val="none" w:sz="0" w:space="0" w:color="auto"/>
              </w:divBdr>
              <w:divsChild>
                <w:div w:id="3309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6245">
      <w:bodyDiv w:val="1"/>
      <w:marLeft w:val="0"/>
      <w:marRight w:val="0"/>
      <w:marTop w:val="0"/>
      <w:marBottom w:val="0"/>
      <w:divBdr>
        <w:top w:val="none" w:sz="0" w:space="0" w:color="auto"/>
        <w:left w:val="none" w:sz="0" w:space="0" w:color="auto"/>
        <w:bottom w:val="none" w:sz="0" w:space="0" w:color="auto"/>
        <w:right w:val="none" w:sz="0" w:space="0" w:color="auto"/>
      </w:divBdr>
      <w:divsChild>
        <w:div w:id="510878994">
          <w:marLeft w:val="0"/>
          <w:marRight w:val="0"/>
          <w:marTop w:val="0"/>
          <w:marBottom w:val="0"/>
          <w:divBdr>
            <w:top w:val="none" w:sz="0" w:space="0" w:color="auto"/>
            <w:left w:val="none" w:sz="0" w:space="0" w:color="auto"/>
            <w:bottom w:val="none" w:sz="0" w:space="0" w:color="auto"/>
            <w:right w:val="none" w:sz="0" w:space="0" w:color="auto"/>
          </w:divBdr>
          <w:divsChild>
            <w:div w:id="1445272101">
              <w:marLeft w:val="0"/>
              <w:marRight w:val="0"/>
              <w:marTop w:val="0"/>
              <w:marBottom w:val="0"/>
              <w:divBdr>
                <w:top w:val="none" w:sz="0" w:space="0" w:color="auto"/>
                <w:left w:val="none" w:sz="0" w:space="0" w:color="auto"/>
                <w:bottom w:val="none" w:sz="0" w:space="0" w:color="auto"/>
                <w:right w:val="none" w:sz="0" w:space="0" w:color="auto"/>
              </w:divBdr>
              <w:divsChild>
                <w:div w:id="4174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61040">
      <w:bodyDiv w:val="1"/>
      <w:marLeft w:val="0"/>
      <w:marRight w:val="0"/>
      <w:marTop w:val="0"/>
      <w:marBottom w:val="0"/>
      <w:divBdr>
        <w:top w:val="none" w:sz="0" w:space="0" w:color="auto"/>
        <w:left w:val="none" w:sz="0" w:space="0" w:color="auto"/>
        <w:bottom w:val="none" w:sz="0" w:space="0" w:color="auto"/>
        <w:right w:val="none" w:sz="0" w:space="0" w:color="auto"/>
      </w:divBdr>
      <w:divsChild>
        <w:div w:id="1267345204">
          <w:marLeft w:val="0"/>
          <w:marRight w:val="0"/>
          <w:marTop w:val="0"/>
          <w:marBottom w:val="0"/>
          <w:divBdr>
            <w:top w:val="none" w:sz="0" w:space="0" w:color="auto"/>
            <w:left w:val="none" w:sz="0" w:space="0" w:color="auto"/>
            <w:bottom w:val="none" w:sz="0" w:space="0" w:color="auto"/>
            <w:right w:val="none" w:sz="0" w:space="0" w:color="auto"/>
          </w:divBdr>
          <w:divsChild>
            <w:div w:id="1087966631">
              <w:marLeft w:val="0"/>
              <w:marRight w:val="0"/>
              <w:marTop w:val="0"/>
              <w:marBottom w:val="0"/>
              <w:divBdr>
                <w:top w:val="none" w:sz="0" w:space="0" w:color="auto"/>
                <w:left w:val="none" w:sz="0" w:space="0" w:color="auto"/>
                <w:bottom w:val="none" w:sz="0" w:space="0" w:color="auto"/>
                <w:right w:val="none" w:sz="0" w:space="0" w:color="auto"/>
              </w:divBdr>
              <w:divsChild>
                <w:div w:id="6016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8485">
      <w:bodyDiv w:val="1"/>
      <w:marLeft w:val="0"/>
      <w:marRight w:val="0"/>
      <w:marTop w:val="0"/>
      <w:marBottom w:val="0"/>
      <w:divBdr>
        <w:top w:val="none" w:sz="0" w:space="0" w:color="auto"/>
        <w:left w:val="none" w:sz="0" w:space="0" w:color="auto"/>
        <w:bottom w:val="none" w:sz="0" w:space="0" w:color="auto"/>
        <w:right w:val="none" w:sz="0" w:space="0" w:color="auto"/>
      </w:divBdr>
      <w:divsChild>
        <w:div w:id="872304232">
          <w:marLeft w:val="0"/>
          <w:marRight w:val="0"/>
          <w:marTop w:val="0"/>
          <w:marBottom w:val="0"/>
          <w:divBdr>
            <w:top w:val="none" w:sz="0" w:space="0" w:color="auto"/>
            <w:left w:val="none" w:sz="0" w:space="0" w:color="auto"/>
            <w:bottom w:val="none" w:sz="0" w:space="0" w:color="auto"/>
            <w:right w:val="none" w:sz="0" w:space="0" w:color="auto"/>
          </w:divBdr>
          <w:divsChild>
            <w:div w:id="8989457">
              <w:marLeft w:val="0"/>
              <w:marRight w:val="0"/>
              <w:marTop w:val="0"/>
              <w:marBottom w:val="0"/>
              <w:divBdr>
                <w:top w:val="none" w:sz="0" w:space="0" w:color="auto"/>
                <w:left w:val="none" w:sz="0" w:space="0" w:color="auto"/>
                <w:bottom w:val="none" w:sz="0" w:space="0" w:color="auto"/>
                <w:right w:val="none" w:sz="0" w:space="0" w:color="auto"/>
              </w:divBdr>
              <w:divsChild>
                <w:div w:id="14931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61110">
      <w:bodyDiv w:val="1"/>
      <w:marLeft w:val="0"/>
      <w:marRight w:val="0"/>
      <w:marTop w:val="0"/>
      <w:marBottom w:val="0"/>
      <w:divBdr>
        <w:top w:val="none" w:sz="0" w:space="0" w:color="auto"/>
        <w:left w:val="none" w:sz="0" w:space="0" w:color="auto"/>
        <w:bottom w:val="none" w:sz="0" w:space="0" w:color="auto"/>
        <w:right w:val="none" w:sz="0" w:space="0" w:color="auto"/>
      </w:divBdr>
      <w:divsChild>
        <w:div w:id="1412654174">
          <w:marLeft w:val="0"/>
          <w:marRight w:val="0"/>
          <w:marTop w:val="0"/>
          <w:marBottom w:val="0"/>
          <w:divBdr>
            <w:top w:val="none" w:sz="0" w:space="0" w:color="auto"/>
            <w:left w:val="none" w:sz="0" w:space="0" w:color="auto"/>
            <w:bottom w:val="none" w:sz="0" w:space="0" w:color="auto"/>
            <w:right w:val="none" w:sz="0" w:space="0" w:color="auto"/>
          </w:divBdr>
          <w:divsChild>
            <w:div w:id="285820855">
              <w:marLeft w:val="0"/>
              <w:marRight w:val="0"/>
              <w:marTop w:val="0"/>
              <w:marBottom w:val="0"/>
              <w:divBdr>
                <w:top w:val="none" w:sz="0" w:space="0" w:color="auto"/>
                <w:left w:val="none" w:sz="0" w:space="0" w:color="auto"/>
                <w:bottom w:val="none" w:sz="0" w:space="0" w:color="auto"/>
                <w:right w:val="none" w:sz="0" w:space="0" w:color="auto"/>
              </w:divBdr>
              <w:divsChild>
                <w:div w:id="21248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7620">
          <w:marLeft w:val="0"/>
          <w:marRight w:val="0"/>
          <w:marTop w:val="0"/>
          <w:marBottom w:val="0"/>
          <w:divBdr>
            <w:top w:val="none" w:sz="0" w:space="0" w:color="auto"/>
            <w:left w:val="none" w:sz="0" w:space="0" w:color="auto"/>
            <w:bottom w:val="none" w:sz="0" w:space="0" w:color="auto"/>
            <w:right w:val="none" w:sz="0" w:space="0" w:color="auto"/>
          </w:divBdr>
          <w:divsChild>
            <w:div w:id="460463276">
              <w:marLeft w:val="0"/>
              <w:marRight w:val="0"/>
              <w:marTop w:val="0"/>
              <w:marBottom w:val="0"/>
              <w:divBdr>
                <w:top w:val="none" w:sz="0" w:space="0" w:color="auto"/>
                <w:left w:val="none" w:sz="0" w:space="0" w:color="auto"/>
                <w:bottom w:val="none" w:sz="0" w:space="0" w:color="auto"/>
                <w:right w:val="none" w:sz="0" w:space="0" w:color="auto"/>
              </w:divBdr>
              <w:divsChild>
                <w:div w:id="135804132">
                  <w:marLeft w:val="0"/>
                  <w:marRight w:val="0"/>
                  <w:marTop w:val="0"/>
                  <w:marBottom w:val="0"/>
                  <w:divBdr>
                    <w:top w:val="none" w:sz="0" w:space="0" w:color="auto"/>
                    <w:left w:val="none" w:sz="0" w:space="0" w:color="auto"/>
                    <w:bottom w:val="none" w:sz="0" w:space="0" w:color="auto"/>
                    <w:right w:val="none" w:sz="0" w:space="0" w:color="auto"/>
                  </w:divBdr>
                </w:div>
              </w:divsChild>
            </w:div>
            <w:div w:id="1754207504">
              <w:marLeft w:val="0"/>
              <w:marRight w:val="0"/>
              <w:marTop w:val="0"/>
              <w:marBottom w:val="0"/>
              <w:divBdr>
                <w:top w:val="none" w:sz="0" w:space="0" w:color="auto"/>
                <w:left w:val="none" w:sz="0" w:space="0" w:color="auto"/>
                <w:bottom w:val="none" w:sz="0" w:space="0" w:color="auto"/>
                <w:right w:val="none" w:sz="0" w:space="0" w:color="auto"/>
              </w:divBdr>
              <w:divsChild>
                <w:div w:id="3476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7401">
      <w:bodyDiv w:val="1"/>
      <w:marLeft w:val="0"/>
      <w:marRight w:val="0"/>
      <w:marTop w:val="0"/>
      <w:marBottom w:val="0"/>
      <w:divBdr>
        <w:top w:val="none" w:sz="0" w:space="0" w:color="auto"/>
        <w:left w:val="none" w:sz="0" w:space="0" w:color="auto"/>
        <w:bottom w:val="none" w:sz="0" w:space="0" w:color="auto"/>
        <w:right w:val="none" w:sz="0" w:space="0" w:color="auto"/>
      </w:divBdr>
      <w:divsChild>
        <w:div w:id="22247636">
          <w:marLeft w:val="0"/>
          <w:marRight w:val="0"/>
          <w:marTop w:val="0"/>
          <w:marBottom w:val="0"/>
          <w:divBdr>
            <w:top w:val="none" w:sz="0" w:space="0" w:color="auto"/>
            <w:left w:val="none" w:sz="0" w:space="0" w:color="auto"/>
            <w:bottom w:val="none" w:sz="0" w:space="0" w:color="auto"/>
            <w:right w:val="none" w:sz="0" w:space="0" w:color="auto"/>
          </w:divBdr>
          <w:divsChild>
            <w:div w:id="1905334831">
              <w:marLeft w:val="0"/>
              <w:marRight w:val="0"/>
              <w:marTop w:val="0"/>
              <w:marBottom w:val="0"/>
              <w:divBdr>
                <w:top w:val="none" w:sz="0" w:space="0" w:color="auto"/>
                <w:left w:val="none" w:sz="0" w:space="0" w:color="auto"/>
                <w:bottom w:val="none" w:sz="0" w:space="0" w:color="auto"/>
                <w:right w:val="none" w:sz="0" w:space="0" w:color="auto"/>
              </w:divBdr>
              <w:divsChild>
                <w:div w:id="16399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1648">
      <w:bodyDiv w:val="1"/>
      <w:marLeft w:val="0"/>
      <w:marRight w:val="0"/>
      <w:marTop w:val="0"/>
      <w:marBottom w:val="0"/>
      <w:divBdr>
        <w:top w:val="none" w:sz="0" w:space="0" w:color="auto"/>
        <w:left w:val="none" w:sz="0" w:space="0" w:color="auto"/>
        <w:bottom w:val="none" w:sz="0" w:space="0" w:color="auto"/>
        <w:right w:val="none" w:sz="0" w:space="0" w:color="auto"/>
      </w:divBdr>
      <w:divsChild>
        <w:div w:id="1098451812">
          <w:marLeft w:val="0"/>
          <w:marRight w:val="0"/>
          <w:marTop w:val="0"/>
          <w:marBottom w:val="0"/>
          <w:divBdr>
            <w:top w:val="none" w:sz="0" w:space="0" w:color="auto"/>
            <w:left w:val="none" w:sz="0" w:space="0" w:color="auto"/>
            <w:bottom w:val="none" w:sz="0" w:space="0" w:color="auto"/>
            <w:right w:val="none" w:sz="0" w:space="0" w:color="auto"/>
          </w:divBdr>
          <w:divsChild>
            <w:div w:id="52703504">
              <w:marLeft w:val="0"/>
              <w:marRight w:val="0"/>
              <w:marTop w:val="0"/>
              <w:marBottom w:val="0"/>
              <w:divBdr>
                <w:top w:val="none" w:sz="0" w:space="0" w:color="auto"/>
                <w:left w:val="none" w:sz="0" w:space="0" w:color="auto"/>
                <w:bottom w:val="none" w:sz="0" w:space="0" w:color="auto"/>
                <w:right w:val="none" w:sz="0" w:space="0" w:color="auto"/>
              </w:divBdr>
              <w:divsChild>
                <w:div w:id="2034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6446">
      <w:bodyDiv w:val="1"/>
      <w:marLeft w:val="0"/>
      <w:marRight w:val="0"/>
      <w:marTop w:val="0"/>
      <w:marBottom w:val="0"/>
      <w:divBdr>
        <w:top w:val="none" w:sz="0" w:space="0" w:color="auto"/>
        <w:left w:val="none" w:sz="0" w:space="0" w:color="auto"/>
        <w:bottom w:val="none" w:sz="0" w:space="0" w:color="auto"/>
        <w:right w:val="none" w:sz="0" w:space="0" w:color="auto"/>
      </w:divBdr>
      <w:divsChild>
        <w:div w:id="486432935">
          <w:marLeft w:val="0"/>
          <w:marRight w:val="0"/>
          <w:marTop w:val="0"/>
          <w:marBottom w:val="0"/>
          <w:divBdr>
            <w:top w:val="none" w:sz="0" w:space="0" w:color="auto"/>
            <w:left w:val="none" w:sz="0" w:space="0" w:color="auto"/>
            <w:bottom w:val="none" w:sz="0" w:space="0" w:color="auto"/>
            <w:right w:val="none" w:sz="0" w:space="0" w:color="auto"/>
          </w:divBdr>
          <w:divsChild>
            <w:div w:id="149248667">
              <w:marLeft w:val="0"/>
              <w:marRight w:val="0"/>
              <w:marTop w:val="0"/>
              <w:marBottom w:val="0"/>
              <w:divBdr>
                <w:top w:val="none" w:sz="0" w:space="0" w:color="auto"/>
                <w:left w:val="none" w:sz="0" w:space="0" w:color="auto"/>
                <w:bottom w:val="none" w:sz="0" w:space="0" w:color="auto"/>
                <w:right w:val="none" w:sz="0" w:space="0" w:color="auto"/>
              </w:divBdr>
              <w:divsChild>
                <w:div w:id="2199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5187">
      <w:bodyDiv w:val="1"/>
      <w:marLeft w:val="0"/>
      <w:marRight w:val="0"/>
      <w:marTop w:val="0"/>
      <w:marBottom w:val="0"/>
      <w:divBdr>
        <w:top w:val="none" w:sz="0" w:space="0" w:color="auto"/>
        <w:left w:val="none" w:sz="0" w:space="0" w:color="auto"/>
        <w:bottom w:val="none" w:sz="0" w:space="0" w:color="auto"/>
        <w:right w:val="none" w:sz="0" w:space="0" w:color="auto"/>
      </w:divBdr>
      <w:divsChild>
        <w:div w:id="116293174">
          <w:marLeft w:val="0"/>
          <w:marRight w:val="0"/>
          <w:marTop w:val="0"/>
          <w:marBottom w:val="0"/>
          <w:divBdr>
            <w:top w:val="none" w:sz="0" w:space="0" w:color="auto"/>
            <w:left w:val="none" w:sz="0" w:space="0" w:color="auto"/>
            <w:bottom w:val="none" w:sz="0" w:space="0" w:color="auto"/>
            <w:right w:val="none" w:sz="0" w:space="0" w:color="auto"/>
          </w:divBdr>
          <w:divsChild>
            <w:div w:id="1866285007">
              <w:marLeft w:val="0"/>
              <w:marRight w:val="0"/>
              <w:marTop w:val="0"/>
              <w:marBottom w:val="0"/>
              <w:divBdr>
                <w:top w:val="none" w:sz="0" w:space="0" w:color="auto"/>
                <w:left w:val="none" w:sz="0" w:space="0" w:color="auto"/>
                <w:bottom w:val="none" w:sz="0" w:space="0" w:color="auto"/>
                <w:right w:val="none" w:sz="0" w:space="0" w:color="auto"/>
              </w:divBdr>
              <w:divsChild>
                <w:div w:id="17804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9417">
      <w:bodyDiv w:val="1"/>
      <w:marLeft w:val="0"/>
      <w:marRight w:val="0"/>
      <w:marTop w:val="0"/>
      <w:marBottom w:val="0"/>
      <w:divBdr>
        <w:top w:val="none" w:sz="0" w:space="0" w:color="auto"/>
        <w:left w:val="none" w:sz="0" w:space="0" w:color="auto"/>
        <w:bottom w:val="none" w:sz="0" w:space="0" w:color="auto"/>
        <w:right w:val="none" w:sz="0" w:space="0" w:color="auto"/>
      </w:divBdr>
      <w:divsChild>
        <w:div w:id="1341394935">
          <w:marLeft w:val="0"/>
          <w:marRight w:val="0"/>
          <w:marTop w:val="0"/>
          <w:marBottom w:val="0"/>
          <w:divBdr>
            <w:top w:val="none" w:sz="0" w:space="0" w:color="auto"/>
            <w:left w:val="none" w:sz="0" w:space="0" w:color="auto"/>
            <w:bottom w:val="none" w:sz="0" w:space="0" w:color="auto"/>
            <w:right w:val="none" w:sz="0" w:space="0" w:color="auto"/>
          </w:divBdr>
          <w:divsChild>
            <w:div w:id="1232960493">
              <w:marLeft w:val="0"/>
              <w:marRight w:val="0"/>
              <w:marTop w:val="0"/>
              <w:marBottom w:val="0"/>
              <w:divBdr>
                <w:top w:val="none" w:sz="0" w:space="0" w:color="auto"/>
                <w:left w:val="none" w:sz="0" w:space="0" w:color="auto"/>
                <w:bottom w:val="none" w:sz="0" w:space="0" w:color="auto"/>
                <w:right w:val="none" w:sz="0" w:space="0" w:color="auto"/>
              </w:divBdr>
              <w:divsChild>
                <w:div w:id="1162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1005">
      <w:bodyDiv w:val="1"/>
      <w:marLeft w:val="0"/>
      <w:marRight w:val="0"/>
      <w:marTop w:val="0"/>
      <w:marBottom w:val="0"/>
      <w:divBdr>
        <w:top w:val="none" w:sz="0" w:space="0" w:color="auto"/>
        <w:left w:val="none" w:sz="0" w:space="0" w:color="auto"/>
        <w:bottom w:val="none" w:sz="0" w:space="0" w:color="auto"/>
        <w:right w:val="none" w:sz="0" w:space="0" w:color="auto"/>
      </w:divBdr>
      <w:divsChild>
        <w:div w:id="1528520718">
          <w:marLeft w:val="0"/>
          <w:marRight w:val="0"/>
          <w:marTop w:val="0"/>
          <w:marBottom w:val="0"/>
          <w:divBdr>
            <w:top w:val="none" w:sz="0" w:space="0" w:color="auto"/>
            <w:left w:val="none" w:sz="0" w:space="0" w:color="auto"/>
            <w:bottom w:val="none" w:sz="0" w:space="0" w:color="auto"/>
            <w:right w:val="none" w:sz="0" w:space="0" w:color="auto"/>
          </w:divBdr>
          <w:divsChild>
            <w:div w:id="1614557376">
              <w:marLeft w:val="0"/>
              <w:marRight w:val="0"/>
              <w:marTop w:val="0"/>
              <w:marBottom w:val="0"/>
              <w:divBdr>
                <w:top w:val="none" w:sz="0" w:space="0" w:color="auto"/>
                <w:left w:val="none" w:sz="0" w:space="0" w:color="auto"/>
                <w:bottom w:val="none" w:sz="0" w:space="0" w:color="auto"/>
                <w:right w:val="none" w:sz="0" w:space="0" w:color="auto"/>
              </w:divBdr>
              <w:divsChild>
                <w:div w:id="13415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7912">
          <w:marLeft w:val="0"/>
          <w:marRight w:val="0"/>
          <w:marTop w:val="0"/>
          <w:marBottom w:val="0"/>
          <w:divBdr>
            <w:top w:val="none" w:sz="0" w:space="0" w:color="auto"/>
            <w:left w:val="none" w:sz="0" w:space="0" w:color="auto"/>
            <w:bottom w:val="none" w:sz="0" w:space="0" w:color="auto"/>
            <w:right w:val="none" w:sz="0" w:space="0" w:color="auto"/>
          </w:divBdr>
          <w:divsChild>
            <w:div w:id="1256356198">
              <w:marLeft w:val="0"/>
              <w:marRight w:val="0"/>
              <w:marTop w:val="0"/>
              <w:marBottom w:val="0"/>
              <w:divBdr>
                <w:top w:val="none" w:sz="0" w:space="0" w:color="auto"/>
                <w:left w:val="none" w:sz="0" w:space="0" w:color="auto"/>
                <w:bottom w:val="none" w:sz="0" w:space="0" w:color="auto"/>
                <w:right w:val="none" w:sz="0" w:space="0" w:color="auto"/>
              </w:divBdr>
              <w:divsChild>
                <w:div w:id="1604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6186">
      <w:bodyDiv w:val="1"/>
      <w:marLeft w:val="0"/>
      <w:marRight w:val="0"/>
      <w:marTop w:val="0"/>
      <w:marBottom w:val="0"/>
      <w:divBdr>
        <w:top w:val="none" w:sz="0" w:space="0" w:color="auto"/>
        <w:left w:val="none" w:sz="0" w:space="0" w:color="auto"/>
        <w:bottom w:val="none" w:sz="0" w:space="0" w:color="auto"/>
        <w:right w:val="none" w:sz="0" w:space="0" w:color="auto"/>
      </w:divBdr>
      <w:divsChild>
        <w:div w:id="196937649">
          <w:marLeft w:val="0"/>
          <w:marRight w:val="0"/>
          <w:marTop w:val="0"/>
          <w:marBottom w:val="0"/>
          <w:divBdr>
            <w:top w:val="none" w:sz="0" w:space="0" w:color="auto"/>
            <w:left w:val="none" w:sz="0" w:space="0" w:color="auto"/>
            <w:bottom w:val="none" w:sz="0" w:space="0" w:color="auto"/>
            <w:right w:val="none" w:sz="0" w:space="0" w:color="auto"/>
          </w:divBdr>
          <w:divsChild>
            <w:div w:id="1120688031">
              <w:marLeft w:val="0"/>
              <w:marRight w:val="0"/>
              <w:marTop w:val="0"/>
              <w:marBottom w:val="0"/>
              <w:divBdr>
                <w:top w:val="none" w:sz="0" w:space="0" w:color="auto"/>
                <w:left w:val="none" w:sz="0" w:space="0" w:color="auto"/>
                <w:bottom w:val="none" w:sz="0" w:space="0" w:color="auto"/>
                <w:right w:val="none" w:sz="0" w:space="0" w:color="auto"/>
              </w:divBdr>
              <w:divsChild>
                <w:div w:id="6021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4165">
      <w:bodyDiv w:val="1"/>
      <w:marLeft w:val="0"/>
      <w:marRight w:val="0"/>
      <w:marTop w:val="0"/>
      <w:marBottom w:val="0"/>
      <w:divBdr>
        <w:top w:val="none" w:sz="0" w:space="0" w:color="auto"/>
        <w:left w:val="none" w:sz="0" w:space="0" w:color="auto"/>
        <w:bottom w:val="none" w:sz="0" w:space="0" w:color="auto"/>
        <w:right w:val="none" w:sz="0" w:space="0" w:color="auto"/>
      </w:divBdr>
      <w:divsChild>
        <w:div w:id="496311208">
          <w:marLeft w:val="0"/>
          <w:marRight w:val="0"/>
          <w:marTop w:val="0"/>
          <w:marBottom w:val="0"/>
          <w:divBdr>
            <w:top w:val="none" w:sz="0" w:space="0" w:color="auto"/>
            <w:left w:val="none" w:sz="0" w:space="0" w:color="auto"/>
            <w:bottom w:val="none" w:sz="0" w:space="0" w:color="auto"/>
            <w:right w:val="none" w:sz="0" w:space="0" w:color="auto"/>
          </w:divBdr>
          <w:divsChild>
            <w:div w:id="37098008">
              <w:marLeft w:val="0"/>
              <w:marRight w:val="0"/>
              <w:marTop w:val="0"/>
              <w:marBottom w:val="0"/>
              <w:divBdr>
                <w:top w:val="none" w:sz="0" w:space="0" w:color="auto"/>
                <w:left w:val="none" w:sz="0" w:space="0" w:color="auto"/>
                <w:bottom w:val="none" w:sz="0" w:space="0" w:color="auto"/>
                <w:right w:val="none" w:sz="0" w:space="0" w:color="auto"/>
              </w:divBdr>
              <w:divsChild>
                <w:div w:id="18194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495">
      <w:bodyDiv w:val="1"/>
      <w:marLeft w:val="0"/>
      <w:marRight w:val="0"/>
      <w:marTop w:val="0"/>
      <w:marBottom w:val="0"/>
      <w:divBdr>
        <w:top w:val="none" w:sz="0" w:space="0" w:color="auto"/>
        <w:left w:val="none" w:sz="0" w:space="0" w:color="auto"/>
        <w:bottom w:val="none" w:sz="0" w:space="0" w:color="auto"/>
        <w:right w:val="none" w:sz="0" w:space="0" w:color="auto"/>
      </w:divBdr>
      <w:divsChild>
        <w:div w:id="100728970">
          <w:marLeft w:val="0"/>
          <w:marRight w:val="0"/>
          <w:marTop w:val="0"/>
          <w:marBottom w:val="0"/>
          <w:divBdr>
            <w:top w:val="none" w:sz="0" w:space="0" w:color="auto"/>
            <w:left w:val="none" w:sz="0" w:space="0" w:color="auto"/>
            <w:bottom w:val="none" w:sz="0" w:space="0" w:color="auto"/>
            <w:right w:val="none" w:sz="0" w:space="0" w:color="auto"/>
          </w:divBdr>
          <w:divsChild>
            <w:div w:id="1168254652">
              <w:marLeft w:val="0"/>
              <w:marRight w:val="0"/>
              <w:marTop w:val="0"/>
              <w:marBottom w:val="0"/>
              <w:divBdr>
                <w:top w:val="none" w:sz="0" w:space="0" w:color="auto"/>
                <w:left w:val="none" w:sz="0" w:space="0" w:color="auto"/>
                <w:bottom w:val="none" w:sz="0" w:space="0" w:color="auto"/>
                <w:right w:val="none" w:sz="0" w:space="0" w:color="auto"/>
              </w:divBdr>
              <w:divsChild>
                <w:div w:id="626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690">
          <w:marLeft w:val="0"/>
          <w:marRight w:val="0"/>
          <w:marTop w:val="0"/>
          <w:marBottom w:val="0"/>
          <w:divBdr>
            <w:top w:val="none" w:sz="0" w:space="0" w:color="auto"/>
            <w:left w:val="none" w:sz="0" w:space="0" w:color="auto"/>
            <w:bottom w:val="none" w:sz="0" w:space="0" w:color="auto"/>
            <w:right w:val="none" w:sz="0" w:space="0" w:color="auto"/>
          </w:divBdr>
          <w:divsChild>
            <w:div w:id="1416853782">
              <w:marLeft w:val="0"/>
              <w:marRight w:val="0"/>
              <w:marTop w:val="0"/>
              <w:marBottom w:val="0"/>
              <w:divBdr>
                <w:top w:val="none" w:sz="0" w:space="0" w:color="auto"/>
                <w:left w:val="none" w:sz="0" w:space="0" w:color="auto"/>
                <w:bottom w:val="none" w:sz="0" w:space="0" w:color="auto"/>
                <w:right w:val="none" w:sz="0" w:space="0" w:color="auto"/>
              </w:divBdr>
              <w:divsChild>
                <w:div w:id="141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990">
      <w:bodyDiv w:val="1"/>
      <w:marLeft w:val="0"/>
      <w:marRight w:val="0"/>
      <w:marTop w:val="0"/>
      <w:marBottom w:val="0"/>
      <w:divBdr>
        <w:top w:val="none" w:sz="0" w:space="0" w:color="auto"/>
        <w:left w:val="none" w:sz="0" w:space="0" w:color="auto"/>
        <w:bottom w:val="none" w:sz="0" w:space="0" w:color="auto"/>
        <w:right w:val="none" w:sz="0" w:space="0" w:color="auto"/>
      </w:divBdr>
      <w:divsChild>
        <w:div w:id="874194567">
          <w:marLeft w:val="0"/>
          <w:marRight w:val="0"/>
          <w:marTop w:val="0"/>
          <w:marBottom w:val="0"/>
          <w:divBdr>
            <w:top w:val="none" w:sz="0" w:space="0" w:color="auto"/>
            <w:left w:val="none" w:sz="0" w:space="0" w:color="auto"/>
            <w:bottom w:val="none" w:sz="0" w:space="0" w:color="auto"/>
            <w:right w:val="none" w:sz="0" w:space="0" w:color="auto"/>
          </w:divBdr>
          <w:divsChild>
            <w:div w:id="1736705136">
              <w:marLeft w:val="0"/>
              <w:marRight w:val="0"/>
              <w:marTop w:val="0"/>
              <w:marBottom w:val="0"/>
              <w:divBdr>
                <w:top w:val="none" w:sz="0" w:space="0" w:color="auto"/>
                <w:left w:val="none" w:sz="0" w:space="0" w:color="auto"/>
                <w:bottom w:val="none" w:sz="0" w:space="0" w:color="auto"/>
                <w:right w:val="none" w:sz="0" w:space="0" w:color="auto"/>
              </w:divBdr>
              <w:divsChild>
                <w:div w:id="11073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4479">
      <w:bodyDiv w:val="1"/>
      <w:marLeft w:val="0"/>
      <w:marRight w:val="0"/>
      <w:marTop w:val="0"/>
      <w:marBottom w:val="0"/>
      <w:divBdr>
        <w:top w:val="none" w:sz="0" w:space="0" w:color="auto"/>
        <w:left w:val="none" w:sz="0" w:space="0" w:color="auto"/>
        <w:bottom w:val="none" w:sz="0" w:space="0" w:color="auto"/>
        <w:right w:val="none" w:sz="0" w:space="0" w:color="auto"/>
      </w:divBdr>
      <w:divsChild>
        <w:div w:id="337313953">
          <w:marLeft w:val="0"/>
          <w:marRight w:val="0"/>
          <w:marTop w:val="0"/>
          <w:marBottom w:val="0"/>
          <w:divBdr>
            <w:top w:val="none" w:sz="0" w:space="0" w:color="auto"/>
            <w:left w:val="none" w:sz="0" w:space="0" w:color="auto"/>
            <w:bottom w:val="none" w:sz="0" w:space="0" w:color="auto"/>
            <w:right w:val="none" w:sz="0" w:space="0" w:color="auto"/>
          </w:divBdr>
          <w:divsChild>
            <w:div w:id="1781299085">
              <w:marLeft w:val="0"/>
              <w:marRight w:val="0"/>
              <w:marTop w:val="0"/>
              <w:marBottom w:val="0"/>
              <w:divBdr>
                <w:top w:val="none" w:sz="0" w:space="0" w:color="auto"/>
                <w:left w:val="none" w:sz="0" w:space="0" w:color="auto"/>
                <w:bottom w:val="none" w:sz="0" w:space="0" w:color="auto"/>
                <w:right w:val="none" w:sz="0" w:space="0" w:color="auto"/>
              </w:divBdr>
              <w:divsChild>
                <w:div w:id="13787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7652">
      <w:bodyDiv w:val="1"/>
      <w:marLeft w:val="0"/>
      <w:marRight w:val="0"/>
      <w:marTop w:val="0"/>
      <w:marBottom w:val="0"/>
      <w:divBdr>
        <w:top w:val="none" w:sz="0" w:space="0" w:color="auto"/>
        <w:left w:val="none" w:sz="0" w:space="0" w:color="auto"/>
        <w:bottom w:val="none" w:sz="0" w:space="0" w:color="auto"/>
        <w:right w:val="none" w:sz="0" w:space="0" w:color="auto"/>
      </w:divBdr>
      <w:divsChild>
        <w:div w:id="363293794">
          <w:marLeft w:val="0"/>
          <w:marRight w:val="0"/>
          <w:marTop w:val="0"/>
          <w:marBottom w:val="0"/>
          <w:divBdr>
            <w:top w:val="none" w:sz="0" w:space="0" w:color="auto"/>
            <w:left w:val="none" w:sz="0" w:space="0" w:color="auto"/>
            <w:bottom w:val="none" w:sz="0" w:space="0" w:color="auto"/>
            <w:right w:val="none" w:sz="0" w:space="0" w:color="auto"/>
          </w:divBdr>
          <w:divsChild>
            <w:div w:id="206332148">
              <w:marLeft w:val="0"/>
              <w:marRight w:val="0"/>
              <w:marTop w:val="0"/>
              <w:marBottom w:val="0"/>
              <w:divBdr>
                <w:top w:val="none" w:sz="0" w:space="0" w:color="auto"/>
                <w:left w:val="none" w:sz="0" w:space="0" w:color="auto"/>
                <w:bottom w:val="none" w:sz="0" w:space="0" w:color="auto"/>
                <w:right w:val="none" w:sz="0" w:space="0" w:color="auto"/>
              </w:divBdr>
              <w:divsChild>
                <w:div w:id="11672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4202">
      <w:bodyDiv w:val="1"/>
      <w:marLeft w:val="0"/>
      <w:marRight w:val="0"/>
      <w:marTop w:val="0"/>
      <w:marBottom w:val="0"/>
      <w:divBdr>
        <w:top w:val="none" w:sz="0" w:space="0" w:color="auto"/>
        <w:left w:val="none" w:sz="0" w:space="0" w:color="auto"/>
        <w:bottom w:val="none" w:sz="0" w:space="0" w:color="auto"/>
        <w:right w:val="none" w:sz="0" w:space="0" w:color="auto"/>
      </w:divBdr>
      <w:divsChild>
        <w:div w:id="1411804645">
          <w:marLeft w:val="0"/>
          <w:marRight w:val="0"/>
          <w:marTop w:val="0"/>
          <w:marBottom w:val="0"/>
          <w:divBdr>
            <w:top w:val="none" w:sz="0" w:space="0" w:color="auto"/>
            <w:left w:val="none" w:sz="0" w:space="0" w:color="auto"/>
            <w:bottom w:val="none" w:sz="0" w:space="0" w:color="auto"/>
            <w:right w:val="none" w:sz="0" w:space="0" w:color="auto"/>
          </w:divBdr>
          <w:divsChild>
            <w:div w:id="1060010181">
              <w:marLeft w:val="0"/>
              <w:marRight w:val="0"/>
              <w:marTop w:val="0"/>
              <w:marBottom w:val="0"/>
              <w:divBdr>
                <w:top w:val="none" w:sz="0" w:space="0" w:color="auto"/>
                <w:left w:val="none" w:sz="0" w:space="0" w:color="auto"/>
                <w:bottom w:val="none" w:sz="0" w:space="0" w:color="auto"/>
                <w:right w:val="none" w:sz="0" w:space="0" w:color="auto"/>
              </w:divBdr>
              <w:divsChild>
                <w:div w:id="552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0057">
      <w:bodyDiv w:val="1"/>
      <w:marLeft w:val="0"/>
      <w:marRight w:val="0"/>
      <w:marTop w:val="0"/>
      <w:marBottom w:val="0"/>
      <w:divBdr>
        <w:top w:val="none" w:sz="0" w:space="0" w:color="auto"/>
        <w:left w:val="none" w:sz="0" w:space="0" w:color="auto"/>
        <w:bottom w:val="none" w:sz="0" w:space="0" w:color="auto"/>
        <w:right w:val="none" w:sz="0" w:space="0" w:color="auto"/>
      </w:divBdr>
      <w:divsChild>
        <w:div w:id="398990202">
          <w:marLeft w:val="0"/>
          <w:marRight w:val="0"/>
          <w:marTop w:val="0"/>
          <w:marBottom w:val="0"/>
          <w:divBdr>
            <w:top w:val="none" w:sz="0" w:space="0" w:color="auto"/>
            <w:left w:val="none" w:sz="0" w:space="0" w:color="auto"/>
            <w:bottom w:val="none" w:sz="0" w:space="0" w:color="auto"/>
            <w:right w:val="none" w:sz="0" w:space="0" w:color="auto"/>
          </w:divBdr>
          <w:divsChild>
            <w:div w:id="782574845">
              <w:marLeft w:val="0"/>
              <w:marRight w:val="0"/>
              <w:marTop w:val="0"/>
              <w:marBottom w:val="0"/>
              <w:divBdr>
                <w:top w:val="none" w:sz="0" w:space="0" w:color="auto"/>
                <w:left w:val="none" w:sz="0" w:space="0" w:color="auto"/>
                <w:bottom w:val="none" w:sz="0" w:space="0" w:color="auto"/>
                <w:right w:val="none" w:sz="0" w:space="0" w:color="auto"/>
              </w:divBdr>
              <w:divsChild>
                <w:div w:id="10612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5919">
      <w:bodyDiv w:val="1"/>
      <w:marLeft w:val="0"/>
      <w:marRight w:val="0"/>
      <w:marTop w:val="0"/>
      <w:marBottom w:val="0"/>
      <w:divBdr>
        <w:top w:val="none" w:sz="0" w:space="0" w:color="auto"/>
        <w:left w:val="none" w:sz="0" w:space="0" w:color="auto"/>
        <w:bottom w:val="none" w:sz="0" w:space="0" w:color="auto"/>
        <w:right w:val="none" w:sz="0" w:space="0" w:color="auto"/>
      </w:divBdr>
      <w:divsChild>
        <w:div w:id="1368876353">
          <w:marLeft w:val="0"/>
          <w:marRight w:val="0"/>
          <w:marTop w:val="0"/>
          <w:marBottom w:val="0"/>
          <w:divBdr>
            <w:top w:val="none" w:sz="0" w:space="0" w:color="auto"/>
            <w:left w:val="none" w:sz="0" w:space="0" w:color="auto"/>
            <w:bottom w:val="none" w:sz="0" w:space="0" w:color="auto"/>
            <w:right w:val="none" w:sz="0" w:space="0" w:color="auto"/>
          </w:divBdr>
          <w:divsChild>
            <w:div w:id="1669677009">
              <w:marLeft w:val="0"/>
              <w:marRight w:val="0"/>
              <w:marTop w:val="0"/>
              <w:marBottom w:val="0"/>
              <w:divBdr>
                <w:top w:val="none" w:sz="0" w:space="0" w:color="auto"/>
                <w:left w:val="none" w:sz="0" w:space="0" w:color="auto"/>
                <w:bottom w:val="none" w:sz="0" w:space="0" w:color="auto"/>
                <w:right w:val="none" w:sz="0" w:space="0" w:color="auto"/>
              </w:divBdr>
              <w:divsChild>
                <w:div w:id="10346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0567">
      <w:bodyDiv w:val="1"/>
      <w:marLeft w:val="0"/>
      <w:marRight w:val="0"/>
      <w:marTop w:val="0"/>
      <w:marBottom w:val="0"/>
      <w:divBdr>
        <w:top w:val="none" w:sz="0" w:space="0" w:color="auto"/>
        <w:left w:val="none" w:sz="0" w:space="0" w:color="auto"/>
        <w:bottom w:val="none" w:sz="0" w:space="0" w:color="auto"/>
        <w:right w:val="none" w:sz="0" w:space="0" w:color="auto"/>
      </w:divBdr>
      <w:divsChild>
        <w:div w:id="1361204164">
          <w:marLeft w:val="0"/>
          <w:marRight w:val="0"/>
          <w:marTop w:val="0"/>
          <w:marBottom w:val="0"/>
          <w:divBdr>
            <w:top w:val="none" w:sz="0" w:space="0" w:color="auto"/>
            <w:left w:val="none" w:sz="0" w:space="0" w:color="auto"/>
            <w:bottom w:val="none" w:sz="0" w:space="0" w:color="auto"/>
            <w:right w:val="none" w:sz="0" w:space="0" w:color="auto"/>
          </w:divBdr>
          <w:divsChild>
            <w:div w:id="1280185791">
              <w:marLeft w:val="0"/>
              <w:marRight w:val="0"/>
              <w:marTop w:val="0"/>
              <w:marBottom w:val="0"/>
              <w:divBdr>
                <w:top w:val="none" w:sz="0" w:space="0" w:color="auto"/>
                <w:left w:val="none" w:sz="0" w:space="0" w:color="auto"/>
                <w:bottom w:val="none" w:sz="0" w:space="0" w:color="auto"/>
                <w:right w:val="none" w:sz="0" w:space="0" w:color="auto"/>
              </w:divBdr>
              <w:divsChild>
                <w:div w:id="9973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3836">
      <w:bodyDiv w:val="1"/>
      <w:marLeft w:val="0"/>
      <w:marRight w:val="0"/>
      <w:marTop w:val="0"/>
      <w:marBottom w:val="0"/>
      <w:divBdr>
        <w:top w:val="none" w:sz="0" w:space="0" w:color="auto"/>
        <w:left w:val="none" w:sz="0" w:space="0" w:color="auto"/>
        <w:bottom w:val="none" w:sz="0" w:space="0" w:color="auto"/>
        <w:right w:val="none" w:sz="0" w:space="0" w:color="auto"/>
      </w:divBdr>
      <w:divsChild>
        <w:div w:id="531652072">
          <w:marLeft w:val="0"/>
          <w:marRight w:val="0"/>
          <w:marTop w:val="0"/>
          <w:marBottom w:val="0"/>
          <w:divBdr>
            <w:top w:val="none" w:sz="0" w:space="0" w:color="auto"/>
            <w:left w:val="none" w:sz="0" w:space="0" w:color="auto"/>
            <w:bottom w:val="none" w:sz="0" w:space="0" w:color="auto"/>
            <w:right w:val="none" w:sz="0" w:space="0" w:color="auto"/>
          </w:divBdr>
          <w:divsChild>
            <w:div w:id="1442460169">
              <w:marLeft w:val="0"/>
              <w:marRight w:val="0"/>
              <w:marTop w:val="0"/>
              <w:marBottom w:val="0"/>
              <w:divBdr>
                <w:top w:val="none" w:sz="0" w:space="0" w:color="auto"/>
                <w:left w:val="none" w:sz="0" w:space="0" w:color="auto"/>
                <w:bottom w:val="none" w:sz="0" w:space="0" w:color="auto"/>
                <w:right w:val="none" w:sz="0" w:space="0" w:color="auto"/>
              </w:divBdr>
              <w:divsChild>
                <w:div w:id="15393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9196">
      <w:bodyDiv w:val="1"/>
      <w:marLeft w:val="0"/>
      <w:marRight w:val="0"/>
      <w:marTop w:val="0"/>
      <w:marBottom w:val="0"/>
      <w:divBdr>
        <w:top w:val="none" w:sz="0" w:space="0" w:color="auto"/>
        <w:left w:val="none" w:sz="0" w:space="0" w:color="auto"/>
        <w:bottom w:val="none" w:sz="0" w:space="0" w:color="auto"/>
        <w:right w:val="none" w:sz="0" w:space="0" w:color="auto"/>
      </w:divBdr>
      <w:divsChild>
        <w:div w:id="1083145228">
          <w:marLeft w:val="0"/>
          <w:marRight w:val="0"/>
          <w:marTop w:val="0"/>
          <w:marBottom w:val="0"/>
          <w:divBdr>
            <w:top w:val="none" w:sz="0" w:space="0" w:color="auto"/>
            <w:left w:val="none" w:sz="0" w:space="0" w:color="auto"/>
            <w:bottom w:val="none" w:sz="0" w:space="0" w:color="auto"/>
            <w:right w:val="none" w:sz="0" w:space="0" w:color="auto"/>
          </w:divBdr>
          <w:divsChild>
            <w:div w:id="1244605488">
              <w:marLeft w:val="0"/>
              <w:marRight w:val="0"/>
              <w:marTop w:val="0"/>
              <w:marBottom w:val="0"/>
              <w:divBdr>
                <w:top w:val="none" w:sz="0" w:space="0" w:color="auto"/>
                <w:left w:val="none" w:sz="0" w:space="0" w:color="auto"/>
                <w:bottom w:val="none" w:sz="0" w:space="0" w:color="auto"/>
                <w:right w:val="none" w:sz="0" w:space="0" w:color="auto"/>
              </w:divBdr>
              <w:divsChild>
                <w:div w:id="5127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311">
          <w:marLeft w:val="0"/>
          <w:marRight w:val="0"/>
          <w:marTop w:val="0"/>
          <w:marBottom w:val="0"/>
          <w:divBdr>
            <w:top w:val="none" w:sz="0" w:space="0" w:color="auto"/>
            <w:left w:val="none" w:sz="0" w:space="0" w:color="auto"/>
            <w:bottom w:val="none" w:sz="0" w:space="0" w:color="auto"/>
            <w:right w:val="none" w:sz="0" w:space="0" w:color="auto"/>
          </w:divBdr>
          <w:divsChild>
            <w:div w:id="808976803">
              <w:marLeft w:val="0"/>
              <w:marRight w:val="0"/>
              <w:marTop w:val="0"/>
              <w:marBottom w:val="0"/>
              <w:divBdr>
                <w:top w:val="none" w:sz="0" w:space="0" w:color="auto"/>
                <w:left w:val="none" w:sz="0" w:space="0" w:color="auto"/>
                <w:bottom w:val="none" w:sz="0" w:space="0" w:color="auto"/>
                <w:right w:val="none" w:sz="0" w:space="0" w:color="auto"/>
              </w:divBdr>
              <w:divsChild>
                <w:div w:id="17089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1529">
      <w:bodyDiv w:val="1"/>
      <w:marLeft w:val="0"/>
      <w:marRight w:val="0"/>
      <w:marTop w:val="0"/>
      <w:marBottom w:val="0"/>
      <w:divBdr>
        <w:top w:val="none" w:sz="0" w:space="0" w:color="auto"/>
        <w:left w:val="none" w:sz="0" w:space="0" w:color="auto"/>
        <w:bottom w:val="none" w:sz="0" w:space="0" w:color="auto"/>
        <w:right w:val="none" w:sz="0" w:space="0" w:color="auto"/>
      </w:divBdr>
      <w:divsChild>
        <w:div w:id="1701513571">
          <w:marLeft w:val="0"/>
          <w:marRight w:val="0"/>
          <w:marTop w:val="0"/>
          <w:marBottom w:val="0"/>
          <w:divBdr>
            <w:top w:val="none" w:sz="0" w:space="0" w:color="auto"/>
            <w:left w:val="none" w:sz="0" w:space="0" w:color="auto"/>
            <w:bottom w:val="none" w:sz="0" w:space="0" w:color="auto"/>
            <w:right w:val="none" w:sz="0" w:space="0" w:color="auto"/>
          </w:divBdr>
          <w:divsChild>
            <w:div w:id="571046686">
              <w:marLeft w:val="0"/>
              <w:marRight w:val="0"/>
              <w:marTop w:val="0"/>
              <w:marBottom w:val="0"/>
              <w:divBdr>
                <w:top w:val="none" w:sz="0" w:space="0" w:color="auto"/>
                <w:left w:val="none" w:sz="0" w:space="0" w:color="auto"/>
                <w:bottom w:val="none" w:sz="0" w:space="0" w:color="auto"/>
                <w:right w:val="none" w:sz="0" w:space="0" w:color="auto"/>
              </w:divBdr>
              <w:divsChild>
                <w:div w:id="4759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7280">
      <w:bodyDiv w:val="1"/>
      <w:marLeft w:val="0"/>
      <w:marRight w:val="0"/>
      <w:marTop w:val="0"/>
      <w:marBottom w:val="0"/>
      <w:divBdr>
        <w:top w:val="none" w:sz="0" w:space="0" w:color="auto"/>
        <w:left w:val="none" w:sz="0" w:space="0" w:color="auto"/>
        <w:bottom w:val="none" w:sz="0" w:space="0" w:color="auto"/>
        <w:right w:val="none" w:sz="0" w:space="0" w:color="auto"/>
      </w:divBdr>
      <w:divsChild>
        <w:div w:id="1846819088">
          <w:marLeft w:val="0"/>
          <w:marRight w:val="0"/>
          <w:marTop w:val="0"/>
          <w:marBottom w:val="0"/>
          <w:divBdr>
            <w:top w:val="none" w:sz="0" w:space="0" w:color="auto"/>
            <w:left w:val="none" w:sz="0" w:space="0" w:color="auto"/>
            <w:bottom w:val="none" w:sz="0" w:space="0" w:color="auto"/>
            <w:right w:val="none" w:sz="0" w:space="0" w:color="auto"/>
          </w:divBdr>
          <w:divsChild>
            <w:div w:id="1275094466">
              <w:marLeft w:val="0"/>
              <w:marRight w:val="0"/>
              <w:marTop w:val="0"/>
              <w:marBottom w:val="0"/>
              <w:divBdr>
                <w:top w:val="none" w:sz="0" w:space="0" w:color="auto"/>
                <w:left w:val="none" w:sz="0" w:space="0" w:color="auto"/>
                <w:bottom w:val="none" w:sz="0" w:space="0" w:color="auto"/>
                <w:right w:val="none" w:sz="0" w:space="0" w:color="auto"/>
              </w:divBdr>
              <w:divsChild>
                <w:div w:id="91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302">
      <w:bodyDiv w:val="1"/>
      <w:marLeft w:val="0"/>
      <w:marRight w:val="0"/>
      <w:marTop w:val="0"/>
      <w:marBottom w:val="0"/>
      <w:divBdr>
        <w:top w:val="none" w:sz="0" w:space="0" w:color="auto"/>
        <w:left w:val="none" w:sz="0" w:space="0" w:color="auto"/>
        <w:bottom w:val="none" w:sz="0" w:space="0" w:color="auto"/>
        <w:right w:val="none" w:sz="0" w:space="0" w:color="auto"/>
      </w:divBdr>
      <w:divsChild>
        <w:div w:id="281308382">
          <w:marLeft w:val="0"/>
          <w:marRight w:val="0"/>
          <w:marTop w:val="0"/>
          <w:marBottom w:val="0"/>
          <w:divBdr>
            <w:top w:val="none" w:sz="0" w:space="0" w:color="auto"/>
            <w:left w:val="none" w:sz="0" w:space="0" w:color="auto"/>
            <w:bottom w:val="none" w:sz="0" w:space="0" w:color="auto"/>
            <w:right w:val="none" w:sz="0" w:space="0" w:color="auto"/>
          </w:divBdr>
          <w:divsChild>
            <w:div w:id="2011591295">
              <w:marLeft w:val="0"/>
              <w:marRight w:val="0"/>
              <w:marTop w:val="0"/>
              <w:marBottom w:val="0"/>
              <w:divBdr>
                <w:top w:val="none" w:sz="0" w:space="0" w:color="auto"/>
                <w:left w:val="none" w:sz="0" w:space="0" w:color="auto"/>
                <w:bottom w:val="none" w:sz="0" w:space="0" w:color="auto"/>
                <w:right w:val="none" w:sz="0" w:space="0" w:color="auto"/>
              </w:divBdr>
              <w:divsChild>
                <w:div w:id="11385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5815">
      <w:bodyDiv w:val="1"/>
      <w:marLeft w:val="0"/>
      <w:marRight w:val="0"/>
      <w:marTop w:val="0"/>
      <w:marBottom w:val="0"/>
      <w:divBdr>
        <w:top w:val="none" w:sz="0" w:space="0" w:color="auto"/>
        <w:left w:val="none" w:sz="0" w:space="0" w:color="auto"/>
        <w:bottom w:val="none" w:sz="0" w:space="0" w:color="auto"/>
        <w:right w:val="none" w:sz="0" w:space="0" w:color="auto"/>
      </w:divBdr>
      <w:divsChild>
        <w:div w:id="383604770">
          <w:marLeft w:val="0"/>
          <w:marRight w:val="0"/>
          <w:marTop w:val="0"/>
          <w:marBottom w:val="0"/>
          <w:divBdr>
            <w:top w:val="none" w:sz="0" w:space="0" w:color="auto"/>
            <w:left w:val="none" w:sz="0" w:space="0" w:color="auto"/>
            <w:bottom w:val="none" w:sz="0" w:space="0" w:color="auto"/>
            <w:right w:val="none" w:sz="0" w:space="0" w:color="auto"/>
          </w:divBdr>
          <w:divsChild>
            <w:div w:id="1849099845">
              <w:marLeft w:val="0"/>
              <w:marRight w:val="0"/>
              <w:marTop w:val="0"/>
              <w:marBottom w:val="0"/>
              <w:divBdr>
                <w:top w:val="none" w:sz="0" w:space="0" w:color="auto"/>
                <w:left w:val="none" w:sz="0" w:space="0" w:color="auto"/>
                <w:bottom w:val="none" w:sz="0" w:space="0" w:color="auto"/>
                <w:right w:val="none" w:sz="0" w:space="0" w:color="auto"/>
              </w:divBdr>
              <w:divsChild>
                <w:div w:id="21087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6152">
      <w:bodyDiv w:val="1"/>
      <w:marLeft w:val="0"/>
      <w:marRight w:val="0"/>
      <w:marTop w:val="0"/>
      <w:marBottom w:val="0"/>
      <w:divBdr>
        <w:top w:val="none" w:sz="0" w:space="0" w:color="auto"/>
        <w:left w:val="none" w:sz="0" w:space="0" w:color="auto"/>
        <w:bottom w:val="none" w:sz="0" w:space="0" w:color="auto"/>
        <w:right w:val="none" w:sz="0" w:space="0" w:color="auto"/>
      </w:divBdr>
      <w:divsChild>
        <w:div w:id="598634638">
          <w:marLeft w:val="0"/>
          <w:marRight w:val="0"/>
          <w:marTop w:val="0"/>
          <w:marBottom w:val="0"/>
          <w:divBdr>
            <w:top w:val="none" w:sz="0" w:space="0" w:color="auto"/>
            <w:left w:val="none" w:sz="0" w:space="0" w:color="auto"/>
            <w:bottom w:val="none" w:sz="0" w:space="0" w:color="auto"/>
            <w:right w:val="none" w:sz="0" w:space="0" w:color="auto"/>
          </w:divBdr>
          <w:divsChild>
            <w:div w:id="943610504">
              <w:marLeft w:val="0"/>
              <w:marRight w:val="0"/>
              <w:marTop w:val="0"/>
              <w:marBottom w:val="0"/>
              <w:divBdr>
                <w:top w:val="none" w:sz="0" w:space="0" w:color="auto"/>
                <w:left w:val="none" w:sz="0" w:space="0" w:color="auto"/>
                <w:bottom w:val="none" w:sz="0" w:space="0" w:color="auto"/>
                <w:right w:val="none" w:sz="0" w:space="0" w:color="auto"/>
              </w:divBdr>
              <w:divsChild>
                <w:div w:id="1991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1084">
      <w:bodyDiv w:val="1"/>
      <w:marLeft w:val="0"/>
      <w:marRight w:val="0"/>
      <w:marTop w:val="0"/>
      <w:marBottom w:val="0"/>
      <w:divBdr>
        <w:top w:val="none" w:sz="0" w:space="0" w:color="auto"/>
        <w:left w:val="none" w:sz="0" w:space="0" w:color="auto"/>
        <w:bottom w:val="none" w:sz="0" w:space="0" w:color="auto"/>
        <w:right w:val="none" w:sz="0" w:space="0" w:color="auto"/>
      </w:divBdr>
      <w:divsChild>
        <w:div w:id="710230822">
          <w:marLeft w:val="0"/>
          <w:marRight w:val="0"/>
          <w:marTop w:val="0"/>
          <w:marBottom w:val="0"/>
          <w:divBdr>
            <w:top w:val="none" w:sz="0" w:space="0" w:color="auto"/>
            <w:left w:val="none" w:sz="0" w:space="0" w:color="auto"/>
            <w:bottom w:val="none" w:sz="0" w:space="0" w:color="auto"/>
            <w:right w:val="none" w:sz="0" w:space="0" w:color="auto"/>
          </w:divBdr>
          <w:divsChild>
            <w:div w:id="1231425238">
              <w:marLeft w:val="0"/>
              <w:marRight w:val="0"/>
              <w:marTop w:val="0"/>
              <w:marBottom w:val="0"/>
              <w:divBdr>
                <w:top w:val="none" w:sz="0" w:space="0" w:color="auto"/>
                <w:left w:val="none" w:sz="0" w:space="0" w:color="auto"/>
                <w:bottom w:val="none" w:sz="0" w:space="0" w:color="auto"/>
                <w:right w:val="none" w:sz="0" w:space="0" w:color="auto"/>
              </w:divBdr>
              <w:divsChild>
                <w:div w:id="3949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9161">
      <w:bodyDiv w:val="1"/>
      <w:marLeft w:val="0"/>
      <w:marRight w:val="0"/>
      <w:marTop w:val="0"/>
      <w:marBottom w:val="0"/>
      <w:divBdr>
        <w:top w:val="none" w:sz="0" w:space="0" w:color="auto"/>
        <w:left w:val="none" w:sz="0" w:space="0" w:color="auto"/>
        <w:bottom w:val="none" w:sz="0" w:space="0" w:color="auto"/>
        <w:right w:val="none" w:sz="0" w:space="0" w:color="auto"/>
      </w:divBdr>
      <w:divsChild>
        <w:div w:id="1770852381">
          <w:marLeft w:val="0"/>
          <w:marRight w:val="0"/>
          <w:marTop w:val="0"/>
          <w:marBottom w:val="0"/>
          <w:divBdr>
            <w:top w:val="none" w:sz="0" w:space="0" w:color="auto"/>
            <w:left w:val="none" w:sz="0" w:space="0" w:color="auto"/>
            <w:bottom w:val="none" w:sz="0" w:space="0" w:color="auto"/>
            <w:right w:val="none" w:sz="0" w:space="0" w:color="auto"/>
          </w:divBdr>
          <w:divsChild>
            <w:div w:id="943683151">
              <w:marLeft w:val="0"/>
              <w:marRight w:val="0"/>
              <w:marTop w:val="0"/>
              <w:marBottom w:val="0"/>
              <w:divBdr>
                <w:top w:val="none" w:sz="0" w:space="0" w:color="auto"/>
                <w:left w:val="none" w:sz="0" w:space="0" w:color="auto"/>
                <w:bottom w:val="none" w:sz="0" w:space="0" w:color="auto"/>
                <w:right w:val="none" w:sz="0" w:space="0" w:color="auto"/>
              </w:divBdr>
              <w:divsChild>
                <w:div w:id="1905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8360">
      <w:bodyDiv w:val="1"/>
      <w:marLeft w:val="0"/>
      <w:marRight w:val="0"/>
      <w:marTop w:val="0"/>
      <w:marBottom w:val="0"/>
      <w:divBdr>
        <w:top w:val="none" w:sz="0" w:space="0" w:color="auto"/>
        <w:left w:val="none" w:sz="0" w:space="0" w:color="auto"/>
        <w:bottom w:val="none" w:sz="0" w:space="0" w:color="auto"/>
        <w:right w:val="none" w:sz="0" w:space="0" w:color="auto"/>
      </w:divBdr>
      <w:divsChild>
        <w:div w:id="1550999019">
          <w:marLeft w:val="0"/>
          <w:marRight w:val="0"/>
          <w:marTop w:val="0"/>
          <w:marBottom w:val="0"/>
          <w:divBdr>
            <w:top w:val="none" w:sz="0" w:space="0" w:color="auto"/>
            <w:left w:val="none" w:sz="0" w:space="0" w:color="auto"/>
            <w:bottom w:val="none" w:sz="0" w:space="0" w:color="auto"/>
            <w:right w:val="none" w:sz="0" w:space="0" w:color="auto"/>
          </w:divBdr>
          <w:divsChild>
            <w:div w:id="858467911">
              <w:marLeft w:val="0"/>
              <w:marRight w:val="0"/>
              <w:marTop w:val="0"/>
              <w:marBottom w:val="0"/>
              <w:divBdr>
                <w:top w:val="none" w:sz="0" w:space="0" w:color="auto"/>
                <w:left w:val="none" w:sz="0" w:space="0" w:color="auto"/>
                <w:bottom w:val="none" w:sz="0" w:space="0" w:color="auto"/>
                <w:right w:val="none" w:sz="0" w:space="0" w:color="auto"/>
              </w:divBdr>
              <w:divsChild>
                <w:div w:id="390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2081">
      <w:bodyDiv w:val="1"/>
      <w:marLeft w:val="0"/>
      <w:marRight w:val="0"/>
      <w:marTop w:val="0"/>
      <w:marBottom w:val="0"/>
      <w:divBdr>
        <w:top w:val="none" w:sz="0" w:space="0" w:color="auto"/>
        <w:left w:val="none" w:sz="0" w:space="0" w:color="auto"/>
        <w:bottom w:val="none" w:sz="0" w:space="0" w:color="auto"/>
        <w:right w:val="none" w:sz="0" w:space="0" w:color="auto"/>
      </w:divBdr>
      <w:divsChild>
        <w:div w:id="735782662">
          <w:marLeft w:val="0"/>
          <w:marRight w:val="0"/>
          <w:marTop w:val="0"/>
          <w:marBottom w:val="0"/>
          <w:divBdr>
            <w:top w:val="none" w:sz="0" w:space="0" w:color="auto"/>
            <w:left w:val="none" w:sz="0" w:space="0" w:color="auto"/>
            <w:bottom w:val="none" w:sz="0" w:space="0" w:color="auto"/>
            <w:right w:val="none" w:sz="0" w:space="0" w:color="auto"/>
          </w:divBdr>
          <w:divsChild>
            <w:div w:id="1900434506">
              <w:marLeft w:val="0"/>
              <w:marRight w:val="0"/>
              <w:marTop w:val="0"/>
              <w:marBottom w:val="0"/>
              <w:divBdr>
                <w:top w:val="none" w:sz="0" w:space="0" w:color="auto"/>
                <w:left w:val="none" w:sz="0" w:space="0" w:color="auto"/>
                <w:bottom w:val="none" w:sz="0" w:space="0" w:color="auto"/>
                <w:right w:val="none" w:sz="0" w:space="0" w:color="auto"/>
              </w:divBdr>
              <w:divsChild>
                <w:div w:id="13057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6415">
          <w:marLeft w:val="0"/>
          <w:marRight w:val="0"/>
          <w:marTop w:val="0"/>
          <w:marBottom w:val="0"/>
          <w:divBdr>
            <w:top w:val="none" w:sz="0" w:space="0" w:color="auto"/>
            <w:left w:val="none" w:sz="0" w:space="0" w:color="auto"/>
            <w:bottom w:val="none" w:sz="0" w:space="0" w:color="auto"/>
            <w:right w:val="none" w:sz="0" w:space="0" w:color="auto"/>
          </w:divBdr>
          <w:divsChild>
            <w:div w:id="1121342928">
              <w:marLeft w:val="0"/>
              <w:marRight w:val="0"/>
              <w:marTop w:val="0"/>
              <w:marBottom w:val="0"/>
              <w:divBdr>
                <w:top w:val="none" w:sz="0" w:space="0" w:color="auto"/>
                <w:left w:val="none" w:sz="0" w:space="0" w:color="auto"/>
                <w:bottom w:val="none" w:sz="0" w:space="0" w:color="auto"/>
                <w:right w:val="none" w:sz="0" w:space="0" w:color="auto"/>
              </w:divBdr>
              <w:divsChild>
                <w:div w:id="21197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6071">
      <w:bodyDiv w:val="1"/>
      <w:marLeft w:val="0"/>
      <w:marRight w:val="0"/>
      <w:marTop w:val="0"/>
      <w:marBottom w:val="0"/>
      <w:divBdr>
        <w:top w:val="none" w:sz="0" w:space="0" w:color="auto"/>
        <w:left w:val="none" w:sz="0" w:space="0" w:color="auto"/>
        <w:bottom w:val="none" w:sz="0" w:space="0" w:color="auto"/>
        <w:right w:val="none" w:sz="0" w:space="0" w:color="auto"/>
      </w:divBdr>
      <w:divsChild>
        <w:div w:id="1781337617">
          <w:marLeft w:val="0"/>
          <w:marRight w:val="0"/>
          <w:marTop w:val="0"/>
          <w:marBottom w:val="0"/>
          <w:divBdr>
            <w:top w:val="none" w:sz="0" w:space="0" w:color="auto"/>
            <w:left w:val="none" w:sz="0" w:space="0" w:color="auto"/>
            <w:bottom w:val="none" w:sz="0" w:space="0" w:color="auto"/>
            <w:right w:val="none" w:sz="0" w:space="0" w:color="auto"/>
          </w:divBdr>
          <w:divsChild>
            <w:div w:id="1964994530">
              <w:marLeft w:val="0"/>
              <w:marRight w:val="0"/>
              <w:marTop w:val="0"/>
              <w:marBottom w:val="0"/>
              <w:divBdr>
                <w:top w:val="none" w:sz="0" w:space="0" w:color="auto"/>
                <w:left w:val="none" w:sz="0" w:space="0" w:color="auto"/>
                <w:bottom w:val="none" w:sz="0" w:space="0" w:color="auto"/>
                <w:right w:val="none" w:sz="0" w:space="0" w:color="auto"/>
              </w:divBdr>
              <w:divsChild>
                <w:div w:id="694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8726">
      <w:bodyDiv w:val="1"/>
      <w:marLeft w:val="0"/>
      <w:marRight w:val="0"/>
      <w:marTop w:val="0"/>
      <w:marBottom w:val="0"/>
      <w:divBdr>
        <w:top w:val="none" w:sz="0" w:space="0" w:color="auto"/>
        <w:left w:val="none" w:sz="0" w:space="0" w:color="auto"/>
        <w:bottom w:val="none" w:sz="0" w:space="0" w:color="auto"/>
        <w:right w:val="none" w:sz="0" w:space="0" w:color="auto"/>
      </w:divBdr>
      <w:divsChild>
        <w:div w:id="722631960">
          <w:marLeft w:val="0"/>
          <w:marRight w:val="0"/>
          <w:marTop w:val="0"/>
          <w:marBottom w:val="0"/>
          <w:divBdr>
            <w:top w:val="none" w:sz="0" w:space="0" w:color="auto"/>
            <w:left w:val="none" w:sz="0" w:space="0" w:color="auto"/>
            <w:bottom w:val="none" w:sz="0" w:space="0" w:color="auto"/>
            <w:right w:val="none" w:sz="0" w:space="0" w:color="auto"/>
          </w:divBdr>
          <w:divsChild>
            <w:div w:id="1983732940">
              <w:marLeft w:val="0"/>
              <w:marRight w:val="0"/>
              <w:marTop w:val="0"/>
              <w:marBottom w:val="0"/>
              <w:divBdr>
                <w:top w:val="none" w:sz="0" w:space="0" w:color="auto"/>
                <w:left w:val="none" w:sz="0" w:space="0" w:color="auto"/>
                <w:bottom w:val="none" w:sz="0" w:space="0" w:color="auto"/>
                <w:right w:val="none" w:sz="0" w:space="0" w:color="auto"/>
              </w:divBdr>
              <w:divsChild>
                <w:div w:id="13629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801">
      <w:bodyDiv w:val="1"/>
      <w:marLeft w:val="0"/>
      <w:marRight w:val="0"/>
      <w:marTop w:val="0"/>
      <w:marBottom w:val="0"/>
      <w:divBdr>
        <w:top w:val="none" w:sz="0" w:space="0" w:color="auto"/>
        <w:left w:val="none" w:sz="0" w:space="0" w:color="auto"/>
        <w:bottom w:val="none" w:sz="0" w:space="0" w:color="auto"/>
        <w:right w:val="none" w:sz="0" w:space="0" w:color="auto"/>
      </w:divBdr>
      <w:divsChild>
        <w:div w:id="117845620">
          <w:marLeft w:val="0"/>
          <w:marRight w:val="0"/>
          <w:marTop w:val="0"/>
          <w:marBottom w:val="0"/>
          <w:divBdr>
            <w:top w:val="none" w:sz="0" w:space="0" w:color="auto"/>
            <w:left w:val="none" w:sz="0" w:space="0" w:color="auto"/>
            <w:bottom w:val="none" w:sz="0" w:space="0" w:color="auto"/>
            <w:right w:val="none" w:sz="0" w:space="0" w:color="auto"/>
          </w:divBdr>
          <w:divsChild>
            <w:div w:id="1280794594">
              <w:marLeft w:val="0"/>
              <w:marRight w:val="0"/>
              <w:marTop w:val="0"/>
              <w:marBottom w:val="0"/>
              <w:divBdr>
                <w:top w:val="none" w:sz="0" w:space="0" w:color="auto"/>
                <w:left w:val="none" w:sz="0" w:space="0" w:color="auto"/>
                <w:bottom w:val="none" w:sz="0" w:space="0" w:color="auto"/>
                <w:right w:val="none" w:sz="0" w:space="0" w:color="auto"/>
              </w:divBdr>
              <w:divsChild>
                <w:div w:id="5428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7266">
      <w:bodyDiv w:val="1"/>
      <w:marLeft w:val="0"/>
      <w:marRight w:val="0"/>
      <w:marTop w:val="0"/>
      <w:marBottom w:val="0"/>
      <w:divBdr>
        <w:top w:val="none" w:sz="0" w:space="0" w:color="auto"/>
        <w:left w:val="none" w:sz="0" w:space="0" w:color="auto"/>
        <w:bottom w:val="none" w:sz="0" w:space="0" w:color="auto"/>
        <w:right w:val="none" w:sz="0" w:space="0" w:color="auto"/>
      </w:divBdr>
      <w:divsChild>
        <w:div w:id="1523784961">
          <w:marLeft w:val="0"/>
          <w:marRight w:val="0"/>
          <w:marTop w:val="0"/>
          <w:marBottom w:val="0"/>
          <w:divBdr>
            <w:top w:val="none" w:sz="0" w:space="0" w:color="auto"/>
            <w:left w:val="none" w:sz="0" w:space="0" w:color="auto"/>
            <w:bottom w:val="none" w:sz="0" w:space="0" w:color="auto"/>
            <w:right w:val="none" w:sz="0" w:space="0" w:color="auto"/>
          </w:divBdr>
          <w:divsChild>
            <w:div w:id="2139495498">
              <w:marLeft w:val="0"/>
              <w:marRight w:val="0"/>
              <w:marTop w:val="0"/>
              <w:marBottom w:val="0"/>
              <w:divBdr>
                <w:top w:val="none" w:sz="0" w:space="0" w:color="auto"/>
                <w:left w:val="none" w:sz="0" w:space="0" w:color="auto"/>
                <w:bottom w:val="none" w:sz="0" w:space="0" w:color="auto"/>
                <w:right w:val="none" w:sz="0" w:space="0" w:color="auto"/>
              </w:divBdr>
              <w:divsChild>
                <w:div w:id="7783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22004">
      <w:bodyDiv w:val="1"/>
      <w:marLeft w:val="0"/>
      <w:marRight w:val="0"/>
      <w:marTop w:val="0"/>
      <w:marBottom w:val="0"/>
      <w:divBdr>
        <w:top w:val="none" w:sz="0" w:space="0" w:color="auto"/>
        <w:left w:val="none" w:sz="0" w:space="0" w:color="auto"/>
        <w:bottom w:val="none" w:sz="0" w:space="0" w:color="auto"/>
        <w:right w:val="none" w:sz="0" w:space="0" w:color="auto"/>
      </w:divBdr>
      <w:divsChild>
        <w:div w:id="42295758">
          <w:marLeft w:val="0"/>
          <w:marRight w:val="0"/>
          <w:marTop w:val="0"/>
          <w:marBottom w:val="0"/>
          <w:divBdr>
            <w:top w:val="none" w:sz="0" w:space="0" w:color="auto"/>
            <w:left w:val="none" w:sz="0" w:space="0" w:color="auto"/>
            <w:bottom w:val="none" w:sz="0" w:space="0" w:color="auto"/>
            <w:right w:val="none" w:sz="0" w:space="0" w:color="auto"/>
          </w:divBdr>
          <w:divsChild>
            <w:div w:id="1788543323">
              <w:marLeft w:val="0"/>
              <w:marRight w:val="0"/>
              <w:marTop w:val="0"/>
              <w:marBottom w:val="0"/>
              <w:divBdr>
                <w:top w:val="none" w:sz="0" w:space="0" w:color="auto"/>
                <w:left w:val="none" w:sz="0" w:space="0" w:color="auto"/>
                <w:bottom w:val="none" w:sz="0" w:space="0" w:color="auto"/>
                <w:right w:val="none" w:sz="0" w:space="0" w:color="auto"/>
              </w:divBdr>
              <w:divsChild>
                <w:div w:id="16389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8139">
          <w:marLeft w:val="0"/>
          <w:marRight w:val="0"/>
          <w:marTop w:val="0"/>
          <w:marBottom w:val="0"/>
          <w:divBdr>
            <w:top w:val="none" w:sz="0" w:space="0" w:color="auto"/>
            <w:left w:val="none" w:sz="0" w:space="0" w:color="auto"/>
            <w:bottom w:val="none" w:sz="0" w:space="0" w:color="auto"/>
            <w:right w:val="none" w:sz="0" w:space="0" w:color="auto"/>
          </w:divBdr>
          <w:divsChild>
            <w:div w:id="1173646352">
              <w:marLeft w:val="0"/>
              <w:marRight w:val="0"/>
              <w:marTop w:val="0"/>
              <w:marBottom w:val="0"/>
              <w:divBdr>
                <w:top w:val="none" w:sz="0" w:space="0" w:color="auto"/>
                <w:left w:val="none" w:sz="0" w:space="0" w:color="auto"/>
                <w:bottom w:val="none" w:sz="0" w:space="0" w:color="auto"/>
                <w:right w:val="none" w:sz="0" w:space="0" w:color="auto"/>
              </w:divBdr>
              <w:divsChild>
                <w:div w:id="12668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4372">
      <w:bodyDiv w:val="1"/>
      <w:marLeft w:val="0"/>
      <w:marRight w:val="0"/>
      <w:marTop w:val="0"/>
      <w:marBottom w:val="0"/>
      <w:divBdr>
        <w:top w:val="none" w:sz="0" w:space="0" w:color="auto"/>
        <w:left w:val="none" w:sz="0" w:space="0" w:color="auto"/>
        <w:bottom w:val="none" w:sz="0" w:space="0" w:color="auto"/>
        <w:right w:val="none" w:sz="0" w:space="0" w:color="auto"/>
      </w:divBdr>
      <w:divsChild>
        <w:div w:id="710034612">
          <w:marLeft w:val="0"/>
          <w:marRight w:val="0"/>
          <w:marTop w:val="0"/>
          <w:marBottom w:val="0"/>
          <w:divBdr>
            <w:top w:val="none" w:sz="0" w:space="0" w:color="auto"/>
            <w:left w:val="none" w:sz="0" w:space="0" w:color="auto"/>
            <w:bottom w:val="none" w:sz="0" w:space="0" w:color="auto"/>
            <w:right w:val="none" w:sz="0" w:space="0" w:color="auto"/>
          </w:divBdr>
          <w:divsChild>
            <w:div w:id="1960449654">
              <w:marLeft w:val="0"/>
              <w:marRight w:val="0"/>
              <w:marTop w:val="0"/>
              <w:marBottom w:val="0"/>
              <w:divBdr>
                <w:top w:val="none" w:sz="0" w:space="0" w:color="auto"/>
                <w:left w:val="none" w:sz="0" w:space="0" w:color="auto"/>
                <w:bottom w:val="none" w:sz="0" w:space="0" w:color="auto"/>
                <w:right w:val="none" w:sz="0" w:space="0" w:color="auto"/>
              </w:divBdr>
              <w:divsChild>
                <w:div w:id="12575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6978">
      <w:bodyDiv w:val="1"/>
      <w:marLeft w:val="0"/>
      <w:marRight w:val="0"/>
      <w:marTop w:val="0"/>
      <w:marBottom w:val="0"/>
      <w:divBdr>
        <w:top w:val="none" w:sz="0" w:space="0" w:color="auto"/>
        <w:left w:val="none" w:sz="0" w:space="0" w:color="auto"/>
        <w:bottom w:val="none" w:sz="0" w:space="0" w:color="auto"/>
        <w:right w:val="none" w:sz="0" w:space="0" w:color="auto"/>
      </w:divBdr>
      <w:divsChild>
        <w:div w:id="216748990">
          <w:marLeft w:val="0"/>
          <w:marRight w:val="0"/>
          <w:marTop w:val="0"/>
          <w:marBottom w:val="0"/>
          <w:divBdr>
            <w:top w:val="none" w:sz="0" w:space="0" w:color="auto"/>
            <w:left w:val="none" w:sz="0" w:space="0" w:color="auto"/>
            <w:bottom w:val="none" w:sz="0" w:space="0" w:color="auto"/>
            <w:right w:val="none" w:sz="0" w:space="0" w:color="auto"/>
          </w:divBdr>
          <w:divsChild>
            <w:div w:id="1967272213">
              <w:marLeft w:val="0"/>
              <w:marRight w:val="0"/>
              <w:marTop w:val="0"/>
              <w:marBottom w:val="0"/>
              <w:divBdr>
                <w:top w:val="none" w:sz="0" w:space="0" w:color="auto"/>
                <w:left w:val="none" w:sz="0" w:space="0" w:color="auto"/>
                <w:bottom w:val="none" w:sz="0" w:space="0" w:color="auto"/>
                <w:right w:val="none" w:sz="0" w:space="0" w:color="auto"/>
              </w:divBdr>
              <w:divsChild>
                <w:div w:id="17722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1706">
      <w:bodyDiv w:val="1"/>
      <w:marLeft w:val="0"/>
      <w:marRight w:val="0"/>
      <w:marTop w:val="0"/>
      <w:marBottom w:val="0"/>
      <w:divBdr>
        <w:top w:val="none" w:sz="0" w:space="0" w:color="auto"/>
        <w:left w:val="none" w:sz="0" w:space="0" w:color="auto"/>
        <w:bottom w:val="none" w:sz="0" w:space="0" w:color="auto"/>
        <w:right w:val="none" w:sz="0" w:space="0" w:color="auto"/>
      </w:divBdr>
      <w:divsChild>
        <w:div w:id="516581862">
          <w:marLeft w:val="0"/>
          <w:marRight w:val="0"/>
          <w:marTop w:val="0"/>
          <w:marBottom w:val="0"/>
          <w:divBdr>
            <w:top w:val="none" w:sz="0" w:space="0" w:color="auto"/>
            <w:left w:val="none" w:sz="0" w:space="0" w:color="auto"/>
            <w:bottom w:val="none" w:sz="0" w:space="0" w:color="auto"/>
            <w:right w:val="none" w:sz="0" w:space="0" w:color="auto"/>
          </w:divBdr>
          <w:divsChild>
            <w:div w:id="681129802">
              <w:marLeft w:val="0"/>
              <w:marRight w:val="0"/>
              <w:marTop w:val="0"/>
              <w:marBottom w:val="0"/>
              <w:divBdr>
                <w:top w:val="none" w:sz="0" w:space="0" w:color="auto"/>
                <w:left w:val="none" w:sz="0" w:space="0" w:color="auto"/>
                <w:bottom w:val="none" w:sz="0" w:space="0" w:color="auto"/>
                <w:right w:val="none" w:sz="0" w:space="0" w:color="auto"/>
              </w:divBdr>
              <w:divsChild>
                <w:div w:id="10599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565">
      <w:bodyDiv w:val="1"/>
      <w:marLeft w:val="0"/>
      <w:marRight w:val="0"/>
      <w:marTop w:val="0"/>
      <w:marBottom w:val="0"/>
      <w:divBdr>
        <w:top w:val="none" w:sz="0" w:space="0" w:color="auto"/>
        <w:left w:val="none" w:sz="0" w:space="0" w:color="auto"/>
        <w:bottom w:val="none" w:sz="0" w:space="0" w:color="auto"/>
        <w:right w:val="none" w:sz="0" w:space="0" w:color="auto"/>
      </w:divBdr>
      <w:divsChild>
        <w:div w:id="1277180230">
          <w:marLeft w:val="0"/>
          <w:marRight w:val="0"/>
          <w:marTop w:val="0"/>
          <w:marBottom w:val="0"/>
          <w:divBdr>
            <w:top w:val="none" w:sz="0" w:space="0" w:color="auto"/>
            <w:left w:val="none" w:sz="0" w:space="0" w:color="auto"/>
            <w:bottom w:val="none" w:sz="0" w:space="0" w:color="auto"/>
            <w:right w:val="none" w:sz="0" w:space="0" w:color="auto"/>
          </w:divBdr>
          <w:divsChild>
            <w:div w:id="1514610672">
              <w:marLeft w:val="0"/>
              <w:marRight w:val="0"/>
              <w:marTop w:val="0"/>
              <w:marBottom w:val="0"/>
              <w:divBdr>
                <w:top w:val="none" w:sz="0" w:space="0" w:color="auto"/>
                <w:left w:val="none" w:sz="0" w:space="0" w:color="auto"/>
                <w:bottom w:val="none" w:sz="0" w:space="0" w:color="auto"/>
                <w:right w:val="none" w:sz="0" w:space="0" w:color="auto"/>
              </w:divBdr>
              <w:divsChild>
                <w:div w:id="8559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39654">
      <w:bodyDiv w:val="1"/>
      <w:marLeft w:val="0"/>
      <w:marRight w:val="0"/>
      <w:marTop w:val="0"/>
      <w:marBottom w:val="0"/>
      <w:divBdr>
        <w:top w:val="none" w:sz="0" w:space="0" w:color="auto"/>
        <w:left w:val="none" w:sz="0" w:space="0" w:color="auto"/>
        <w:bottom w:val="none" w:sz="0" w:space="0" w:color="auto"/>
        <w:right w:val="none" w:sz="0" w:space="0" w:color="auto"/>
      </w:divBdr>
      <w:divsChild>
        <w:div w:id="1294824931">
          <w:marLeft w:val="0"/>
          <w:marRight w:val="0"/>
          <w:marTop w:val="0"/>
          <w:marBottom w:val="0"/>
          <w:divBdr>
            <w:top w:val="none" w:sz="0" w:space="0" w:color="auto"/>
            <w:left w:val="none" w:sz="0" w:space="0" w:color="auto"/>
            <w:bottom w:val="none" w:sz="0" w:space="0" w:color="auto"/>
            <w:right w:val="none" w:sz="0" w:space="0" w:color="auto"/>
          </w:divBdr>
          <w:divsChild>
            <w:div w:id="1636990056">
              <w:marLeft w:val="0"/>
              <w:marRight w:val="0"/>
              <w:marTop w:val="0"/>
              <w:marBottom w:val="0"/>
              <w:divBdr>
                <w:top w:val="none" w:sz="0" w:space="0" w:color="auto"/>
                <w:left w:val="none" w:sz="0" w:space="0" w:color="auto"/>
                <w:bottom w:val="none" w:sz="0" w:space="0" w:color="auto"/>
                <w:right w:val="none" w:sz="0" w:space="0" w:color="auto"/>
              </w:divBdr>
              <w:divsChild>
                <w:div w:id="18893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9403">
      <w:bodyDiv w:val="1"/>
      <w:marLeft w:val="0"/>
      <w:marRight w:val="0"/>
      <w:marTop w:val="0"/>
      <w:marBottom w:val="0"/>
      <w:divBdr>
        <w:top w:val="none" w:sz="0" w:space="0" w:color="auto"/>
        <w:left w:val="none" w:sz="0" w:space="0" w:color="auto"/>
        <w:bottom w:val="none" w:sz="0" w:space="0" w:color="auto"/>
        <w:right w:val="none" w:sz="0" w:space="0" w:color="auto"/>
      </w:divBdr>
      <w:divsChild>
        <w:div w:id="1756584210">
          <w:marLeft w:val="0"/>
          <w:marRight w:val="0"/>
          <w:marTop w:val="0"/>
          <w:marBottom w:val="0"/>
          <w:divBdr>
            <w:top w:val="none" w:sz="0" w:space="0" w:color="auto"/>
            <w:left w:val="none" w:sz="0" w:space="0" w:color="auto"/>
            <w:bottom w:val="none" w:sz="0" w:space="0" w:color="auto"/>
            <w:right w:val="none" w:sz="0" w:space="0" w:color="auto"/>
          </w:divBdr>
          <w:divsChild>
            <w:div w:id="1975058998">
              <w:marLeft w:val="0"/>
              <w:marRight w:val="0"/>
              <w:marTop w:val="0"/>
              <w:marBottom w:val="0"/>
              <w:divBdr>
                <w:top w:val="none" w:sz="0" w:space="0" w:color="auto"/>
                <w:left w:val="none" w:sz="0" w:space="0" w:color="auto"/>
                <w:bottom w:val="none" w:sz="0" w:space="0" w:color="auto"/>
                <w:right w:val="none" w:sz="0" w:space="0" w:color="auto"/>
              </w:divBdr>
              <w:divsChild>
                <w:div w:id="144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7657">
      <w:bodyDiv w:val="1"/>
      <w:marLeft w:val="0"/>
      <w:marRight w:val="0"/>
      <w:marTop w:val="0"/>
      <w:marBottom w:val="0"/>
      <w:divBdr>
        <w:top w:val="none" w:sz="0" w:space="0" w:color="auto"/>
        <w:left w:val="none" w:sz="0" w:space="0" w:color="auto"/>
        <w:bottom w:val="none" w:sz="0" w:space="0" w:color="auto"/>
        <w:right w:val="none" w:sz="0" w:space="0" w:color="auto"/>
      </w:divBdr>
      <w:divsChild>
        <w:div w:id="352732913">
          <w:marLeft w:val="0"/>
          <w:marRight w:val="0"/>
          <w:marTop w:val="0"/>
          <w:marBottom w:val="0"/>
          <w:divBdr>
            <w:top w:val="none" w:sz="0" w:space="0" w:color="auto"/>
            <w:left w:val="none" w:sz="0" w:space="0" w:color="auto"/>
            <w:bottom w:val="none" w:sz="0" w:space="0" w:color="auto"/>
            <w:right w:val="none" w:sz="0" w:space="0" w:color="auto"/>
          </w:divBdr>
          <w:divsChild>
            <w:div w:id="1023674272">
              <w:marLeft w:val="0"/>
              <w:marRight w:val="0"/>
              <w:marTop w:val="0"/>
              <w:marBottom w:val="0"/>
              <w:divBdr>
                <w:top w:val="none" w:sz="0" w:space="0" w:color="auto"/>
                <w:left w:val="none" w:sz="0" w:space="0" w:color="auto"/>
                <w:bottom w:val="none" w:sz="0" w:space="0" w:color="auto"/>
                <w:right w:val="none" w:sz="0" w:space="0" w:color="auto"/>
              </w:divBdr>
              <w:divsChild>
                <w:div w:id="119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7284">
      <w:bodyDiv w:val="1"/>
      <w:marLeft w:val="0"/>
      <w:marRight w:val="0"/>
      <w:marTop w:val="0"/>
      <w:marBottom w:val="0"/>
      <w:divBdr>
        <w:top w:val="none" w:sz="0" w:space="0" w:color="auto"/>
        <w:left w:val="none" w:sz="0" w:space="0" w:color="auto"/>
        <w:bottom w:val="none" w:sz="0" w:space="0" w:color="auto"/>
        <w:right w:val="none" w:sz="0" w:space="0" w:color="auto"/>
      </w:divBdr>
      <w:divsChild>
        <w:div w:id="860361364">
          <w:marLeft w:val="0"/>
          <w:marRight w:val="0"/>
          <w:marTop w:val="0"/>
          <w:marBottom w:val="0"/>
          <w:divBdr>
            <w:top w:val="none" w:sz="0" w:space="0" w:color="auto"/>
            <w:left w:val="none" w:sz="0" w:space="0" w:color="auto"/>
            <w:bottom w:val="none" w:sz="0" w:space="0" w:color="auto"/>
            <w:right w:val="none" w:sz="0" w:space="0" w:color="auto"/>
          </w:divBdr>
          <w:divsChild>
            <w:div w:id="514850901">
              <w:marLeft w:val="0"/>
              <w:marRight w:val="0"/>
              <w:marTop w:val="0"/>
              <w:marBottom w:val="0"/>
              <w:divBdr>
                <w:top w:val="none" w:sz="0" w:space="0" w:color="auto"/>
                <w:left w:val="none" w:sz="0" w:space="0" w:color="auto"/>
                <w:bottom w:val="none" w:sz="0" w:space="0" w:color="auto"/>
                <w:right w:val="none" w:sz="0" w:space="0" w:color="auto"/>
              </w:divBdr>
              <w:divsChild>
                <w:div w:id="21370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4644">
      <w:bodyDiv w:val="1"/>
      <w:marLeft w:val="0"/>
      <w:marRight w:val="0"/>
      <w:marTop w:val="0"/>
      <w:marBottom w:val="0"/>
      <w:divBdr>
        <w:top w:val="none" w:sz="0" w:space="0" w:color="auto"/>
        <w:left w:val="none" w:sz="0" w:space="0" w:color="auto"/>
        <w:bottom w:val="none" w:sz="0" w:space="0" w:color="auto"/>
        <w:right w:val="none" w:sz="0" w:space="0" w:color="auto"/>
      </w:divBdr>
      <w:divsChild>
        <w:div w:id="852767586">
          <w:marLeft w:val="0"/>
          <w:marRight w:val="0"/>
          <w:marTop w:val="0"/>
          <w:marBottom w:val="0"/>
          <w:divBdr>
            <w:top w:val="none" w:sz="0" w:space="0" w:color="auto"/>
            <w:left w:val="none" w:sz="0" w:space="0" w:color="auto"/>
            <w:bottom w:val="none" w:sz="0" w:space="0" w:color="auto"/>
            <w:right w:val="none" w:sz="0" w:space="0" w:color="auto"/>
          </w:divBdr>
          <w:divsChild>
            <w:div w:id="1364941828">
              <w:marLeft w:val="0"/>
              <w:marRight w:val="0"/>
              <w:marTop w:val="0"/>
              <w:marBottom w:val="0"/>
              <w:divBdr>
                <w:top w:val="none" w:sz="0" w:space="0" w:color="auto"/>
                <w:left w:val="none" w:sz="0" w:space="0" w:color="auto"/>
                <w:bottom w:val="none" w:sz="0" w:space="0" w:color="auto"/>
                <w:right w:val="none" w:sz="0" w:space="0" w:color="auto"/>
              </w:divBdr>
              <w:divsChild>
                <w:div w:id="1726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4042">
      <w:bodyDiv w:val="1"/>
      <w:marLeft w:val="0"/>
      <w:marRight w:val="0"/>
      <w:marTop w:val="0"/>
      <w:marBottom w:val="0"/>
      <w:divBdr>
        <w:top w:val="none" w:sz="0" w:space="0" w:color="auto"/>
        <w:left w:val="none" w:sz="0" w:space="0" w:color="auto"/>
        <w:bottom w:val="none" w:sz="0" w:space="0" w:color="auto"/>
        <w:right w:val="none" w:sz="0" w:space="0" w:color="auto"/>
      </w:divBdr>
      <w:divsChild>
        <w:div w:id="103154833">
          <w:marLeft w:val="0"/>
          <w:marRight w:val="0"/>
          <w:marTop w:val="0"/>
          <w:marBottom w:val="0"/>
          <w:divBdr>
            <w:top w:val="none" w:sz="0" w:space="0" w:color="auto"/>
            <w:left w:val="none" w:sz="0" w:space="0" w:color="auto"/>
            <w:bottom w:val="none" w:sz="0" w:space="0" w:color="auto"/>
            <w:right w:val="none" w:sz="0" w:space="0" w:color="auto"/>
          </w:divBdr>
          <w:divsChild>
            <w:div w:id="1083992962">
              <w:marLeft w:val="0"/>
              <w:marRight w:val="0"/>
              <w:marTop w:val="0"/>
              <w:marBottom w:val="0"/>
              <w:divBdr>
                <w:top w:val="none" w:sz="0" w:space="0" w:color="auto"/>
                <w:left w:val="none" w:sz="0" w:space="0" w:color="auto"/>
                <w:bottom w:val="none" w:sz="0" w:space="0" w:color="auto"/>
                <w:right w:val="none" w:sz="0" w:space="0" w:color="auto"/>
              </w:divBdr>
              <w:divsChild>
                <w:div w:id="12468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89927">
      <w:bodyDiv w:val="1"/>
      <w:marLeft w:val="0"/>
      <w:marRight w:val="0"/>
      <w:marTop w:val="0"/>
      <w:marBottom w:val="0"/>
      <w:divBdr>
        <w:top w:val="none" w:sz="0" w:space="0" w:color="auto"/>
        <w:left w:val="none" w:sz="0" w:space="0" w:color="auto"/>
        <w:bottom w:val="none" w:sz="0" w:space="0" w:color="auto"/>
        <w:right w:val="none" w:sz="0" w:space="0" w:color="auto"/>
      </w:divBdr>
      <w:divsChild>
        <w:div w:id="1502811025">
          <w:marLeft w:val="0"/>
          <w:marRight w:val="0"/>
          <w:marTop w:val="0"/>
          <w:marBottom w:val="0"/>
          <w:divBdr>
            <w:top w:val="none" w:sz="0" w:space="0" w:color="auto"/>
            <w:left w:val="none" w:sz="0" w:space="0" w:color="auto"/>
            <w:bottom w:val="none" w:sz="0" w:space="0" w:color="auto"/>
            <w:right w:val="none" w:sz="0" w:space="0" w:color="auto"/>
          </w:divBdr>
          <w:divsChild>
            <w:div w:id="586773574">
              <w:marLeft w:val="0"/>
              <w:marRight w:val="0"/>
              <w:marTop w:val="0"/>
              <w:marBottom w:val="0"/>
              <w:divBdr>
                <w:top w:val="none" w:sz="0" w:space="0" w:color="auto"/>
                <w:left w:val="none" w:sz="0" w:space="0" w:color="auto"/>
                <w:bottom w:val="none" w:sz="0" w:space="0" w:color="auto"/>
                <w:right w:val="none" w:sz="0" w:space="0" w:color="auto"/>
              </w:divBdr>
              <w:divsChild>
                <w:div w:id="8900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4384">
      <w:bodyDiv w:val="1"/>
      <w:marLeft w:val="0"/>
      <w:marRight w:val="0"/>
      <w:marTop w:val="0"/>
      <w:marBottom w:val="0"/>
      <w:divBdr>
        <w:top w:val="none" w:sz="0" w:space="0" w:color="auto"/>
        <w:left w:val="none" w:sz="0" w:space="0" w:color="auto"/>
        <w:bottom w:val="none" w:sz="0" w:space="0" w:color="auto"/>
        <w:right w:val="none" w:sz="0" w:space="0" w:color="auto"/>
      </w:divBdr>
      <w:divsChild>
        <w:div w:id="2023125892">
          <w:marLeft w:val="0"/>
          <w:marRight w:val="0"/>
          <w:marTop w:val="0"/>
          <w:marBottom w:val="0"/>
          <w:divBdr>
            <w:top w:val="none" w:sz="0" w:space="0" w:color="auto"/>
            <w:left w:val="none" w:sz="0" w:space="0" w:color="auto"/>
            <w:bottom w:val="none" w:sz="0" w:space="0" w:color="auto"/>
            <w:right w:val="none" w:sz="0" w:space="0" w:color="auto"/>
          </w:divBdr>
          <w:divsChild>
            <w:div w:id="77945939">
              <w:marLeft w:val="0"/>
              <w:marRight w:val="0"/>
              <w:marTop w:val="0"/>
              <w:marBottom w:val="0"/>
              <w:divBdr>
                <w:top w:val="none" w:sz="0" w:space="0" w:color="auto"/>
                <w:left w:val="none" w:sz="0" w:space="0" w:color="auto"/>
                <w:bottom w:val="none" w:sz="0" w:space="0" w:color="auto"/>
                <w:right w:val="none" w:sz="0" w:space="0" w:color="auto"/>
              </w:divBdr>
              <w:divsChild>
                <w:div w:id="999843143">
                  <w:marLeft w:val="0"/>
                  <w:marRight w:val="0"/>
                  <w:marTop w:val="0"/>
                  <w:marBottom w:val="0"/>
                  <w:divBdr>
                    <w:top w:val="none" w:sz="0" w:space="0" w:color="auto"/>
                    <w:left w:val="none" w:sz="0" w:space="0" w:color="auto"/>
                    <w:bottom w:val="none" w:sz="0" w:space="0" w:color="auto"/>
                    <w:right w:val="none" w:sz="0" w:space="0" w:color="auto"/>
                  </w:divBdr>
                </w:div>
              </w:divsChild>
            </w:div>
            <w:div w:id="852649360">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0"/>
                  <w:divBdr>
                    <w:top w:val="none" w:sz="0" w:space="0" w:color="auto"/>
                    <w:left w:val="none" w:sz="0" w:space="0" w:color="auto"/>
                    <w:bottom w:val="none" w:sz="0" w:space="0" w:color="auto"/>
                    <w:right w:val="none" w:sz="0" w:space="0" w:color="auto"/>
                  </w:divBdr>
                </w:div>
                <w:div w:id="1634407009">
                  <w:marLeft w:val="0"/>
                  <w:marRight w:val="0"/>
                  <w:marTop w:val="0"/>
                  <w:marBottom w:val="0"/>
                  <w:divBdr>
                    <w:top w:val="none" w:sz="0" w:space="0" w:color="auto"/>
                    <w:left w:val="none" w:sz="0" w:space="0" w:color="auto"/>
                    <w:bottom w:val="none" w:sz="0" w:space="0" w:color="auto"/>
                    <w:right w:val="none" w:sz="0" w:space="0" w:color="auto"/>
                  </w:divBdr>
                </w:div>
              </w:divsChild>
            </w:div>
            <w:div w:id="1839423283">
              <w:marLeft w:val="0"/>
              <w:marRight w:val="0"/>
              <w:marTop w:val="0"/>
              <w:marBottom w:val="0"/>
              <w:divBdr>
                <w:top w:val="none" w:sz="0" w:space="0" w:color="auto"/>
                <w:left w:val="none" w:sz="0" w:space="0" w:color="auto"/>
                <w:bottom w:val="none" w:sz="0" w:space="0" w:color="auto"/>
                <w:right w:val="none" w:sz="0" w:space="0" w:color="auto"/>
              </w:divBdr>
              <w:divsChild>
                <w:div w:id="608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07962">
      <w:bodyDiv w:val="1"/>
      <w:marLeft w:val="0"/>
      <w:marRight w:val="0"/>
      <w:marTop w:val="0"/>
      <w:marBottom w:val="0"/>
      <w:divBdr>
        <w:top w:val="none" w:sz="0" w:space="0" w:color="auto"/>
        <w:left w:val="none" w:sz="0" w:space="0" w:color="auto"/>
        <w:bottom w:val="none" w:sz="0" w:space="0" w:color="auto"/>
        <w:right w:val="none" w:sz="0" w:space="0" w:color="auto"/>
      </w:divBdr>
      <w:divsChild>
        <w:div w:id="47263235">
          <w:marLeft w:val="0"/>
          <w:marRight w:val="0"/>
          <w:marTop w:val="0"/>
          <w:marBottom w:val="0"/>
          <w:divBdr>
            <w:top w:val="none" w:sz="0" w:space="0" w:color="auto"/>
            <w:left w:val="none" w:sz="0" w:space="0" w:color="auto"/>
            <w:bottom w:val="none" w:sz="0" w:space="0" w:color="auto"/>
            <w:right w:val="none" w:sz="0" w:space="0" w:color="auto"/>
          </w:divBdr>
          <w:divsChild>
            <w:div w:id="218715379">
              <w:marLeft w:val="0"/>
              <w:marRight w:val="0"/>
              <w:marTop w:val="0"/>
              <w:marBottom w:val="0"/>
              <w:divBdr>
                <w:top w:val="none" w:sz="0" w:space="0" w:color="auto"/>
                <w:left w:val="none" w:sz="0" w:space="0" w:color="auto"/>
                <w:bottom w:val="none" w:sz="0" w:space="0" w:color="auto"/>
                <w:right w:val="none" w:sz="0" w:space="0" w:color="auto"/>
              </w:divBdr>
              <w:divsChild>
                <w:div w:id="14911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1161">
          <w:marLeft w:val="0"/>
          <w:marRight w:val="0"/>
          <w:marTop w:val="0"/>
          <w:marBottom w:val="0"/>
          <w:divBdr>
            <w:top w:val="none" w:sz="0" w:space="0" w:color="auto"/>
            <w:left w:val="none" w:sz="0" w:space="0" w:color="auto"/>
            <w:bottom w:val="none" w:sz="0" w:space="0" w:color="auto"/>
            <w:right w:val="none" w:sz="0" w:space="0" w:color="auto"/>
          </w:divBdr>
          <w:divsChild>
            <w:div w:id="1237521107">
              <w:marLeft w:val="0"/>
              <w:marRight w:val="0"/>
              <w:marTop w:val="0"/>
              <w:marBottom w:val="0"/>
              <w:divBdr>
                <w:top w:val="none" w:sz="0" w:space="0" w:color="auto"/>
                <w:left w:val="none" w:sz="0" w:space="0" w:color="auto"/>
                <w:bottom w:val="none" w:sz="0" w:space="0" w:color="auto"/>
                <w:right w:val="none" w:sz="0" w:space="0" w:color="auto"/>
              </w:divBdr>
              <w:divsChild>
                <w:div w:id="840465101">
                  <w:marLeft w:val="0"/>
                  <w:marRight w:val="0"/>
                  <w:marTop w:val="0"/>
                  <w:marBottom w:val="0"/>
                  <w:divBdr>
                    <w:top w:val="none" w:sz="0" w:space="0" w:color="auto"/>
                    <w:left w:val="none" w:sz="0" w:space="0" w:color="auto"/>
                    <w:bottom w:val="none" w:sz="0" w:space="0" w:color="auto"/>
                    <w:right w:val="none" w:sz="0" w:space="0" w:color="auto"/>
                  </w:divBdr>
                </w:div>
              </w:divsChild>
            </w:div>
            <w:div w:id="2088720058">
              <w:marLeft w:val="0"/>
              <w:marRight w:val="0"/>
              <w:marTop w:val="0"/>
              <w:marBottom w:val="0"/>
              <w:divBdr>
                <w:top w:val="none" w:sz="0" w:space="0" w:color="auto"/>
                <w:left w:val="none" w:sz="0" w:space="0" w:color="auto"/>
                <w:bottom w:val="none" w:sz="0" w:space="0" w:color="auto"/>
                <w:right w:val="none" w:sz="0" w:space="0" w:color="auto"/>
              </w:divBdr>
              <w:divsChild>
                <w:div w:id="9215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8037">
      <w:bodyDiv w:val="1"/>
      <w:marLeft w:val="0"/>
      <w:marRight w:val="0"/>
      <w:marTop w:val="0"/>
      <w:marBottom w:val="0"/>
      <w:divBdr>
        <w:top w:val="none" w:sz="0" w:space="0" w:color="auto"/>
        <w:left w:val="none" w:sz="0" w:space="0" w:color="auto"/>
        <w:bottom w:val="none" w:sz="0" w:space="0" w:color="auto"/>
        <w:right w:val="none" w:sz="0" w:space="0" w:color="auto"/>
      </w:divBdr>
      <w:divsChild>
        <w:div w:id="1860313926">
          <w:marLeft w:val="0"/>
          <w:marRight w:val="0"/>
          <w:marTop w:val="0"/>
          <w:marBottom w:val="0"/>
          <w:divBdr>
            <w:top w:val="none" w:sz="0" w:space="0" w:color="auto"/>
            <w:left w:val="none" w:sz="0" w:space="0" w:color="auto"/>
            <w:bottom w:val="none" w:sz="0" w:space="0" w:color="auto"/>
            <w:right w:val="none" w:sz="0" w:space="0" w:color="auto"/>
          </w:divBdr>
          <w:divsChild>
            <w:div w:id="1575968744">
              <w:marLeft w:val="0"/>
              <w:marRight w:val="0"/>
              <w:marTop w:val="0"/>
              <w:marBottom w:val="0"/>
              <w:divBdr>
                <w:top w:val="none" w:sz="0" w:space="0" w:color="auto"/>
                <w:left w:val="none" w:sz="0" w:space="0" w:color="auto"/>
                <w:bottom w:val="none" w:sz="0" w:space="0" w:color="auto"/>
                <w:right w:val="none" w:sz="0" w:space="0" w:color="auto"/>
              </w:divBdr>
              <w:divsChild>
                <w:div w:id="3405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562">
      <w:bodyDiv w:val="1"/>
      <w:marLeft w:val="0"/>
      <w:marRight w:val="0"/>
      <w:marTop w:val="0"/>
      <w:marBottom w:val="0"/>
      <w:divBdr>
        <w:top w:val="none" w:sz="0" w:space="0" w:color="auto"/>
        <w:left w:val="none" w:sz="0" w:space="0" w:color="auto"/>
        <w:bottom w:val="none" w:sz="0" w:space="0" w:color="auto"/>
        <w:right w:val="none" w:sz="0" w:space="0" w:color="auto"/>
      </w:divBdr>
      <w:divsChild>
        <w:div w:id="1371614513">
          <w:marLeft w:val="0"/>
          <w:marRight w:val="0"/>
          <w:marTop w:val="0"/>
          <w:marBottom w:val="0"/>
          <w:divBdr>
            <w:top w:val="none" w:sz="0" w:space="0" w:color="auto"/>
            <w:left w:val="none" w:sz="0" w:space="0" w:color="auto"/>
            <w:bottom w:val="none" w:sz="0" w:space="0" w:color="auto"/>
            <w:right w:val="none" w:sz="0" w:space="0" w:color="auto"/>
          </w:divBdr>
          <w:divsChild>
            <w:div w:id="442576404">
              <w:marLeft w:val="0"/>
              <w:marRight w:val="0"/>
              <w:marTop w:val="0"/>
              <w:marBottom w:val="0"/>
              <w:divBdr>
                <w:top w:val="none" w:sz="0" w:space="0" w:color="auto"/>
                <w:left w:val="none" w:sz="0" w:space="0" w:color="auto"/>
                <w:bottom w:val="none" w:sz="0" w:space="0" w:color="auto"/>
                <w:right w:val="none" w:sz="0" w:space="0" w:color="auto"/>
              </w:divBdr>
              <w:divsChild>
                <w:div w:id="12947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5083">
      <w:bodyDiv w:val="1"/>
      <w:marLeft w:val="0"/>
      <w:marRight w:val="0"/>
      <w:marTop w:val="0"/>
      <w:marBottom w:val="0"/>
      <w:divBdr>
        <w:top w:val="none" w:sz="0" w:space="0" w:color="auto"/>
        <w:left w:val="none" w:sz="0" w:space="0" w:color="auto"/>
        <w:bottom w:val="none" w:sz="0" w:space="0" w:color="auto"/>
        <w:right w:val="none" w:sz="0" w:space="0" w:color="auto"/>
      </w:divBdr>
      <w:divsChild>
        <w:div w:id="1509053871">
          <w:marLeft w:val="0"/>
          <w:marRight w:val="0"/>
          <w:marTop w:val="0"/>
          <w:marBottom w:val="0"/>
          <w:divBdr>
            <w:top w:val="none" w:sz="0" w:space="0" w:color="auto"/>
            <w:left w:val="none" w:sz="0" w:space="0" w:color="auto"/>
            <w:bottom w:val="none" w:sz="0" w:space="0" w:color="auto"/>
            <w:right w:val="none" w:sz="0" w:space="0" w:color="auto"/>
          </w:divBdr>
          <w:divsChild>
            <w:div w:id="1551762761">
              <w:marLeft w:val="0"/>
              <w:marRight w:val="0"/>
              <w:marTop w:val="0"/>
              <w:marBottom w:val="0"/>
              <w:divBdr>
                <w:top w:val="none" w:sz="0" w:space="0" w:color="auto"/>
                <w:left w:val="none" w:sz="0" w:space="0" w:color="auto"/>
                <w:bottom w:val="none" w:sz="0" w:space="0" w:color="auto"/>
                <w:right w:val="none" w:sz="0" w:space="0" w:color="auto"/>
              </w:divBdr>
              <w:divsChild>
                <w:div w:id="14676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417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10">
          <w:marLeft w:val="0"/>
          <w:marRight w:val="0"/>
          <w:marTop w:val="0"/>
          <w:marBottom w:val="0"/>
          <w:divBdr>
            <w:top w:val="none" w:sz="0" w:space="0" w:color="auto"/>
            <w:left w:val="none" w:sz="0" w:space="0" w:color="auto"/>
            <w:bottom w:val="none" w:sz="0" w:space="0" w:color="auto"/>
            <w:right w:val="none" w:sz="0" w:space="0" w:color="auto"/>
          </w:divBdr>
          <w:divsChild>
            <w:div w:id="165873948">
              <w:marLeft w:val="0"/>
              <w:marRight w:val="0"/>
              <w:marTop w:val="0"/>
              <w:marBottom w:val="0"/>
              <w:divBdr>
                <w:top w:val="none" w:sz="0" w:space="0" w:color="auto"/>
                <w:left w:val="none" w:sz="0" w:space="0" w:color="auto"/>
                <w:bottom w:val="none" w:sz="0" w:space="0" w:color="auto"/>
                <w:right w:val="none" w:sz="0" w:space="0" w:color="auto"/>
              </w:divBdr>
              <w:divsChild>
                <w:div w:id="267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5052">
      <w:bodyDiv w:val="1"/>
      <w:marLeft w:val="0"/>
      <w:marRight w:val="0"/>
      <w:marTop w:val="0"/>
      <w:marBottom w:val="0"/>
      <w:divBdr>
        <w:top w:val="none" w:sz="0" w:space="0" w:color="auto"/>
        <w:left w:val="none" w:sz="0" w:space="0" w:color="auto"/>
        <w:bottom w:val="none" w:sz="0" w:space="0" w:color="auto"/>
        <w:right w:val="none" w:sz="0" w:space="0" w:color="auto"/>
      </w:divBdr>
      <w:divsChild>
        <w:div w:id="266160989">
          <w:marLeft w:val="0"/>
          <w:marRight w:val="0"/>
          <w:marTop w:val="0"/>
          <w:marBottom w:val="0"/>
          <w:divBdr>
            <w:top w:val="none" w:sz="0" w:space="0" w:color="auto"/>
            <w:left w:val="none" w:sz="0" w:space="0" w:color="auto"/>
            <w:bottom w:val="none" w:sz="0" w:space="0" w:color="auto"/>
            <w:right w:val="none" w:sz="0" w:space="0" w:color="auto"/>
          </w:divBdr>
          <w:divsChild>
            <w:div w:id="467163212">
              <w:marLeft w:val="0"/>
              <w:marRight w:val="0"/>
              <w:marTop w:val="0"/>
              <w:marBottom w:val="0"/>
              <w:divBdr>
                <w:top w:val="none" w:sz="0" w:space="0" w:color="auto"/>
                <w:left w:val="none" w:sz="0" w:space="0" w:color="auto"/>
                <w:bottom w:val="none" w:sz="0" w:space="0" w:color="auto"/>
                <w:right w:val="none" w:sz="0" w:space="0" w:color="auto"/>
              </w:divBdr>
              <w:divsChild>
                <w:div w:id="19513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6046">
      <w:bodyDiv w:val="1"/>
      <w:marLeft w:val="0"/>
      <w:marRight w:val="0"/>
      <w:marTop w:val="0"/>
      <w:marBottom w:val="0"/>
      <w:divBdr>
        <w:top w:val="none" w:sz="0" w:space="0" w:color="auto"/>
        <w:left w:val="none" w:sz="0" w:space="0" w:color="auto"/>
        <w:bottom w:val="none" w:sz="0" w:space="0" w:color="auto"/>
        <w:right w:val="none" w:sz="0" w:space="0" w:color="auto"/>
      </w:divBdr>
      <w:divsChild>
        <w:div w:id="634410692">
          <w:marLeft w:val="0"/>
          <w:marRight w:val="0"/>
          <w:marTop w:val="0"/>
          <w:marBottom w:val="0"/>
          <w:divBdr>
            <w:top w:val="none" w:sz="0" w:space="0" w:color="auto"/>
            <w:left w:val="none" w:sz="0" w:space="0" w:color="auto"/>
            <w:bottom w:val="none" w:sz="0" w:space="0" w:color="auto"/>
            <w:right w:val="none" w:sz="0" w:space="0" w:color="auto"/>
          </w:divBdr>
          <w:divsChild>
            <w:div w:id="1457143720">
              <w:marLeft w:val="0"/>
              <w:marRight w:val="0"/>
              <w:marTop w:val="0"/>
              <w:marBottom w:val="0"/>
              <w:divBdr>
                <w:top w:val="none" w:sz="0" w:space="0" w:color="auto"/>
                <w:left w:val="none" w:sz="0" w:space="0" w:color="auto"/>
                <w:bottom w:val="none" w:sz="0" w:space="0" w:color="auto"/>
                <w:right w:val="none" w:sz="0" w:space="0" w:color="auto"/>
              </w:divBdr>
              <w:divsChild>
                <w:div w:id="1744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5315">
      <w:bodyDiv w:val="1"/>
      <w:marLeft w:val="0"/>
      <w:marRight w:val="0"/>
      <w:marTop w:val="0"/>
      <w:marBottom w:val="0"/>
      <w:divBdr>
        <w:top w:val="none" w:sz="0" w:space="0" w:color="auto"/>
        <w:left w:val="none" w:sz="0" w:space="0" w:color="auto"/>
        <w:bottom w:val="none" w:sz="0" w:space="0" w:color="auto"/>
        <w:right w:val="none" w:sz="0" w:space="0" w:color="auto"/>
      </w:divBdr>
    </w:div>
    <w:div w:id="1155798601">
      <w:bodyDiv w:val="1"/>
      <w:marLeft w:val="0"/>
      <w:marRight w:val="0"/>
      <w:marTop w:val="0"/>
      <w:marBottom w:val="0"/>
      <w:divBdr>
        <w:top w:val="none" w:sz="0" w:space="0" w:color="auto"/>
        <w:left w:val="none" w:sz="0" w:space="0" w:color="auto"/>
        <w:bottom w:val="none" w:sz="0" w:space="0" w:color="auto"/>
        <w:right w:val="none" w:sz="0" w:space="0" w:color="auto"/>
      </w:divBdr>
    </w:div>
    <w:div w:id="1157957945">
      <w:bodyDiv w:val="1"/>
      <w:marLeft w:val="0"/>
      <w:marRight w:val="0"/>
      <w:marTop w:val="0"/>
      <w:marBottom w:val="0"/>
      <w:divBdr>
        <w:top w:val="none" w:sz="0" w:space="0" w:color="auto"/>
        <w:left w:val="none" w:sz="0" w:space="0" w:color="auto"/>
        <w:bottom w:val="none" w:sz="0" w:space="0" w:color="auto"/>
        <w:right w:val="none" w:sz="0" w:space="0" w:color="auto"/>
      </w:divBdr>
      <w:divsChild>
        <w:div w:id="1629042080">
          <w:marLeft w:val="0"/>
          <w:marRight w:val="0"/>
          <w:marTop w:val="0"/>
          <w:marBottom w:val="0"/>
          <w:divBdr>
            <w:top w:val="none" w:sz="0" w:space="0" w:color="auto"/>
            <w:left w:val="none" w:sz="0" w:space="0" w:color="auto"/>
            <w:bottom w:val="none" w:sz="0" w:space="0" w:color="auto"/>
            <w:right w:val="none" w:sz="0" w:space="0" w:color="auto"/>
          </w:divBdr>
          <w:divsChild>
            <w:div w:id="761142853">
              <w:marLeft w:val="0"/>
              <w:marRight w:val="0"/>
              <w:marTop w:val="0"/>
              <w:marBottom w:val="0"/>
              <w:divBdr>
                <w:top w:val="none" w:sz="0" w:space="0" w:color="auto"/>
                <w:left w:val="none" w:sz="0" w:space="0" w:color="auto"/>
                <w:bottom w:val="none" w:sz="0" w:space="0" w:color="auto"/>
                <w:right w:val="none" w:sz="0" w:space="0" w:color="auto"/>
              </w:divBdr>
              <w:divsChild>
                <w:div w:id="1387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8108">
      <w:bodyDiv w:val="1"/>
      <w:marLeft w:val="0"/>
      <w:marRight w:val="0"/>
      <w:marTop w:val="0"/>
      <w:marBottom w:val="0"/>
      <w:divBdr>
        <w:top w:val="none" w:sz="0" w:space="0" w:color="auto"/>
        <w:left w:val="none" w:sz="0" w:space="0" w:color="auto"/>
        <w:bottom w:val="none" w:sz="0" w:space="0" w:color="auto"/>
        <w:right w:val="none" w:sz="0" w:space="0" w:color="auto"/>
      </w:divBdr>
      <w:divsChild>
        <w:div w:id="1282423627">
          <w:marLeft w:val="0"/>
          <w:marRight w:val="0"/>
          <w:marTop w:val="0"/>
          <w:marBottom w:val="0"/>
          <w:divBdr>
            <w:top w:val="none" w:sz="0" w:space="0" w:color="auto"/>
            <w:left w:val="none" w:sz="0" w:space="0" w:color="auto"/>
            <w:bottom w:val="none" w:sz="0" w:space="0" w:color="auto"/>
            <w:right w:val="none" w:sz="0" w:space="0" w:color="auto"/>
          </w:divBdr>
          <w:divsChild>
            <w:div w:id="1079182462">
              <w:marLeft w:val="0"/>
              <w:marRight w:val="0"/>
              <w:marTop w:val="0"/>
              <w:marBottom w:val="0"/>
              <w:divBdr>
                <w:top w:val="none" w:sz="0" w:space="0" w:color="auto"/>
                <w:left w:val="none" w:sz="0" w:space="0" w:color="auto"/>
                <w:bottom w:val="none" w:sz="0" w:space="0" w:color="auto"/>
                <w:right w:val="none" w:sz="0" w:space="0" w:color="auto"/>
              </w:divBdr>
              <w:divsChild>
                <w:div w:id="16112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5046">
      <w:bodyDiv w:val="1"/>
      <w:marLeft w:val="0"/>
      <w:marRight w:val="0"/>
      <w:marTop w:val="0"/>
      <w:marBottom w:val="0"/>
      <w:divBdr>
        <w:top w:val="none" w:sz="0" w:space="0" w:color="auto"/>
        <w:left w:val="none" w:sz="0" w:space="0" w:color="auto"/>
        <w:bottom w:val="none" w:sz="0" w:space="0" w:color="auto"/>
        <w:right w:val="none" w:sz="0" w:space="0" w:color="auto"/>
      </w:divBdr>
      <w:divsChild>
        <w:div w:id="479468638">
          <w:marLeft w:val="0"/>
          <w:marRight w:val="0"/>
          <w:marTop w:val="0"/>
          <w:marBottom w:val="0"/>
          <w:divBdr>
            <w:top w:val="none" w:sz="0" w:space="0" w:color="auto"/>
            <w:left w:val="none" w:sz="0" w:space="0" w:color="auto"/>
            <w:bottom w:val="none" w:sz="0" w:space="0" w:color="auto"/>
            <w:right w:val="none" w:sz="0" w:space="0" w:color="auto"/>
          </w:divBdr>
          <w:divsChild>
            <w:div w:id="2010019846">
              <w:marLeft w:val="0"/>
              <w:marRight w:val="0"/>
              <w:marTop w:val="0"/>
              <w:marBottom w:val="0"/>
              <w:divBdr>
                <w:top w:val="none" w:sz="0" w:space="0" w:color="auto"/>
                <w:left w:val="none" w:sz="0" w:space="0" w:color="auto"/>
                <w:bottom w:val="none" w:sz="0" w:space="0" w:color="auto"/>
                <w:right w:val="none" w:sz="0" w:space="0" w:color="auto"/>
              </w:divBdr>
              <w:divsChild>
                <w:div w:id="13203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4648">
      <w:bodyDiv w:val="1"/>
      <w:marLeft w:val="0"/>
      <w:marRight w:val="0"/>
      <w:marTop w:val="0"/>
      <w:marBottom w:val="0"/>
      <w:divBdr>
        <w:top w:val="none" w:sz="0" w:space="0" w:color="auto"/>
        <w:left w:val="none" w:sz="0" w:space="0" w:color="auto"/>
        <w:bottom w:val="none" w:sz="0" w:space="0" w:color="auto"/>
        <w:right w:val="none" w:sz="0" w:space="0" w:color="auto"/>
      </w:divBdr>
      <w:divsChild>
        <w:div w:id="1642732664">
          <w:marLeft w:val="0"/>
          <w:marRight w:val="0"/>
          <w:marTop w:val="0"/>
          <w:marBottom w:val="0"/>
          <w:divBdr>
            <w:top w:val="none" w:sz="0" w:space="0" w:color="auto"/>
            <w:left w:val="none" w:sz="0" w:space="0" w:color="auto"/>
            <w:bottom w:val="none" w:sz="0" w:space="0" w:color="auto"/>
            <w:right w:val="none" w:sz="0" w:space="0" w:color="auto"/>
          </w:divBdr>
          <w:divsChild>
            <w:div w:id="343435744">
              <w:marLeft w:val="0"/>
              <w:marRight w:val="0"/>
              <w:marTop w:val="0"/>
              <w:marBottom w:val="0"/>
              <w:divBdr>
                <w:top w:val="none" w:sz="0" w:space="0" w:color="auto"/>
                <w:left w:val="none" w:sz="0" w:space="0" w:color="auto"/>
                <w:bottom w:val="none" w:sz="0" w:space="0" w:color="auto"/>
                <w:right w:val="none" w:sz="0" w:space="0" w:color="auto"/>
              </w:divBdr>
              <w:divsChild>
                <w:div w:id="2824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546">
      <w:bodyDiv w:val="1"/>
      <w:marLeft w:val="0"/>
      <w:marRight w:val="0"/>
      <w:marTop w:val="0"/>
      <w:marBottom w:val="0"/>
      <w:divBdr>
        <w:top w:val="none" w:sz="0" w:space="0" w:color="auto"/>
        <w:left w:val="none" w:sz="0" w:space="0" w:color="auto"/>
        <w:bottom w:val="none" w:sz="0" w:space="0" w:color="auto"/>
        <w:right w:val="none" w:sz="0" w:space="0" w:color="auto"/>
      </w:divBdr>
      <w:divsChild>
        <w:div w:id="1731148369">
          <w:marLeft w:val="0"/>
          <w:marRight w:val="0"/>
          <w:marTop w:val="0"/>
          <w:marBottom w:val="0"/>
          <w:divBdr>
            <w:top w:val="none" w:sz="0" w:space="0" w:color="auto"/>
            <w:left w:val="none" w:sz="0" w:space="0" w:color="auto"/>
            <w:bottom w:val="none" w:sz="0" w:space="0" w:color="auto"/>
            <w:right w:val="none" w:sz="0" w:space="0" w:color="auto"/>
          </w:divBdr>
          <w:divsChild>
            <w:div w:id="1553075220">
              <w:marLeft w:val="0"/>
              <w:marRight w:val="0"/>
              <w:marTop w:val="0"/>
              <w:marBottom w:val="0"/>
              <w:divBdr>
                <w:top w:val="none" w:sz="0" w:space="0" w:color="auto"/>
                <w:left w:val="none" w:sz="0" w:space="0" w:color="auto"/>
                <w:bottom w:val="none" w:sz="0" w:space="0" w:color="auto"/>
                <w:right w:val="none" w:sz="0" w:space="0" w:color="auto"/>
              </w:divBdr>
              <w:divsChild>
                <w:div w:id="961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2812">
      <w:bodyDiv w:val="1"/>
      <w:marLeft w:val="0"/>
      <w:marRight w:val="0"/>
      <w:marTop w:val="0"/>
      <w:marBottom w:val="0"/>
      <w:divBdr>
        <w:top w:val="none" w:sz="0" w:space="0" w:color="auto"/>
        <w:left w:val="none" w:sz="0" w:space="0" w:color="auto"/>
        <w:bottom w:val="none" w:sz="0" w:space="0" w:color="auto"/>
        <w:right w:val="none" w:sz="0" w:space="0" w:color="auto"/>
      </w:divBdr>
      <w:divsChild>
        <w:div w:id="2099671770">
          <w:marLeft w:val="0"/>
          <w:marRight w:val="0"/>
          <w:marTop w:val="0"/>
          <w:marBottom w:val="0"/>
          <w:divBdr>
            <w:top w:val="none" w:sz="0" w:space="0" w:color="auto"/>
            <w:left w:val="none" w:sz="0" w:space="0" w:color="auto"/>
            <w:bottom w:val="none" w:sz="0" w:space="0" w:color="auto"/>
            <w:right w:val="none" w:sz="0" w:space="0" w:color="auto"/>
          </w:divBdr>
          <w:divsChild>
            <w:div w:id="665984302">
              <w:marLeft w:val="0"/>
              <w:marRight w:val="0"/>
              <w:marTop w:val="0"/>
              <w:marBottom w:val="0"/>
              <w:divBdr>
                <w:top w:val="none" w:sz="0" w:space="0" w:color="auto"/>
                <w:left w:val="none" w:sz="0" w:space="0" w:color="auto"/>
                <w:bottom w:val="none" w:sz="0" w:space="0" w:color="auto"/>
                <w:right w:val="none" w:sz="0" w:space="0" w:color="auto"/>
              </w:divBdr>
              <w:divsChild>
                <w:div w:id="10077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7698">
      <w:bodyDiv w:val="1"/>
      <w:marLeft w:val="0"/>
      <w:marRight w:val="0"/>
      <w:marTop w:val="0"/>
      <w:marBottom w:val="0"/>
      <w:divBdr>
        <w:top w:val="none" w:sz="0" w:space="0" w:color="auto"/>
        <w:left w:val="none" w:sz="0" w:space="0" w:color="auto"/>
        <w:bottom w:val="none" w:sz="0" w:space="0" w:color="auto"/>
        <w:right w:val="none" w:sz="0" w:space="0" w:color="auto"/>
      </w:divBdr>
      <w:divsChild>
        <w:div w:id="1864249690">
          <w:marLeft w:val="0"/>
          <w:marRight w:val="0"/>
          <w:marTop w:val="0"/>
          <w:marBottom w:val="0"/>
          <w:divBdr>
            <w:top w:val="none" w:sz="0" w:space="0" w:color="auto"/>
            <w:left w:val="none" w:sz="0" w:space="0" w:color="auto"/>
            <w:bottom w:val="none" w:sz="0" w:space="0" w:color="auto"/>
            <w:right w:val="none" w:sz="0" w:space="0" w:color="auto"/>
          </w:divBdr>
          <w:divsChild>
            <w:div w:id="1896312462">
              <w:marLeft w:val="0"/>
              <w:marRight w:val="0"/>
              <w:marTop w:val="0"/>
              <w:marBottom w:val="0"/>
              <w:divBdr>
                <w:top w:val="none" w:sz="0" w:space="0" w:color="auto"/>
                <w:left w:val="none" w:sz="0" w:space="0" w:color="auto"/>
                <w:bottom w:val="none" w:sz="0" w:space="0" w:color="auto"/>
                <w:right w:val="none" w:sz="0" w:space="0" w:color="auto"/>
              </w:divBdr>
              <w:divsChild>
                <w:div w:id="11084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9045">
      <w:bodyDiv w:val="1"/>
      <w:marLeft w:val="0"/>
      <w:marRight w:val="0"/>
      <w:marTop w:val="0"/>
      <w:marBottom w:val="0"/>
      <w:divBdr>
        <w:top w:val="none" w:sz="0" w:space="0" w:color="auto"/>
        <w:left w:val="none" w:sz="0" w:space="0" w:color="auto"/>
        <w:bottom w:val="none" w:sz="0" w:space="0" w:color="auto"/>
        <w:right w:val="none" w:sz="0" w:space="0" w:color="auto"/>
      </w:divBdr>
      <w:divsChild>
        <w:div w:id="2079552582">
          <w:marLeft w:val="0"/>
          <w:marRight w:val="0"/>
          <w:marTop w:val="0"/>
          <w:marBottom w:val="0"/>
          <w:divBdr>
            <w:top w:val="none" w:sz="0" w:space="0" w:color="auto"/>
            <w:left w:val="none" w:sz="0" w:space="0" w:color="auto"/>
            <w:bottom w:val="none" w:sz="0" w:space="0" w:color="auto"/>
            <w:right w:val="none" w:sz="0" w:space="0" w:color="auto"/>
          </w:divBdr>
          <w:divsChild>
            <w:div w:id="1919243593">
              <w:marLeft w:val="0"/>
              <w:marRight w:val="0"/>
              <w:marTop w:val="0"/>
              <w:marBottom w:val="0"/>
              <w:divBdr>
                <w:top w:val="none" w:sz="0" w:space="0" w:color="auto"/>
                <w:left w:val="none" w:sz="0" w:space="0" w:color="auto"/>
                <w:bottom w:val="none" w:sz="0" w:space="0" w:color="auto"/>
                <w:right w:val="none" w:sz="0" w:space="0" w:color="auto"/>
              </w:divBdr>
              <w:divsChild>
                <w:div w:id="6117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4096">
      <w:bodyDiv w:val="1"/>
      <w:marLeft w:val="0"/>
      <w:marRight w:val="0"/>
      <w:marTop w:val="0"/>
      <w:marBottom w:val="0"/>
      <w:divBdr>
        <w:top w:val="none" w:sz="0" w:space="0" w:color="auto"/>
        <w:left w:val="none" w:sz="0" w:space="0" w:color="auto"/>
        <w:bottom w:val="none" w:sz="0" w:space="0" w:color="auto"/>
        <w:right w:val="none" w:sz="0" w:space="0" w:color="auto"/>
      </w:divBdr>
      <w:divsChild>
        <w:div w:id="840002477">
          <w:marLeft w:val="0"/>
          <w:marRight w:val="0"/>
          <w:marTop w:val="0"/>
          <w:marBottom w:val="0"/>
          <w:divBdr>
            <w:top w:val="none" w:sz="0" w:space="0" w:color="auto"/>
            <w:left w:val="none" w:sz="0" w:space="0" w:color="auto"/>
            <w:bottom w:val="none" w:sz="0" w:space="0" w:color="auto"/>
            <w:right w:val="none" w:sz="0" w:space="0" w:color="auto"/>
          </w:divBdr>
          <w:divsChild>
            <w:div w:id="1175878395">
              <w:marLeft w:val="0"/>
              <w:marRight w:val="0"/>
              <w:marTop w:val="0"/>
              <w:marBottom w:val="0"/>
              <w:divBdr>
                <w:top w:val="none" w:sz="0" w:space="0" w:color="auto"/>
                <w:left w:val="none" w:sz="0" w:space="0" w:color="auto"/>
                <w:bottom w:val="none" w:sz="0" w:space="0" w:color="auto"/>
                <w:right w:val="none" w:sz="0" w:space="0" w:color="auto"/>
              </w:divBdr>
              <w:divsChild>
                <w:div w:id="1481657094">
                  <w:marLeft w:val="0"/>
                  <w:marRight w:val="0"/>
                  <w:marTop w:val="0"/>
                  <w:marBottom w:val="0"/>
                  <w:divBdr>
                    <w:top w:val="none" w:sz="0" w:space="0" w:color="auto"/>
                    <w:left w:val="none" w:sz="0" w:space="0" w:color="auto"/>
                    <w:bottom w:val="none" w:sz="0" w:space="0" w:color="auto"/>
                    <w:right w:val="none" w:sz="0" w:space="0" w:color="auto"/>
                  </w:divBdr>
                </w:div>
              </w:divsChild>
            </w:div>
            <w:div w:id="1564675631">
              <w:marLeft w:val="0"/>
              <w:marRight w:val="0"/>
              <w:marTop w:val="0"/>
              <w:marBottom w:val="0"/>
              <w:divBdr>
                <w:top w:val="none" w:sz="0" w:space="0" w:color="auto"/>
                <w:left w:val="none" w:sz="0" w:space="0" w:color="auto"/>
                <w:bottom w:val="none" w:sz="0" w:space="0" w:color="auto"/>
                <w:right w:val="none" w:sz="0" w:space="0" w:color="auto"/>
              </w:divBdr>
              <w:divsChild>
                <w:div w:id="2611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0324">
          <w:marLeft w:val="0"/>
          <w:marRight w:val="0"/>
          <w:marTop w:val="0"/>
          <w:marBottom w:val="0"/>
          <w:divBdr>
            <w:top w:val="none" w:sz="0" w:space="0" w:color="auto"/>
            <w:left w:val="none" w:sz="0" w:space="0" w:color="auto"/>
            <w:bottom w:val="none" w:sz="0" w:space="0" w:color="auto"/>
            <w:right w:val="none" w:sz="0" w:space="0" w:color="auto"/>
          </w:divBdr>
          <w:divsChild>
            <w:div w:id="982583570">
              <w:marLeft w:val="0"/>
              <w:marRight w:val="0"/>
              <w:marTop w:val="0"/>
              <w:marBottom w:val="0"/>
              <w:divBdr>
                <w:top w:val="none" w:sz="0" w:space="0" w:color="auto"/>
                <w:left w:val="none" w:sz="0" w:space="0" w:color="auto"/>
                <w:bottom w:val="none" w:sz="0" w:space="0" w:color="auto"/>
                <w:right w:val="none" w:sz="0" w:space="0" w:color="auto"/>
              </w:divBdr>
              <w:divsChild>
                <w:div w:id="1404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7322">
      <w:bodyDiv w:val="1"/>
      <w:marLeft w:val="0"/>
      <w:marRight w:val="0"/>
      <w:marTop w:val="0"/>
      <w:marBottom w:val="0"/>
      <w:divBdr>
        <w:top w:val="none" w:sz="0" w:space="0" w:color="auto"/>
        <w:left w:val="none" w:sz="0" w:space="0" w:color="auto"/>
        <w:bottom w:val="none" w:sz="0" w:space="0" w:color="auto"/>
        <w:right w:val="none" w:sz="0" w:space="0" w:color="auto"/>
      </w:divBdr>
      <w:divsChild>
        <w:div w:id="921790480">
          <w:marLeft w:val="0"/>
          <w:marRight w:val="0"/>
          <w:marTop w:val="0"/>
          <w:marBottom w:val="0"/>
          <w:divBdr>
            <w:top w:val="none" w:sz="0" w:space="0" w:color="auto"/>
            <w:left w:val="none" w:sz="0" w:space="0" w:color="auto"/>
            <w:bottom w:val="none" w:sz="0" w:space="0" w:color="auto"/>
            <w:right w:val="none" w:sz="0" w:space="0" w:color="auto"/>
          </w:divBdr>
          <w:divsChild>
            <w:div w:id="2137287455">
              <w:marLeft w:val="0"/>
              <w:marRight w:val="0"/>
              <w:marTop w:val="0"/>
              <w:marBottom w:val="0"/>
              <w:divBdr>
                <w:top w:val="none" w:sz="0" w:space="0" w:color="auto"/>
                <w:left w:val="none" w:sz="0" w:space="0" w:color="auto"/>
                <w:bottom w:val="none" w:sz="0" w:space="0" w:color="auto"/>
                <w:right w:val="none" w:sz="0" w:space="0" w:color="auto"/>
              </w:divBdr>
              <w:divsChild>
                <w:div w:id="11626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6725">
      <w:bodyDiv w:val="1"/>
      <w:marLeft w:val="0"/>
      <w:marRight w:val="0"/>
      <w:marTop w:val="0"/>
      <w:marBottom w:val="0"/>
      <w:divBdr>
        <w:top w:val="none" w:sz="0" w:space="0" w:color="auto"/>
        <w:left w:val="none" w:sz="0" w:space="0" w:color="auto"/>
        <w:bottom w:val="none" w:sz="0" w:space="0" w:color="auto"/>
        <w:right w:val="none" w:sz="0" w:space="0" w:color="auto"/>
      </w:divBdr>
      <w:divsChild>
        <w:div w:id="167788787">
          <w:marLeft w:val="0"/>
          <w:marRight w:val="0"/>
          <w:marTop w:val="0"/>
          <w:marBottom w:val="0"/>
          <w:divBdr>
            <w:top w:val="none" w:sz="0" w:space="0" w:color="auto"/>
            <w:left w:val="none" w:sz="0" w:space="0" w:color="auto"/>
            <w:bottom w:val="none" w:sz="0" w:space="0" w:color="auto"/>
            <w:right w:val="none" w:sz="0" w:space="0" w:color="auto"/>
          </w:divBdr>
          <w:divsChild>
            <w:div w:id="272136384">
              <w:marLeft w:val="0"/>
              <w:marRight w:val="0"/>
              <w:marTop w:val="0"/>
              <w:marBottom w:val="0"/>
              <w:divBdr>
                <w:top w:val="none" w:sz="0" w:space="0" w:color="auto"/>
                <w:left w:val="none" w:sz="0" w:space="0" w:color="auto"/>
                <w:bottom w:val="none" w:sz="0" w:space="0" w:color="auto"/>
                <w:right w:val="none" w:sz="0" w:space="0" w:color="auto"/>
              </w:divBdr>
              <w:divsChild>
                <w:div w:id="6006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7322">
      <w:bodyDiv w:val="1"/>
      <w:marLeft w:val="0"/>
      <w:marRight w:val="0"/>
      <w:marTop w:val="0"/>
      <w:marBottom w:val="0"/>
      <w:divBdr>
        <w:top w:val="none" w:sz="0" w:space="0" w:color="auto"/>
        <w:left w:val="none" w:sz="0" w:space="0" w:color="auto"/>
        <w:bottom w:val="none" w:sz="0" w:space="0" w:color="auto"/>
        <w:right w:val="none" w:sz="0" w:space="0" w:color="auto"/>
      </w:divBdr>
      <w:divsChild>
        <w:div w:id="632248695">
          <w:marLeft w:val="0"/>
          <w:marRight w:val="0"/>
          <w:marTop w:val="0"/>
          <w:marBottom w:val="0"/>
          <w:divBdr>
            <w:top w:val="none" w:sz="0" w:space="0" w:color="auto"/>
            <w:left w:val="none" w:sz="0" w:space="0" w:color="auto"/>
            <w:bottom w:val="none" w:sz="0" w:space="0" w:color="auto"/>
            <w:right w:val="none" w:sz="0" w:space="0" w:color="auto"/>
          </w:divBdr>
          <w:divsChild>
            <w:div w:id="1403603637">
              <w:marLeft w:val="0"/>
              <w:marRight w:val="0"/>
              <w:marTop w:val="0"/>
              <w:marBottom w:val="0"/>
              <w:divBdr>
                <w:top w:val="none" w:sz="0" w:space="0" w:color="auto"/>
                <w:left w:val="none" w:sz="0" w:space="0" w:color="auto"/>
                <w:bottom w:val="none" w:sz="0" w:space="0" w:color="auto"/>
                <w:right w:val="none" w:sz="0" w:space="0" w:color="auto"/>
              </w:divBdr>
              <w:divsChild>
                <w:div w:id="10999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6237">
      <w:bodyDiv w:val="1"/>
      <w:marLeft w:val="0"/>
      <w:marRight w:val="0"/>
      <w:marTop w:val="0"/>
      <w:marBottom w:val="0"/>
      <w:divBdr>
        <w:top w:val="none" w:sz="0" w:space="0" w:color="auto"/>
        <w:left w:val="none" w:sz="0" w:space="0" w:color="auto"/>
        <w:bottom w:val="none" w:sz="0" w:space="0" w:color="auto"/>
        <w:right w:val="none" w:sz="0" w:space="0" w:color="auto"/>
      </w:divBdr>
      <w:divsChild>
        <w:div w:id="470094903">
          <w:marLeft w:val="0"/>
          <w:marRight w:val="0"/>
          <w:marTop w:val="0"/>
          <w:marBottom w:val="0"/>
          <w:divBdr>
            <w:top w:val="none" w:sz="0" w:space="0" w:color="auto"/>
            <w:left w:val="none" w:sz="0" w:space="0" w:color="auto"/>
            <w:bottom w:val="none" w:sz="0" w:space="0" w:color="auto"/>
            <w:right w:val="none" w:sz="0" w:space="0" w:color="auto"/>
          </w:divBdr>
          <w:divsChild>
            <w:div w:id="354503716">
              <w:marLeft w:val="0"/>
              <w:marRight w:val="0"/>
              <w:marTop w:val="0"/>
              <w:marBottom w:val="0"/>
              <w:divBdr>
                <w:top w:val="none" w:sz="0" w:space="0" w:color="auto"/>
                <w:left w:val="none" w:sz="0" w:space="0" w:color="auto"/>
                <w:bottom w:val="none" w:sz="0" w:space="0" w:color="auto"/>
                <w:right w:val="none" w:sz="0" w:space="0" w:color="auto"/>
              </w:divBdr>
              <w:divsChild>
                <w:div w:id="5981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7718">
          <w:marLeft w:val="0"/>
          <w:marRight w:val="0"/>
          <w:marTop w:val="0"/>
          <w:marBottom w:val="0"/>
          <w:divBdr>
            <w:top w:val="none" w:sz="0" w:space="0" w:color="auto"/>
            <w:left w:val="none" w:sz="0" w:space="0" w:color="auto"/>
            <w:bottom w:val="none" w:sz="0" w:space="0" w:color="auto"/>
            <w:right w:val="none" w:sz="0" w:space="0" w:color="auto"/>
          </w:divBdr>
          <w:divsChild>
            <w:div w:id="117382240">
              <w:marLeft w:val="0"/>
              <w:marRight w:val="0"/>
              <w:marTop w:val="0"/>
              <w:marBottom w:val="0"/>
              <w:divBdr>
                <w:top w:val="none" w:sz="0" w:space="0" w:color="auto"/>
                <w:left w:val="none" w:sz="0" w:space="0" w:color="auto"/>
                <w:bottom w:val="none" w:sz="0" w:space="0" w:color="auto"/>
                <w:right w:val="none" w:sz="0" w:space="0" w:color="auto"/>
              </w:divBdr>
              <w:divsChild>
                <w:div w:id="3575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790">
      <w:bodyDiv w:val="1"/>
      <w:marLeft w:val="0"/>
      <w:marRight w:val="0"/>
      <w:marTop w:val="0"/>
      <w:marBottom w:val="0"/>
      <w:divBdr>
        <w:top w:val="none" w:sz="0" w:space="0" w:color="auto"/>
        <w:left w:val="none" w:sz="0" w:space="0" w:color="auto"/>
        <w:bottom w:val="none" w:sz="0" w:space="0" w:color="auto"/>
        <w:right w:val="none" w:sz="0" w:space="0" w:color="auto"/>
      </w:divBdr>
      <w:divsChild>
        <w:div w:id="688530070">
          <w:marLeft w:val="0"/>
          <w:marRight w:val="0"/>
          <w:marTop w:val="0"/>
          <w:marBottom w:val="0"/>
          <w:divBdr>
            <w:top w:val="none" w:sz="0" w:space="0" w:color="auto"/>
            <w:left w:val="none" w:sz="0" w:space="0" w:color="auto"/>
            <w:bottom w:val="none" w:sz="0" w:space="0" w:color="auto"/>
            <w:right w:val="none" w:sz="0" w:space="0" w:color="auto"/>
          </w:divBdr>
          <w:divsChild>
            <w:div w:id="823549389">
              <w:marLeft w:val="0"/>
              <w:marRight w:val="0"/>
              <w:marTop w:val="0"/>
              <w:marBottom w:val="0"/>
              <w:divBdr>
                <w:top w:val="none" w:sz="0" w:space="0" w:color="auto"/>
                <w:left w:val="none" w:sz="0" w:space="0" w:color="auto"/>
                <w:bottom w:val="none" w:sz="0" w:space="0" w:color="auto"/>
                <w:right w:val="none" w:sz="0" w:space="0" w:color="auto"/>
              </w:divBdr>
              <w:divsChild>
                <w:div w:id="10128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0574">
      <w:bodyDiv w:val="1"/>
      <w:marLeft w:val="0"/>
      <w:marRight w:val="0"/>
      <w:marTop w:val="0"/>
      <w:marBottom w:val="0"/>
      <w:divBdr>
        <w:top w:val="none" w:sz="0" w:space="0" w:color="auto"/>
        <w:left w:val="none" w:sz="0" w:space="0" w:color="auto"/>
        <w:bottom w:val="none" w:sz="0" w:space="0" w:color="auto"/>
        <w:right w:val="none" w:sz="0" w:space="0" w:color="auto"/>
      </w:divBdr>
      <w:divsChild>
        <w:div w:id="220363313">
          <w:marLeft w:val="0"/>
          <w:marRight w:val="0"/>
          <w:marTop w:val="0"/>
          <w:marBottom w:val="0"/>
          <w:divBdr>
            <w:top w:val="none" w:sz="0" w:space="0" w:color="auto"/>
            <w:left w:val="none" w:sz="0" w:space="0" w:color="auto"/>
            <w:bottom w:val="none" w:sz="0" w:space="0" w:color="auto"/>
            <w:right w:val="none" w:sz="0" w:space="0" w:color="auto"/>
          </w:divBdr>
          <w:divsChild>
            <w:div w:id="1102143428">
              <w:marLeft w:val="0"/>
              <w:marRight w:val="0"/>
              <w:marTop w:val="0"/>
              <w:marBottom w:val="0"/>
              <w:divBdr>
                <w:top w:val="none" w:sz="0" w:space="0" w:color="auto"/>
                <w:left w:val="none" w:sz="0" w:space="0" w:color="auto"/>
                <w:bottom w:val="none" w:sz="0" w:space="0" w:color="auto"/>
                <w:right w:val="none" w:sz="0" w:space="0" w:color="auto"/>
              </w:divBdr>
              <w:divsChild>
                <w:div w:id="1924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4069">
      <w:bodyDiv w:val="1"/>
      <w:marLeft w:val="0"/>
      <w:marRight w:val="0"/>
      <w:marTop w:val="0"/>
      <w:marBottom w:val="0"/>
      <w:divBdr>
        <w:top w:val="none" w:sz="0" w:space="0" w:color="auto"/>
        <w:left w:val="none" w:sz="0" w:space="0" w:color="auto"/>
        <w:bottom w:val="none" w:sz="0" w:space="0" w:color="auto"/>
        <w:right w:val="none" w:sz="0" w:space="0" w:color="auto"/>
      </w:divBdr>
      <w:divsChild>
        <w:div w:id="597370314">
          <w:marLeft w:val="0"/>
          <w:marRight w:val="0"/>
          <w:marTop w:val="0"/>
          <w:marBottom w:val="0"/>
          <w:divBdr>
            <w:top w:val="none" w:sz="0" w:space="0" w:color="auto"/>
            <w:left w:val="none" w:sz="0" w:space="0" w:color="auto"/>
            <w:bottom w:val="none" w:sz="0" w:space="0" w:color="auto"/>
            <w:right w:val="none" w:sz="0" w:space="0" w:color="auto"/>
          </w:divBdr>
          <w:divsChild>
            <w:div w:id="636421672">
              <w:marLeft w:val="0"/>
              <w:marRight w:val="0"/>
              <w:marTop w:val="0"/>
              <w:marBottom w:val="0"/>
              <w:divBdr>
                <w:top w:val="none" w:sz="0" w:space="0" w:color="auto"/>
                <w:left w:val="none" w:sz="0" w:space="0" w:color="auto"/>
                <w:bottom w:val="none" w:sz="0" w:space="0" w:color="auto"/>
                <w:right w:val="none" w:sz="0" w:space="0" w:color="auto"/>
              </w:divBdr>
              <w:divsChild>
                <w:div w:id="940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0731">
      <w:bodyDiv w:val="1"/>
      <w:marLeft w:val="0"/>
      <w:marRight w:val="0"/>
      <w:marTop w:val="0"/>
      <w:marBottom w:val="0"/>
      <w:divBdr>
        <w:top w:val="none" w:sz="0" w:space="0" w:color="auto"/>
        <w:left w:val="none" w:sz="0" w:space="0" w:color="auto"/>
        <w:bottom w:val="none" w:sz="0" w:space="0" w:color="auto"/>
        <w:right w:val="none" w:sz="0" w:space="0" w:color="auto"/>
      </w:divBdr>
      <w:divsChild>
        <w:div w:id="1754887362">
          <w:marLeft w:val="0"/>
          <w:marRight w:val="0"/>
          <w:marTop w:val="0"/>
          <w:marBottom w:val="0"/>
          <w:divBdr>
            <w:top w:val="none" w:sz="0" w:space="0" w:color="auto"/>
            <w:left w:val="none" w:sz="0" w:space="0" w:color="auto"/>
            <w:bottom w:val="none" w:sz="0" w:space="0" w:color="auto"/>
            <w:right w:val="none" w:sz="0" w:space="0" w:color="auto"/>
          </w:divBdr>
          <w:divsChild>
            <w:div w:id="933170189">
              <w:marLeft w:val="0"/>
              <w:marRight w:val="0"/>
              <w:marTop w:val="0"/>
              <w:marBottom w:val="0"/>
              <w:divBdr>
                <w:top w:val="none" w:sz="0" w:space="0" w:color="auto"/>
                <w:left w:val="none" w:sz="0" w:space="0" w:color="auto"/>
                <w:bottom w:val="none" w:sz="0" w:space="0" w:color="auto"/>
                <w:right w:val="none" w:sz="0" w:space="0" w:color="auto"/>
              </w:divBdr>
              <w:divsChild>
                <w:div w:id="5416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610">
      <w:bodyDiv w:val="1"/>
      <w:marLeft w:val="0"/>
      <w:marRight w:val="0"/>
      <w:marTop w:val="0"/>
      <w:marBottom w:val="0"/>
      <w:divBdr>
        <w:top w:val="none" w:sz="0" w:space="0" w:color="auto"/>
        <w:left w:val="none" w:sz="0" w:space="0" w:color="auto"/>
        <w:bottom w:val="none" w:sz="0" w:space="0" w:color="auto"/>
        <w:right w:val="none" w:sz="0" w:space="0" w:color="auto"/>
      </w:divBdr>
      <w:divsChild>
        <w:div w:id="1012102481">
          <w:marLeft w:val="0"/>
          <w:marRight w:val="0"/>
          <w:marTop w:val="0"/>
          <w:marBottom w:val="0"/>
          <w:divBdr>
            <w:top w:val="none" w:sz="0" w:space="0" w:color="auto"/>
            <w:left w:val="none" w:sz="0" w:space="0" w:color="auto"/>
            <w:bottom w:val="none" w:sz="0" w:space="0" w:color="auto"/>
            <w:right w:val="none" w:sz="0" w:space="0" w:color="auto"/>
          </w:divBdr>
          <w:divsChild>
            <w:div w:id="154222935">
              <w:marLeft w:val="0"/>
              <w:marRight w:val="0"/>
              <w:marTop w:val="0"/>
              <w:marBottom w:val="0"/>
              <w:divBdr>
                <w:top w:val="none" w:sz="0" w:space="0" w:color="auto"/>
                <w:left w:val="none" w:sz="0" w:space="0" w:color="auto"/>
                <w:bottom w:val="none" w:sz="0" w:space="0" w:color="auto"/>
                <w:right w:val="none" w:sz="0" w:space="0" w:color="auto"/>
              </w:divBdr>
              <w:divsChild>
                <w:div w:id="4400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4815">
      <w:bodyDiv w:val="1"/>
      <w:marLeft w:val="0"/>
      <w:marRight w:val="0"/>
      <w:marTop w:val="0"/>
      <w:marBottom w:val="0"/>
      <w:divBdr>
        <w:top w:val="none" w:sz="0" w:space="0" w:color="auto"/>
        <w:left w:val="none" w:sz="0" w:space="0" w:color="auto"/>
        <w:bottom w:val="none" w:sz="0" w:space="0" w:color="auto"/>
        <w:right w:val="none" w:sz="0" w:space="0" w:color="auto"/>
      </w:divBdr>
      <w:divsChild>
        <w:div w:id="636447153">
          <w:marLeft w:val="0"/>
          <w:marRight w:val="0"/>
          <w:marTop w:val="0"/>
          <w:marBottom w:val="0"/>
          <w:divBdr>
            <w:top w:val="none" w:sz="0" w:space="0" w:color="auto"/>
            <w:left w:val="none" w:sz="0" w:space="0" w:color="auto"/>
            <w:bottom w:val="none" w:sz="0" w:space="0" w:color="auto"/>
            <w:right w:val="none" w:sz="0" w:space="0" w:color="auto"/>
          </w:divBdr>
          <w:divsChild>
            <w:div w:id="1924097446">
              <w:marLeft w:val="0"/>
              <w:marRight w:val="0"/>
              <w:marTop w:val="0"/>
              <w:marBottom w:val="0"/>
              <w:divBdr>
                <w:top w:val="none" w:sz="0" w:space="0" w:color="auto"/>
                <w:left w:val="none" w:sz="0" w:space="0" w:color="auto"/>
                <w:bottom w:val="none" w:sz="0" w:space="0" w:color="auto"/>
                <w:right w:val="none" w:sz="0" w:space="0" w:color="auto"/>
              </w:divBdr>
              <w:divsChild>
                <w:div w:id="18224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4620">
      <w:bodyDiv w:val="1"/>
      <w:marLeft w:val="0"/>
      <w:marRight w:val="0"/>
      <w:marTop w:val="0"/>
      <w:marBottom w:val="0"/>
      <w:divBdr>
        <w:top w:val="none" w:sz="0" w:space="0" w:color="auto"/>
        <w:left w:val="none" w:sz="0" w:space="0" w:color="auto"/>
        <w:bottom w:val="none" w:sz="0" w:space="0" w:color="auto"/>
        <w:right w:val="none" w:sz="0" w:space="0" w:color="auto"/>
      </w:divBdr>
      <w:divsChild>
        <w:div w:id="1442382440">
          <w:marLeft w:val="0"/>
          <w:marRight w:val="0"/>
          <w:marTop w:val="0"/>
          <w:marBottom w:val="0"/>
          <w:divBdr>
            <w:top w:val="none" w:sz="0" w:space="0" w:color="auto"/>
            <w:left w:val="none" w:sz="0" w:space="0" w:color="auto"/>
            <w:bottom w:val="none" w:sz="0" w:space="0" w:color="auto"/>
            <w:right w:val="none" w:sz="0" w:space="0" w:color="auto"/>
          </w:divBdr>
          <w:divsChild>
            <w:div w:id="572197711">
              <w:marLeft w:val="0"/>
              <w:marRight w:val="0"/>
              <w:marTop w:val="0"/>
              <w:marBottom w:val="0"/>
              <w:divBdr>
                <w:top w:val="none" w:sz="0" w:space="0" w:color="auto"/>
                <w:left w:val="none" w:sz="0" w:space="0" w:color="auto"/>
                <w:bottom w:val="none" w:sz="0" w:space="0" w:color="auto"/>
                <w:right w:val="none" w:sz="0" w:space="0" w:color="auto"/>
              </w:divBdr>
              <w:divsChild>
                <w:div w:id="10605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8582">
      <w:bodyDiv w:val="1"/>
      <w:marLeft w:val="0"/>
      <w:marRight w:val="0"/>
      <w:marTop w:val="0"/>
      <w:marBottom w:val="0"/>
      <w:divBdr>
        <w:top w:val="none" w:sz="0" w:space="0" w:color="auto"/>
        <w:left w:val="none" w:sz="0" w:space="0" w:color="auto"/>
        <w:bottom w:val="none" w:sz="0" w:space="0" w:color="auto"/>
        <w:right w:val="none" w:sz="0" w:space="0" w:color="auto"/>
      </w:divBdr>
      <w:divsChild>
        <w:div w:id="1366449091">
          <w:marLeft w:val="0"/>
          <w:marRight w:val="0"/>
          <w:marTop w:val="0"/>
          <w:marBottom w:val="0"/>
          <w:divBdr>
            <w:top w:val="none" w:sz="0" w:space="0" w:color="auto"/>
            <w:left w:val="none" w:sz="0" w:space="0" w:color="auto"/>
            <w:bottom w:val="none" w:sz="0" w:space="0" w:color="auto"/>
            <w:right w:val="none" w:sz="0" w:space="0" w:color="auto"/>
          </w:divBdr>
          <w:divsChild>
            <w:div w:id="352387207">
              <w:marLeft w:val="0"/>
              <w:marRight w:val="0"/>
              <w:marTop w:val="0"/>
              <w:marBottom w:val="0"/>
              <w:divBdr>
                <w:top w:val="none" w:sz="0" w:space="0" w:color="auto"/>
                <w:left w:val="none" w:sz="0" w:space="0" w:color="auto"/>
                <w:bottom w:val="none" w:sz="0" w:space="0" w:color="auto"/>
                <w:right w:val="none" w:sz="0" w:space="0" w:color="auto"/>
              </w:divBdr>
              <w:divsChild>
                <w:div w:id="4263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3414">
      <w:bodyDiv w:val="1"/>
      <w:marLeft w:val="0"/>
      <w:marRight w:val="0"/>
      <w:marTop w:val="0"/>
      <w:marBottom w:val="0"/>
      <w:divBdr>
        <w:top w:val="none" w:sz="0" w:space="0" w:color="auto"/>
        <w:left w:val="none" w:sz="0" w:space="0" w:color="auto"/>
        <w:bottom w:val="none" w:sz="0" w:space="0" w:color="auto"/>
        <w:right w:val="none" w:sz="0" w:space="0" w:color="auto"/>
      </w:divBdr>
      <w:divsChild>
        <w:div w:id="1152330197">
          <w:marLeft w:val="0"/>
          <w:marRight w:val="0"/>
          <w:marTop w:val="0"/>
          <w:marBottom w:val="0"/>
          <w:divBdr>
            <w:top w:val="none" w:sz="0" w:space="0" w:color="auto"/>
            <w:left w:val="none" w:sz="0" w:space="0" w:color="auto"/>
            <w:bottom w:val="none" w:sz="0" w:space="0" w:color="auto"/>
            <w:right w:val="none" w:sz="0" w:space="0" w:color="auto"/>
          </w:divBdr>
          <w:divsChild>
            <w:div w:id="405300633">
              <w:marLeft w:val="0"/>
              <w:marRight w:val="0"/>
              <w:marTop w:val="0"/>
              <w:marBottom w:val="0"/>
              <w:divBdr>
                <w:top w:val="none" w:sz="0" w:space="0" w:color="auto"/>
                <w:left w:val="none" w:sz="0" w:space="0" w:color="auto"/>
                <w:bottom w:val="none" w:sz="0" w:space="0" w:color="auto"/>
                <w:right w:val="none" w:sz="0" w:space="0" w:color="auto"/>
              </w:divBdr>
              <w:divsChild>
                <w:div w:id="14851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3126">
      <w:bodyDiv w:val="1"/>
      <w:marLeft w:val="0"/>
      <w:marRight w:val="0"/>
      <w:marTop w:val="0"/>
      <w:marBottom w:val="0"/>
      <w:divBdr>
        <w:top w:val="none" w:sz="0" w:space="0" w:color="auto"/>
        <w:left w:val="none" w:sz="0" w:space="0" w:color="auto"/>
        <w:bottom w:val="none" w:sz="0" w:space="0" w:color="auto"/>
        <w:right w:val="none" w:sz="0" w:space="0" w:color="auto"/>
      </w:divBdr>
      <w:divsChild>
        <w:div w:id="1635135173">
          <w:marLeft w:val="0"/>
          <w:marRight w:val="0"/>
          <w:marTop w:val="0"/>
          <w:marBottom w:val="0"/>
          <w:divBdr>
            <w:top w:val="none" w:sz="0" w:space="0" w:color="auto"/>
            <w:left w:val="none" w:sz="0" w:space="0" w:color="auto"/>
            <w:bottom w:val="none" w:sz="0" w:space="0" w:color="auto"/>
            <w:right w:val="none" w:sz="0" w:space="0" w:color="auto"/>
          </w:divBdr>
          <w:divsChild>
            <w:div w:id="2076394820">
              <w:marLeft w:val="0"/>
              <w:marRight w:val="0"/>
              <w:marTop w:val="0"/>
              <w:marBottom w:val="0"/>
              <w:divBdr>
                <w:top w:val="none" w:sz="0" w:space="0" w:color="auto"/>
                <w:left w:val="none" w:sz="0" w:space="0" w:color="auto"/>
                <w:bottom w:val="none" w:sz="0" w:space="0" w:color="auto"/>
                <w:right w:val="none" w:sz="0" w:space="0" w:color="auto"/>
              </w:divBdr>
              <w:divsChild>
                <w:div w:id="12770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2675">
      <w:bodyDiv w:val="1"/>
      <w:marLeft w:val="0"/>
      <w:marRight w:val="0"/>
      <w:marTop w:val="0"/>
      <w:marBottom w:val="0"/>
      <w:divBdr>
        <w:top w:val="none" w:sz="0" w:space="0" w:color="auto"/>
        <w:left w:val="none" w:sz="0" w:space="0" w:color="auto"/>
        <w:bottom w:val="none" w:sz="0" w:space="0" w:color="auto"/>
        <w:right w:val="none" w:sz="0" w:space="0" w:color="auto"/>
      </w:divBdr>
      <w:divsChild>
        <w:div w:id="245578111">
          <w:marLeft w:val="0"/>
          <w:marRight w:val="0"/>
          <w:marTop w:val="0"/>
          <w:marBottom w:val="0"/>
          <w:divBdr>
            <w:top w:val="none" w:sz="0" w:space="0" w:color="auto"/>
            <w:left w:val="none" w:sz="0" w:space="0" w:color="auto"/>
            <w:bottom w:val="none" w:sz="0" w:space="0" w:color="auto"/>
            <w:right w:val="none" w:sz="0" w:space="0" w:color="auto"/>
          </w:divBdr>
          <w:divsChild>
            <w:div w:id="1922909950">
              <w:marLeft w:val="0"/>
              <w:marRight w:val="0"/>
              <w:marTop w:val="0"/>
              <w:marBottom w:val="0"/>
              <w:divBdr>
                <w:top w:val="none" w:sz="0" w:space="0" w:color="auto"/>
                <w:left w:val="none" w:sz="0" w:space="0" w:color="auto"/>
                <w:bottom w:val="none" w:sz="0" w:space="0" w:color="auto"/>
                <w:right w:val="none" w:sz="0" w:space="0" w:color="auto"/>
              </w:divBdr>
              <w:divsChild>
                <w:div w:id="1871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1182">
          <w:marLeft w:val="0"/>
          <w:marRight w:val="0"/>
          <w:marTop w:val="0"/>
          <w:marBottom w:val="0"/>
          <w:divBdr>
            <w:top w:val="none" w:sz="0" w:space="0" w:color="auto"/>
            <w:left w:val="none" w:sz="0" w:space="0" w:color="auto"/>
            <w:bottom w:val="none" w:sz="0" w:space="0" w:color="auto"/>
            <w:right w:val="none" w:sz="0" w:space="0" w:color="auto"/>
          </w:divBdr>
          <w:divsChild>
            <w:div w:id="1478373307">
              <w:marLeft w:val="0"/>
              <w:marRight w:val="0"/>
              <w:marTop w:val="0"/>
              <w:marBottom w:val="0"/>
              <w:divBdr>
                <w:top w:val="none" w:sz="0" w:space="0" w:color="auto"/>
                <w:left w:val="none" w:sz="0" w:space="0" w:color="auto"/>
                <w:bottom w:val="none" w:sz="0" w:space="0" w:color="auto"/>
                <w:right w:val="none" w:sz="0" w:space="0" w:color="auto"/>
              </w:divBdr>
              <w:divsChild>
                <w:div w:id="135922574">
                  <w:marLeft w:val="0"/>
                  <w:marRight w:val="0"/>
                  <w:marTop w:val="0"/>
                  <w:marBottom w:val="0"/>
                  <w:divBdr>
                    <w:top w:val="none" w:sz="0" w:space="0" w:color="auto"/>
                    <w:left w:val="none" w:sz="0" w:space="0" w:color="auto"/>
                    <w:bottom w:val="none" w:sz="0" w:space="0" w:color="auto"/>
                    <w:right w:val="none" w:sz="0" w:space="0" w:color="auto"/>
                  </w:divBdr>
                </w:div>
              </w:divsChild>
            </w:div>
            <w:div w:id="2031489219">
              <w:marLeft w:val="0"/>
              <w:marRight w:val="0"/>
              <w:marTop w:val="0"/>
              <w:marBottom w:val="0"/>
              <w:divBdr>
                <w:top w:val="none" w:sz="0" w:space="0" w:color="auto"/>
                <w:left w:val="none" w:sz="0" w:space="0" w:color="auto"/>
                <w:bottom w:val="none" w:sz="0" w:space="0" w:color="auto"/>
                <w:right w:val="none" w:sz="0" w:space="0" w:color="auto"/>
              </w:divBdr>
              <w:divsChild>
                <w:div w:id="1467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4042">
      <w:bodyDiv w:val="1"/>
      <w:marLeft w:val="0"/>
      <w:marRight w:val="0"/>
      <w:marTop w:val="0"/>
      <w:marBottom w:val="0"/>
      <w:divBdr>
        <w:top w:val="none" w:sz="0" w:space="0" w:color="auto"/>
        <w:left w:val="none" w:sz="0" w:space="0" w:color="auto"/>
        <w:bottom w:val="none" w:sz="0" w:space="0" w:color="auto"/>
        <w:right w:val="none" w:sz="0" w:space="0" w:color="auto"/>
      </w:divBdr>
      <w:divsChild>
        <w:div w:id="1156188426">
          <w:marLeft w:val="0"/>
          <w:marRight w:val="0"/>
          <w:marTop w:val="0"/>
          <w:marBottom w:val="0"/>
          <w:divBdr>
            <w:top w:val="none" w:sz="0" w:space="0" w:color="auto"/>
            <w:left w:val="none" w:sz="0" w:space="0" w:color="auto"/>
            <w:bottom w:val="none" w:sz="0" w:space="0" w:color="auto"/>
            <w:right w:val="none" w:sz="0" w:space="0" w:color="auto"/>
          </w:divBdr>
          <w:divsChild>
            <w:div w:id="974531962">
              <w:marLeft w:val="0"/>
              <w:marRight w:val="0"/>
              <w:marTop w:val="0"/>
              <w:marBottom w:val="0"/>
              <w:divBdr>
                <w:top w:val="none" w:sz="0" w:space="0" w:color="auto"/>
                <w:left w:val="none" w:sz="0" w:space="0" w:color="auto"/>
                <w:bottom w:val="none" w:sz="0" w:space="0" w:color="auto"/>
                <w:right w:val="none" w:sz="0" w:space="0" w:color="auto"/>
              </w:divBdr>
              <w:divsChild>
                <w:div w:id="20307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5700">
      <w:bodyDiv w:val="1"/>
      <w:marLeft w:val="0"/>
      <w:marRight w:val="0"/>
      <w:marTop w:val="0"/>
      <w:marBottom w:val="0"/>
      <w:divBdr>
        <w:top w:val="none" w:sz="0" w:space="0" w:color="auto"/>
        <w:left w:val="none" w:sz="0" w:space="0" w:color="auto"/>
        <w:bottom w:val="none" w:sz="0" w:space="0" w:color="auto"/>
        <w:right w:val="none" w:sz="0" w:space="0" w:color="auto"/>
      </w:divBdr>
      <w:divsChild>
        <w:div w:id="283198918">
          <w:marLeft w:val="0"/>
          <w:marRight w:val="0"/>
          <w:marTop w:val="0"/>
          <w:marBottom w:val="0"/>
          <w:divBdr>
            <w:top w:val="none" w:sz="0" w:space="0" w:color="auto"/>
            <w:left w:val="none" w:sz="0" w:space="0" w:color="auto"/>
            <w:bottom w:val="none" w:sz="0" w:space="0" w:color="auto"/>
            <w:right w:val="none" w:sz="0" w:space="0" w:color="auto"/>
          </w:divBdr>
          <w:divsChild>
            <w:div w:id="332880512">
              <w:marLeft w:val="0"/>
              <w:marRight w:val="0"/>
              <w:marTop w:val="0"/>
              <w:marBottom w:val="0"/>
              <w:divBdr>
                <w:top w:val="none" w:sz="0" w:space="0" w:color="auto"/>
                <w:left w:val="none" w:sz="0" w:space="0" w:color="auto"/>
                <w:bottom w:val="none" w:sz="0" w:space="0" w:color="auto"/>
                <w:right w:val="none" w:sz="0" w:space="0" w:color="auto"/>
              </w:divBdr>
              <w:divsChild>
                <w:div w:id="3449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4356">
      <w:bodyDiv w:val="1"/>
      <w:marLeft w:val="0"/>
      <w:marRight w:val="0"/>
      <w:marTop w:val="0"/>
      <w:marBottom w:val="0"/>
      <w:divBdr>
        <w:top w:val="none" w:sz="0" w:space="0" w:color="auto"/>
        <w:left w:val="none" w:sz="0" w:space="0" w:color="auto"/>
        <w:bottom w:val="none" w:sz="0" w:space="0" w:color="auto"/>
        <w:right w:val="none" w:sz="0" w:space="0" w:color="auto"/>
      </w:divBdr>
      <w:divsChild>
        <w:div w:id="958995947">
          <w:marLeft w:val="0"/>
          <w:marRight w:val="0"/>
          <w:marTop w:val="0"/>
          <w:marBottom w:val="0"/>
          <w:divBdr>
            <w:top w:val="none" w:sz="0" w:space="0" w:color="auto"/>
            <w:left w:val="none" w:sz="0" w:space="0" w:color="auto"/>
            <w:bottom w:val="none" w:sz="0" w:space="0" w:color="auto"/>
            <w:right w:val="none" w:sz="0" w:space="0" w:color="auto"/>
          </w:divBdr>
          <w:divsChild>
            <w:div w:id="1055006053">
              <w:marLeft w:val="0"/>
              <w:marRight w:val="0"/>
              <w:marTop w:val="0"/>
              <w:marBottom w:val="0"/>
              <w:divBdr>
                <w:top w:val="none" w:sz="0" w:space="0" w:color="auto"/>
                <w:left w:val="none" w:sz="0" w:space="0" w:color="auto"/>
                <w:bottom w:val="none" w:sz="0" w:space="0" w:color="auto"/>
                <w:right w:val="none" w:sz="0" w:space="0" w:color="auto"/>
              </w:divBdr>
              <w:divsChild>
                <w:div w:id="1616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9702">
      <w:bodyDiv w:val="1"/>
      <w:marLeft w:val="0"/>
      <w:marRight w:val="0"/>
      <w:marTop w:val="0"/>
      <w:marBottom w:val="0"/>
      <w:divBdr>
        <w:top w:val="none" w:sz="0" w:space="0" w:color="auto"/>
        <w:left w:val="none" w:sz="0" w:space="0" w:color="auto"/>
        <w:bottom w:val="none" w:sz="0" w:space="0" w:color="auto"/>
        <w:right w:val="none" w:sz="0" w:space="0" w:color="auto"/>
      </w:divBdr>
      <w:divsChild>
        <w:div w:id="2079816348">
          <w:marLeft w:val="0"/>
          <w:marRight w:val="0"/>
          <w:marTop w:val="0"/>
          <w:marBottom w:val="0"/>
          <w:divBdr>
            <w:top w:val="none" w:sz="0" w:space="0" w:color="auto"/>
            <w:left w:val="none" w:sz="0" w:space="0" w:color="auto"/>
            <w:bottom w:val="none" w:sz="0" w:space="0" w:color="auto"/>
            <w:right w:val="none" w:sz="0" w:space="0" w:color="auto"/>
          </w:divBdr>
          <w:divsChild>
            <w:div w:id="1618022808">
              <w:marLeft w:val="0"/>
              <w:marRight w:val="0"/>
              <w:marTop w:val="0"/>
              <w:marBottom w:val="0"/>
              <w:divBdr>
                <w:top w:val="none" w:sz="0" w:space="0" w:color="auto"/>
                <w:left w:val="none" w:sz="0" w:space="0" w:color="auto"/>
                <w:bottom w:val="none" w:sz="0" w:space="0" w:color="auto"/>
                <w:right w:val="none" w:sz="0" w:space="0" w:color="auto"/>
              </w:divBdr>
              <w:divsChild>
                <w:div w:id="1990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1782">
      <w:bodyDiv w:val="1"/>
      <w:marLeft w:val="0"/>
      <w:marRight w:val="0"/>
      <w:marTop w:val="0"/>
      <w:marBottom w:val="0"/>
      <w:divBdr>
        <w:top w:val="none" w:sz="0" w:space="0" w:color="auto"/>
        <w:left w:val="none" w:sz="0" w:space="0" w:color="auto"/>
        <w:bottom w:val="none" w:sz="0" w:space="0" w:color="auto"/>
        <w:right w:val="none" w:sz="0" w:space="0" w:color="auto"/>
      </w:divBdr>
      <w:divsChild>
        <w:div w:id="443890631">
          <w:marLeft w:val="0"/>
          <w:marRight w:val="0"/>
          <w:marTop w:val="0"/>
          <w:marBottom w:val="0"/>
          <w:divBdr>
            <w:top w:val="none" w:sz="0" w:space="0" w:color="auto"/>
            <w:left w:val="none" w:sz="0" w:space="0" w:color="auto"/>
            <w:bottom w:val="none" w:sz="0" w:space="0" w:color="auto"/>
            <w:right w:val="none" w:sz="0" w:space="0" w:color="auto"/>
          </w:divBdr>
          <w:divsChild>
            <w:div w:id="1378311792">
              <w:marLeft w:val="0"/>
              <w:marRight w:val="0"/>
              <w:marTop w:val="0"/>
              <w:marBottom w:val="0"/>
              <w:divBdr>
                <w:top w:val="none" w:sz="0" w:space="0" w:color="auto"/>
                <w:left w:val="none" w:sz="0" w:space="0" w:color="auto"/>
                <w:bottom w:val="none" w:sz="0" w:space="0" w:color="auto"/>
                <w:right w:val="none" w:sz="0" w:space="0" w:color="auto"/>
              </w:divBdr>
              <w:divsChild>
                <w:div w:id="14717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9340">
      <w:bodyDiv w:val="1"/>
      <w:marLeft w:val="0"/>
      <w:marRight w:val="0"/>
      <w:marTop w:val="0"/>
      <w:marBottom w:val="0"/>
      <w:divBdr>
        <w:top w:val="none" w:sz="0" w:space="0" w:color="auto"/>
        <w:left w:val="none" w:sz="0" w:space="0" w:color="auto"/>
        <w:bottom w:val="none" w:sz="0" w:space="0" w:color="auto"/>
        <w:right w:val="none" w:sz="0" w:space="0" w:color="auto"/>
      </w:divBdr>
      <w:divsChild>
        <w:div w:id="1670526559">
          <w:marLeft w:val="0"/>
          <w:marRight w:val="0"/>
          <w:marTop w:val="0"/>
          <w:marBottom w:val="0"/>
          <w:divBdr>
            <w:top w:val="none" w:sz="0" w:space="0" w:color="auto"/>
            <w:left w:val="none" w:sz="0" w:space="0" w:color="auto"/>
            <w:bottom w:val="none" w:sz="0" w:space="0" w:color="auto"/>
            <w:right w:val="none" w:sz="0" w:space="0" w:color="auto"/>
          </w:divBdr>
          <w:divsChild>
            <w:div w:id="1385987850">
              <w:marLeft w:val="0"/>
              <w:marRight w:val="0"/>
              <w:marTop w:val="0"/>
              <w:marBottom w:val="0"/>
              <w:divBdr>
                <w:top w:val="none" w:sz="0" w:space="0" w:color="auto"/>
                <w:left w:val="none" w:sz="0" w:space="0" w:color="auto"/>
                <w:bottom w:val="none" w:sz="0" w:space="0" w:color="auto"/>
                <w:right w:val="none" w:sz="0" w:space="0" w:color="auto"/>
              </w:divBdr>
              <w:divsChild>
                <w:div w:id="18551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6586">
      <w:bodyDiv w:val="1"/>
      <w:marLeft w:val="0"/>
      <w:marRight w:val="0"/>
      <w:marTop w:val="0"/>
      <w:marBottom w:val="0"/>
      <w:divBdr>
        <w:top w:val="none" w:sz="0" w:space="0" w:color="auto"/>
        <w:left w:val="none" w:sz="0" w:space="0" w:color="auto"/>
        <w:bottom w:val="none" w:sz="0" w:space="0" w:color="auto"/>
        <w:right w:val="none" w:sz="0" w:space="0" w:color="auto"/>
      </w:divBdr>
      <w:divsChild>
        <w:div w:id="668292168">
          <w:marLeft w:val="0"/>
          <w:marRight w:val="0"/>
          <w:marTop w:val="0"/>
          <w:marBottom w:val="0"/>
          <w:divBdr>
            <w:top w:val="none" w:sz="0" w:space="0" w:color="auto"/>
            <w:left w:val="none" w:sz="0" w:space="0" w:color="auto"/>
            <w:bottom w:val="none" w:sz="0" w:space="0" w:color="auto"/>
            <w:right w:val="none" w:sz="0" w:space="0" w:color="auto"/>
          </w:divBdr>
          <w:divsChild>
            <w:div w:id="425464861">
              <w:marLeft w:val="0"/>
              <w:marRight w:val="0"/>
              <w:marTop w:val="0"/>
              <w:marBottom w:val="0"/>
              <w:divBdr>
                <w:top w:val="none" w:sz="0" w:space="0" w:color="auto"/>
                <w:left w:val="none" w:sz="0" w:space="0" w:color="auto"/>
                <w:bottom w:val="none" w:sz="0" w:space="0" w:color="auto"/>
                <w:right w:val="none" w:sz="0" w:space="0" w:color="auto"/>
              </w:divBdr>
              <w:divsChild>
                <w:div w:id="4745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4078">
      <w:bodyDiv w:val="1"/>
      <w:marLeft w:val="0"/>
      <w:marRight w:val="0"/>
      <w:marTop w:val="0"/>
      <w:marBottom w:val="0"/>
      <w:divBdr>
        <w:top w:val="none" w:sz="0" w:space="0" w:color="auto"/>
        <w:left w:val="none" w:sz="0" w:space="0" w:color="auto"/>
        <w:bottom w:val="none" w:sz="0" w:space="0" w:color="auto"/>
        <w:right w:val="none" w:sz="0" w:space="0" w:color="auto"/>
      </w:divBdr>
    </w:div>
    <w:div w:id="1827210468">
      <w:bodyDiv w:val="1"/>
      <w:marLeft w:val="0"/>
      <w:marRight w:val="0"/>
      <w:marTop w:val="0"/>
      <w:marBottom w:val="0"/>
      <w:divBdr>
        <w:top w:val="none" w:sz="0" w:space="0" w:color="auto"/>
        <w:left w:val="none" w:sz="0" w:space="0" w:color="auto"/>
        <w:bottom w:val="none" w:sz="0" w:space="0" w:color="auto"/>
        <w:right w:val="none" w:sz="0" w:space="0" w:color="auto"/>
      </w:divBdr>
      <w:divsChild>
        <w:div w:id="1905138039">
          <w:marLeft w:val="0"/>
          <w:marRight w:val="0"/>
          <w:marTop w:val="0"/>
          <w:marBottom w:val="0"/>
          <w:divBdr>
            <w:top w:val="none" w:sz="0" w:space="0" w:color="auto"/>
            <w:left w:val="none" w:sz="0" w:space="0" w:color="auto"/>
            <w:bottom w:val="none" w:sz="0" w:space="0" w:color="auto"/>
            <w:right w:val="none" w:sz="0" w:space="0" w:color="auto"/>
          </w:divBdr>
          <w:divsChild>
            <w:div w:id="1395742225">
              <w:marLeft w:val="0"/>
              <w:marRight w:val="0"/>
              <w:marTop w:val="0"/>
              <w:marBottom w:val="0"/>
              <w:divBdr>
                <w:top w:val="none" w:sz="0" w:space="0" w:color="auto"/>
                <w:left w:val="none" w:sz="0" w:space="0" w:color="auto"/>
                <w:bottom w:val="none" w:sz="0" w:space="0" w:color="auto"/>
                <w:right w:val="none" w:sz="0" w:space="0" w:color="auto"/>
              </w:divBdr>
              <w:divsChild>
                <w:div w:id="276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1649">
      <w:bodyDiv w:val="1"/>
      <w:marLeft w:val="0"/>
      <w:marRight w:val="0"/>
      <w:marTop w:val="0"/>
      <w:marBottom w:val="0"/>
      <w:divBdr>
        <w:top w:val="none" w:sz="0" w:space="0" w:color="auto"/>
        <w:left w:val="none" w:sz="0" w:space="0" w:color="auto"/>
        <w:bottom w:val="none" w:sz="0" w:space="0" w:color="auto"/>
        <w:right w:val="none" w:sz="0" w:space="0" w:color="auto"/>
      </w:divBdr>
      <w:divsChild>
        <w:div w:id="2063598355">
          <w:marLeft w:val="0"/>
          <w:marRight w:val="0"/>
          <w:marTop w:val="0"/>
          <w:marBottom w:val="0"/>
          <w:divBdr>
            <w:top w:val="none" w:sz="0" w:space="0" w:color="auto"/>
            <w:left w:val="none" w:sz="0" w:space="0" w:color="auto"/>
            <w:bottom w:val="none" w:sz="0" w:space="0" w:color="auto"/>
            <w:right w:val="none" w:sz="0" w:space="0" w:color="auto"/>
          </w:divBdr>
          <w:divsChild>
            <w:div w:id="1287082430">
              <w:marLeft w:val="0"/>
              <w:marRight w:val="0"/>
              <w:marTop w:val="0"/>
              <w:marBottom w:val="0"/>
              <w:divBdr>
                <w:top w:val="none" w:sz="0" w:space="0" w:color="auto"/>
                <w:left w:val="none" w:sz="0" w:space="0" w:color="auto"/>
                <w:bottom w:val="none" w:sz="0" w:space="0" w:color="auto"/>
                <w:right w:val="none" w:sz="0" w:space="0" w:color="auto"/>
              </w:divBdr>
              <w:divsChild>
                <w:div w:id="11300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00377">
      <w:bodyDiv w:val="1"/>
      <w:marLeft w:val="0"/>
      <w:marRight w:val="0"/>
      <w:marTop w:val="0"/>
      <w:marBottom w:val="0"/>
      <w:divBdr>
        <w:top w:val="none" w:sz="0" w:space="0" w:color="auto"/>
        <w:left w:val="none" w:sz="0" w:space="0" w:color="auto"/>
        <w:bottom w:val="none" w:sz="0" w:space="0" w:color="auto"/>
        <w:right w:val="none" w:sz="0" w:space="0" w:color="auto"/>
      </w:divBdr>
      <w:divsChild>
        <w:div w:id="1513687811">
          <w:marLeft w:val="0"/>
          <w:marRight w:val="0"/>
          <w:marTop w:val="0"/>
          <w:marBottom w:val="0"/>
          <w:divBdr>
            <w:top w:val="none" w:sz="0" w:space="0" w:color="auto"/>
            <w:left w:val="none" w:sz="0" w:space="0" w:color="auto"/>
            <w:bottom w:val="none" w:sz="0" w:space="0" w:color="auto"/>
            <w:right w:val="none" w:sz="0" w:space="0" w:color="auto"/>
          </w:divBdr>
          <w:divsChild>
            <w:div w:id="562790251">
              <w:marLeft w:val="0"/>
              <w:marRight w:val="0"/>
              <w:marTop w:val="0"/>
              <w:marBottom w:val="0"/>
              <w:divBdr>
                <w:top w:val="none" w:sz="0" w:space="0" w:color="auto"/>
                <w:left w:val="none" w:sz="0" w:space="0" w:color="auto"/>
                <w:bottom w:val="none" w:sz="0" w:space="0" w:color="auto"/>
                <w:right w:val="none" w:sz="0" w:space="0" w:color="auto"/>
              </w:divBdr>
              <w:divsChild>
                <w:div w:id="6557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484">
      <w:bodyDiv w:val="1"/>
      <w:marLeft w:val="0"/>
      <w:marRight w:val="0"/>
      <w:marTop w:val="0"/>
      <w:marBottom w:val="0"/>
      <w:divBdr>
        <w:top w:val="none" w:sz="0" w:space="0" w:color="auto"/>
        <w:left w:val="none" w:sz="0" w:space="0" w:color="auto"/>
        <w:bottom w:val="none" w:sz="0" w:space="0" w:color="auto"/>
        <w:right w:val="none" w:sz="0" w:space="0" w:color="auto"/>
      </w:divBdr>
      <w:divsChild>
        <w:div w:id="1849172090">
          <w:marLeft w:val="0"/>
          <w:marRight w:val="0"/>
          <w:marTop w:val="0"/>
          <w:marBottom w:val="0"/>
          <w:divBdr>
            <w:top w:val="none" w:sz="0" w:space="0" w:color="auto"/>
            <w:left w:val="none" w:sz="0" w:space="0" w:color="auto"/>
            <w:bottom w:val="none" w:sz="0" w:space="0" w:color="auto"/>
            <w:right w:val="none" w:sz="0" w:space="0" w:color="auto"/>
          </w:divBdr>
          <w:divsChild>
            <w:div w:id="1413700177">
              <w:marLeft w:val="0"/>
              <w:marRight w:val="0"/>
              <w:marTop w:val="0"/>
              <w:marBottom w:val="0"/>
              <w:divBdr>
                <w:top w:val="none" w:sz="0" w:space="0" w:color="auto"/>
                <w:left w:val="none" w:sz="0" w:space="0" w:color="auto"/>
                <w:bottom w:val="none" w:sz="0" w:space="0" w:color="auto"/>
                <w:right w:val="none" w:sz="0" w:space="0" w:color="auto"/>
              </w:divBdr>
              <w:divsChild>
                <w:div w:id="742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0985">
      <w:bodyDiv w:val="1"/>
      <w:marLeft w:val="0"/>
      <w:marRight w:val="0"/>
      <w:marTop w:val="0"/>
      <w:marBottom w:val="0"/>
      <w:divBdr>
        <w:top w:val="none" w:sz="0" w:space="0" w:color="auto"/>
        <w:left w:val="none" w:sz="0" w:space="0" w:color="auto"/>
        <w:bottom w:val="none" w:sz="0" w:space="0" w:color="auto"/>
        <w:right w:val="none" w:sz="0" w:space="0" w:color="auto"/>
      </w:divBdr>
      <w:divsChild>
        <w:div w:id="1139687211">
          <w:marLeft w:val="0"/>
          <w:marRight w:val="0"/>
          <w:marTop w:val="0"/>
          <w:marBottom w:val="0"/>
          <w:divBdr>
            <w:top w:val="none" w:sz="0" w:space="0" w:color="auto"/>
            <w:left w:val="none" w:sz="0" w:space="0" w:color="auto"/>
            <w:bottom w:val="none" w:sz="0" w:space="0" w:color="auto"/>
            <w:right w:val="none" w:sz="0" w:space="0" w:color="auto"/>
          </w:divBdr>
          <w:divsChild>
            <w:div w:id="685836430">
              <w:marLeft w:val="0"/>
              <w:marRight w:val="0"/>
              <w:marTop w:val="0"/>
              <w:marBottom w:val="0"/>
              <w:divBdr>
                <w:top w:val="none" w:sz="0" w:space="0" w:color="auto"/>
                <w:left w:val="none" w:sz="0" w:space="0" w:color="auto"/>
                <w:bottom w:val="none" w:sz="0" w:space="0" w:color="auto"/>
                <w:right w:val="none" w:sz="0" w:space="0" w:color="auto"/>
              </w:divBdr>
              <w:divsChild>
                <w:div w:id="3430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338">
      <w:bodyDiv w:val="1"/>
      <w:marLeft w:val="0"/>
      <w:marRight w:val="0"/>
      <w:marTop w:val="0"/>
      <w:marBottom w:val="0"/>
      <w:divBdr>
        <w:top w:val="none" w:sz="0" w:space="0" w:color="auto"/>
        <w:left w:val="none" w:sz="0" w:space="0" w:color="auto"/>
        <w:bottom w:val="none" w:sz="0" w:space="0" w:color="auto"/>
        <w:right w:val="none" w:sz="0" w:space="0" w:color="auto"/>
      </w:divBdr>
      <w:divsChild>
        <w:div w:id="1482774383">
          <w:marLeft w:val="0"/>
          <w:marRight w:val="0"/>
          <w:marTop w:val="0"/>
          <w:marBottom w:val="0"/>
          <w:divBdr>
            <w:top w:val="none" w:sz="0" w:space="0" w:color="auto"/>
            <w:left w:val="none" w:sz="0" w:space="0" w:color="auto"/>
            <w:bottom w:val="none" w:sz="0" w:space="0" w:color="auto"/>
            <w:right w:val="none" w:sz="0" w:space="0" w:color="auto"/>
          </w:divBdr>
          <w:divsChild>
            <w:div w:id="836456673">
              <w:marLeft w:val="0"/>
              <w:marRight w:val="0"/>
              <w:marTop w:val="0"/>
              <w:marBottom w:val="0"/>
              <w:divBdr>
                <w:top w:val="none" w:sz="0" w:space="0" w:color="auto"/>
                <w:left w:val="none" w:sz="0" w:space="0" w:color="auto"/>
                <w:bottom w:val="none" w:sz="0" w:space="0" w:color="auto"/>
                <w:right w:val="none" w:sz="0" w:space="0" w:color="auto"/>
              </w:divBdr>
              <w:divsChild>
                <w:div w:id="14533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9138">
      <w:bodyDiv w:val="1"/>
      <w:marLeft w:val="0"/>
      <w:marRight w:val="0"/>
      <w:marTop w:val="0"/>
      <w:marBottom w:val="0"/>
      <w:divBdr>
        <w:top w:val="none" w:sz="0" w:space="0" w:color="auto"/>
        <w:left w:val="none" w:sz="0" w:space="0" w:color="auto"/>
        <w:bottom w:val="none" w:sz="0" w:space="0" w:color="auto"/>
        <w:right w:val="none" w:sz="0" w:space="0" w:color="auto"/>
      </w:divBdr>
      <w:divsChild>
        <w:div w:id="891505348">
          <w:marLeft w:val="0"/>
          <w:marRight w:val="0"/>
          <w:marTop w:val="0"/>
          <w:marBottom w:val="0"/>
          <w:divBdr>
            <w:top w:val="none" w:sz="0" w:space="0" w:color="auto"/>
            <w:left w:val="none" w:sz="0" w:space="0" w:color="auto"/>
            <w:bottom w:val="none" w:sz="0" w:space="0" w:color="auto"/>
            <w:right w:val="none" w:sz="0" w:space="0" w:color="auto"/>
          </w:divBdr>
          <w:divsChild>
            <w:div w:id="235820686">
              <w:marLeft w:val="0"/>
              <w:marRight w:val="0"/>
              <w:marTop w:val="0"/>
              <w:marBottom w:val="0"/>
              <w:divBdr>
                <w:top w:val="none" w:sz="0" w:space="0" w:color="auto"/>
                <w:left w:val="none" w:sz="0" w:space="0" w:color="auto"/>
                <w:bottom w:val="none" w:sz="0" w:space="0" w:color="auto"/>
                <w:right w:val="none" w:sz="0" w:space="0" w:color="auto"/>
              </w:divBdr>
              <w:divsChild>
                <w:div w:id="1358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73354">
      <w:bodyDiv w:val="1"/>
      <w:marLeft w:val="0"/>
      <w:marRight w:val="0"/>
      <w:marTop w:val="0"/>
      <w:marBottom w:val="0"/>
      <w:divBdr>
        <w:top w:val="none" w:sz="0" w:space="0" w:color="auto"/>
        <w:left w:val="none" w:sz="0" w:space="0" w:color="auto"/>
        <w:bottom w:val="none" w:sz="0" w:space="0" w:color="auto"/>
        <w:right w:val="none" w:sz="0" w:space="0" w:color="auto"/>
      </w:divBdr>
      <w:divsChild>
        <w:div w:id="130438810">
          <w:marLeft w:val="0"/>
          <w:marRight w:val="0"/>
          <w:marTop w:val="0"/>
          <w:marBottom w:val="0"/>
          <w:divBdr>
            <w:top w:val="none" w:sz="0" w:space="0" w:color="auto"/>
            <w:left w:val="none" w:sz="0" w:space="0" w:color="auto"/>
            <w:bottom w:val="none" w:sz="0" w:space="0" w:color="auto"/>
            <w:right w:val="none" w:sz="0" w:space="0" w:color="auto"/>
          </w:divBdr>
          <w:divsChild>
            <w:div w:id="1835874078">
              <w:marLeft w:val="0"/>
              <w:marRight w:val="0"/>
              <w:marTop w:val="0"/>
              <w:marBottom w:val="0"/>
              <w:divBdr>
                <w:top w:val="none" w:sz="0" w:space="0" w:color="auto"/>
                <w:left w:val="none" w:sz="0" w:space="0" w:color="auto"/>
                <w:bottom w:val="none" w:sz="0" w:space="0" w:color="auto"/>
                <w:right w:val="none" w:sz="0" w:space="0" w:color="auto"/>
              </w:divBdr>
              <w:divsChild>
                <w:div w:id="1777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448">
          <w:marLeft w:val="0"/>
          <w:marRight w:val="0"/>
          <w:marTop w:val="0"/>
          <w:marBottom w:val="0"/>
          <w:divBdr>
            <w:top w:val="none" w:sz="0" w:space="0" w:color="auto"/>
            <w:left w:val="none" w:sz="0" w:space="0" w:color="auto"/>
            <w:bottom w:val="none" w:sz="0" w:space="0" w:color="auto"/>
            <w:right w:val="none" w:sz="0" w:space="0" w:color="auto"/>
          </w:divBdr>
          <w:divsChild>
            <w:div w:id="2024436035">
              <w:marLeft w:val="0"/>
              <w:marRight w:val="0"/>
              <w:marTop w:val="0"/>
              <w:marBottom w:val="0"/>
              <w:divBdr>
                <w:top w:val="none" w:sz="0" w:space="0" w:color="auto"/>
                <w:left w:val="none" w:sz="0" w:space="0" w:color="auto"/>
                <w:bottom w:val="none" w:sz="0" w:space="0" w:color="auto"/>
                <w:right w:val="none" w:sz="0" w:space="0" w:color="auto"/>
              </w:divBdr>
              <w:divsChild>
                <w:div w:id="17473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8611">
      <w:bodyDiv w:val="1"/>
      <w:marLeft w:val="0"/>
      <w:marRight w:val="0"/>
      <w:marTop w:val="0"/>
      <w:marBottom w:val="0"/>
      <w:divBdr>
        <w:top w:val="none" w:sz="0" w:space="0" w:color="auto"/>
        <w:left w:val="none" w:sz="0" w:space="0" w:color="auto"/>
        <w:bottom w:val="none" w:sz="0" w:space="0" w:color="auto"/>
        <w:right w:val="none" w:sz="0" w:space="0" w:color="auto"/>
      </w:divBdr>
      <w:divsChild>
        <w:div w:id="702092509">
          <w:marLeft w:val="0"/>
          <w:marRight w:val="0"/>
          <w:marTop w:val="0"/>
          <w:marBottom w:val="0"/>
          <w:divBdr>
            <w:top w:val="none" w:sz="0" w:space="0" w:color="auto"/>
            <w:left w:val="none" w:sz="0" w:space="0" w:color="auto"/>
            <w:bottom w:val="none" w:sz="0" w:space="0" w:color="auto"/>
            <w:right w:val="none" w:sz="0" w:space="0" w:color="auto"/>
          </w:divBdr>
          <w:divsChild>
            <w:div w:id="496533097">
              <w:marLeft w:val="0"/>
              <w:marRight w:val="0"/>
              <w:marTop w:val="0"/>
              <w:marBottom w:val="0"/>
              <w:divBdr>
                <w:top w:val="none" w:sz="0" w:space="0" w:color="auto"/>
                <w:left w:val="none" w:sz="0" w:space="0" w:color="auto"/>
                <w:bottom w:val="none" w:sz="0" w:space="0" w:color="auto"/>
                <w:right w:val="none" w:sz="0" w:space="0" w:color="auto"/>
              </w:divBdr>
              <w:divsChild>
                <w:div w:id="3169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1077">
      <w:bodyDiv w:val="1"/>
      <w:marLeft w:val="0"/>
      <w:marRight w:val="0"/>
      <w:marTop w:val="0"/>
      <w:marBottom w:val="0"/>
      <w:divBdr>
        <w:top w:val="none" w:sz="0" w:space="0" w:color="auto"/>
        <w:left w:val="none" w:sz="0" w:space="0" w:color="auto"/>
        <w:bottom w:val="none" w:sz="0" w:space="0" w:color="auto"/>
        <w:right w:val="none" w:sz="0" w:space="0" w:color="auto"/>
      </w:divBdr>
      <w:divsChild>
        <w:div w:id="2101098620">
          <w:marLeft w:val="0"/>
          <w:marRight w:val="0"/>
          <w:marTop w:val="0"/>
          <w:marBottom w:val="0"/>
          <w:divBdr>
            <w:top w:val="none" w:sz="0" w:space="0" w:color="auto"/>
            <w:left w:val="none" w:sz="0" w:space="0" w:color="auto"/>
            <w:bottom w:val="none" w:sz="0" w:space="0" w:color="auto"/>
            <w:right w:val="none" w:sz="0" w:space="0" w:color="auto"/>
          </w:divBdr>
          <w:divsChild>
            <w:div w:id="2005081680">
              <w:marLeft w:val="0"/>
              <w:marRight w:val="0"/>
              <w:marTop w:val="0"/>
              <w:marBottom w:val="0"/>
              <w:divBdr>
                <w:top w:val="none" w:sz="0" w:space="0" w:color="auto"/>
                <w:left w:val="none" w:sz="0" w:space="0" w:color="auto"/>
                <w:bottom w:val="none" w:sz="0" w:space="0" w:color="auto"/>
                <w:right w:val="none" w:sz="0" w:space="0" w:color="auto"/>
              </w:divBdr>
              <w:divsChild>
                <w:div w:id="13729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4542">
      <w:bodyDiv w:val="1"/>
      <w:marLeft w:val="0"/>
      <w:marRight w:val="0"/>
      <w:marTop w:val="0"/>
      <w:marBottom w:val="0"/>
      <w:divBdr>
        <w:top w:val="none" w:sz="0" w:space="0" w:color="auto"/>
        <w:left w:val="none" w:sz="0" w:space="0" w:color="auto"/>
        <w:bottom w:val="none" w:sz="0" w:space="0" w:color="auto"/>
        <w:right w:val="none" w:sz="0" w:space="0" w:color="auto"/>
      </w:divBdr>
      <w:divsChild>
        <w:div w:id="1593471254">
          <w:marLeft w:val="0"/>
          <w:marRight w:val="0"/>
          <w:marTop w:val="0"/>
          <w:marBottom w:val="0"/>
          <w:divBdr>
            <w:top w:val="none" w:sz="0" w:space="0" w:color="auto"/>
            <w:left w:val="none" w:sz="0" w:space="0" w:color="auto"/>
            <w:bottom w:val="none" w:sz="0" w:space="0" w:color="auto"/>
            <w:right w:val="none" w:sz="0" w:space="0" w:color="auto"/>
          </w:divBdr>
          <w:divsChild>
            <w:div w:id="1366708242">
              <w:marLeft w:val="0"/>
              <w:marRight w:val="0"/>
              <w:marTop w:val="0"/>
              <w:marBottom w:val="0"/>
              <w:divBdr>
                <w:top w:val="none" w:sz="0" w:space="0" w:color="auto"/>
                <w:left w:val="none" w:sz="0" w:space="0" w:color="auto"/>
                <w:bottom w:val="none" w:sz="0" w:space="0" w:color="auto"/>
                <w:right w:val="none" w:sz="0" w:space="0" w:color="auto"/>
              </w:divBdr>
              <w:divsChild>
                <w:div w:id="19982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151">
      <w:bodyDiv w:val="1"/>
      <w:marLeft w:val="0"/>
      <w:marRight w:val="0"/>
      <w:marTop w:val="0"/>
      <w:marBottom w:val="0"/>
      <w:divBdr>
        <w:top w:val="none" w:sz="0" w:space="0" w:color="auto"/>
        <w:left w:val="none" w:sz="0" w:space="0" w:color="auto"/>
        <w:bottom w:val="none" w:sz="0" w:space="0" w:color="auto"/>
        <w:right w:val="none" w:sz="0" w:space="0" w:color="auto"/>
      </w:divBdr>
      <w:divsChild>
        <w:div w:id="702097557">
          <w:marLeft w:val="0"/>
          <w:marRight w:val="0"/>
          <w:marTop w:val="0"/>
          <w:marBottom w:val="0"/>
          <w:divBdr>
            <w:top w:val="none" w:sz="0" w:space="0" w:color="auto"/>
            <w:left w:val="none" w:sz="0" w:space="0" w:color="auto"/>
            <w:bottom w:val="none" w:sz="0" w:space="0" w:color="auto"/>
            <w:right w:val="none" w:sz="0" w:space="0" w:color="auto"/>
          </w:divBdr>
          <w:divsChild>
            <w:div w:id="1741709363">
              <w:marLeft w:val="0"/>
              <w:marRight w:val="0"/>
              <w:marTop w:val="0"/>
              <w:marBottom w:val="0"/>
              <w:divBdr>
                <w:top w:val="none" w:sz="0" w:space="0" w:color="auto"/>
                <w:left w:val="none" w:sz="0" w:space="0" w:color="auto"/>
                <w:bottom w:val="none" w:sz="0" w:space="0" w:color="auto"/>
                <w:right w:val="none" w:sz="0" w:space="0" w:color="auto"/>
              </w:divBdr>
              <w:divsChild>
                <w:div w:id="17683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3160">
      <w:bodyDiv w:val="1"/>
      <w:marLeft w:val="0"/>
      <w:marRight w:val="0"/>
      <w:marTop w:val="0"/>
      <w:marBottom w:val="0"/>
      <w:divBdr>
        <w:top w:val="none" w:sz="0" w:space="0" w:color="auto"/>
        <w:left w:val="none" w:sz="0" w:space="0" w:color="auto"/>
        <w:bottom w:val="none" w:sz="0" w:space="0" w:color="auto"/>
        <w:right w:val="none" w:sz="0" w:space="0" w:color="auto"/>
      </w:divBdr>
      <w:divsChild>
        <w:div w:id="709646759">
          <w:marLeft w:val="0"/>
          <w:marRight w:val="0"/>
          <w:marTop w:val="0"/>
          <w:marBottom w:val="0"/>
          <w:divBdr>
            <w:top w:val="none" w:sz="0" w:space="0" w:color="auto"/>
            <w:left w:val="none" w:sz="0" w:space="0" w:color="auto"/>
            <w:bottom w:val="none" w:sz="0" w:space="0" w:color="auto"/>
            <w:right w:val="none" w:sz="0" w:space="0" w:color="auto"/>
          </w:divBdr>
          <w:divsChild>
            <w:div w:id="1968390647">
              <w:marLeft w:val="0"/>
              <w:marRight w:val="0"/>
              <w:marTop w:val="0"/>
              <w:marBottom w:val="0"/>
              <w:divBdr>
                <w:top w:val="none" w:sz="0" w:space="0" w:color="auto"/>
                <w:left w:val="none" w:sz="0" w:space="0" w:color="auto"/>
                <w:bottom w:val="none" w:sz="0" w:space="0" w:color="auto"/>
                <w:right w:val="none" w:sz="0" w:space="0" w:color="auto"/>
              </w:divBdr>
              <w:divsChild>
                <w:div w:id="9997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419">
      <w:bodyDiv w:val="1"/>
      <w:marLeft w:val="0"/>
      <w:marRight w:val="0"/>
      <w:marTop w:val="0"/>
      <w:marBottom w:val="0"/>
      <w:divBdr>
        <w:top w:val="none" w:sz="0" w:space="0" w:color="auto"/>
        <w:left w:val="none" w:sz="0" w:space="0" w:color="auto"/>
        <w:bottom w:val="none" w:sz="0" w:space="0" w:color="auto"/>
        <w:right w:val="none" w:sz="0" w:space="0" w:color="auto"/>
      </w:divBdr>
      <w:divsChild>
        <w:div w:id="1786775629">
          <w:marLeft w:val="0"/>
          <w:marRight w:val="0"/>
          <w:marTop w:val="0"/>
          <w:marBottom w:val="0"/>
          <w:divBdr>
            <w:top w:val="none" w:sz="0" w:space="0" w:color="auto"/>
            <w:left w:val="none" w:sz="0" w:space="0" w:color="auto"/>
            <w:bottom w:val="none" w:sz="0" w:space="0" w:color="auto"/>
            <w:right w:val="none" w:sz="0" w:space="0" w:color="auto"/>
          </w:divBdr>
          <w:divsChild>
            <w:div w:id="1253589967">
              <w:marLeft w:val="0"/>
              <w:marRight w:val="0"/>
              <w:marTop w:val="0"/>
              <w:marBottom w:val="0"/>
              <w:divBdr>
                <w:top w:val="none" w:sz="0" w:space="0" w:color="auto"/>
                <w:left w:val="none" w:sz="0" w:space="0" w:color="auto"/>
                <w:bottom w:val="none" w:sz="0" w:space="0" w:color="auto"/>
                <w:right w:val="none" w:sz="0" w:space="0" w:color="auto"/>
              </w:divBdr>
              <w:divsChild>
                <w:div w:id="7133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3970">
      <w:bodyDiv w:val="1"/>
      <w:marLeft w:val="0"/>
      <w:marRight w:val="0"/>
      <w:marTop w:val="0"/>
      <w:marBottom w:val="0"/>
      <w:divBdr>
        <w:top w:val="none" w:sz="0" w:space="0" w:color="auto"/>
        <w:left w:val="none" w:sz="0" w:space="0" w:color="auto"/>
        <w:bottom w:val="none" w:sz="0" w:space="0" w:color="auto"/>
        <w:right w:val="none" w:sz="0" w:space="0" w:color="auto"/>
      </w:divBdr>
      <w:divsChild>
        <w:div w:id="2026906750">
          <w:marLeft w:val="0"/>
          <w:marRight w:val="0"/>
          <w:marTop w:val="0"/>
          <w:marBottom w:val="0"/>
          <w:divBdr>
            <w:top w:val="none" w:sz="0" w:space="0" w:color="auto"/>
            <w:left w:val="none" w:sz="0" w:space="0" w:color="auto"/>
            <w:bottom w:val="none" w:sz="0" w:space="0" w:color="auto"/>
            <w:right w:val="none" w:sz="0" w:space="0" w:color="auto"/>
          </w:divBdr>
          <w:divsChild>
            <w:div w:id="213587065">
              <w:marLeft w:val="0"/>
              <w:marRight w:val="0"/>
              <w:marTop w:val="0"/>
              <w:marBottom w:val="0"/>
              <w:divBdr>
                <w:top w:val="none" w:sz="0" w:space="0" w:color="auto"/>
                <w:left w:val="none" w:sz="0" w:space="0" w:color="auto"/>
                <w:bottom w:val="none" w:sz="0" w:space="0" w:color="auto"/>
                <w:right w:val="none" w:sz="0" w:space="0" w:color="auto"/>
              </w:divBdr>
              <w:divsChild>
                <w:div w:id="16609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4525">
      <w:bodyDiv w:val="1"/>
      <w:marLeft w:val="0"/>
      <w:marRight w:val="0"/>
      <w:marTop w:val="0"/>
      <w:marBottom w:val="0"/>
      <w:divBdr>
        <w:top w:val="none" w:sz="0" w:space="0" w:color="auto"/>
        <w:left w:val="none" w:sz="0" w:space="0" w:color="auto"/>
        <w:bottom w:val="none" w:sz="0" w:space="0" w:color="auto"/>
        <w:right w:val="none" w:sz="0" w:space="0" w:color="auto"/>
      </w:divBdr>
      <w:divsChild>
        <w:div w:id="540558300">
          <w:marLeft w:val="0"/>
          <w:marRight w:val="0"/>
          <w:marTop w:val="0"/>
          <w:marBottom w:val="0"/>
          <w:divBdr>
            <w:top w:val="none" w:sz="0" w:space="0" w:color="auto"/>
            <w:left w:val="none" w:sz="0" w:space="0" w:color="auto"/>
            <w:bottom w:val="none" w:sz="0" w:space="0" w:color="auto"/>
            <w:right w:val="none" w:sz="0" w:space="0" w:color="auto"/>
          </w:divBdr>
          <w:divsChild>
            <w:div w:id="1245843241">
              <w:marLeft w:val="0"/>
              <w:marRight w:val="0"/>
              <w:marTop w:val="0"/>
              <w:marBottom w:val="0"/>
              <w:divBdr>
                <w:top w:val="none" w:sz="0" w:space="0" w:color="auto"/>
                <w:left w:val="none" w:sz="0" w:space="0" w:color="auto"/>
                <w:bottom w:val="none" w:sz="0" w:space="0" w:color="auto"/>
                <w:right w:val="none" w:sz="0" w:space="0" w:color="auto"/>
              </w:divBdr>
              <w:divsChild>
                <w:div w:id="15206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4371">
      <w:bodyDiv w:val="1"/>
      <w:marLeft w:val="0"/>
      <w:marRight w:val="0"/>
      <w:marTop w:val="0"/>
      <w:marBottom w:val="0"/>
      <w:divBdr>
        <w:top w:val="none" w:sz="0" w:space="0" w:color="auto"/>
        <w:left w:val="none" w:sz="0" w:space="0" w:color="auto"/>
        <w:bottom w:val="none" w:sz="0" w:space="0" w:color="auto"/>
        <w:right w:val="none" w:sz="0" w:space="0" w:color="auto"/>
      </w:divBdr>
      <w:divsChild>
        <w:div w:id="585311992">
          <w:marLeft w:val="0"/>
          <w:marRight w:val="0"/>
          <w:marTop w:val="0"/>
          <w:marBottom w:val="0"/>
          <w:divBdr>
            <w:top w:val="none" w:sz="0" w:space="0" w:color="auto"/>
            <w:left w:val="none" w:sz="0" w:space="0" w:color="auto"/>
            <w:bottom w:val="none" w:sz="0" w:space="0" w:color="auto"/>
            <w:right w:val="none" w:sz="0" w:space="0" w:color="auto"/>
          </w:divBdr>
          <w:divsChild>
            <w:div w:id="601643402">
              <w:marLeft w:val="0"/>
              <w:marRight w:val="0"/>
              <w:marTop w:val="0"/>
              <w:marBottom w:val="0"/>
              <w:divBdr>
                <w:top w:val="none" w:sz="0" w:space="0" w:color="auto"/>
                <w:left w:val="none" w:sz="0" w:space="0" w:color="auto"/>
                <w:bottom w:val="none" w:sz="0" w:space="0" w:color="auto"/>
                <w:right w:val="none" w:sz="0" w:space="0" w:color="auto"/>
              </w:divBdr>
              <w:divsChild>
                <w:div w:id="9027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6142">
      <w:bodyDiv w:val="1"/>
      <w:marLeft w:val="0"/>
      <w:marRight w:val="0"/>
      <w:marTop w:val="0"/>
      <w:marBottom w:val="0"/>
      <w:divBdr>
        <w:top w:val="none" w:sz="0" w:space="0" w:color="auto"/>
        <w:left w:val="none" w:sz="0" w:space="0" w:color="auto"/>
        <w:bottom w:val="none" w:sz="0" w:space="0" w:color="auto"/>
        <w:right w:val="none" w:sz="0" w:space="0" w:color="auto"/>
      </w:divBdr>
      <w:divsChild>
        <w:div w:id="472866806">
          <w:marLeft w:val="0"/>
          <w:marRight w:val="0"/>
          <w:marTop w:val="0"/>
          <w:marBottom w:val="0"/>
          <w:divBdr>
            <w:top w:val="none" w:sz="0" w:space="0" w:color="auto"/>
            <w:left w:val="none" w:sz="0" w:space="0" w:color="auto"/>
            <w:bottom w:val="none" w:sz="0" w:space="0" w:color="auto"/>
            <w:right w:val="none" w:sz="0" w:space="0" w:color="auto"/>
          </w:divBdr>
          <w:divsChild>
            <w:div w:id="1750232169">
              <w:marLeft w:val="0"/>
              <w:marRight w:val="0"/>
              <w:marTop w:val="0"/>
              <w:marBottom w:val="0"/>
              <w:divBdr>
                <w:top w:val="none" w:sz="0" w:space="0" w:color="auto"/>
                <w:left w:val="none" w:sz="0" w:space="0" w:color="auto"/>
                <w:bottom w:val="none" w:sz="0" w:space="0" w:color="auto"/>
                <w:right w:val="none" w:sz="0" w:space="0" w:color="auto"/>
              </w:divBdr>
              <w:divsChild>
                <w:div w:id="1771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29823">
      <w:bodyDiv w:val="1"/>
      <w:marLeft w:val="0"/>
      <w:marRight w:val="0"/>
      <w:marTop w:val="0"/>
      <w:marBottom w:val="0"/>
      <w:divBdr>
        <w:top w:val="none" w:sz="0" w:space="0" w:color="auto"/>
        <w:left w:val="none" w:sz="0" w:space="0" w:color="auto"/>
        <w:bottom w:val="none" w:sz="0" w:space="0" w:color="auto"/>
        <w:right w:val="none" w:sz="0" w:space="0" w:color="auto"/>
      </w:divBdr>
      <w:divsChild>
        <w:div w:id="1114714472">
          <w:marLeft w:val="0"/>
          <w:marRight w:val="0"/>
          <w:marTop w:val="0"/>
          <w:marBottom w:val="0"/>
          <w:divBdr>
            <w:top w:val="none" w:sz="0" w:space="0" w:color="auto"/>
            <w:left w:val="none" w:sz="0" w:space="0" w:color="auto"/>
            <w:bottom w:val="none" w:sz="0" w:space="0" w:color="auto"/>
            <w:right w:val="none" w:sz="0" w:space="0" w:color="auto"/>
          </w:divBdr>
          <w:divsChild>
            <w:div w:id="112133762">
              <w:marLeft w:val="0"/>
              <w:marRight w:val="0"/>
              <w:marTop w:val="0"/>
              <w:marBottom w:val="0"/>
              <w:divBdr>
                <w:top w:val="none" w:sz="0" w:space="0" w:color="auto"/>
                <w:left w:val="none" w:sz="0" w:space="0" w:color="auto"/>
                <w:bottom w:val="none" w:sz="0" w:space="0" w:color="auto"/>
                <w:right w:val="none" w:sz="0" w:space="0" w:color="auto"/>
              </w:divBdr>
              <w:divsChild>
                <w:div w:id="19601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238">
      <w:bodyDiv w:val="1"/>
      <w:marLeft w:val="0"/>
      <w:marRight w:val="0"/>
      <w:marTop w:val="0"/>
      <w:marBottom w:val="0"/>
      <w:divBdr>
        <w:top w:val="none" w:sz="0" w:space="0" w:color="auto"/>
        <w:left w:val="none" w:sz="0" w:space="0" w:color="auto"/>
        <w:bottom w:val="none" w:sz="0" w:space="0" w:color="auto"/>
        <w:right w:val="none" w:sz="0" w:space="0" w:color="auto"/>
      </w:divBdr>
      <w:divsChild>
        <w:div w:id="126168424">
          <w:marLeft w:val="0"/>
          <w:marRight w:val="0"/>
          <w:marTop w:val="0"/>
          <w:marBottom w:val="0"/>
          <w:divBdr>
            <w:top w:val="none" w:sz="0" w:space="0" w:color="auto"/>
            <w:left w:val="none" w:sz="0" w:space="0" w:color="auto"/>
            <w:bottom w:val="none" w:sz="0" w:space="0" w:color="auto"/>
            <w:right w:val="none" w:sz="0" w:space="0" w:color="auto"/>
          </w:divBdr>
          <w:divsChild>
            <w:div w:id="1260521796">
              <w:marLeft w:val="0"/>
              <w:marRight w:val="0"/>
              <w:marTop w:val="0"/>
              <w:marBottom w:val="0"/>
              <w:divBdr>
                <w:top w:val="none" w:sz="0" w:space="0" w:color="auto"/>
                <w:left w:val="none" w:sz="0" w:space="0" w:color="auto"/>
                <w:bottom w:val="none" w:sz="0" w:space="0" w:color="auto"/>
                <w:right w:val="none" w:sz="0" w:space="0" w:color="auto"/>
              </w:divBdr>
              <w:divsChild>
                <w:div w:id="18832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D62D4A-A67E-486B-B4DF-C0E2DE2A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58</Pages>
  <Words>18280</Words>
  <Characters>104201</Characters>
  <Application>Microsoft Office Word</Application>
  <DocSecurity>0</DocSecurity>
  <Lines>868</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Carmody</dc:creator>
  <cp:keywords/>
  <dc:description/>
  <cp:lastModifiedBy>TIMAR Kati</cp:lastModifiedBy>
  <cp:revision>3</cp:revision>
  <dcterms:created xsi:type="dcterms:W3CDTF">2020-07-29T07:49:00Z</dcterms:created>
  <dcterms:modified xsi:type="dcterms:W3CDTF">2020-07-29T09:07:00Z</dcterms:modified>
</cp:coreProperties>
</file>