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4D1C6" w14:textId="0ED55633" w:rsidR="00F677F0" w:rsidRPr="00CC210F" w:rsidRDefault="004F0194" w:rsidP="00F677F0">
      <w:pPr>
        <w:pBdr>
          <w:top w:val="single" w:sz="12" w:space="0" w:color="auto" w:shadow="1"/>
          <w:left w:val="single" w:sz="12" w:space="4" w:color="auto" w:shadow="1"/>
          <w:bottom w:val="single" w:sz="12" w:space="1" w:color="auto" w:shadow="1"/>
          <w:right w:val="single" w:sz="12" w:space="7" w:color="auto" w:shadow="1"/>
        </w:pBdr>
        <w:ind w:right="2790"/>
        <w:rPr>
          <w:bCs/>
          <w:color w:val="000000" w:themeColor="text1"/>
          <w:lang w:val="en-US"/>
        </w:rPr>
      </w:pPr>
      <w:r>
        <w:rPr>
          <w:bCs/>
          <w:color w:val="000000" w:themeColor="text1"/>
          <w:lang w:val="en-US"/>
        </w:rPr>
        <w:t>THE</w:t>
      </w:r>
      <w:r w:rsidR="00F677F0" w:rsidRPr="00CC210F">
        <w:rPr>
          <w:bCs/>
          <w:color w:val="000000" w:themeColor="text1"/>
          <w:lang w:val="en-US"/>
        </w:rPr>
        <w:t xml:space="preserve"> CONVENTION ON WETLANDS </w:t>
      </w:r>
    </w:p>
    <w:p w14:paraId="62307AEF" w14:textId="77777777" w:rsidR="00F677F0" w:rsidRPr="00CC210F" w:rsidRDefault="00F677F0" w:rsidP="00F677F0">
      <w:pPr>
        <w:pBdr>
          <w:top w:val="single" w:sz="12" w:space="0" w:color="auto" w:shadow="1"/>
          <w:left w:val="single" w:sz="12" w:space="4" w:color="auto" w:shadow="1"/>
          <w:bottom w:val="single" w:sz="12" w:space="1" w:color="auto" w:shadow="1"/>
          <w:right w:val="single" w:sz="12" w:space="7" w:color="auto" w:shadow="1"/>
        </w:pBdr>
        <w:ind w:right="2790"/>
        <w:rPr>
          <w:bCs/>
          <w:color w:val="000000" w:themeColor="text1"/>
          <w:lang w:val="en-US"/>
        </w:rPr>
      </w:pPr>
      <w:r w:rsidRPr="00CC210F">
        <w:rPr>
          <w:bCs/>
          <w:color w:val="000000" w:themeColor="text1"/>
          <w:lang w:val="en-US"/>
        </w:rPr>
        <w:t>58th Meeting of the Standing Committee</w:t>
      </w:r>
    </w:p>
    <w:p w14:paraId="78E91323" w14:textId="19745D2E" w:rsidR="00F677F0" w:rsidRPr="00CC210F" w:rsidRDefault="00F677F0" w:rsidP="00F677F0">
      <w:pPr>
        <w:pBdr>
          <w:top w:val="single" w:sz="12" w:space="0" w:color="auto" w:shadow="1"/>
          <w:left w:val="single" w:sz="12" w:space="4" w:color="auto" w:shadow="1"/>
          <w:bottom w:val="single" w:sz="12" w:space="1" w:color="auto" w:shadow="1"/>
          <w:right w:val="single" w:sz="12" w:space="7" w:color="auto" w:shadow="1"/>
        </w:pBdr>
        <w:ind w:right="2790"/>
        <w:rPr>
          <w:bCs/>
          <w:color w:val="000000" w:themeColor="text1"/>
          <w:lang w:val="de-CH"/>
        </w:rPr>
      </w:pPr>
      <w:r w:rsidRPr="00CC210F">
        <w:rPr>
          <w:bCs/>
          <w:color w:val="000000" w:themeColor="text1"/>
          <w:lang w:val="de-CH"/>
        </w:rPr>
        <w:t xml:space="preserve">Gland, Switzerland, </w:t>
      </w:r>
      <w:r w:rsidR="00E10F49" w:rsidRPr="00E10F49">
        <w:rPr>
          <w:bCs/>
          <w:color w:val="000000" w:themeColor="text1"/>
          <w:lang w:val="de-CH"/>
        </w:rPr>
        <w:t>26 - 30 October</w:t>
      </w:r>
      <w:r w:rsidR="00E10F49">
        <w:rPr>
          <w:bCs/>
          <w:color w:val="000000" w:themeColor="text1"/>
          <w:lang w:val="de-CH"/>
        </w:rPr>
        <w:t xml:space="preserve"> </w:t>
      </w:r>
      <w:bookmarkStart w:id="0" w:name="_GoBack"/>
      <w:bookmarkEnd w:id="0"/>
      <w:r w:rsidRPr="00CC210F">
        <w:rPr>
          <w:bCs/>
          <w:color w:val="000000" w:themeColor="text1"/>
          <w:lang w:val="de-CH"/>
        </w:rPr>
        <w:t>2020</w:t>
      </w:r>
    </w:p>
    <w:p w14:paraId="209030A2" w14:textId="77777777" w:rsidR="00F677F0" w:rsidRPr="00CC210F" w:rsidRDefault="00F677F0" w:rsidP="00F677F0">
      <w:pPr>
        <w:outlineLvl w:val="0"/>
        <w:rPr>
          <w:b/>
          <w:color w:val="000000" w:themeColor="text1"/>
          <w:lang w:val="de-CH"/>
        </w:rPr>
      </w:pPr>
    </w:p>
    <w:p w14:paraId="56A687B3" w14:textId="3BFF371A" w:rsidR="00F677F0" w:rsidRPr="00CC210F" w:rsidRDefault="00F677F0" w:rsidP="00F677F0">
      <w:pPr>
        <w:jc w:val="right"/>
        <w:rPr>
          <w:rFonts w:cs="Arial"/>
          <w:color w:val="000000" w:themeColor="text1"/>
          <w:sz w:val="28"/>
          <w:szCs w:val="28"/>
          <w:lang w:val="de-CH"/>
        </w:rPr>
      </w:pPr>
      <w:r w:rsidRPr="00CC210F">
        <w:rPr>
          <w:rFonts w:cs="Arial"/>
          <w:b/>
          <w:color w:val="000000" w:themeColor="text1"/>
          <w:sz w:val="28"/>
          <w:szCs w:val="28"/>
          <w:lang w:val="de-CH"/>
        </w:rPr>
        <w:t>SC58 Doc</w:t>
      </w:r>
      <w:r w:rsidR="00251D8C">
        <w:rPr>
          <w:rFonts w:cs="Arial"/>
          <w:b/>
          <w:color w:val="000000" w:themeColor="text1"/>
          <w:sz w:val="28"/>
          <w:szCs w:val="28"/>
          <w:lang w:val="de-CH"/>
        </w:rPr>
        <w:t>.22.3</w:t>
      </w:r>
      <w:r w:rsidRPr="00CC210F">
        <w:rPr>
          <w:rFonts w:cs="Arial"/>
          <w:b/>
          <w:color w:val="000000" w:themeColor="text1"/>
          <w:sz w:val="28"/>
          <w:szCs w:val="28"/>
          <w:lang w:val="de-CH"/>
        </w:rPr>
        <w:t xml:space="preserve"> </w:t>
      </w:r>
    </w:p>
    <w:p w14:paraId="4DB0B77E" w14:textId="77777777" w:rsidR="00F677F0" w:rsidRPr="00CC210F" w:rsidRDefault="00F677F0" w:rsidP="00F677F0">
      <w:pPr>
        <w:rPr>
          <w:rFonts w:cs="Arial"/>
          <w:b/>
          <w:color w:val="000000" w:themeColor="text1"/>
          <w:sz w:val="28"/>
          <w:szCs w:val="28"/>
          <w:lang w:val="de-CH"/>
        </w:rPr>
      </w:pPr>
    </w:p>
    <w:p w14:paraId="19FE9262" w14:textId="77777777" w:rsidR="00251D8C" w:rsidRDefault="00251D8C" w:rsidP="00251D8C">
      <w:pPr>
        <w:jc w:val="center"/>
        <w:rPr>
          <w:rFonts w:cs="Arial"/>
          <w:b/>
          <w:sz w:val="28"/>
          <w:szCs w:val="28"/>
          <w:lang w:val="en-US"/>
        </w:rPr>
      </w:pPr>
      <w:r w:rsidRPr="00403F56">
        <w:rPr>
          <w:rFonts w:cs="Arial"/>
          <w:b/>
          <w:sz w:val="28"/>
          <w:szCs w:val="28"/>
          <w:lang w:val="en-US"/>
        </w:rPr>
        <w:t>Legal status of Ramsar Regional Initiatives</w:t>
      </w:r>
    </w:p>
    <w:p w14:paraId="2A95BEBA" w14:textId="77777777" w:rsidR="00F677F0" w:rsidRPr="00CC210F" w:rsidRDefault="00F677F0" w:rsidP="00F677F0">
      <w:pPr>
        <w:rPr>
          <w:rFonts w:ascii="Garamond" w:hAnsi="Garamond" w:cs="Arial"/>
          <w:color w:val="000000" w:themeColor="text1"/>
          <w:lang w:val="en-US"/>
        </w:rPr>
      </w:pPr>
    </w:p>
    <w:p w14:paraId="4DC2B1EC" w14:textId="77777777" w:rsidR="00F677F0" w:rsidRPr="00251D8C" w:rsidRDefault="00F677F0" w:rsidP="00F677F0">
      <w:pPr>
        <w:autoSpaceDE w:val="0"/>
        <w:autoSpaceDN w:val="0"/>
        <w:adjustRightInd w:val="0"/>
        <w:rPr>
          <w:rFonts w:cs="Calibri-Bold"/>
          <w:b/>
          <w:bCs/>
          <w:color w:val="000000" w:themeColor="text1"/>
          <w:lang w:val="en-GB"/>
        </w:rPr>
      </w:pPr>
      <w:r w:rsidRPr="00CC210F">
        <w:rPr>
          <w:noProof/>
          <w:color w:val="000000" w:themeColor="text1"/>
          <w:lang w:val="en-GB" w:eastAsia="en-GB"/>
        </w:rPr>
        <mc:AlternateContent>
          <mc:Choice Requires="wps">
            <w:drawing>
              <wp:inline distT="0" distB="0" distL="0" distR="0" wp14:anchorId="41308818" wp14:editId="1D5FC85E">
                <wp:extent cx="5555088" cy="762000"/>
                <wp:effectExtent l="0" t="0" r="26670" b="1905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088" cy="762000"/>
                        </a:xfrm>
                        <a:prstGeom prst="rect">
                          <a:avLst/>
                        </a:prstGeom>
                        <a:solidFill>
                          <a:srgbClr val="FFFFFF"/>
                        </a:solidFill>
                        <a:ln w="9525">
                          <a:solidFill>
                            <a:srgbClr val="000000"/>
                          </a:solidFill>
                          <a:miter lim="800000"/>
                          <a:headEnd/>
                          <a:tailEnd/>
                        </a:ln>
                      </wps:spPr>
                      <wps:txbx>
                        <w:txbxContent>
                          <w:p w14:paraId="43193405" w14:textId="77777777" w:rsidR="002F09C6" w:rsidRPr="00F677F0" w:rsidRDefault="002F09C6" w:rsidP="00F677F0">
                            <w:pPr>
                              <w:rPr>
                                <w:b/>
                                <w:bCs/>
                                <w:lang w:val="en-US"/>
                              </w:rPr>
                            </w:pPr>
                            <w:r w:rsidRPr="00F677F0">
                              <w:rPr>
                                <w:b/>
                                <w:bCs/>
                                <w:lang w:val="en-US"/>
                              </w:rPr>
                              <w:t xml:space="preserve">Actions requested: </w:t>
                            </w:r>
                          </w:p>
                          <w:p w14:paraId="38ED89A5" w14:textId="77777777" w:rsidR="002F09C6" w:rsidRPr="00A57205" w:rsidRDefault="002F09C6" w:rsidP="00F677F0">
                            <w:pPr>
                              <w:pStyle w:val="ColorfulList-Accent11"/>
                              <w:ind w:left="0"/>
                              <w:rPr>
                                <w:color w:val="000000" w:themeColor="text1"/>
                              </w:rPr>
                            </w:pPr>
                          </w:p>
                          <w:p w14:paraId="526B6C49" w14:textId="22789F7D" w:rsidR="002F09C6" w:rsidRDefault="002F09C6" w:rsidP="00CC210F">
                            <w:pPr>
                              <w:pStyle w:val="ColorfulList-Accent11"/>
                              <w:ind w:left="0" w:firstLine="0"/>
                              <w:rPr>
                                <w:rFonts w:cs="Calibri"/>
                                <w:color w:val="000000" w:themeColor="text1"/>
                              </w:rPr>
                            </w:pPr>
                            <w:r w:rsidRPr="00A57205">
                              <w:rPr>
                                <w:color w:val="000000" w:themeColor="text1"/>
                              </w:rPr>
                              <w:t xml:space="preserve">The Standing Committee is </w:t>
                            </w:r>
                            <w:r w:rsidRPr="00A57205">
                              <w:rPr>
                                <w:rFonts w:cs="Calibri"/>
                                <w:color w:val="000000" w:themeColor="text1"/>
                              </w:rPr>
                              <w:t>invited to take note of the contents of this document</w:t>
                            </w:r>
                            <w:r>
                              <w:rPr>
                                <w:rFonts w:cs="Calibri"/>
                                <w:color w:val="000000" w:themeColor="text1"/>
                              </w:rPr>
                              <w:t>.</w:t>
                            </w:r>
                          </w:p>
                          <w:p w14:paraId="341765A1" w14:textId="4B7431A2" w:rsidR="002F09C6" w:rsidRPr="002E0D40" w:rsidRDefault="002F09C6" w:rsidP="002E0D40">
                            <w:pPr>
                              <w:pStyle w:val="ColorfulList-Accent11"/>
                              <w:ind w:left="360" w:firstLine="0"/>
                              <w:rPr>
                                <w:rFonts w:cs="Calibri"/>
                                <w:color w:val="000000" w:themeColor="text1"/>
                              </w:rPr>
                            </w:pPr>
                          </w:p>
                          <w:p w14:paraId="499A7AA4" w14:textId="0DEA5F04" w:rsidR="002F09C6" w:rsidRDefault="002F09C6" w:rsidP="00F677F0">
                            <w:pPr>
                              <w:pStyle w:val="ColorfulList-Accent11"/>
                              <w:ind w:left="709" w:hanging="349"/>
                            </w:pPr>
                          </w:p>
                        </w:txbxContent>
                      </wps:txbx>
                      <wps:bodyPr rot="0" vert="horz" wrap="square" lIns="91440" tIns="45720" rIns="91440" bIns="45720" anchor="t" anchorCtr="0" upright="1">
                        <a:noAutofit/>
                      </wps:bodyPr>
                    </wps:wsp>
                  </a:graphicData>
                </a:graphic>
              </wp:inline>
            </w:drawing>
          </mc:Choice>
          <mc:Fallback>
            <w:pict>
              <v:shapetype w14:anchorId="41308818" id="_x0000_t202" coordsize="21600,21600" o:spt="202" path="m,l,21600r21600,l21600,xe">
                <v:stroke joinstyle="miter"/>
                <v:path gradientshapeok="t" o:connecttype="rect"/>
              </v:shapetype>
              <v:shape id="Text Box 1" o:spid="_x0000_s1026" type="#_x0000_t202" style="width:437.4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">
                <v:textbox>
                  <w:txbxContent>
                    <w:p w14:paraId="43193405" w14:textId="77777777" w:rsidR="002F09C6" w:rsidRPr="00F677F0" w:rsidRDefault="002F09C6" w:rsidP="00F677F0">
                      <w:pPr>
                        <w:rPr>
                          <w:b/>
                          <w:bCs/>
                          <w:lang w:val="en-US"/>
                        </w:rPr>
                      </w:pPr>
                      <w:r w:rsidRPr="00F677F0">
                        <w:rPr>
                          <w:b/>
                          <w:bCs/>
                          <w:lang w:val="en-US"/>
                        </w:rPr>
                        <w:t xml:space="preserve">Actions requested: </w:t>
                      </w:r>
                    </w:p>
                    <w:p w14:paraId="38ED89A5" w14:textId="77777777" w:rsidR="002F09C6" w:rsidRPr="00A57205" w:rsidRDefault="002F09C6" w:rsidP="00F677F0">
                      <w:pPr>
                        <w:pStyle w:val="ColorfulList-Accent11"/>
                        <w:ind w:left="0"/>
                        <w:rPr>
                          <w:color w:val="000000" w:themeColor="text1"/>
                        </w:rPr>
                      </w:pPr>
                    </w:p>
                    <w:p w14:paraId="526B6C49" w14:textId="22789F7D" w:rsidR="002F09C6" w:rsidRDefault="002F09C6" w:rsidP="00CC210F">
                      <w:pPr>
                        <w:pStyle w:val="ColorfulList-Accent11"/>
                        <w:ind w:left="0" w:firstLine="0"/>
                        <w:rPr>
                          <w:rFonts w:cs="Calibri"/>
                          <w:color w:val="000000" w:themeColor="text1"/>
                        </w:rPr>
                      </w:pPr>
                      <w:r w:rsidRPr="00A57205">
                        <w:rPr>
                          <w:color w:val="000000" w:themeColor="text1"/>
                        </w:rPr>
                        <w:t xml:space="preserve">The Standing Committee is </w:t>
                      </w:r>
                      <w:r w:rsidRPr="00A57205">
                        <w:rPr>
                          <w:rFonts w:cs="Calibri"/>
                          <w:color w:val="000000" w:themeColor="text1"/>
                        </w:rPr>
                        <w:t>invited to take note of the contents of this document</w:t>
                      </w:r>
                      <w:r>
                        <w:rPr>
                          <w:rFonts w:cs="Calibri"/>
                          <w:color w:val="000000" w:themeColor="text1"/>
                        </w:rPr>
                        <w:t>.</w:t>
                      </w:r>
                    </w:p>
                    <w:p w14:paraId="341765A1" w14:textId="4B7431A2" w:rsidR="002F09C6" w:rsidRPr="002E0D40" w:rsidRDefault="002F09C6" w:rsidP="002E0D40">
                      <w:pPr>
                        <w:pStyle w:val="ColorfulList-Accent11"/>
                        <w:ind w:left="360" w:firstLine="0"/>
                        <w:rPr>
                          <w:rFonts w:cs="Calibri"/>
                          <w:color w:val="000000" w:themeColor="text1"/>
                        </w:rPr>
                      </w:pPr>
                    </w:p>
                    <w:p w14:paraId="499A7AA4" w14:textId="0DEA5F04" w:rsidR="002F09C6" w:rsidRDefault="002F09C6" w:rsidP="00F677F0">
                      <w:pPr>
                        <w:pStyle w:val="ColorfulList-Accent11"/>
                        <w:ind w:left="709" w:hanging="349"/>
                      </w:pPr>
                    </w:p>
                  </w:txbxContent>
                </v:textbox>
                <w10:anchorlock/>
              </v:shape>
            </w:pict>
          </mc:Fallback>
        </mc:AlternateContent>
      </w:r>
    </w:p>
    <w:p w14:paraId="38C2B671" w14:textId="77777777" w:rsidR="00D77A67" w:rsidRPr="00CC210F" w:rsidRDefault="00D77A67" w:rsidP="00D77A67">
      <w:pPr>
        <w:rPr>
          <w:rFonts w:cs="Arial"/>
          <w:color w:val="000000" w:themeColor="text1"/>
          <w:sz w:val="22"/>
          <w:szCs w:val="22"/>
          <w:lang w:val="en-US"/>
        </w:rPr>
      </w:pPr>
    </w:p>
    <w:p w14:paraId="1BE08956" w14:textId="77777777" w:rsidR="0072076D" w:rsidRPr="00CC210F" w:rsidRDefault="0072076D" w:rsidP="00D77A67">
      <w:pPr>
        <w:rPr>
          <w:rFonts w:ascii="Arial" w:hAnsi="Arial" w:cs="Arial"/>
          <w:color w:val="000000" w:themeColor="text1"/>
          <w:sz w:val="22"/>
          <w:szCs w:val="22"/>
          <w:lang w:val="en-US"/>
        </w:rPr>
      </w:pPr>
    </w:p>
    <w:p w14:paraId="1D7C4404" w14:textId="74735D59" w:rsidR="00F677F0" w:rsidRPr="00251D8C" w:rsidRDefault="00251D8C" w:rsidP="00251D8C">
      <w:pPr>
        <w:ind w:left="425" w:hanging="425"/>
        <w:rPr>
          <w:color w:val="000000" w:themeColor="text1"/>
          <w:sz w:val="22"/>
          <w:szCs w:val="22"/>
          <w:lang w:val="en-US"/>
        </w:rPr>
      </w:pPr>
      <w:r>
        <w:rPr>
          <w:color w:val="000000" w:themeColor="text1"/>
          <w:sz w:val="22"/>
          <w:szCs w:val="22"/>
          <w:lang w:val="en-US"/>
        </w:rPr>
        <w:t>1.</w:t>
      </w:r>
      <w:r>
        <w:rPr>
          <w:color w:val="000000" w:themeColor="text1"/>
          <w:sz w:val="22"/>
          <w:szCs w:val="22"/>
          <w:lang w:val="en-US"/>
        </w:rPr>
        <w:tab/>
      </w:r>
      <w:r w:rsidR="00F677F0" w:rsidRPr="00251D8C">
        <w:rPr>
          <w:color w:val="000000" w:themeColor="text1"/>
          <w:sz w:val="22"/>
          <w:szCs w:val="22"/>
          <w:lang w:val="en-US"/>
        </w:rPr>
        <w:t xml:space="preserve">This document has been prepared by the Legal </w:t>
      </w:r>
      <w:r w:rsidR="00AD790D" w:rsidRPr="00251D8C">
        <w:rPr>
          <w:color w:val="000000" w:themeColor="text1"/>
          <w:sz w:val="22"/>
          <w:szCs w:val="22"/>
          <w:lang w:val="en-US"/>
        </w:rPr>
        <w:t>Advis</w:t>
      </w:r>
      <w:r w:rsidR="00AD790D">
        <w:rPr>
          <w:color w:val="000000" w:themeColor="text1"/>
          <w:sz w:val="22"/>
          <w:szCs w:val="22"/>
          <w:lang w:val="en-US"/>
        </w:rPr>
        <w:t>o</w:t>
      </w:r>
      <w:r w:rsidR="00AD790D" w:rsidRPr="00251D8C">
        <w:rPr>
          <w:color w:val="000000" w:themeColor="text1"/>
          <w:sz w:val="22"/>
          <w:szCs w:val="22"/>
          <w:lang w:val="en-US"/>
        </w:rPr>
        <w:t xml:space="preserve">r </w:t>
      </w:r>
      <w:r w:rsidR="00CC210F" w:rsidRPr="00251D8C">
        <w:rPr>
          <w:color w:val="000000" w:themeColor="text1"/>
          <w:sz w:val="22"/>
          <w:szCs w:val="22"/>
          <w:lang w:val="en-US"/>
        </w:rPr>
        <w:t xml:space="preserve">with input </w:t>
      </w:r>
      <w:r w:rsidR="00D240AD" w:rsidRPr="00251D8C">
        <w:rPr>
          <w:color w:val="000000" w:themeColor="text1"/>
          <w:sz w:val="22"/>
          <w:szCs w:val="22"/>
          <w:lang w:val="en-US"/>
        </w:rPr>
        <w:t xml:space="preserve">from the Secretariat and </w:t>
      </w:r>
      <w:r w:rsidR="00CC210F" w:rsidRPr="00251D8C">
        <w:rPr>
          <w:color w:val="000000" w:themeColor="text1"/>
          <w:sz w:val="22"/>
          <w:szCs w:val="22"/>
          <w:lang w:val="en-US"/>
        </w:rPr>
        <w:t>the Working Group</w:t>
      </w:r>
      <w:r w:rsidR="00F677F0" w:rsidRPr="00251D8C">
        <w:rPr>
          <w:color w:val="000000" w:themeColor="text1"/>
          <w:sz w:val="22"/>
          <w:szCs w:val="22"/>
          <w:lang w:val="en-US"/>
        </w:rPr>
        <w:t>.</w:t>
      </w:r>
    </w:p>
    <w:p w14:paraId="20DDD044" w14:textId="77777777" w:rsidR="00D77A67" w:rsidRPr="00CC210F" w:rsidRDefault="00D77A67" w:rsidP="00D77A67">
      <w:pPr>
        <w:rPr>
          <w:rFonts w:cs="Arial"/>
          <w:color w:val="000000" w:themeColor="text1"/>
          <w:sz w:val="22"/>
          <w:szCs w:val="22"/>
          <w:lang w:val="en-US"/>
        </w:rPr>
      </w:pPr>
    </w:p>
    <w:p w14:paraId="18903EE9" w14:textId="4DE9E552" w:rsidR="00D77A67" w:rsidRPr="00CC210F" w:rsidRDefault="00EB4F56" w:rsidP="00D77A67">
      <w:pPr>
        <w:rPr>
          <w:rFonts w:cs="Arial"/>
          <w:b/>
          <w:color w:val="000000" w:themeColor="text1"/>
          <w:sz w:val="22"/>
          <w:szCs w:val="22"/>
          <w:lang w:val="en-US"/>
        </w:rPr>
      </w:pPr>
      <w:r w:rsidRPr="00CC210F">
        <w:rPr>
          <w:rFonts w:cs="Arial"/>
          <w:b/>
          <w:color w:val="000000" w:themeColor="text1"/>
          <w:sz w:val="22"/>
          <w:szCs w:val="22"/>
          <w:lang w:val="en-US"/>
        </w:rPr>
        <w:t>Background</w:t>
      </w:r>
    </w:p>
    <w:p w14:paraId="1A285946" w14:textId="77777777" w:rsidR="00D77A67" w:rsidRPr="00CC210F" w:rsidRDefault="00D77A67" w:rsidP="00D77A67">
      <w:pPr>
        <w:rPr>
          <w:rFonts w:cs="Arial"/>
          <w:color w:val="000000" w:themeColor="text1"/>
          <w:sz w:val="22"/>
          <w:szCs w:val="22"/>
          <w:lang w:val="en-US"/>
        </w:rPr>
      </w:pPr>
    </w:p>
    <w:p w14:paraId="2C4A3B2A" w14:textId="6AF87493" w:rsidR="00B1505F" w:rsidRPr="00251D8C" w:rsidRDefault="00B64932" w:rsidP="00251D8C">
      <w:pPr>
        <w:ind w:left="425" w:hanging="425"/>
        <w:rPr>
          <w:rFonts w:cs="Arial"/>
          <w:b/>
          <w:color w:val="000000" w:themeColor="text1"/>
          <w:sz w:val="22"/>
          <w:szCs w:val="22"/>
          <w:lang w:val="en-AU"/>
        </w:rPr>
      </w:pPr>
      <w:r>
        <w:rPr>
          <w:rFonts w:cs="Arial"/>
          <w:color w:val="000000" w:themeColor="text1"/>
          <w:sz w:val="22"/>
          <w:szCs w:val="22"/>
          <w:lang w:val="en-AU"/>
        </w:rPr>
        <w:t>2.</w:t>
      </w:r>
      <w:r>
        <w:rPr>
          <w:rFonts w:cs="Arial"/>
          <w:color w:val="000000" w:themeColor="text1"/>
          <w:sz w:val="22"/>
          <w:szCs w:val="22"/>
          <w:lang w:val="en-AU"/>
        </w:rPr>
        <w:tab/>
      </w:r>
      <w:r w:rsidR="00B1505F" w:rsidRPr="00251D8C">
        <w:rPr>
          <w:rFonts w:cs="Arial"/>
          <w:color w:val="000000" w:themeColor="text1"/>
          <w:sz w:val="22"/>
          <w:szCs w:val="22"/>
          <w:lang w:val="en-AU"/>
        </w:rPr>
        <w:t xml:space="preserve">Decision SC57-29 requested the Secretariat to seek further guidance from the </w:t>
      </w:r>
      <w:r w:rsidR="00AD790D">
        <w:rPr>
          <w:rFonts w:cs="Arial"/>
          <w:color w:val="000000" w:themeColor="text1"/>
          <w:sz w:val="22"/>
          <w:szCs w:val="22"/>
          <w:lang w:val="en-AU"/>
        </w:rPr>
        <w:t xml:space="preserve">Convention’s </w:t>
      </w:r>
      <w:r w:rsidR="00B1505F" w:rsidRPr="00251D8C">
        <w:rPr>
          <w:rFonts w:cs="Arial"/>
          <w:color w:val="000000" w:themeColor="text1"/>
          <w:sz w:val="22"/>
          <w:szCs w:val="22"/>
          <w:lang w:val="en-AU"/>
        </w:rPr>
        <w:t xml:space="preserve">Legal Advisor on the legal status of Ramsar Regional Initiatives </w:t>
      </w:r>
      <w:r w:rsidR="00A05106" w:rsidRPr="00251D8C">
        <w:rPr>
          <w:rFonts w:cs="Arial"/>
          <w:color w:val="000000" w:themeColor="text1"/>
          <w:sz w:val="22"/>
          <w:szCs w:val="22"/>
          <w:lang w:val="en-AU"/>
        </w:rPr>
        <w:t>(</w:t>
      </w:r>
      <w:r w:rsidR="00A05106" w:rsidRPr="00251D8C">
        <w:rPr>
          <w:rFonts w:cs="Arial"/>
          <w:b/>
          <w:color w:val="000000" w:themeColor="text1"/>
          <w:sz w:val="22"/>
          <w:szCs w:val="22"/>
          <w:lang w:val="en-AU"/>
        </w:rPr>
        <w:t>RRIs</w:t>
      </w:r>
      <w:r w:rsidR="00A05106" w:rsidRPr="00251D8C">
        <w:rPr>
          <w:rFonts w:cs="Arial"/>
          <w:color w:val="000000" w:themeColor="text1"/>
          <w:sz w:val="22"/>
          <w:szCs w:val="22"/>
          <w:lang w:val="en-AU"/>
        </w:rPr>
        <w:t xml:space="preserve">) </w:t>
      </w:r>
      <w:r w:rsidR="00B1505F" w:rsidRPr="00251D8C">
        <w:rPr>
          <w:rFonts w:cs="Arial"/>
          <w:color w:val="000000" w:themeColor="text1"/>
          <w:sz w:val="22"/>
          <w:szCs w:val="22"/>
          <w:lang w:val="en-AU"/>
        </w:rPr>
        <w:t>and report back to SC58.</w:t>
      </w:r>
      <w:r w:rsidR="008E6926" w:rsidRPr="00251D8C">
        <w:rPr>
          <w:rFonts w:cs="Arial"/>
          <w:color w:val="000000" w:themeColor="text1"/>
          <w:sz w:val="22"/>
          <w:szCs w:val="22"/>
          <w:lang w:val="en-AU"/>
        </w:rPr>
        <w:t xml:space="preserve"> The ad</w:t>
      </w:r>
      <w:r w:rsidR="007D155A" w:rsidRPr="00251D8C">
        <w:rPr>
          <w:rFonts w:cs="Arial"/>
          <w:color w:val="000000" w:themeColor="text1"/>
          <w:sz w:val="22"/>
          <w:szCs w:val="22"/>
          <w:lang w:val="en-AU"/>
        </w:rPr>
        <w:t>vice provided</w:t>
      </w:r>
      <w:r w:rsidR="008E6926" w:rsidRPr="00251D8C">
        <w:rPr>
          <w:rFonts w:cs="Arial"/>
          <w:color w:val="000000" w:themeColor="text1"/>
          <w:sz w:val="22"/>
          <w:szCs w:val="22"/>
          <w:lang w:val="en-AU"/>
        </w:rPr>
        <w:t xml:space="preserve"> by the Legal Advisor is set out in </w:t>
      </w:r>
      <w:r w:rsidR="008E6926" w:rsidRPr="00251D8C">
        <w:rPr>
          <w:rFonts w:cs="Arial"/>
          <w:b/>
          <w:color w:val="000000" w:themeColor="text1"/>
          <w:sz w:val="22"/>
          <w:szCs w:val="22"/>
          <w:lang w:val="en-AU"/>
        </w:rPr>
        <w:t xml:space="preserve">Annex 1 </w:t>
      </w:r>
      <w:r w:rsidR="008E6926" w:rsidRPr="00251D8C">
        <w:rPr>
          <w:rFonts w:cs="Arial"/>
          <w:color w:val="000000" w:themeColor="text1"/>
          <w:sz w:val="22"/>
          <w:szCs w:val="22"/>
          <w:lang w:val="en-AU"/>
        </w:rPr>
        <w:t>of this document.</w:t>
      </w:r>
    </w:p>
    <w:p w14:paraId="17891D37" w14:textId="36CC8783" w:rsidR="00B1505F" w:rsidRPr="00CC210F" w:rsidRDefault="00B1505F" w:rsidP="00251D8C">
      <w:pPr>
        <w:ind w:left="425" w:hanging="425"/>
        <w:rPr>
          <w:rFonts w:cs="Arial"/>
          <w:b/>
          <w:color w:val="000000" w:themeColor="text1"/>
          <w:sz w:val="22"/>
          <w:szCs w:val="22"/>
          <w:lang w:val="en-AU"/>
        </w:rPr>
      </w:pPr>
      <w:r w:rsidRPr="00CC210F">
        <w:rPr>
          <w:rFonts w:cs="Arial"/>
          <w:color w:val="000000" w:themeColor="text1"/>
          <w:sz w:val="22"/>
          <w:szCs w:val="22"/>
          <w:lang w:val="en-AU"/>
        </w:rPr>
        <w:t xml:space="preserve"> </w:t>
      </w:r>
    </w:p>
    <w:p w14:paraId="18F5A262" w14:textId="0B38D9C5" w:rsidR="002D0B28" w:rsidRPr="00251D8C" w:rsidRDefault="00B64932" w:rsidP="00251D8C">
      <w:pPr>
        <w:ind w:left="425" w:hanging="425"/>
        <w:rPr>
          <w:rFonts w:cs="Arial"/>
          <w:b/>
          <w:color w:val="000000" w:themeColor="text1"/>
          <w:sz w:val="22"/>
          <w:szCs w:val="22"/>
          <w:lang w:val="en-AU"/>
        </w:rPr>
      </w:pPr>
      <w:r>
        <w:rPr>
          <w:rFonts w:cs="Arial"/>
          <w:color w:val="000000" w:themeColor="text1"/>
          <w:sz w:val="22"/>
          <w:szCs w:val="22"/>
          <w:lang w:val="en-AU"/>
        </w:rPr>
        <w:t>3.</w:t>
      </w:r>
      <w:r>
        <w:rPr>
          <w:rFonts w:cs="Arial"/>
          <w:color w:val="000000" w:themeColor="text1"/>
          <w:sz w:val="22"/>
          <w:szCs w:val="22"/>
          <w:lang w:val="en-AU"/>
        </w:rPr>
        <w:tab/>
      </w:r>
      <w:r w:rsidR="008E6926" w:rsidRPr="00251D8C">
        <w:rPr>
          <w:rFonts w:cs="Arial"/>
          <w:color w:val="000000" w:themeColor="text1"/>
          <w:sz w:val="22"/>
          <w:szCs w:val="22"/>
          <w:lang w:val="en-AU"/>
        </w:rPr>
        <w:t>As SC57-29 is very general in nature, it has been interpreted broadly so as to provide the Contracting Parties with as much relevant information as possible. To that, the advice</w:t>
      </w:r>
      <w:r w:rsidR="00B21420" w:rsidRPr="00251D8C">
        <w:rPr>
          <w:rFonts w:cs="Arial"/>
          <w:color w:val="000000" w:themeColor="text1"/>
          <w:sz w:val="22"/>
          <w:szCs w:val="22"/>
          <w:lang w:val="en-AU"/>
        </w:rPr>
        <w:t xml:space="preserve"> includes </w:t>
      </w:r>
      <w:r w:rsidR="008E6926" w:rsidRPr="00251D8C">
        <w:rPr>
          <w:rFonts w:cs="Arial"/>
          <w:color w:val="000000" w:themeColor="text1"/>
          <w:sz w:val="22"/>
          <w:szCs w:val="22"/>
          <w:lang w:val="en-AU"/>
        </w:rPr>
        <w:t xml:space="preserve">an </w:t>
      </w:r>
      <w:r w:rsidR="00982922" w:rsidRPr="00251D8C">
        <w:rPr>
          <w:rFonts w:cs="Arial"/>
          <w:color w:val="000000" w:themeColor="text1"/>
          <w:sz w:val="22"/>
          <w:szCs w:val="22"/>
          <w:lang w:val="en-AU"/>
        </w:rPr>
        <w:t xml:space="preserve">analysis of the implications for </w:t>
      </w:r>
      <w:r w:rsidR="002F1C66" w:rsidRPr="00251D8C">
        <w:rPr>
          <w:rFonts w:cs="Arial"/>
          <w:color w:val="000000" w:themeColor="text1"/>
          <w:sz w:val="22"/>
          <w:szCs w:val="22"/>
          <w:lang w:val="en-GB"/>
        </w:rPr>
        <w:t>the Convention on Wetlands (</w:t>
      </w:r>
      <w:r w:rsidR="002F1C66" w:rsidRPr="00251D8C">
        <w:rPr>
          <w:rFonts w:cs="Arial"/>
          <w:b/>
          <w:color w:val="000000" w:themeColor="text1"/>
          <w:sz w:val="22"/>
          <w:szCs w:val="22"/>
          <w:lang w:val="en-GB"/>
        </w:rPr>
        <w:t>Convention</w:t>
      </w:r>
      <w:r w:rsidR="002F1C66" w:rsidRPr="00251D8C">
        <w:rPr>
          <w:rFonts w:cs="Arial"/>
          <w:color w:val="000000" w:themeColor="text1"/>
          <w:sz w:val="22"/>
          <w:szCs w:val="22"/>
          <w:lang w:val="en-GB"/>
        </w:rPr>
        <w:t xml:space="preserve">) </w:t>
      </w:r>
      <w:r w:rsidR="007A0270" w:rsidRPr="00251D8C">
        <w:rPr>
          <w:rFonts w:cs="Arial"/>
          <w:color w:val="000000" w:themeColor="text1"/>
          <w:sz w:val="22"/>
          <w:szCs w:val="22"/>
          <w:lang w:val="en-GB"/>
        </w:rPr>
        <w:t>should one or more RRI adopt a formal legal structure under national or state laws,</w:t>
      </w:r>
      <w:r w:rsidR="007A0270" w:rsidRPr="00CC210F">
        <w:rPr>
          <w:rStyle w:val="FootnoteReference"/>
          <w:rFonts w:cs="Arial"/>
          <w:color w:val="000000" w:themeColor="text1"/>
          <w:sz w:val="22"/>
          <w:szCs w:val="22"/>
          <w:lang w:val="en-AU"/>
        </w:rPr>
        <w:footnoteReference w:id="1"/>
      </w:r>
      <w:r w:rsidR="007A0270" w:rsidRPr="00251D8C">
        <w:rPr>
          <w:rFonts w:cs="Arial"/>
          <w:color w:val="000000" w:themeColor="text1"/>
          <w:sz w:val="22"/>
          <w:szCs w:val="22"/>
          <w:lang w:val="en-GB"/>
        </w:rPr>
        <w:t xml:space="preserve"> which in turn confers legal personality. For the sake of completeness, </w:t>
      </w:r>
      <w:r w:rsidR="00982922" w:rsidRPr="00251D8C">
        <w:rPr>
          <w:rFonts w:cs="Arial"/>
          <w:color w:val="000000" w:themeColor="text1"/>
          <w:sz w:val="22"/>
          <w:szCs w:val="22"/>
          <w:lang w:val="en-GB"/>
        </w:rPr>
        <w:t>it also considers the</w:t>
      </w:r>
      <w:r w:rsidR="007A0270" w:rsidRPr="00251D8C">
        <w:rPr>
          <w:rFonts w:cs="Arial"/>
          <w:color w:val="000000" w:themeColor="text1"/>
          <w:sz w:val="22"/>
          <w:szCs w:val="22"/>
          <w:lang w:val="en-GB"/>
        </w:rPr>
        <w:t xml:space="preserve"> implications for the Convention of a RRI becoming formally recognised as an international organisation and obtaining international legal personality</w:t>
      </w:r>
      <w:r w:rsidR="00A23D4F" w:rsidRPr="00251D8C">
        <w:rPr>
          <w:rFonts w:cs="Arial"/>
          <w:color w:val="000000" w:themeColor="text1"/>
          <w:sz w:val="22"/>
          <w:szCs w:val="22"/>
          <w:lang w:val="en-GB"/>
        </w:rPr>
        <w:t>, or becoming a member of, or being granted observer status to, an international organisation.</w:t>
      </w:r>
      <w:r w:rsidR="007A0270" w:rsidRPr="00251D8C">
        <w:rPr>
          <w:rFonts w:cs="Arial"/>
          <w:color w:val="000000" w:themeColor="text1"/>
          <w:sz w:val="22"/>
          <w:szCs w:val="22"/>
          <w:lang w:val="en-GB"/>
        </w:rPr>
        <w:t xml:space="preserve"> </w:t>
      </w:r>
    </w:p>
    <w:p w14:paraId="226335D0" w14:textId="77777777" w:rsidR="002F1C66" w:rsidRPr="00CC210F" w:rsidRDefault="002F1C66" w:rsidP="00251D8C">
      <w:pPr>
        <w:pStyle w:val="ListParagraph"/>
        <w:ind w:left="425" w:hanging="425"/>
        <w:rPr>
          <w:rFonts w:cs="Arial"/>
          <w:b/>
          <w:color w:val="000000" w:themeColor="text1"/>
          <w:sz w:val="22"/>
          <w:szCs w:val="22"/>
          <w:lang w:val="en-AU"/>
        </w:rPr>
      </w:pPr>
    </w:p>
    <w:p w14:paraId="5314267B" w14:textId="4445FAFE" w:rsidR="002F1C66" w:rsidRPr="00251D8C" w:rsidRDefault="00B64932" w:rsidP="00251D8C">
      <w:pPr>
        <w:ind w:left="425" w:hanging="425"/>
        <w:rPr>
          <w:rFonts w:cs="Arial"/>
          <w:b/>
          <w:color w:val="000000" w:themeColor="text1"/>
          <w:sz w:val="22"/>
          <w:szCs w:val="22"/>
          <w:lang w:val="en-AU"/>
        </w:rPr>
      </w:pPr>
      <w:r>
        <w:rPr>
          <w:rFonts w:cs="Arial"/>
          <w:color w:val="000000" w:themeColor="text1"/>
          <w:sz w:val="22"/>
          <w:szCs w:val="22"/>
          <w:lang w:val="en-AU"/>
        </w:rPr>
        <w:t>4.</w:t>
      </w:r>
      <w:r>
        <w:rPr>
          <w:rFonts w:cs="Arial"/>
          <w:color w:val="000000" w:themeColor="text1"/>
          <w:sz w:val="22"/>
          <w:szCs w:val="22"/>
          <w:lang w:val="en-AU"/>
        </w:rPr>
        <w:tab/>
      </w:r>
      <w:r w:rsidR="00982922" w:rsidRPr="00251D8C">
        <w:rPr>
          <w:rFonts w:cs="Arial"/>
          <w:color w:val="000000" w:themeColor="text1"/>
          <w:sz w:val="22"/>
          <w:szCs w:val="22"/>
          <w:lang w:val="en-AU"/>
        </w:rPr>
        <w:t>To clarify, it was beyond the s</w:t>
      </w:r>
      <w:r w:rsidR="007F1428" w:rsidRPr="00251D8C">
        <w:rPr>
          <w:rFonts w:cs="Arial"/>
          <w:color w:val="000000" w:themeColor="text1"/>
          <w:sz w:val="22"/>
          <w:szCs w:val="22"/>
          <w:lang w:val="en-AU"/>
        </w:rPr>
        <w:t>cop</w:t>
      </w:r>
      <w:r w:rsidR="00982922" w:rsidRPr="00251D8C">
        <w:rPr>
          <w:rFonts w:cs="Arial"/>
          <w:color w:val="000000" w:themeColor="text1"/>
          <w:sz w:val="22"/>
          <w:szCs w:val="22"/>
          <w:lang w:val="en-AU"/>
        </w:rPr>
        <w:t xml:space="preserve">e of the advice and the expertise of the Legal Advisor to analyse </w:t>
      </w:r>
      <w:r w:rsidR="002F1C66" w:rsidRPr="00251D8C">
        <w:rPr>
          <w:rFonts w:cs="Arial"/>
          <w:color w:val="000000" w:themeColor="text1"/>
          <w:sz w:val="22"/>
          <w:szCs w:val="22"/>
          <w:lang w:val="en-AU"/>
        </w:rPr>
        <w:t>the laws</w:t>
      </w:r>
      <w:r w:rsidR="005F6182" w:rsidRPr="00251D8C">
        <w:rPr>
          <w:rFonts w:cs="Arial"/>
          <w:color w:val="000000" w:themeColor="text1"/>
          <w:sz w:val="22"/>
          <w:szCs w:val="22"/>
          <w:lang w:val="en-AU"/>
        </w:rPr>
        <w:t xml:space="preserve"> concerning </w:t>
      </w:r>
      <w:r w:rsidR="007A0270" w:rsidRPr="00251D8C">
        <w:rPr>
          <w:rFonts w:cs="Arial"/>
          <w:color w:val="000000" w:themeColor="text1"/>
          <w:sz w:val="22"/>
          <w:szCs w:val="22"/>
          <w:lang w:val="en-AU"/>
        </w:rPr>
        <w:t xml:space="preserve">corporate structure and </w:t>
      </w:r>
      <w:r w:rsidR="005F6182" w:rsidRPr="00251D8C">
        <w:rPr>
          <w:rFonts w:cs="Arial"/>
          <w:color w:val="000000" w:themeColor="text1"/>
          <w:sz w:val="22"/>
          <w:szCs w:val="22"/>
          <w:lang w:val="en-AU"/>
        </w:rPr>
        <w:t>legal personality</w:t>
      </w:r>
      <w:r w:rsidR="002F1C66" w:rsidRPr="00251D8C">
        <w:rPr>
          <w:rFonts w:cs="Arial"/>
          <w:color w:val="000000" w:themeColor="text1"/>
          <w:sz w:val="22"/>
          <w:szCs w:val="22"/>
          <w:lang w:val="en-AU"/>
        </w:rPr>
        <w:t xml:space="preserve"> in each relevant jurisdiction and to provide advice as to a suitable str</w:t>
      </w:r>
      <w:r w:rsidR="00A93E7F" w:rsidRPr="00251D8C">
        <w:rPr>
          <w:rFonts w:cs="Arial"/>
          <w:color w:val="000000" w:themeColor="text1"/>
          <w:sz w:val="22"/>
          <w:szCs w:val="22"/>
          <w:lang w:val="en-AU"/>
        </w:rPr>
        <w:t>ucture for the</w:t>
      </w:r>
      <w:r w:rsidR="002F1C66" w:rsidRPr="00251D8C">
        <w:rPr>
          <w:rFonts w:cs="Arial"/>
          <w:color w:val="000000" w:themeColor="text1"/>
          <w:sz w:val="22"/>
          <w:szCs w:val="22"/>
          <w:lang w:val="en-AU"/>
        </w:rPr>
        <w:t xml:space="preserve"> RRIs</w:t>
      </w:r>
      <w:r w:rsidR="00A93E7F" w:rsidRPr="00251D8C">
        <w:rPr>
          <w:rFonts w:cs="Arial"/>
          <w:color w:val="000000" w:themeColor="text1"/>
          <w:sz w:val="22"/>
          <w:szCs w:val="22"/>
          <w:lang w:val="en-AU"/>
        </w:rPr>
        <w:t xml:space="preserve"> located within these jurisdictions</w:t>
      </w:r>
      <w:r w:rsidR="002F1C66" w:rsidRPr="00251D8C">
        <w:rPr>
          <w:rFonts w:cs="Arial"/>
          <w:color w:val="000000" w:themeColor="text1"/>
          <w:sz w:val="22"/>
          <w:szCs w:val="22"/>
          <w:lang w:val="en-AU"/>
        </w:rPr>
        <w:t>. If such advice is deemed necessary and appropriate by Contracting Part</w:t>
      </w:r>
      <w:r w:rsidR="00A23D4F" w:rsidRPr="00251D8C">
        <w:rPr>
          <w:rFonts w:cs="Arial"/>
          <w:color w:val="000000" w:themeColor="text1"/>
          <w:sz w:val="22"/>
          <w:szCs w:val="22"/>
          <w:lang w:val="en-AU"/>
        </w:rPr>
        <w:t>ies,</w:t>
      </w:r>
      <w:r w:rsidR="002F1C66" w:rsidRPr="00251D8C">
        <w:rPr>
          <w:rFonts w:cs="Arial"/>
          <w:color w:val="000000" w:themeColor="text1"/>
          <w:sz w:val="22"/>
          <w:szCs w:val="22"/>
          <w:lang w:val="en-AU"/>
        </w:rPr>
        <w:t xml:space="preserve"> </w:t>
      </w:r>
      <w:r w:rsidR="005F6182" w:rsidRPr="00251D8C">
        <w:rPr>
          <w:rFonts w:cs="Arial"/>
          <w:color w:val="000000" w:themeColor="text1"/>
          <w:sz w:val="22"/>
          <w:szCs w:val="22"/>
          <w:lang w:val="en-AU"/>
        </w:rPr>
        <w:t>th</w:t>
      </w:r>
      <w:r w:rsidR="00A23D4F" w:rsidRPr="00251D8C">
        <w:rPr>
          <w:rFonts w:cs="Arial"/>
          <w:color w:val="000000" w:themeColor="text1"/>
          <w:sz w:val="22"/>
          <w:szCs w:val="22"/>
          <w:lang w:val="en-AU"/>
        </w:rPr>
        <w:t>ose</w:t>
      </w:r>
      <w:r w:rsidR="005F6182" w:rsidRPr="00251D8C">
        <w:rPr>
          <w:rFonts w:cs="Arial"/>
          <w:color w:val="000000" w:themeColor="text1"/>
          <w:sz w:val="22"/>
          <w:szCs w:val="22"/>
          <w:lang w:val="en-AU"/>
        </w:rPr>
        <w:t xml:space="preserve"> Part</w:t>
      </w:r>
      <w:r w:rsidR="00A23D4F" w:rsidRPr="00251D8C">
        <w:rPr>
          <w:rFonts w:cs="Arial"/>
          <w:color w:val="000000" w:themeColor="text1"/>
          <w:sz w:val="22"/>
          <w:szCs w:val="22"/>
          <w:lang w:val="en-AU"/>
        </w:rPr>
        <w:t>ies</w:t>
      </w:r>
      <w:r w:rsidR="005F6182" w:rsidRPr="00251D8C">
        <w:rPr>
          <w:rFonts w:cs="Arial"/>
          <w:color w:val="000000" w:themeColor="text1"/>
          <w:sz w:val="22"/>
          <w:szCs w:val="22"/>
          <w:lang w:val="en-AU"/>
        </w:rPr>
        <w:t xml:space="preserve"> should consider </w:t>
      </w:r>
      <w:r w:rsidR="002B2248" w:rsidRPr="00251D8C">
        <w:rPr>
          <w:rFonts w:cs="Arial"/>
          <w:color w:val="000000" w:themeColor="text1"/>
          <w:sz w:val="22"/>
          <w:szCs w:val="22"/>
          <w:lang w:val="en-AU"/>
        </w:rPr>
        <w:t>engaging</w:t>
      </w:r>
      <w:r w:rsidR="002F1C66" w:rsidRPr="00251D8C">
        <w:rPr>
          <w:rFonts w:cs="Arial"/>
          <w:color w:val="000000" w:themeColor="text1"/>
          <w:sz w:val="22"/>
          <w:szCs w:val="22"/>
          <w:lang w:val="en-AU"/>
        </w:rPr>
        <w:t xml:space="preserve"> a local lawyer with suitable expertise in these matters. </w:t>
      </w:r>
    </w:p>
    <w:p w14:paraId="4715262F" w14:textId="77777777" w:rsidR="005F6182" w:rsidRPr="00CC210F" w:rsidRDefault="005F6182" w:rsidP="00251D8C">
      <w:pPr>
        <w:ind w:left="425" w:hanging="425"/>
        <w:rPr>
          <w:rFonts w:cs="Arial"/>
          <w:b/>
          <w:color w:val="000000" w:themeColor="text1"/>
          <w:sz w:val="22"/>
          <w:szCs w:val="22"/>
          <w:lang w:val="en-AU"/>
        </w:rPr>
      </w:pPr>
    </w:p>
    <w:p w14:paraId="1166A953" w14:textId="4867B943" w:rsidR="005F6182" w:rsidRPr="00251D8C" w:rsidRDefault="00B64932" w:rsidP="00251D8C">
      <w:pPr>
        <w:ind w:left="425" w:hanging="425"/>
        <w:rPr>
          <w:rFonts w:cs="Arial"/>
          <w:b/>
          <w:color w:val="000000" w:themeColor="text1"/>
          <w:sz w:val="22"/>
          <w:szCs w:val="22"/>
          <w:lang w:val="en-AU"/>
        </w:rPr>
      </w:pPr>
      <w:r>
        <w:rPr>
          <w:rFonts w:cs="Arial"/>
          <w:color w:val="000000" w:themeColor="text1"/>
          <w:sz w:val="22"/>
          <w:szCs w:val="22"/>
          <w:lang w:val="en-AU"/>
        </w:rPr>
        <w:t>5.</w:t>
      </w:r>
      <w:r>
        <w:rPr>
          <w:rFonts w:cs="Arial"/>
          <w:color w:val="000000" w:themeColor="text1"/>
          <w:sz w:val="22"/>
          <w:szCs w:val="22"/>
          <w:lang w:val="en-AU"/>
        </w:rPr>
        <w:tab/>
      </w:r>
      <w:r w:rsidR="005F6182" w:rsidRPr="00251D8C">
        <w:rPr>
          <w:rFonts w:cs="Arial"/>
          <w:color w:val="000000" w:themeColor="text1"/>
          <w:sz w:val="22"/>
          <w:szCs w:val="22"/>
          <w:lang w:val="en-AU"/>
        </w:rPr>
        <w:t xml:space="preserve">However, </w:t>
      </w:r>
      <w:r w:rsidR="00982922" w:rsidRPr="00251D8C">
        <w:rPr>
          <w:rFonts w:cs="Arial"/>
          <w:color w:val="000000" w:themeColor="text1"/>
          <w:sz w:val="22"/>
          <w:szCs w:val="22"/>
          <w:lang w:val="en-AU"/>
        </w:rPr>
        <w:t>the advice does draw on</w:t>
      </w:r>
      <w:r w:rsidR="005F6182" w:rsidRPr="00251D8C">
        <w:rPr>
          <w:rFonts w:cs="Arial"/>
          <w:color w:val="000000" w:themeColor="text1"/>
          <w:sz w:val="22"/>
          <w:szCs w:val="22"/>
          <w:lang w:val="en-AU"/>
        </w:rPr>
        <w:t xml:space="preserve"> general principles concerning legal persona</w:t>
      </w:r>
      <w:r w:rsidR="00A93E7F" w:rsidRPr="00251D8C">
        <w:rPr>
          <w:rFonts w:cs="Arial"/>
          <w:color w:val="000000" w:themeColor="text1"/>
          <w:sz w:val="22"/>
          <w:szCs w:val="22"/>
          <w:lang w:val="en-AU"/>
        </w:rPr>
        <w:t xml:space="preserve">lity to illustrate </w:t>
      </w:r>
      <w:r w:rsidR="007A0270" w:rsidRPr="00251D8C">
        <w:rPr>
          <w:rFonts w:cs="Arial"/>
          <w:color w:val="000000" w:themeColor="text1"/>
          <w:sz w:val="22"/>
          <w:szCs w:val="22"/>
          <w:lang w:val="en-AU"/>
        </w:rPr>
        <w:t xml:space="preserve">the </w:t>
      </w:r>
      <w:r w:rsidR="00A93E7F" w:rsidRPr="00251D8C">
        <w:rPr>
          <w:rFonts w:cs="Arial"/>
          <w:color w:val="000000" w:themeColor="text1"/>
          <w:sz w:val="22"/>
          <w:szCs w:val="22"/>
          <w:lang w:val="en-AU"/>
        </w:rPr>
        <w:t xml:space="preserve">possible implications for the Convention of RRIs being formally accorded this status under relevant national or state </w:t>
      </w:r>
      <w:r w:rsidR="00B127EC" w:rsidRPr="00251D8C">
        <w:rPr>
          <w:rFonts w:cs="Arial"/>
          <w:color w:val="000000" w:themeColor="text1"/>
          <w:sz w:val="22"/>
          <w:szCs w:val="22"/>
          <w:lang w:val="en-AU"/>
        </w:rPr>
        <w:t>or laws</w:t>
      </w:r>
      <w:r w:rsidR="004304D4" w:rsidRPr="00251D8C">
        <w:rPr>
          <w:rFonts w:cs="Arial"/>
          <w:color w:val="000000" w:themeColor="text1"/>
          <w:sz w:val="22"/>
          <w:szCs w:val="22"/>
          <w:lang w:val="en-AU"/>
        </w:rPr>
        <w:t>.</w:t>
      </w:r>
      <w:r w:rsidR="004304D4" w:rsidRPr="00CC210F">
        <w:rPr>
          <w:rStyle w:val="FootnoteReference"/>
          <w:rFonts w:cs="Arial"/>
          <w:color w:val="000000" w:themeColor="text1"/>
          <w:sz w:val="22"/>
          <w:szCs w:val="22"/>
          <w:lang w:val="en-AU"/>
        </w:rPr>
        <w:footnoteReference w:id="2"/>
      </w:r>
      <w:r w:rsidR="004304D4" w:rsidRPr="00251D8C">
        <w:rPr>
          <w:rFonts w:cs="Arial"/>
          <w:color w:val="000000" w:themeColor="text1"/>
          <w:sz w:val="22"/>
          <w:szCs w:val="22"/>
          <w:lang w:val="en-AU"/>
        </w:rPr>
        <w:t xml:space="preserve"> </w:t>
      </w:r>
    </w:p>
    <w:p w14:paraId="49221D90" w14:textId="77777777" w:rsidR="00D23916" w:rsidRPr="00CC210F" w:rsidRDefault="00D23916" w:rsidP="00251D8C">
      <w:pPr>
        <w:ind w:left="425" w:hanging="425"/>
        <w:rPr>
          <w:rFonts w:cs="Arial"/>
          <w:b/>
          <w:color w:val="000000" w:themeColor="text1"/>
          <w:sz w:val="22"/>
          <w:szCs w:val="22"/>
          <w:lang w:val="en-AU"/>
        </w:rPr>
      </w:pPr>
    </w:p>
    <w:p w14:paraId="45E8DF61" w14:textId="1094C11B" w:rsidR="00251D8C" w:rsidRPr="00251D8C" w:rsidRDefault="00B64932" w:rsidP="00251D8C">
      <w:pPr>
        <w:ind w:left="425" w:hanging="425"/>
        <w:rPr>
          <w:rFonts w:cs="Arial"/>
          <w:b/>
          <w:color w:val="000000" w:themeColor="text1"/>
          <w:sz w:val="22"/>
          <w:szCs w:val="22"/>
          <w:lang w:val="en-AU"/>
        </w:rPr>
      </w:pPr>
      <w:r>
        <w:rPr>
          <w:rFonts w:cs="Arial"/>
          <w:color w:val="000000" w:themeColor="text1"/>
          <w:sz w:val="22"/>
          <w:szCs w:val="22"/>
          <w:lang w:val="en-AU"/>
        </w:rPr>
        <w:t>6.</w:t>
      </w:r>
      <w:r>
        <w:rPr>
          <w:rFonts w:cs="Arial"/>
          <w:color w:val="000000" w:themeColor="text1"/>
          <w:sz w:val="22"/>
          <w:szCs w:val="22"/>
          <w:lang w:val="en-AU"/>
        </w:rPr>
        <w:tab/>
      </w:r>
      <w:r w:rsidR="00D23916" w:rsidRPr="00251D8C">
        <w:rPr>
          <w:rFonts w:cs="Arial"/>
          <w:color w:val="000000" w:themeColor="text1"/>
          <w:sz w:val="22"/>
          <w:szCs w:val="22"/>
          <w:lang w:val="en-AU"/>
        </w:rPr>
        <w:t xml:space="preserve">This </w:t>
      </w:r>
      <w:r w:rsidR="0077566C" w:rsidRPr="00251D8C">
        <w:rPr>
          <w:rFonts w:cs="Arial"/>
          <w:color w:val="000000" w:themeColor="text1"/>
          <w:sz w:val="22"/>
          <w:szCs w:val="22"/>
          <w:lang w:val="en-AU"/>
        </w:rPr>
        <w:t xml:space="preserve">legal </w:t>
      </w:r>
      <w:r w:rsidR="00D23916" w:rsidRPr="00251D8C">
        <w:rPr>
          <w:rFonts w:cs="Arial"/>
          <w:color w:val="000000" w:themeColor="text1"/>
          <w:sz w:val="22"/>
          <w:szCs w:val="22"/>
          <w:lang w:val="en-AU"/>
        </w:rPr>
        <w:t>advice i</w:t>
      </w:r>
      <w:r w:rsidR="00F921DB" w:rsidRPr="00251D8C">
        <w:rPr>
          <w:rFonts w:cs="Arial"/>
          <w:color w:val="000000" w:themeColor="text1"/>
          <w:sz w:val="22"/>
          <w:szCs w:val="22"/>
          <w:lang w:val="en-AU"/>
        </w:rPr>
        <w:t>s</w:t>
      </w:r>
      <w:r w:rsidR="00D23916" w:rsidRPr="00251D8C">
        <w:rPr>
          <w:rFonts w:cs="Arial"/>
          <w:color w:val="000000" w:themeColor="text1"/>
          <w:sz w:val="22"/>
          <w:szCs w:val="22"/>
          <w:lang w:val="en-AU"/>
        </w:rPr>
        <w:t xml:space="preserve"> independent </w:t>
      </w:r>
      <w:r w:rsidR="00F921DB" w:rsidRPr="00251D8C">
        <w:rPr>
          <w:rFonts w:cs="Arial"/>
          <w:color w:val="000000" w:themeColor="text1"/>
          <w:sz w:val="22"/>
          <w:szCs w:val="22"/>
          <w:lang w:val="en-AU"/>
        </w:rPr>
        <w:t>and does not seek to</w:t>
      </w:r>
      <w:r w:rsidR="00D23916" w:rsidRPr="00251D8C">
        <w:rPr>
          <w:rFonts w:cs="Arial"/>
          <w:color w:val="000000" w:themeColor="text1"/>
          <w:sz w:val="22"/>
          <w:szCs w:val="22"/>
          <w:lang w:val="en-AU"/>
        </w:rPr>
        <w:t xml:space="preserve"> advanc</w:t>
      </w:r>
      <w:r w:rsidR="00F921DB" w:rsidRPr="00251D8C">
        <w:rPr>
          <w:rFonts w:cs="Arial"/>
          <w:color w:val="000000" w:themeColor="text1"/>
          <w:sz w:val="22"/>
          <w:szCs w:val="22"/>
          <w:lang w:val="en-AU"/>
        </w:rPr>
        <w:t>e</w:t>
      </w:r>
      <w:r w:rsidR="00D23916" w:rsidRPr="00251D8C">
        <w:rPr>
          <w:rFonts w:cs="Arial"/>
          <w:color w:val="000000" w:themeColor="text1"/>
          <w:sz w:val="22"/>
          <w:szCs w:val="22"/>
          <w:lang w:val="en-AU"/>
        </w:rPr>
        <w:t xml:space="preserve"> a particular view as to whether </w:t>
      </w:r>
      <w:r w:rsidR="00722411" w:rsidRPr="00251D8C">
        <w:rPr>
          <w:rFonts w:cs="Arial"/>
          <w:color w:val="000000" w:themeColor="text1"/>
          <w:sz w:val="22"/>
          <w:szCs w:val="22"/>
          <w:lang w:val="en-AU"/>
        </w:rPr>
        <w:t>RRIs shoul</w:t>
      </w:r>
      <w:r w:rsidR="00A57A13" w:rsidRPr="00251D8C">
        <w:rPr>
          <w:rFonts w:cs="Arial"/>
          <w:color w:val="000000" w:themeColor="text1"/>
          <w:sz w:val="22"/>
          <w:szCs w:val="22"/>
          <w:lang w:val="en-AU"/>
        </w:rPr>
        <w:t>d adopt a legal structure or otherwise</w:t>
      </w:r>
      <w:r w:rsidR="00722411" w:rsidRPr="00251D8C">
        <w:rPr>
          <w:rFonts w:cs="Arial"/>
          <w:color w:val="000000" w:themeColor="text1"/>
          <w:sz w:val="22"/>
          <w:szCs w:val="22"/>
          <w:lang w:val="en-AU"/>
        </w:rPr>
        <w:t xml:space="preserve">. Rather, it is intended to provide the Contracting Parties with sufficient information </w:t>
      </w:r>
      <w:r w:rsidR="00A57A13" w:rsidRPr="00251D8C">
        <w:rPr>
          <w:rFonts w:cs="Arial"/>
          <w:color w:val="000000" w:themeColor="text1"/>
          <w:sz w:val="22"/>
          <w:szCs w:val="22"/>
          <w:lang w:val="en-AU"/>
        </w:rPr>
        <w:t xml:space="preserve">so that they can </w:t>
      </w:r>
      <w:r w:rsidR="002642F0" w:rsidRPr="00251D8C">
        <w:rPr>
          <w:rFonts w:cs="Arial"/>
          <w:color w:val="000000" w:themeColor="text1"/>
          <w:sz w:val="22"/>
          <w:szCs w:val="22"/>
          <w:lang w:val="en-AU"/>
        </w:rPr>
        <w:t>contemplate</w:t>
      </w:r>
      <w:r w:rsidR="00DD3358" w:rsidRPr="00251D8C">
        <w:rPr>
          <w:rFonts w:cs="Arial"/>
          <w:color w:val="000000" w:themeColor="text1"/>
          <w:sz w:val="22"/>
          <w:szCs w:val="22"/>
          <w:lang w:val="en-AU"/>
        </w:rPr>
        <w:t xml:space="preserve"> the nature and governance of </w:t>
      </w:r>
      <w:r w:rsidR="00A57A13" w:rsidRPr="00251D8C">
        <w:rPr>
          <w:rFonts w:cs="Arial"/>
          <w:color w:val="000000" w:themeColor="text1"/>
          <w:sz w:val="22"/>
          <w:szCs w:val="22"/>
          <w:lang w:val="en-AU"/>
        </w:rPr>
        <w:t>RRIs</w:t>
      </w:r>
      <w:r w:rsidR="0077566C" w:rsidRPr="00251D8C">
        <w:rPr>
          <w:rFonts w:cs="Arial"/>
          <w:color w:val="000000" w:themeColor="text1"/>
          <w:sz w:val="22"/>
          <w:szCs w:val="22"/>
          <w:lang w:val="en-AU"/>
        </w:rPr>
        <w:t>.</w:t>
      </w:r>
      <w:r w:rsidR="00C660BC" w:rsidRPr="00251D8C">
        <w:rPr>
          <w:rFonts w:cs="Arial"/>
          <w:color w:val="000000" w:themeColor="text1"/>
          <w:sz w:val="22"/>
          <w:szCs w:val="22"/>
          <w:lang w:val="en-AU"/>
        </w:rPr>
        <w:t xml:space="preserve"> </w:t>
      </w:r>
      <w:r w:rsidR="00251D8C" w:rsidRPr="00251D8C">
        <w:rPr>
          <w:rFonts w:cs="Arial"/>
          <w:b/>
          <w:color w:val="000000" w:themeColor="text1"/>
          <w:sz w:val="22"/>
          <w:szCs w:val="22"/>
          <w:lang w:val="en-AU"/>
        </w:rPr>
        <w:br w:type="page"/>
      </w:r>
    </w:p>
    <w:p w14:paraId="3FE9F046" w14:textId="64590385" w:rsidR="007D155A" w:rsidRPr="00251D8C" w:rsidRDefault="007D155A" w:rsidP="00251D8C">
      <w:pPr>
        <w:rPr>
          <w:rFonts w:cs="Arial"/>
          <w:b/>
          <w:lang w:val="en-AU"/>
        </w:rPr>
      </w:pPr>
      <w:r w:rsidRPr="00251D8C">
        <w:rPr>
          <w:rFonts w:cs="Arial"/>
          <w:b/>
          <w:lang w:val="en-AU"/>
        </w:rPr>
        <w:lastRenderedPageBreak/>
        <w:t>Annex 1</w:t>
      </w:r>
    </w:p>
    <w:p w14:paraId="31AB7038" w14:textId="77777777" w:rsidR="005F6182" w:rsidRPr="007F1C1D" w:rsidRDefault="005F6182" w:rsidP="005F6182">
      <w:pPr>
        <w:rPr>
          <w:rFonts w:cs="Arial"/>
          <w:b/>
          <w:sz w:val="22"/>
          <w:szCs w:val="22"/>
          <w:lang w:val="en-AU"/>
        </w:rPr>
      </w:pPr>
    </w:p>
    <w:p w14:paraId="18FCD682" w14:textId="2F307446" w:rsidR="002D0B28" w:rsidRPr="007F1C1D" w:rsidRDefault="002D0B28" w:rsidP="007D155A">
      <w:pPr>
        <w:pStyle w:val="ListParagraph"/>
        <w:numPr>
          <w:ilvl w:val="0"/>
          <w:numId w:val="31"/>
        </w:numPr>
        <w:rPr>
          <w:rFonts w:cs="Arial"/>
          <w:b/>
          <w:sz w:val="22"/>
          <w:szCs w:val="22"/>
          <w:lang w:val="en-AU"/>
        </w:rPr>
      </w:pPr>
      <w:r w:rsidRPr="007F1C1D">
        <w:rPr>
          <w:rFonts w:cs="Arial"/>
          <w:sz w:val="22"/>
          <w:szCs w:val="22"/>
          <w:lang w:val="en-AU"/>
        </w:rPr>
        <w:t>T</w:t>
      </w:r>
      <w:r w:rsidR="000F2B2D" w:rsidRPr="007F1C1D">
        <w:rPr>
          <w:rFonts w:cs="Arial"/>
          <w:sz w:val="22"/>
          <w:szCs w:val="22"/>
          <w:lang w:val="en-AU"/>
        </w:rPr>
        <w:t>his advice</w:t>
      </w:r>
      <w:r w:rsidR="007A0270" w:rsidRPr="007F1C1D">
        <w:rPr>
          <w:rFonts w:cs="Arial"/>
          <w:sz w:val="22"/>
          <w:szCs w:val="22"/>
          <w:lang w:val="en-AU"/>
        </w:rPr>
        <w:t xml:space="preserve"> is divided into six</w:t>
      </w:r>
      <w:r w:rsidR="008D6C02" w:rsidRPr="007F1C1D">
        <w:rPr>
          <w:rFonts w:cs="Arial"/>
          <w:sz w:val="22"/>
          <w:szCs w:val="22"/>
          <w:lang w:val="en-AU"/>
        </w:rPr>
        <w:t xml:space="preserve"> </w:t>
      </w:r>
      <w:r w:rsidRPr="007F1C1D">
        <w:rPr>
          <w:rFonts w:cs="Arial"/>
          <w:sz w:val="22"/>
          <w:szCs w:val="22"/>
          <w:lang w:val="en-AU"/>
        </w:rPr>
        <w:t>parts:</w:t>
      </w:r>
    </w:p>
    <w:p w14:paraId="36BDFB9D" w14:textId="77777777" w:rsidR="002D0B28" w:rsidRPr="007F1C1D" w:rsidRDefault="002D0B28" w:rsidP="002D0B28">
      <w:pPr>
        <w:rPr>
          <w:rFonts w:cs="Arial"/>
          <w:b/>
          <w:sz w:val="22"/>
          <w:szCs w:val="22"/>
          <w:lang w:val="en-AU"/>
        </w:rPr>
      </w:pPr>
    </w:p>
    <w:p w14:paraId="316A8D54" w14:textId="77777777" w:rsidR="005A6408" w:rsidRPr="007F1C1D" w:rsidRDefault="002D0B28" w:rsidP="005A6408">
      <w:pPr>
        <w:pStyle w:val="ListParagraph"/>
        <w:numPr>
          <w:ilvl w:val="0"/>
          <w:numId w:val="20"/>
        </w:numPr>
        <w:rPr>
          <w:rFonts w:cs="Arial"/>
          <w:b/>
          <w:sz w:val="22"/>
          <w:szCs w:val="22"/>
          <w:lang w:val="en-AU"/>
        </w:rPr>
      </w:pPr>
      <w:r w:rsidRPr="007F1C1D">
        <w:rPr>
          <w:rFonts w:cs="Arial"/>
          <w:b/>
          <w:sz w:val="22"/>
          <w:szCs w:val="22"/>
          <w:lang w:val="en-AU"/>
        </w:rPr>
        <w:t>Part 1: Executive Summary</w:t>
      </w:r>
    </w:p>
    <w:p w14:paraId="5FBC9A71" w14:textId="77777777" w:rsidR="001E468C" w:rsidRPr="007F1C1D" w:rsidRDefault="002E5656" w:rsidP="00F40427">
      <w:pPr>
        <w:pStyle w:val="ListParagraph"/>
        <w:numPr>
          <w:ilvl w:val="0"/>
          <w:numId w:val="20"/>
        </w:numPr>
        <w:rPr>
          <w:rFonts w:cs="Arial"/>
          <w:b/>
          <w:sz w:val="22"/>
          <w:szCs w:val="22"/>
          <w:lang w:val="en-AU"/>
        </w:rPr>
      </w:pPr>
      <w:r w:rsidRPr="007F1C1D">
        <w:rPr>
          <w:rFonts w:cs="Arial"/>
          <w:b/>
          <w:sz w:val="22"/>
          <w:szCs w:val="22"/>
          <w:lang w:val="en-AU"/>
        </w:rPr>
        <w:t xml:space="preserve">Part </w:t>
      </w:r>
      <w:r w:rsidR="001E468C" w:rsidRPr="007F1C1D">
        <w:rPr>
          <w:rFonts w:cs="Arial"/>
          <w:b/>
          <w:sz w:val="22"/>
          <w:szCs w:val="22"/>
          <w:lang w:val="en-AU"/>
        </w:rPr>
        <w:t>2</w:t>
      </w:r>
      <w:r w:rsidR="00F40427" w:rsidRPr="007F1C1D">
        <w:rPr>
          <w:rFonts w:cs="Arial"/>
          <w:b/>
          <w:sz w:val="22"/>
          <w:szCs w:val="22"/>
          <w:lang w:val="en-AU"/>
        </w:rPr>
        <w:t>: Relevant Recommendations, Resolutions and Decisions</w:t>
      </w:r>
    </w:p>
    <w:p w14:paraId="40F26F17" w14:textId="77777777" w:rsidR="00446DD5" w:rsidRPr="007F1C1D" w:rsidRDefault="00446DD5" w:rsidP="001E468C">
      <w:pPr>
        <w:pStyle w:val="ListParagraph"/>
        <w:numPr>
          <w:ilvl w:val="0"/>
          <w:numId w:val="20"/>
        </w:numPr>
        <w:rPr>
          <w:rFonts w:cs="Arial"/>
          <w:b/>
          <w:sz w:val="22"/>
          <w:szCs w:val="22"/>
          <w:lang w:val="en-AU"/>
        </w:rPr>
      </w:pPr>
      <w:r w:rsidRPr="007F1C1D">
        <w:rPr>
          <w:rFonts w:cs="Arial"/>
          <w:b/>
          <w:sz w:val="22"/>
          <w:szCs w:val="22"/>
          <w:lang w:val="en-AU"/>
        </w:rPr>
        <w:t>Part 3: Current status of RRIs under the Convention</w:t>
      </w:r>
    </w:p>
    <w:p w14:paraId="1CF56389" w14:textId="5F332576" w:rsidR="00446DD5" w:rsidRPr="007F1C1D" w:rsidRDefault="00446DD5" w:rsidP="00446DD5">
      <w:pPr>
        <w:pStyle w:val="ListParagraph"/>
        <w:numPr>
          <w:ilvl w:val="0"/>
          <w:numId w:val="20"/>
        </w:numPr>
        <w:rPr>
          <w:rFonts w:cs="Arial"/>
          <w:b/>
          <w:sz w:val="22"/>
          <w:szCs w:val="22"/>
          <w:lang w:val="en-AU"/>
        </w:rPr>
      </w:pPr>
      <w:r w:rsidRPr="007F1C1D">
        <w:rPr>
          <w:rFonts w:cs="Arial"/>
          <w:b/>
          <w:sz w:val="22"/>
          <w:szCs w:val="22"/>
          <w:lang w:val="en-AU"/>
        </w:rPr>
        <w:t xml:space="preserve">Part 4: Legal personality: the fundamentals   </w:t>
      </w:r>
    </w:p>
    <w:p w14:paraId="33266415" w14:textId="5B012415" w:rsidR="002E5656" w:rsidRPr="007F1C1D" w:rsidRDefault="00446DD5" w:rsidP="002E5656">
      <w:pPr>
        <w:pStyle w:val="ListParagraph"/>
        <w:numPr>
          <w:ilvl w:val="0"/>
          <w:numId w:val="20"/>
        </w:numPr>
        <w:rPr>
          <w:rFonts w:cs="Arial"/>
          <w:b/>
          <w:sz w:val="22"/>
          <w:szCs w:val="22"/>
          <w:lang w:val="en-AU"/>
        </w:rPr>
      </w:pPr>
      <w:r w:rsidRPr="007F1C1D">
        <w:rPr>
          <w:rFonts w:cs="Arial"/>
          <w:b/>
          <w:sz w:val="22"/>
          <w:szCs w:val="22"/>
          <w:lang w:val="en-AU"/>
        </w:rPr>
        <w:t>Part 5</w:t>
      </w:r>
      <w:r w:rsidR="002E5656" w:rsidRPr="007F1C1D">
        <w:rPr>
          <w:rFonts w:cs="Arial"/>
          <w:b/>
          <w:sz w:val="22"/>
          <w:szCs w:val="22"/>
          <w:lang w:val="en-AU"/>
        </w:rPr>
        <w:t>: The implications</w:t>
      </w:r>
      <w:r w:rsidR="003317F5" w:rsidRPr="007F1C1D">
        <w:rPr>
          <w:rFonts w:cs="Arial"/>
          <w:b/>
          <w:sz w:val="22"/>
          <w:szCs w:val="22"/>
          <w:lang w:val="en-AU"/>
        </w:rPr>
        <w:t xml:space="preserve"> for the Convention</w:t>
      </w:r>
      <w:r w:rsidR="002E5656" w:rsidRPr="007F1C1D">
        <w:rPr>
          <w:rFonts w:cs="Arial"/>
          <w:b/>
          <w:sz w:val="22"/>
          <w:szCs w:val="22"/>
          <w:lang w:val="en-AU"/>
        </w:rPr>
        <w:t xml:space="preserve"> of RRIs being granted legal personality </w:t>
      </w:r>
    </w:p>
    <w:p w14:paraId="62DA4A06" w14:textId="4BFE5F0D" w:rsidR="001F287E" w:rsidRPr="007F1C1D" w:rsidRDefault="00446DD5" w:rsidP="002E5656">
      <w:pPr>
        <w:pStyle w:val="ListParagraph"/>
        <w:numPr>
          <w:ilvl w:val="0"/>
          <w:numId w:val="20"/>
        </w:numPr>
        <w:rPr>
          <w:rFonts w:cs="Arial"/>
          <w:b/>
          <w:sz w:val="22"/>
          <w:szCs w:val="22"/>
          <w:lang w:val="en-AU"/>
        </w:rPr>
      </w:pPr>
      <w:r w:rsidRPr="007F1C1D">
        <w:rPr>
          <w:rFonts w:cs="Arial"/>
          <w:b/>
          <w:sz w:val="22"/>
          <w:szCs w:val="22"/>
          <w:lang w:val="en-AU"/>
        </w:rPr>
        <w:t>Part 6</w:t>
      </w:r>
      <w:r w:rsidR="00C54165" w:rsidRPr="007F1C1D">
        <w:rPr>
          <w:rFonts w:cs="Arial"/>
          <w:b/>
          <w:sz w:val="22"/>
          <w:szCs w:val="22"/>
          <w:lang w:val="en-AU"/>
        </w:rPr>
        <w:t xml:space="preserve">: </w:t>
      </w:r>
      <w:r w:rsidR="00CC210F">
        <w:rPr>
          <w:rFonts w:cs="Arial"/>
          <w:b/>
          <w:sz w:val="22"/>
          <w:szCs w:val="22"/>
          <w:lang w:val="en-AU"/>
        </w:rPr>
        <w:t xml:space="preserve">Considerations </w:t>
      </w:r>
      <w:r w:rsidR="001F287E" w:rsidRPr="007F1C1D">
        <w:rPr>
          <w:rFonts w:cs="Arial"/>
          <w:b/>
          <w:sz w:val="22"/>
          <w:szCs w:val="22"/>
          <w:lang w:val="en-AU"/>
        </w:rPr>
        <w:t xml:space="preserve"> </w:t>
      </w:r>
    </w:p>
    <w:p w14:paraId="6854FC45" w14:textId="77777777" w:rsidR="00B127EC" w:rsidRPr="007F1C1D" w:rsidRDefault="00B127EC" w:rsidP="0077344E">
      <w:pPr>
        <w:rPr>
          <w:rFonts w:cs="Arial"/>
          <w:b/>
          <w:sz w:val="22"/>
          <w:szCs w:val="22"/>
          <w:lang w:val="en-AU"/>
        </w:rPr>
      </w:pPr>
    </w:p>
    <w:p w14:paraId="7ABF8FDE" w14:textId="77777777" w:rsidR="00D77A67" w:rsidRPr="007F1C1D" w:rsidRDefault="00F40427" w:rsidP="00D77A67">
      <w:pPr>
        <w:rPr>
          <w:rFonts w:cs="Arial"/>
          <w:b/>
          <w:sz w:val="22"/>
          <w:szCs w:val="22"/>
          <w:lang w:val="en-AU"/>
        </w:rPr>
      </w:pPr>
      <w:r w:rsidRPr="007F1C1D">
        <w:rPr>
          <w:rFonts w:cs="Arial"/>
          <w:b/>
          <w:sz w:val="22"/>
          <w:szCs w:val="22"/>
          <w:lang w:val="en-AU"/>
        </w:rPr>
        <w:t xml:space="preserve">Part 1: </w:t>
      </w:r>
      <w:r w:rsidR="00D77A67" w:rsidRPr="007F1C1D">
        <w:rPr>
          <w:rFonts w:cs="Arial"/>
          <w:b/>
          <w:sz w:val="22"/>
          <w:szCs w:val="22"/>
          <w:lang w:val="en-AU"/>
        </w:rPr>
        <w:t xml:space="preserve">Executive Summary </w:t>
      </w:r>
    </w:p>
    <w:p w14:paraId="21FF2379" w14:textId="77777777" w:rsidR="00D77A67" w:rsidRPr="007F1C1D" w:rsidRDefault="00D77A67" w:rsidP="00D77A67">
      <w:pPr>
        <w:rPr>
          <w:rFonts w:cs="Arial"/>
          <w:b/>
          <w:sz w:val="22"/>
          <w:szCs w:val="22"/>
          <w:lang w:val="en-AU"/>
        </w:rPr>
      </w:pPr>
    </w:p>
    <w:p w14:paraId="1413A0D0" w14:textId="37D2C26D" w:rsidR="003A7881" w:rsidRDefault="003A7881" w:rsidP="007D155A">
      <w:pPr>
        <w:pStyle w:val="ListParagraph"/>
        <w:numPr>
          <w:ilvl w:val="0"/>
          <w:numId w:val="31"/>
        </w:numPr>
        <w:rPr>
          <w:rFonts w:cs="Arial"/>
          <w:b/>
          <w:sz w:val="22"/>
          <w:szCs w:val="22"/>
          <w:lang w:val="en-AU"/>
        </w:rPr>
      </w:pPr>
      <w:r w:rsidRPr="007F1C1D">
        <w:rPr>
          <w:rFonts w:cs="Arial"/>
          <w:sz w:val="22"/>
          <w:szCs w:val="22"/>
          <w:lang w:val="en-AU"/>
        </w:rPr>
        <w:t xml:space="preserve">In </w:t>
      </w:r>
      <w:r>
        <w:rPr>
          <w:rFonts w:cs="Arial"/>
          <w:sz w:val="22"/>
          <w:szCs w:val="22"/>
          <w:lang w:val="en-AU"/>
        </w:rPr>
        <w:t xml:space="preserve">order to complete this advice, the </w:t>
      </w:r>
      <w:r w:rsidRPr="007F1C1D">
        <w:rPr>
          <w:rFonts w:cs="Arial"/>
          <w:sz w:val="22"/>
          <w:szCs w:val="22"/>
          <w:lang w:val="en-AU"/>
        </w:rPr>
        <w:t xml:space="preserve">Recommendations and Resolutions of the Conference of the Parties </w:t>
      </w:r>
      <w:r>
        <w:rPr>
          <w:rFonts w:cs="Arial"/>
          <w:sz w:val="22"/>
          <w:szCs w:val="22"/>
          <w:lang w:val="en-AU"/>
        </w:rPr>
        <w:t>(</w:t>
      </w:r>
      <w:r w:rsidRPr="003A7881">
        <w:rPr>
          <w:rFonts w:cs="Arial"/>
          <w:b/>
          <w:sz w:val="22"/>
          <w:szCs w:val="22"/>
          <w:lang w:val="en-AU"/>
        </w:rPr>
        <w:t>Recommendations and Resolutions</w:t>
      </w:r>
      <w:r>
        <w:rPr>
          <w:rFonts w:cs="Arial"/>
          <w:sz w:val="22"/>
          <w:szCs w:val="22"/>
          <w:lang w:val="en-AU"/>
        </w:rPr>
        <w:t xml:space="preserve">) </w:t>
      </w:r>
      <w:r w:rsidRPr="007F1C1D">
        <w:rPr>
          <w:rFonts w:cs="Arial"/>
          <w:sz w:val="22"/>
          <w:szCs w:val="22"/>
          <w:lang w:val="en-AU"/>
        </w:rPr>
        <w:t>and Standing Committee Decisions (</w:t>
      </w:r>
      <w:r w:rsidRPr="007F1C1D">
        <w:rPr>
          <w:rFonts w:cs="Arial"/>
          <w:b/>
          <w:sz w:val="22"/>
          <w:szCs w:val="22"/>
          <w:lang w:val="en-AU"/>
        </w:rPr>
        <w:t>SC Decisions</w:t>
      </w:r>
      <w:r w:rsidRPr="007F1C1D">
        <w:rPr>
          <w:rFonts w:cs="Arial"/>
          <w:sz w:val="22"/>
          <w:szCs w:val="22"/>
          <w:lang w:val="en-AU"/>
        </w:rPr>
        <w:t xml:space="preserve">) set out in </w:t>
      </w:r>
      <w:r>
        <w:rPr>
          <w:rFonts w:cs="Arial"/>
          <w:b/>
          <w:sz w:val="22"/>
          <w:szCs w:val="22"/>
          <w:lang w:val="en-AU"/>
        </w:rPr>
        <w:t>Appendix</w:t>
      </w:r>
      <w:r w:rsidRPr="007F1C1D">
        <w:rPr>
          <w:rFonts w:cs="Arial"/>
          <w:b/>
          <w:sz w:val="22"/>
          <w:szCs w:val="22"/>
          <w:lang w:val="en-AU"/>
        </w:rPr>
        <w:t xml:space="preserve"> </w:t>
      </w:r>
      <w:r>
        <w:rPr>
          <w:rFonts w:cs="Arial"/>
          <w:b/>
          <w:sz w:val="22"/>
          <w:szCs w:val="22"/>
          <w:lang w:val="en-AU"/>
        </w:rPr>
        <w:t>1</w:t>
      </w:r>
      <w:r w:rsidRPr="007F1C1D">
        <w:rPr>
          <w:rFonts w:cs="Arial"/>
          <w:sz w:val="22"/>
          <w:szCs w:val="22"/>
          <w:lang w:val="en-AU"/>
        </w:rPr>
        <w:t xml:space="preserve"> of this </w:t>
      </w:r>
      <w:r>
        <w:rPr>
          <w:rFonts w:cs="Arial"/>
          <w:sz w:val="22"/>
          <w:szCs w:val="22"/>
          <w:lang w:val="en-AU"/>
        </w:rPr>
        <w:t xml:space="preserve">document were identified as relevant and accordingly analysed.  </w:t>
      </w:r>
    </w:p>
    <w:p w14:paraId="4914A822" w14:textId="77777777" w:rsidR="003A7881" w:rsidRPr="003A7881" w:rsidRDefault="003A7881" w:rsidP="003A7881">
      <w:pPr>
        <w:rPr>
          <w:rFonts w:cs="Arial"/>
          <w:b/>
          <w:sz w:val="22"/>
          <w:szCs w:val="22"/>
          <w:lang w:val="en-AU"/>
        </w:rPr>
      </w:pPr>
    </w:p>
    <w:p w14:paraId="77530878" w14:textId="0FB1B333" w:rsidR="00BA34FD" w:rsidRPr="00CC210F" w:rsidRDefault="00B127EC" w:rsidP="007D155A">
      <w:pPr>
        <w:pStyle w:val="ListParagraph"/>
        <w:numPr>
          <w:ilvl w:val="0"/>
          <w:numId w:val="31"/>
        </w:numPr>
        <w:rPr>
          <w:rFonts w:cs="Arial"/>
          <w:b/>
          <w:sz w:val="22"/>
          <w:szCs w:val="22"/>
          <w:lang w:val="en-AU"/>
        </w:rPr>
      </w:pPr>
      <w:r w:rsidRPr="007F1C1D">
        <w:rPr>
          <w:rFonts w:cs="Arial"/>
          <w:sz w:val="22"/>
          <w:szCs w:val="22"/>
          <w:lang w:val="en-AU"/>
        </w:rPr>
        <w:t xml:space="preserve">There are currently </w:t>
      </w:r>
      <w:r w:rsidR="0020380D" w:rsidRPr="007F1C1D">
        <w:rPr>
          <w:rFonts w:cs="Arial"/>
          <w:sz w:val="22"/>
          <w:szCs w:val="22"/>
          <w:lang w:val="en-AU"/>
        </w:rPr>
        <w:t xml:space="preserve">19 RRIs </w:t>
      </w:r>
      <w:r w:rsidRPr="007F1C1D">
        <w:rPr>
          <w:rFonts w:cs="Arial"/>
          <w:sz w:val="22"/>
          <w:szCs w:val="22"/>
          <w:lang w:val="en-AU"/>
        </w:rPr>
        <w:t>that have been</w:t>
      </w:r>
      <w:r w:rsidR="0020380D" w:rsidRPr="007F1C1D">
        <w:rPr>
          <w:rFonts w:cs="Arial"/>
          <w:sz w:val="22"/>
          <w:szCs w:val="22"/>
          <w:lang w:val="en-AU"/>
        </w:rPr>
        <w:t xml:space="preserve"> endorsed by the </w:t>
      </w:r>
      <w:r w:rsidR="003A7881">
        <w:rPr>
          <w:rFonts w:cs="Arial"/>
          <w:sz w:val="22"/>
          <w:szCs w:val="22"/>
          <w:lang w:val="en-AU"/>
        </w:rPr>
        <w:t>Conference of the Parties (</w:t>
      </w:r>
      <w:r w:rsidR="007F1428">
        <w:rPr>
          <w:rFonts w:cs="Arial"/>
          <w:b/>
          <w:sz w:val="22"/>
          <w:szCs w:val="22"/>
          <w:lang w:val="en-AU"/>
        </w:rPr>
        <w:t>COP</w:t>
      </w:r>
      <w:r w:rsidR="003A7881">
        <w:rPr>
          <w:rFonts w:cs="Arial"/>
          <w:sz w:val="22"/>
          <w:szCs w:val="22"/>
          <w:lang w:val="en-AU"/>
        </w:rPr>
        <w:t>)</w:t>
      </w:r>
      <w:r w:rsidR="0020380D" w:rsidRPr="007F1C1D">
        <w:rPr>
          <w:rFonts w:cs="Arial"/>
          <w:sz w:val="22"/>
          <w:szCs w:val="22"/>
          <w:lang w:val="en-AU"/>
        </w:rPr>
        <w:t xml:space="preserve"> as operating within the framework of the Convention.</w:t>
      </w:r>
      <w:r w:rsidRPr="007F1C1D">
        <w:rPr>
          <w:rFonts w:cs="Arial"/>
          <w:sz w:val="22"/>
          <w:szCs w:val="22"/>
          <w:lang w:val="en-AU"/>
        </w:rPr>
        <w:t xml:space="preserve"> </w:t>
      </w:r>
      <w:r w:rsidR="00BA34FD">
        <w:rPr>
          <w:rFonts w:cs="Arial"/>
          <w:sz w:val="22"/>
          <w:szCs w:val="22"/>
          <w:lang w:val="en-AU"/>
        </w:rPr>
        <w:t>These RRIs vary in their nature and struct</w:t>
      </w:r>
      <w:r w:rsidR="00715560">
        <w:rPr>
          <w:rFonts w:cs="Arial"/>
          <w:sz w:val="22"/>
          <w:szCs w:val="22"/>
          <w:lang w:val="en-AU"/>
        </w:rPr>
        <w:t>ure,</w:t>
      </w:r>
      <w:r w:rsidR="00F1441D">
        <w:rPr>
          <w:rFonts w:cs="Arial"/>
          <w:sz w:val="22"/>
          <w:szCs w:val="22"/>
          <w:lang w:val="en-AU"/>
        </w:rPr>
        <w:t xml:space="preserve"> but can be broadly divided into two categories: networks </w:t>
      </w:r>
      <w:r w:rsidR="008C78B2">
        <w:rPr>
          <w:rFonts w:cs="Arial"/>
          <w:sz w:val="22"/>
          <w:szCs w:val="22"/>
          <w:lang w:val="en-AU"/>
        </w:rPr>
        <w:t xml:space="preserve">for regional cooperation </w:t>
      </w:r>
      <w:r w:rsidR="00F1441D">
        <w:rPr>
          <w:rFonts w:cs="Arial"/>
          <w:sz w:val="22"/>
          <w:szCs w:val="22"/>
          <w:lang w:val="en-AU"/>
        </w:rPr>
        <w:t>and centres, respectively.</w:t>
      </w:r>
      <w:r w:rsidR="008C78B2">
        <w:rPr>
          <w:rStyle w:val="FootnoteReference"/>
          <w:rFonts w:cs="Arial"/>
          <w:sz w:val="22"/>
          <w:szCs w:val="22"/>
          <w:lang w:val="en-AU"/>
        </w:rPr>
        <w:footnoteReference w:id="3"/>
      </w:r>
      <w:r w:rsidR="00715560">
        <w:rPr>
          <w:rFonts w:cs="Arial"/>
          <w:sz w:val="22"/>
          <w:szCs w:val="22"/>
          <w:lang w:val="en-AU"/>
        </w:rPr>
        <w:t xml:space="preserve"> </w:t>
      </w:r>
      <w:r w:rsidR="00BC1B2C">
        <w:rPr>
          <w:rFonts w:cs="Arial"/>
          <w:sz w:val="22"/>
          <w:szCs w:val="22"/>
          <w:lang w:val="en-AU"/>
        </w:rPr>
        <w:t>Some are hosted by organisations,</w:t>
      </w:r>
      <w:r w:rsidR="00BC1B2C" w:rsidRPr="00BC1B2C">
        <w:rPr>
          <w:rStyle w:val="FootnoteReference"/>
          <w:rFonts w:cs="Arial"/>
          <w:sz w:val="22"/>
          <w:szCs w:val="22"/>
          <w:lang w:val="en-AU"/>
        </w:rPr>
        <w:t xml:space="preserve"> </w:t>
      </w:r>
      <w:r w:rsidR="00BC1B2C">
        <w:rPr>
          <w:rStyle w:val="FootnoteReference"/>
          <w:rFonts w:cs="Arial"/>
          <w:sz w:val="22"/>
          <w:szCs w:val="22"/>
          <w:lang w:val="en-AU"/>
        </w:rPr>
        <w:footnoteReference w:id="4"/>
      </w:r>
      <w:r w:rsidR="00BC1B2C">
        <w:rPr>
          <w:rFonts w:cs="Arial"/>
          <w:sz w:val="22"/>
          <w:szCs w:val="22"/>
          <w:lang w:val="en-AU"/>
        </w:rPr>
        <w:t xml:space="preserve"> others </w:t>
      </w:r>
      <w:r w:rsidR="00C346A2">
        <w:rPr>
          <w:rFonts w:cs="Arial"/>
          <w:sz w:val="22"/>
          <w:szCs w:val="22"/>
          <w:lang w:val="en-AU"/>
        </w:rPr>
        <w:t xml:space="preserve">are coordinated by </w:t>
      </w:r>
      <w:r w:rsidR="00147111">
        <w:rPr>
          <w:rFonts w:cs="Arial"/>
          <w:sz w:val="22"/>
          <w:szCs w:val="22"/>
          <w:lang w:val="en-AU"/>
        </w:rPr>
        <w:t xml:space="preserve">a </w:t>
      </w:r>
      <w:r w:rsidR="00C346A2">
        <w:rPr>
          <w:rFonts w:cs="Arial"/>
          <w:sz w:val="22"/>
          <w:szCs w:val="22"/>
          <w:lang w:val="en-AU"/>
        </w:rPr>
        <w:t xml:space="preserve">rotating </w:t>
      </w:r>
      <w:r w:rsidR="00A34AEB">
        <w:rPr>
          <w:rFonts w:cs="Arial"/>
          <w:sz w:val="22"/>
          <w:szCs w:val="22"/>
          <w:lang w:val="en-AU"/>
        </w:rPr>
        <w:t>‘</w:t>
      </w:r>
      <w:r w:rsidR="00C346A2">
        <w:rPr>
          <w:rFonts w:cs="Arial"/>
          <w:sz w:val="22"/>
          <w:szCs w:val="22"/>
          <w:lang w:val="en-AU"/>
        </w:rPr>
        <w:t>chair</w:t>
      </w:r>
      <w:r w:rsidR="00147111">
        <w:rPr>
          <w:rFonts w:cs="Arial"/>
          <w:sz w:val="22"/>
          <w:szCs w:val="22"/>
          <w:lang w:val="en-AU"/>
        </w:rPr>
        <w:t>’</w:t>
      </w:r>
      <w:r w:rsidR="00BC1B2C">
        <w:rPr>
          <w:rFonts w:cs="Arial"/>
          <w:sz w:val="22"/>
          <w:szCs w:val="22"/>
          <w:lang w:val="en-AU"/>
        </w:rPr>
        <w:t>,</w:t>
      </w:r>
      <w:r w:rsidR="00A74DDB">
        <w:rPr>
          <w:rStyle w:val="FootnoteReference"/>
          <w:rFonts w:cs="Arial"/>
          <w:sz w:val="22"/>
          <w:szCs w:val="22"/>
          <w:lang w:val="en-AU"/>
        </w:rPr>
        <w:footnoteReference w:id="5"/>
      </w:r>
      <w:r w:rsidR="00BC1B2C">
        <w:rPr>
          <w:rFonts w:cs="Arial"/>
          <w:sz w:val="22"/>
          <w:szCs w:val="22"/>
          <w:lang w:val="en-AU"/>
        </w:rPr>
        <w:t xml:space="preserve"> </w:t>
      </w:r>
      <w:r w:rsidR="00A74DDB">
        <w:rPr>
          <w:rFonts w:cs="Arial"/>
          <w:sz w:val="22"/>
          <w:szCs w:val="22"/>
          <w:lang w:val="en-AU"/>
        </w:rPr>
        <w:t xml:space="preserve">amongst other formats.  </w:t>
      </w:r>
    </w:p>
    <w:p w14:paraId="033B0146" w14:textId="77777777" w:rsidR="00BA34FD" w:rsidRPr="00CC210F" w:rsidRDefault="00BA34FD" w:rsidP="00CC210F">
      <w:pPr>
        <w:rPr>
          <w:rFonts w:cs="Arial"/>
          <w:sz w:val="22"/>
          <w:szCs w:val="22"/>
          <w:lang w:val="en-AU"/>
        </w:rPr>
      </w:pPr>
    </w:p>
    <w:p w14:paraId="54009B1E" w14:textId="0AD32457" w:rsidR="002D0B28" w:rsidRPr="007F1C1D" w:rsidRDefault="00B127EC" w:rsidP="007D155A">
      <w:pPr>
        <w:pStyle w:val="ListParagraph"/>
        <w:numPr>
          <w:ilvl w:val="0"/>
          <w:numId w:val="31"/>
        </w:numPr>
        <w:rPr>
          <w:rFonts w:cs="Arial"/>
          <w:b/>
          <w:sz w:val="22"/>
          <w:szCs w:val="22"/>
          <w:lang w:val="en-AU"/>
        </w:rPr>
      </w:pPr>
      <w:r w:rsidRPr="007F1C1D">
        <w:rPr>
          <w:rFonts w:cs="Arial"/>
          <w:sz w:val="22"/>
          <w:szCs w:val="22"/>
          <w:lang w:val="en-AU"/>
        </w:rPr>
        <w:t>Th</w:t>
      </w:r>
      <w:r w:rsidR="00A74DDB">
        <w:rPr>
          <w:rFonts w:cs="Arial"/>
          <w:sz w:val="22"/>
          <w:szCs w:val="22"/>
          <w:lang w:val="en-AU"/>
        </w:rPr>
        <w:t>e</w:t>
      </w:r>
      <w:r w:rsidRPr="007F1C1D">
        <w:rPr>
          <w:rFonts w:cs="Arial"/>
          <w:sz w:val="22"/>
          <w:szCs w:val="22"/>
          <w:lang w:val="en-AU"/>
        </w:rPr>
        <w:t xml:space="preserve"> endorsement</w:t>
      </w:r>
      <w:r w:rsidR="00A74DDB">
        <w:rPr>
          <w:rFonts w:cs="Arial"/>
          <w:sz w:val="22"/>
          <w:szCs w:val="22"/>
          <w:lang w:val="en-AU"/>
        </w:rPr>
        <w:t xml:space="preserve"> of these 19 RRIs</w:t>
      </w:r>
      <w:r w:rsidR="0020380D" w:rsidRPr="007F1C1D">
        <w:rPr>
          <w:rFonts w:cs="Arial"/>
          <w:sz w:val="22"/>
          <w:szCs w:val="22"/>
          <w:lang w:val="en-AU"/>
        </w:rPr>
        <w:t xml:space="preserve"> does not</w:t>
      </w:r>
      <w:r w:rsidR="00AB40FF" w:rsidRPr="007F1C1D">
        <w:rPr>
          <w:rFonts w:cs="Arial"/>
          <w:sz w:val="22"/>
          <w:szCs w:val="22"/>
          <w:lang w:val="en-AU"/>
        </w:rPr>
        <w:t xml:space="preserve"> in and of itself</w:t>
      </w:r>
      <w:r w:rsidR="0020380D" w:rsidRPr="007F1C1D">
        <w:rPr>
          <w:rFonts w:cs="Arial"/>
          <w:sz w:val="22"/>
          <w:szCs w:val="22"/>
          <w:lang w:val="en-AU"/>
        </w:rPr>
        <w:t xml:space="preserve"> confer any particular legal status at the national level</w:t>
      </w:r>
      <w:r w:rsidR="00250374">
        <w:rPr>
          <w:rFonts w:cs="Arial"/>
          <w:sz w:val="22"/>
          <w:szCs w:val="22"/>
          <w:lang w:val="en-AU"/>
        </w:rPr>
        <w:t>. However, I have been instructed that one RRI has been recognised under the relevant national law in Panama as an international organisation,</w:t>
      </w:r>
      <w:r w:rsidR="008D16CC">
        <w:rPr>
          <w:rStyle w:val="FootnoteReference"/>
          <w:rFonts w:cs="Arial"/>
          <w:sz w:val="22"/>
          <w:szCs w:val="22"/>
          <w:lang w:val="en-AU"/>
        </w:rPr>
        <w:footnoteReference w:id="6"/>
      </w:r>
      <w:r w:rsidR="00250374">
        <w:rPr>
          <w:rFonts w:cs="Arial"/>
          <w:sz w:val="22"/>
          <w:szCs w:val="22"/>
          <w:lang w:val="en-AU"/>
        </w:rPr>
        <w:t xml:space="preserve"> while the secretariats </w:t>
      </w:r>
      <w:r w:rsidR="002C7452">
        <w:rPr>
          <w:rFonts w:cs="Arial"/>
          <w:sz w:val="22"/>
          <w:szCs w:val="22"/>
          <w:lang w:val="en-AU"/>
        </w:rPr>
        <w:t xml:space="preserve">established by </w:t>
      </w:r>
      <w:r w:rsidR="00250374">
        <w:rPr>
          <w:rFonts w:cs="Arial"/>
          <w:sz w:val="22"/>
          <w:szCs w:val="22"/>
          <w:lang w:val="en-AU"/>
        </w:rPr>
        <w:t>two other</w:t>
      </w:r>
      <w:r w:rsidR="002C7452">
        <w:rPr>
          <w:rFonts w:cs="Arial"/>
          <w:sz w:val="22"/>
          <w:szCs w:val="22"/>
          <w:lang w:val="en-AU"/>
        </w:rPr>
        <w:t xml:space="preserve"> RRI</w:t>
      </w:r>
      <w:r w:rsidR="002642F0">
        <w:rPr>
          <w:rFonts w:cs="Arial"/>
          <w:sz w:val="22"/>
          <w:szCs w:val="22"/>
          <w:lang w:val="en-AU"/>
        </w:rPr>
        <w:t>s</w:t>
      </w:r>
      <w:r w:rsidR="00250374">
        <w:rPr>
          <w:rFonts w:cs="Arial"/>
          <w:sz w:val="22"/>
          <w:szCs w:val="22"/>
          <w:lang w:val="en-AU"/>
        </w:rPr>
        <w:t xml:space="preserve"> have legal status in France</w:t>
      </w:r>
      <w:r w:rsidR="008D16CC">
        <w:rPr>
          <w:rStyle w:val="FootnoteReference"/>
          <w:rFonts w:cs="Arial"/>
          <w:sz w:val="22"/>
          <w:szCs w:val="22"/>
          <w:lang w:val="en-AU"/>
        </w:rPr>
        <w:footnoteReference w:id="7"/>
      </w:r>
      <w:r w:rsidR="00250374">
        <w:rPr>
          <w:rFonts w:cs="Arial"/>
          <w:sz w:val="22"/>
          <w:szCs w:val="22"/>
          <w:lang w:val="en-AU"/>
        </w:rPr>
        <w:t xml:space="preserve"> and the Republic of Korea,</w:t>
      </w:r>
      <w:r w:rsidR="00C712BE" w:rsidRPr="00C712BE">
        <w:rPr>
          <w:rStyle w:val="FootnoteReference"/>
          <w:rFonts w:cs="Arial"/>
          <w:sz w:val="22"/>
          <w:szCs w:val="22"/>
          <w:lang w:val="en-AU"/>
        </w:rPr>
        <w:t xml:space="preserve"> </w:t>
      </w:r>
      <w:r w:rsidR="00C712BE">
        <w:rPr>
          <w:rStyle w:val="FootnoteReference"/>
          <w:rFonts w:cs="Arial"/>
          <w:sz w:val="22"/>
          <w:szCs w:val="22"/>
          <w:lang w:val="en-AU"/>
        </w:rPr>
        <w:footnoteReference w:id="8"/>
      </w:r>
      <w:r w:rsidR="00C712BE">
        <w:rPr>
          <w:rFonts w:cs="Arial"/>
          <w:sz w:val="22"/>
          <w:szCs w:val="22"/>
          <w:lang w:val="en-AU"/>
        </w:rPr>
        <w:t xml:space="preserve"> </w:t>
      </w:r>
      <w:r w:rsidR="00250374">
        <w:rPr>
          <w:rFonts w:cs="Arial"/>
          <w:sz w:val="22"/>
          <w:szCs w:val="22"/>
          <w:lang w:val="en-AU"/>
        </w:rPr>
        <w:t xml:space="preserve">respectively. </w:t>
      </w:r>
    </w:p>
    <w:p w14:paraId="5227DA6E" w14:textId="77777777" w:rsidR="0020380D" w:rsidRPr="007F1C1D" w:rsidRDefault="0020380D" w:rsidP="0020380D">
      <w:pPr>
        <w:pStyle w:val="ListParagraph"/>
        <w:ind w:left="360"/>
        <w:rPr>
          <w:rFonts w:cs="Arial"/>
          <w:b/>
          <w:sz w:val="22"/>
          <w:szCs w:val="22"/>
          <w:lang w:val="en-AU"/>
        </w:rPr>
      </w:pPr>
    </w:p>
    <w:p w14:paraId="45BCB05A" w14:textId="6C0488D8" w:rsidR="002223B7" w:rsidRPr="002223B7" w:rsidRDefault="002223B7" w:rsidP="007D155A">
      <w:pPr>
        <w:pStyle w:val="ListParagraph"/>
        <w:numPr>
          <w:ilvl w:val="0"/>
          <w:numId w:val="31"/>
        </w:numPr>
        <w:rPr>
          <w:rFonts w:cs="Arial"/>
          <w:b/>
          <w:sz w:val="22"/>
          <w:szCs w:val="22"/>
          <w:lang w:val="en-AU"/>
        </w:rPr>
      </w:pPr>
      <w:r>
        <w:rPr>
          <w:rFonts w:cs="Arial"/>
          <w:sz w:val="22"/>
          <w:szCs w:val="22"/>
          <w:lang w:val="en-AU"/>
        </w:rPr>
        <w:t>The</w:t>
      </w:r>
      <w:r w:rsidR="0020380D" w:rsidRPr="007F1C1D">
        <w:rPr>
          <w:rFonts w:cs="Arial"/>
          <w:sz w:val="22"/>
          <w:szCs w:val="22"/>
          <w:lang w:val="en-AU"/>
        </w:rPr>
        <w:t xml:space="preserve"> most recently adopted </w:t>
      </w:r>
      <w:r w:rsidR="00352C28">
        <w:rPr>
          <w:rFonts w:cs="Arial"/>
          <w:sz w:val="22"/>
          <w:szCs w:val="22"/>
          <w:lang w:val="en-AU"/>
        </w:rPr>
        <w:t xml:space="preserve">Revised </w:t>
      </w:r>
      <w:r w:rsidR="0020380D" w:rsidRPr="007F1C1D">
        <w:rPr>
          <w:rFonts w:cs="Arial"/>
          <w:sz w:val="22"/>
          <w:szCs w:val="22"/>
          <w:lang w:val="en-AU"/>
        </w:rPr>
        <w:t xml:space="preserve">Operational Guidelines </w:t>
      </w:r>
      <w:r>
        <w:rPr>
          <w:rFonts w:cs="Arial"/>
          <w:sz w:val="22"/>
          <w:szCs w:val="22"/>
          <w:lang w:val="en-AU"/>
        </w:rPr>
        <w:t xml:space="preserve">and Resolution XIII.9 </w:t>
      </w:r>
      <w:r w:rsidR="00352C28">
        <w:rPr>
          <w:rFonts w:cs="Arial"/>
          <w:sz w:val="22"/>
          <w:szCs w:val="22"/>
          <w:lang w:val="en-AU"/>
        </w:rPr>
        <w:t>do</w:t>
      </w:r>
      <w:r>
        <w:rPr>
          <w:rFonts w:cs="Arial"/>
          <w:sz w:val="22"/>
          <w:szCs w:val="22"/>
          <w:lang w:val="en-AU"/>
        </w:rPr>
        <w:t xml:space="preserve"> not</w:t>
      </w:r>
      <w:r w:rsidR="00B127EC" w:rsidRPr="007F1C1D">
        <w:rPr>
          <w:rFonts w:cs="Arial"/>
          <w:sz w:val="22"/>
          <w:szCs w:val="22"/>
          <w:lang w:val="en-AU"/>
        </w:rPr>
        <w:t xml:space="preserve"> </w:t>
      </w:r>
      <w:r>
        <w:rPr>
          <w:rFonts w:cs="Arial"/>
          <w:sz w:val="22"/>
          <w:szCs w:val="22"/>
          <w:lang w:val="en-AU"/>
        </w:rPr>
        <w:t>authorise</w:t>
      </w:r>
      <w:r w:rsidR="0020380D" w:rsidRPr="007F1C1D">
        <w:rPr>
          <w:rFonts w:cs="Arial"/>
          <w:sz w:val="22"/>
          <w:szCs w:val="22"/>
          <w:lang w:val="en-AU"/>
        </w:rPr>
        <w:t xml:space="preserve"> RRIs to adopt a formal legal structure under relevant national laws that would in turn confer legal personality. </w:t>
      </w:r>
      <w:r w:rsidR="00EC256E">
        <w:rPr>
          <w:rFonts w:cs="Arial"/>
          <w:sz w:val="22"/>
          <w:szCs w:val="22"/>
          <w:lang w:val="en-AU"/>
        </w:rPr>
        <w:t xml:space="preserve"> </w:t>
      </w:r>
      <w:r>
        <w:rPr>
          <w:rFonts w:cs="Arial"/>
          <w:sz w:val="22"/>
          <w:szCs w:val="22"/>
          <w:lang w:val="en-AU"/>
        </w:rPr>
        <w:t xml:space="preserve">Similarly, historic Operational Guidelines and Resolutions concerning RRIs have not authorised RRIs to adopt a formal legal structure under national laws that would confer legal personality. </w:t>
      </w:r>
      <w:r w:rsidR="00EC256E">
        <w:rPr>
          <w:rFonts w:cs="Arial"/>
          <w:sz w:val="22"/>
          <w:szCs w:val="22"/>
          <w:lang w:val="en-AU"/>
        </w:rPr>
        <w:t>However</w:t>
      </w:r>
      <w:r>
        <w:rPr>
          <w:rFonts w:cs="Arial"/>
          <w:sz w:val="22"/>
          <w:szCs w:val="22"/>
          <w:lang w:val="en-AU"/>
        </w:rPr>
        <w:t xml:space="preserve">, they </w:t>
      </w:r>
      <w:r w:rsidR="00EC256E">
        <w:rPr>
          <w:rFonts w:cs="Arial"/>
          <w:sz w:val="22"/>
          <w:szCs w:val="22"/>
          <w:lang w:val="en-AU"/>
        </w:rPr>
        <w:t>have not prohibited RRIs from doing so</w:t>
      </w:r>
      <w:r w:rsidR="009240F4">
        <w:rPr>
          <w:rFonts w:cs="Arial"/>
          <w:sz w:val="22"/>
          <w:szCs w:val="22"/>
          <w:lang w:val="en-AU"/>
        </w:rPr>
        <w:t>, either.</w:t>
      </w:r>
      <w:r w:rsidR="00EC256E">
        <w:rPr>
          <w:rFonts w:cs="Arial"/>
          <w:sz w:val="22"/>
          <w:szCs w:val="22"/>
          <w:lang w:val="en-AU"/>
        </w:rPr>
        <w:t xml:space="preserve"> </w:t>
      </w:r>
    </w:p>
    <w:p w14:paraId="3D4493A8" w14:textId="77777777" w:rsidR="002223B7" w:rsidRPr="002223B7" w:rsidRDefault="002223B7" w:rsidP="002223B7">
      <w:pPr>
        <w:rPr>
          <w:rFonts w:cs="Arial"/>
          <w:sz w:val="22"/>
          <w:szCs w:val="22"/>
          <w:lang w:val="en-AU"/>
        </w:rPr>
      </w:pPr>
    </w:p>
    <w:p w14:paraId="3EA42B6A" w14:textId="3FD7836B" w:rsidR="008D16CC" w:rsidRPr="002223B7" w:rsidRDefault="002223B7" w:rsidP="008D16CC">
      <w:pPr>
        <w:pStyle w:val="ListParagraph"/>
        <w:numPr>
          <w:ilvl w:val="0"/>
          <w:numId w:val="31"/>
        </w:numPr>
        <w:rPr>
          <w:rFonts w:cs="Arial"/>
          <w:b/>
          <w:sz w:val="22"/>
          <w:szCs w:val="22"/>
          <w:lang w:val="en-AU"/>
        </w:rPr>
      </w:pPr>
      <w:r>
        <w:rPr>
          <w:rFonts w:cs="Arial"/>
          <w:sz w:val="22"/>
          <w:szCs w:val="22"/>
          <w:lang w:val="en-AU"/>
        </w:rPr>
        <w:t>In</w:t>
      </w:r>
      <w:r w:rsidR="0020380D" w:rsidRPr="007F1C1D">
        <w:rPr>
          <w:rFonts w:cs="Arial"/>
          <w:sz w:val="22"/>
          <w:szCs w:val="22"/>
          <w:lang w:val="en-AU"/>
        </w:rPr>
        <w:t xml:space="preserve"> end</w:t>
      </w:r>
      <w:r w:rsidR="00250374">
        <w:rPr>
          <w:rFonts w:cs="Arial"/>
          <w:sz w:val="22"/>
          <w:szCs w:val="22"/>
          <w:lang w:val="en-AU"/>
        </w:rPr>
        <w:t>orsing the one RRI</w:t>
      </w:r>
      <w:r w:rsidR="008D16CC">
        <w:rPr>
          <w:rFonts w:cs="Arial"/>
          <w:sz w:val="22"/>
          <w:szCs w:val="22"/>
          <w:lang w:val="en-AU"/>
        </w:rPr>
        <w:t xml:space="preserve"> that has</w:t>
      </w:r>
      <w:r w:rsidR="0020380D" w:rsidRPr="007F1C1D">
        <w:rPr>
          <w:rFonts w:cs="Arial"/>
          <w:sz w:val="22"/>
          <w:szCs w:val="22"/>
          <w:lang w:val="en-AU"/>
        </w:rPr>
        <w:t xml:space="preserve"> been accorded formal legal status </w:t>
      </w:r>
      <w:r w:rsidR="00250374">
        <w:rPr>
          <w:rFonts w:cs="Arial"/>
          <w:sz w:val="22"/>
          <w:szCs w:val="22"/>
          <w:lang w:val="en-AU"/>
        </w:rPr>
        <w:t>within its host nation</w:t>
      </w:r>
      <w:r w:rsidR="00DE4AFA">
        <w:rPr>
          <w:rFonts w:cs="Arial"/>
          <w:sz w:val="22"/>
          <w:szCs w:val="22"/>
          <w:lang w:val="en-AU"/>
        </w:rPr>
        <w:t xml:space="preserve"> as operating within the framework of the Convention</w:t>
      </w:r>
      <w:r w:rsidR="004E59A1">
        <w:rPr>
          <w:rFonts w:cs="Arial"/>
          <w:sz w:val="22"/>
          <w:szCs w:val="22"/>
          <w:lang w:val="en-AU"/>
        </w:rPr>
        <w:t xml:space="preserve"> (CREHO)</w:t>
      </w:r>
      <w:r w:rsidR="0020380D" w:rsidRPr="007F1C1D">
        <w:rPr>
          <w:rFonts w:cs="Arial"/>
          <w:sz w:val="22"/>
          <w:szCs w:val="22"/>
          <w:lang w:val="en-AU"/>
        </w:rPr>
        <w:t xml:space="preserve">, </w:t>
      </w:r>
      <w:r w:rsidR="00DE4AFA">
        <w:rPr>
          <w:rFonts w:cs="Arial"/>
          <w:sz w:val="22"/>
          <w:szCs w:val="22"/>
          <w:lang w:val="en-AU"/>
        </w:rPr>
        <w:t xml:space="preserve">it is arguable that </w:t>
      </w:r>
      <w:r w:rsidR="0020380D" w:rsidRPr="007F1C1D">
        <w:rPr>
          <w:rFonts w:cs="Arial"/>
          <w:sz w:val="22"/>
          <w:szCs w:val="22"/>
          <w:lang w:val="en-AU"/>
        </w:rPr>
        <w:t>the Contrac</w:t>
      </w:r>
      <w:r w:rsidR="00250374">
        <w:rPr>
          <w:rFonts w:cs="Arial"/>
          <w:sz w:val="22"/>
          <w:szCs w:val="22"/>
          <w:lang w:val="en-AU"/>
        </w:rPr>
        <w:t xml:space="preserve">ting Parties have </w:t>
      </w:r>
      <w:r w:rsidR="002642F0">
        <w:rPr>
          <w:rFonts w:cs="Arial"/>
          <w:sz w:val="22"/>
          <w:szCs w:val="22"/>
          <w:lang w:val="en-AU"/>
        </w:rPr>
        <w:t xml:space="preserve">implicitly </w:t>
      </w:r>
      <w:r w:rsidR="00250374">
        <w:rPr>
          <w:rFonts w:cs="Arial"/>
          <w:sz w:val="22"/>
          <w:szCs w:val="22"/>
          <w:lang w:val="en-AU"/>
        </w:rPr>
        <w:t>approved its</w:t>
      </w:r>
      <w:r w:rsidR="0020380D" w:rsidRPr="007F1C1D">
        <w:rPr>
          <w:rFonts w:cs="Arial"/>
          <w:sz w:val="22"/>
          <w:szCs w:val="22"/>
          <w:lang w:val="en-AU"/>
        </w:rPr>
        <w:t xml:space="preserve"> structure and legal status.</w:t>
      </w:r>
      <w:r w:rsidR="004A58DE">
        <w:rPr>
          <w:rStyle w:val="FootnoteReference"/>
          <w:rFonts w:cs="Arial"/>
          <w:sz w:val="22"/>
          <w:szCs w:val="22"/>
          <w:lang w:val="en-AU"/>
        </w:rPr>
        <w:footnoteReference w:id="9"/>
      </w:r>
      <w:r w:rsidR="002642F0">
        <w:rPr>
          <w:rFonts w:cs="Arial"/>
          <w:sz w:val="22"/>
          <w:szCs w:val="22"/>
          <w:lang w:val="en-AU"/>
        </w:rPr>
        <w:t xml:space="preserve"> </w:t>
      </w:r>
    </w:p>
    <w:p w14:paraId="11AAD599" w14:textId="1B586C4D" w:rsidR="004124CF" w:rsidRPr="00440883" w:rsidRDefault="002223B7" w:rsidP="001F38CC">
      <w:pPr>
        <w:pStyle w:val="ListParagraph"/>
        <w:numPr>
          <w:ilvl w:val="0"/>
          <w:numId w:val="31"/>
        </w:numPr>
        <w:rPr>
          <w:rFonts w:cs="Arial"/>
          <w:b/>
          <w:sz w:val="22"/>
          <w:szCs w:val="22"/>
          <w:lang w:val="en-AU"/>
        </w:rPr>
      </w:pPr>
      <w:r w:rsidRPr="00440883">
        <w:rPr>
          <w:rFonts w:cs="Arial"/>
          <w:sz w:val="22"/>
          <w:szCs w:val="22"/>
          <w:lang w:val="en-AU"/>
        </w:rPr>
        <w:lastRenderedPageBreak/>
        <w:t xml:space="preserve">MedWet and the EAAFP have each established </w:t>
      </w:r>
      <w:r w:rsidR="00C57114" w:rsidRPr="00440883">
        <w:rPr>
          <w:rFonts w:cs="Arial"/>
          <w:sz w:val="22"/>
          <w:szCs w:val="22"/>
          <w:lang w:val="en-AU"/>
        </w:rPr>
        <w:t>a secretariat which has</w:t>
      </w:r>
      <w:r w:rsidRPr="00440883">
        <w:rPr>
          <w:rFonts w:cs="Arial"/>
          <w:sz w:val="22"/>
          <w:szCs w:val="22"/>
          <w:lang w:val="en-AU"/>
        </w:rPr>
        <w:t xml:space="preserve"> been granted</w:t>
      </w:r>
      <w:r w:rsidR="00A10387" w:rsidRPr="00440883">
        <w:rPr>
          <w:rFonts w:cs="Arial"/>
          <w:sz w:val="22"/>
          <w:szCs w:val="22"/>
          <w:lang w:val="en-AU"/>
        </w:rPr>
        <w:t xml:space="preserve"> formal legal status unde</w:t>
      </w:r>
      <w:r w:rsidR="0022008E" w:rsidRPr="00440883">
        <w:rPr>
          <w:rFonts w:cs="Arial"/>
          <w:sz w:val="22"/>
          <w:szCs w:val="22"/>
          <w:lang w:val="en-AU"/>
        </w:rPr>
        <w:t xml:space="preserve">r </w:t>
      </w:r>
      <w:r w:rsidR="00C57114" w:rsidRPr="00440883">
        <w:rPr>
          <w:rFonts w:cs="Arial"/>
          <w:sz w:val="22"/>
          <w:szCs w:val="22"/>
          <w:lang w:val="en-AU"/>
        </w:rPr>
        <w:t>relevant national laws</w:t>
      </w:r>
      <w:r w:rsidR="004E59A1" w:rsidRPr="00440883">
        <w:rPr>
          <w:rFonts w:cs="Arial"/>
          <w:sz w:val="22"/>
          <w:szCs w:val="22"/>
          <w:lang w:val="en-AU"/>
        </w:rPr>
        <w:t xml:space="preserve"> in France and the Republic of Korea, respectively. </w:t>
      </w:r>
      <w:r w:rsidR="00440883" w:rsidRPr="00440883">
        <w:rPr>
          <w:rFonts w:cs="Arial"/>
          <w:sz w:val="22"/>
          <w:szCs w:val="22"/>
          <w:lang w:val="en-US"/>
        </w:rPr>
        <w:t xml:space="preserve">It is unclear whether the COP, in formally endorsing these two RRIs as operating within the framework of the Convention, was also (implicitly or explicitly) endorsing the legal status of their respective secretariats. </w:t>
      </w:r>
      <w:r w:rsidR="00440883">
        <w:rPr>
          <w:rFonts w:cs="Arial"/>
          <w:sz w:val="22"/>
          <w:szCs w:val="22"/>
          <w:lang w:val="en-US"/>
        </w:rPr>
        <w:t xml:space="preserve">This is something that the Contracting Parties may wish to consider when drafting future Resolutions concerning RRIs. </w:t>
      </w:r>
    </w:p>
    <w:p w14:paraId="55E777AA" w14:textId="77777777" w:rsidR="00C57114" w:rsidRPr="00C57114" w:rsidRDefault="00C57114" w:rsidP="00C57114">
      <w:pPr>
        <w:rPr>
          <w:rFonts w:cs="Arial"/>
          <w:b/>
          <w:sz w:val="22"/>
          <w:szCs w:val="22"/>
          <w:lang w:val="en-AU"/>
        </w:rPr>
      </w:pPr>
    </w:p>
    <w:p w14:paraId="11C2FE9A" w14:textId="47090410" w:rsidR="0020380D" w:rsidRPr="002B56BC" w:rsidRDefault="0020380D" w:rsidP="0020380D">
      <w:pPr>
        <w:pStyle w:val="ListParagraph"/>
        <w:numPr>
          <w:ilvl w:val="0"/>
          <w:numId w:val="31"/>
        </w:numPr>
        <w:rPr>
          <w:rFonts w:cs="Arial"/>
          <w:b/>
          <w:sz w:val="22"/>
          <w:szCs w:val="22"/>
          <w:lang w:val="en-AU"/>
        </w:rPr>
      </w:pPr>
      <w:r w:rsidRPr="007F1C1D">
        <w:rPr>
          <w:rFonts w:cs="Arial"/>
          <w:sz w:val="22"/>
          <w:szCs w:val="22"/>
          <w:lang w:val="en-AU"/>
        </w:rPr>
        <w:t xml:space="preserve">The precise implications of </w:t>
      </w:r>
      <w:r w:rsidR="00452867" w:rsidRPr="007F1C1D">
        <w:rPr>
          <w:rFonts w:cs="Arial"/>
          <w:sz w:val="22"/>
          <w:szCs w:val="22"/>
          <w:lang w:val="en-AU"/>
        </w:rPr>
        <w:t xml:space="preserve">a RRI </w:t>
      </w:r>
      <w:r w:rsidRPr="007F1C1D">
        <w:rPr>
          <w:rFonts w:cs="Arial"/>
          <w:sz w:val="22"/>
          <w:szCs w:val="22"/>
          <w:lang w:val="en-AU"/>
        </w:rPr>
        <w:t>adopting a legal structure that confers domestic legal personality varies from jurisdiction to jurisdiction. However, as a general rule, such entities have far greater capacity to operate as autonomous, financially independent organisations</w:t>
      </w:r>
      <w:r w:rsidR="00084423" w:rsidRPr="007F1C1D">
        <w:rPr>
          <w:rFonts w:cs="Arial"/>
          <w:sz w:val="22"/>
          <w:szCs w:val="22"/>
          <w:lang w:val="en-AU"/>
        </w:rPr>
        <w:t xml:space="preserve"> (and may, depending on local law</w:t>
      </w:r>
      <w:r w:rsidR="00452867" w:rsidRPr="007F1C1D">
        <w:rPr>
          <w:rFonts w:cs="Arial"/>
          <w:sz w:val="22"/>
          <w:szCs w:val="22"/>
          <w:lang w:val="en-AU"/>
        </w:rPr>
        <w:t>s</w:t>
      </w:r>
      <w:r w:rsidR="00084423" w:rsidRPr="007F1C1D">
        <w:rPr>
          <w:rFonts w:cs="Arial"/>
          <w:sz w:val="22"/>
          <w:szCs w:val="22"/>
          <w:lang w:val="en-AU"/>
        </w:rPr>
        <w:t xml:space="preserve">, be eligible to </w:t>
      </w:r>
      <w:r w:rsidR="00C03EEA">
        <w:rPr>
          <w:rFonts w:cs="Arial"/>
          <w:sz w:val="22"/>
          <w:szCs w:val="22"/>
          <w:lang w:val="en-AU"/>
        </w:rPr>
        <w:t xml:space="preserve">be </w:t>
      </w:r>
      <w:r w:rsidR="00084423" w:rsidRPr="007F1C1D">
        <w:rPr>
          <w:rFonts w:cs="Arial"/>
          <w:sz w:val="22"/>
          <w:szCs w:val="22"/>
          <w:lang w:val="en-AU"/>
        </w:rPr>
        <w:t>granted tax deductible status)</w:t>
      </w:r>
      <w:r w:rsidRPr="007F1C1D">
        <w:rPr>
          <w:rFonts w:cs="Arial"/>
          <w:sz w:val="22"/>
          <w:szCs w:val="22"/>
          <w:lang w:val="en-AU"/>
        </w:rPr>
        <w:t>.</w:t>
      </w:r>
      <w:r w:rsidR="000C0AD7">
        <w:rPr>
          <w:rStyle w:val="FootnoteReference"/>
          <w:rFonts w:cs="Arial"/>
          <w:sz w:val="22"/>
          <w:szCs w:val="22"/>
          <w:lang w:val="en-AU"/>
        </w:rPr>
        <w:footnoteReference w:id="10"/>
      </w:r>
      <w:r w:rsidRPr="007F1C1D">
        <w:rPr>
          <w:rFonts w:cs="Arial"/>
          <w:sz w:val="22"/>
          <w:szCs w:val="22"/>
          <w:lang w:val="en-AU"/>
        </w:rPr>
        <w:t xml:space="preserve"> Such entities may also be able to apply for membership of an international non-governmental organisation (</w:t>
      </w:r>
      <w:r w:rsidR="00BE523F">
        <w:rPr>
          <w:rFonts w:cs="Arial"/>
          <w:b/>
          <w:sz w:val="22"/>
          <w:szCs w:val="22"/>
          <w:lang w:val="en-AU"/>
        </w:rPr>
        <w:t>i</w:t>
      </w:r>
      <w:r w:rsidRPr="007F1C1D">
        <w:rPr>
          <w:rFonts w:cs="Arial"/>
          <w:b/>
          <w:sz w:val="22"/>
          <w:szCs w:val="22"/>
          <w:lang w:val="en-AU"/>
        </w:rPr>
        <w:t>nternational NGO</w:t>
      </w:r>
      <w:r w:rsidRPr="007F1C1D">
        <w:rPr>
          <w:rFonts w:cs="Arial"/>
          <w:sz w:val="22"/>
          <w:szCs w:val="22"/>
          <w:lang w:val="en-AU"/>
        </w:rPr>
        <w:t>)</w:t>
      </w:r>
      <w:r w:rsidR="00084423" w:rsidRPr="007F1C1D">
        <w:rPr>
          <w:rFonts w:cs="Arial"/>
          <w:sz w:val="22"/>
          <w:szCs w:val="22"/>
          <w:lang w:val="en-AU"/>
        </w:rPr>
        <w:t xml:space="preserve"> or become accredited with the Unit</w:t>
      </w:r>
      <w:r w:rsidR="00EA1AE3" w:rsidRPr="007F1C1D">
        <w:rPr>
          <w:rFonts w:cs="Arial"/>
          <w:sz w:val="22"/>
          <w:szCs w:val="22"/>
          <w:lang w:val="en-AU"/>
        </w:rPr>
        <w:t>ed Nations Environment Program</w:t>
      </w:r>
      <w:r w:rsidR="00C712BE">
        <w:rPr>
          <w:rFonts w:cs="Arial"/>
          <w:sz w:val="22"/>
          <w:szCs w:val="22"/>
          <w:lang w:val="en-AU"/>
        </w:rPr>
        <w:t xml:space="preserve">. </w:t>
      </w:r>
    </w:p>
    <w:p w14:paraId="3C9B4D6B" w14:textId="77777777" w:rsidR="002B56BC" w:rsidRPr="002B56BC" w:rsidRDefault="002B56BC" w:rsidP="002B56BC">
      <w:pPr>
        <w:rPr>
          <w:rFonts w:cs="Arial"/>
          <w:b/>
          <w:sz w:val="22"/>
          <w:szCs w:val="22"/>
          <w:lang w:val="en-AU"/>
        </w:rPr>
      </w:pPr>
    </w:p>
    <w:p w14:paraId="2EB6309E" w14:textId="5C27AFE2" w:rsidR="00452867" w:rsidRPr="007F1C1D" w:rsidRDefault="00452867" w:rsidP="007D155A">
      <w:pPr>
        <w:pStyle w:val="ListParagraph"/>
        <w:numPr>
          <w:ilvl w:val="0"/>
          <w:numId w:val="31"/>
        </w:numPr>
        <w:rPr>
          <w:rFonts w:cs="Arial"/>
          <w:b/>
          <w:sz w:val="22"/>
          <w:szCs w:val="22"/>
          <w:lang w:val="en-AU"/>
        </w:rPr>
      </w:pPr>
      <w:r w:rsidRPr="007F1C1D">
        <w:rPr>
          <w:rFonts w:cs="Arial"/>
          <w:sz w:val="22"/>
          <w:szCs w:val="22"/>
          <w:lang w:val="en-AU"/>
        </w:rPr>
        <w:t xml:space="preserve">The implications of a RRI being formally recognised as an international organisation with international legal personality may include: entering into formal agreements with </w:t>
      </w:r>
      <w:r w:rsidR="00B127EC" w:rsidRPr="007F1C1D">
        <w:rPr>
          <w:rFonts w:cs="Arial"/>
          <w:sz w:val="22"/>
          <w:szCs w:val="22"/>
          <w:lang w:val="en-AU"/>
        </w:rPr>
        <w:t>other international organisations</w:t>
      </w:r>
      <w:r w:rsidRPr="007F1C1D">
        <w:rPr>
          <w:rFonts w:cs="Arial"/>
          <w:sz w:val="22"/>
          <w:szCs w:val="22"/>
          <w:lang w:val="en-AU"/>
        </w:rPr>
        <w:t xml:space="preserve"> and/or nation states;</w:t>
      </w:r>
      <w:r w:rsidRPr="007F1C1D">
        <w:rPr>
          <w:rStyle w:val="FootnoteReference"/>
          <w:rFonts w:cs="Arial"/>
          <w:sz w:val="22"/>
          <w:szCs w:val="22"/>
          <w:lang w:val="en-AU"/>
        </w:rPr>
        <w:footnoteReference w:id="11"/>
      </w:r>
      <w:r w:rsidRPr="007F1C1D">
        <w:rPr>
          <w:rFonts w:cs="Arial"/>
          <w:sz w:val="22"/>
          <w:szCs w:val="22"/>
          <w:lang w:val="en-AU"/>
        </w:rPr>
        <w:t xml:space="preserve"> </w:t>
      </w:r>
      <w:r w:rsidR="00B127EC" w:rsidRPr="007F1C1D">
        <w:rPr>
          <w:rFonts w:cs="Arial"/>
          <w:sz w:val="22"/>
          <w:szCs w:val="22"/>
          <w:lang w:val="en-AU"/>
        </w:rPr>
        <w:t>becoming</w:t>
      </w:r>
      <w:r w:rsidRPr="007F1C1D">
        <w:rPr>
          <w:rFonts w:cs="Arial"/>
          <w:sz w:val="22"/>
          <w:szCs w:val="22"/>
          <w:lang w:val="en-AU"/>
        </w:rPr>
        <w:t xml:space="preserve"> party to a treaty;</w:t>
      </w:r>
      <w:r w:rsidRPr="007F1C1D">
        <w:rPr>
          <w:rStyle w:val="FootnoteReference"/>
          <w:rFonts w:cs="Arial"/>
          <w:sz w:val="22"/>
          <w:szCs w:val="22"/>
          <w:lang w:val="en-AU"/>
        </w:rPr>
        <w:footnoteReference w:id="12"/>
      </w:r>
      <w:r w:rsidRPr="007F1C1D">
        <w:rPr>
          <w:rFonts w:cs="Arial"/>
          <w:sz w:val="22"/>
          <w:szCs w:val="22"/>
          <w:lang w:val="en-AU"/>
        </w:rPr>
        <w:t xml:space="preserve"> becoming a permanent observer to the General</w:t>
      </w:r>
      <w:r w:rsidR="00440883">
        <w:rPr>
          <w:rFonts w:cs="Arial"/>
          <w:sz w:val="22"/>
          <w:szCs w:val="22"/>
          <w:lang w:val="en-AU"/>
        </w:rPr>
        <w:t xml:space="preserve"> Assembly of the United Nations</w:t>
      </w:r>
      <w:r w:rsidR="00170816">
        <w:rPr>
          <w:rFonts w:cs="Arial"/>
          <w:sz w:val="22"/>
          <w:szCs w:val="22"/>
          <w:lang w:val="en-AU"/>
        </w:rPr>
        <w:t xml:space="preserve"> (</w:t>
      </w:r>
      <w:r w:rsidR="00170816" w:rsidRPr="00170816">
        <w:rPr>
          <w:rFonts w:cs="Arial"/>
          <w:b/>
          <w:sz w:val="22"/>
          <w:szCs w:val="22"/>
          <w:lang w:val="en-AU"/>
        </w:rPr>
        <w:t>UNGA</w:t>
      </w:r>
      <w:r w:rsidR="00170816">
        <w:rPr>
          <w:rFonts w:cs="Arial"/>
          <w:sz w:val="22"/>
          <w:szCs w:val="22"/>
          <w:lang w:val="en-AU"/>
        </w:rPr>
        <w:t>)</w:t>
      </w:r>
      <w:r w:rsidR="00440883">
        <w:rPr>
          <w:rFonts w:cs="Arial"/>
          <w:sz w:val="22"/>
          <w:szCs w:val="22"/>
          <w:lang w:val="en-AU"/>
        </w:rPr>
        <w:t>;</w:t>
      </w:r>
      <w:r w:rsidR="00170816" w:rsidRPr="00170816">
        <w:rPr>
          <w:rStyle w:val="FootnoteReference"/>
          <w:rFonts w:cs="Arial"/>
          <w:sz w:val="22"/>
          <w:szCs w:val="22"/>
          <w:lang w:val="en-AU"/>
        </w:rPr>
        <w:t xml:space="preserve"> </w:t>
      </w:r>
      <w:r w:rsidR="00170816" w:rsidRPr="00CC210F">
        <w:rPr>
          <w:rStyle w:val="FootnoteReference"/>
          <w:rFonts w:cs="Arial"/>
          <w:sz w:val="22"/>
          <w:szCs w:val="22"/>
          <w:lang w:val="en-AU"/>
        </w:rPr>
        <w:footnoteReference w:id="13"/>
      </w:r>
      <w:r w:rsidR="00440883">
        <w:rPr>
          <w:rFonts w:cs="Arial"/>
          <w:sz w:val="22"/>
          <w:szCs w:val="22"/>
          <w:lang w:val="en-AU"/>
        </w:rPr>
        <w:t xml:space="preserve"> and enjoy</w:t>
      </w:r>
      <w:r w:rsidR="00170816">
        <w:rPr>
          <w:rFonts w:cs="Arial"/>
          <w:sz w:val="22"/>
          <w:szCs w:val="22"/>
          <w:lang w:val="en-AU"/>
        </w:rPr>
        <w:t>ing</w:t>
      </w:r>
      <w:r w:rsidR="00440883">
        <w:rPr>
          <w:rFonts w:cs="Arial"/>
          <w:sz w:val="22"/>
          <w:szCs w:val="22"/>
          <w:lang w:val="en-AU"/>
        </w:rPr>
        <w:t xml:space="preserve"> privileges and immunities (including immunity from being sued under national laws).</w:t>
      </w:r>
      <w:r w:rsidR="00440883" w:rsidRPr="00440883">
        <w:rPr>
          <w:rStyle w:val="FootnoteReference"/>
          <w:rFonts w:cs="Arial"/>
          <w:sz w:val="22"/>
          <w:szCs w:val="22"/>
          <w:lang w:val="en-AU"/>
        </w:rPr>
        <w:t xml:space="preserve"> </w:t>
      </w:r>
      <w:r w:rsidR="00440883" w:rsidRPr="00CC210F">
        <w:rPr>
          <w:rStyle w:val="FootnoteReference"/>
          <w:rFonts w:cs="Arial"/>
          <w:sz w:val="22"/>
          <w:szCs w:val="22"/>
          <w:lang w:val="en-AU"/>
        </w:rPr>
        <w:footnoteReference w:id="14"/>
      </w:r>
      <w:r w:rsidR="00170816" w:rsidRPr="00170816">
        <w:rPr>
          <w:lang w:val="en-US"/>
        </w:rPr>
        <w:t xml:space="preserve"> </w:t>
      </w:r>
    </w:p>
    <w:p w14:paraId="050B46D1" w14:textId="77777777" w:rsidR="00452867" w:rsidRPr="007F1C1D" w:rsidRDefault="00452867" w:rsidP="00452867">
      <w:pPr>
        <w:rPr>
          <w:rFonts w:cs="Arial"/>
          <w:b/>
          <w:sz w:val="22"/>
          <w:szCs w:val="22"/>
          <w:lang w:val="en-AU"/>
        </w:rPr>
      </w:pPr>
    </w:p>
    <w:p w14:paraId="2BA4CE74" w14:textId="7302B077" w:rsidR="00C712BE" w:rsidRDefault="00452867" w:rsidP="00576CBC">
      <w:pPr>
        <w:pStyle w:val="ListParagraph"/>
        <w:numPr>
          <w:ilvl w:val="0"/>
          <w:numId w:val="31"/>
        </w:numPr>
        <w:rPr>
          <w:rFonts w:cs="Arial"/>
          <w:b/>
          <w:sz w:val="22"/>
          <w:szCs w:val="22"/>
          <w:lang w:val="en-AU"/>
        </w:rPr>
      </w:pPr>
      <w:r w:rsidRPr="007F1C1D">
        <w:rPr>
          <w:rFonts w:cs="Arial"/>
          <w:sz w:val="22"/>
          <w:szCs w:val="22"/>
          <w:lang w:val="en-AU"/>
        </w:rPr>
        <w:t>Part 5 sets out some of the possible legal and reputational implications</w:t>
      </w:r>
      <w:r w:rsidR="00AE467E" w:rsidRPr="007F1C1D">
        <w:rPr>
          <w:rFonts w:cs="Arial"/>
          <w:sz w:val="22"/>
          <w:szCs w:val="22"/>
          <w:lang w:val="en-AU"/>
        </w:rPr>
        <w:t xml:space="preserve"> and risks </w:t>
      </w:r>
      <w:r w:rsidRPr="007F1C1D">
        <w:rPr>
          <w:rFonts w:cs="Arial"/>
          <w:sz w:val="22"/>
          <w:szCs w:val="22"/>
          <w:lang w:val="en-AU"/>
        </w:rPr>
        <w:t xml:space="preserve">for the Convention </w:t>
      </w:r>
      <w:r w:rsidR="00AE467E" w:rsidRPr="007F1C1D">
        <w:rPr>
          <w:rFonts w:cs="Arial"/>
          <w:sz w:val="22"/>
          <w:szCs w:val="22"/>
          <w:lang w:val="en-AU"/>
        </w:rPr>
        <w:t>if RRIs obtain</w:t>
      </w:r>
      <w:r w:rsidRPr="007F1C1D">
        <w:rPr>
          <w:rFonts w:cs="Arial"/>
          <w:sz w:val="22"/>
          <w:szCs w:val="22"/>
          <w:lang w:val="en-AU"/>
        </w:rPr>
        <w:t xml:space="preserve"> either domestic legal personality or international legal personality. Part 6 sets out a series of </w:t>
      </w:r>
      <w:r w:rsidR="00440883">
        <w:rPr>
          <w:rFonts w:cs="Arial"/>
          <w:sz w:val="22"/>
          <w:szCs w:val="22"/>
          <w:lang w:val="en-AU"/>
        </w:rPr>
        <w:t>considerations which may assist Contracting Parties in their assessment of these risks.</w:t>
      </w:r>
      <w:r w:rsidRPr="007F1C1D">
        <w:rPr>
          <w:rFonts w:cs="Arial"/>
          <w:sz w:val="22"/>
          <w:szCs w:val="22"/>
          <w:lang w:val="en-AU"/>
        </w:rPr>
        <w:t xml:space="preserve"> </w:t>
      </w:r>
    </w:p>
    <w:p w14:paraId="66C3A548" w14:textId="50D0C2B6" w:rsidR="00576CBC" w:rsidRPr="00C712BE" w:rsidRDefault="00576CBC" w:rsidP="00C712BE">
      <w:pPr>
        <w:ind w:left="56"/>
        <w:rPr>
          <w:rFonts w:cs="Arial"/>
          <w:b/>
          <w:sz w:val="22"/>
          <w:szCs w:val="22"/>
          <w:lang w:val="en-AU"/>
        </w:rPr>
      </w:pPr>
    </w:p>
    <w:p w14:paraId="19BCB56E" w14:textId="2326032A" w:rsidR="00F40427" w:rsidRPr="007F1C1D" w:rsidRDefault="00E64416" w:rsidP="002D0B28">
      <w:pPr>
        <w:rPr>
          <w:rFonts w:cs="Arial"/>
          <w:b/>
          <w:sz w:val="22"/>
          <w:szCs w:val="22"/>
          <w:lang w:val="en-AU"/>
        </w:rPr>
      </w:pPr>
      <w:r w:rsidRPr="007F1C1D">
        <w:rPr>
          <w:rFonts w:cs="Arial"/>
          <w:b/>
          <w:sz w:val="22"/>
          <w:szCs w:val="22"/>
          <w:lang w:val="en-AU"/>
        </w:rPr>
        <w:t xml:space="preserve">Part </w:t>
      </w:r>
      <w:r w:rsidR="001E468C" w:rsidRPr="007F1C1D">
        <w:rPr>
          <w:rFonts w:cs="Arial"/>
          <w:b/>
          <w:sz w:val="22"/>
          <w:szCs w:val="22"/>
          <w:lang w:val="en-AU"/>
        </w:rPr>
        <w:t>2</w:t>
      </w:r>
      <w:r w:rsidR="004124CF" w:rsidRPr="007F1C1D">
        <w:rPr>
          <w:rFonts w:cs="Arial"/>
          <w:b/>
          <w:sz w:val="22"/>
          <w:szCs w:val="22"/>
          <w:lang w:val="en-AU"/>
        </w:rPr>
        <w:t xml:space="preserve">: Relevant Recommendations, Resolutions and </w:t>
      </w:r>
      <w:r w:rsidR="00440883">
        <w:rPr>
          <w:rFonts w:cs="Arial"/>
          <w:b/>
          <w:sz w:val="22"/>
          <w:szCs w:val="22"/>
          <w:lang w:val="en-AU"/>
        </w:rPr>
        <w:t xml:space="preserve">SC </w:t>
      </w:r>
      <w:r w:rsidR="004124CF" w:rsidRPr="007F1C1D">
        <w:rPr>
          <w:rFonts w:cs="Arial"/>
          <w:b/>
          <w:sz w:val="22"/>
          <w:szCs w:val="22"/>
          <w:lang w:val="en-AU"/>
        </w:rPr>
        <w:t xml:space="preserve">Decisions    </w:t>
      </w:r>
    </w:p>
    <w:p w14:paraId="77890D5B" w14:textId="77777777" w:rsidR="00F40427" w:rsidRPr="007F1C1D" w:rsidRDefault="00F40427" w:rsidP="002D0B28">
      <w:pPr>
        <w:rPr>
          <w:rFonts w:cs="Arial"/>
          <w:b/>
          <w:sz w:val="22"/>
          <w:szCs w:val="22"/>
          <w:lang w:val="en-AU"/>
        </w:rPr>
      </w:pPr>
    </w:p>
    <w:p w14:paraId="5FD25870" w14:textId="5D128E43" w:rsidR="004C4800" w:rsidRPr="007F1C1D" w:rsidRDefault="00E64416" w:rsidP="007D155A">
      <w:pPr>
        <w:pStyle w:val="ListParagraph"/>
        <w:numPr>
          <w:ilvl w:val="0"/>
          <w:numId w:val="31"/>
        </w:numPr>
        <w:rPr>
          <w:rFonts w:cs="Arial"/>
          <w:b/>
          <w:sz w:val="22"/>
          <w:szCs w:val="22"/>
          <w:lang w:val="en-AU"/>
        </w:rPr>
      </w:pPr>
      <w:r w:rsidRPr="007F1C1D">
        <w:rPr>
          <w:rFonts w:cs="Arial"/>
          <w:sz w:val="22"/>
          <w:szCs w:val="22"/>
          <w:lang w:val="en-AU"/>
        </w:rPr>
        <w:t xml:space="preserve">Part </w:t>
      </w:r>
      <w:r w:rsidR="001E468C" w:rsidRPr="007F1C1D">
        <w:rPr>
          <w:rFonts w:cs="Arial"/>
          <w:sz w:val="22"/>
          <w:szCs w:val="22"/>
          <w:lang w:val="en-AU"/>
        </w:rPr>
        <w:t>2</w:t>
      </w:r>
      <w:r w:rsidR="00BA1E15" w:rsidRPr="007F1C1D">
        <w:rPr>
          <w:rFonts w:cs="Arial"/>
          <w:sz w:val="22"/>
          <w:szCs w:val="22"/>
          <w:lang w:val="en-AU"/>
        </w:rPr>
        <w:t xml:space="preserve"> of this advice will provide an overview of the genesis, evolution and current </w:t>
      </w:r>
      <w:r w:rsidR="00446DD5" w:rsidRPr="007F1C1D">
        <w:rPr>
          <w:rFonts w:cs="Arial"/>
          <w:sz w:val="22"/>
          <w:szCs w:val="22"/>
          <w:lang w:val="en-AU"/>
        </w:rPr>
        <w:t xml:space="preserve">framework for endorsing </w:t>
      </w:r>
      <w:r w:rsidR="007A0270" w:rsidRPr="007F1C1D">
        <w:rPr>
          <w:rFonts w:cs="Arial"/>
          <w:sz w:val="22"/>
          <w:szCs w:val="22"/>
          <w:lang w:val="en-AU"/>
        </w:rPr>
        <w:t>RRIs. To clarify,</w:t>
      </w:r>
      <w:r w:rsidR="00BA1E15" w:rsidRPr="007F1C1D">
        <w:rPr>
          <w:rFonts w:cs="Arial"/>
          <w:sz w:val="22"/>
          <w:szCs w:val="22"/>
          <w:lang w:val="en-AU"/>
        </w:rPr>
        <w:t xml:space="preserve"> it will not discuss each Recommendation, Resolution and Decision set out in </w:t>
      </w:r>
      <w:r w:rsidR="003A7881">
        <w:rPr>
          <w:rFonts w:cs="Arial"/>
          <w:b/>
          <w:sz w:val="22"/>
          <w:szCs w:val="22"/>
          <w:lang w:val="en-AU"/>
        </w:rPr>
        <w:t>Appendix</w:t>
      </w:r>
      <w:r w:rsidR="00BA1E15" w:rsidRPr="007F1C1D">
        <w:rPr>
          <w:rFonts w:cs="Arial"/>
          <w:b/>
          <w:sz w:val="22"/>
          <w:szCs w:val="22"/>
          <w:lang w:val="en-AU"/>
        </w:rPr>
        <w:t xml:space="preserve"> 1</w:t>
      </w:r>
      <w:r w:rsidR="003A7881">
        <w:rPr>
          <w:rFonts w:cs="Arial"/>
          <w:b/>
          <w:sz w:val="22"/>
          <w:szCs w:val="22"/>
          <w:lang w:val="en-AU"/>
        </w:rPr>
        <w:t xml:space="preserve"> </w:t>
      </w:r>
      <w:r w:rsidR="003A7881" w:rsidRPr="003A7881">
        <w:rPr>
          <w:rFonts w:cs="Arial"/>
          <w:sz w:val="22"/>
          <w:szCs w:val="22"/>
          <w:lang w:val="en-AU"/>
        </w:rPr>
        <w:t>to this advice</w:t>
      </w:r>
      <w:r w:rsidR="00BA1E15" w:rsidRPr="007F1C1D">
        <w:rPr>
          <w:rFonts w:cs="Arial"/>
          <w:sz w:val="22"/>
          <w:szCs w:val="22"/>
          <w:lang w:val="en-AU"/>
        </w:rPr>
        <w:t>. Rather, it will focus on those that illustrate the development of the framework governing these initiatives</w:t>
      </w:r>
      <w:r w:rsidR="004C4800" w:rsidRPr="007F1C1D">
        <w:rPr>
          <w:rFonts w:cs="Arial"/>
          <w:sz w:val="22"/>
          <w:szCs w:val="22"/>
          <w:lang w:val="en-AU"/>
        </w:rPr>
        <w:t>, and any associated legal structure conferred by relevant Resolutions and SC Decisions</w:t>
      </w:r>
      <w:r w:rsidR="00FB6064" w:rsidRPr="007F1C1D">
        <w:rPr>
          <w:rFonts w:cs="Arial"/>
          <w:sz w:val="22"/>
          <w:szCs w:val="22"/>
          <w:lang w:val="en-AU"/>
        </w:rPr>
        <w:t xml:space="preserve"> (or lack thereof)</w:t>
      </w:r>
      <w:r w:rsidR="00BA1E15" w:rsidRPr="007F1C1D">
        <w:rPr>
          <w:rFonts w:cs="Arial"/>
          <w:sz w:val="22"/>
          <w:szCs w:val="22"/>
          <w:lang w:val="en-AU"/>
        </w:rPr>
        <w:t xml:space="preserve">. </w:t>
      </w:r>
    </w:p>
    <w:p w14:paraId="2397AE9C" w14:textId="77777777" w:rsidR="00BA1E15" w:rsidRPr="007F1C1D" w:rsidRDefault="00BA1E15" w:rsidP="00BA1E15">
      <w:pPr>
        <w:pStyle w:val="ListParagraph"/>
        <w:ind w:left="360"/>
        <w:rPr>
          <w:rFonts w:cs="Arial"/>
          <w:b/>
          <w:sz w:val="22"/>
          <w:szCs w:val="22"/>
          <w:lang w:val="en-AU"/>
        </w:rPr>
      </w:pPr>
    </w:p>
    <w:p w14:paraId="0D125C0F" w14:textId="45DFB62D" w:rsidR="002D0B28" w:rsidRPr="007F1C1D" w:rsidRDefault="00A760A6" w:rsidP="007D155A">
      <w:pPr>
        <w:pStyle w:val="ListParagraph"/>
        <w:numPr>
          <w:ilvl w:val="0"/>
          <w:numId w:val="31"/>
        </w:numPr>
        <w:rPr>
          <w:rFonts w:cs="Arial"/>
          <w:b/>
          <w:sz w:val="22"/>
          <w:szCs w:val="22"/>
          <w:lang w:val="en-AU"/>
        </w:rPr>
      </w:pPr>
      <w:r w:rsidRPr="007F1C1D">
        <w:rPr>
          <w:rFonts w:cs="Arial"/>
          <w:sz w:val="22"/>
          <w:szCs w:val="22"/>
          <w:lang w:val="en-AU"/>
        </w:rPr>
        <w:t xml:space="preserve">The genesis of what are now known as RRIs can be traced to </w:t>
      </w:r>
      <w:r w:rsidRPr="007F1C1D">
        <w:rPr>
          <w:rFonts w:cs="Arial"/>
          <w:b/>
          <w:sz w:val="22"/>
          <w:szCs w:val="22"/>
          <w:lang w:val="en-AU"/>
        </w:rPr>
        <w:t>Recommendation 5.14</w:t>
      </w:r>
      <w:r w:rsidRPr="007F1C1D">
        <w:rPr>
          <w:rFonts w:cs="Arial"/>
          <w:sz w:val="22"/>
          <w:szCs w:val="22"/>
          <w:lang w:val="en-AU"/>
        </w:rPr>
        <w:t>: Collaboration for Mediterranean Wetlands (</w:t>
      </w:r>
      <w:r w:rsidR="007F1428">
        <w:rPr>
          <w:rFonts w:cs="Arial"/>
          <w:sz w:val="22"/>
          <w:szCs w:val="22"/>
          <w:lang w:val="en-AU"/>
        </w:rPr>
        <w:t>COP</w:t>
      </w:r>
      <w:r w:rsidRPr="007F1C1D">
        <w:rPr>
          <w:rFonts w:cs="Arial"/>
          <w:sz w:val="22"/>
          <w:szCs w:val="22"/>
          <w:lang w:val="en-AU"/>
        </w:rPr>
        <w:t>5, 1993). This Recommendation</w:t>
      </w:r>
      <w:r w:rsidR="007A0270" w:rsidRPr="007F1C1D">
        <w:rPr>
          <w:rFonts w:cs="Arial"/>
          <w:sz w:val="22"/>
          <w:szCs w:val="22"/>
          <w:lang w:val="en-AU"/>
        </w:rPr>
        <w:t xml:space="preserve">, </w:t>
      </w:r>
      <w:r w:rsidRPr="007F1C1D">
        <w:rPr>
          <w:rFonts w:cs="Arial"/>
          <w:i/>
          <w:sz w:val="22"/>
          <w:szCs w:val="22"/>
          <w:lang w:val="en-AU"/>
        </w:rPr>
        <w:t>inter alia</w:t>
      </w:r>
      <w:r w:rsidR="007A0270" w:rsidRPr="007F1C1D">
        <w:rPr>
          <w:rFonts w:cs="Arial"/>
          <w:sz w:val="22"/>
          <w:szCs w:val="22"/>
          <w:lang w:val="en-AU"/>
        </w:rPr>
        <w:t>,</w:t>
      </w:r>
      <w:r w:rsidRPr="007F1C1D">
        <w:rPr>
          <w:rFonts w:cs="Arial"/>
          <w:sz w:val="22"/>
          <w:szCs w:val="22"/>
          <w:lang w:val="en-AU"/>
        </w:rPr>
        <w:t xml:space="preserve"> </w:t>
      </w:r>
      <w:r w:rsidR="00A9692D" w:rsidRPr="007F1C1D">
        <w:rPr>
          <w:rFonts w:cs="Arial"/>
          <w:sz w:val="22"/>
          <w:szCs w:val="22"/>
          <w:lang w:val="en-AU"/>
        </w:rPr>
        <w:t>noted that ‘this initiative is carried out jointly by the Governments of France, Greece, Italy, Portugal and Spain, the Commission of the European Communities, the Ramsar Bure</w:t>
      </w:r>
      <w:r w:rsidR="002F09C6">
        <w:rPr>
          <w:rFonts w:cs="Arial"/>
          <w:sz w:val="22"/>
          <w:szCs w:val="22"/>
          <w:lang w:val="en-AU"/>
        </w:rPr>
        <w:t>au, Fondation de la Tour du Vala</w:t>
      </w:r>
      <w:r w:rsidR="00A9692D" w:rsidRPr="007F1C1D">
        <w:rPr>
          <w:rFonts w:cs="Arial"/>
          <w:sz w:val="22"/>
          <w:szCs w:val="22"/>
          <w:lang w:val="en-AU"/>
        </w:rPr>
        <w:t>t, IWRB and WWF-International.’ It went on to welcome</w:t>
      </w:r>
      <w:r w:rsidRPr="007F1C1D">
        <w:rPr>
          <w:rFonts w:cs="Arial"/>
          <w:sz w:val="22"/>
          <w:szCs w:val="22"/>
          <w:lang w:val="en-AU"/>
        </w:rPr>
        <w:t xml:space="preserve"> ‘this regional collaboration activity’, which it considered to be ‘a very promising approach to wetland conservation at an </w:t>
      </w:r>
      <w:r w:rsidRPr="007F1C1D">
        <w:rPr>
          <w:rFonts w:cs="Arial"/>
          <w:sz w:val="22"/>
          <w:szCs w:val="22"/>
          <w:lang w:val="en-AU"/>
        </w:rPr>
        <w:lastRenderedPageBreak/>
        <w:t>international level’ and requested ‘the MedWet partners to present a full report on progress of the MedWet initiative at the Sixth Meeting of the Conference of the Contracting Parties in 1996.’</w:t>
      </w:r>
      <w:r w:rsidR="00A9692D" w:rsidRPr="007F1C1D">
        <w:rPr>
          <w:rFonts w:cs="Arial"/>
          <w:sz w:val="22"/>
          <w:szCs w:val="22"/>
          <w:lang w:val="en-AU"/>
        </w:rPr>
        <w:t xml:space="preserve"> </w:t>
      </w:r>
    </w:p>
    <w:p w14:paraId="14626692" w14:textId="77777777" w:rsidR="00A9692D" w:rsidRPr="007F1C1D" w:rsidRDefault="00A9692D" w:rsidP="00A9692D">
      <w:pPr>
        <w:pStyle w:val="ListParagraph"/>
        <w:ind w:left="360"/>
        <w:rPr>
          <w:rFonts w:cs="Arial"/>
          <w:b/>
          <w:sz w:val="22"/>
          <w:szCs w:val="22"/>
          <w:lang w:val="en-AU"/>
        </w:rPr>
      </w:pPr>
    </w:p>
    <w:p w14:paraId="5B073ECD" w14:textId="6C31AA58" w:rsidR="00BA1E15" w:rsidRPr="00B0549E" w:rsidRDefault="00A9692D" w:rsidP="00BA1E15">
      <w:pPr>
        <w:pStyle w:val="ListParagraph"/>
        <w:numPr>
          <w:ilvl w:val="0"/>
          <w:numId w:val="31"/>
        </w:numPr>
        <w:rPr>
          <w:rFonts w:cs="Arial"/>
          <w:b/>
          <w:sz w:val="22"/>
          <w:szCs w:val="22"/>
          <w:lang w:val="en-AU"/>
        </w:rPr>
      </w:pPr>
      <w:r w:rsidRPr="007F1C1D">
        <w:rPr>
          <w:rFonts w:cs="Arial"/>
          <w:sz w:val="22"/>
          <w:szCs w:val="22"/>
          <w:lang w:val="en-AU"/>
        </w:rPr>
        <w:t xml:space="preserve">This was followed by </w:t>
      </w:r>
      <w:r w:rsidRPr="007F1C1D">
        <w:rPr>
          <w:rFonts w:cs="Arial"/>
          <w:b/>
          <w:sz w:val="22"/>
          <w:szCs w:val="22"/>
          <w:lang w:val="en-AU"/>
        </w:rPr>
        <w:t>Recommendation 6.11</w:t>
      </w:r>
      <w:r w:rsidRPr="007F1C1D">
        <w:rPr>
          <w:rFonts w:cs="Arial"/>
          <w:sz w:val="22"/>
          <w:szCs w:val="22"/>
          <w:lang w:val="en-AU"/>
        </w:rPr>
        <w:t>: Continuing Collaboration for Mediterranean Wetlands (</w:t>
      </w:r>
      <w:r w:rsidR="007F1428">
        <w:rPr>
          <w:rFonts w:cs="Arial"/>
          <w:sz w:val="22"/>
          <w:szCs w:val="22"/>
          <w:lang w:val="en-AU"/>
        </w:rPr>
        <w:t>COP</w:t>
      </w:r>
      <w:r w:rsidRPr="007F1C1D">
        <w:rPr>
          <w:rFonts w:cs="Arial"/>
          <w:sz w:val="22"/>
          <w:szCs w:val="22"/>
          <w:lang w:val="en-AU"/>
        </w:rPr>
        <w:t>6, 1996). This Recommendation</w:t>
      </w:r>
      <w:r w:rsidR="007A0270" w:rsidRPr="007F1C1D">
        <w:rPr>
          <w:rFonts w:cs="Arial"/>
          <w:sz w:val="22"/>
          <w:szCs w:val="22"/>
          <w:lang w:val="en-AU"/>
        </w:rPr>
        <w:t xml:space="preserve">, </w:t>
      </w:r>
      <w:r w:rsidRPr="007F1C1D">
        <w:rPr>
          <w:rFonts w:cs="Arial"/>
          <w:i/>
          <w:sz w:val="22"/>
          <w:szCs w:val="22"/>
          <w:lang w:val="en-AU"/>
        </w:rPr>
        <w:t>inter alia</w:t>
      </w:r>
      <w:r w:rsidR="007A0270" w:rsidRPr="007F1C1D">
        <w:rPr>
          <w:rFonts w:cs="Arial"/>
          <w:sz w:val="22"/>
          <w:szCs w:val="22"/>
          <w:lang w:val="en-AU"/>
        </w:rPr>
        <w:t xml:space="preserve">, </w:t>
      </w:r>
      <w:r w:rsidRPr="007F1C1D">
        <w:rPr>
          <w:rFonts w:cs="Arial"/>
          <w:sz w:val="22"/>
          <w:szCs w:val="22"/>
          <w:lang w:val="en-AU"/>
        </w:rPr>
        <w:t>welcomed ‘this form of concerted and integrated collaboration between government and non-government partners for the conservation and wise use of Mediterranean wetlands</w:t>
      </w:r>
      <w:r w:rsidR="0068497F" w:rsidRPr="007F1C1D">
        <w:rPr>
          <w:rFonts w:cs="Arial"/>
          <w:sz w:val="22"/>
          <w:szCs w:val="22"/>
          <w:lang w:val="en-AU"/>
        </w:rPr>
        <w:t xml:space="preserve">’ which it </w:t>
      </w:r>
      <w:r w:rsidR="00BA1E15" w:rsidRPr="007F1C1D">
        <w:rPr>
          <w:rFonts w:cs="Arial"/>
          <w:sz w:val="22"/>
          <w:szCs w:val="22"/>
          <w:lang w:val="en-AU"/>
        </w:rPr>
        <w:t>considered</w:t>
      </w:r>
      <w:r w:rsidR="0068497F" w:rsidRPr="007F1C1D">
        <w:rPr>
          <w:rFonts w:cs="Arial"/>
          <w:sz w:val="22"/>
          <w:szCs w:val="22"/>
          <w:lang w:val="en-AU"/>
        </w:rPr>
        <w:t xml:space="preserve"> to be</w:t>
      </w:r>
      <w:r w:rsidRPr="007F1C1D">
        <w:rPr>
          <w:rFonts w:cs="Arial"/>
          <w:sz w:val="22"/>
          <w:szCs w:val="22"/>
          <w:lang w:val="en-AU"/>
        </w:rPr>
        <w:t xml:space="preserve"> </w:t>
      </w:r>
      <w:r w:rsidR="0068497F" w:rsidRPr="007F1C1D">
        <w:rPr>
          <w:rFonts w:cs="Arial"/>
          <w:sz w:val="22"/>
          <w:szCs w:val="22"/>
          <w:lang w:val="en-AU"/>
        </w:rPr>
        <w:t>‘</w:t>
      </w:r>
      <w:r w:rsidRPr="007F1C1D">
        <w:rPr>
          <w:rFonts w:cs="Arial"/>
          <w:sz w:val="22"/>
          <w:szCs w:val="22"/>
          <w:lang w:val="en-AU"/>
        </w:rPr>
        <w:t>a promising model for wetland activities in other region</w:t>
      </w:r>
      <w:r w:rsidR="00FF7DF0" w:rsidRPr="007F1C1D">
        <w:rPr>
          <w:rFonts w:cs="Arial"/>
          <w:sz w:val="22"/>
          <w:szCs w:val="22"/>
          <w:lang w:val="en-AU"/>
        </w:rPr>
        <w:t>s</w:t>
      </w:r>
      <w:r w:rsidRPr="007F1C1D">
        <w:rPr>
          <w:rFonts w:cs="Arial"/>
          <w:sz w:val="22"/>
          <w:szCs w:val="22"/>
          <w:lang w:val="en-AU"/>
        </w:rPr>
        <w:t>.’</w:t>
      </w:r>
      <w:r w:rsidR="00BA1E15" w:rsidRPr="007F1C1D">
        <w:rPr>
          <w:rFonts w:cs="Arial"/>
          <w:sz w:val="22"/>
          <w:szCs w:val="22"/>
          <w:lang w:val="en-AU"/>
        </w:rPr>
        <w:t xml:space="preserve"> Relevantly, the Recommendation did not include any clear guidance regarding the formal corporate structure to be adopted by MedWet, or its legal status. Rather, it described the initiative as a ‘collaboration’.</w:t>
      </w:r>
      <w:r w:rsidR="0068497F" w:rsidRPr="007F1C1D">
        <w:rPr>
          <w:rFonts w:cs="Arial"/>
          <w:sz w:val="22"/>
          <w:szCs w:val="22"/>
          <w:lang w:val="en-AU"/>
        </w:rPr>
        <w:t xml:space="preserve"> Furthermore, w</w:t>
      </w:r>
      <w:r w:rsidR="00BA1E15" w:rsidRPr="007F1C1D">
        <w:rPr>
          <w:rFonts w:cs="Arial"/>
          <w:sz w:val="22"/>
          <w:szCs w:val="22"/>
          <w:lang w:val="en-AU"/>
        </w:rPr>
        <w:t>hile the</w:t>
      </w:r>
      <w:r w:rsidRPr="007F1C1D">
        <w:rPr>
          <w:rFonts w:cs="Arial"/>
          <w:sz w:val="22"/>
          <w:szCs w:val="22"/>
          <w:lang w:val="en-AU"/>
        </w:rPr>
        <w:t xml:space="preserve"> Recommendation did not formally authorise the creation </w:t>
      </w:r>
      <w:r w:rsidR="00B32EC5">
        <w:rPr>
          <w:rFonts w:cs="Arial"/>
          <w:sz w:val="22"/>
          <w:szCs w:val="22"/>
          <w:lang w:val="en-AU"/>
        </w:rPr>
        <w:t xml:space="preserve">of </w:t>
      </w:r>
      <w:r w:rsidRPr="007F1C1D">
        <w:rPr>
          <w:rFonts w:cs="Arial"/>
          <w:sz w:val="22"/>
          <w:szCs w:val="22"/>
          <w:lang w:val="en-AU"/>
        </w:rPr>
        <w:t xml:space="preserve">other entities (in the mould of MedWet), it did </w:t>
      </w:r>
      <w:r w:rsidR="0068497F" w:rsidRPr="007F1C1D">
        <w:rPr>
          <w:rFonts w:cs="Arial"/>
          <w:sz w:val="22"/>
          <w:szCs w:val="22"/>
          <w:lang w:val="en-AU"/>
        </w:rPr>
        <w:t xml:space="preserve">encourage </w:t>
      </w:r>
      <w:r w:rsidR="00F450E6" w:rsidRPr="007F1C1D">
        <w:rPr>
          <w:rFonts w:cs="Arial"/>
          <w:sz w:val="22"/>
          <w:szCs w:val="22"/>
          <w:lang w:val="en-AU"/>
        </w:rPr>
        <w:t xml:space="preserve">the Contracting </w:t>
      </w:r>
      <w:r w:rsidR="0068497F" w:rsidRPr="007F1C1D">
        <w:rPr>
          <w:rFonts w:cs="Arial"/>
          <w:sz w:val="22"/>
          <w:szCs w:val="22"/>
          <w:lang w:val="en-AU"/>
        </w:rPr>
        <w:t xml:space="preserve">Parties to consider the value of cooperating in a similar manner at the regional level. </w:t>
      </w:r>
    </w:p>
    <w:p w14:paraId="7319C7BF" w14:textId="77777777" w:rsidR="00B0549E" w:rsidRPr="00B0549E" w:rsidRDefault="00B0549E" w:rsidP="00B0549E">
      <w:pPr>
        <w:rPr>
          <w:rFonts w:cs="Arial"/>
          <w:b/>
          <w:sz w:val="22"/>
          <w:szCs w:val="22"/>
          <w:lang w:val="en-AU"/>
        </w:rPr>
      </w:pPr>
    </w:p>
    <w:p w14:paraId="223F0C32" w14:textId="47EC070E" w:rsidR="00E2352A" w:rsidRPr="007F1C1D" w:rsidRDefault="000A189C" w:rsidP="007D155A">
      <w:pPr>
        <w:pStyle w:val="ListParagraph"/>
        <w:numPr>
          <w:ilvl w:val="0"/>
          <w:numId w:val="31"/>
        </w:numPr>
        <w:rPr>
          <w:rFonts w:cs="Arial"/>
          <w:b/>
          <w:sz w:val="22"/>
          <w:szCs w:val="22"/>
          <w:lang w:val="en-AU"/>
        </w:rPr>
      </w:pPr>
      <w:r w:rsidRPr="007F1C1D">
        <w:rPr>
          <w:rFonts w:cs="Arial"/>
          <w:b/>
          <w:sz w:val="22"/>
          <w:szCs w:val="22"/>
          <w:lang w:val="en-AU"/>
        </w:rPr>
        <w:t>Resolution V</w:t>
      </w:r>
      <w:r w:rsidR="00253DF0" w:rsidRPr="007F1C1D">
        <w:rPr>
          <w:rFonts w:cs="Arial"/>
          <w:b/>
          <w:sz w:val="22"/>
          <w:szCs w:val="22"/>
          <w:lang w:val="en-AU"/>
        </w:rPr>
        <w:t>II</w:t>
      </w:r>
      <w:r w:rsidRPr="007F1C1D">
        <w:rPr>
          <w:rFonts w:cs="Arial"/>
          <w:b/>
          <w:sz w:val="22"/>
          <w:szCs w:val="22"/>
          <w:lang w:val="en-AU"/>
        </w:rPr>
        <w:t>.22</w:t>
      </w:r>
      <w:r w:rsidR="004F337F" w:rsidRPr="007F1C1D">
        <w:rPr>
          <w:rFonts w:cs="Arial"/>
          <w:sz w:val="22"/>
          <w:szCs w:val="22"/>
          <w:lang w:val="en-AU"/>
        </w:rPr>
        <w:t>: Collaborative structure for Mediterranean Wetlands</w:t>
      </w:r>
      <w:r w:rsidRPr="007F1C1D">
        <w:rPr>
          <w:rFonts w:cs="Arial"/>
          <w:sz w:val="22"/>
          <w:szCs w:val="22"/>
          <w:lang w:val="en-AU"/>
        </w:rPr>
        <w:t xml:space="preserve"> (</w:t>
      </w:r>
      <w:r w:rsidR="007F1428">
        <w:rPr>
          <w:rFonts w:cs="Arial"/>
          <w:sz w:val="22"/>
          <w:szCs w:val="22"/>
          <w:lang w:val="en-AU"/>
        </w:rPr>
        <w:t>COP</w:t>
      </w:r>
      <w:r w:rsidRPr="007F1C1D">
        <w:rPr>
          <w:rFonts w:cs="Arial"/>
          <w:sz w:val="22"/>
          <w:szCs w:val="22"/>
          <w:lang w:val="en-AU"/>
        </w:rPr>
        <w:t>7, 1999)</w:t>
      </w:r>
      <w:r w:rsidR="00F450E6" w:rsidRPr="007F1C1D">
        <w:rPr>
          <w:rFonts w:cs="Arial"/>
          <w:sz w:val="22"/>
          <w:szCs w:val="22"/>
          <w:lang w:val="en-AU"/>
        </w:rPr>
        <w:t>,</w:t>
      </w:r>
      <w:r w:rsidRPr="007F1C1D">
        <w:rPr>
          <w:rFonts w:cs="Arial"/>
          <w:sz w:val="22"/>
          <w:szCs w:val="22"/>
          <w:lang w:val="en-AU"/>
        </w:rPr>
        <w:t xml:space="preserve"> formally approved the ‘establishment of the Mediterranean Wetlands Committee (MedWet/Com) within the framework of the Convention, as a forum for collaboration on wetland issues in the Mediterranean and as an advisor to the Convention in this region.’</w:t>
      </w:r>
      <w:r w:rsidR="00BB417E" w:rsidRPr="007F1C1D">
        <w:rPr>
          <w:rFonts w:cs="Arial"/>
          <w:sz w:val="22"/>
          <w:szCs w:val="22"/>
          <w:lang w:val="en-AU"/>
        </w:rPr>
        <w:t xml:space="preserve"> MedWet and the Committee appear to be effectively one and the same entity</w:t>
      </w:r>
      <w:r w:rsidR="004F337F" w:rsidRPr="007F1C1D">
        <w:rPr>
          <w:rFonts w:cs="Arial"/>
          <w:sz w:val="22"/>
          <w:szCs w:val="22"/>
          <w:lang w:val="en-AU"/>
        </w:rPr>
        <w:t xml:space="preserve">. This </w:t>
      </w:r>
      <w:r w:rsidR="00BB417E" w:rsidRPr="007F1C1D">
        <w:rPr>
          <w:rFonts w:cs="Arial"/>
          <w:sz w:val="22"/>
          <w:szCs w:val="22"/>
          <w:lang w:val="en-AU"/>
        </w:rPr>
        <w:t xml:space="preserve">implies that the </w:t>
      </w:r>
      <w:r w:rsidR="007F1428">
        <w:rPr>
          <w:rFonts w:cs="Arial"/>
          <w:sz w:val="22"/>
          <w:szCs w:val="22"/>
          <w:lang w:val="en-AU"/>
        </w:rPr>
        <w:t>COP</w:t>
      </w:r>
      <w:r w:rsidR="00BB417E" w:rsidRPr="007F1C1D">
        <w:rPr>
          <w:rFonts w:cs="Arial"/>
          <w:sz w:val="22"/>
          <w:szCs w:val="22"/>
          <w:lang w:val="en-AU"/>
        </w:rPr>
        <w:t xml:space="preserve"> was yet</w:t>
      </w:r>
      <w:r w:rsidR="00B2551F">
        <w:rPr>
          <w:rFonts w:cs="Arial"/>
          <w:sz w:val="22"/>
          <w:szCs w:val="22"/>
          <w:lang w:val="en-AU"/>
        </w:rPr>
        <w:t xml:space="preserve"> again endorsing a collaborative</w:t>
      </w:r>
      <w:r w:rsidR="00BB417E" w:rsidRPr="007F1C1D">
        <w:rPr>
          <w:rFonts w:cs="Arial"/>
          <w:sz w:val="22"/>
          <w:szCs w:val="22"/>
          <w:lang w:val="en-AU"/>
        </w:rPr>
        <w:t xml:space="preserve"> framework</w:t>
      </w:r>
      <w:r w:rsidR="004F337F" w:rsidRPr="007F1C1D">
        <w:rPr>
          <w:rFonts w:cs="Arial"/>
          <w:sz w:val="22"/>
          <w:szCs w:val="22"/>
          <w:lang w:val="en-AU"/>
        </w:rPr>
        <w:t xml:space="preserve"> (as suggested by the title of the Resolution),</w:t>
      </w:r>
      <w:r w:rsidR="00BB417E" w:rsidRPr="007F1C1D">
        <w:rPr>
          <w:rFonts w:cs="Arial"/>
          <w:sz w:val="22"/>
          <w:szCs w:val="22"/>
          <w:lang w:val="en-AU"/>
        </w:rPr>
        <w:t xml:space="preserve"> rather than a formal corporate structure with any particular le</w:t>
      </w:r>
      <w:r w:rsidR="00A54FE3" w:rsidRPr="007F1C1D">
        <w:rPr>
          <w:rFonts w:cs="Arial"/>
          <w:sz w:val="22"/>
          <w:szCs w:val="22"/>
          <w:lang w:val="en-AU"/>
        </w:rPr>
        <w:t xml:space="preserve">gal status or personality. </w:t>
      </w:r>
    </w:p>
    <w:p w14:paraId="555FA6C4" w14:textId="77777777" w:rsidR="00E2352A" w:rsidRPr="007F1C1D" w:rsidRDefault="00E2352A" w:rsidP="00E2352A">
      <w:pPr>
        <w:rPr>
          <w:rFonts w:cs="Arial"/>
          <w:b/>
          <w:sz w:val="22"/>
          <w:szCs w:val="22"/>
          <w:lang w:val="en-AU"/>
        </w:rPr>
      </w:pPr>
    </w:p>
    <w:p w14:paraId="1EE43921" w14:textId="70AE4FF7" w:rsidR="00E2352A" w:rsidRPr="007F1C1D" w:rsidRDefault="00FB6064" w:rsidP="007D155A">
      <w:pPr>
        <w:pStyle w:val="ListParagraph"/>
        <w:numPr>
          <w:ilvl w:val="0"/>
          <w:numId w:val="31"/>
        </w:numPr>
        <w:rPr>
          <w:rFonts w:cs="Arial"/>
          <w:b/>
          <w:sz w:val="22"/>
          <w:szCs w:val="22"/>
          <w:lang w:val="en-AU"/>
        </w:rPr>
      </w:pPr>
      <w:r w:rsidRPr="007F1C1D">
        <w:rPr>
          <w:rFonts w:cs="Arial"/>
          <w:b/>
          <w:sz w:val="22"/>
          <w:szCs w:val="22"/>
          <w:lang w:val="en-AU"/>
        </w:rPr>
        <w:t>Resolution VIII.30</w:t>
      </w:r>
      <w:r w:rsidRPr="007F1C1D">
        <w:rPr>
          <w:rFonts w:cs="Arial"/>
          <w:sz w:val="22"/>
          <w:szCs w:val="22"/>
          <w:lang w:val="en-AU"/>
        </w:rPr>
        <w:t>: Regional initiatives for the further implementation of the Convention (</w:t>
      </w:r>
      <w:r w:rsidR="007F1428">
        <w:rPr>
          <w:rFonts w:cs="Arial"/>
          <w:sz w:val="22"/>
          <w:szCs w:val="22"/>
          <w:lang w:val="en-AU"/>
        </w:rPr>
        <w:t>COP</w:t>
      </w:r>
      <w:r w:rsidRPr="007F1C1D">
        <w:rPr>
          <w:rFonts w:cs="Arial"/>
          <w:sz w:val="22"/>
          <w:szCs w:val="22"/>
          <w:lang w:val="en-AU"/>
        </w:rPr>
        <w:t>8, 2002)</w:t>
      </w:r>
      <w:r w:rsidR="00F450E6" w:rsidRPr="007F1C1D">
        <w:rPr>
          <w:rFonts w:cs="Arial"/>
          <w:sz w:val="22"/>
          <w:szCs w:val="22"/>
          <w:lang w:val="en-AU"/>
        </w:rPr>
        <w:t>,</w:t>
      </w:r>
      <w:r w:rsidRPr="007F1C1D">
        <w:rPr>
          <w:rFonts w:cs="Arial"/>
          <w:sz w:val="22"/>
          <w:szCs w:val="22"/>
          <w:lang w:val="en-AU"/>
        </w:rPr>
        <w:t xml:space="preserve"> marked a turning point insofar as it was </w:t>
      </w:r>
      <w:r w:rsidR="00675F39" w:rsidRPr="007F1C1D">
        <w:rPr>
          <w:rFonts w:cs="Arial"/>
          <w:sz w:val="22"/>
          <w:szCs w:val="22"/>
          <w:lang w:val="en-AU"/>
        </w:rPr>
        <w:t xml:space="preserve">the first time the </w:t>
      </w:r>
      <w:r w:rsidR="007F1428">
        <w:rPr>
          <w:rFonts w:cs="Arial"/>
          <w:sz w:val="22"/>
          <w:szCs w:val="22"/>
          <w:lang w:val="en-AU"/>
        </w:rPr>
        <w:t>COP</w:t>
      </w:r>
      <w:r w:rsidR="00675F39" w:rsidRPr="007F1C1D">
        <w:rPr>
          <w:rFonts w:cs="Arial"/>
          <w:sz w:val="22"/>
          <w:szCs w:val="22"/>
          <w:lang w:val="en-AU"/>
        </w:rPr>
        <w:t xml:space="preserve"> had formally developed and endorsed general guidelines concerning </w:t>
      </w:r>
      <w:r w:rsidR="00E2352A" w:rsidRPr="007F1C1D">
        <w:rPr>
          <w:rFonts w:cs="Arial"/>
          <w:sz w:val="22"/>
          <w:szCs w:val="22"/>
          <w:lang w:val="en-AU"/>
        </w:rPr>
        <w:t>RRIs</w:t>
      </w:r>
      <w:r w:rsidR="00675F39" w:rsidRPr="007F1C1D">
        <w:rPr>
          <w:rFonts w:cs="Arial"/>
          <w:sz w:val="22"/>
          <w:szCs w:val="22"/>
          <w:lang w:val="en-AU"/>
        </w:rPr>
        <w:t>. Entitled ‘Guidance for the development of Regional Initiatives in the framework of the Convention on Wetlands’</w:t>
      </w:r>
      <w:r w:rsidR="00536EC7" w:rsidRPr="007F1C1D">
        <w:rPr>
          <w:rFonts w:cs="Arial"/>
          <w:sz w:val="22"/>
          <w:szCs w:val="22"/>
          <w:lang w:val="en-AU"/>
        </w:rPr>
        <w:t xml:space="preserve"> (</w:t>
      </w:r>
      <w:r w:rsidR="00536EC7" w:rsidRPr="007F1C1D">
        <w:rPr>
          <w:rFonts w:cs="Arial"/>
          <w:b/>
          <w:sz w:val="22"/>
          <w:szCs w:val="22"/>
          <w:lang w:val="en-AU"/>
        </w:rPr>
        <w:t>Guidance Document</w:t>
      </w:r>
      <w:r w:rsidR="00536EC7" w:rsidRPr="007F1C1D">
        <w:rPr>
          <w:rFonts w:cs="Arial"/>
          <w:sz w:val="22"/>
          <w:szCs w:val="22"/>
          <w:lang w:val="en-AU"/>
        </w:rPr>
        <w:t>)</w:t>
      </w:r>
      <w:r w:rsidR="00F450E6" w:rsidRPr="007F1C1D">
        <w:rPr>
          <w:rFonts w:cs="Arial"/>
          <w:sz w:val="22"/>
          <w:szCs w:val="22"/>
          <w:lang w:val="en-AU"/>
        </w:rPr>
        <w:t>, it</w:t>
      </w:r>
      <w:r w:rsidR="00675F39" w:rsidRPr="007F1C1D">
        <w:rPr>
          <w:rFonts w:cs="Arial"/>
          <w:sz w:val="22"/>
          <w:szCs w:val="22"/>
          <w:lang w:val="en-AU"/>
        </w:rPr>
        <w:t xml:space="preserve"> set out a simple set of principles div</w:t>
      </w:r>
      <w:r w:rsidR="00B2551F">
        <w:rPr>
          <w:rFonts w:cs="Arial"/>
          <w:sz w:val="22"/>
          <w:szCs w:val="22"/>
          <w:lang w:val="en-AU"/>
        </w:rPr>
        <w:t>ided into four areas: ‘Aim’; ‘Substantive Elements’;</w:t>
      </w:r>
      <w:r w:rsidR="00675F39" w:rsidRPr="007F1C1D">
        <w:rPr>
          <w:rFonts w:cs="Arial"/>
          <w:sz w:val="22"/>
          <w:szCs w:val="22"/>
          <w:lang w:val="en-AU"/>
        </w:rPr>
        <w:t xml:space="preserve"> ‘Financial and other Support’</w:t>
      </w:r>
      <w:r w:rsidR="00B2551F">
        <w:rPr>
          <w:rFonts w:cs="Arial"/>
          <w:sz w:val="22"/>
          <w:szCs w:val="22"/>
          <w:lang w:val="en-AU"/>
        </w:rPr>
        <w:t>;</w:t>
      </w:r>
      <w:r w:rsidR="00675F39" w:rsidRPr="007F1C1D">
        <w:rPr>
          <w:rFonts w:cs="Arial"/>
          <w:sz w:val="22"/>
          <w:szCs w:val="22"/>
          <w:lang w:val="en-AU"/>
        </w:rPr>
        <w:t xml:space="preserve"> and ‘Governance’. Relevantly</w:t>
      </w:r>
      <w:r w:rsidR="00F450E6" w:rsidRPr="007F1C1D">
        <w:rPr>
          <w:rFonts w:cs="Arial"/>
          <w:sz w:val="22"/>
          <w:szCs w:val="22"/>
          <w:lang w:val="en-AU"/>
        </w:rPr>
        <w:t>, the Guidance Document</w:t>
      </w:r>
      <w:r w:rsidR="00E2352A" w:rsidRPr="007F1C1D">
        <w:rPr>
          <w:rFonts w:cs="Arial"/>
          <w:sz w:val="22"/>
          <w:szCs w:val="22"/>
          <w:lang w:val="en-AU"/>
        </w:rPr>
        <w:t xml:space="preserve"> state</w:t>
      </w:r>
      <w:r w:rsidR="00F450E6" w:rsidRPr="007F1C1D">
        <w:rPr>
          <w:rFonts w:cs="Arial"/>
          <w:sz w:val="22"/>
          <w:szCs w:val="22"/>
          <w:lang w:val="en-AU"/>
        </w:rPr>
        <w:t>s</w:t>
      </w:r>
      <w:r w:rsidR="00E2352A" w:rsidRPr="007F1C1D">
        <w:rPr>
          <w:rFonts w:cs="Arial"/>
          <w:sz w:val="22"/>
          <w:szCs w:val="22"/>
          <w:lang w:val="en-AU"/>
        </w:rPr>
        <w:t xml:space="preserve"> that</w:t>
      </w:r>
      <w:r w:rsidR="00F450E6" w:rsidRPr="007F1C1D">
        <w:rPr>
          <w:rFonts w:cs="Arial"/>
          <w:sz w:val="22"/>
          <w:szCs w:val="22"/>
          <w:lang w:val="en-AU"/>
        </w:rPr>
        <w:t xml:space="preserve"> the</w:t>
      </w:r>
      <w:r w:rsidR="00E2352A" w:rsidRPr="007F1C1D">
        <w:rPr>
          <w:rFonts w:cs="Arial"/>
          <w:sz w:val="22"/>
          <w:szCs w:val="22"/>
          <w:lang w:val="en-AU"/>
        </w:rPr>
        <w:t xml:space="preserve"> ‘</w:t>
      </w:r>
      <w:r w:rsidR="00675F39" w:rsidRPr="007F1C1D">
        <w:rPr>
          <w:rFonts w:cs="Arial"/>
          <w:sz w:val="22"/>
          <w:szCs w:val="22"/>
          <w:lang w:val="en-AU"/>
        </w:rPr>
        <w:t>overall aim of regional initiatives should be to promote the objectives of the Convention in general and to implement the Ramsar Strategic Plan in particular…’.</w:t>
      </w:r>
      <w:r w:rsidR="00E2352A" w:rsidRPr="007F1C1D">
        <w:rPr>
          <w:rFonts w:cs="Arial"/>
          <w:sz w:val="22"/>
          <w:szCs w:val="22"/>
          <w:lang w:val="en-AU"/>
        </w:rPr>
        <w:t xml:space="preserve"> Furthermore, RRIs should establish their own advisory mechanism, involving all of the stakeh</w:t>
      </w:r>
      <w:r w:rsidR="00F450E6" w:rsidRPr="007F1C1D">
        <w:rPr>
          <w:rFonts w:cs="Arial"/>
          <w:sz w:val="22"/>
          <w:szCs w:val="22"/>
          <w:lang w:val="en-AU"/>
        </w:rPr>
        <w:t xml:space="preserve">olders, and </w:t>
      </w:r>
      <w:r w:rsidR="00E2352A" w:rsidRPr="007F1C1D">
        <w:rPr>
          <w:rFonts w:cs="Arial"/>
          <w:sz w:val="22"/>
          <w:szCs w:val="22"/>
          <w:lang w:val="en-AU"/>
        </w:rPr>
        <w:t xml:space="preserve">shall report </w:t>
      </w:r>
      <w:r w:rsidR="00F450E6" w:rsidRPr="007F1C1D">
        <w:rPr>
          <w:rFonts w:cs="Arial"/>
          <w:sz w:val="22"/>
          <w:szCs w:val="22"/>
          <w:lang w:val="en-AU"/>
        </w:rPr>
        <w:t xml:space="preserve">to the </w:t>
      </w:r>
      <w:r w:rsidR="007F1428">
        <w:rPr>
          <w:rFonts w:cs="Arial"/>
          <w:sz w:val="22"/>
          <w:szCs w:val="22"/>
          <w:lang w:val="en-AU"/>
        </w:rPr>
        <w:t>COP</w:t>
      </w:r>
      <w:r w:rsidR="00F450E6" w:rsidRPr="007F1C1D">
        <w:rPr>
          <w:rFonts w:cs="Arial"/>
          <w:sz w:val="22"/>
          <w:szCs w:val="22"/>
          <w:lang w:val="en-AU"/>
        </w:rPr>
        <w:t xml:space="preserve"> (through the Bureau).</w:t>
      </w:r>
      <w:r w:rsidR="00E2352A" w:rsidRPr="007F1C1D">
        <w:rPr>
          <w:rFonts w:cs="Arial"/>
          <w:sz w:val="22"/>
          <w:szCs w:val="22"/>
          <w:lang w:val="en-AU"/>
        </w:rPr>
        <w:t xml:space="preserve"> </w:t>
      </w:r>
    </w:p>
    <w:p w14:paraId="1ED9A58F" w14:textId="77777777" w:rsidR="0094377A" w:rsidRPr="007F1C1D" w:rsidRDefault="0094377A" w:rsidP="0094377A">
      <w:pPr>
        <w:rPr>
          <w:rFonts w:cs="Arial"/>
          <w:b/>
          <w:sz w:val="22"/>
          <w:szCs w:val="22"/>
          <w:lang w:val="en-AU"/>
        </w:rPr>
      </w:pPr>
    </w:p>
    <w:p w14:paraId="2AFF4A7F" w14:textId="57FE7D0E" w:rsidR="0094377A" w:rsidRPr="007F1C1D" w:rsidRDefault="0094377A" w:rsidP="007D155A">
      <w:pPr>
        <w:pStyle w:val="ListParagraph"/>
        <w:numPr>
          <w:ilvl w:val="0"/>
          <w:numId w:val="31"/>
        </w:numPr>
        <w:rPr>
          <w:rFonts w:cs="Arial"/>
          <w:b/>
          <w:sz w:val="22"/>
          <w:szCs w:val="22"/>
          <w:lang w:val="en-AU"/>
        </w:rPr>
      </w:pPr>
      <w:r w:rsidRPr="007F1C1D">
        <w:rPr>
          <w:rFonts w:cs="Arial"/>
          <w:sz w:val="22"/>
          <w:szCs w:val="22"/>
          <w:lang w:val="en-AU"/>
        </w:rPr>
        <w:t>In summary, the Guidance Document did not stipulate any specific legal structure for regional initiatives and did not provide for the creation of entities with legal personality. Rather, it appears to be endorsing an informal structure to facilitate cooperation between relevant stakeholders (including</w:t>
      </w:r>
      <w:r w:rsidR="00F450E6" w:rsidRPr="007F1C1D">
        <w:rPr>
          <w:rFonts w:cs="Arial"/>
          <w:sz w:val="22"/>
          <w:szCs w:val="22"/>
          <w:lang w:val="en-AU"/>
        </w:rPr>
        <w:t xml:space="preserve"> Administrative Authorities) so as to</w:t>
      </w:r>
      <w:r w:rsidRPr="007F1C1D">
        <w:rPr>
          <w:rFonts w:cs="Arial"/>
          <w:sz w:val="22"/>
          <w:szCs w:val="22"/>
          <w:lang w:val="en-AU"/>
        </w:rPr>
        <w:t xml:space="preserve"> enhance implementation of the Convention and its Strategic Plan in regional areas. Additional details regarding the contents of this Resolution are contained in </w:t>
      </w:r>
      <w:r w:rsidR="008B7B6E">
        <w:rPr>
          <w:rFonts w:cs="Arial"/>
          <w:b/>
          <w:sz w:val="22"/>
          <w:szCs w:val="22"/>
          <w:lang w:val="en-AU"/>
        </w:rPr>
        <w:t>Appendix</w:t>
      </w:r>
      <w:r w:rsidRPr="007F1C1D">
        <w:rPr>
          <w:rFonts w:cs="Arial"/>
          <w:b/>
          <w:sz w:val="22"/>
          <w:szCs w:val="22"/>
          <w:lang w:val="en-AU"/>
        </w:rPr>
        <w:t xml:space="preserve"> 2</w:t>
      </w:r>
      <w:r w:rsidRPr="007F1C1D">
        <w:rPr>
          <w:rFonts w:cs="Arial"/>
          <w:sz w:val="22"/>
          <w:szCs w:val="22"/>
          <w:lang w:val="en-AU"/>
        </w:rPr>
        <w:t xml:space="preserve">. </w:t>
      </w:r>
    </w:p>
    <w:p w14:paraId="2E599E54" w14:textId="77777777" w:rsidR="005266A2" w:rsidRPr="007F1C1D" w:rsidRDefault="005266A2" w:rsidP="0094377A">
      <w:pPr>
        <w:rPr>
          <w:rFonts w:cs="Arial"/>
          <w:b/>
          <w:sz w:val="22"/>
          <w:szCs w:val="22"/>
          <w:lang w:val="en-AU"/>
        </w:rPr>
      </w:pPr>
    </w:p>
    <w:p w14:paraId="0A167353" w14:textId="3F75F379" w:rsidR="005266A2" w:rsidRPr="007F1C1D" w:rsidRDefault="00381A56" w:rsidP="007D155A">
      <w:pPr>
        <w:pStyle w:val="ListParagraph"/>
        <w:numPr>
          <w:ilvl w:val="0"/>
          <w:numId w:val="31"/>
        </w:numPr>
        <w:rPr>
          <w:rFonts w:cs="Arial"/>
          <w:b/>
          <w:sz w:val="22"/>
          <w:szCs w:val="22"/>
          <w:lang w:val="en-AU"/>
        </w:rPr>
      </w:pPr>
      <w:r w:rsidRPr="007F1C1D">
        <w:rPr>
          <w:rFonts w:cs="Arial"/>
          <w:b/>
          <w:sz w:val="22"/>
          <w:szCs w:val="22"/>
          <w:lang w:val="en-AU"/>
        </w:rPr>
        <w:t>Resolution IX.7</w:t>
      </w:r>
      <w:r w:rsidRPr="007F1C1D">
        <w:rPr>
          <w:rFonts w:cs="Arial"/>
          <w:sz w:val="22"/>
          <w:szCs w:val="22"/>
          <w:lang w:val="en-AU"/>
        </w:rPr>
        <w:t>: Regional initiatives in the framework of the Ramsar Convention (</w:t>
      </w:r>
      <w:r w:rsidR="007F1428">
        <w:rPr>
          <w:rFonts w:cs="Arial"/>
          <w:sz w:val="22"/>
          <w:szCs w:val="22"/>
          <w:lang w:val="en-AU"/>
        </w:rPr>
        <w:t>COP</w:t>
      </w:r>
      <w:r w:rsidRPr="007F1C1D">
        <w:rPr>
          <w:rFonts w:cs="Arial"/>
          <w:sz w:val="22"/>
          <w:szCs w:val="22"/>
          <w:lang w:val="en-AU"/>
        </w:rPr>
        <w:t>9, 2005), formally endorsed</w:t>
      </w:r>
      <w:r w:rsidR="005B4A62" w:rsidRPr="007F1C1D">
        <w:rPr>
          <w:rFonts w:cs="Arial"/>
          <w:sz w:val="22"/>
          <w:szCs w:val="22"/>
          <w:lang w:val="en-AU"/>
        </w:rPr>
        <w:t xml:space="preserve"> the</w:t>
      </w:r>
      <w:r w:rsidRPr="007F1C1D">
        <w:rPr>
          <w:rFonts w:cs="Arial"/>
          <w:sz w:val="22"/>
          <w:szCs w:val="22"/>
          <w:lang w:val="en-AU"/>
        </w:rPr>
        <w:t xml:space="preserve"> </w:t>
      </w:r>
      <w:r w:rsidR="00F450E6" w:rsidRPr="007F1C1D">
        <w:rPr>
          <w:rFonts w:cs="Arial"/>
          <w:sz w:val="22"/>
          <w:szCs w:val="22"/>
          <w:lang w:val="en-AU"/>
        </w:rPr>
        <w:t>RRIs</w:t>
      </w:r>
      <w:r w:rsidR="005B4A62" w:rsidRPr="007F1C1D">
        <w:rPr>
          <w:rFonts w:cs="Arial"/>
          <w:sz w:val="22"/>
          <w:szCs w:val="22"/>
          <w:lang w:val="en-AU"/>
        </w:rPr>
        <w:t xml:space="preserve"> listed in Annex I.</w:t>
      </w:r>
      <w:r w:rsidRPr="007F1C1D">
        <w:rPr>
          <w:rFonts w:cs="Arial"/>
          <w:sz w:val="22"/>
          <w:szCs w:val="22"/>
          <w:lang w:val="en-AU"/>
        </w:rPr>
        <w:t xml:space="preserve">A </w:t>
      </w:r>
      <w:r w:rsidR="005B4A62" w:rsidRPr="007F1C1D">
        <w:rPr>
          <w:rFonts w:cs="Arial"/>
          <w:sz w:val="22"/>
          <w:szCs w:val="22"/>
          <w:lang w:val="en-AU"/>
        </w:rPr>
        <w:t xml:space="preserve">as being within the framework of the Convention </w:t>
      </w:r>
      <w:r w:rsidRPr="007F1C1D">
        <w:rPr>
          <w:rFonts w:cs="Arial"/>
          <w:sz w:val="22"/>
          <w:szCs w:val="22"/>
          <w:lang w:val="en-AU"/>
        </w:rPr>
        <w:t>and further recog</w:t>
      </w:r>
      <w:r w:rsidR="00FB3948" w:rsidRPr="007F1C1D">
        <w:rPr>
          <w:rFonts w:cs="Arial"/>
          <w:sz w:val="22"/>
          <w:szCs w:val="22"/>
          <w:lang w:val="en-AU"/>
        </w:rPr>
        <w:t xml:space="preserve">nised the potential for the RRIs </w:t>
      </w:r>
      <w:r w:rsidR="005B4A62" w:rsidRPr="007F1C1D">
        <w:rPr>
          <w:rFonts w:cs="Arial"/>
          <w:sz w:val="22"/>
          <w:szCs w:val="22"/>
          <w:lang w:val="en-AU"/>
        </w:rPr>
        <w:t>listed in Annex I.</w:t>
      </w:r>
      <w:r w:rsidRPr="007F1C1D">
        <w:rPr>
          <w:rFonts w:cs="Arial"/>
          <w:sz w:val="22"/>
          <w:szCs w:val="22"/>
          <w:lang w:val="en-AU"/>
        </w:rPr>
        <w:t>B</w:t>
      </w:r>
      <w:r w:rsidR="005B4A62" w:rsidRPr="007F1C1D">
        <w:rPr>
          <w:rFonts w:cs="Arial"/>
          <w:sz w:val="22"/>
          <w:szCs w:val="22"/>
          <w:lang w:val="en-AU"/>
        </w:rPr>
        <w:t xml:space="preserve"> to become operative within the framework of the Convention.</w:t>
      </w:r>
      <w:r w:rsidRPr="007F1C1D">
        <w:rPr>
          <w:rFonts w:cs="Arial"/>
          <w:sz w:val="22"/>
          <w:szCs w:val="22"/>
          <w:lang w:val="en-AU"/>
        </w:rPr>
        <w:t xml:space="preserve"> </w:t>
      </w:r>
      <w:r w:rsidR="005B4A62" w:rsidRPr="007F1C1D">
        <w:rPr>
          <w:rFonts w:cs="Arial"/>
          <w:sz w:val="22"/>
          <w:szCs w:val="22"/>
          <w:lang w:val="en-AU"/>
        </w:rPr>
        <w:t>The</w:t>
      </w:r>
      <w:r w:rsidRPr="007F1C1D">
        <w:rPr>
          <w:rFonts w:cs="Arial"/>
          <w:sz w:val="22"/>
          <w:szCs w:val="22"/>
          <w:lang w:val="en-AU"/>
        </w:rPr>
        <w:t xml:space="preserve"> initiatives</w:t>
      </w:r>
      <w:r w:rsidR="005B4A62" w:rsidRPr="007F1C1D">
        <w:rPr>
          <w:rFonts w:cs="Arial"/>
          <w:sz w:val="22"/>
          <w:szCs w:val="22"/>
          <w:lang w:val="en-AU"/>
        </w:rPr>
        <w:t xml:space="preserve"> listed in Annex I.A</w:t>
      </w:r>
      <w:r w:rsidRPr="007F1C1D">
        <w:rPr>
          <w:rFonts w:cs="Arial"/>
          <w:sz w:val="22"/>
          <w:szCs w:val="22"/>
          <w:lang w:val="en-AU"/>
        </w:rPr>
        <w:t xml:space="preserve"> were divided into two categories: regional and subregional networks for capacity building and cooperation and regional and subregional centres for training and capacity building</w:t>
      </w:r>
      <w:r w:rsidR="00DF7E13" w:rsidRPr="007F1C1D">
        <w:rPr>
          <w:rFonts w:cs="Arial"/>
          <w:sz w:val="22"/>
          <w:szCs w:val="22"/>
          <w:lang w:val="en-AU"/>
        </w:rPr>
        <w:t>, respectively</w:t>
      </w:r>
      <w:r w:rsidRPr="007F1C1D">
        <w:rPr>
          <w:rFonts w:cs="Arial"/>
          <w:sz w:val="22"/>
          <w:szCs w:val="22"/>
          <w:lang w:val="en-AU"/>
        </w:rPr>
        <w:t xml:space="preserve">. </w:t>
      </w:r>
      <w:r w:rsidR="005B4A62" w:rsidRPr="007F1C1D">
        <w:rPr>
          <w:rFonts w:cs="Arial"/>
          <w:sz w:val="22"/>
          <w:szCs w:val="22"/>
          <w:lang w:val="en-AU"/>
        </w:rPr>
        <w:t>Neithe</w:t>
      </w:r>
      <w:r w:rsidR="00365DA4" w:rsidRPr="007F1C1D">
        <w:rPr>
          <w:rFonts w:cs="Arial"/>
          <w:sz w:val="22"/>
          <w:szCs w:val="22"/>
          <w:lang w:val="en-AU"/>
        </w:rPr>
        <w:t xml:space="preserve">r of these descriptions suggests a need for the RRIs in question to adopt </w:t>
      </w:r>
      <w:r w:rsidR="005B4A62" w:rsidRPr="007F1C1D">
        <w:rPr>
          <w:rFonts w:cs="Arial"/>
          <w:sz w:val="22"/>
          <w:szCs w:val="22"/>
          <w:lang w:val="en-AU"/>
        </w:rPr>
        <w:t>any s</w:t>
      </w:r>
      <w:r w:rsidR="00365DA4" w:rsidRPr="007F1C1D">
        <w:rPr>
          <w:rFonts w:cs="Arial"/>
          <w:sz w:val="22"/>
          <w:szCs w:val="22"/>
          <w:lang w:val="en-AU"/>
        </w:rPr>
        <w:t>ort of formal legal structure which would in turn</w:t>
      </w:r>
      <w:r w:rsidR="00794A92">
        <w:rPr>
          <w:rStyle w:val="FootnoteReference"/>
          <w:rFonts w:cs="Arial"/>
          <w:sz w:val="22"/>
          <w:szCs w:val="22"/>
          <w:lang w:val="en-AU"/>
        </w:rPr>
        <w:footnoteReference w:id="15"/>
      </w:r>
      <w:r w:rsidR="00365DA4" w:rsidRPr="007F1C1D">
        <w:rPr>
          <w:rFonts w:cs="Arial"/>
          <w:sz w:val="22"/>
          <w:szCs w:val="22"/>
          <w:lang w:val="en-AU"/>
        </w:rPr>
        <w:t xml:space="preserve"> confer</w:t>
      </w:r>
      <w:r w:rsidR="005B4A62" w:rsidRPr="007F1C1D">
        <w:rPr>
          <w:rFonts w:cs="Arial"/>
          <w:sz w:val="22"/>
          <w:szCs w:val="22"/>
          <w:lang w:val="en-AU"/>
        </w:rPr>
        <w:t xml:space="preserve"> legal perso</w:t>
      </w:r>
      <w:r w:rsidR="00365DA4" w:rsidRPr="007F1C1D">
        <w:rPr>
          <w:rFonts w:cs="Arial"/>
          <w:sz w:val="22"/>
          <w:szCs w:val="22"/>
          <w:lang w:val="en-AU"/>
        </w:rPr>
        <w:t>nality. Rather, the Resolution simply</w:t>
      </w:r>
      <w:r w:rsidR="005B4A62" w:rsidRPr="007F1C1D">
        <w:rPr>
          <w:rFonts w:cs="Arial"/>
          <w:sz w:val="22"/>
          <w:szCs w:val="22"/>
          <w:lang w:val="en-AU"/>
        </w:rPr>
        <w:t xml:space="preserve"> recognised these </w:t>
      </w:r>
      <w:r w:rsidR="005B4A62" w:rsidRPr="007F1C1D">
        <w:rPr>
          <w:rFonts w:cs="Arial"/>
          <w:sz w:val="22"/>
          <w:szCs w:val="22"/>
          <w:lang w:val="en-AU"/>
        </w:rPr>
        <w:lastRenderedPageBreak/>
        <w:t>‘networks’ and ‘centres’ as operating ‘within t</w:t>
      </w:r>
      <w:r w:rsidR="00365DA4" w:rsidRPr="007F1C1D">
        <w:rPr>
          <w:rFonts w:cs="Arial"/>
          <w:sz w:val="22"/>
          <w:szCs w:val="22"/>
          <w:lang w:val="en-AU"/>
        </w:rPr>
        <w:t>he framework of the Convention’. That is, it</w:t>
      </w:r>
      <w:r w:rsidR="005B4A62" w:rsidRPr="007F1C1D">
        <w:rPr>
          <w:rFonts w:cs="Arial"/>
          <w:sz w:val="22"/>
          <w:szCs w:val="22"/>
          <w:lang w:val="en-AU"/>
        </w:rPr>
        <w:t xml:space="preserve"> </w:t>
      </w:r>
      <w:r w:rsidR="00365DA4" w:rsidRPr="007F1C1D">
        <w:rPr>
          <w:rFonts w:cs="Arial"/>
          <w:sz w:val="22"/>
          <w:szCs w:val="22"/>
          <w:lang w:val="en-AU"/>
        </w:rPr>
        <w:t xml:space="preserve">did </w:t>
      </w:r>
      <w:r w:rsidR="005B4A62" w:rsidRPr="007F1C1D">
        <w:rPr>
          <w:rFonts w:cs="Arial"/>
          <w:sz w:val="22"/>
          <w:szCs w:val="22"/>
          <w:lang w:val="en-AU"/>
        </w:rPr>
        <w:t>not endorse or stipulate any part</w:t>
      </w:r>
      <w:r w:rsidR="00365DA4" w:rsidRPr="007F1C1D">
        <w:rPr>
          <w:rFonts w:cs="Arial"/>
          <w:sz w:val="22"/>
          <w:szCs w:val="22"/>
          <w:lang w:val="en-AU"/>
        </w:rPr>
        <w:t>icular formal legal structure conferring</w:t>
      </w:r>
      <w:r w:rsidR="005B4A62" w:rsidRPr="007F1C1D">
        <w:rPr>
          <w:rFonts w:cs="Arial"/>
          <w:sz w:val="22"/>
          <w:szCs w:val="22"/>
          <w:lang w:val="en-AU"/>
        </w:rPr>
        <w:t xml:space="preserve"> legal personality.</w:t>
      </w:r>
      <w:r w:rsidR="005B4A62" w:rsidRPr="007F1C1D">
        <w:rPr>
          <w:rFonts w:cs="Arial"/>
          <w:b/>
          <w:sz w:val="22"/>
          <w:szCs w:val="22"/>
          <w:lang w:val="en-AU"/>
        </w:rPr>
        <w:t xml:space="preserve"> </w:t>
      </w:r>
    </w:p>
    <w:p w14:paraId="4C21CCD5" w14:textId="77777777" w:rsidR="000A2F17" w:rsidRPr="007F1C1D" w:rsidRDefault="000A2F17" w:rsidP="00FF7DF0">
      <w:pPr>
        <w:rPr>
          <w:rFonts w:cs="Arial"/>
          <w:sz w:val="22"/>
          <w:szCs w:val="22"/>
          <w:lang w:val="en-AU"/>
        </w:rPr>
      </w:pPr>
    </w:p>
    <w:p w14:paraId="77877CBC" w14:textId="0974728A" w:rsidR="00E2352A" w:rsidRPr="007F1C1D" w:rsidRDefault="000A2F17" w:rsidP="007D155A">
      <w:pPr>
        <w:pStyle w:val="ListParagraph"/>
        <w:numPr>
          <w:ilvl w:val="0"/>
          <w:numId w:val="31"/>
        </w:numPr>
        <w:rPr>
          <w:rFonts w:cs="Arial"/>
          <w:sz w:val="22"/>
          <w:szCs w:val="22"/>
          <w:lang w:val="en-AU"/>
        </w:rPr>
      </w:pPr>
      <w:r w:rsidRPr="007F1C1D">
        <w:rPr>
          <w:rFonts w:cs="Arial"/>
          <w:sz w:val="22"/>
          <w:szCs w:val="22"/>
          <w:lang w:val="en-AU"/>
        </w:rPr>
        <w:t xml:space="preserve">I </w:t>
      </w:r>
      <w:r w:rsidR="00F831E6">
        <w:rPr>
          <w:rFonts w:cs="Arial"/>
          <w:sz w:val="22"/>
          <w:szCs w:val="22"/>
          <w:lang w:val="en-AU"/>
        </w:rPr>
        <w:t>understand that t</w:t>
      </w:r>
      <w:r w:rsidR="00B97E5B">
        <w:rPr>
          <w:rFonts w:cs="Arial"/>
          <w:sz w:val="22"/>
          <w:szCs w:val="22"/>
          <w:lang w:val="en-AU"/>
        </w:rPr>
        <w:t xml:space="preserve">he </w:t>
      </w:r>
      <w:r w:rsidR="00794A92">
        <w:rPr>
          <w:rFonts w:cs="Arial"/>
          <w:sz w:val="22"/>
          <w:szCs w:val="22"/>
          <w:lang w:val="en-AU"/>
        </w:rPr>
        <w:t xml:space="preserve">Secretariat of </w:t>
      </w:r>
      <w:r w:rsidRPr="007F1C1D">
        <w:rPr>
          <w:rFonts w:cs="Arial"/>
          <w:sz w:val="22"/>
          <w:szCs w:val="22"/>
          <w:lang w:val="en-AU"/>
        </w:rPr>
        <w:t xml:space="preserve">MedWet was recognised under Greek law as a </w:t>
      </w:r>
      <w:r w:rsidR="00C804FE">
        <w:rPr>
          <w:rFonts w:cs="Arial"/>
          <w:sz w:val="22"/>
          <w:szCs w:val="22"/>
          <w:lang w:val="en-AU"/>
        </w:rPr>
        <w:t xml:space="preserve">legally independent, </w:t>
      </w:r>
      <w:r w:rsidRPr="007F1C1D">
        <w:rPr>
          <w:rFonts w:cs="Arial"/>
          <w:sz w:val="22"/>
          <w:szCs w:val="22"/>
          <w:lang w:val="en-AU"/>
        </w:rPr>
        <w:t>not-for-profit association</w:t>
      </w:r>
      <w:r w:rsidR="00F831E6">
        <w:rPr>
          <w:rFonts w:cs="Arial"/>
          <w:sz w:val="22"/>
          <w:szCs w:val="22"/>
          <w:lang w:val="en-AU"/>
        </w:rPr>
        <w:t xml:space="preserve"> sometime after COP9</w:t>
      </w:r>
      <w:r w:rsidRPr="007F1C1D">
        <w:rPr>
          <w:rFonts w:cs="Arial"/>
          <w:sz w:val="22"/>
          <w:szCs w:val="22"/>
          <w:lang w:val="en-AU"/>
        </w:rPr>
        <w:t xml:space="preserve">. </w:t>
      </w:r>
      <w:r w:rsidR="00F831E6">
        <w:rPr>
          <w:rFonts w:cs="Arial"/>
          <w:sz w:val="22"/>
          <w:szCs w:val="22"/>
          <w:lang w:val="en-AU"/>
        </w:rPr>
        <w:t>To that end, MedWet’s report to that COP noted that the Greek Government had agreed to pass a parliamentary decree establishing its ‘Coordination Unit’ as a foundation, but that the legal process had not yet been finalised.</w:t>
      </w:r>
      <w:r w:rsidR="00F831E6">
        <w:rPr>
          <w:rStyle w:val="FootnoteReference"/>
          <w:rFonts w:cs="Arial"/>
          <w:sz w:val="22"/>
          <w:szCs w:val="22"/>
          <w:lang w:val="en-AU"/>
        </w:rPr>
        <w:footnoteReference w:id="16"/>
      </w:r>
      <w:r w:rsidR="00F831E6">
        <w:rPr>
          <w:rFonts w:cs="Arial"/>
          <w:sz w:val="22"/>
          <w:szCs w:val="22"/>
          <w:lang w:val="en-AU"/>
        </w:rPr>
        <w:t xml:space="preserve"> </w:t>
      </w:r>
      <w:r w:rsidR="00C804FE">
        <w:rPr>
          <w:rFonts w:cs="Arial"/>
          <w:sz w:val="22"/>
          <w:szCs w:val="22"/>
          <w:lang w:val="en-AU"/>
        </w:rPr>
        <w:t>I have assumed that this status</w:t>
      </w:r>
      <w:r w:rsidR="00F831E6">
        <w:rPr>
          <w:rFonts w:cs="Arial"/>
          <w:sz w:val="22"/>
          <w:szCs w:val="22"/>
          <w:lang w:val="en-AU"/>
        </w:rPr>
        <w:t xml:space="preserve"> would have</w:t>
      </w:r>
      <w:r w:rsidR="00C804FE">
        <w:rPr>
          <w:rFonts w:cs="Arial"/>
          <w:sz w:val="22"/>
          <w:szCs w:val="22"/>
          <w:lang w:val="en-AU"/>
        </w:rPr>
        <w:t xml:space="preserve"> conferred legal personality,</w:t>
      </w:r>
      <w:r w:rsidR="00C804FE">
        <w:rPr>
          <w:rStyle w:val="FootnoteReference"/>
          <w:rFonts w:cs="Arial"/>
          <w:sz w:val="22"/>
          <w:szCs w:val="22"/>
          <w:lang w:val="en-AU"/>
        </w:rPr>
        <w:footnoteReference w:id="17"/>
      </w:r>
      <w:r w:rsidR="00C804FE">
        <w:rPr>
          <w:rFonts w:cs="Arial"/>
          <w:sz w:val="22"/>
          <w:szCs w:val="22"/>
          <w:lang w:val="en-AU"/>
        </w:rPr>
        <w:t xml:space="preserve"> although this needs to be confirmed. </w:t>
      </w:r>
      <w:r w:rsidRPr="007F1C1D">
        <w:rPr>
          <w:rFonts w:cs="Arial"/>
          <w:sz w:val="22"/>
          <w:szCs w:val="22"/>
          <w:lang w:val="en-AU"/>
        </w:rPr>
        <w:t>In any case, thi</w:t>
      </w:r>
      <w:r w:rsidR="00365DA4" w:rsidRPr="007F1C1D">
        <w:rPr>
          <w:rFonts w:cs="Arial"/>
          <w:sz w:val="22"/>
          <w:szCs w:val="22"/>
          <w:lang w:val="en-AU"/>
        </w:rPr>
        <w:t>s Resolution endorsed</w:t>
      </w:r>
      <w:r w:rsidRPr="007F1C1D">
        <w:rPr>
          <w:rFonts w:cs="Arial"/>
          <w:sz w:val="22"/>
          <w:szCs w:val="22"/>
          <w:lang w:val="en-AU"/>
        </w:rPr>
        <w:t xml:space="preserve"> the c</w:t>
      </w:r>
      <w:r w:rsidR="00365DA4" w:rsidRPr="007F1C1D">
        <w:rPr>
          <w:rFonts w:cs="Arial"/>
          <w:sz w:val="22"/>
          <w:szCs w:val="22"/>
          <w:lang w:val="en-AU"/>
        </w:rPr>
        <w:t>ontinuation of MedWet, thanked</w:t>
      </w:r>
      <w:r w:rsidRPr="007F1C1D">
        <w:rPr>
          <w:rFonts w:cs="Arial"/>
          <w:sz w:val="22"/>
          <w:szCs w:val="22"/>
          <w:lang w:val="en-AU"/>
        </w:rPr>
        <w:t xml:space="preserve"> the Greek Government for ‘hosting the MedWet Coordina</w:t>
      </w:r>
      <w:r w:rsidR="00365DA4" w:rsidRPr="007F1C1D">
        <w:rPr>
          <w:rFonts w:cs="Arial"/>
          <w:sz w:val="22"/>
          <w:szCs w:val="22"/>
          <w:lang w:val="en-AU"/>
        </w:rPr>
        <w:t>tion Unit in Athens’ and accepted</w:t>
      </w:r>
      <w:r w:rsidRPr="007F1C1D">
        <w:rPr>
          <w:rFonts w:cs="Arial"/>
          <w:sz w:val="22"/>
          <w:szCs w:val="22"/>
          <w:lang w:val="en-AU"/>
        </w:rPr>
        <w:t xml:space="preserve"> the government’s offer to ‘continue providing office facilities and financial support during the triennium 2006-2008…’. </w:t>
      </w:r>
      <w:r w:rsidR="00FF7DF0" w:rsidRPr="007F1C1D">
        <w:rPr>
          <w:rFonts w:cs="Arial"/>
          <w:sz w:val="22"/>
          <w:szCs w:val="22"/>
          <w:lang w:val="en-AU"/>
        </w:rPr>
        <w:t xml:space="preserve">Further details regarding this Resolution are contained in </w:t>
      </w:r>
      <w:r w:rsidR="008B7B6E">
        <w:rPr>
          <w:rFonts w:cs="Arial"/>
          <w:b/>
          <w:sz w:val="22"/>
          <w:szCs w:val="22"/>
          <w:lang w:val="en-AU"/>
        </w:rPr>
        <w:t>Appendix</w:t>
      </w:r>
      <w:r w:rsidR="00FF7DF0" w:rsidRPr="007F1C1D">
        <w:rPr>
          <w:rFonts w:cs="Arial"/>
          <w:b/>
          <w:sz w:val="22"/>
          <w:szCs w:val="22"/>
          <w:lang w:val="en-AU"/>
        </w:rPr>
        <w:t xml:space="preserve"> 2</w:t>
      </w:r>
      <w:r w:rsidR="00FF7DF0" w:rsidRPr="007F1C1D">
        <w:rPr>
          <w:rFonts w:cs="Arial"/>
          <w:sz w:val="22"/>
          <w:szCs w:val="22"/>
          <w:lang w:val="en-AU"/>
        </w:rPr>
        <w:t>.</w:t>
      </w:r>
    </w:p>
    <w:p w14:paraId="77A66DF8" w14:textId="77777777" w:rsidR="00E2352A" w:rsidRPr="007F1C1D" w:rsidRDefault="00E2352A" w:rsidP="00E2352A">
      <w:pPr>
        <w:rPr>
          <w:rFonts w:cs="Arial"/>
          <w:b/>
          <w:sz w:val="22"/>
          <w:szCs w:val="22"/>
          <w:lang w:val="en-AU"/>
        </w:rPr>
      </w:pPr>
    </w:p>
    <w:p w14:paraId="1E92EF24" w14:textId="45EF0764" w:rsidR="00365DA4" w:rsidRPr="007F1C1D" w:rsidRDefault="00864CF9" w:rsidP="007D155A">
      <w:pPr>
        <w:pStyle w:val="ListParagraph"/>
        <w:numPr>
          <w:ilvl w:val="0"/>
          <w:numId w:val="31"/>
        </w:numPr>
        <w:rPr>
          <w:rFonts w:cs="Arial"/>
          <w:sz w:val="22"/>
          <w:szCs w:val="22"/>
          <w:lang w:val="en-AU"/>
        </w:rPr>
      </w:pPr>
      <w:r w:rsidRPr="007F1C1D">
        <w:rPr>
          <w:rFonts w:cs="Arial"/>
          <w:b/>
          <w:sz w:val="22"/>
          <w:szCs w:val="22"/>
          <w:lang w:val="en-AU"/>
        </w:rPr>
        <w:t>Resolution X.6</w:t>
      </w:r>
      <w:r w:rsidRPr="007F1C1D">
        <w:rPr>
          <w:rFonts w:cs="Arial"/>
          <w:sz w:val="22"/>
          <w:szCs w:val="22"/>
          <w:lang w:val="en-AU"/>
        </w:rPr>
        <w:t>: Regional Initiatives 2009-2012 in the framework of the Ramsar Convention (</w:t>
      </w:r>
      <w:r w:rsidR="007F1428">
        <w:rPr>
          <w:rFonts w:cs="Arial"/>
          <w:sz w:val="22"/>
          <w:szCs w:val="22"/>
          <w:lang w:val="en-AU"/>
        </w:rPr>
        <w:t>COP</w:t>
      </w:r>
      <w:r w:rsidRPr="007F1C1D">
        <w:rPr>
          <w:rFonts w:cs="Arial"/>
          <w:sz w:val="22"/>
          <w:szCs w:val="22"/>
          <w:lang w:val="en-AU"/>
        </w:rPr>
        <w:t xml:space="preserve">10, 2008) replaced the Guidance Document with the </w:t>
      </w:r>
      <w:r w:rsidR="00365DA4" w:rsidRPr="007F1C1D">
        <w:rPr>
          <w:rFonts w:cs="Arial"/>
          <w:sz w:val="22"/>
          <w:szCs w:val="22"/>
          <w:lang w:val="en-AU"/>
        </w:rPr>
        <w:t>‘</w:t>
      </w:r>
      <w:r w:rsidRPr="007F1C1D">
        <w:rPr>
          <w:rFonts w:cs="Arial"/>
          <w:sz w:val="22"/>
          <w:szCs w:val="22"/>
          <w:lang w:val="en-AU"/>
        </w:rPr>
        <w:t>Operational Guidelines 2009-2012 for regional initiatives in the framework of the Convention on Wetlands</w:t>
      </w:r>
      <w:r w:rsidR="00365DA4" w:rsidRPr="007F1C1D">
        <w:rPr>
          <w:rFonts w:cs="Arial"/>
          <w:sz w:val="22"/>
          <w:szCs w:val="22"/>
          <w:lang w:val="en-AU"/>
        </w:rPr>
        <w:t>’</w:t>
      </w:r>
      <w:r w:rsidRPr="007F1C1D">
        <w:rPr>
          <w:rFonts w:cs="Arial"/>
          <w:sz w:val="22"/>
          <w:szCs w:val="22"/>
          <w:lang w:val="en-AU"/>
        </w:rPr>
        <w:t xml:space="preserve"> (</w:t>
      </w:r>
      <w:r w:rsidRPr="007F1C1D">
        <w:rPr>
          <w:rFonts w:cs="Arial"/>
          <w:b/>
          <w:sz w:val="22"/>
          <w:szCs w:val="22"/>
          <w:lang w:val="en-AU"/>
        </w:rPr>
        <w:t>Operational Guidelines 2009-12</w:t>
      </w:r>
      <w:r w:rsidRPr="007F1C1D">
        <w:rPr>
          <w:rFonts w:cs="Arial"/>
          <w:sz w:val="22"/>
          <w:szCs w:val="22"/>
          <w:lang w:val="en-AU"/>
        </w:rPr>
        <w:t>). The Operational Guidelines 2009-12 were divided into six areas: the aim of regional initiatives; coordination between regional in</w:t>
      </w:r>
      <w:r w:rsidR="00365DA4" w:rsidRPr="007F1C1D">
        <w:rPr>
          <w:rFonts w:cs="Arial"/>
          <w:sz w:val="22"/>
          <w:szCs w:val="22"/>
          <w:lang w:val="en-AU"/>
        </w:rPr>
        <w:t>itiatives and the Secretariat; g</w:t>
      </w:r>
      <w:r w:rsidRPr="007F1C1D">
        <w:rPr>
          <w:rFonts w:cs="Arial"/>
          <w:sz w:val="22"/>
          <w:szCs w:val="22"/>
          <w:lang w:val="en-AU"/>
        </w:rPr>
        <w:t xml:space="preserve">overnance of initiatives; substantive elements of initiatives; financial and other support; and reporting and evaluation. </w:t>
      </w:r>
    </w:p>
    <w:p w14:paraId="6E65C920" w14:textId="77777777" w:rsidR="00365DA4" w:rsidRPr="007F1C1D" w:rsidRDefault="00365DA4" w:rsidP="00365DA4">
      <w:pPr>
        <w:rPr>
          <w:rFonts w:cs="Arial"/>
          <w:sz w:val="22"/>
          <w:szCs w:val="22"/>
          <w:lang w:val="en-AU"/>
        </w:rPr>
      </w:pPr>
    </w:p>
    <w:p w14:paraId="02B2AF7D" w14:textId="375198C7" w:rsidR="0094377A" w:rsidRPr="007F1C1D" w:rsidRDefault="00365DA4" w:rsidP="007D155A">
      <w:pPr>
        <w:pStyle w:val="ListParagraph"/>
        <w:numPr>
          <w:ilvl w:val="0"/>
          <w:numId w:val="31"/>
        </w:numPr>
        <w:rPr>
          <w:rFonts w:cs="Arial"/>
          <w:sz w:val="22"/>
          <w:szCs w:val="22"/>
          <w:lang w:val="en-AU"/>
        </w:rPr>
      </w:pPr>
      <w:r w:rsidRPr="007F1C1D">
        <w:rPr>
          <w:rFonts w:cs="Arial"/>
          <w:sz w:val="22"/>
          <w:szCs w:val="22"/>
          <w:lang w:val="en-AU"/>
        </w:rPr>
        <w:t xml:space="preserve">The Operational </w:t>
      </w:r>
      <w:r w:rsidR="00A5790B" w:rsidRPr="007F1C1D">
        <w:rPr>
          <w:rFonts w:cs="Arial"/>
          <w:sz w:val="22"/>
          <w:szCs w:val="22"/>
          <w:lang w:val="en-AU"/>
        </w:rPr>
        <w:t>Guidelines</w:t>
      </w:r>
      <w:r w:rsidRPr="007F1C1D">
        <w:rPr>
          <w:rFonts w:cs="Arial"/>
          <w:sz w:val="22"/>
          <w:szCs w:val="22"/>
          <w:lang w:val="en-AU"/>
        </w:rPr>
        <w:t xml:space="preserve"> 2009-12</w:t>
      </w:r>
      <w:r w:rsidR="00A5790B" w:rsidRPr="007F1C1D">
        <w:rPr>
          <w:rFonts w:cs="Arial"/>
          <w:sz w:val="22"/>
          <w:szCs w:val="22"/>
          <w:lang w:val="en-AU"/>
        </w:rPr>
        <w:t xml:space="preserve"> stipulated that </w:t>
      </w:r>
      <w:r w:rsidR="00864CF9" w:rsidRPr="007F1C1D">
        <w:rPr>
          <w:rFonts w:cs="Arial"/>
          <w:sz w:val="22"/>
          <w:szCs w:val="22"/>
          <w:lang w:val="en-AU"/>
        </w:rPr>
        <w:t>RRI</w:t>
      </w:r>
      <w:r w:rsidRPr="007F1C1D">
        <w:rPr>
          <w:rFonts w:cs="Arial"/>
          <w:sz w:val="22"/>
          <w:szCs w:val="22"/>
          <w:lang w:val="en-AU"/>
        </w:rPr>
        <w:t>s</w:t>
      </w:r>
      <w:r w:rsidR="00864CF9" w:rsidRPr="007F1C1D">
        <w:rPr>
          <w:rFonts w:cs="Arial"/>
          <w:sz w:val="22"/>
          <w:szCs w:val="22"/>
          <w:lang w:val="en-AU"/>
        </w:rPr>
        <w:t xml:space="preserve"> are intended as an ‘operational means to provide effective support for an improved implementation of the objectives of the Convention and its Strategic Plan in specific geographical regions, through international cooperation on wetland-related issues of common concern.’</w:t>
      </w:r>
      <w:r w:rsidR="00E2352A" w:rsidRPr="007F1C1D">
        <w:rPr>
          <w:rFonts w:cs="Arial"/>
          <w:sz w:val="22"/>
          <w:szCs w:val="22"/>
          <w:lang w:val="en-AU"/>
        </w:rPr>
        <w:t xml:space="preserve"> </w:t>
      </w:r>
      <w:r w:rsidRPr="007F1C1D">
        <w:rPr>
          <w:rFonts w:cs="Arial"/>
          <w:sz w:val="22"/>
          <w:szCs w:val="22"/>
          <w:lang w:val="en-AU"/>
        </w:rPr>
        <w:t xml:space="preserve">They further clarified that </w:t>
      </w:r>
      <w:r w:rsidR="00E2352A" w:rsidRPr="007F1C1D">
        <w:rPr>
          <w:rFonts w:cs="Arial"/>
          <w:sz w:val="22"/>
          <w:szCs w:val="22"/>
          <w:lang w:val="en-AU"/>
        </w:rPr>
        <w:t xml:space="preserve">RRIs must establish their own governance and advisory mechanisms, for which the support of a host country or host intergovernmental organisation is ‘essential’. </w:t>
      </w:r>
    </w:p>
    <w:p w14:paraId="39EAD8F6" w14:textId="77777777" w:rsidR="0094377A" w:rsidRPr="007F1C1D" w:rsidRDefault="0094377A" w:rsidP="0094377A">
      <w:pPr>
        <w:rPr>
          <w:rFonts w:cs="Arial"/>
          <w:sz w:val="22"/>
          <w:szCs w:val="22"/>
          <w:lang w:val="en-AU"/>
        </w:rPr>
      </w:pPr>
    </w:p>
    <w:p w14:paraId="487E2AD5" w14:textId="4E3EB91D" w:rsidR="00E2352A" w:rsidRPr="007F1C1D" w:rsidRDefault="0094377A" w:rsidP="007D155A">
      <w:pPr>
        <w:pStyle w:val="ListParagraph"/>
        <w:numPr>
          <w:ilvl w:val="0"/>
          <w:numId w:val="31"/>
        </w:numPr>
        <w:rPr>
          <w:rFonts w:cs="Arial"/>
          <w:sz w:val="22"/>
          <w:szCs w:val="22"/>
          <w:lang w:val="en-AU"/>
        </w:rPr>
      </w:pPr>
      <w:r w:rsidRPr="007F1C1D">
        <w:rPr>
          <w:rFonts w:cs="Arial"/>
          <w:sz w:val="22"/>
          <w:szCs w:val="22"/>
          <w:lang w:val="en-AU"/>
        </w:rPr>
        <w:t xml:space="preserve">In summary, the Operational Guidelines 2009-12, while more detailed than the Guidance Document, did not stipulate a specific legal structure or provide for the creation of entities with legal personality. Rather, they again provided for the creation of a ‘mechanism’ underpinned by support from a host Contracting Party or </w:t>
      </w:r>
      <w:r w:rsidR="00365DA4" w:rsidRPr="007F1C1D">
        <w:rPr>
          <w:rFonts w:cs="Arial"/>
          <w:sz w:val="22"/>
          <w:szCs w:val="22"/>
          <w:lang w:val="en-AU"/>
        </w:rPr>
        <w:t xml:space="preserve">a </w:t>
      </w:r>
      <w:r w:rsidRPr="007F1C1D">
        <w:rPr>
          <w:rFonts w:cs="Arial"/>
          <w:sz w:val="22"/>
          <w:szCs w:val="22"/>
          <w:lang w:val="en-AU"/>
        </w:rPr>
        <w:t>host intergovernmental organisation. Further, they reinforced the need for RRIs to become financially independent</w:t>
      </w:r>
      <w:r w:rsidR="006E0FC9">
        <w:rPr>
          <w:rStyle w:val="FootnoteReference"/>
          <w:rFonts w:cs="Arial"/>
          <w:sz w:val="22"/>
          <w:szCs w:val="22"/>
          <w:lang w:val="en-AU"/>
        </w:rPr>
        <w:footnoteReference w:id="18"/>
      </w:r>
      <w:r w:rsidRPr="007F1C1D">
        <w:rPr>
          <w:rFonts w:cs="Arial"/>
          <w:sz w:val="22"/>
          <w:szCs w:val="22"/>
          <w:lang w:val="en-AU"/>
        </w:rPr>
        <w:t xml:space="preserve"> and to report to the Secretariat. It was implied</w:t>
      </w:r>
      <w:r w:rsidRPr="007F1C1D">
        <w:rPr>
          <w:rStyle w:val="FootnoteReference"/>
          <w:rFonts w:cs="Arial"/>
          <w:sz w:val="22"/>
          <w:szCs w:val="22"/>
          <w:lang w:val="en-AU"/>
        </w:rPr>
        <w:footnoteReference w:id="19"/>
      </w:r>
      <w:r w:rsidRPr="007F1C1D">
        <w:rPr>
          <w:rFonts w:cs="Arial"/>
          <w:sz w:val="22"/>
          <w:szCs w:val="22"/>
          <w:lang w:val="en-AU"/>
        </w:rPr>
        <w:t xml:space="preserve"> that RRIs must furnish satisfactory reports to continue to be endorsed as operating within the framework of the Convention and to continue to receive funding from the core budget. </w:t>
      </w:r>
      <w:r w:rsidR="00E2352A" w:rsidRPr="007F1C1D">
        <w:rPr>
          <w:rFonts w:cs="Arial"/>
          <w:sz w:val="22"/>
          <w:szCs w:val="22"/>
          <w:lang w:val="en-AU"/>
        </w:rPr>
        <w:t xml:space="preserve">Additional details regarding this Resolution are contained in </w:t>
      </w:r>
      <w:r w:rsidR="008B7B6E">
        <w:rPr>
          <w:rFonts w:cs="Arial"/>
          <w:b/>
          <w:sz w:val="22"/>
          <w:szCs w:val="22"/>
          <w:lang w:val="en-AU"/>
        </w:rPr>
        <w:t>Appendix</w:t>
      </w:r>
      <w:r w:rsidR="00E2352A" w:rsidRPr="007F1C1D">
        <w:rPr>
          <w:rFonts w:cs="Arial"/>
          <w:b/>
          <w:sz w:val="22"/>
          <w:szCs w:val="22"/>
          <w:lang w:val="en-AU"/>
        </w:rPr>
        <w:t xml:space="preserve"> 2</w:t>
      </w:r>
      <w:r w:rsidR="00E2352A" w:rsidRPr="007F1C1D">
        <w:rPr>
          <w:rFonts w:cs="Arial"/>
          <w:sz w:val="22"/>
          <w:szCs w:val="22"/>
          <w:lang w:val="en-AU"/>
        </w:rPr>
        <w:t>.</w:t>
      </w:r>
    </w:p>
    <w:p w14:paraId="771FB079" w14:textId="77777777" w:rsidR="004124CF" w:rsidRPr="007F1C1D" w:rsidRDefault="004124CF" w:rsidP="0094377A">
      <w:pPr>
        <w:rPr>
          <w:rFonts w:cs="Arial"/>
          <w:sz w:val="22"/>
          <w:szCs w:val="22"/>
          <w:lang w:val="en-AU"/>
        </w:rPr>
      </w:pPr>
    </w:p>
    <w:p w14:paraId="15C20D71" w14:textId="77777777" w:rsidR="004124CF" w:rsidRPr="007F1C1D" w:rsidRDefault="009B1539" w:rsidP="007D155A">
      <w:pPr>
        <w:pStyle w:val="ListParagraph"/>
        <w:numPr>
          <w:ilvl w:val="0"/>
          <w:numId w:val="31"/>
        </w:numPr>
        <w:rPr>
          <w:rFonts w:cs="Arial"/>
          <w:sz w:val="22"/>
          <w:szCs w:val="22"/>
          <w:lang w:val="en-AU"/>
        </w:rPr>
      </w:pPr>
      <w:r w:rsidRPr="007F1C1D">
        <w:rPr>
          <w:rFonts w:cs="Arial"/>
          <w:b/>
          <w:sz w:val="22"/>
          <w:szCs w:val="22"/>
          <w:lang w:val="en-AU"/>
        </w:rPr>
        <w:t xml:space="preserve">SC </w:t>
      </w:r>
      <w:r w:rsidR="009A1EAB" w:rsidRPr="007F1C1D">
        <w:rPr>
          <w:rFonts w:cs="Arial"/>
          <w:b/>
          <w:sz w:val="22"/>
          <w:szCs w:val="22"/>
          <w:lang w:val="en-AU"/>
        </w:rPr>
        <w:t xml:space="preserve">40 Decisions </w:t>
      </w:r>
      <w:r w:rsidRPr="007F1C1D">
        <w:rPr>
          <w:rFonts w:cs="Arial"/>
          <w:b/>
          <w:sz w:val="22"/>
          <w:szCs w:val="22"/>
          <w:lang w:val="en-AU"/>
        </w:rPr>
        <w:t>15 and 16</w:t>
      </w:r>
      <w:r w:rsidRPr="007F1C1D">
        <w:rPr>
          <w:rFonts w:cs="Arial"/>
          <w:sz w:val="22"/>
          <w:szCs w:val="22"/>
          <w:lang w:val="en-AU"/>
        </w:rPr>
        <w:t xml:space="preserve"> adopted ‘evaluation criteria for regional initiatives operating in the framework of the Ramsar Convention 2009-2012’ and a ‘</w:t>
      </w:r>
      <w:r w:rsidR="00055450" w:rsidRPr="007F1C1D">
        <w:rPr>
          <w:rFonts w:cs="Arial"/>
          <w:sz w:val="22"/>
          <w:szCs w:val="22"/>
          <w:lang w:val="en-AU"/>
        </w:rPr>
        <w:t>f</w:t>
      </w:r>
      <w:r w:rsidRPr="007F1C1D">
        <w:rPr>
          <w:rFonts w:cs="Arial"/>
          <w:sz w:val="22"/>
          <w:szCs w:val="22"/>
          <w:lang w:val="en-AU"/>
        </w:rPr>
        <w:t xml:space="preserve">ormat for annual financial and work </w:t>
      </w:r>
      <w:r w:rsidRPr="007F1C1D">
        <w:rPr>
          <w:rFonts w:cs="Arial"/>
          <w:sz w:val="22"/>
          <w:szCs w:val="22"/>
          <w:lang w:val="en-AU"/>
        </w:rPr>
        <w:lastRenderedPageBreak/>
        <w:t>plan reporting by regional initiatives’, respectively.</w:t>
      </w:r>
      <w:r w:rsidR="0025573F" w:rsidRPr="007F1C1D">
        <w:rPr>
          <w:rStyle w:val="FootnoteReference"/>
          <w:rFonts w:cs="Arial"/>
          <w:sz w:val="22"/>
          <w:szCs w:val="22"/>
          <w:lang w:val="en-AU"/>
        </w:rPr>
        <w:footnoteReference w:id="20"/>
      </w:r>
      <w:r w:rsidR="00055450" w:rsidRPr="007F1C1D">
        <w:rPr>
          <w:rFonts w:cs="Arial"/>
          <w:sz w:val="22"/>
          <w:szCs w:val="22"/>
          <w:lang w:val="en-AU"/>
        </w:rPr>
        <w:t xml:space="preserve"> The 29 evaluation criteria were taken from the Operational Guidelines 2009-12. </w:t>
      </w:r>
    </w:p>
    <w:p w14:paraId="508A68B7" w14:textId="77777777" w:rsidR="009B1539" w:rsidRPr="007F1C1D" w:rsidRDefault="009B1539" w:rsidP="009B1539">
      <w:pPr>
        <w:pStyle w:val="ListParagraph"/>
        <w:rPr>
          <w:rFonts w:cs="Arial"/>
          <w:sz w:val="22"/>
          <w:szCs w:val="22"/>
          <w:lang w:val="en-AU"/>
        </w:rPr>
      </w:pPr>
    </w:p>
    <w:p w14:paraId="54E949FE" w14:textId="0815BFA6" w:rsidR="00337E9E" w:rsidRPr="007F1C1D" w:rsidRDefault="0022633C" w:rsidP="007D155A">
      <w:pPr>
        <w:pStyle w:val="ListParagraph"/>
        <w:numPr>
          <w:ilvl w:val="0"/>
          <w:numId w:val="31"/>
        </w:numPr>
        <w:rPr>
          <w:rFonts w:cs="Arial"/>
          <w:sz w:val="22"/>
          <w:szCs w:val="22"/>
          <w:lang w:val="en-AU"/>
        </w:rPr>
      </w:pPr>
      <w:r w:rsidRPr="007F1C1D">
        <w:rPr>
          <w:rFonts w:cs="Arial"/>
          <w:b/>
          <w:sz w:val="22"/>
          <w:szCs w:val="22"/>
          <w:lang w:val="en-AU"/>
        </w:rPr>
        <w:t>Resolution XI.5</w:t>
      </w:r>
      <w:r w:rsidRPr="007F1C1D">
        <w:rPr>
          <w:rFonts w:cs="Arial"/>
          <w:sz w:val="22"/>
          <w:szCs w:val="22"/>
          <w:lang w:val="en-AU"/>
        </w:rPr>
        <w:t>: Regional Initiatives 2013-15 in the framework of the Ramsar Convention (</w:t>
      </w:r>
      <w:r w:rsidR="007F1428">
        <w:rPr>
          <w:rFonts w:cs="Arial"/>
          <w:sz w:val="22"/>
          <w:szCs w:val="22"/>
          <w:lang w:val="en-AU"/>
        </w:rPr>
        <w:t>COP</w:t>
      </w:r>
      <w:r w:rsidR="00B97203">
        <w:rPr>
          <w:rFonts w:cs="Arial"/>
          <w:sz w:val="22"/>
          <w:szCs w:val="22"/>
          <w:lang w:val="en-AU"/>
        </w:rPr>
        <w:t>11</w:t>
      </w:r>
      <w:r w:rsidRPr="007F1C1D">
        <w:rPr>
          <w:rFonts w:cs="Arial"/>
          <w:sz w:val="22"/>
          <w:szCs w:val="22"/>
          <w:lang w:val="en-AU"/>
        </w:rPr>
        <w:t xml:space="preserve">, 2012), </w:t>
      </w:r>
      <w:r w:rsidR="00D0521C" w:rsidRPr="007F1C1D">
        <w:rPr>
          <w:rFonts w:cs="Arial"/>
          <w:sz w:val="22"/>
          <w:szCs w:val="22"/>
          <w:lang w:val="en-AU"/>
        </w:rPr>
        <w:t>approved the continued validity of the Operational Guidelines</w:t>
      </w:r>
      <w:r w:rsidR="001912F0" w:rsidRPr="007F1C1D">
        <w:rPr>
          <w:rFonts w:cs="Arial"/>
          <w:sz w:val="22"/>
          <w:szCs w:val="22"/>
          <w:lang w:val="en-AU"/>
        </w:rPr>
        <w:t xml:space="preserve"> 2009-12 </w:t>
      </w:r>
      <w:r w:rsidR="009A1EAB" w:rsidRPr="007F1C1D">
        <w:rPr>
          <w:rFonts w:cs="Arial"/>
          <w:sz w:val="22"/>
          <w:szCs w:val="22"/>
          <w:lang w:val="en-AU"/>
        </w:rPr>
        <w:t>for the period 2013-15</w:t>
      </w:r>
      <w:r w:rsidR="00D0521C" w:rsidRPr="007F1C1D">
        <w:rPr>
          <w:rFonts w:cs="Arial"/>
          <w:sz w:val="22"/>
          <w:szCs w:val="22"/>
          <w:lang w:val="en-AU"/>
        </w:rPr>
        <w:t xml:space="preserve">. </w:t>
      </w:r>
      <w:r w:rsidR="001912F0" w:rsidRPr="007F1C1D">
        <w:rPr>
          <w:rFonts w:cs="Arial"/>
          <w:sz w:val="22"/>
          <w:szCs w:val="22"/>
          <w:lang w:val="en-AU"/>
        </w:rPr>
        <w:t>In summary:</w:t>
      </w:r>
      <w:r w:rsidR="00337E9E" w:rsidRPr="007F1C1D">
        <w:rPr>
          <w:rFonts w:cs="Arial"/>
          <w:sz w:val="22"/>
          <w:szCs w:val="22"/>
          <w:lang w:val="en-AU"/>
        </w:rPr>
        <w:t xml:space="preserve"> funding continues to be contingent on satisfactory reporting and compliance with the Operational Guidelines 2009-12; emphasis continues to be placed on RRIs becoming financially independent; and RRIs are to identify themselves as independent entities (which is not tantamount to requiring a formal legal structure and legal personality). Further details regarding this Resolution can be found in </w:t>
      </w:r>
      <w:r w:rsidR="008B7B6E">
        <w:rPr>
          <w:rFonts w:cs="Arial"/>
          <w:b/>
          <w:sz w:val="22"/>
          <w:szCs w:val="22"/>
          <w:lang w:val="en-AU"/>
        </w:rPr>
        <w:t>Appendix</w:t>
      </w:r>
      <w:r w:rsidR="00337E9E" w:rsidRPr="007F1C1D">
        <w:rPr>
          <w:rFonts w:cs="Arial"/>
          <w:b/>
          <w:sz w:val="22"/>
          <w:szCs w:val="22"/>
          <w:lang w:val="en-AU"/>
        </w:rPr>
        <w:t xml:space="preserve"> 2</w:t>
      </w:r>
      <w:r w:rsidR="00337E9E" w:rsidRPr="007F1C1D">
        <w:rPr>
          <w:rFonts w:cs="Arial"/>
          <w:sz w:val="22"/>
          <w:szCs w:val="22"/>
          <w:lang w:val="en-AU"/>
        </w:rPr>
        <w:t>.</w:t>
      </w:r>
    </w:p>
    <w:p w14:paraId="198B1098" w14:textId="77777777" w:rsidR="0070084B" w:rsidRPr="007F1C1D" w:rsidRDefault="0070084B" w:rsidP="00337E9E">
      <w:pPr>
        <w:rPr>
          <w:rFonts w:cs="Arial"/>
          <w:sz w:val="22"/>
          <w:szCs w:val="22"/>
          <w:lang w:val="en-AU"/>
        </w:rPr>
      </w:pPr>
    </w:p>
    <w:p w14:paraId="638E0730" w14:textId="36817A60" w:rsidR="00B76BE4" w:rsidRPr="007F1C1D" w:rsidRDefault="0070084B" w:rsidP="007D155A">
      <w:pPr>
        <w:pStyle w:val="ListParagraph"/>
        <w:numPr>
          <w:ilvl w:val="0"/>
          <w:numId w:val="31"/>
        </w:numPr>
        <w:rPr>
          <w:rFonts w:cs="Arial"/>
          <w:sz w:val="22"/>
          <w:szCs w:val="22"/>
          <w:lang w:val="en-AU"/>
        </w:rPr>
      </w:pPr>
      <w:r w:rsidRPr="007F1C1D">
        <w:rPr>
          <w:rFonts w:cs="Arial"/>
          <w:b/>
          <w:sz w:val="22"/>
          <w:szCs w:val="22"/>
          <w:lang w:val="en-AU"/>
        </w:rPr>
        <w:t>SC Decision 46-28</w:t>
      </w:r>
      <w:r w:rsidRPr="007F1C1D">
        <w:rPr>
          <w:rFonts w:cs="Arial"/>
          <w:sz w:val="22"/>
          <w:szCs w:val="22"/>
          <w:lang w:val="en-AU"/>
        </w:rPr>
        <w:t xml:space="preserve"> adopted revised Operational Guidelines for 2013-15 (</w:t>
      </w:r>
      <w:r w:rsidRPr="007F1C1D">
        <w:rPr>
          <w:rFonts w:cs="Arial"/>
          <w:b/>
          <w:sz w:val="22"/>
          <w:szCs w:val="22"/>
          <w:lang w:val="en-AU"/>
        </w:rPr>
        <w:t xml:space="preserve">Operational Guidelines 2013-15). </w:t>
      </w:r>
      <w:r w:rsidRPr="007F1C1D">
        <w:rPr>
          <w:rFonts w:cs="Arial"/>
          <w:sz w:val="22"/>
          <w:szCs w:val="22"/>
          <w:lang w:val="en-AU"/>
        </w:rPr>
        <w:t xml:space="preserve">The Operational Guidelines 2013-15 are divided into the same six categories as the Operational Guidelines 2009-12 and </w:t>
      </w:r>
      <w:r w:rsidR="009A1EAB" w:rsidRPr="007F1C1D">
        <w:rPr>
          <w:rFonts w:cs="Arial"/>
          <w:sz w:val="22"/>
          <w:szCs w:val="22"/>
          <w:lang w:val="en-AU"/>
        </w:rPr>
        <w:t>the</w:t>
      </w:r>
      <w:r w:rsidR="001912F0" w:rsidRPr="007F1C1D">
        <w:rPr>
          <w:rFonts w:cs="Arial"/>
          <w:sz w:val="22"/>
          <w:szCs w:val="22"/>
          <w:lang w:val="en-AU"/>
        </w:rPr>
        <w:t>ir contents are</w:t>
      </w:r>
      <w:r w:rsidR="0057142A" w:rsidRPr="007F1C1D">
        <w:rPr>
          <w:rFonts w:cs="Arial"/>
          <w:sz w:val="22"/>
          <w:szCs w:val="22"/>
          <w:lang w:val="en-AU"/>
        </w:rPr>
        <w:t xml:space="preserve"> largely the same. To that </w:t>
      </w:r>
      <w:r w:rsidR="009A1EAB" w:rsidRPr="007F1C1D">
        <w:rPr>
          <w:rFonts w:cs="Arial"/>
          <w:sz w:val="22"/>
          <w:szCs w:val="22"/>
          <w:lang w:val="en-AU"/>
        </w:rPr>
        <w:t>extent, there were</w:t>
      </w:r>
      <w:r w:rsidR="0057142A" w:rsidRPr="007F1C1D">
        <w:rPr>
          <w:rFonts w:cs="Arial"/>
          <w:sz w:val="22"/>
          <w:szCs w:val="22"/>
          <w:lang w:val="en-AU"/>
        </w:rPr>
        <w:t xml:space="preserve"> no (new) directions regarding the creation of entities with a </w:t>
      </w:r>
      <w:r w:rsidR="009A1EAB" w:rsidRPr="007F1C1D">
        <w:rPr>
          <w:rFonts w:cs="Arial"/>
          <w:sz w:val="22"/>
          <w:szCs w:val="22"/>
          <w:lang w:val="en-AU"/>
        </w:rPr>
        <w:t>formal</w:t>
      </w:r>
      <w:r w:rsidR="0057142A" w:rsidRPr="007F1C1D">
        <w:rPr>
          <w:rFonts w:cs="Arial"/>
          <w:sz w:val="22"/>
          <w:szCs w:val="22"/>
          <w:lang w:val="en-AU"/>
        </w:rPr>
        <w:t xml:space="preserve"> legal structure and legal personality.</w:t>
      </w:r>
      <w:r w:rsidR="001912F0" w:rsidRPr="007F1C1D">
        <w:rPr>
          <w:rStyle w:val="FootnoteReference"/>
          <w:rFonts w:cs="Arial"/>
          <w:sz w:val="22"/>
          <w:szCs w:val="22"/>
          <w:lang w:val="en-AU"/>
        </w:rPr>
        <w:footnoteReference w:id="21"/>
      </w:r>
      <w:r w:rsidR="0057142A" w:rsidRPr="007F1C1D">
        <w:rPr>
          <w:rFonts w:cs="Arial"/>
          <w:sz w:val="22"/>
          <w:szCs w:val="22"/>
          <w:lang w:val="en-AU"/>
        </w:rPr>
        <w:t xml:space="preserve"> </w:t>
      </w:r>
    </w:p>
    <w:p w14:paraId="0E8EF4D2" w14:textId="77777777" w:rsidR="00337E9E" w:rsidRPr="007F1C1D" w:rsidRDefault="00337E9E" w:rsidP="00337E9E">
      <w:pPr>
        <w:rPr>
          <w:rFonts w:cs="Arial"/>
          <w:sz w:val="22"/>
          <w:szCs w:val="22"/>
          <w:lang w:val="en-AU"/>
        </w:rPr>
      </w:pPr>
    </w:p>
    <w:p w14:paraId="5AB6B06D" w14:textId="4565F967" w:rsidR="00C87FBD" w:rsidRPr="007F1C1D" w:rsidRDefault="00B76BE4" w:rsidP="007D155A">
      <w:pPr>
        <w:pStyle w:val="ListParagraph"/>
        <w:numPr>
          <w:ilvl w:val="0"/>
          <w:numId w:val="31"/>
        </w:numPr>
        <w:rPr>
          <w:rFonts w:cs="Arial"/>
          <w:sz w:val="22"/>
          <w:szCs w:val="22"/>
          <w:lang w:val="en-AU"/>
        </w:rPr>
      </w:pPr>
      <w:r w:rsidRPr="007F1C1D">
        <w:rPr>
          <w:rFonts w:cs="Arial"/>
          <w:b/>
          <w:sz w:val="22"/>
          <w:szCs w:val="22"/>
          <w:lang w:val="en-AU"/>
        </w:rPr>
        <w:t>Resolution XII.8</w:t>
      </w:r>
      <w:r w:rsidRPr="007F1C1D">
        <w:rPr>
          <w:rFonts w:cs="Arial"/>
          <w:sz w:val="22"/>
          <w:szCs w:val="22"/>
          <w:lang w:val="en-AU"/>
        </w:rPr>
        <w:t>: Regional initiatives 2016-2018 in the framework of the Ramsar Convention</w:t>
      </w:r>
      <w:r w:rsidR="00B97203">
        <w:rPr>
          <w:rFonts w:cs="Arial"/>
          <w:sz w:val="22"/>
          <w:szCs w:val="22"/>
          <w:lang w:val="en-AU"/>
        </w:rPr>
        <w:t xml:space="preserve"> (COP12, 2015)</w:t>
      </w:r>
      <w:r w:rsidR="00C50FAC" w:rsidRPr="007F1C1D">
        <w:rPr>
          <w:rFonts w:cs="Arial"/>
          <w:sz w:val="22"/>
          <w:szCs w:val="22"/>
          <w:lang w:val="en-AU"/>
        </w:rPr>
        <w:t>,</w:t>
      </w:r>
      <w:r w:rsidRPr="007F1C1D">
        <w:rPr>
          <w:rFonts w:cs="Arial"/>
          <w:sz w:val="22"/>
          <w:szCs w:val="22"/>
          <w:lang w:val="en-AU"/>
        </w:rPr>
        <w:t xml:space="preserve"> approved the validity and use of the Operational Guidelines 2013-15 for the period 2016-18, until the ‘amendments requested are adopted by the Standing Committee.’ </w:t>
      </w:r>
      <w:r w:rsidR="00C87FBD" w:rsidRPr="007F1C1D">
        <w:rPr>
          <w:rFonts w:cs="Arial"/>
          <w:sz w:val="22"/>
          <w:szCs w:val="22"/>
          <w:lang w:val="en-AU"/>
        </w:rPr>
        <w:t>Relev</w:t>
      </w:r>
      <w:r w:rsidR="00C50FAC" w:rsidRPr="007F1C1D">
        <w:rPr>
          <w:rFonts w:cs="Arial"/>
          <w:sz w:val="22"/>
          <w:szCs w:val="22"/>
          <w:lang w:val="en-AU"/>
        </w:rPr>
        <w:t>antly, the Standing Committee was</w:t>
      </w:r>
      <w:r w:rsidR="00C87FBD" w:rsidRPr="007F1C1D">
        <w:rPr>
          <w:rFonts w:cs="Arial"/>
          <w:sz w:val="22"/>
          <w:szCs w:val="22"/>
          <w:lang w:val="en-AU"/>
        </w:rPr>
        <w:t xml:space="preserve"> instructed to undertake a review of these Operational Guidelines, taking into account</w:t>
      </w:r>
      <w:r w:rsidR="00C50FAC" w:rsidRPr="007F1C1D">
        <w:rPr>
          <w:rFonts w:cs="Arial"/>
          <w:sz w:val="22"/>
          <w:szCs w:val="22"/>
          <w:lang w:val="en-AU"/>
        </w:rPr>
        <w:t>,</w:t>
      </w:r>
      <w:r w:rsidR="00C87FBD" w:rsidRPr="007F1C1D">
        <w:rPr>
          <w:rFonts w:cs="Arial"/>
          <w:sz w:val="22"/>
          <w:szCs w:val="22"/>
          <w:lang w:val="en-AU"/>
        </w:rPr>
        <w:t xml:space="preserve"> </w:t>
      </w:r>
      <w:r w:rsidR="00C87FBD" w:rsidRPr="007F1C1D">
        <w:rPr>
          <w:rFonts w:cs="Arial"/>
          <w:i/>
          <w:sz w:val="22"/>
          <w:szCs w:val="22"/>
          <w:lang w:val="en-AU"/>
        </w:rPr>
        <w:t>inter alia</w:t>
      </w:r>
      <w:r w:rsidR="00C50FAC" w:rsidRPr="007F1C1D">
        <w:rPr>
          <w:rFonts w:cs="Arial"/>
          <w:sz w:val="22"/>
          <w:szCs w:val="22"/>
          <w:lang w:val="en-AU"/>
        </w:rPr>
        <w:t>,</w:t>
      </w:r>
      <w:r w:rsidR="00C87FBD" w:rsidRPr="007F1C1D">
        <w:rPr>
          <w:rFonts w:cs="Arial"/>
          <w:sz w:val="22"/>
          <w:szCs w:val="22"/>
          <w:lang w:val="en-AU"/>
        </w:rPr>
        <w:t xml:space="preserve"> ‘issues…of governance, capacity, fundraising, and programmatic approach in alignment with the Ramsar Strategic Plan, and adopt the necessary amendments no later than the 52</w:t>
      </w:r>
      <w:r w:rsidR="00C87FBD" w:rsidRPr="007F1C1D">
        <w:rPr>
          <w:rFonts w:cs="Arial"/>
          <w:sz w:val="22"/>
          <w:szCs w:val="22"/>
          <w:vertAlign w:val="superscript"/>
          <w:lang w:val="en-AU"/>
        </w:rPr>
        <w:t>nd</w:t>
      </w:r>
      <w:r w:rsidR="00C87FBD" w:rsidRPr="007F1C1D">
        <w:rPr>
          <w:rFonts w:cs="Arial"/>
          <w:sz w:val="22"/>
          <w:szCs w:val="22"/>
          <w:lang w:val="en-AU"/>
        </w:rPr>
        <w:t xml:space="preserve"> meeting of the Standing Committee (SC52).’</w:t>
      </w:r>
    </w:p>
    <w:p w14:paraId="2D9B2655" w14:textId="77777777" w:rsidR="00C87FBD" w:rsidRPr="007F1C1D" w:rsidRDefault="00C87FBD" w:rsidP="00C87FBD">
      <w:pPr>
        <w:pStyle w:val="ListParagraph"/>
        <w:rPr>
          <w:rFonts w:cs="Arial"/>
          <w:sz w:val="22"/>
          <w:szCs w:val="22"/>
          <w:lang w:val="en-AU"/>
        </w:rPr>
      </w:pPr>
    </w:p>
    <w:p w14:paraId="24997612" w14:textId="27CCEBB7" w:rsidR="00F323BC" w:rsidRPr="004450B4" w:rsidRDefault="007567FA" w:rsidP="00B97E5B">
      <w:pPr>
        <w:pStyle w:val="ListParagraph"/>
        <w:numPr>
          <w:ilvl w:val="0"/>
          <w:numId w:val="31"/>
        </w:numPr>
        <w:rPr>
          <w:rFonts w:cs="Arial"/>
          <w:sz w:val="22"/>
          <w:szCs w:val="22"/>
          <w:lang w:val="en-AU"/>
        </w:rPr>
      </w:pPr>
      <w:r w:rsidRPr="004450B4">
        <w:rPr>
          <w:rFonts w:cs="Arial"/>
          <w:b/>
          <w:sz w:val="22"/>
          <w:szCs w:val="22"/>
          <w:lang w:val="en-AU"/>
        </w:rPr>
        <w:t>SC Decision 52-16</w:t>
      </w:r>
      <w:r w:rsidRPr="004450B4">
        <w:rPr>
          <w:rFonts w:cs="Arial"/>
          <w:sz w:val="22"/>
          <w:szCs w:val="22"/>
          <w:lang w:val="en-AU"/>
        </w:rPr>
        <w:t xml:space="preserve"> adopted the revised Operational Guidelines submitted by the Standing Committee by the Working Group for the Ramsar Regional Initiatives as ‘Operational Guidelines for Ramsar Regional Initiatives to support the implementation of the Convention’ (</w:t>
      </w:r>
      <w:r w:rsidRPr="004450B4">
        <w:rPr>
          <w:rFonts w:cs="Arial"/>
          <w:b/>
          <w:sz w:val="22"/>
          <w:szCs w:val="22"/>
          <w:lang w:val="en-AU"/>
        </w:rPr>
        <w:t>Revised Operational Guidelines 2016-18</w:t>
      </w:r>
      <w:r w:rsidRPr="004450B4">
        <w:rPr>
          <w:rFonts w:cs="Arial"/>
          <w:sz w:val="22"/>
          <w:szCs w:val="22"/>
          <w:lang w:val="en-AU"/>
        </w:rPr>
        <w:t>).</w:t>
      </w:r>
      <w:r w:rsidR="00B76BE4" w:rsidRPr="004450B4">
        <w:rPr>
          <w:rFonts w:cs="Arial"/>
          <w:sz w:val="22"/>
          <w:szCs w:val="22"/>
          <w:lang w:val="en-AU"/>
        </w:rPr>
        <w:t xml:space="preserve"> </w:t>
      </w:r>
      <w:r w:rsidRPr="004450B4">
        <w:rPr>
          <w:rFonts w:cs="Arial"/>
          <w:sz w:val="22"/>
          <w:szCs w:val="22"/>
          <w:lang w:val="en-AU"/>
        </w:rPr>
        <w:t>The Revised Operational Guidelines 2016-18 (which remain valid)</w:t>
      </w:r>
      <w:r w:rsidRPr="007F1C1D">
        <w:rPr>
          <w:rStyle w:val="FootnoteReference"/>
          <w:rFonts w:cs="Arial"/>
          <w:sz w:val="22"/>
          <w:szCs w:val="22"/>
          <w:lang w:val="en-AU"/>
        </w:rPr>
        <w:footnoteReference w:id="22"/>
      </w:r>
      <w:r w:rsidRPr="004450B4">
        <w:rPr>
          <w:rFonts w:cs="Arial"/>
          <w:sz w:val="22"/>
          <w:szCs w:val="22"/>
          <w:lang w:val="en-AU"/>
        </w:rPr>
        <w:t xml:space="preserve"> are divided into eight chapters. </w:t>
      </w:r>
      <w:r w:rsidR="007929EF" w:rsidRPr="004450B4">
        <w:rPr>
          <w:rFonts w:cs="Arial"/>
          <w:sz w:val="22"/>
          <w:szCs w:val="22"/>
          <w:lang w:val="en-AU"/>
        </w:rPr>
        <w:t xml:space="preserve">These eight chapters are as follows: </w:t>
      </w:r>
      <w:r w:rsidR="00C50FAC" w:rsidRPr="004450B4">
        <w:rPr>
          <w:rFonts w:cs="Arial"/>
          <w:sz w:val="22"/>
          <w:szCs w:val="22"/>
          <w:lang w:val="en-AU"/>
        </w:rPr>
        <w:t>t</w:t>
      </w:r>
      <w:r w:rsidR="0037164F" w:rsidRPr="004450B4">
        <w:rPr>
          <w:rFonts w:cs="Arial"/>
          <w:sz w:val="22"/>
          <w:szCs w:val="22"/>
          <w:lang w:val="en-AU"/>
        </w:rPr>
        <w:t>he aim and s</w:t>
      </w:r>
      <w:r w:rsidR="007F1428" w:rsidRPr="004450B4">
        <w:rPr>
          <w:rFonts w:cs="Arial"/>
          <w:sz w:val="22"/>
          <w:szCs w:val="22"/>
          <w:lang w:val="en-AU"/>
        </w:rPr>
        <w:t>cop</w:t>
      </w:r>
      <w:r w:rsidR="0037164F" w:rsidRPr="004450B4">
        <w:rPr>
          <w:rFonts w:cs="Arial"/>
          <w:sz w:val="22"/>
          <w:szCs w:val="22"/>
          <w:lang w:val="en-AU"/>
        </w:rPr>
        <w:t xml:space="preserve">e of RRIs; </w:t>
      </w:r>
      <w:r w:rsidR="00C50FAC" w:rsidRPr="004450B4">
        <w:rPr>
          <w:rFonts w:cs="Arial"/>
          <w:sz w:val="22"/>
          <w:szCs w:val="22"/>
          <w:lang w:val="en-AU"/>
        </w:rPr>
        <w:t>g</w:t>
      </w:r>
      <w:r w:rsidR="0037164F" w:rsidRPr="004450B4">
        <w:rPr>
          <w:rFonts w:cs="Arial"/>
          <w:sz w:val="22"/>
          <w:szCs w:val="22"/>
          <w:lang w:val="en-AU"/>
        </w:rPr>
        <w:t>overnanc</w:t>
      </w:r>
      <w:r w:rsidR="00C50FAC" w:rsidRPr="004450B4">
        <w:rPr>
          <w:rFonts w:cs="Arial"/>
          <w:sz w:val="22"/>
          <w:szCs w:val="22"/>
          <w:lang w:val="en-AU"/>
        </w:rPr>
        <w:t>e and functioning of the RRIs; status of the RRIs; participation in RRI</w:t>
      </w:r>
      <w:r w:rsidR="00BB28C2">
        <w:rPr>
          <w:rFonts w:cs="Arial"/>
          <w:sz w:val="22"/>
          <w:szCs w:val="22"/>
          <w:lang w:val="en-AU"/>
        </w:rPr>
        <w:t>s</w:t>
      </w:r>
      <w:r w:rsidR="00C50FAC" w:rsidRPr="004450B4">
        <w:rPr>
          <w:rFonts w:cs="Arial"/>
          <w:sz w:val="22"/>
          <w:szCs w:val="22"/>
          <w:lang w:val="en-AU"/>
        </w:rPr>
        <w:t>; r</w:t>
      </w:r>
      <w:r w:rsidR="0037164F" w:rsidRPr="004450B4">
        <w:rPr>
          <w:rFonts w:cs="Arial"/>
          <w:sz w:val="22"/>
          <w:szCs w:val="22"/>
          <w:lang w:val="en-AU"/>
        </w:rPr>
        <w:t>elation</w:t>
      </w:r>
      <w:r w:rsidR="00A85D47">
        <w:rPr>
          <w:rFonts w:cs="Arial"/>
          <w:sz w:val="22"/>
          <w:szCs w:val="22"/>
          <w:lang w:val="en-AU"/>
        </w:rPr>
        <w:t>s</w:t>
      </w:r>
      <w:r w:rsidR="0037164F" w:rsidRPr="004450B4">
        <w:rPr>
          <w:rFonts w:cs="Arial"/>
          <w:sz w:val="22"/>
          <w:szCs w:val="22"/>
          <w:lang w:val="en-AU"/>
        </w:rPr>
        <w:t xml:space="preserve"> between the Ra</w:t>
      </w:r>
      <w:r w:rsidR="00C50FAC" w:rsidRPr="004450B4">
        <w:rPr>
          <w:rFonts w:cs="Arial"/>
          <w:sz w:val="22"/>
          <w:szCs w:val="22"/>
          <w:lang w:val="en-AU"/>
        </w:rPr>
        <w:t>msar Secretariat and the RRIs; t</w:t>
      </w:r>
      <w:r w:rsidR="0037164F" w:rsidRPr="004450B4">
        <w:rPr>
          <w:rFonts w:cs="Arial"/>
          <w:sz w:val="22"/>
          <w:szCs w:val="22"/>
          <w:lang w:val="en-AU"/>
        </w:rPr>
        <w:t>he role of the RRIs to implem</w:t>
      </w:r>
      <w:r w:rsidR="00C50FAC" w:rsidRPr="004450B4">
        <w:rPr>
          <w:rFonts w:cs="Arial"/>
          <w:sz w:val="22"/>
          <w:szCs w:val="22"/>
          <w:lang w:val="en-AU"/>
        </w:rPr>
        <w:t>ent the Ramsar Strategic Plan; f</w:t>
      </w:r>
      <w:r w:rsidR="0037164F" w:rsidRPr="004450B4">
        <w:rPr>
          <w:rFonts w:cs="Arial"/>
          <w:sz w:val="22"/>
          <w:szCs w:val="22"/>
          <w:lang w:val="en-AU"/>
        </w:rPr>
        <w:t xml:space="preserve">inancing of the RRIs; </w:t>
      </w:r>
      <w:r w:rsidR="00C50FAC" w:rsidRPr="004450B4">
        <w:rPr>
          <w:rFonts w:cs="Arial"/>
          <w:sz w:val="22"/>
          <w:szCs w:val="22"/>
          <w:lang w:val="en-AU"/>
        </w:rPr>
        <w:t>and r</w:t>
      </w:r>
      <w:r w:rsidR="0037164F" w:rsidRPr="004450B4">
        <w:rPr>
          <w:rFonts w:cs="Arial"/>
          <w:sz w:val="22"/>
          <w:szCs w:val="22"/>
          <w:lang w:val="en-AU"/>
        </w:rPr>
        <w:t>eporting and evaluation of th</w:t>
      </w:r>
      <w:r w:rsidR="00F42F21" w:rsidRPr="004450B4">
        <w:rPr>
          <w:rFonts w:cs="Arial"/>
          <w:sz w:val="22"/>
          <w:szCs w:val="22"/>
          <w:lang w:val="en-AU"/>
        </w:rPr>
        <w:t xml:space="preserve">e RRIs. </w:t>
      </w:r>
      <w:r w:rsidR="004450B4" w:rsidRPr="004450B4">
        <w:rPr>
          <w:rFonts w:cs="Arial"/>
          <w:sz w:val="22"/>
          <w:szCs w:val="22"/>
          <w:lang w:val="en-AU"/>
        </w:rPr>
        <w:t xml:space="preserve">They do not explicitly authorise RRIs to adopt a particular legal structure and obtain legal personality, but do </w:t>
      </w:r>
      <w:r w:rsidR="00647A26">
        <w:rPr>
          <w:rFonts w:cs="Arial"/>
          <w:sz w:val="22"/>
          <w:szCs w:val="22"/>
          <w:lang w:val="en-AU"/>
        </w:rPr>
        <w:t xml:space="preserve">continue to emphasise the importance of RRIs </w:t>
      </w:r>
      <w:r w:rsidR="00BD0A3D">
        <w:rPr>
          <w:rFonts w:cs="Arial"/>
          <w:sz w:val="22"/>
          <w:szCs w:val="22"/>
          <w:lang w:val="en-AU"/>
        </w:rPr>
        <w:t>being operationally independent, having their own identity and becoming financially sustainable.</w:t>
      </w:r>
      <w:r w:rsidR="00BD0A3D">
        <w:rPr>
          <w:rStyle w:val="FootnoteReference"/>
          <w:rFonts w:cs="Arial"/>
          <w:sz w:val="22"/>
          <w:szCs w:val="22"/>
          <w:lang w:val="en-AU"/>
        </w:rPr>
        <w:footnoteReference w:id="23"/>
      </w:r>
      <w:r w:rsidR="00BD0A3D">
        <w:rPr>
          <w:rFonts w:cs="Arial"/>
          <w:sz w:val="22"/>
          <w:szCs w:val="22"/>
          <w:lang w:val="en-AU"/>
        </w:rPr>
        <w:t xml:space="preserve"> The significanc</w:t>
      </w:r>
      <w:r w:rsidR="00207769">
        <w:rPr>
          <w:rFonts w:cs="Arial"/>
          <w:sz w:val="22"/>
          <w:szCs w:val="22"/>
          <w:lang w:val="en-AU"/>
        </w:rPr>
        <w:t>e of this is discussed in Part 2</w:t>
      </w:r>
      <w:r w:rsidR="00BD0A3D">
        <w:rPr>
          <w:rFonts w:cs="Arial"/>
          <w:sz w:val="22"/>
          <w:szCs w:val="22"/>
          <w:lang w:val="en-AU"/>
        </w:rPr>
        <w:t xml:space="preserve">. </w:t>
      </w:r>
    </w:p>
    <w:p w14:paraId="5EFAD417" w14:textId="77777777" w:rsidR="004450B4" w:rsidRPr="004450B4" w:rsidRDefault="004450B4" w:rsidP="004450B4">
      <w:pPr>
        <w:rPr>
          <w:rFonts w:cs="Arial"/>
          <w:sz w:val="22"/>
          <w:szCs w:val="22"/>
          <w:lang w:val="en-AU"/>
        </w:rPr>
      </w:pPr>
    </w:p>
    <w:p w14:paraId="2C780FEE" w14:textId="7B7BA1CB" w:rsidR="0078380A" w:rsidRDefault="00F323BC" w:rsidP="007D155A">
      <w:pPr>
        <w:pStyle w:val="ListParagraph"/>
        <w:numPr>
          <w:ilvl w:val="0"/>
          <w:numId w:val="31"/>
        </w:numPr>
        <w:rPr>
          <w:rFonts w:cs="Arial"/>
          <w:sz w:val="22"/>
          <w:szCs w:val="22"/>
          <w:lang w:val="en-AU"/>
        </w:rPr>
      </w:pPr>
      <w:r w:rsidRPr="00B8338A">
        <w:rPr>
          <w:rFonts w:cs="Arial"/>
          <w:b/>
          <w:sz w:val="22"/>
          <w:szCs w:val="22"/>
          <w:lang w:val="en-AU"/>
        </w:rPr>
        <w:t>Resolution XIII.9</w:t>
      </w:r>
      <w:r>
        <w:rPr>
          <w:rFonts w:cs="Arial"/>
          <w:sz w:val="22"/>
          <w:szCs w:val="22"/>
          <w:lang w:val="en-AU"/>
        </w:rPr>
        <w:t xml:space="preserve">: Ramsar Regional Initiatives </w:t>
      </w:r>
      <w:r w:rsidR="00D946B7">
        <w:rPr>
          <w:rFonts w:cs="Arial"/>
          <w:sz w:val="22"/>
          <w:szCs w:val="22"/>
          <w:lang w:val="en-AU"/>
        </w:rPr>
        <w:t>2019 –</w:t>
      </w:r>
      <w:r w:rsidR="001E470D">
        <w:rPr>
          <w:rFonts w:cs="Arial"/>
          <w:sz w:val="22"/>
          <w:szCs w:val="22"/>
          <w:lang w:val="en-AU"/>
        </w:rPr>
        <w:t xml:space="preserve"> 2021</w:t>
      </w:r>
      <w:r w:rsidR="00B97203">
        <w:rPr>
          <w:rFonts w:cs="Arial"/>
          <w:sz w:val="22"/>
          <w:szCs w:val="22"/>
          <w:lang w:val="en-AU"/>
        </w:rPr>
        <w:t xml:space="preserve"> (COP13, 2018)</w:t>
      </w:r>
      <w:r w:rsidR="001E470D">
        <w:rPr>
          <w:rFonts w:cs="Arial"/>
          <w:sz w:val="22"/>
          <w:szCs w:val="22"/>
          <w:lang w:val="en-AU"/>
        </w:rPr>
        <w:t xml:space="preserve">, provided that </w:t>
      </w:r>
      <w:r w:rsidR="001576E5">
        <w:rPr>
          <w:rFonts w:cs="Arial"/>
          <w:sz w:val="22"/>
          <w:szCs w:val="22"/>
          <w:lang w:val="en-AU"/>
        </w:rPr>
        <w:t>RRIs</w:t>
      </w:r>
      <w:r w:rsidR="00435850">
        <w:rPr>
          <w:rFonts w:cs="Arial"/>
          <w:sz w:val="22"/>
          <w:szCs w:val="22"/>
          <w:lang w:val="en-AU"/>
        </w:rPr>
        <w:t xml:space="preserve"> </w:t>
      </w:r>
      <w:r w:rsidR="006E5518">
        <w:rPr>
          <w:rFonts w:cs="Arial"/>
          <w:sz w:val="22"/>
          <w:szCs w:val="22"/>
          <w:lang w:val="en-AU"/>
        </w:rPr>
        <w:t>‘</w:t>
      </w:r>
      <w:r w:rsidR="00435850">
        <w:rPr>
          <w:rFonts w:cs="Arial"/>
          <w:sz w:val="22"/>
          <w:szCs w:val="22"/>
          <w:lang w:val="en-AU"/>
        </w:rPr>
        <w:t>should</w:t>
      </w:r>
      <w:r w:rsidR="006E5518">
        <w:rPr>
          <w:rFonts w:cs="Arial"/>
          <w:sz w:val="22"/>
          <w:szCs w:val="22"/>
          <w:lang w:val="en-AU"/>
        </w:rPr>
        <w:t xml:space="preserve"> comply’ with </w:t>
      </w:r>
      <w:r w:rsidR="00841244">
        <w:rPr>
          <w:rFonts w:cs="Arial"/>
          <w:sz w:val="22"/>
          <w:szCs w:val="22"/>
          <w:lang w:val="en-AU"/>
        </w:rPr>
        <w:t>a list of 7 p</w:t>
      </w:r>
      <w:r w:rsidR="006E5518">
        <w:rPr>
          <w:rFonts w:cs="Arial"/>
          <w:sz w:val="22"/>
          <w:szCs w:val="22"/>
          <w:lang w:val="en-AU"/>
        </w:rPr>
        <w:t>rinciples</w:t>
      </w:r>
      <w:r w:rsidR="00841244">
        <w:rPr>
          <w:rFonts w:cs="Arial"/>
          <w:sz w:val="22"/>
          <w:szCs w:val="22"/>
          <w:lang w:val="en-AU"/>
        </w:rPr>
        <w:t xml:space="preserve"> (</w:t>
      </w:r>
      <w:r w:rsidR="00841244" w:rsidRPr="00841244">
        <w:rPr>
          <w:rFonts w:cs="Arial"/>
          <w:b/>
          <w:sz w:val="22"/>
          <w:szCs w:val="22"/>
          <w:lang w:val="en-AU"/>
        </w:rPr>
        <w:t>7 Principles</w:t>
      </w:r>
      <w:r w:rsidR="00841244">
        <w:rPr>
          <w:rFonts w:cs="Arial"/>
          <w:sz w:val="22"/>
          <w:szCs w:val="22"/>
          <w:lang w:val="en-AU"/>
        </w:rPr>
        <w:t>)</w:t>
      </w:r>
      <w:r w:rsidR="00296B5F">
        <w:rPr>
          <w:rStyle w:val="FootnoteReference"/>
          <w:rFonts w:cs="Arial"/>
          <w:sz w:val="22"/>
          <w:szCs w:val="22"/>
          <w:lang w:val="en-AU"/>
        </w:rPr>
        <w:footnoteReference w:id="24"/>
      </w:r>
      <w:r w:rsidR="001576E5">
        <w:rPr>
          <w:rFonts w:cs="Arial"/>
          <w:sz w:val="22"/>
          <w:szCs w:val="22"/>
          <w:lang w:val="en-AU"/>
        </w:rPr>
        <w:t xml:space="preserve"> in order to maintain their </w:t>
      </w:r>
      <w:r w:rsidR="005A1743">
        <w:rPr>
          <w:rFonts w:cs="Arial"/>
          <w:sz w:val="22"/>
          <w:szCs w:val="22"/>
          <w:lang w:val="en-AU"/>
        </w:rPr>
        <w:t>f</w:t>
      </w:r>
      <w:r w:rsidR="006E5518">
        <w:rPr>
          <w:rFonts w:cs="Arial"/>
          <w:sz w:val="22"/>
          <w:szCs w:val="22"/>
          <w:lang w:val="en-AU"/>
        </w:rPr>
        <w:t>ormal recognition as a RRI and that the Revised Operational Guidelines 2016-18 ‘can be applied as appropriate for each RRI’.</w:t>
      </w:r>
      <w:r w:rsidR="006E5518">
        <w:rPr>
          <w:rStyle w:val="FootnoteReference"/>
          <w:rFonts w:cs="Arial"/>
          <w:sz w:val="22"/>
          <w:szCs w:val="22"/>
          <w:lang w:val="en-AU"/>
        </w:rPr>
        <w:footnoteReference w:id="25"/>
      </w:r>
      <w:r w:rsidR="006E5518">
        <w:rPr>
          <w:rFonts w:cs="Arial"/>
          <w:sz w:val="22"/>
          <w:szCs w:val="22"/>
          <w:lang w:val="en-AU"/>
        </w:rPr>
        <w:t xml:space="preserve"> </w:t>
      </w:r>
      <w:r w:rsidR="00473C36">
        <w:rPr>
          <w:rFonts w:cs="Arial"/>
          <w:sz w:val="22"/>
          <w:szCs w:val="22"/>
          <w:lang w:val="en-AU"/>
        </w:rPr>
        <w:t xml:space="preserve">This </w:t>
      </w:r>
      <w:r w:rsidR="00A77429">
        <w:rPr>
          <w:rFonts w:cs="Arial"/>
          <w:sz w:val="22"/>
          <w:szCs w:val="22"/>
          <w:lang w:val="en-AU"/>
        </w:rPr>
        <w:t xml:space="preserve">Resolution </w:t>
      </w:r>
      <w:r w:rsidR="00473C36">
        <w:rPr>
          <w:rFonts w:cs="Arial"/>
          <w:sz w:val="22"/>
          <w:szCs w:val="22"/>
          <w:lang w:val="en-AU"/>
        </w:rPr>
        <w:t>has</w:t>
      </w:r>
      <w:r w:rsidR="00CF7B0C">
        <w:rPr>
          <w:rFonts w:cs="Arial"/>
          <w:sz w:val="22"/>
          <w:szCs w:val="22"/>
          <w:lang w:val="en-AU"/>
        </w:rPr>
        <w:t xml:space="preserve"> accordingly</w:t>
      </w:r>
      <w:r w:rsidR="00473C36">
        <w:rPr>
          <w:rFonts w:cs="Arial"/>
          <w:sz w:val="22"/>
          <w:szCs w:val="22"/>
          <w:lang w:val="en-AU"/>
        </w:rPr>
        <w:t xml:space="preserve"> altered</w:t>
      </w:r>
      <w:r w:rsidR="00A77429">
        <w:rPr>
          <w:rFonts w:cs="Arial"/>
          <w:sz w:val="22"/>
          <w:szCs w:val="22"/>
          <w:lang w:val="en-AU"/>
        </w:rPr>
        <w:t xml:space="preserve"> the status of the</w:t>
      </w:r>
      <w:r w:rsidR="00473C36">
        <w:rPr>
          <w:rFonts w:cs="Arial"/>
          <w:sz w:val="22"/>
          <w:szCs w:val="22"/>
          <w:lang w:val="en-AU"/>
        </w:rPr>
        <w:t xml:space="preserve"> Revised </w:t>
      </w:r>
      <w:r w:rsidR="00473C36">
        <w:rPr>
          <w:rFonts w:cs="Arial"/>
          <w:sz w:val="22"/>
          <w:szCs w:val="22"/>
          <w:lang w:val="en-AU"/>
        </w:rPr>
        <w:lastRenderedPageBreak/>
        <w:t>Operational Guidelines; whil</w:t>
      </w:r>
      <w:r w:rsidR="00A77429">
        <w:rPr>
          <w:rFonts w:cs="Arial"/>
          <w:sz w:val="22"/>
          <w:szCs w:val="22"/>
          <w:lang w:val="en-AU"/>
        </w:rPr>
        <w:t>e they remain valid, they need only be</w:t>
      </w:r>
      <w:r w:rsidR="00473C36">
        <w:rPr>
          <w:rFonts w:cs="Arial"/>
          <w:sz w:val="22"/>
          <w:szCs w:val="22"/>
          <w:lang w:val="en-AU"/>
        </w:rPr>
        <w:t xml:space="preserve"> applied on a discretionary basis </w:t>
      </w:r>
      <w:r w:rsidR="00316F1B">
        <w:rPr>
          <w:rFonts w:cs="Arial"/>
          <w:sz w:val="22"/>
          <w:szCs w:val="22"/>
          <w:lang w:val="en-AU"/>
        </w:rPr>
        <w:t xml:space="preserve">(‘as appropriate’) </w:t>
      </w:r>
      <w:r w:rsidR="00473C36">
        <w:rPr>
          <w:rFonts w:cs="Arial"/>
          <w:sz w:val="22"/>
          <w:szCs w:val="22"/>
          <w:lang w:val="en-AU"/>
        </w:rPr>
        <w:t xml:space="preserve">to each respective RRI. By way of contrast, </w:t>
      </w:r>
      <w:r w:rsidR="00A77429">
        <w:rPr>
          <w:rFonts w:cs="Arial"/>
          <w:sz w:val="22"/>
          <w:szCs w:val="22"/>
          <w:lang w:val="en-AU"/>
        </w:rPr>
        <w:t>RRIs should operate in accordance with</w:t>
      </w:r>
      <w:r w:rsidR="00841244">
        <w:rPr>
          <w:rFonts w:cs="Arial"/>
          <w:sz w:val="22"/>
          <w:szCs w:val="22"/>
          <w:lang w:val="en-AU"/>
        </w:rPr>
        <w:t xml:space="preserve"> the 7 P</w:t>
      </w:r>
      <w:r w:rsidR="00A77429">
        <w:rPr>
          <w:rFonts w:cs="Arial"/>
          <w:sz w:val="22"/>
          <w:szCs w:val="22"/>
          <w:lang w:val="en-AU"/>
        </w:rPr>
        <w:t xml:space="preserve">rinciples to ensure their ongoing recognition under the Convention. </w:t>
      </w:r>
      <w:r w:rsidR="00207769">
        <w:rPr>
          <w:rFonts w:cs="Arial"/>
          <w:sz w:val="22"/>
          <w:szCs w:val="22"/>
          <w:lang w:val="en-AU"/>
        </w:rPr>
        <w:t xml:space="preserve">To clarify, Resolution XIII.9 does not authorise RRIs to adopt a particular legal structure that confers legal personality. </w:t>
      </w:r>
      <w:r w:rsidR="00A77429">
        <w:rPr>
          <w:rFonts w:cs="Arial"/>
          <w:sz w:val="22"/>
          <w:szCs w:val="22"/>
          <w:lang w:val="en-AU"/>
        </w:rPr>
        <w:t xml:space="preserve"> </w:t>
      </w:r>
    </w:p>
    <w:p w14:paraId="6C4B464A" w14:textId="77777777" w:rsidR="0078380A" w:rsidRPr="0078380A" w:rsidRDefault="0078380A" w:rsidP="0078380A">
      <w:pPr>
        <w:rPr>
          <w:rFonts w:cs="Arial"/>
          <w:sz w:val="22"/>
          <w:szCs w:val="22"/>
          <w:lang w:val="en-AU"/>
        </w:rPr>
      </w:pPr>
    </w:p>
    <w:p w14:paraId="25D98393" w14:textId="4145AE4A" w:rsidR="00F323BC" w:rsidRPr="0078380A" w:rsidRDefault="0078380A" w:rsidP="0078380A">
      <w:pPr>
        <w:pStyle w:val="ListParagraph"/>
        <w:numPr>
          <w:ilvl w:val="0"/>
          <w:numId w:val="31"/>
        </w:numPr>
        <w:rPr>
          <w:rFonts w:cs="Arial"/>
          <w:sz w:val="22"/>
          <w:szCs w:val="22"/>
          <w:lang w:val="en-AU"/>
        </w:rPr>
      </w:pPr>
      <w:r>
        <w:rPr>
          <w:rFonts w:cs="Arial"/>
          <w:sz w:val="22"/>
          <w:szCs w:val="22"/>
          <w:lang w:val="en-AU"/>
        </w:rPr>
        <w:t xml:space="preserve">While Resolution XIII.9 rendered the Revised Operational Guidelines 2016-18 discretionary (and essentially subordinate to the 7 Principles), they nonetheless remain valid until COP14. Their focus on </w:t>
      </w:r>
      <w:r w:rsidRPr="00CC210F">
        <w:rPr>
          <w:rFonts w:cs="Arial"/>
          <w:sz w:val="22"/>
          <w:szCs w:val="22"/>
          <w:lang w:val="en-AU"/>
        </w:rPr>
        <w:t xml:space="preserve">financial </w:t>
      </w:r>
      <w:r w:rsidR="0042728A" w:rsidRPr="00CC210F">
        <w:rPr>
          <w:rFonts w:cs="Arial"/>
          <w:sz w:val="22"/>
          <w:szCs w:val="22"/>
          <w:lang w:val="en-AU"/>
        </w:rPr>
        <w:t>sustainability</w:t>
      </w:r>
      <w:r>
        <w:rPr>
          <w:rStyle w:val="FootnoteReference"/>
          <w:rFonts w:cs="Arial"/>
          <w:sz w:val="22"/>
          <w:szCs w:val="22"/>
          <w:lang w:val="en-AU"/>
        </w:rPr>
        <w:footnoteReference w:id="26"/>
      </w:r>
      <w:r w:rsidRPr="007F1C1D">
        <w:rPr>
          <w:rFonts w:cs="Arial"/>
          <w:sz w:val="22"/>
          <w:szCs w:val="22"/>
          <w:lang w:val="en-AU"/>
        </w:rPr>
        <w:t xml:space="preserve"> and the creation of entities with separate identities</w:t>
      </w:r>
      <w:r>
        <w:rPr>
          <w:rFonts w:cs="Arial"/>
          <w:sz w:val="22"/>
          <w:szCs w:val="22"/>
          <w:lang w:val="en-AU"/>
        </w:rPr>
        <w:t xml:space="preserve"> is </w:t>
      </w:r>
      <w:r w:rsidR="00E06FF8">
        <w:rPr>
          <w:rFonts w:cs="Arial"/>
          <w:sz w:val="22"/>
          <w:szCs w:val="22"/>
          <w:lang w:val="en-AU"/>
        </w:rPr>
        <w:t>potentially</w:t>
      </w:r>
      <w:r>
        <w:rPr>
          <w:rFonts w:cs="Arial"/>
          <w:sz w:val="22"/>
          <w:szCs w:val="22"/>
          <w:lang w:val="en-AU"/>
        </w:rPr>
        <w:t xml:space="preserve"> at odds with the </w:t>
      </w:r>
      <w:r w:rsidR="00AE4EB9">
        <w:rPr>
          <w:rFonts w:cs="Arial"/>
          <w:sz w:val="22"/>
          <w:szCs w:val="22"/>
          <w:lang w:val="en-AU"/>
        </w:rPr>
        <w:t>fact that the</w:t>
      </w:r>
      <w:r w:rsidRPr="007F1C1D">
        <w:rPr>
          <w:rFonts w:cs="Arial"/>
          <w:sz w:val="22"/>
          <w:szCs w:val="22"/>
          <w:lang w:val="en-AU"/>
        </w:rPr>
        <w:t xml:space="preserve"> </w:t>
      </w:r>
      <w:r>
        <w:rPr>
          <w:rFonts w:cs="Arial"/>
          <w:sz w:val="22"/>
          <w:szCs w:val="22"/>
          <w:lang w:val="en-AU"/>
        </w:rPr>
        <w:t>COP</w:t>
      </w:r>
      <w:r w:rsidRPr="007F1C1D">
        <w:rPr>
          <w:rFonts w:cs="Arial"/>
          <w:sz w:val="22"/>
          <w:szCs w:val="22"/>
          <w:lang w:val="en-AU"/>
        </w:rPr>
        <w:t xml:space="preserve"> </w:t>
      </w:r>
      <w:r w:rsidR="00AE4EB9">
        <w:rPr>
          <w:rFonts w:cs="Arial"/>
          <w:sz w:val="22"/>
          <w:szCs w:val="22"/>
          <w:lang w:val="en-AU"/>
        </w:rPr>
        <w:t xml:space="preserve">has not unambiguously authorised </w:t>
      </w:r>
      <w:r>
        <w:rPr>
          <w:rFonts w:cs="Arial"/>
          <w:sz w:val="22"/>
          <w:szCs w:val="22"/>
          <w:lang w:val="en-AU"/>
        </w:rPr>
        <w:t xml:space="preserve">RRIs </w:t>
      </w:r>
      <w:r w:rsidRPr="007F1C1D">
        <w:rPr>
          <w:rFonts w:cs="Arial"/>
          <w:sz w:val="22"/>
          <w:szCs w:val="22"/>
          <w:lang w:val="en-AU"/>
        </w:rPr>
        <w:t>to adopt a formal legal structure at the national level (with or without legal personality).</w:t>
      </w:r>
      <w:r w:rsidR="00E47FDB">
        <w:rPr>
          <w:rStyle w:val="FootnoteReference"/>
          <w:rFonts w:cs="Arial"/>
          <w:sz w:val="22"/>
          <w:szCs w:val="22"/>
          <w:lang w:val="en-AU"/>
        </w:rPr>
        <w:footnoteReference w:id="27"/>
      </w:r>
      <w:r w:rsidRPr="007F1C1D">
        <w:rPr>
          <w:rFonts w:cs="Arial"/>
          <w:sz w:val="22"/>
          <w:szCs w:val="22"/>
          <w:lang w:val="en-AU"/>
        </w:rPr>
        <w:t xml:space="preserve"> </w:t>
      </w:r>
      <w:r>
        <w:rPr>
          <w:rFonts w:cs="Arial"/>
          <w:sz w:val="22"/>
          <w:szCs w:val="22"/>
          <w:lang w:val="en-AU"/>
        </w:rPr>
        <w:t xml:space="preserve">This in turn gives rise to an internal tension which should be resolved. To that end, </w:t>
      </w:r>
      <w:r w:rsidRPr="007F1C1D">
        <w:rPr>
          <w:rFonts w:cs="Arial"/>
          <w:sz w:val="22"/>
          <w:szCs w:val="22"/>
          <w:lang w:val="en-AU"/>
        </w:rPr>
        <w:t xml:space="preserve">Part 6 will </w:t>
      </w:r>
      <w:r w:rsidRPr="007F1C1D">
        <w:rPr>
          <w:rFonts w:cs="Arial"/>
          <w:i/>
          <w:sz w:val="22"/>
          <w:szCs w:val="22"/>
          <w:lang w:val="en-AU"/>
        </w:rPr>
        <w:t>inter alia</w:t>
      </w:r>
      <w:r w:rsidRPr="007F1C1D">
        <w:rPr>
          <w:rFonts w:cs="Arial"/>
          <w:sz w:val="22"/>
          <w:szCs w:val="22"/>
          <w:lang w:val="en-AU"/>
        </w:rPr>
        <w:t xml:space="preserve"> recommend that the Contracting Parties clarify this matter. </w:t>
      </w:r>
      <w:r w:rsidR="00473C36" w:rsidRPr="0078380A">
        <w:rPr>
          <w:rFonts w:cs="Arial"/>
          <w:sz w:val="22"/>
          <w:szCs w:val="22"/>
          <w:lang w:val="en-AU"/>
        </w:rPr>
        <w:t xml:space="preserve"> </w:t>
      </w:r>
    </w:p>
    <w:p w14:paraId="43A3F13F" w14:textId="77777777" w:rsidR="00F42F21" w:rsidRPr="00F42F21" w:rsidRDefault="00F42F21" w:rsidP="00F42F21">
      <w:pPr>
        <w:rPr>
          <w:rFonts w:cs="Arial"/>
          <w:sz w:val="22"/>
          <w:szCs w:val="22"/>
          <w:lang w:val="en-AU"/>
        </w:rPr>
      </w:pPr>
    </w:p>
    <w:p w14:paraId="723FCA1C" w14:textId="245EDEAA" w:rsidR="00446DD5" w:rsidRPr="007F1C1D" w:rsidRDefault="00446DD5" w:rsidP="00446DD5">
      <w:pPr>
        <w:rPr>
          <w:rFonts w:cs="Arial"/>
          <w:b/>
          <w:sz w:val="22"/>
          <w:szCs w:val="22"/>
          <w:lang w:val="en-AU"/>
        </w:rPr>
      </w:pPr>
      <w:r w:rsidRPr="007F1C1D">
        <w:rPr>
          <w:rFonts w:cs="Arial"/>
          <w:b/>
          <w:sz w:val="22"/>
          <w:szCs w:val="22"/>
          <w:lang w:val="en-AU"/>
        </w:rPr>
        <w:t>Part 3: Current status of RRIs under the Convention</w:t>
      </w:r>
    </w:p>
    <w:p w14:paraId="14397D39" w14:textId="77777777" w:rsidR="00446DD5" w:rsidRPr="007F1C1D" w:rsidRDefault="00446DD5" w:rsidP="00446DD5">
      <w:pPr>
        <w:rPr>
          <w:rFonts w:cs="Arial"/>
          <w:sz w:val="22"/>
          <w:szCs w:val="22"/>
          <w:lang w:val="en-AU"/>
        </w:rPr>
      </w:pPr>
    </w:p>
    <w:p w14:paraId="7466336B" w14:textId="02F5BECC" w:rsidR="00B127EC" w:rsidRDefault="00204DFD" w:rsidP="007D155A">
      <w:pPr>
        <w:pStyle w:val="ListParagraph"/>
        <w:numPr>
          <w:ilvl w:val="0"/>
          <w:numId w:val="31"/>
        </w:numPr>
        <w:rPr>
          <w:rFonts w:cs="Arial"/>
          <w:sz w:val="22"/>
          <w:szCs w:val="22"/>
          <w:lang w:val="en-AU"/>
        </w:rPr>
      </w:pPr>
      <w:r w:rsidRPr="007F1C1D">
        <w:rPr>
          <w:rFonts w:cs="Arial"/>
          <w:sz w:val="22"/>
          <w:szCs w:val="22"/>
          <w:lang w:val="en-AU"/>
        </w:rPr>
        <w:t xml:space="preserve">There are currently 19 RRIs endorsed as operating within the framework of the Convention. These RRIs were most recently endorsed at </w:t>
      </w:r>
      <w:r w:rsidR="007F1428">
        <w:rPr>
          <w:rFonts w:cs="Arial"/>
          <w:sz w:val="22"/>
          <w:szCs w:val="22"/>
          <w:lang w:val="en-AU"/>
        </w:rPr>
        <w:t>COP</w:t>
      </w:r>
      <w:r w:rsidR="007C46D2">
        <w:rPr>
          <w:rFonts w:cs="Arial"/>
          <w:sz w:val="22"/>
          <w:szCs w:val="22"/>
          <w:lang w:val="en-AU"/>
        </w:rPr>
        <w:t xml:space="preserve">13 in Resolution XIII.9. </w:t>
      </w:r>
      <w:r w:rsidRPr="007F1C1D">
        <w:rPr>
          <w:rFonts w:cs="Arial"/>
          <w:sz w:val="22"/>
          <w:szCs w:val="22"/>
          <w:lang w:val="en-AU"/>
        </w:rPr>
        <w:t>Further details regarding these RRI</w:t>
      </w:r>
      <w:r w:rsidR="00ED25A0" w:rsidRPr="007F1C1D">
        <w:rPr>
          <w:rFonts w:cs="Arial"/>
          <w:sz w:val="22"/>
          <w:szCs w:val="22"/>
          <w:lang w:val="en-AU"/>
        </w:rPr>
        <w:t>s</w:t>
      </w:r>
      <w:r w:rsidRPr="007F1C1D">
        <w:rPr>
          <w:rFonts w:cs="Arial"/>
          <w:sz w:val="22"/>
          <w:szCs w:val="22"/>
          <w:lang w:val="en-AU"/>
        </w:rPr>
        <w:t xml:space="preserve"> can be found in </w:t>
      </w:r>
      <w:r w:rsidR="008B7B6E">
        <w:rPr>
          <w:rFonts w:cs="Arial"/>
          <w:b/>
          <w:sz w:val="22"/>
          <w:szCs w:val="22"/>
          <w:lang w:val="en-AU"/>
        </w:rPr>
        <w:t>Appendix</w:t>
      </w:r>
      <w:r w:rsidRPr="007F1C1D">
        <w:rPr>
          <w:rFonts w:cs="Arial"/>
          <w:b/>
          <w:sz w:val="22"/>
          <w:szCs w:val="22"/>
          <w:lang w:val="en-AU"/>
        </w:rPr>
        <w:t xml:space="preserve"> 3</w:t>
      </w:r>
      <w:r w:rsidRPr="007F1C1D">
        <w:rPr>
          <w:rFonts w:cs="Arial"/>
          <w:sz w:val="22"/>
          <w:szCs w:val="22"/>
          <w:lang w:val="en-AU"/>
        </w:rPr>
        <w:t>.</w:t>
      </w:r>
    </w:p>
    <w:p w14:paraId="479E69FD" w14:textId="77777777" w:rsidR="00815BF7" w:rsidRPr="00815BF7" w:rsidRDefault="00815BF7" w:rsidP="00815BF7">
      <w:pPr>
        <w:rPr>
          <w:rFonts w:cs="Arial"/>
          <w:sz w:val="22"/>
          <w:szCs w:val="22"/>
          <w:lang w:val="en-AU"/>
        </w:rPr>
      </w:pPr>
    </w:p>
    <w:p w14:paraId="5A9B83DE" w14:textId="59B979F0" w:rsidR="00616FCE" w:rsidRDefault="00897CC9" w:rsidP="00616FCE">
      <w:pPr>
        <w:pStyle w:val="ListParagraph"/>
        <w:numPr>
          <w:ilvl w:val="0"/>
          <w:numId w:val="31"/>
        </w:numPr>
        <w:rPr>
          <w:rFonts w:cs="Arial"/>
          <w:sz w:val="22"/>
          <w:szCs w:val="22"/>
          <w:lang w:val="en-AU"/>
        </w:rPr>
      </w:pPr>
      <w:r w:rsidRPr="007F1C1D">
        <w:rPr>
          <w:rFonts w:cs="Arial"/>
          <w:sz w:val="22"/>
          <w:szCs w:val="22"/>
          <w:lang w:val="en-AU"/>
        </w:rPr>
        <w:t xml:space="preserve">As noted in Part 2 of this advice, the relevant Resolutions and </w:t>
      </w:r>
      <w:r w:rsidR="00020316">
        <w:rPr>
          <w:rFonts w:cs="Arial"/>
          <w:sz w:val="22"/>
          <w:szCs w:val="22"/>
          <w:lang w:val="en-AU"/>
        </w:rPr>
        <w:t xml:space="preserve">SC </w:t>
      </w:r>
      <w:r w:rsidRPr="007F1C1D">
        <w:rPr>
          <w:rFonts w:cs="Arial"/>
          <w:sz w:val="22"/>
          <w:szCs w:val="22"/>
          <w:lang w:val="en-AU"/>
        </w:rPr>
        <w:t xml:space="preserve">Decisions have not explicitly required or authorised RRIs to adopt any sort of formal legal structure which would in turn confer legal personality. </w:t>
      </w:r>
      <w:r w:rsidR="00D669C7">
        <w:rPr>
          <w:rFonts w:cs="Arial"/>
          <w:sz w:val="22"/>
          <w:szCs w:val="22"/>
          <w:lang w:val="en-AU"/>
        </w:rPr>
        <w:t xml:space="preserve">Conversely, </w:t>
      </w:r>
      <w:r w:rsidR="00D244BF">
        <w:rPr>
          <w:rFonts w:cs="Arial"/>
          <w:sz w:val="22"/>
          <w:szCs w:val="22"/>
          <w:lang w:val="en-AU"/>
        </w:rPr>
        <w:t xml:space="preserve">they have not explicitly prohibited such conduct. Relevantly, </w:t>
      </w:r>
      <w:r w:rsidRPr="007F1C1D">
        <w:rPr>
          <w:rFonts w:cs="Arial"/>
          <w:sz w:val="22"/>
          <w:szCs w:val="22"/>
          <w:lang w:val="en-AU"/>
        </w:rPr>
        <w:t>I have been instructed that</w:t>
      </w:r>
      <w:r w:rsidR="00616FCE">
        <w:rPr>
          <w:rFonts w:cs="Arial"/>
          <w:sz w:val="22"/>
          <w:szCs w:val="22"/>
          <w:lang w:val="en-AU"/>
        </w:rPr>
        <w:t xml:space="preserve"> three RRIs (or their secretariats) have been recognised under relevant national laws.</w:t>
      </w:r>
      <w:r w:rsidR="00D40A55">
        <w:rPr>
          <w:rFonts w:cs="Arial"/>
          <w:sz w:val="22"/>
          <w:szCs w:val="22"/>
          <w:lang w:val="en-AU"/>
        </w:rPr>
        <w:t xml:space="preserve"> </w:t>
      </w:r>
    </w:p>
    <w:p w14:paraId="52B2B7DA" w14:textId="7DC6D2DA" w:rsidR="00327D08" w:rsidRPr="00327D08" w:rsidRDefault="00327D08" w:rsidP="00327D08">
      <w:pPr>
        <w:rPr>
          <w:rFonts w:cs="Arial"/>
          <w:sz w:val="22"/>
          <w:szCs w:val="22"/>
          <w:lang w:val="en-AU"/>
        </w:rPr>
      </w:pPr>
    </w:p>
    <w:p w14:paraId="4BDB746A" w14:textId="3812691E" w:rsidR="00897CC9" w:rsidRDefault="00616FCE" w:rsidP="007D155A">
      <w:pPr>
        <w:pStyle w:val="ListParagraph"/>
        <w:numPr>
          <w:ilvl w:val="0"/>
          <w:numId w:val="31"/>
        </w:numPr>
        <w:rPr>
          <w:rFonts w:cs="Arial"/>
          <w:sz w:val="22"/>
          <w:szCs w:val="22"/>
          <w:lang w:val="en-AU"/>
        </w:rPr>
      </w:pPr>
      <w:r>
        <w:rPr>
          <w:rFonts w:cs="Arial"/>
          <w:sz w:val="22"/>
          <w:szCs w:val="22"/>
          <w:lang w:val="en-AU"/>
        </w:rPr>
        <w:t xml:space="preserve">First, </w:t>
      </w:r>
      <w:r w:rsidR="00D244BF">
        <w:rPr>
          <w:rFonts w:cs="Arial"/>
          <w:sz w:val="22"/>
          <w:szCs w:val="22"/>
          <w:lang w:val="en-AU"/>
        </w:rPr>
        <w:t xml:space="preserve">MedWet established what was originally known as a ‘Coordination Unit’, which </w:t>
      </w:r>
      <w:r w:rsidR="00897CC9" w:rsidRPr="007F1C1D">
        <w:rPr>
          <w:rFonts w:cs="Arial"/>
          <w:sz w:val="22"/>
          <w:szCs w:val="22"/>
          <w:lang w:val="en-AU"/>
        </w:rPr>
        <w:t xml:space="preserve">obtained formal </w:t>
      </w:r>
      <w:r w:rsidR="00D244BF">
        <w:rPr>
          <w:rFonts w:cs="Arial"/>
          <w:sz w:val="22"/>
          <w:szCs w:val="22"/>
          <w:lang w:val="en-AU"/>
        </w:rPr>
        <w:t xml:space="preserve">legal </w:t>
      </w:r>
      <w:r w:rsidR="00897CC9" w:rsidRPr="007F1C1D">
        <w:rPr>
          <w:rFonts w:cs="Arial"/>
          <w:sz w:val="22"/>
          <w:szCs w:val="22"/>
          <w:lang w:val="en-AU"/>
        </w:rPr>
        <w:t>recognition</w:t>
      </w:r>
      <w:r w:rsidR="00C804FE">
        <w:rPr>
          <w:rFonts w:cs="Arial"/>
          <w:sz w:val="22"/>
          <w:szCs w:val="22"/>
          <w:lang w:val="en-AU"/>
        </w:rPr>
        <w:t xml:space="preserve"> as a not-for-profit association</w:t>
      </w:r>
      <w:r w:rsidR="00130971">
        <w:rPr>
          <w:rFonts w:cs="Arial"/>
          <w:sz w:val="22"/>
          <w:szCs w:val="22"/>
          <w:lang w:val="en-AU"/>
        </w:rPr>
        <w:t xml:space="preserve"> under Greek law sometime after 2005</w:t>
      </w:r>
      <w:r w:rsidR="00600D6E">
        <w:rPr>
          <w:rStyle w:val="FootnoteReference"/>
          <w:rFonts w:cs="Arial"/>
          <w:sz w:val="22"/>
          <w:szCs w:val="22"/>
          <w:lang w:val="en-AU"/>
        </w:rPr>
        <w:footnoteReference w:id="28"/>
      </w:r>
      <w:r w:rsidR="00897CC9" w:rsidRPr="007F1C1D">
        <w:rPr>
          <w:rFonts w:cs="Arial"/>
          <w:sz w:val="22"/>
          <w:szCs w:val="22"/>
          <w:lang w:val="en-AU"/>
        </w:rPr>
        <w:t xml:space="preserve"> and French law in 2014</w:t>
      </w:r>
      <w:r w:rsidR="00105D9A">
        <w:rPr>
          <w:rFonts w:cs="Arial"/>
          <w:sz w:val="22"/>
          <w:szCs w:val="22"/>
          <w:lang w:val="en-AU"/>
        </w:rPr>
        <w:t xml:space="preserve"> (with the latter </w:t>
      </w:r>
      <w:r w:rsidR="005C4AC4">
        <w:rPr>
          <w:rFonts w:cs="Arial"/>
          <w:sz w:val="22"/>
          <w:szCs w:val="22"/>
          <w:lang w:val="en-AU"/>
        </w:rPr>
        <w:t>being</w:t>
      </w:r>
      <w:r w:rsidR="00E750A5">
        <w:rPr>
          <w:rFonts w:cs="Arial"/>
          <w:sz w:val="22"/>
          <w:szCs w:val="22"/>
          <w:lang w:val="en-AU"/>
        </w:rPr>
        <w:t xml:space="preserve"> current)</w:t>
      </w:r>
      <w:r w:rsidR="00C804FE">
        <w:rPr>
          <w:rFonts w:cs="Arial"/>
          <w:sz w:val="22"/>
          <w:szCs w:val="22"/>
          <w:lang w:val="en-AU"/>
        </w:rPr>
        <w:t xml:space="preserve">. </w:t>
      </w:r>
      <w:r w:rsidR="00167B40">
        <w:rPr>
          <w:rFonts w:cs="Arial"/>
          <w:sz w:val="22"/>
          <w:szCs w:val="22"/>
          <w:lang w:val="en-AU"/>
        </w:rPr>
        <w:t>T</w:t>
      </w:r>
      <w:r w:rsidR="00C804FE">
        <w:rPr>
          <w:rFonts w:cs="Arial"/>
          <w:sz w:val="22"/>
          <w:szCs w:val="22"/>
          <w:lang w:val="en-AU"/>
        </w:rPr>
        <w:t>his</w:t>
      </w:r>
      <w:r w:rsidR="00C90395">
        <w:rPr>
          <w:rFonts w:cs="Arial"/>
          <w:sz w:val="22"/>
          <w:szCs w:val="22"/>
          <w:lang w:val="en-AU"/>
        </w:rPr>
        <w:t xml:space="preserve"> status under French law</w:t>
      </w:r>
      <w:r w:rsidR="00C804FE">
        <w:rPr>
          <w:rFonts w:cs="Arial"/>
          <w:sz w:val="22"/>
          <w:szCs w:val="22"/>
          <w:lang w:val="en-AU"/>
        </w:rPr>
        <w:t xml:space="preserve"> confers legal personality upon </w:t>
      </w:r>
      <w:r w:rsidR="005C4AC4">
        <w:rPr>
          <w:rFonts w:cs="Arial"/>
          <w:sz w:val="22"/>
          <w:szCs w:val="22"/>
          <w:lang w:val="en-AU"/>
        </w:rPr>
        <w:t>its s</w:t>
      </w:r>
      <w:r w:rsidR="00C804FE">
        <w:rPr>
          <w:rFonts w:cs="Arial"/>
          <w:sz w:val="22"/>
          <w:szCs w:val="22"/>
          <w:lang w:val="en-AU"/>
        </w:rPr>
        <w:t>ecretariat</w:t>
      </w:r>
      <w:r w:rsidR="008840D6">
        <w:rPr>
          <w:rFonts w:cs="Arial"/>
          <w:sz w:val="22"/>
          <w:szCs w:val="22"/>
          <w:lang w:val="en-AU"/>
        </w:rPr>
        <w:t>.</w:t>
      </w:r>
      <w:r w:rsidR="008840D6">
        <w:rPr>
          <w:rStyle w:val="FootnoteReference"/>
          <w:rFonts w:cs="Arial"/>
          <w:sz w:val="22"/>
          <w:szCs w:val="22"/>
          <w:lang w:val="en-AU"/>
        </w:rPr>
        <w:footnoteReference w:id="29"/>
      </w:r>
      <w:r w:rsidR="008840D6">
        <w:rPr>
          <w:rFonts w:cs="Arial"/>
          <w:sz w:val="22"/>
          <w:szCs w:val="22"/>
          <w:lang w:val="en-AU"/>
        </w:rPr>
        <w:t xml:space="preserve"> </w:t>
      </w:r>
      <w:r w:rsidR="00897CC9" w:rsidRPr="007F1C1D">
        <w:rPr>
          <w:rFonts w:cs="Arial"/>
          <w:sz w:val="22"/>
          <w:szCs w:val="22"/>
          <w:lang w:val="en-AU"/>
        </w:rPr>
        <w:t>MedWet</w:t>
      </w:r>
      <w:r w:rsidR="005C4AC4">
        <w:rPr>
          <w:rFonts w:cs="Arial"/>
          <w:sz w:val="22"/>
          <w:szCs w:val="22"/>
          <w:lang w:val="en-AU"/>
        </w:rPr>
        <w:t xml:space="preserve"> itself</w:t>
      </w:r>
      <w:r w:rsidR="00B84CCF">
        <w:rPr>
          <w:rFonts w:cs="Arial"/>
          <w:sz w:val="22"/>
          <w:szCs w:val="22"/>
          <w:lang w:val="en-AU"/>
        </w:rPr>
        <w:t xml:space="preserve"> (which is separate from its secretariat)</w:t>
      </w:r>
      <w:r w:rsidR="00897CC9" w:rsidRPr="007F1C1D">
        <w:rPr>
          <w:rFonts w:cs="Arial"/>
          <w:sz w:val="22"/>
          <w:szCs w:val="22"/>
          <w:lang w:val="en-AU"/>
        </w:rPr>
        <w:t xml:space="preserve"> has been continuously endorsed as operating within the framework of the Convention</w:t>
      </w:r>
      <w:r w:rsidR="005C4AC4">
        <w:rPr>
          <w:rFonts w:cs="Arial"/>
          <w:sz w:val="22"/>
          <w:szCs w:val="22"/>
          <w:lang w:val="en-AU"/>
        </w:rPr>
        <w:t>.</w:t>
      </w:r>
      <w:r w:rsidR="00897CC9" w:rsidRPr="007F1C1D">
        <w:rPr>
          <w:rFonts w:cs="Arial"/>
          <w:sz w:val="22"/>
          <w:szCs w:val="22"/>
          <w:lang w:val="en-AU"/>
        </w:rPr>
        <w:t xml:space="preserve"> </w:t>
      </w:r>
    </w:p>
    <w:p w14:paraId="6C3BAB1F" w14:textId="77777777" w:rsidR="008D3CE7" w:rsidRPr="008D3CE7" w:rsidRDefault="008D3CE7" w:rsidP="008D3CE7">
      <w:pPr>
        <w:rPr>
          <w:rFonts w:cs="Arial"/>
          <w:sz w:val="22"/>
          <w:szCs w:val="22"/>
          <w:lang w:val="en-AU"/>
        </w:rPr>
      </w:pPr>
    </w:p>
    <w:p w14:paraId="2364C739" w14:textId="40BDC7C4" w:rsidR="008D3CE7" w:rsidRPr="008D3CE7" w:rsidRDefault="008D3CE7" w:rsidP="007D155A">
      <w:pPr>
        <w:pStyle w:val="ListParagraph"/>
        <w:numPr>
          <w:ilvl w:val="0"/>
          <w:numId w:val="31"/>
        </w:numPr>
        <w:rPr>
          <w:rFonts w:cs="Arial"/>
          <w:sz w:val="22"/>
          <w:szCs w:val="22"/>
          <w:lang w:val="en-US"/>
        </w:rPr>
      </w:pPr>
      <w:r>
        <w:rPr>
          <w:rFonts w:cs="Arial"/>
          <w:sz w:val="22"/>
          <w:szCs w:val="22"/>
          <w:lang w:val="en-AU"/>
        </w:rPr>
        <w:t>Second</w:t>
      </w:r>
      <w:r w:rsidRPr="00283466">
        <w:rPr>
          <w:rFonts w:cs="Arial"/>
          <w:sz w:val="22"/>
          <w:szCs w:val="22"/>
          <w:lang w:val="en-AU"/>
        </w:rPr>
        <w:t xml:space="preserve">, the </w:t>
      </w:r>
      <w:r w:rsidRPr="00D44EBF">
        <w:rPr>
          <w:rFonts w:cs="Arial"/>
          <w:sz w:val="22"/>
          <w:szCs w:val="22"/>
          <w:lang w:val="en-AU"/>
        </w:rPr>
        <w:t>EAAFP</w:t>
      </w:r>
      <w:r w:rsidR="00D244BF">
        <w:rPr>
          <w:rFonts w:cs="Arial"/>
          <w:sz w:val="22"/>
          <w:szCs w:val="22"/>
          <w:lang w:val="en-AU"/>
        </w:rPr>
        <w:t xml:space="preserve"> established a</w:t>
      </w:r>
      <w:r>
        <w:rPr>
          <w:rFonts w:cs="Arial"/>
          <w:sz w:val="22"/>
          <w:szCs w:val="22"/>
          <w:lang w:val="en-AU"/>
        </w:rPr>
        <w:t xml:space="preserve"> s</w:t>
      </w:r>
      <w:r w:rsidRPr="00283466">
        <w:rPr>
          <w:rFonts w:cs="Arial"/>
          <w:sz w:val="22"/>
          <w:szCs w:val="22"/>
          <w:lang w:val="en-AU"/>
        </w:rPr>
        <w:t>ecretariat</w:t>
      </w:r>
      <w:r w:rsidR="00D244BF">
        <w:rPr>
          <w:rFonts w:cs="Arial"/>
          <w:sz w:val="22"/>
          <w:szCs w:val="22"/>
          <w:lang w:val="en-AU"/>
        </w:rPr>
        <w:t xml:space="preserve"> in the Republic of Korea in 2009. It</w:t>
      </w:r>
      <w:r w:rsidRPr="00283466">
        <w:rPr>
          <w:rFonts w:cs="Arial"/>
          <w:sz w:val="22"/>
          <w:szCs w:val="22"/>
          <w:lang w:val="en-AU"/>
        </w:rPr>
        <w:t xml:space="preserve"> is </w:t>
      </w:r>
      <w:r w:rsidRPr="00283466">
        <w:rPr>
          <w:rFonts w:cs="Arial"/>
          <w:sz w:val="22"/>
          <w:szCs w:val="22"/>
          <w:lang w:val="en-GB"/>
        </w:rPr>
        <w:t>hosted under a renewable Memorandum of Understanding</w:t>
      </w:r>
      <w:r>
        <w:rPr>
          <w:rFonts w:cs="Arial"/>
          <w:sz w:val="22"/>
          <w:szCs w:val="22"/>
          <w:lang w:val="en-GB"/>
        </w:rPr>
        <w:t xml:space="preserve"> (</w:t>
      </w:r>
      <w:r w:rsidRPr="009C35F1">
        <w:rPr>
          <w:rFonts w:cs="Arial"/>
          <w:b/>
          <w:sz w:val="22"/>
          <w:szCs w:val="22"/>
          <w:lang w:val="en-GB"/>
        </w:rPr>
        <w:t>MoU</w:t>
      </w:r>
      <w:r>
        <w:rPr>
          <w:rFonts w:cs="Arial"/>
          <w:sz w:val="22"/>
          <w:szCs w:val="22"/>
          <w:lang w:val="en-GB"/>
        </w:rPr>
        <w:t>)</w:t>
      </w:r>
      <w:r w:rsidRPr="00283466">
        <w:rPr>
          <w:rFonts w:cs="Arial"/>
          <w:sz w:val="22"/>
          <w:szCs w:val="22"/>
          <w:lang w:val="en-GB"/>
        </w:rPr>
        <w:t xml:space="preserve"> with Incheon Metropolitan Government and the Ministry of Environment Korea</w:t>
      </w:r>
      <w:r>
        <w:rPr>
          <w:rFonts w:cs="Arial"/>
          <w:sz w:val="22"/>
          <w:szCs w:val="22"/>
          <w:lang w:val="en-US"/>
        </w:rPr>
        <w:t>.</w:t>
      </w:r>
      <w:r>
        <w:rPr>
          <w:rStyle w:val="FootnoteReference"/>
          <w:rFonts w:cs="Arial"/>
          <w:sz w:val="22"/>
          <w:szCs w:val="22"/>
          <w:lang w:val="en-US"/>
        </w:rPr>
        <w:footnoteReference w:id="30"/>
      </w:r>
      <w:r w:rsidRPr="00283466">
        <w:rPr>
          <w:rFonts w:cs="Arial"/>
          <w:sz w:val="22"/>
          <w:szCs w:val="22"/>
          <w:lang w:val="en-US"/>
        </w:rPr>
        <w:t xml:space="preserve">  Relevantly, it is</w:t>
      </w:r>
      <w:r w:rsidRPr="00283466">
        <w:rPr>
          <w:rFonts w:cs="Arial"/>
          <w:sz w:val="22"/>
          <w:szCs w:val="22"/>
          <w:lang w:val="en-AU"/>
        </w:rPr>
        <w:t xml:space="preserve"> registered in the Republic of Korea as a </w:t>
      </w:r>
      <w:r w:rsidRPr="00283466">
        <w:rPr>
          <w:rFonts w:cs="Arial"/>
          <w:sz w:val="22"/>
          <w:szCs w:val="22"/>
          <w:lang w:val="en-AU"/>
        </w:rPr>
        <w:lastRenderedPageBreak/>
        <w:t>‘Non-profit Corporation/Government Organisation’</w:t>
      </w:r>
      <w:r>
        <w:rPr>
          <w:rStyle w:val="FootnoteReference"/>
          <w:rFonts w:cs="Arial"/>
          <w:sz w:val="22"/>
          <w:szCs w:val="22"/>
          <w:lang w:val="en-AU"/>
        </w:rPr>
        <w:footnoteReference w:id="31"/>
      </w:r>
      <w:r>
        <w:rPr>
          <w:rFonts w:cs="Arial"/>
          <w:sz w:val="22"/>
          <w:szCs w:val="22"/>
          <w:lang w:val="en-AU"/>
        </w:rPr>
        <w:t xml:space="preserve"> and operates independently of its hosts.</w:t>
      </w:r>
      <w:r>
        <w:rPr>
          <w:rStyle w:val="FootnoteReference"/>
          <w:rFonts w:cs="Arial"/>
          <w:sz w:val="22"/>
          <w:szCs w:val="22"/>
          <w:lang w:val="en-AU"/>
        </w:rPr>
        <w:footnoteReference w:id="32"/>
      </w:r>
      <w:r w:rsidRPr="00283466">
        <w:rPr>
          <w:rFonts w:cs="Arial"/>
          <w:sz w:val="22"/>
          <w:szCs w:val="22"/>
          <w:lang w:val="en-AU"/>
        </w:rPr>
        <w:t xml:space="preserve"> </w:t>
      </w:r>
      <w:r>
        <w:rPr>
          <w:rFonts w:cs="Arial"/>
          <w:sz w:val="22"/>
          <w:szCs w:val="22"/>
          <w:lang w:val="en-AU"/>
        </w:rPr>
        <w:t>It is unclear whether the EAAFP Secretariat has separate legal personality under Korean law, or relies on the legal personality of one of its government hosts.</w:t>
      </w:r>
      <w:r>
        <w:rPr>
          <w:rStyle w:val="FootnoteReference"/>
          <w:rFonts w:cs="Arial"/>
          <w:sz w:val="22"/>
          <w:szCs w:val="22"/>
          <w:lang w:val="en-AU"/>
        </w:rPr>
        <w:footnoteReference w:id="33"/>
      </w:r>
      <w:r>
        <w:rPr>
          <w:rFonts w:cs="Arial"/>
          <w:sz w:val="22"/>
          <w:szCs w:val="22"/>
          <w:lang w:val="en-AU"/>
        </w:rPr>
        <w:t xml:space="preserve"> In any case, the RRI itself (which is separate from its secretariat) has been continuously endorsed as operating within the framework of the Convention.</w:t>
      </w:r>
      <w:r>
        <w:rPr>
          <w:rStyle w:val="FootnoteReference"/>
          <w:rFonts w:cs="Arial"/>
          <w:sz w:val="22"/>
          <w:szCs w:val="22"/>
          <w:lang w:val="en-AU"/>
        </w:rPr>
        <w:footnoteReference w:id="34"/>
      </w:r>
    </w:p>
    <w:p w14:paraId="488A7BCB" w14:textId="77777777" w:rsidR="008D3CE7" w:rsidRPr="008D3CE7" w:rsidRDefault="008D3CE7" w:rsidP="008D3CE7">
      <w:pPr>
        <w:rPr>
          <w:rFonts w:cs="Arial"/>
          <w:sz w:val="22"/>
          <w:szCs w:val="22"/>
          <w:lang w:val="en-US"/>
        </w:rPr>
      </w:pPr>
    </w:p>
    <w:p w14:paraId="5C4D60A9" w14:textId="26F50D0C" w:rsidR="00CF1121" w:rsidRPr="00EC0B32" w:rsidRDefault="001D2E37" w:rsidP="00137556">
      <w:pPr>
        <w:pStyle w:val="ListParagraph"/>
        <w:numPr>
          <w:ilvl w:val="0"/>
          <w:numId w:val="31"/>
        </w:numPr>
        <w:rPr>
          <w:rFonts w:cs="Arial"/>
          <w:sz w:val="22"/>
          <w:szCs w:val="22"/>
          <w:lang w:val="en-AU"/>
        </w:rPr>
      </w:pPr>
      <w:r>
        <w:rPr>
          <w:rFonts w:cs="Arial"/>
          <w:sz w:val="22"/>
          <w:szCs w:val="22"/>
          <w:lang w:val="en-US"/>
        </w:rPr>
        <w:t xml:space="preserve">It is unclear whether the COP, in formally </w:t>
      </w:r>
      <w:r w:rsidR="008D3CE7" w:rsidRPr="008E6FA0">
        <w:rPr>
          <w:rFonts w:cs="Arial"/>
          <w:sz w:val="22"/>
          <w:szCs w:val="22"/>
          <w:lang w:val="en-US"/>
        </w:rPr>
        <w:t>endo</w:t>
      </w:r>
      <w:r>
        <w:rPr>
          <w:rFonts w:cs="Arial"/>
          <w:sz w:val="22"/>
          <w:szCs w:val="22"/>
          <w:lang w:val="en-US"/>
        </w:rPr>
        <w:t>rsing</w:t>
      </w:r>
      <w:r w:rsidR="008D3CE7" w:rsidRPr="008E6FA0">
        <w:rPr>
          <w:rFonts w:cs="Arial"/>
          <w:sz w:val="22"/>
          <w:szCs w:val="22"/>
          <w:lang w:val="en-US"/>
        </w:rPr>
        <w:t xml:space="preserve"> these two RRIs as operating within the framework of the Convention, </w:t>
      </w:r>
      <w:r>
        <w:rPr>
          <w:rFonts w:cs="Arial"/>
          <w:sz w:val="22"/>
          <w:szCs w:val="22"/>
          <w:lang w:val="en-US"/>
        </w:rPr>
        <w:t xml:space="preserve">was </w:t>
      </w:r>
      <w:r w:rsidR="00352C28">
        <w:rPr>
          <w:rFonts w:cs="Arial"/>
          <w:sz w:val="22"/>
          <w:szCs w:val="22"/>
          <w:lang w:val="en-US"/>
        </w:rPr>
        <w:t>also implicitly</w:t>
      </w:r>
      <w:r>
        <w:rPr>
          <w:rFonts w:cs="Arial"/>
          <w:sz w:val="22"/>
          <w:szCs w:val="22"/>
          <w:lang w:val="en-US"/>
        </w:rPr>
        <w:t xml:space="preserve"> endorsing the legal status of their respective secretariats</w:t>
      </w:r>
      <w:r w:rsidR="00283ED0">
        <w:rPr>
          <w:rFonts w:cs="Arial"/>
          <w:sz w:val="22"/>
          <w:szCs w:val="22"/>
          <w:lang w:val="en-US"/>
        </w:rPr>
        <w:t xml:space="preserve">. </w:t>
      </w:r>
      <w:r w:rsidR="00CF1121" w:rsidRPr="00EC0B32">
        <w:rPr>
          <w:rFonts w:cs="Arial"/>
          <w:sz w:val="22"/>
          <w:szCs w:val="22"/>
          <w:lang w:val="en-US"/>
        </w:rPr>
        <w:t>In making this comment, I note MedWet</w:t>
      </w:r>
      <w:r w:rsidRPr="00EC0B32">
        <w:rPr>
          <w:rFonts w:cs="Arial"/>
          <w:sz w:val="22"/>
          <w:szCs w:val="22"/>
          <w:lang w:val="en-US"/>
        </w:rPr>
        <w:t xml:space="preserve"> did indicate</w:t>
      </w:r>
      <w:r w:rsidR="00CF1121" w:rsidRPr="00EC0B32">
        <w:rPr>
          <w:rFonts w:cs="Arial"/>
          <w:sz w:val="22"/>
          <w:szCs w:val="22"/>
          <w:lang w:val="en-US"/>
        </w:rPr>
        <w:t xml:space="preserve"> in its report to COP9 that it</w:t>
      </w:r>
      <w:r w:rsidRPr="00EC0B32">
        <w:rPr>
          <w:rFonts w:cs="Arial"/>
          <w:sz w:val="22"/>
          <w:szCs w:val="22"/>
          <w:lang w:val="en-US"/>
        </w:rPr>
        <w:t>s ‘Coordination Unit’</w:t>
      </w:r>
      <w:r w:rsidR="00CF1121" w:rsidRPr="00EC0B32">
        <w:rPr>
          <w:rFonts w:cs="Arial"/>
          <w:sz w:val="22"/>
          <w:szCs w:val="22"/>
          <w:lang w:val="en-US"/>
        </w:rPr>
        <w:t xml:space="preserve"> was in the process of obtaining formal legal status under Greek law. I further note that in formal correspondence from the French Government to the Secretary-General of the Convention dated </w:t>
      </w:r>
      <w:r w:rsidR="00772556" w:rsidRPr="00EC0B32">
        <w:rPr>
          <w:rFonts w:cs="Arial"/>
          <w:sz w:val="22"/>
          <w:szCs w:val="22"/>
          <w:lang w:val="en-US"/>
        </w:rPr>
        <w:t>27 June 2013, the French Government indicated that it would be arranging for MedWet’s secretariat to obtain formal status under French law (as an ‘association de droit français’).</w:t>
      </w:r>
      <w:r w:rsidR="00137556" w:rsidRPr="00EC0B32">
        <w:rPr>
          <w:rFonts w:cs="Arial"/>
          <w:sz w:val="22"/>
          <w:szCs w:val="22"/>
          <w:lang w:val="en-US"/>
        </w:rPr>
        <w:t xml:space="preserve"> </w:t>
      </w:r>
      <w:r w:rsidRPr="00EC0B32">
        <w:rPr>
          <w:rFonts w:cs="Arial"/>
          <w:sz w:val="22"/>
          <w:szCs w:val="22"/>
          <w:lang w:val="en-US"/>
        </w:rPr>
        <w:t xml:space="preserve">That is, the proposed change in legal status was in both instances communicated to the Convention (albeit through different channels in each instance). I have been unable to determine whether the establishment of the Secretariat of the </w:t>
      </w:r>
      <w:r w:rsidR="00225A55" w:rsidRPr="00EC0B32">
        <w:rPr>
          <w:rFonts w:cs="Arial"/>
          <w:sz w:val="22"/>
          <w:szCs w:val="22"/>
          <w:lang w:val="en-US"/>
        </w:rPr>
        <w:t>EAAFP</w:t>
      </w:r>
      <w:r w:rsidRPr="00EC0B32">
        <w:rPr>
          <w:rFonts w:cs="Arial"/>
          <w:sz w:val="22"/>
          <w:szCs w:val="22"/>
          <w:lang w:val="en-US"/>
        </w:rPr>
        <w:t xml:space="preserve"> as a legal entity </w:t>
      </w:r>
      <w:r w:rsidR="00225A55" w:rsidRPr="00EC0B32">
        <w:rPr>
          <w:rFonts w:cs="Arial"/>
          <w:sz w:val="22"/>
          <w:szCs w:val="22"/>
          <w:lang w:val="en-US"/>
        </w:rPr>
        <w:t xml:space="preserve">in 2009 </w:t>
      </w:r>
      <w:r w:rsidRPr="00EC0B32">
        <w:rPr>
          <w:rFonts w:cs="Arial"/>
          <w:sz w:val="22"/>
          <w:szCs w:val="22"/>
          <w:lang w:val="en-US"/>
        </w:rPr>
        <w:t xml:space="preserve">was formally communicated to the Convention </w:t>
      </w:r>
      <w:r w:rsidR="00225A55" w:rsidRPr="00EC0B32">
        <w:rPr>
          <w:rFonts w:cs="Arial"/>
          <w:sz w:val="22"/>
          <w:szCs w:val="22"/>
          <w:lang w:val="en-US"/>
        </w:rPr>
        <w:t>through one of the available channels</w:t>
      </w:r>
      <w:r w:rsidR="008A1F03">
        <w:rPr>
          <w:rFonts w:cs="Arial"/>
          <w:sz w:val="22"/>
          <w:szCs w:val="22"/>
          <w:lang w:val="en-US"/>
        </w:rPr>
        <w:t xml:space="preserve"> before or after this change in status occurred</w:t>
      </w:r>
      <w:r w:rsidR="00225A55" w:rsidRPr="00EC0B32">
        <w:rPr>
          <w:rFonts w:cs="Arial"/>
          <w:sz w:val="22"/>
          <w:szCs w:val="22"/>
          <w:lang w:val="en-US"/>
        </w:rPr>
        <w:t>.</w:t>
      </w:r>
      <w:r w:rsidR="00225A55">
        <w:rPr>
          <w:rStyle w:val="FootnoteReference"/>
          <w:rFonts w:cs="Arial"/>
          <w:sz w:val="22"/>
          <w:szCs w:val="22"/>
          <w:lang w:val="en-US"/>
        </w:rPr>
        <w:footnoteReference w:id="35"/>
      </w:r>
      <w:r w:rsidR="00225A55" w:rsidRPr="00EC0B32">
        <w:rPr>
          <w:rFonts w:cs="Arial"/>
          <w:b/>
          <w:sz w:val="22"/>
          <w:szCs w:val="22"/>
          <w:lang w:val="en-US"/>
        </w:rPr>
        <w:t xml:space="preserve"> </w:t>
      </w:r>
    </w:p>
    <w:p w14:paraId="5E50654A" w14:textId="77777777" w:rsidR="00CF1121" w:rsidRPr="00CF1121" w:rsidRDefault="00CF1121" w:rsidP="00CF1121">
      <w:pPr>
        <w:rPr>
          <w:rFonts w:cs="Arial"/>
          <w:sz w:val="22"/>
          <w:szCs w:val="22"/>
          <w:lang w:val="en-US"/>
        </w:rPr>
      </w:pPr>
    </w:p>
    <w:p w14:paraId="5707F37E" w14:textId="06B15323" w:rsidR="00440883" w:rsidRPr="00440883" w:rsidRDefault="00137556" w:rsidP="00137556">
      <w:pPr>
        <w:pStyle w:val="ListParagraph"/>
        <w:numPr>
          <w:ilvl w:val="0"/>
          <w:numId w:val="31"/>
        </w:numPr>
        <w:rPr>
          <w:rFonts w:cs="Arial"/>
          <w:sz w:val="22"/>
          <w:szCs w:val="22"/>
          <w:lang w:val="en-AU"/>
        </w:rPr>
      </w:pPr>
      <w:r>
        <w:rPr>
          <w:rFonts w:cs="Arial"/>
          <w:sz w:val="22"/>
          <w:szCs w:val="22"/>
          <w:lang w:val="en-US"/>
        </w:rPr>
        <w:t>It may be that Contracting Parties were not aware that they were endorsing a separate secretariat with legal personality.</w:t>
      </w:r>
      <w:r w:rsidR="00283ED0">
        <w:rPr>
          <w:rFonts w:cs="Arial"/>
          <w:sz w:val="22"/>
          <w:szCs w:val="22"/>
          <w:lang w:val="en-US"/>
        </w:rPr>
        <w:t xml:space="preserve"> Again, the legal significance of this is not entirely clear (particularly as there is no explicit prohibition on RRIs establishing secretariats with legal personality). </w:t>
      </w:r>
      <w:r w:rsidR="00440883">
        <w:rPr>
          <w:rFonts w:cs="Arial"/>
          <w:sz w:val="22"/>
          <w:szCs w:val="22"/>
          <w:lang w:val="en-US"/>
        </w:rPr>
        <w:t>This</w:t>
      </w:r>
      <w:r w:rsidR="00283ED0">
        <w:rPr>
          <w:rFonts w:cs="Arial"/>
          <w:sz w:val="22"/>
          <w:szCs w:val="22"/>
          <w:lang w:val="en-US"/>
        </w:rPr>
        <w:t xml:space="preserve"> </w:t>
      </w:r>
      <w:r w:rsidR="008F70FF" w:rsidRPr="008E6FA0">
        <w:rPr>
          <w:rFonts w:cs="Arial"/>
          <w:sz w:val="22"/>
          <w:szCs w:val="22"/>
          <w:lang w:val="en-US"/>
        </w:rPr>
        <w:t xml:space="preserve">highlights a lack of clarity in relation </w:t>
      </w:r>
      <w:r w:rsidR="00440883">
        <w:rPr>
          <w:rFonts w:cs="Arial"/>
          <w:sz w:val="22"/>
          <w:szCs w:val="22"/>
          <w:lang w:val="en-US"/>
        </w:rPr>
        <w:t>to what, exactly, the Contracting Parties were endorsing</w:t>
      </w:r>
      <w:r w:rsidR="006863C5" w:rsidRPr="008E6FA0">
        <w:rPr>
          <w:rFonts w:cs="Arial"/>
          <w:sz w:val="22"/>
          <w:szCs w:val="22"/>
          <w:lang w:val="en-US"/>
        </w:rPr>
        <w:t xml:space="preserve"> (which is something that Contracting Parties may wish to discuss</w:t>
      </w:r>
      <w:r w:rsidR="003B652E" w:rsidRPr="008E6FA0">
        <w:rPr>
          <w:rFonts w:cs="Arial"/>
          <w:sz w:val="22"/>
          <w:szCs w:val="22"/>
          <w:lang w:val="en-US"/>
        </w:rPr>
        <w:t xml:space="preserve"> moving forward)</w:t>
      </w:r>
      <w:r w:rsidR="008F70FF" w:rsidRPr="008E6FA0">
        <w:rPr>
          <w:rFonts w:cs="Arial"/>
          <w:sz w:val="22"/>
          <w:szCs w:val="22"/>
          <w:lang w:val="en-US"/>
        </w:rPr>
        <w:t xml:space="preserve">. </w:t>
      </w:r>
    </w:p>
    <w:p w14:paraId="2D3465A6" w14:textId="77777777" w:rsidR="00440883" w:rsidRPr="00440883" w:rsidRDefault="00440883" w:rsidP="00440883">
      <w:pPr>
        <w:rPr>
          <w:rFonts w:cs="Arial"/>
          <w:sz w:val="22"/>
          <w:szCs w:val="22"/>
          <w:lang w:val="en-US"/>
        </w:rPr>
      </w:pPr>
    </w:p>
    <w:p w14:paraId="747371A2" w14:textId="4023BB21" w:rsidR="00897CC9" w:rsidRPr="008E6FA0" w:rsidRDefault="008F70FF" w:rsidP="00137556">
      <w:pPr>
        <w:pStyle w:val="ListParagraph"/>
        <w:numPr>
          <w:ilvl w:val="0"/>
          <w:numId w:val="31"/>
        </w:numPr>
        <w:rPr>
          <w:rFonts w:cs="Arial"/>
          <w:sz w:val="22"/>
          <w:szCs w:val="22"/>
          <w:lang w:val="en-AU"/>
        </w:rPr>
      </w:pPr>
      <w:r w:rsidRPr="008E6FA0">
        <w:rPr>
          <w:rFonts w:cs="Arial"/>
          <w:sz w:val="22"/>
          <w:szCs w:val="22"/>
          <w:lang w:val="en-US"/>
        </w:rPr>
        <w:t xml:space="preserve">In any case, </w:t>
      </w:r>
      <w:r w:rsidRPr="008E6FA0">
        <w:rPr>
          <w:rFonts w:cs="Arial"/>
          <w:sz w:val="22"/>
          <w:szCs w:val="22"/>
          <w:lang w:val="en-AU"/>
        </w:rPr>
        <w:t>the secretariats are ultimately answerable to their governance bodies and required to operate within the terms of relevant national laws and policies and any other legally binding agreements</w:t>
      </w:r>
      <w:r w:rsidR="008574FE" w:rsidRPr="008E6FA0">
        <w:rPr>
          <w:rFonts w:cs="Arial"/>
          <w:sz w:val="22"/>
          <w:szCs w:val="22"/>
          <w:lang w:val="en-AU"/>
        </w:rPr>
        <w:t xml:space="preserve">. </w:t>
      </w:r>
      <w:r w:rsidR="008574FE" w:rsidRPr="00050803">
        <w:rPr>
          <w:rFonts w:cs="Arial"/>
          <w:sz w:val="22"/>
          <w:szCs w:val="22"/>
          <w:lang w:val="en-AU"/>
        </w:rPr>
        <w:t xml:space="preserve">Relevantly, </w:t>
      </w:r>
      <w:r w:rsidR="008E6FA0" w:rsidRPr="00050803">
        <w:rPr>
          <w:rFonts w:cs="Arial"/>
          <w:sz w:val="22"/>
          <w:szCs w:val="22"/>
          <w:lang w:val="en-AU"/>
        </w:rPr>
        <w:t xml:space="preserve">the Terms of Reference for MedWet indicate that it is required to operate within the framework of the Convention and relevant Resolutions and </w:t>
      </w:r>
      <w:r w:rsidR="00D45875">
        <w:rPr>
          <w:rFonts w:cs="Arial"/>
          <w:sz w:val="22"/>
          <w:szCs w:val="22"/>
          <w:lang w:val="en-AU"/>
        </w:rPr>
        <w:t xml:space="preserve">SC </w:t>
      </w:r>
      <w:r w:rsidR="008E6FA0" w:rsidRPr="00050803">
        <w:rPr>
          <w:rFonts w:cs="Arial"/>
          <w:sz w:val="22"/>
          <w:szCs w:val="22"/>
          <w:lang w:val="en-AU"/>
        </w:rPr>
        <w:t>Decisions.</w:t>
      </w:r>
      <w:r w:rsidR="008E6FA0" w:rsidRPr="00050803">
        <w:rPr>
          <w:rStyle w:val="FootnoteReference"/>
          <w:rFonts w:cs="Arial"/>
          <w:sz w:val="22"/>
          <w:szCs w:val="22"/>
          <w:lang w:val="en-AU"/>
        </w:rPr>
        <w:footnoteReference w:id="36"/>
      </w:r>
      <w:r w:rsidR="00050803">
        <w:rPr>
          <w:rFonts w:cs="Arial"/>
          <w:sz w:val="22"/>
          <w:szCs w:val="22"/>
          <w:lang w:val="en-AU"/>
        </w:rPr>
        <w:t xml:space="preserve"> </w:t>
      </w:r>
      <w:r w:rsidR="00BD5BD5">
        <w:rPr>
          <w:rFonts w:cs="Arial"/>
          <w:sz w:val="22"/>
          <w:szCs w:val="22"/>
          <w:lang w:val="en-AU"/>
        </w:rPr>
        <w:t xml:space="preserve">The Terms of Reference </w:t>
      </w:r>
      <w:r w:rsidR="004B0AA0">
        <w:rPr>
          <w:rFonts w:cs="Arial"/>
          <w:sz w:val="22"/>
          <w:szCs w:val="22"/>
          <w:lang w:val="en-AU"/>
        </w:rPr>
        <w:t>for the Secretariat of the EAAFP</w:t>
      </w:r>
      <w:r w:rsidR="00F541AC">
        <w:rPr>
          <w:rFonts w:cs="Arial"/>
          <w:sz w:val="22"/>
          <w:szCs w:val="22"/>
          <w:lang w:val="en-AU"/>
        </w:rPr>
        <w:t xml:space="preserve"> do not refer to</w:t>
      </w:r>
      <w:r w:rsidR="00166A63">
        <w:rPr>
          <w:rFonts w:cs="Arial"/>
          <w:sz w:val="22"/>
          <w:szCs w:val="22"/>
          <w:lang w:val="en-AU"/>
        </w:rPr>
        <w:t xml:space="preserve"> Ramsar obligations</w:t>
      </w:r>
      <w:r w:rsidR="00F00508">
        <w:rPr>
          <w:rFonts w:cs="Arial"/>
          <w:sz w:val="22"/>
          <w:szCs w:val="22"/>
          <w:lang w:val="en-AU"/>
        </w:rPr>
        <w:t>,</w:t>
      </w:r>
      <w:r w:rsidR="00F541AC">
        <w:rPr>
          <w:rStyle w:val="FootnoteReference"/>
          <w:rFonts w:cs="Arial"/>
          <w:sz w:val="22"/>
          <w:szCs w:val="22"/>
          <w:lang w:val="en-AU"/>
        </w:rPr>
        <w:footnoteReference w:id="37"/>
      </w:r>
      <w:r w:rsidR="00F00508">
        <w:rPr>
          <w:rFonts w:cs="Arial"/>
          <w:sz w:val="22"/>
          <w:szCs w:val="22"/>
          <w:lang w:val="en-AU"/>
        </w:rPr>
        <w:t xml:space="preserve"> although there is no suggestion that it </w:t>
      </w:r>
      <w:r w:rsidR="00F36D0A">
        <w:rPr>
          <w:rFonts w:cs="Arial"/>
          <w:sz w:val="22"/>
          <w:szCs w:val="22"/>
          <w:lang w:val="en-AU"/>
        </w:rPr>
        <w:t>is</w:t>
      </w:r>
      <w:r w:rsidR="00F00508">
        <w:rPr>
          <w:rFonts w:cs="Arial"/>
          <w:sz w:val="22"/>
          <w:szCs w:val="22"/>
          <w:lang w:val="en-AU"/>
        </w:rPr>
        <w:t xml:space="preserve"> operating outside of the framework of the Convention. </w:t>
      </w:r>
      <w:r w:rsidR="00166A63">
        <w:rPr>
          <w:rFonts w:cs="Arial"/>
          <w:sz w:val="22"/>
          <w:szCs w:val="22"/>
          <w:lang w:val="en-AU"/>
        </w:rPr>
        <w:t xml:space="preserve"> </w:t>
      </w:r>
      <w:r w:rsidR="00BD5BD5">
        <w:rPr>
          <w:rFonts w:cs="Arial"/>
          <w:sz w:val="22"/>
          <w:szCs w:val="22"/>
          <w:lang w:val="en-AU"/>
        </w:rPr>
        <w:t xml:space="preserve"> </w:t>
      </w:r>
      <w:r w:rsidR="00050803" w:rsidRPr="00137556">
        <w:rPr>
          <w:rFonts w:cs="Arial"/>
          <w:b/>
          <w:sz w:val="22"/>
          <w:szCs w:val="22"/>
          <w:lang w:val="en-AU"/>
        </w:rPr>
        <w:t xml:space="preserve"> </w:t>
      </w:r>
    </w:p>
    <w:p w14:paraId="06515950" w14:textId="77777777" w:rsidR="008E6FA0" w:rsidRPr="008E6FA0" w:rsidRDefault="008E6FA0" w:rsidP="008E6FA0">
      <w:pPr>
        <w:rPr>
          <w:rFonts w:cs="Arial"/>
          <w:sz w:val="22"/>
          <w:szCs w:val="22"/>
          <w:lang w:val="en-AU"/>
        </w:rPr>
      </w:pPr>
    </w:p>
    <w:p w14:paraId="6FDE23B5" w14:textId="61E9256F" w:rsidR="00554025" w:rsidRPr="00352C28" w:rsidRDefault="008D3CE7" w:rsidP="00554025">
      <w:pPr>
        <w:pStyle w:val="ListParagraph"/>
        <w:numPr>
          <w:ilvl w:val="0"/>
          <w:numId w:val="31"/>
        </w:numPr>
        <w:rPr>
          <w:rFonts w:cs="Arial"/>
          <w:sz w:val="22"/>
          <w:szCs w:val="22"/>
          <w:lang w:val="en-US"/>
        </w:rPr>
      </w:pPr>
      <w:r>
        <w:rPr>
          <w:rFonts w:cs="Arial"/>
          <w:sz w:val="22"/>
          <w:szCs w:val="22"/>
          <w:lang w:val="en-AU"/>
        </w:rPr>
        <w:lastRenderedPageBreak/>
        <w:t>Finally</w:t>
      </w:r>
      <w:r w:rsidR="00616FCE">
        <w:rPr>
          <w:rFonts w:cs="Arial"/>
          <w:sz w:val="22"/>
          <w:szCs w:val="22"/>
          <w:lang w:val="en-AU"/>
        </w:rPr>
        <w:t xml:space="preserve">, </w:t>
      </w:r>
      <w:r w:rsidR="0020479E" w:rsidRPr="00D44EBF">
        <w:rPr>
          <w:rFonts w:cs="Arial"/>
          <w:sz w:val="22"/>
          <w:szCs w:val="22"/>
          <w:lang w:val="en-AU"/>
        </w:rPr>
        <w:t>CREHO</w:t>
      </w:r>
      <w:r w:rsidR="0020479E" w:rsidRPr="007F1C1D">
        <w:rPr>
          <w:rFonts w:cs="Arial"/>
          <w:sz w:val="22"/>
          <w:szCs w:val="22"/>
          <w:lang w:val="en-AU"/>
        </w:rPr>
        <w:t xml:space="preserve"> is recognised as an international organisation (and has full legal personality) under the relevant law in Panama.</w:t>
      </w:r>
      <w:r w:rsidR="00616FCE">
        <w:rPr>
          <w:rStyle w:val="FootnoteReference"/>
          <w:rFonts w:cs="Arial"/>
          <w:sz w:val="22"/>
          <w:szCs w:val="22"/>
          <w:lang w:val="en-AU"/>
        </w:rPr>
        <w:footnoteReference w:id="38"/>
      </w:r>
      <w:r w:rsidR="0020479E" w:rsidRPr="007F1C1D">
        <w:rPr>
          <w:rFonts w:cs="Arial"/>
          <w:sz w:val="22"/>
          <w:szCs w:val="22"/>
          <w:lang w:val="en-AU"/>
        </w:rPr>
        <w:t xml:space="preserve"> </w:t>
      </w:r>
      <w:r w:rsidR="005C4AC4">
        <w:rPr>
          <w:rFonts w:cs="Arial"/>
          <w:sz w:val="22"/>
          <w:szCs w:val="22"/>
          <w:lang w:val="en-AU"/>
        </w:rPr>
        <w:t>The</w:t>
      </w:r>
      <w:r w:rsidR="0020479E" w:rsidRPr="007F1C1D">
        <w:rPr>
          <w:rFonts w:cs="Arial"/>
          <w:sz w:val="22"/>
          <w:szCs w:val="22"/>
          <w:lang w:val="en-AU"/>
        </w:rPr>
        <w:t xml:space="preserve"> continued endorsement of this RRI is</w:t>
      </w:r>
      <w:r w:rsidR="00F32450">
        <w:rPr>
          <w:rFonts w:cs="Arial"/>
          <w:sz w:val="22"/>
          <w:szCs w:val="22"/>
          <w:lang w:val="en-AU"/>
        </w:rPr>
        <w:t xml:space="preserve"> arguably</w:t>
      </w:r>
      <w:r w:rsidR="0020479E" w:rsidRPr="007F1C1D">
        <w:rPr>
          <w:rFonts w:cs="Arial"/>
          <w:sz w:val="22"/>
          <w:szCs w:val="22"/>
          <w:lang w:val="en-AU"/>
        </w:rPr>
        <w:t xml:space="preserve"> tantamount t</w:t>
      </w:r>
      <w:r w:rsidR="00A137D8">
        <w:rPr>
          <w:rFonts w:cs="Arial"/>
          <w:sz w:val="22"/>
          <w:szCs w:val="22"/>
          <w:lang w:val="en-AU"/>
        </w:rPr>
        <w:t>o</w:t>
      </w:r>
      <w:r w:rsidR="00C64863">
        <w:rPr>
          <w:rFonts w:cs="Arial"/>
          <w:sz w:val="22"/>
          <w:szCs w:val="22"/>
          <w:lang w:val="en-AU"/>
        </w:rPr>
        <w:t xml:space="preserve"> implicitly</w:t>
      </w:r>
      <w:r w:rsidR="00A137D8">
        <w:rPr>
          <w:rFonts w:cs="Arial"/>
          <w:sz w:val="22"/>
          <w:szCs w:val="22"/>
          <w:lang w:val="en-AU"/>
        </w:rPr>
        <w:t xml:space="preserve"> approving this legal structure and the legal personality that it confers upon the RRI</w:t>
      </w:r>
      <w:r w:rsidR="0020479E" w:rsidRPr="007F1C1D">
        <w:rPr>
          <w:rFonts w:cs="Arial"/>
          <w:sz w:val="22"/>
          <w:szCs w:val="22"/>
          <w:lang w:val="en-AU"/>
        </w:rPr>
        <w:t>.</w:t>
      </w:r>
      <w:r w:rsidR="00C64863">
        <w:rPr>
          <w:rFonts w:cs="Arial"/>
          <w:sz w:val="22"/>
          <w:szCs w:val="22"/>
          <w:lang w:val="en-AU"/>
        </w:rPr>
        <w:t xml:space="preserve"> </w:t>
      </w:r>
      <w:r w:rsidR="00352C28">
        <w:rPr>
          <w:rFonts w:cs="Arial"/>
          <w:sz w:val="22"/>
          <w:szCs w:val="22"/>
          <w:lang w:val="en-AU"/>
        </w:rPr>
        <w:t xml:space="preserve">To that end – </w:t>
      </w:r>
      <w:r w:rsidR="00352C28" w:rsidRPr="00352C28">
        <w:rPr>
          <w:rFonts w:cs="Arial"/>
          <w:sz w:val="22"/>
          <w:szCs w:val="22"/>
          <w:lang w:val="en-AU"/>
        </w:rPr>
        <w:t>and w</w:t>
      </w:r>
      <w:r w:rsidR="00C64863" w:rsidRPr="00352C28">
        <w:rPr>
          <w:rFonts w:cs="Arial"/>
          <w:sz w:val="22"/>
          <w:szCs w:val="22"/>
          <w:lang w:val="en-AU"/>
        </w:rPr>
        <w:t>hile I have not been instructed as to whether all Contracting Parties were aware of this change in status</w:t>
      </w:r>
      <w:r w:rsidR="008D239D" w:rsidRPr="00352C28">
        <w:rPr>
          <w:rFonts w:cs="Arial"/>
          <w:sz w:val="22"/>
          <w:szCs w:val="22"/>
          <w:lang w:val="en-AU"/>
        </w:rPr>
        <w:t xml:space="preserve"> prior formally endorsing CREHO</w:t>
      </w:r>
      <w:r w:rsidR="00352C28">
        <w:rPr>
          <w:rFonts w:cs="Arial"/>
          <w:sz w:val="22"/>
          <w:szCs w:val="22"/>
          <w:lang w:val="en-AU"/>
        </w:rPr>
        <w:t xml:space="preserve"> – </w:t>
      </w:r>
      <w:r w:rsidR="00C64863" w:rsidRPr="00352C28">
        <w:rPr>
          <w:rFonts w:cs="Arial"/>
          <w:sz w:val="22"/>
          <w:szCs w:val="22"/>
          <w:lang w:val="en-AU"/>
        </w:rPr>
        <w:t xml:space="preserve">I </w:t>
      </w:r>
      <w:r w:rsidR="001334C1" w:rsidRPr="00352C28">
        <w:rPr>
          <w:rFonts w:cs="Arial"/>
          <w:sz w:val="22"/>
          <w:szCs w:val="22"/>
          <w:lang w:val="en-AU"/>
        </w:rPr>
        <w:t xml:space="preserve">note that </w:t>
      </w:r>
      <w:r w:rsidR="00F32450" w:rsidRPr="00352C28">
        <w:rPr>
          <w:rFonts w:cs="Arial"/>
          <w:sz w:val="22"/>
          <w:szCs w:val="22"/>
          <w:lang w:val="en-AU"/>
        </w:rPr>
        <w:t xml:space="preserve">in its </w:t>
      </w:r>
      <w:r w:rsidR="00A6366E" w:rsidRPr="00352C28">
        <w:rPr>
          <w:rFonts w:cs="Arial"/>
          <w:sz w:val="22"/>
          <w:szCs w:val="22"/>
          <w:lang w:val="en-AU"/>
        </w:rPr>
        <w:t>Annual Report for 2015-16</w:t>
      </w:r>
      <w:r w:rsidR="001924FC" w:rsidRPr="00352C28">
        <w:rPr>
          <w:rFonts w:cs="Arial"/>
          <w:sz w:val="22"/>
          <w:szCs w:val="22"/>
          <w:lang w:val="en-AU"/>
        </w:rPr>
        <w:t xml:space="preserve"> (submitted in 2015)</w:t>
      </w:r>
      <w:r w:rsidR="00BD5B23" w:rsidRPr="00352C28">
        <w:rPr>
          <w:rFonts w:cs="Arial"/>
          <w:sz w:val="22"/>
          <w:szCs w:val="22"/>
          <w:lang w:val="en-AU"/>
        </w:rPr>
        <w:t>, it refers to the ‘</w:t>
      </w:r>
      <w:r w:rsidR="00A6366E" w:rsidRPr="00352C28">
        <w:rPr>
          <w:rFonts w:cs="Arial"/>
          <w:sz w:val="22"/>
          <w:szCs w:val="22"/>
          <w:lang w:val="en-US"/>
        </w:rPr>
        <w:t>[n]</w:t>
      </w:r>
      <w:r w:rsidR="00BD5B23" w:rsidRPr="00352C28">
        <w:rPr>
          <w:rFonts w:cs="Arial"/>
          <w:sz w:val="22"/>
          <w:szCs w:val="22"/>
          <w:lang w:val="en-US"/>
        </w:rPr>
        <w:t>uevo estatus de Misión Internacional del CREHO.’</w:t>
      </w:r>
      <w:r w:rsidR="00A6366E">
        <w:rPr>
          <w:rStyle w:val="FootnoteReference"/>
          <w:rFonts w:cs="Arial"/>
          <w:sz w:val="22"/>
          <w:szCs w:val="22"/>
          <w:lang w:val="en-US"/>
        </w:rPr>
        <w:footnoteReference w:id="39"/>
      </w:r>
      <w:r w:rsidR="00BD5B23" w:rsidRPr="00352C28">
        <w:rPr>
          <w:rFonts w:cs="Arial"/>
          <w:sz w:val="22"/>
          <w:szCs w:val="22"/>
          <w:lang w:val="en-US"/>
        </w:rPr>
        <w:t xml:space="preserve"> </w:t>
      </w:r>
    </w:p>
    <w:p w14:paraId="50CEDF25" w14:textId="77777777" w:rsidR="00440883" w:rsidRPr="00440883" w:rsidRDefault="00440883" w:rsidP="00440883">
      <w:pPr>
        <w:rPr>
          <w:rFonts w:cs="Arial"/>
          <w:sz w:val="22"/>
          <w:szCs w:val="22"/>
          <w:lang w:val="en-US"/>
        </w:rPr>
      </w:pPr>
    </w:p>
    <w:p w14:paraId="3DE907E7" w14:textId="23910FD3" w:rsidR="00614C78" w:rsidRPr="007F1C1D" w:rsidRDefault="005C5A1D" w:rsidP="007D155A">
      <w:pPr>
        <w:pStyle w:val="ListParagraph"/>
        <w:numPr>
          <w:ilvl w:val="0"/>
          <w:numId w:val="31"/>
        </w:numPr>
        <w:rPr>
          <w:rFonts w:cs="Arial"/>
          <w:sz w:val="22"/>
          <w:szCs w:val="22"/>
          <w:lang w:val="en-AU"/>
        </w:rPr>
      </w:pPr>
      <w:r w:rsidRPr="007F1C1D">
        <w:rPr>
          <w:rFonts w:cs="Arial"/>
          <w:sz w:val="22"/>
          <w:szCs w:val="22"/>
          <w:lang w:val="en-AU"/>
        </w:rPr>
        <w:t xml:space="preserve">I </w:t>
      </w:r>
      <w:r w:rsidR="0020479E" w:rsidRPr="007F1C1D">
        <w:rPr>
          <w:rFonts w:cs="Arial"/>
          <w:sz w:val="22"/>
          <w:szCs w:val="22"/>
          <w:lang w:val="en-AU"/>
        </w:rPr>
        <w:t>have not received any further instructions regarding the specific legal status of</w:t>
      </w:r>
      <w:r w:rsidRPr="007F1C1D">
        <w:rPr>
          <w:rFonts w:cs="Arial"/>
          <w:sz w:val="22"/>
          <w:szCs w:val="22"/>
          <w:lang w:val="en-AU"/>
        </w:rPr>
        <w:t xml:space="preserve"> </w:t>
      </w:r>
      <w:r w:rsidR="0020479E" w:rsidRPr="007F1C1D">
        <w:rPr>
          <w:rFonts w:cs="Arial"/>
          <w:sz w:val="22"/>
          <w:szCs w:val="22"/>
          <w:lang w:val="en-AU"/>
        </w:rPr>
        <w:t xml:space="preserve">the remaining </w:t>
      </w:r>
      <w:r w:rsidRPr="007F1C1D">
        <w:rPr>
          <w:rFonts w:cs="Arial"/>
          <w:sz w:val="22"/>
          <w:szCs w:val="22"/>
          <w:lang w:val="en-AU"/>
        </w:rPr>
        <w:t xml:space="preserve">RRIs </w:t>
      </w:r>
      <w:r w:rsidR="00ED25A0" w:rsidRPr="007F1C1D">
        <w:rPr>
          <w:rFonts w:cs="Arial"/>
          <w:sz w:val="22"/>
          <w:szCs w:val="22"/>
          <w:lang w:val="en-AU"/>
        </w:rPr>
        <w:t>under relevant</w:t>
      </w:r>
      <w:r w:rsidRPr="007F1C1D">
        <w:rPr>
          <w:rFonts w:cs="Arial"/>
          <w:sz w:val="22"/>
          <w:szCs w:val="22"/>
          <w:lang w:val="en-AU"/>
        </w:rPr>
        <w:t xml:space="preserve"> national laws</w:t>
      </w:r>
      <w:r w:rsidR="0020479E" w:rsidRPr="007F1C1D">
        <w:rPr>
          <w:rFonts w:cs="Arial"/>
          <w:sz w:val="22"/>
          <w:szCs w:val="22"/>
          <w:lang w:val="en-AU"/>
        </w:rPr>
        <w:t xml:space="preserve">. I have therefore assumed that they have </w:t>
      </w:r>
      <w:r w:rsidRPr="007F1C1D">
        <w:rPr>
          <w:rFonts w:cs="Arial"/>
          <w:sz w:val="22"/>
          <w:szCs w:val="22"/>
          <w:lang w:val="en-AU"/>
        </w:rPr>
        <w:t xml:space="preserve">not formally acquired </w:t>
      </w:r>
      <w:r w:rsidR="0020479E" w:rsidRPr="007F1C1D">
        <w:rPr>
          <w:rFonts w:cs="Arial"/>
          <w:sz w:val="22"/>
          <w:szCs w:val="22"/>
          <w:lang w:val="en-AU"/>
        </w:rPr>
        <w:t>a legal or corporate structure and do not have legal personality</w:t>
      </w:r>
      <w:r w:rsidRPr="007F1C1D">
        <w:rPr>
          <w:rFonts w:cs="Arial"/>
          <w:sz w:val="22"/>
          <w:szCs w:val="22"/>
          <w:lang w:val="en-AU"/>
        </w:rPr>
        <w:t>.</w:t>
      </w:r>
      <w:r w:rsidR="00B70C4B">
        <w:rPr>
          <w:rStyle w:val="FootnoteReference"/>
          <w:rFonts w:cs="Arial"/>
          <w:sz w:val="22"/>
          <w:szCs w:val="22"/>
          <w:lang w:val="en-AU"/>
        </w:rPr>
        <w:footnoteReference w:id="40"/>
      </w:r>
      <w:r w:rsidRPr="007F1C1D">
        <w:rPr>
          <w:rFonts w:cs="Arial"/>
          <w:sz w:val="22"/>
          <w:szCs w:val="22"/>
          <w:lang w:val="en-AU"/>
        </w:rPr>
        <w:t xml:space="preserve"> O</w:t>
      </w:r>
      <w:r w:rsidR="00614C78" w:rsidRPr="007F1C1D">
        <w:rPr>
          <w:rFonts w:cs="Arial"/>
          <w:sz w:val="22"/>
          <w:szCs w:val="22"/>
          <w:lang w:val="en-AU"/>
        </w:rPr>
        <w:t xml:space="preserve">n that basis, I can only advise that they have been endorsed as operating within the framework of the Convention, which means that they continue to be eligible – subject to ongoing approval by the </w:t>
      </w:r>
      <w:r w:rsidR="007F1428">
        <w:rPr>
          <w:rFonts w:cs="Arial"/>
          <w:sz w:val="22"/>
          <w:szCs w:val="22"/>
          <w:lang w:val="en-AU"/>
        </w:rPr>
        <w:t>COP</w:t>
      </w:r>
      <w:r w:rsidR="00614C78" w:rsidRPr="007F1C1D">
        <w:rPr>
          <w:rFonts w:cs="Arial"/>
          <w:sz w:val="22"/>
          <w:szCs w:val="22"/>
          <w:lang w:val="en-AU"/>
        </w:rPr>
        <w:t xml:space="preserve"> and/or Standing Committee – to receive funding and to identify themselves as RRIs. However, and to clarify, this does not confer any particular legal status at the national </w:t>
      </w:r>
      <w:r w:rsidR="00ED1C70" w:rsidRPr="007F1C1D">
        <w:rPr>
          <w:rFonts w:cs="Arial"/>
          <w:sz w:val="22"/>
          <w:szCs w:val="22"/>
          <w:lang w:val="en-AU"/>
        </w:rPr>
        <w:t>level as</w:t>
      </w:r>
      <w:r w:rsidR="00614C78" w:rsidRPr="007F1C1D">
        <w:rPr>
          <w:rFonts w:cs="Arial"/>
          <w:sz w:val="22"/>
          <w:szCs w:val="22"/>
          <w:lang w:val="en-AU"/>
        </w:rPr>
        <w:t xml:space="preserve"> this is de</w:t>
      </w:r>
      <w:r w:rsidR="00B70C4B">
        <w:rPr>
          <w:rFonts w:cs="Arial"/>
          <w:sz w:val="22"/>
          <w:szCs w:val="22"/>
          <w:lang w:val="en-AU"/>
        </w:rPr>
        <w:t xml:space="preserve">pendent on recognition under </w:t>
      </w:r>
      <w:r w:rsidR="00614C78" w:rsidRPr="007F1C1D">
        <w:rPr>
          <w:rFonts w:cs="Arial"/>
          <w:sz w:val="22"/>
          <w:szCs w:val="22"/>
          <w:lang w:val="en-AU"/>
        </w:rPr>
        <w:t xml:space="preserve">relevant national or state laws. </w:t>
      </w:r>
    </w:p>
    <w:p w14:paraId="634B6ED4" w14:textId="77777777" w:rsidR="00207769" w:rsidRPr="00207769" w:rsidRDefault="00207769" w:rsidP="00207769">
      <w:pPr>
        <w:rPr>
          <w:rFonts w:cs="Arial"/>
          <w:sz w:val="22"/>
          <w:szCs w:val="22"/>
          <w:lang w:val="en-AU"/>
        </w:rPr>
      </w:pPr>
    </w:p>
    <w:p w14:paraId="53EE5B15" w14:textId="3C067560" w:rsidR="007D5342" w:rsidRPr="007F1C1D" w:rsidRDefault="00446DD5" w:rsidP="007D5342">
      <w:pPr>
        <w:rPr>
          <w:rFonts w:cs="Arial"/>
          <w:b/>
          <w:sz w:val="22"/>
          <w:szCs w:val="22"/>
          <w:lang w:val="en-AU"/>
        </w:rPr>
      </w:pPr>
      <w:r w:rsidRPr="007F1C1D">
        <w:rPr>
          <w:rFonts w:cs="Arial"/>
          <w:b/>
          <w:sz w:val="22"/>
          <w:szCs w:val="22"/>
          <w:lang w:val="en-AU"/>
        </w:rPr>
        <w:t>Part 4</w:t>
      </w:r>
      <w:r w:rsidR="007D5342" w:rsidRPr="007F1C1D">
        <w:rPr>
          <w:rFonts w:cs="Arial"/>
          <w:b/>
          <w:sz w:val="22"/>
          <w:szCs w:val="22"/>
          <w:lang w:val="en-AU"/>
        </w:rPr>
        <w:t xml:space="preserve">: Legal personality: the fundamentals    </w:t>
      </w:r>
    </w:p>
    <w:p w14:paraId="7A292864" w14:textId="77777777" w:rsidR="007D5342" w:rsidRPr="007F1C1D" w:rsidRDefault="007D5342" w:rsidP="007D5342">
      <w:pPr>
        <w:rPr>
          <w:rFonts w:cs="Arial"/>
          <w:b/>
          <w:sz w:val="22"/>
          <w:szCs w:val="22"/>
          <w:lang w:val="en-AU"/>
        </w:rPr>
      </w:pPr>
    </w:p>
    <w:p w14:paraId="17FF7686" w14:textId="77777777" w:rsidR="007D5342" w:rsidRPr="007F1C1D" w:rsidRDefault="007D5342" w:rsidP="007D5342">
      <w:pPr>
        <w:rPr>
          <w:rFonts w:cs="Arial"/>
          <w:b/>
          <w:i/>
          <w:sz w:val="22"/>
          <w:szCs w:val="22"/>
          <w:lang w:val="en-AU"/>
        </w:rPr>
      </w:pPr>
      <w:r w:rsidRPr="007F1C1D">
        <w:rPr>
          <w:rFonts w:cs="Arial"/>
          <w:b/>
          <w:i/>
          <w:sz w:val="22"/>
          <w:szCs w:val="22"/>
          <w:lang w:val="en-AU"/>
        </w:rPr>
        <w:t>Legal personality pursuant to national law</w:t>
      </w:r>
    </w:p>
    <w:p w14:paraId="3E729F43" w14:textId="77777777" w:rsidR="007D5342" w:rsidRPr="007F1C1D" w:rsidRDefault="007D5342" w:rsidP="007D5342">
      <w:pPr>
        <w:rPr>
          <w:rFonts w:cs="Arial"/>
          <w:b/>
          <w:sz w:val="22"/>
          <w:szCs w:val="22"/>
          <w:lang w:val="en-AU"/>
        </w:rPr>
      </w:pPr>
    </w:p>
    <w:p w14:paraId="7E59A4DC" w14:textId="77777777" w:rsidR="002A63AC" w:rsidRPr="007F1C1D" w:rsidRDefault="007D5342" w:rsidP="007D155A">
      <w:pPr>
        <w:pStyle w:val="ListParagraph"/>
        <w:numPr>
          <w:ilvl w:val="0"/>
          <w:numId w:val="31"/>
        </w:numPr>
        <w:rPr>
          <w:rFonts w:cs="Arial"/>
          <w:b/>
          <w:sz w:val="22"/>
          <w:szCs w:val="22"/>
          <w:lang w:val="en-AU"/>
        </w:rPr>
      </w:pPr>
      <w:r w:rsidRPr="007F1C1D">
        <w:rPr>
          <w:rFonts w:cs="Arial"/>
          <w:sz w:val="22"/>
          <w:szCs w:val="22"/>
          <w:lang w:val="en-AU"/>
        </w:rPr>
        <w:t>The law governing the formation of entities either possessing or lacking legal personality varies from jurisdiction to jurisdiction (that is, from country to country). Similarly, the implications of an entity operating with or conversely without legal personality vary from jurisdiction to jurisdiction. However, for the purposes of this advice, the concept of legal personality may be reasonably described as legal status that confers upon its beneficiary</w:t>
      </w:r>
      <w:r w:rsidR="002A63AC" w:rsidRPr="007F1C1D">
        <w:rPr>
          <w:rFonts w:cs="Arial"/>
          <w:sz w:val="22"/>
          <w:szCs w:val="22"/>
          <w:lang w:val="en-AU"/>
        </w:rPr>
        <w:t>:</w:t>
      </w:r>
      <w:r w:rsidRPr="007F1C1D">
        <w:rPr>
          <w:rFonts w:cs="Arial"/>
          <w:sz w:val="22"/>
          <w:szCs w:val="22"/>
          <w:lang w:val="en-AU"/>
        </w:rPr>
        <w:t xml:space="preserve"> </w:t>
      </w:r>
    </w:p>
    <w:p w14:paraId="0ABFE82C" w14:textId="77777777" w:rsidR="002A63AC" w:rsidRPr="007F1C1D" w:rsidRDefault="002A63AC" w:rsidP="002A63AC">
      <w:pPr>
        <w:pStyle w:val="ListParagraph"/>
        <w:ind w:left="360"/>
        <w:rPr>
          <w:rFonts w:cs="Arial"/>
          <w:sz w:val="22"/>
          <w:szCs w:val="22"/>
          <w:lang w:val="en-AU"/>
        </w:rPr>
      </w:pPr>
    </w:p>
    <w:p w14:paraId="08511429" w14:textId="77777777" w:rsidR="002A63AC" w:rsidRPr="007F1C1D" w:rsidRDefault="002A63AC" w:rsidP="007D155A">
      <w:pPr>
        <w:pStyle w:val="ListParagraph"/>
        <w:numPr>
          <w:ilvl w:val="1"/>
          <w:numId w:val="31"/>
        </w:numPr>
        <w:rPr>
          <w:rFonts w:cs="Arial"/>
          <w:b/>
          <w:sz w:val="22"/>
          <w:szCs w:val="22"/>
          <w:lang w:val="en-AU"/>
        </w:rPr>
      </w:pPr>
      <w:r w:rsidRPr="007F1C1D">
        <w:rPr>
          <w:rFonts w:cs="Arial"/>
          <w:sz w:val="22"/>
          <w:szCs w:val="22"/>
          <w:lang w:val="en-AU"/>
        </w:rPr>
        <w:t>the right to sue and be sued;</w:t>
      </w:r>
    </w:p>
    <w:p w14:paraId="142E9BED" w14:textId="1732E40E" w:rsidR="002A63AC" w:rsidRPr="007F1C1D" w:rsidRDefault="002A63AC" w:rsidP="007D155A">
      <w:pPr>
        <w:pStyle w:val="ListParagraph"/>
        <w:numPr>
          <w:ilvl w:val="1"/>
          <w:numId w:val="31"/>
        </w:numPr>
        <w:rPr>
          <w:rFonts w:cs="Arial"/>
          <w:b/>
          <w:sz w:val="22"/>
          <w:szCs w:val="22"/>
          <w:lang w:val="en-AU"/>
        </w:rPr>
      </w:pPr>
      <w:r w:rsidRPr="007F1C1D">
        <w:rPr>
          <w:rFonts w:cs="Arial"/>
          <w:sz w:val="22"/>
          <w:szCs w:val="22"/>
          <w:lang w:val="en-AU"/>
        </w:rPr>
        <w:t xml:space="preserve">the capacity to enter into contracts and agreements, hold assets and hire staff (rather than relying on a host organisation to do so on their behalf or pursuant to a legally recognised instrument of delegation). </w:t>
      </w:r>
    </w:p>
    <w:p w14:paraId="1663BD43" w14:textId="4C202512" w:rsidR="002A63AC" w:rsidRPr="007F1C1D" w:rsidRDefault="002A63AC" w:rsidP="002A63AC">
      <w:pPr>
        <w:rPr>
          <w:rFonts w:cs="Arial"/>
          <w:b/>
          <w:sz w:val="22"/>
          <w:szCs w:val="22"/>
          <w:lang w:val="en-AU"/>
        </w:rPr>
      </w:pPr>
    </w:p>
    <w:p w14:paraId="73FAA767" w14:textId="69901168" w:rsidR="007D5342" w:rsidRPr="000E3345" w:rsidRDefault="002A63AC" w:rsidP="007D5342">
      <w:pPr>
        <w:pStyle w:val="ListParagraph"/>
        <w:numPr>
          <w:ilvl w:val="0"/>
          <w:numId w:val="31"/>
        </w:numPr>
        <w:rPr>
          <w:rFonts w:cs="Arial"/>
          <w:b/>
          <w:sz w:val="22"/>
          <w:szCs w:val="22"/>
          <w:lang w:val="en-AU"/>
        </w:rPr>
      </w:pPr>
      <w:r w:rsidRPr="007F1C1D">
        <w:rPr>
          <w:rFonts w:cs="Arial"/>
          <w:sz w:val="22"/>
          <w:szCs w:val="22"/>
          <w:lang w:val="en-AU"/>
        </w:rPr>
        <w:t xml:space="preserve">The entity may also be entitled to acquire tax deductibility status under relevant national or state laws, and may be subject to rigorous financial and other reporting requirements. Furthermore, office bearers or members of a corporate entity (or association) with legal personality may be shielded from liability. Conversely, the members of an association lacking legal personality may be found to be personally liable (for any outstanding debts or for breach of contract, for example). </w:t>
      </w:r>
    </w:p>
    <w:p w14:paraId="27E3EE41" w14:textId="77777777" w:rsidR="000E3345" w:rsidRPr="000E3345" w:rsidRDefault="000E3345" w:rsidP="000E3345">
      <w:pPr>
        <w:rPr>
          <w:rFonts w:cs="Arial"/>
          <w:b/>
          <w:sz w:val="22"/>
          <w:szCs w:val="22"/>
          <w:lang w:val="en-AU"/>
        </w:rPr>
      </w:pPr>
    </w:p>
    <w:p w14:paraId="71F51CA4" w14:textId="32244D8A" w:rsidR="007D5342" w:rsidRPr="007F1C1D" w:rsidRDefault="002A63AC" w:rsidP="007D155A">
      <w:pPr>
        <w:pStyle w:val="ListParagraph"/>
        <w:numPr>
          <w:ilvl w:val="0"/>
          <w:numId w:val="31"/>
        </w:numPr>
        <w:rPr>
          <w:rFonts w:cs="Arial"/>
          <w:b/>
          <w:sz w:val="22"/>
          <w:szCs w:val="22"/>
          <w:lang w:val="en-AU"/>
        </w:rPr>
      </w:pPr>
      <w:r w:rsidRPr="007F1C1D">
        <w:rPr>
          <w:rFonts w:cs="Arial"/>
          <w:sz w:val="22"/>
          <w:szCs w:val="22"/>
          <w:lang w:val="en-AU"/>
        </w:rPr>
        <w:lastRenderedPageBreak/>
        <w:t>T</w:t>
      </w:r>
      <w:r w:rsidR="007D5342" w:rsidRPr="007F1C1D">
        <w:rPr>
          <w:rFonts w:cs="Arial"/>
          <w:sz w:val="22"/>
          <w:szCs w:val="22"/>
          <w:lang w:val="en-AU"/>
        </w:rPr>
        <w:t>he choice of whether to form an association or organisation that possesses</w:t>
      </w:r>
      <w:r w:rsidRPr="007F1C1D">
        <w:rPr>
          <w:rFonts w:cs="Arial"/>
          <w:sz w:val="22"/>
          <w:szCs w:val="22"/>
          <w:lang w:val="en-AU"/>
        </w:rPr>
        <w:t xml:space="preserve"> or lacks legal personality therefore</w:t>
      </w:r>
      <w:r w:rsidR="007D5342" w:rsidRPr="007F1C1D">
        <w:rPr>
          <w:rFonts w:cs="Arial"/>
          <w:sz w:val="22"/>
          <w:szCs w:val="22"/>
          <w:lang w:val="en-AU"/>
        </w:rPr>
        <w:t xml:space="preserve"> depend</w:t>
      </w:r>
      <w:r w:rsidRPr="007F1C1D">
        <w:rPr>
          <w:rFonts w:cs="Arial"/>
          <w:sz w:val="22"/>
          <w:szCs w:val="22"/>
          <w:lang w:val="en-AU"/>
        </w:rPr>
        <w:t>s</w:t>
      </w:r>
      <w:r w:rsidR="007D5342" w:rsidRPr="007F1C1D">
        <w:rPr>
          <w:rFonts w:cs="Arial"/>
          <w:sz w:val="22"/>
          <w:szCs w:val="22"/>
          <w:lang w:val="en-AU"/>
        </w:rPr>
        <w:t xml:space="preserve"> on a variety of factors</w:t>
      </w:r>
      <w:r w:rsidRPr="007F1C1D">
        <w:rPr>
          <w:rFonts w:cs="Arial"/>
          <w:sz w:val="22"/>
          <w:szCs w:val="22"/>
          <w:lang w:val="en-AU"/>
        </w:rPr>
        <w:t>,</w:t>
      </w:r>
      <w:r w:rsidR="007D5342" w:rsidRPr="007F1C1D">
        <w:rPr>
          <w:rFonts w:cs="Arial"/>
          <w:sz w:val="22"/>
          <w:szCs w:val="22"/>
          <w:lang w:val="en-AU"/>
        </w:rPr>
        <w:t xml:space="preserve"> including: the objectives of the association or entity; whether it intends to employ staff; whether it intends to enter into contracts;</w:t>
      </w:r>
      <w:r w:rsidR="00175D6A" w:rsidRPr="007F1C1D">
        <w:rPr>
          <w:rFonts w:cs="Arial"/>
          <w:sz w:val="22"/>
          <w:szCs w:val="22"/>
          <w:lang w:val="en-AU"/>
        </w:rPr>
        <w:t xml:space="preserve"> whether it intends to hold assets;</w:t>
      </w:r>
      <w:r w:rsidR="007D5342" w:rsidRPr="007F1C1D">
        <w:rPr>
          <w:rFonts w:cs="Arial"/>
          <w:sz w:val="22"/>
          <w:szCs w:val="22"/>
          <w:lang w:val="en-AU"/>
        </w:rPr>
        <w:t xml:space="preserve"> and the benefits and risks associated with either choice (noting that these will vary from jurisdiction to jurisdiction). </w:t>
      </w:r>
    </w:p>
    <w:p w14:paraId="6358B417" w14:textId="77777777" w:rsidR="007D5342" w:rsidRPr="007F1C1D" w:rsidRDefault="007D5342" w:rsidP="007D5342">
      <w:pPr>
        <w:pStyle w:val="ListParagraph"/>
        <w:rPr>
          <w:rFonts w:cs="Arial"/>
          <w:b/>
          <w:sz w:val="22"/>
          <w:szCs w:val="22"/>
          <w:lang w:val="en-AU"/>
        </w:rPr>
      </w:pPr>
    </w:p>
    <w:p w14:paraId="5D01C194" w14:textId="77777777" w:rsidR="007D5342" w:rsidRPr="007F1C1D" w:rsidRDefault="007D5342" w:rsidP="007D5342">
      <w:pPr>
        <w:rPr>
          <w:rFonts w:cs="Arial"/>
          <w:b/>
          <w:i/>
          <w:sz w:val="22"/>
          <w:szCs w:val="22"/>
          <w:lang w:val="en-AU"/>
        </w:rPr>
      </w:pPr>
      <w:r w:rsidRPr="007F1C1D">
        <w:rPr>
          <w:rFonts w:cs="Arial"/>
          <w:b/>
          <w:i/>
          <w:sz w:val="22"/>
          <w:szCs w:val="22"/>
          <w:lang w:val="en-AU"/>
        </w:rPr>
        <w:t xml:space="preserve">International legal personality </w:t>
      </w:r>
    </w:p>
    <w:p w14:paraId="276C21D6" w14:textId="77777777" w:rsidR="007D5342" w:rsidRPr="007F1C1D" w:rsidRDefault="007D5342" w:rsidP="007D5342">
      <w:pPr>
        <w:pStyle w:val="NormalWeb"/>
        <w:spacing w:before="0" w:beforeAutospacing="0" w:after="0" w:afterAutospacing="0"/>
        <w:rPr>
          <w:rFonts w:asciiTheme="minorHAnsi" w:hAnsiTheme="minorHAnsi" w:cs="Arial"/>
          <w:sz w:val="22"/>
          <w:szCs w:val="22"/>
          <w:lang w:val="en-AU"/>
        </w:rPr>
      </w:pPr>
    </w:p>
    <w:p w14:paraId="7A5AC4C3" w14:textId="77777777" w:rsidR="007D5342" w:rsidRPr="007F1C1D" w:rsidRDefault="007D5342" w:rsidP="007D155A">
      <w:pPr>
        <w:pStyle w:val="NormalWeb"/>
        <w:numPr>
          <w:ilvl w:val="0"/>
          <w:numId w:val="31"/>
        </w:numPr>
        <w:spacing w:before="0" w:beforeAutospacing="0" w:after="0" w:afterAutospacing="0"/>
        <w:ind w:left="357"/>
        <w:rPr>
          <w:rFonts w:asciiTheme="minorHAnsi" w:hAnsiTheme="minorHAnsi" w:cs="Arial"/>
          <w:sz w:val="22"/>
          <w:szCs w:val="22"/>
          <w:lang w:val="en-AU"/>
        </w:rPr>
      </w:pPr>
      <w:r w:rsidRPr="007F1C1D">
        <w:rPr>
          <w:rFonts w:asciiTheme="minorHAnsi" w:hAnsiTheme="minorHAnsi" w:cs="Arial"/>
          <w:sz w:val="22"/>
          <w:szCs w:val="22"/>
          <w:lang w:val="en-AU"/>
        </w:rPr>
        <w:t>There is no one, codified definition of ‘international legal personality’.</w:t>
      </w:r>
      <w:r w:rsidRPr="007F1C1D">
        <w:rPr>
          <w:rStyle w:val="FootnoteReference"/>
          <w:rFonts w:asciiTheme="minorHAnsi" w:hAnsiTheme="minorHAnsi" w:cs="Arial"/>
          <w:sz w:val="22"/>
          <w:szCs w:val="22"/>
          <w:lang w:val="en-AU"/>
        </w:rPr>
        <w:footnoteReference w:id="41"/>
      </w:r>
      <w:r w:rsidRPr="007F1C1D">
        <w:rPr>
          <w:rFonts w:asciiTheme="minorHAnsi" w:hAnsiTheme="minorHAnsi" w:cs="Arial"/>
          <w:sz w:val="22"/>
          <w:szCs w:val="22"/>
          <w:lang w:val="en-AU"/>
        </w:rPr>
        <w:t xml:space="preserve"> Rather, there are several theories which attempt to describe the circumstances in which it may exist.</w:t>
      </w:r>
      <w:r w:rsidRPr="007F1C1D">
        <w:rPr>
          <w:rStyle w:val="FootnoteReference"/>
          <w:rFonts w:asciiTheme="minorHAnsi" w:hAnsiTheme="minorHAnsi" w:cs="Arial"/>
          <w:sz w:val="22"/>
          <w:szCs w:val="22"/>
          <w:lang w:val="en-AU"/>
        </w:rPr>
        <w:footnoteReference w:id="42"/>
      </w:r>
      <w:r w:rsidRPr="007F1C1D">
        <w:rPr>
          <w:rFonts w:asciiTheme="minorHAnsi" w:hAnsiTheme="minorHAnsi" w:cs="Arial"/>
          <w:sz w:val="22"/>
          <w:szCs w:val="22"/>
          <w:lang w:val="en-AU"/>
        </w:rPr>
        <w:t xml:space="preserve"> Significantly, most international lawyers acknowledge that the concept of international legal personality is problematic precisely because it is nebulous and subject to a variety of interpretations.</w:t>
      </w:r>
      <w:r w:rsidRPr="007F1C1D">
        <w:rPr>
          <w:rStyle w:val="FootnoteReference"/>
          <w:rFonts w:asciiTheme="minorHAnsi" w:hAnsiTheme="minorHAnsi" w:cs="Arial"/>
          <w:sz w:val="22"/>
          <w:szCs w:val="22"/>
          <w:lang w:val="en-AU"/>
        </w:rPr>
        <w:footnoteReference w:id="43"/>
      </w:r>
      <w:r w:rsidRPr="007F1C1D">
        <w:rPr>
          <w:rFonts w:asciiTheme="minorHAnsi" w:hAnsiTheme="minorHAnsi" w:cs="Arial"/>
          <w:sz w:val="22"/>
          <w:szCs w:val="22"/>
          <w:lang w:val="en-AU"/>
        </w:rPr>
        <w:t xml:space="preserve"> However, ‘[i]n general, most authorities agree that an international legal person is an entity with a certain capacity for international rights and obligations.’ However, there is debate as to what these ‘rights and obligations’ actually amount to.</w:t>
      </w:r>
      <w:r w:rsidRPr="007F1C1D">
        <w:rPr>
          <w:rStyle w:val="FootnoteReference"/>
          <w:rFonts w:asciiTheme="minorHAnsi" w:hAnsiTheme="minorHAnsi" w:cs="Arial"/>
          <w:sz w:val="22"/>
          <w:szCs w:val="22"/>
          <w:lang w:val="en-AU"/>
        </w:rPr>
        <w:footnoteReference w:id="44"/>
      </w:r>
    </w:p>
    <w:p w14:paraId="073B6B9F" w14:textId="77777777" w:rsidR="007D5342" w:rsidRPr="007F1C1D" w:rsidRDefault="007D5342" w:rsidP="007D5342">
      <w:pPr>
        <w:pStyle w:val="ListParagraph"/>
        <w:ind w:left="360"/>
        <w:rPr>
          <w:rFonts w:cs="Arial"/>
          <w:sz w:val="22"/>
          <w:szCs w:val="22"/>
          <w:lang w:val="en-AU"/>
        </w:rPr>
      </w:pPr>
    </w:p>
    <w:p w14:paraId="0D9C7321" w14:textId="77777777" w:rsidR="007D5342" w:rsidRDefault="007D5342" w:rsidP="007D155A">
      <w:pPr>
        <w:pStyle w:val="ListParagraph"/>
        <w:numPr>
          <w:ilvl w:val="0"/>
          <w:numId w:val="31"/>
        </w:numPr>
        <w:rPr>
          <w:rFonts w:cs="Arial"/>
          <w:sz w:val="22"/>
          <w:szCs w:val="22"/>
          <w:lang w:val="en-AU"/>
        </w:rPr>
      </w:pPr>
      <w:r w:rsidRPr="007F1C1D">
        <w:rPr>
          <w:rFonts w:cs="Arial"/>
          <w:sz w:val="22"/>
          <w:szCs w:val="22"/>
          <w:lang w:val="en-AU"/>
        </w:rPr>
        <w:t>It is widely acknowledged that nation states and intergovernmental (</w:t>
      </w:r>
      <w:r w:rsidRPr="007F1C1D">
        <w:rPr>
          <w:rFonts w:cs="Arial"/>
          <w:b/>
          <w:sz w:val="22"/>
          <w:szCs w:val="22"/>
          <w:lang w:val="en-AU"/>
        </w:rPr>
        <w:t>IGO</w:t>
      </w:r>
      <w:r w:rsidRPr="007F1C1D">
        <w:rPr>
          <w:rFonts w:cs="Arial"/>
          <w:sz w:val="22"/>
          <w:szCs w:val="22"/>
          <w:lang w:val="en-AU"/>
        </w:rPr>
        <w:t>) or international organisations possess international legal personality.</w:t>
      </w:r>
      <w:r w:rsidRPr="007F1C1D">
        <w:rPr>
          <w:rStyle w:val="FootnoteReference"/>
          <w:rFonts w:cs="Arial"/>
          <w:sz w:val="22"/>
          <w:szCs w:val="22"/>
          <w:lang w:val="en-AU"/>
        </w:rPr>
        <w:footnoteReference w:id="45"/>
      </w:r>
      <w:r w:rsidRPr="007F1C1D">
        <w:rPr>
          <w:rFonts w:cs="Arial"/>
          <w:sz w:val="22"/>
          <w:szCs w:val="22"/>
          <w:lang w:val="en-AU"/>
        </w:rPr>
        <w:t xml:space="preserve"> The most ‘orthodox’ definition of an IGO is probably captured in the Draft Articles on the Responsibility of International Organizations 2011. These Articles define an IGO as ‘an organization established by a treaty or other instrument governed by international law and possessing its own international legal personality. International organizations may include as members, in addition to States, other entities.’</w:t>
      </w:r>
      <w:r w:rsidRPr="007F1C1D">
        <w:rPr>
          <w:rStyle w:val="FootnoteReference"/>
          <w:rFonts w:cs="Arial"/>
          <w:sz w:val="22"/>
          <w:szCs w:val="22"/>
          <w:lang w:val="en-AU"/>
        </w:rPr>
        <w:footnoteReference w:id="46"/>
      </w:r>
      <w:r w:rsidRPr="007F1C1D">
        <w:rPr>
          <w:rFonts w:cs="Arial"/>
          <w:sz w:val="22"/>
          <w:szCs w:val="22"/>
          <w:lang w:val="en-AU"/>
        </w:rPr>
        <w:t xml:space="preserve"> It is also generally argued that IGOs possess a degree of autonomy.</w:t>
      </w:r>
      <w:r w:rsidRPr="007F1C1D">
        <w:rPr>
          <w:rStyle w:val="FootnoteReference"/>
          <w:rFonts w:cs="Arial"/>
          <w:sz w:val="22"/>
          <w:szCs w:val="22"/>
          <w:lang w:val="en-AU"/>
        </w:rPr>
        <w:footnoteReference w:id="47"/>
      </w:r>
    </w:p>
    <w:p w14:paraId="45F96D97" w14:textId="77777777" w:rsidR="007D5342" w:rsidRPr="007F1C1D" w:rsidRDefault="007D5342" w:rsidP="007D5342">
      <w:pPr>
        <w:rPr>
          <w:rFonts w:cs="Arial"/>
          <w:sz w:val="22"/>
          <w:szCs w:val="22"/>
          <w:lang w:val="en-AU"/>
        </w:rPr>
      </w:pPr>
    </w:p>
    <w:p w14:paraId="0CEE00F7" w14:textId="4EB7B24A" w:rsidR="001F287E" w:rsidRPr="004A7E1B" w:rsidRDefault="007D5342" w:rsidP="007D155A">
      <w:pPr>
        <w:pStyle w:val="ListParagraph"/>
        <w:numPr>
          <w:ilvl w:val="0"/>
          <w:numId w:val="31"/>
        </w:numPr>
        <w:rPr>
          <w:rFonts w:cs="Arial"/>
          <w:b/>
          <w:sz w:val="22"/>
          <w:szCs w:val="22"/>
          <w:lang w:val="en-AU"/>
        </w:rPr>
      </w:pPr>
      <w:r w:rsidRPr="007F1C1D">
        <w:rPr>
          <w:rFonts w:cs="Arial"/>
          <w:sz w:val="22"/>
          <w:szCs w:val="22"/>
          <w:lang w:val="en-AU"/>
        </w:rPr>
        <w:t xml:space="preserve">The significance of domestic legal personality and international legal personality for RRIs </w:t>
      </w:r>
      <w:r w:rsidR="001D5FA1" w:rsidRPr="007F1C1D">
        <w:rPr>
          <w:rFonts w:cs="Arial"/>
          <w:sz w:val="22"/>
          <w:szCs w:val="22"/>
          <w:lang w:val="en-AU"/>
        </w:rPr>
        <w:t xml:space="preserve">and the Convention </w:t>
      </w:r>
      <w:r w:rsidR="00175D6A" w:rsidRPr="007F1C1D">
        <w:rPr>
          <w:rFonts w:cs="Arial"/>
          <w:sz w:val="22"/>
          <w:szCs w:val="22"/>
          <w:lang w:val="en-AU"/>
        </w:rPr>
        <w:t>will be elaborated upon</w:t>
      </w:r>
      <w:r w:rsidR="0050764E" w:rsidRPr="007F1C1D">
        <w:rPr>
          <w:rFonts w:cs="Arial"/>
          <w:sz w:val="22"/>
          <w:szCs w:val="22"/>
          <w:lang w:val="en-AU"/>
        </w:rPr>
        <w:t xml:space="preserve"> in Part 5</w:t>
      </w:r>
      <w:r w:rsidRPr="007F1C1D">
        <w:rPr>
          <w:rFonts w:cs="Arial"/>
          <w:sz w:val="22"/>
          <w:szCs w:val="22"/>
          <w:lang w:val="en-AU"/>
        </w:rPr>
        <w:t xml:space="preserve"> of this advice. </w:t>
      </w:r>
    </w:p>
    <w:p w14:paraId="21A7C5AB" w14:textId="77777777" w:rsidR="001E468C" w:rsidRPr="007F1C1D" w:rsidRDefault="001E468C" w:rsidP="001E468C">
      <w:pPr>
        <w:rPr>
          <w:rFonts w:cs="Arial"/>
          <w:b/>
          <w:sz w:val="22"/>
          <w:szCs w:val="22"/>
          <w:lang w:val="en-AU"/>
        </w:rPr>
      </w:pPr>
    </w:p>
    <w:p w14:paraId="3C5704F7" w14:textId="17D5F4DB" w:rsidR="001E468C" w:rsidRPr="007F1C1D" w:rsidRDefault="00930459" w:rsidP="000570A5">
      <w:pPr>
        <w:keepNext/>
        <w:rPr>
          <w:rFonts w:cs="Arial"/>
          <w:b/>
          <w:sz w:val="22"/>
          <w:szCs w:val="22"/>
          <w:lang w:val="en-AU"/>
        </w:rPr>
      </w:pPr>
      <w:r w:rsidRPr="007F1C1D">
        <w:rPr>
          <w:rFonts w:cs="Arial"/>
          <w:b/>
          <w:sz w:val="22"/>
          <w:szCs w:val="22"/>
          <w:lang w:val="en-AU"/>
        </w:rPr>
        <w:lastRenderedPageBreak/>
        <w:t>Part 5</w:t>
      </w:r>
      <w:r w:rsidR="001E468C" w:rsidRPr="007F1C1D">
        <w:rPr>
          <w:rFonts w:cs="Arial"/>
          <w:b/>
          <w:sz w:val="22"/>
          <w:szCs w:val="22"/>
          <w:lang w:val="en-AU"/>
        </w:rPr>
        <w:t xml:space="preserve">: The implications </w:t>
      </w:r>
      <w:r w:rsidR="003317F5" w:rsidRPr="007F1C1D">
        <w:rPr>
          <w:rFonts w:cs="Arial"/>
          <w:b/>
          <w:sz w:val="22"/>
          <w:szCs w:val="22"/>
          <w:lang w:val="en-AU"/>
        </w:rPr>
        <w:t xml:space="preserve">for the Convention </w:t>
      </w:r>
      <w:r w:rsidR="001E468C" w:rsidRPr="007F1C1D">
        <w:rPr>
          <w:rFonts w:cs="Arial"/>
          <w:b/>
          <w:sz w:val="22"/>
          <w:szCs w:val="22"/>
          <w:lang w:val="en-AU"/>
        </w:rPr>
        <w:t xml:space="preserve">of RRIs being granted legal personality </w:t>
      </w:r>
    </w:p>
    <w:p w14:paraId="71665B62" w14:textId="77777777" w:rsidR="001E468C" w:rsidRPr="007F1C1D" w:rsidRDefault="001E468C" w:rsidP="000570A5">
      <w:pPr>
        <w:keepNext/>
        <w:rPr>
          <w:rFonts w:cs="Arial"/>
          <w:b/>
          <w:sz w:val="22"/>
          <w:szCs w:val="22"/>
          <w:lang w:val="en-AU"/>
        </w:rPr>
      </w:pPr>
    </w:p>
    <w:p w14:paraId="5F079EB3" w14:textId="48119B95" w:rsidR="002A3B6F" w:rsidRPr="007F1C1D" w:rsidRDefault="002A3B6F" w:rsidP="000570A5">
      <w:pPr>
        <w:keepNext/>
        <w:rPr>
          <w:rFonts w:cs="Arial"/>
          <w:b/>
          <w:i/>
          <w:sz w:val="22"/>
          <w:szCs w:val="22"/>
          <w:lang w:val="en-AU"/>
        </w:rPr>
      </w:pPr>
      <w:r w:rsidRPr="007F1C1D">
        <w:rPr>
          <w:rFonts w:cs="Arial"/>
          <w:b/>
          <w:i/>
          <w:sz w:val="22"/>
          <w:szCs w:val="22"/>
          <w:lang w:val="en-AU"/>
        </w:rPr>
        <w:t>Legal personality under national laws</w:t>
      </w:r>
    </w:p>
    <w:p w14:paraId="1E8C31A0" w14:textId="77777777" w:rsidR="002A3B6F" w:rsidRPr="007F1C1D" w:rsidRDefault="002A3B6F" w:rsidP="000570A5">
      <w:pPr>
        <w:keepNext/>
        <w:rPr>
          <w:rFonts w:cs="Arial"/>
          <w:b/>
          <w:sz w:val="22"/>
          <w:szCs w:val="22"/>
          <w:lang w:val="en-AU"/>
        </w:rPr>
      </w:pPr>
    </w:p>
    <w:p w14:paraId="2DEDFF57" w14:textId="0E7151C6" w:rsidR="00A50EE5" w:rsidRPr="007F1C1D" w:rsidRDefault="00B65EF1" w:rsidP="007D155A">
      <w:pPr>
        <w:pStyle w:val="ListParagraph"/>
        <w:numPr>
          <w:ilvl w:val="0"/>
          <w:numId w:val="31"/>
        </w:numPr>
        <w:rPr>
          <w:rFonts w:cs="Arial"/>
          <w:b/>
          <w:sz w:val="22"/>
          <w:szCs w:val="22"/>
          <w:lang w:val="en-AU"/>
        </w:rPr>
      </w:pPr>
      <w:r w:rsidRPr="007F1C1D">
        <w:rPr>
          <w:rFonts w:cs="Arial"/>
          <w:sz w:val="22"/>
          <w:szCs w:val="22"/>
          <w:lang w:val="en-AU"/>
        </w:rPr>
        <w:t xml:space="preserve">As noted in Part </w:t>
      </w:r>
      <w:r w:rsidR="00FB58DF" w:rsidRPr="007F1C1D">
        <w:rPr>
          <w:rFonts w:cs="Arial"/>
          <w:sz w:val="22"/>
          <w:szCs w:val="22"/>
          <w:lang w:val="en-AU"/>
        </w:rPr>
        <w:t xml:space="preserve">4, the precise implications of </w:t>
      </w:r>
      <w:r w:rsidRPr="007F1C1D">
        <w:rPr>
          <w:rFonts w:cs="Arial"/>
          <w:sz w:val="22"/>
          <w:szCs w:val="22"/>
          <w:lang w:val="en-AU"/>
        </w:rPr>
        <w:t>adopting a legal structure that confers domestic legal personality varies from jurisdiction to jurisdiction. However, as a general rule, such entities have far greater capacity to operate as autonomous, financially independent organisations</w:t>
      </w:r>
      <w:r w:rsidR="00263E4D" w:rsidRPr="007F1C1D">
        <w:rPr>
          <w:rFonts w:cs="Arial"/>
          <w:sz w:val="22"/>
          <w:szCs w:val="22"/>
          <w:lang w:val="en-AU"/>
        </w:rPr>
        <w:t xml:space="preserve">. Additionally, </w:t>
      </w:r>
      <w:r w:rsidR="00A50EE5" w:rsidRPr="007F1C1D">
        <w:rPr>
          <w:rFonts w:cs="Arial"/>
          <w:sz w:val="22"/>
          <w:szCs w:val="22"/>
          <w:lang w:val="en-AU"/>
        </w:rPr>
        <w:t xml:space="preserve">such entities: </w:t>
      </w:r>
      <w:r w:rsidRPr="007F1C1D">
        <w:rPr>
          <w:rFonts w:cs="Arial"/>
          <w:sz w:val="22"/>
          <w:szCs w:val="22"/>
          <w:lang w:val="en-AU"/>
        </w:rPr>
        <w:t xml:space="preserve"> </w:t>
      </w:r>
    </w:p>
    <w:p w14:paraId="5015A392" w14:textId="77777777" w:rsidR="00A50EE5" w:rsidRPr="007F1C1D" w:rsidRDefault="00A50EE5" w:rsidP="00A50EE5">
      <w:pPr>
        <w:pStyle w:val="ListParagraph"/>
        <w:ind w:left="1080"/>
        <w:rPr>
          <w:rFonts w:cs="Arial"/>
          <w:b/>
          <w:sz w:val="22"/>
          <w:szCs w:val="22"/>
          <w:lang w:val="en-AU"/>
        </w:rPr>
      </w:pPr>
    </w:p>
    <w:p w14:paraId="1FFC531D" w14:textId="102811DF" w:rsidR="003F5ACD" w:rsidRPr="00CC210F" w:rsidRDefault="00B65EF1" w:rsidP="007D155A">
      <w:pPr>
        <w:pStyle w:val="ListParagraph"/>
        <w:numPr>
          <w:ilvl w:val="1"/>
          <w:numId w:val="31"/>
        </w:numPr>
        <w:rPr>
          <w:rFonts w:cs="Arial"/>
          <w:b/>
          <w:sz w:val="22"/>
          <w:szCs w:val="22"/>
          <w:lang w:val="en-AU"/>
        </w:rPr>
      </w:pPr>
      <w:r w:rsidRPr="007F1C1D">
        <w:rPr>
          <w:rFonts w:cs="Arial"/>
          <w:sz w:val="22"/>
          <w:szCs w:val="22"/>
          <w:lang w:val="en-AU"/>
        </w:rPr>
        <w:t xml:space="preserve">may also be able to apply for membership of an </w:t>
      </w:r>
      <w:r w:rsidR="00BE523F">
        <w:rPr>
          <w:rFonts w:cs="Arial"/>
          <w:sz w:val="22"/>
          <w:szCs w:val="22"/>
          <w:lang w:val="en-AU"/>
        </w:rPr>
        <w:t>i</w:t>
      </w:r>
      <w:r w:rsidR="00C07139" w:rsidRPr="007F1C1D">
        <w:rPr>
          <w:rFonts w:cs="Arial"/>
          <w:sz w:val="22"/>
          <w:szCs w:val="22"/>
          <w:lang w:val="en-AU"/>
        </w:rPr>
        <w:t>nternational NGO</w:t>
      </w:r>
      <w:r w:rsidRPr="007F1C1D">
        <w:rPr>
          <w:rFonts w:cs="Arial"/>
          <w:sz w:val="22"/>
          <w:szCs w:val="22"/>
          <w:lang w:val="en-AU"/>
        </w:rPr>
        <w:t xml:space="preserve">, although this would depend on the </w:t>
      </w:r>
      <w:r w:rsidR="00D85CCC" w:rsidRPr="007F1C1D">
        <w:rPr>
          <w:rFonts w:cs="Arial"/>
          <w:sz w:val="22"/>
          <w:szCs w:val="22"/>
          <w:lang w:val="en-AU"/>
        </w:rPr>
        <w:t>charter or treaty</w:t>
      </w:r>
      <w:r w:rsidRPr="007F1C1D">
        <w:rPr>
          <w:rFonts w:cs="Arial"/>
          <w:sz w:val="22"/>
          <w:szCs w:val="22"/>
          <w:lang w:val="en-AU"/>
        </w:rPr>
        <w:t xml:space="preserve"> of the </w:t>
      </w:r>
      <w:r w:rsidR="00BE523F">
        <w:rPr>
          <w:rFonts w:cs="Arial"/>
          <w:sz w:val="22"/>
          <w:szCs w:val="22"/>
          <w:lang w:val="en-AU"/>
        </w:rPr>
        <w:t>i</w:t>
      </w:r>
      <w:r w:rsidR="00263E4D" w:rsidRPr="007F1C1D">
        <w:rPr>
          <w:rFonts w:cs="Arial"/>
          <w:sz w:val="22"/>
          <w:szCs w:val="22"/>
          <w:lang w:val="en-AU"/>
        </w:rPr>
        <w:t>nternational NGO</w:t>
      </w:r>
      <w:r w:rsidR="005D1B42" w:rsidRPr="007F1C1D">
        <w:rPr>
          <w:rFonts w:cs="Arial"/>
          <w:sz w:val="22"/>
          <w:szCs w:val="22"/>
          <w:lang w:val="en-AU"/>
        </w:rPr>
        <w:t xml:space="preserve">, </w:t>
      </w:r>
      <w:r w:rsidR="00D85CCC" w:rsidRPr="007F1C1D">
        <w:rPr>
          <w:rFonts w:cs="Arial"/>
          <w:sz w:val="22"/>
          <w:szCs w:val="22"/>
          <w:lang w:val="en-AU"/>
        </w:rPr>
        <w:t xml:space="preserve">as well as </w:t>
      </w:r>
      <w:r w:rsidR="005D1B42" w:rsidRPr="007F1C1D">
        <w:rPr>
          <w:rFonts w:cs="Arial"/>
          <w:sz w:val="22"/>
          <w:szCs w:val="22"/>
          <w:lang w:val="en-AU"/>
        </w:rPr>
        <w:t>the charter or constitution of the RRI</w:t>
      </w:r>
      <w:r w:rsidR="00E11478" w:rsidRPr="007F1C1D">
        <w:rPr>
          <w:rFonts w:cs="Arial"/>
          <w:sz w:val="22"/>
          <w:szCs w:val="22"/>
          <w:lang w:val="en-AU"/>
        </w:rPr>
        <w:t>;</w:t>
      </w:r>
    </w:p>
    <w:p w14:paraId="0469C3F5" w14:textId="611564A2" w:rsidR="00CC1825" w:rsidRPr="007F1C1D" w:rsidRDefault="00CC1825" w:rsidP="007D155A">
      <w:pPr>
        <w:pStyle w:val="ListParagraph"/>
        <w:numPr>
          <w:ilvl w:val="1"/>
          <w:numId w:val="31"/>
        </w:numPr>
        <w:rPr>
          <w:rFonts w:cs="Arial"/>
          <w:b/>
          <w:sz w:val="22"/>
          <w:szCs w:val="22"/>
          <w:lang w:val="en-AU"/>
        </w:rPr>
      </w:pPr>
      <w:r>
        <w:rPr>
          <w:rFonts w:cs="Arial"/>
          <w:sz w:val="22"/>
          <w:szCs w:val="22"/>
          <w:lang w:val="en-AU"/>
        </w:rPr>
        <w:t xml:space="preserve">may be eligible to be granted observer status to an international convention. To that end, I </w:t>
      </w:r>
      <w:r w:rsidR="0087703F">
        <w:rPr>
          <w:rFonts w:cs="Arial"/>
          <w:sz w:val="22"/>
          <w:szCs w:val="22"/>
          <w:lang w:val="en-AU"/>
        </w:rPr>
        <w:t>understand</w:t>
      </w:r>
      <w:r>
        <w:rPr>
          <w:rFonts w:cs="Arial"/>
          <w:sz w:val="22"/>
          <w:szCs w:val="22"/>
          <w:lang w:val="en-AU"/>
        </w:rPr>
        <w:t xml:space="preserve"> that MedWet </w:t>
      </w:r>
      <w:r w:rsidR="0087703F">
        <w:rPr>
          <w:rFonts w:cs="Arial"/>
          <w:sz w:val="22"/>
          <w:szCs w:val="22"/>
          <w:lang w:val="en-AU"/>
        </w:rPr>
        <w:t>participated in COP21 of the Barcelona Convention as an observer;</w:t>
      </w:r>
      <w:r w:rsidR="0087703F">
        <w:rPr>
          <w:rStyle w:val="FootnoteReference"/>
          <w:rFonts w:cs="Arial"/>
          <w:sz w:val="22"/>
          <w:szCs w:val="22"/>
          <w:lang w:val="en-AU"/>
        </w:rPr>
        <w:footnoteReference w:id="48"/>
      </w:r>
    </w:p>
    <w:p w14:paraId="3298A9B6" w14:textId="5E900008" w:rsidR="00E11478" w:rsidRPr="007F1C1D" w:rsidRDefault="00E11478" w:rsidP="007D155A">
      <w:pPr>
        <w:pStyle w:val="ListParagraph"/>
        <w:numPr>
          <w:ilvl w:val="1"/>
          <w:numId w:val="31"/>
        </w:numPr>
        <w:rPr>
          <w:rFonts w:cs="Arial"/>
          <w:b/>
          <w:sz w:val="22"/>
          <w:szCs w:val="22"/>
          <w:lang w:val="en-AU"/>
        </w:rPr>
      </w:pPr>
      <w:r w:rsidRPr="007F1C1D">
        <w:rPr>
          <w:rFonts w:cs="Arial"/>
          <w:sz w:val="22"/>
          <w:szCs w:val="22"/>
          <w:lang w:val="en-AU"/>
        </w:rPr>
        <w:t>may be eligible to be accredited with the United Nations Environment Program</w:t>
      </w:r>
      <w:r w:rsidR="00033CC1" w:rsidRPr="007F1C1D">
        <w:rPr>
          <w:rFonts w:cs="Arial"/>
          <w:sz w:val="22"/>
          <w:szCs w:val="22"/>
          <w:lang w:val="en-AU"/>
        </w:rPr>
        <w:t>, which in turn allows participation in the United Nations Environment Assembly</w:t>
      </w:r>
      <w:r w:rsidRPr="007F1C1D">
        <w:rPr>
          <w:rFonts w:cs="Arial"/>
          <w:sz w:val="22"/>
          <w:szCs w:val="22"/>
          <w:lang w:val="en-AU"/>
        </w:rPr>
        <w:t>.</w:t>
      </w:r>
      <w:r w:rsidRPr="007F1C1D">
        <w:rPr>
          <w:rStyle w:val="FootnoteReference"/>
          <w:rFonts w:cs="Arial"/>
          <w:sz w:val="22"/>
          <w:szCs w:val="22"/>
          <w:lang w:val="en-AU"/>
        </w:rPr>
        <w:footnoteReference w:id="49"/>
      </w:r>
    </w:p>
    <w:p w14:paraId="7ECCAEC4" w14:textId="5F047098" w:rsidR="001E468C" w:rsidRPr="007F1C1D" w:rsidRDefault="001E468C" w:rsidP="003F5ACD">
      <w:pPr>
        <w:pStyle w:val="ListParagraph"/>
        <w:ind w:left="360"/>
        <w:rPr>
          <w:rFonts w:cs="Arial"/>
          <w:b/>
          <w:sz w:val="22"/>
          <w:szCs w:val="22"/>
          <w:lang w:val="en-AU"/>
        </w:rPr>
      </w:pPr>
    </w:p>
    <w:p w14:paraId="08529B89" w14:textId="77777777" w:rsidR="00E509CE" w:rsidRPr="007F1C1D" w:rsidRDefault="002426C9" w:rsidP="007D155A">
      <w:pPr>
        <w:pStyle w:val="ListParagraph"/>
        <w:numPr>
          <w:ilvl w:val="0"/>
          <w:numId w:val="31"/>
        </w:numPr>
        <w:rPr>
          <w:rFonts w:cs="Arial"/>
          <w:b/>
          <w:sz w:val="22"/>
          <w:szCs w:val="22"/>
          <w:lang w:val="en-AU"/>
        </w:rPr>
      </w:pPr>
      <w:r w:rsidRPr="007F1C1D">
        <w:rPr>
          <w:rFonts w:cs="Arial"/>
          <w:sz w:val="22"/>
          <w:szCs w:val="22"/>
          <w:lang w:val="en-AU"/>
        </w:rPr>
        <w:t xml:space="preserve">The implications for the Convention of one or more RRI being able to function in this manner would depend on a range of factors. </w:t>
      </w:r>
      <w:r w:rsidR="00E509CE" w:rsidRPr="007F1C1D">
        <w:rPr>
          <w:rFonts w:cs="Arial"/>
          <w:sz w:val="22"/>
          <w:szCs w:val="22"/>
          <w:lang w:val="en-AU"/>
        </w:rPr>
        <w:t xml:space="preserve">I will present two basic scenarios to illustrate this point. </w:t>
      </w:r>
    </w:p>
    <w:p w14:paraId="1237C1E7" w14:textId="77777777" w:rsidR="00E509CE" w:rsidRPr="007F1C1D" w:rsidRDefault="00E509CE" w:rsidP="00E509CE">
      <w:pPr>
        <w:pStyle w:val="ListParagraph"/>
        <w:ind w:left="360"/>
        <w:rPr>
          <w:rFonts w:cs="Arial"/>
          <w:b/>
          <w:sz w:val="22"/>
          <w:szCs w:val="22"/>
          <w:lang w:val="en-AU"/>
        </w:rPr>
      </w:pPr>
    </w:p>
    <w:p w14:paraId="1761EBEC" w14:textId="0DB50FD1" w:rsidR="007805B1" w:rsidRPr="00CC210F" w:rsidRDefault="00E509CE" w:rsidP="007805B1">
      <w:pPr>
        <w:pStyle w:val="ListParagraph"/>
        <w:numPr>
          <w:ilvl w:val="0"/>
          <w:numId w:val="31"/>
        </w:numPr>
        <w:rPr>
          <w:rFonts w:cs="Arial"/>
          <w:b/>
          <w:sz w:val="22"/>
          <w:szCs w:val="22"/>
          <w:lang w:val="en-AU"/>
        </w:rPr>
      </w:pPr>
      <w:r w:rsidRPr="007F1C1D">
        <w:rPr>
          <w:rFonts w:cs="Arial"/>
          <w:sz w:val="22"/>
          <w:szCs w:val="22"/>
          <w:lang w:val="en-AU"/>
        </w:rPr>
        <w:t>First</w:t>
      </w:r>
      <w:r w:rsidR="002426C9" w:rsidRPr="007F1C1D">
        <w:rPr>
          <w:rFonts w:cs="Arial"/>
          <w:sz w:val="22"/>
          <w:szCs w:val="22"/>
          <w:lang w:val="en-AU"/>
        </w:rPr>
        <w:t>, a RRI with a formal legal structure and legal personality under</w:t>
      </w:r>
      <w:r w:rsidR="00170B51" w:rsidRPr="007F1C1D">
        <w:rPr>
          <w:rFonts w:cs="Arial"/>
          <w:sz w:val="22"/>
          <w:szCs w:val="22"/>
          <w:lang w:val="en-AU"/>
        </w:rPr>
        <w:t xml:space="preserve"> </w:t>
      </w:r>
      <w:r w:rsidR="002426C9" w:rsidRPr="007F1C1D">
        <w:rPr>
          <w:rFonts w:cs="Arial"/>
          <w:sz w:val="22"/>
          <w:szCs w:val="22"/>
          <w:lang w:val="en-AU"/>
        </w:rPr>
        <w:t xml:space="preserve">national law that </w:t>
      </w:r>
      <w:r w:rsidR="005F3B78" w:rsidRPr="007F1C1D">
        <w:rPr>
          <w:rFonts w:cs="Arial"/>
          <w:sz w:val="22"/>
          <w:szCs w:val="22"/>
          <w:lang w:val="en-AU"/>
        </w:rPr>
        <w:t>complies</w:t>
      </w:r>
      <w:r w:rsidR="002426C9" w:rsidRPr="007F1C1D">
        <w:rPr>
          <w:rFonts w:cs="Arial"/>
          <w:sz w:val="22"/>
          <w:szCs w:val="22"/>
          <w:lang w:val="en-AU"/>
        </w:rPr>
        <w:t xml:space="preserve"> with the</w:t>
      </w:r>
      <w:r w:rsidR="00170B51" w:rsidRPr="007F1C1D">
        <w:rPr>
          <w:rFonts w:cs="Arial"/>
          <w:sz w:val="22"/>
          <w:szCs w:val="22"/>
          <w:lang w:val="en-AU"/>
        </w:rPr>
        <w:t xml:space="preserve"> </w:t>
      </w:r>
      <w:r w:rsidR="004A5635">
        <w:rPr>
          <w:rFonts w:cs="Arial"/>
          <w:sz w:val="22"/>
          <w:szCs w:val="22"/>
          <w:lang w:val="en-AU"/>
        </w:rPr>
        <w:t>requirements of Resolution XIII.9</w:t>
      </w:r>
      <w:r w:rsidR="002426C9" w:rsidRPr="007F1C1D">
        <w:rPr>
          <w:rFonts w:cs="Arial"/>
          <w:sz w:val="22"/>
          <w:szCs w:val="22"/>
          <w:lang w:val="en-AU"/>
        </w:rPr>
        <w:t xml:space="preserve">, and to that extent continues to be formally endorsed by the </w:t>
      </w:r>
      <w:r w:rsidR="007F1428">
        <w:rPr>
          <w:rFonts w:cs="Arial"/>
          <w:sz w:val="22"/>
          <w:szCs w:val="22"/>
          <w:lang w:val="en-AU"/>
        </w:rPr>
        <w:t>COP</w:t>
      </w:r>
      <w:r w:rsidR="002426C9" w:rsidRPr="007F1C1D">
        <w:rPr>
          <w:rFonts w:cs="Arial"/>
          <w:sz w:val="22"/>
          <w:szCs w:val="22"/>
          <w:lang w:val="en-AU"/>
        </w:rPr>
        <w:t xml:space="preserve"> or Standing Committee, would arguably not pose any significant reputational</w:t>
      </w:r>
      <w:r w:rsidR="00F01BF3" w:rsidRPr="007F1C1D">
        <w:rPr>
          <w:rFonts w:cs="Arial"/>
          <w:sz w:val="22"/>
          <w:szCs w:val="22"/>
          <w:lang w:val="en-AU"/>
        </w:rPr>
        <w:t xml:space="preserve"> or legal</w:t>
      </w:r>
      <w:r w:rsidR="002426C9" w:rsidRPr="007F1C1D">
        <w:rPr>
          <w:rFonts w:cs="Arial"/>
          <w:sz w:val="22"/>
          <w:szCs w:val="22"/>
          <w:lang w:val="en-AU"/>
        </w:rPr>
        <w:t xml:space="preserve"> threat to the Convention. </w:t>
      </w:r>
      <w:r w:rsidR="00B22768" w:rsidRPr="007F1C1D">
        <w:rPr>
          <w:rFonts w:cs="Arial"/>
          <w:sz w:val="22"/>
          <w:szCs w:val="22"/>
          <w:lang w:val="en-AU"/>
        </w:rPr>
        <w:t xml:space="preserve">This is particularly true if reporting by the RRI is sufficiently detailed to ensure that the </w:t>
      </w:r>
      <w:r w:rsidR="007F1428">
        <w:rPr>
          <w:rFonts w:cs="Arial"/>
          <w:sz w:val="22"/>
          <w:szCs w:val="22"/>
          <w:lang w:val="en-AU"/>
        </w:rPr>
        <w:t>COP</w:t>
      </w:r>
      <w:r w:rsidR="00B22768" w:rsidRPr="007F1C1D">
        <w:rPr>
          <w:rFonts w:cs="Arial"/>
          <w:sz w:val="22"/>
          <w:szCs w:val="22"/>
          <w:lang w:val="en-AU"/>
        </w:rPr>
        <w:t xml:space="preserve"> or Standing Committee is properly apprised of all financial, fundraising and pa</w:t>
      </w:r>
      <w:r w:rsidR="00CC2794" w:rsidRPr="007F1C1D">
        <w:rPr>
          <w:rFonts w:cs="Arial"/>
          <w:sz w:val="22"/>
          <w:szCs w:val="22"/>
          <w:lang w:val="en-AU"/>
        </w:rPr>
        <w:t>rtn</w:t>
      </w:r>
      <w:r w:rsidR="00BC6807">
        <w:rPr>
          <w:rFonts w:cs="Arial"/>
          <w:sz w:val="22"/>
          <w:szCs w:val="22"/>
          <w:lang w:val="en-AU"/>
        </w:rPr>
        <w:t xml:space="preserve">ership arrangements, and </w:t>
      </w:r>
      <w:r w:rsidR="00BC6807" w:rsidRPr="00F53C7A">
        <w:rPr>
          <w:rFonts w:cs="Arial"/>
          <w:color w:val="000000" w:themeColor="text1"/>
          <w:sz w:val="22"/>
          <w:szCs w:val="22"/>
          <w:lang w:val="en-AU"/>
        </w:rPr>
        <w:t>any</w:t>
      </w:r>
      <w:r w:rsidR="00170B51" w:rsidRPr="007F1C1D">
        <w:rPr>
          <w:rFonts w:cs="Arial"/>
          <w:sz w:val="22"/>
          <w:szCs w:val="22"/>
          <w:lang w:val="en-AU"/>
        </w:rPr>
        <w:t xml:space="preserve"> proposed </w:t>
      </w:r>
      <w:r w:rsidR="006202A3">
        <w:rPr>
          <w:rFonts w:cs="Arial"/>
          <w:sz w:val="22"/>
          <w:szCs w:val="22"/>
          <w:lang w:val="en-AU"/>
        </w:rPr>
        <w:t>agreements</w:t>
      </w:r>
      <w:r w:rsidR="00170B51" w:rsidRPr="007F1C1D">
        <w:rPr>
          <w:rFonts w:cs="Arial"/>
          <w:sz w:val="22"/>
          <w:szCs w:val="22"/>
          <w:lang w:val="en-AU"/>
        </w:rPr>
        <w:t xml:space="preserve"> between the RRI and Secretariat are scrutinised by a lawyer before being signed and entering into force</w:t>
      </w:r>
      <w:r w:rsidR="00B22768" w:rsidRPr="007F1C1D">
        <w:rPr>
          <w:rFonts w:cs="Arial"/>
          <w:sz w:val="22"/>
          <w:szCs w:val="22"/>
          <w:lang w:val="en-AU"/>
        </w:rPr>
        <w:t>.</w:t>
      </w:r>
      <w:r w:rsidR="00BC6807">
        <w:rPr>
          <w:rStyle w:val="FootnoteReference"/>
          <w:rFonts w:cs="Arial"/>
          <w:sz w:val="22"/>
          <w:szCs w:val="22"/>
          <w:lang w:val="en-AU"/>
        </w:rPr>
        <w:footnoteReference w:id="50"/>
      </w:r>
      <w:r w:rsidR="00B22768" w:rsidRPr="007F1C1D">
        <w:rPr>
          <w:rFonts w:cs="Arial"/>
          <w:sz w:val="22"/>
          <w:szCs w:val="22"/>
          <w:lang w:val="en-AU"/>
        </w:rPr>
        <w:t xml:space="preserve"> </w:t>
      </w:r>
      <w:r w:rsidR="00CC2794" w:rsidRPr="007F1C1D">
        <w:rPr>
          <w:rFonts w:cs="Arial"/>
          <w:sz w:val="22"/>
          <w:szCs w:val="22"/>
          <w:lang w:val="en-AU"/>
        </w:rPr>
        <w:t>Part 6</w:t>
      </w:r>
      <w:r w:rsidR="002A5146" w:rsidRPr="007F1C1D">
        <w:rPr>
          <w:rFonts w:cs="Arial"/>
          <w:sz w:val="22"/>
          <w:szCs w:val="22"/>
          <w:lang w:val="en-AU"/>
        </w:rPr>
        <w:t xml:space="preserve"> will accordingly include </w:t>
      </w:r>
      <w:r w:rsidR="001407D1">
        <w:rPr>
          <w:rFonts w:cs="Arial"/>
          <w:sz w:val="22"/>
          <w:szCs w:val="22"/>
          <w:lang w:val="en-AU"/>
        </w:rPr>
        <w:t>consideration</w:t>
      </w:r>
      <w:r w:rsidR="001407D1" w:rsidRPr="007F1C1D">
        <w:rPr>
          <w:rFonts w:cs="Arial"/>
          <w:sz w:val="22"/>
          <w:szCs w:val="22"/>
          <w:lang w:val="en-AU"/>
        </w:rPr>
        <w:t xml:space="preserve">s </w:t>
      </w:r>
      <w:r w:rsidR="00170B51" w:rsidRPr="007F1C1D">
        <w:rPr>
          <w:rFonts w:cs="Arial"/>
          <w:sz w:val="22"/>
          <w:szCs w:val="22"/>
          <w:lang w:val="en-AU"/>
        </w:rPr>
        <w:t xml:space="preserve">regarding these matters. </w:t>
      </w:r>
    </w:p>
    <w:p w14:paraId="5AE245AA" w14:textId="77777777" w:rsidR="004A5635" w:rsidRPr="00CC210F" w:rsidRDefault="004A5635" w:rsidP="00CC210F">
      <w:pPr>
        <w:rPr>
          <w:rFonts w:cs="Arial"/>
          <w:b/>
          <w:sz w:val="22"/>
          <w:szCs w:val="22"/>
          <w:lang w:val="en-AU"/>
        </w:rPr>
      </w:pPr>
    </w:p>
    <w:p w14:paraId="27B8F1E6" w14:textId="58D09271" w:rsidR="00BC6807" w:rsidRPr="00743044" w:rsidRDefault="004A5635" w:rsidP="001F38CC">
      <w:pPr>
        <w:pStyle w:val="ListParagraph"/>
        <w:numPr>
          <w:ilvl w:val="0"/>
          <w:numId w:val="31"/>
        </w:numPr>
        <w:rPr>
          <w:rFonts w:cs="Arial"/>
          <w:b/>
          <w:sz w:val="22"/>
          <w:szCs w:val="22"/>
          <w:lang w:val="en-AU"/>
        </w:rPr>
      </w:pPr>
      <w:r w:rsidRPr="00743044">
        <w:rPr>
          <w:rFonts w:cs="Arial"/>
          <w:sz w:val="22"/>
          <w:szCs w:val="22"/>
          <w:lang w:val="en-AU"/>
        </w:rPr>
        <w:t xml:space="preserve">Notwithstanding this general observation, </w:t>
      </w:r>
      <w:r w:rsidR="00BE523F" w:rsidRPr="00743044">
        <w:rPr>
          <w:rFonts w:cs="Arial"/>
          <w:sz w:val="22"/>
          <w:szCs w:val="22"/>
          <w:lang w:val="en-AU"/>
        </w:rPr>
        <w:t xml:space="preserve">it is worth </w:t>
      </w:r>
      <w:r w:rsidRPr="00743044">
        <w:rPr>
          <w:rFonts w:cs="Arial"/>
          <w:sz w:val="22"/>
          <w:szCs w:val="22"/>
          <w:lang w:val="en-AU"/>
        </w:rPr>
        <w:t>considering wheth</w:t>
      </w:r>
      <w:r w:rsidR="00BE523F" w:rsidRPr="00743044">
        <w:rPr>
          <w:rFonts w:cs="Arial"/>
          <w:sz w:val="22"/>
          <w:szCs w:val="22"/>
          <w:lang w:val="en-AU"/>
        </w:rPr>
        <w:t>er a RRI that is a member of an international NGO</w:t>
      </w:r>
      <w:r w:rsidRPr="00743044">
        <w:rPr>
          <w:rFonts w:cs="Arial"/>
          <w:sz w:val="22"/>
          <w:szCs w:val="22"/>
          <w:lang w:val="en-AU"/>
        </w:rPr>
        <w:t xml:space="preserve"> </w:t>
      </w:r>
      <w:r w:rsidR="00BE523F" w:rsidRPr="00743044">
        <w:rPr>
          <w:rFonts w:cs="Arial"/>
          <w:sz w:val="22"/>
          <w:szCs w:val="22"/>
          <w:lang w:val="en-AU"/>
        </w:rPr>
        <w:t xml:space="preserve">will in all circumstances be able to </w:t>
      </w:r>
      <w:r w:rsidR="00936303" w:rsidRPr="00743044">
        <w:rPr>
          <w:rFonts w:cs="Arial"/>
          <w:sz w:val="22"/>
          <w:szCs w:val="22"/>
          <w:lang w:val="en-AU"/>
        </w:rPr>
        <w:t xml:space="preserve">discharge </w:t>
      </w:r>
      <w:r w:rsidR="00BE523F" w:rsidRPr="00743044">
        <w:rPr>
          <w:rFonts w:cs="Arial"/>
          <w:sz w:val="22"/>
          <w:szCs w:val="22"/>
          <w:lang w:val="en-AU"/>
        </w:rPr>
        <w:t xml:space="preserve">its </w:t>
      </w:r>
      <w:r w:rsidRPr="00743044">
        <w:rPr>
          <w:rFonts w:cs="Arial"/>
          <w:sz w:val="22"/>
          <w:szCs w:val="22"/>
          <w:lang w:val="en-AU"/>
        </w:rPr>
        <w:t xml:space="preserve">Ramsar obligations </w:t>
      </w:r>
      <w:r w:rsidR="00D45875">
        <w:rPr>
          <w:rFonts w:cs="Arial"/>
          <w:sz w:val="22"/>
          <w:szCs w:val="22"/>
          <w:lang w:val="en-AU"/>
        </w:rPr>
        <w:t>and any obligations set out in r</w:t>
      </w:r>
      <w:r w:rsidRPr="00743044">
        <w:rPr>
          <w:rFonts w:cs="Arial"/>
          <w:sz w:val="22"/>
          <w:szCs w:val="22"/>
          <w:lang w:val="en-AU"/>
        </w:rPr>
        <w:t xml:space="preserve">esolutions or decisions adopted by </w:t>
      </w:r>
      <w:r w:rsidR="00870E6E" w:rsidRPr="00743044">
        <w:rPr>
          <w:rFonts w:cs="Arial"/>
          <w:sz w:val="22"/>
          <w:szCs w:val="22"/>
          <w:lang w:val="en-AU"/>
        </w:rPr>
        <w:t>the international NGO.</w:t>
      </w:r>
      <w:r w:rsidRPr="00743044">
        <w:rPr>
          <w:rFonts w:cs="Arial"/>
          <w:sz w:val="22"/>
          <w:szCs w:val="22"/>
          <w:lang w:val="en-AU"/>
        </w:rPr>
        <w:t xml:space="preserve"> </w:t>
      </w:r>
      <w:r w:rsidR="00BE523F" w:rsidRPr="00743044">
        <w:rPr>
          <w:rFonts w:cs="Arial"/>
          <w:sz w:val="22"/>
          <w:szCs w:val="22"/>
          <w:lang w:val="en-AU"/>
        </w:rPr>
        <w:t xml:space="preserve">Specifically, this </w:t>
      </w:r>
      <w:r w:rsidRPr="00743044">
        <w:rPr>
          <w:rFonts w:cs="Arial"/>
          <w:sz w:val="22"/>
          <w:szCs w:val="22"/>
          <w:lang w:val="en-AU"/>
        </w:rPr>
        <w:t xml:space="preserve">may be an issue where there is some degree of conflict between the two sets of obligations. </w:t>
      </w:r>
      <w:r w:rsidR="00E73F00" w:rsidRPr="00743044">
        <w:rPr>
          <w:rFonts w:cs="Arial"/>
          <w:sz w:val="22"/>
          <w:szCs w:val="22"/>
          <w:lang w:val="en-AU"/>
        </w:rPr>
        <w:t>In the absence of a factual scenario, it is difficult to advise as to which set of obligations would prevail, or t</w:t>
      </w:r>
      <w:r w:rsidR="00FD6590" w:rsidRPr="00743044">
        <w:rPr>
          <w:rFonts w:cs="Arial"/>
          <w:sz w:val="22"/>
          <w:szCs w:val="22"/>
          <w:lang w:val="en-AU"/>
        </w:rPr>
        <w:t>he most appropriate course of action. However, one possible opt</w:t>
      </w:r>
      <w:r w:rsidR="00743044" w:rsidRPr="00743044">
        <w:rPr>
          <w:rFonts w:cs="Arial"/>
          <w:sz w:val="22"/>
          <w:szCs w:val="22"/>
          <w:lang w:val="en-AU"/>
        </w:rPr>
        <w:t xml:space="preserve">ion would be for the </w:t>
      </w:r>
      <w:r w:rsidR="00743044" w:rsidRPr="00743044">
        <w:rPr>
          <w:rFonts w:cs="Arial"/>
          <w:sz w:val="22"/>
          <w:szCs w:val="22"/>
          <w:lang w:val="en-AU"/>
        </w:rPr>
        <w:lastRenderedPageBreak/>
        <w:t>RRI to place a reservation on any resolution (or part thereof) adopted by the international NGO</w:t>
      </w:r>
      <w:r w:rsidR="00743044">
        <w:rPr>
          <w:rFonts w:cs="Arial"/>
          <w:sz w:val="22"/>
          <w:szCs w:val="22"/>
          <w:lang w:val="en-AU"/>
        </w:rPr>
        <w:t xml:space="preserve"> that conflicts with Ramsar obligations. </w:t>
      </w:r>
    </w:p>
    <w:p w14:paraId="191E5FE7" w14:textId="77777777" w:rsidR="00743044" w:rsidRPr="00743044" w:rsidRDefault="00743044" w:rsidP="00743044">
      <w:pPr>
        <w:rPr>
          <w:rFonts w:cs="Arial"/>
          <w:b/>
          <w:sz w:val="22"/>
          <w:szCs w:val="22"/>
          <w:lang w:val="en-AU"/>
        </w:rPr>
      </w:pPr>
    </w:p>
    <w:p w14:paraId="01B95709" w14:textId="5DA81456" w:rsidR="00232882" w:rsidRPr="00DB7A61" w:rsidRDefault="00E509CE" w:rsidP="007D155A">
      <w:pPr>
        <w:pStyle w:val="ListParagraph"/>
        <w:numPr>
          <w:ilvl w:val="0"/>
          <w:numId w:val="31"/>
        </w:numPr>
        <w:rPr>
          <w:rFonts w:cs="Arial"/>
          <w:b/>
          <w:sz w:val="22"/>
          <w:szCs w:val="22"/>
          <w:lang w:val="en-AU"/>
        </w:rPr>
      </w:pPr>
      <w:r w:rsidRPr="007F1C1D">
        <w:rPr>
          <w:rFonts w:cs="Arial"/>
          <w:sz w:val="22"/>
          <w:szCs w:val="22"/>
          <w:lang w:val="en-AU"/>
        </w:rPr>
        <w:t>Second and c</w:t>
      </w:r>
      <w:r w:rsidR="002426C9" w:rsidRPr="007F1C1D">
        <w:rPr>
          <w:rFonts w:cs="Arial"/>
          <w:sz w:val="22"/>
          <w:szCs w:val="22"/>
          <w:lang w:val="en-AU"/>
        </w:rPr>
        <w:t>onversely, a RRI</w:t>
      </w:r>
      <w:r w:rsidRPr="007F1C1D">
        <w:rPr>
          <w:rFonts w:cs="Arial"/>
          <w:sz w:val="22"/>
          <w:szCs w:val="22"/>
          <w:lang w:val="en-AU"/>
        </w:rPr>
        <w:t xml:space="preserve"> with a formal legal structure and legal personality under national law</w:t>
      </w:r>
      <w:r w:rsidR="002426C9" w:rsidRPr="007F1C1D">
        <w:rPr>
          <w:rFonts w:cs="Arial"/>
          <w:sz w:val="22"/>
          <w:szCs w:val="22"/>
          <w:lang w:val="en-AU"/>
        </w:rPr>
        <w:t xml:space="preserve"> that does not comply with the Operational Guidelines and is not endorsed as operating within the framework of the Convention </w:t>
      </w:r>
      <w:r w:rsidR="00F01BF3" w:rsidRPr="007F1C1D">
        <w:rPr>
          <w:rFonts w:cs="Arial"/>
          <w:sz w:val="22"/>
          <w:szCs w:val="22"/>
          <w:lang w:val="en-AU"/>
        </w:rPr>
        <w:t xml:space="preserve">could </w:t>
      </w:r>
      <w:r w:rsidR="00F01BF3" w:rsidRPr="007F1C1D">
        <w:rPr>
          <w:rFonts w:cs="Arial"/>
          <w:i/>
          <w:sz w:val="22"/>
          <w:szCs w:val="22"/>
          <w:lang w:val="en-AU"/>
        </w:rPr>
        <w:t>potentially</w:t>
      </w:r>
      <w:r w:rsidR="00F01BF3" w:rsidRPr="007F1C1D">
        <w:rPr>
          <w:rFonts w:cs="Arial"/>
          <w:sz w:val="22"/>
          <w:szCs w:val="22"/>
          <w:lang w:val="en-AU"/>
        </w:rPr>
        <w:t xml:space="preserve"> pose such a threat. This is largely because, even devoid of any formal status under the Convention, it </w:t>
      </w:r>
      <w:r w:rsidR="002426C9" w:rsidRPr="007F1C1D">
        <w:rPr>
          <w:rFonts w:cs="Arial"/>
          <w:sz w:val="22"/>
          <w:szCs w:val="22"/>
          <w:lang w:val="en-AU"/>
        </w:rPr>
        <w:t>may</w:t>
      </w:r>
      <w:r w:rsidRPr="007F1C1D">
        <w:rPr>
          <w:rFonts w:cs="Arial"/>
          <w:sz w:val="22"/>
          <w:szCs w:val="22"/>
          <w:lang w:val="en-AU"/>
        </w:rPr>
        <w:t xml:space="preserve"> continue to operate under the relevant national law</w:t>
      </w:r>
      <w:r w:rsidR="00F01BF3" w:rsidRPr="007F1C1D">
        <w:rPr>
          <w:rFonts w:cs="Arial"/>
          <w:sz w:val="22"/>
          <w:szCs w:val="22"/>
          <w:lang w:val="en-AU"/>
        </w:rPr>
        <w:t xml:space="preserve"> </w:t>
      </w:r>
      <w:r w:rsidR="00C80725">
        <w:rPr>
          <w:rFonts w:cs="Arial"/>
          <w:sz w:val="22"/>
          <w:szCs w:val="22"/>
          <w:lang w:val="en-AU"/>
        </w:rPr>
        <w:t>and under the direction</w:t>
      </w:r>
      <w:r w:rsidR="0000559C">
        <w:rPr>
          <w:rFonts w:cs="Arial"/>
          <w:sz w:val="22"/>
          <w:szCs w:val="22"/>
          <w:lang w:val="en-AU"/>
        </w:rPr>
        <w:t xml:space="preserve"> of its governance body or bodie</w:t>
      </w:r>
      <w:r w:rsidR="00C80725">
        <w:rPr>
          <w:rFonts w:cs="Arial"/>
          <w:sz w:val="22"/>
          <w:szCs w:val="22"/>
          <w:lang w:val="en-AU"/>
        </w:rPr>
        <w:t>s.</w:t>
      </w:r>
      <w:r w:rsidR="00215E73">
        <w:rPr>
          <w:rStyle w:val="FootnoteReference"/>
          <w:rFonts w:cs="Arial"/>
          <w:sz w:val="22"/>
          <w:szCs w:val="22"/>
          <w:lang w:val="en-AU"/>
        </w:rPr>
        <w:footnoteReference w:id="51"/>
      </w:r>
      <w:r w:rsidR="00C80725">
        <w:rPr>
          <w:rFonts w:cs="Arial"/>
          <w:sz w:val="22"/>
          <w:szCs w:val="22"/>
          <w:lang w:val="en-AU"/>
        </w:rPr>
        <w:t xml:space="preserve"> In the event that it expressed views or undertook projects that were not consistent with the Convention, it would be legally difficult for the Convention to</w:t>
      </w:r>
      <w:r w:rsidR="0000559C">
        <w:rPr>
          <w:rFonts w:cs="Arial"/>
          <w:sz w:val="22"/>
          <w:szCs w:val="22"/>
          <w:lang w:val="en-AU"/>
        </w:rPr>
        <w:t xml:space="preserve"> hold it to account. A formal agreement betw</w:t>
      </w:r>
      <w:r w:rsidR="0000559C">
        <w:rPr>
          <w:rFonts w:cs="Arial"/>
          <w:color w:val="000000" w:themeColor="text1"/>
          <w:sz w:val="22"/>
          <w:szCs w:val="22"/>
          <w:lang w:val="en-AU"/>
        </w:rPr>
        <w:t>een any such RRI and the Secretariat of the Convention could assist in this regard,</w:t>
      </w:r>
      <w:r w:rsidR="00FE1931">
        <w:rPr>
          <w:rStyle w:val="FootnoteReference"/>
          <w:rFonts w:cs="Arial"/>
          <w:color w:val="000000" w:themeColor="text1"/>
          <w:sz w:val="22"/>
          <w:szCs w:val="22"/>
          <w:lang w:val="en-AU"/>
        </w:rPr>
        <w:footnoteReference w:id="52"/>
      </w:r>
      <w:r w:rsidR="0000559C">
        <w:rPr>
          <w:rFonts w:cs="Arial"/>
          <w:color w:val="000000" w:themeColor="text1"/>
          <w:sz w:val="22"/>
          <w:szCs w:val="22"/>
          <w:lang w:val="en-AU"/>
        </w:rPr>
        <w:t xml:space="preserve"> although it is important to note that transboundary agreements can be difficult to enforce in the event of an alleged breach. </w:t>
      </w:r>
      <w:r w:rsidR="00936303">
        <w:rPr>
          <w:rFonts w:cs="Arial"/>
          <w:color w:val="000000" w:themeColor="text1"/>
          <w:sz w:val="22"/>
          <w:szCs w:val="22"/>
          <w:lang w:val="en-AU"/>
        </w:rPr>
        <w:t xml:space="preserve"> </w:t>
      </w:r>
    </w:p>
    <w:p w14:paraId="1BC6B358" w14:textId="77777777" w:rsidR="00232882" w:rsidRPr="00232882" w:rsidRDefault="00232882" w:rsidP="00232882">
      <w:pPr>
        <w:rPr>
          <w:rFonts w:cs="Arial"/>
          <w:color w:val="FF0000"/>
          <w:sz w:val="22"/>
          <w:szCs w:val="22"/>
          <w:lang w:val="en-AU"/>
        </w:rPr>
      </w:pPr>
    </w:p>
    <w:p w14:paraId="2CDC7189" w14:textId="28D1E9B3" w:rsidR="003F5ACD" w:rsidRPr="00224F89" w:rsidRDefault="00224F89" w:rsidP="007D155A">
      <w:pPr>
        <w:pStyle w:val="ListParagraph"/>
        <w:numPr>
          <w:ilvl w:val="0"/>
          <w:numId w:val="31"/>
        </w:numPr>
        <w:rPr>
          <w:rFonts w:cs="Arial"/>
          <w:b/>
          <w:color w:val="000000" w:themeColor="text1"/>
          <w:sz w:val="22"/>
          <w:szCs w:val="22"/>
          <w:lang w:val="en-AU"/>
        </w:rPr>
      </w:pPr>
      <w:r w:rsidRPr="00224F89">
        <w:rPr>
          <w:rFonts w:cs="Arial"/>
          <w:color w:val="000000" w:themeColor="text1"/>
          <w:sz w:val="22"/>
          <w:szCs w:val="22"/>
          <w:lang w:val="en-AU"/>
        </w:rPr>
        <w:t>The</w:t>
      </w:r>
      <w:r w:rsidR="00232882" w:rsidRPr="00224F89">
        <w:rPr>
          <w:rFonts w:cs="Arial"/>
          <w:color w:val="000000" w:themeColor="text1"/>
          <w:sz w:val="22"/>
          <w:szCs w:val="22"/>
          <w:lang w:val="en-AU"/>
        </w:rPr>
        <w:t xml:space="preserve"> Ramsar name and logo </w:t>
      </w:r>
      <w:r w:rsidR="00E509CE" w:rsidRPr="00224F89">
        <w:rPr>
          <w:rFonts w:cs="Arial"/>
          <w:color w:val="000000" w:themeColor="text1"/>
          <w:sz w:val="22"/>
          <w:szCs w:val="22"/>
          <w:lang w:val="en-AU"/>
        </w:rPr>
        <w:t xml:space="preserve">is </w:t>
      </w:r>
      <w:r w:rsidR="006F05C4" w:rsidRPr="00224F89">
        <w:rPr>
          <w:rFonts w:cs="Arial"/>
          <w:color w:val="000000" w:themeColor="text1"/>
          <w:sz w:val="22"/>
          <w:szCs w:val="22"/>
          <w:lang w:val="en-AU"/>
        </w:rPr>
        <w:t xml:space="preserve">protected under Article </w:t>
      </w:r>
      <w:r w:rsidR="006F05C4" w:rsidRPr="00CC210F">
        <w:rPr>
          <w:rFonts w:cs="Arial"/>
          <w:color w:val="000000" w:themeColor="text1"/>
          <w:sz w:val="22"/>
          <w:szCs w:val="22"/>
          <w:lang w:val="en-AU"/>
        </w:rPr>
        <w:t>6</w:t>
      </w:r>
      <w:r w:rsidR="00A12216" w:rsidRPr="00CC210F">
        <w:rPr>
          <w:rFonts w:cs="Arial"/>
          <w:color w:val="000000" w:themeColor="text1"/>
          <w:sz w:val="22"/>
          <w:szCs w:val="22"/>
          <w:lang w:val="en-AU"/>
        </w:rPr>
        <w:t>ter</w:t>
      </w:r>
      <w:r w:rsidR="00A12216" w:rsidRPr="00224F89">
        <w:rPr>
          <w:rFonts w:cs="Arial"/>
          <w:color w:val="000000" w:themeColor="text1"/>
          <w:sz w:val="22"/>
          <w:szCs w:val="22"/>
          <w:lang w:val="en-AU"/>
        </w:rPr>
        <w:t xml:space="preserve"> of the Paris Convention for the P</w:t>
      </w:r>
      <w:r w:rsidR="00232882" w:rsidRPr="00224F89">
        <w:rPr>
          <w:rFonts w:cs="Arial"/>
          <w:color w:val="000000" w:themeColor="text1"/>
          <w:sz w:val="22"/>
          <w:szCs w:val="22"/>
          <w:lang w:val="en-AU"/>
        </w:rPr>
        <w:t>rotection of Industrial Property</w:t>
      </w:r>
      <w:r w:rsidRPr="00224F89">
        <w:rPr>
          <w:rFonts w:cs="Arial"/>
          <w:color w:val="000000" w:themeColor="text1"/>
          <w:sz w:val="22"/>
          <w:szCs w:val="22"/>
          <w:lang w:val="en-AU"/>
        </w:rPr>
        <w:t>.</w:t>
      </w:r>
      <w:r w:rsidR="00A12216" w:rsidRPr="00224F89">
        <w:rPr>
          <w:rStyle w:val="FootnoteReference"/>
          <w:rFonts w:cs="Arial"/>
          <w:color w:val="000000" w:themeColor="text1"/>
          <w:sz w:val="22"/>
          <w:szCs w:val="22"/>
          <w:lang w:val="en-AU"/>
        </w:rPr>
        <w:footnoteReference w:id="53"/>
      </w:r>
      <w:r w:rsidRPr="00224F89">
        <w:rPr>
          <w:rFonts w:cs="Arial"/>
          <w:color w:val="000000" w:themeColor="text1"/>
          <w:sz w:val="22"/>
          <w:szCs w:val="22"/>
          <w:lang w:val="en-AU"/>
        </w:rPr>
        <w:t xml:space="preserve"> Further, </w:t>
      </w:r>
      <w:r w:rsidR="00232882" w:rsidRPr="00224F89">
        <w:rPr>
          <w:rFonts w:cs="Arial"/>
          <w:color w:val="000000" w:themeColor="text1"/>
          <w:sz w:val="22"/>
          <w:szCs w:val="22"/>
          <w:lang w:val="en-AU"/>
        </w:rPr>
        <w:t>Resolution XIII.9 explicitly states that an RR</w:t>
      </w:r>
      <w:r w:rsidR="001C0F5D">
        <w:rPr>
          <w:rFonts w:cs="Arial"/>
          <w:color w:val="000000" w:themeColor="text1"/>
          <w:sz w:val="22"/>
          <w:szCs w:val="22"/>
          <w:lang w:val="en-AU"/>
        </w:rPr>
        <w:t>I</w:t>
      </w:r>
      <w:r w:rsidR="00232882" w:rsidRPr="00224F89">
        <w:rPr>
          <w:rFonts w:cs="Arial"/>
          <w:color w:val="000000" w:themeColor="text1"/>
          <w:sz w:val="22"/>
          <w:szCs w:val="22"/>
          <w:lang w:val="en-AU"/>
        </w:rPr>
        <w:t xml:space="preserve"> may only use its</w:t>
      </w:r>
      <w:r w:rsidRPr="00224F89">
        <w:rPr>
          <w:rFonts w:cs="Arial"/>
          <w:color w:val="000000" w:themeColor="text1"/>
          <w:sz w:val="22"/>
          <w:szCs w:val="22"/>
          <w:lang w:val="en-AU"/>
        </w:rPr>
        <w:t xml:space="preserve"> own logo (this being introduced as one the 7 Principles).</w:t>
      </w:r>
      <w:r w:rsidR="00232882" w:rsidRPr="00224F89">
        <w:rPr>
          <w:rFonts w:cs="Arial"/>
          <w:color w:val="000000" w:themeColor="text1"/>
          <w:sz w:val="22"/>
          <w:szCs w:val="22"/>
          <w:lang w:val="en-AU"/>
        </w:rPr>
        <w:t xml:space="preserve"> </w:t>
      </w:r>
      <w:r w:rsidRPr="00224F89">
        <w:rPr>
          <w:rFonts w:cs="Arial"/>
          <w:color w:val="000000" w:themeColor="text1"/>
          <w:sz w:val="22"/>
          <w:szCs w:val="22"/>
          <w:lang w:val="en-AU"/>
        </w:rPr>
        <w:t xml:space="preserve">However, </w:t>
      </w:r>
      <w:r w:rsidR="0015002A">
        <w:rPr>
          <w:rFonts w:cs="Arial"/>
          <w:color w:val="000000" w:themeColor="text1"/>
          <w:sz w:val="22"/>
          <w:szCs w:val="22"/>
          <w:lang w:val="en-AU"/>
        </w:rPr>
        <w:t>if the Ramsar logo</w:t>
      </w:r>
      <w:r w:rsidR="00232882" w:rsidRPr="00224F89">
        <w:rPr>
          <w:rFonts w:cs="Arial"/>
          <w:color w:val="000000" w:themeColor="text1"/>
          <w:sz w:val="22"/>
          <w:szCs w:val="22"/>
          <w:lang w:val="en-AU"/>
        </w:rPr>
        <w:t xml:space="preserve"> were to be used</w:t>
      </w:r>
      <w:r w:rsidR="00A12216" w:rsidRPr="00224F89">
        <w:rPr>
          <w:rFonts w:cs="Arial"/>
          <w:color w:val="000000" w:themeColor="text1"/>
          <w:sz w:val="22"/>
          <w:szCs w:val="22"/>
          <w:lang w:val="en-AU"/>
        </w:rPr>
        <w:t xml:space="preserve"> </w:t>
      </w:r>
      <w:r w:rsidR="0015002A">
        <w:rPr>
          <w:rFonts w:cs="Arial"/>
          <w:color w:val="000000" w:themeColor="text1"/>
          <w:sz w:val="22"/>
          <w:szCs w:val="22"/>
          <w:lang w:val="en-AU"/>
        </w:rPr>
        <w:t xml:space="preserve">unlawfully </w:t>
      </w:r>
      <w:r w:rsidR="00232882" w:rsidRPr="00224F89">
        <w:rPr>
          <w:rFonts w:cs="Arial"/>
          <w:color w:val="000000" w:themeColor="text1"/>
          <w:sz w:val="22"/>
          <w:szCs w:val="22"/>
          <w:lang w:val="en-AU"/>
        </w:rPr>
        <w:t xml:space="preserve">by a RRI </w:t>
      </w:r>
      <w:r w:rsidRPr="00224F89">
        <w:rPr>
          <w:rFonts w:cs="Arial"/>
          <w:color w:val="000000" w:themeColor="text1"/>
          <w:sz w:val="22"/>
          <w:szCs w:val="22"/>
          <w:lang w:val="en-AU"/>
        </w:rPr>
        <w:t xml:space="preserve">with legal personality, </w:t>
      </w:r>
      <w:r w:rsidR="00A12216" w:rsidRPr="00224F89">
        <w:rPr>
          <w:rFonts w:cs="Arial"/>
          <w:color w:val="000000" w:themeColor="text1"/>
          <w:sz w:val="22"/>
          <w:szCs w:val="22"/>
          <w:lang w:val="en-AU"/>
        </w:rPr>
        <w:t>the Ramsar Secretariat (</w:t>
      </w:r>
      <w:r w:rsidR="00403970">
        <w:rPr>
          <w:rFonts w:cs="Arial"/>
          <w:color w:val="000000" w:themeColor="text1"/>
          <w:sz w:val="22"/>
          <w:szCs w:val="22"/>
          <w:lang w:val="en-AU"/>
        </w:rPr>
        <w:t>or the IUCN on its behalf) may</w:t>
      </w:r>
      <w:r w:rsidR="00A12216" w:rsidRPr="00224F89">
        <w:rPr>
          <w:rFonts w:cs="Arial"/>
          <w:color w:val="000000" w:themeColor="text1"/>
          <w:sz w:val="22"/>
          <w:szCs w:val="22"/>
          <w:lang w:val="en-AU"/>
        </w:rPr>
        <w:t xml:space="preserve"> be required to take legal action</w:t>
      </w:r>
      <w:r w:rsidR="00187EA5" w:rsidRPr="00224F89">
        <w:rPr>
          <w:rFonts w:cs="Arial"/>
          <w:color w:val="000000" w:themeColor="text1"/>
          <w:sz w:val="22"/>
          <w:szCs w:val="22"/>
          <w:lang w:val="en-AU"/>
        </w:rPr>
        <w:t xml:space="preserve">, or to request that the </w:t>
      </w:r>
      <w:r w:rsidR="0019508D" w:rsidRPr="00224F89">
        <w:rPr>
          <w:rFonts w:cs="Arial"/>
          <w:color w:val="000000" w:themeColor="text1"/>
          <w:sz w:val="22"/>
          <w:szCs w:val="22"/>
          <w:lang w:val="en-AU"/>
        </w:rPr>
        <w:t xml:space="preserve">relevant </w:t>
      </w:r>
      <w:r w:rsidR="00187EA5" w:rsidRPr="00224F89">
        <w:rPr>
          <w:rFonts w:cs="Arial"/>
          <w:color w:val="000000" w:themeColor="text1"/>
          <w:sz w:val="22"/>
          <w:szCs w:val="22"/>
          <w:lang w:val="en-AU"/>
        </w:rPr>
        <w:t xml:space="preserve">host nation take </w:t>
      </w:r>
      <w:r w:rsidR="00A82EFF" w:rsidRPr="00224F89">
        <w:rPr>
          <w:rFonts w:cs="Arial"/>
          <w:color w:val="000000" w:themeColor="text1"/>
          <w:sz w:val="22"/>
          <w:szCs w:val="22"/>
          <w:lang w:val="en-AU"/>
        </w:rPr>
        <w:t>action on its behalf</w:t>
      </w:r>
      <w:r w:rsidR="00C54165" w:rsidRPr="00224F89">
        <w:rPr>
          <w:rFonts w:cs="Arial"/>
          <w:color w:val="000000" w:themeColor="text1"/>
          <w:sz w:val="22"/>
          <w:szCs w:val="22"/>
          <w:lang w:val="en-AU"/>
        </w:rPr>
        <w:t xml:space="preserve">. </w:t>
      </w:r>
      <w:r w:rsidR="00B22768" w:rsidRPr="00224F89">
        <w:rPr>
          <w:rFonts w:cs="Arial"/>
          <w:color w:val="000000" w:themeColor="text1"/>
          <w:sz w:val="22"/>
          <w:szCs w:val="22"/>
          <w:lang w:val="en-AU"/>
        </w:rPr>
        <w:t>While this would be an undesirable outcome, i</w:t>
      </w:r>
      <w:r w:rsidR="0019508D" w:rsidRPr="00224F89">
        <w:rPr>
          <w:rFonts w:cs="Arial"/>
          <w:color w:val="000000" w:themeColor="text1"/>
          <w:sz w:val="22"/>
          <w:szCs w:val="22"/>
          <w:lang w:val="en-AU"/>
        </w:rPr>
        <w:t xml:space="preserve">t is important to note that </w:t>
      </w:r>
      <w:r w:rsidR="00B22768" w:rsidRPr="00224F89">
        <w:rPr>
          <w:rFonts w:cs="Arial"/>
          <w:color w:val="000000" w:themeColor="text1"/>
          <w:sz w:val="22"/>
          <w:szCs w:val="22"/>
          <w:lang w:val="en-AU"/>
        </w:rPr>
        <w:t>it is</w:t>
      </w:r>
      <w:r w:rsidR="0019508D" w:rsidRPr="00224F89">
        <w:rPr>
          <w:rFonts w:cs="Arial"/>
          <w:color w:val="000000" w:themeColor="text1"/>
          <w:sz w:val="22"/>
          <w:szCs w:val="22"/>
          <w:lang w:val="en-AU"/>
        </w:rPr>
        <w:t xml:space="preserve"> a </w:t>
      </w:r>
      <w:r w:rsidR="00B22768" w:rsidRPr="00224F89">
        <w:rPr>
          <w:rFonts w:cs="Arial"/>
          <w:color w:val="000000" w:themeColor="text1"/>
          <w:sz w:val="22"/>
          <w:szCs w:val="22"/>
          <w:lang w:val="en-AU"/>
        </w:rPr>
        <w:t>worst-case</w:t>
      </w:r>
      <w:r w:rsidR="0019508D" w:rsidRPr="00224F89">
        <w:rPr>
          <w:rFonts w:cs="Arial"/>
          <w:color w:val="000000" w:themeColor="text1"/>
          <w:sz w:val="22"/>
          <w:szCs w:val="22"/>
          <w:lang w:val="en-AU"/>
        </w:rPr>
        <w:t xml:space="preserve"> scenario</w:t>
      </w:r>
      <w:r w:rsidR="00B22768" w:rsidRPr="00224F89">
        <w:rPr>
          <w:rFonts w:cs="Arial"/>
          <w:color w:val="000000" w:themeColor="text1"/>
          <w:sz w:val="22"/>
          <w:szCs w:val="22"/>
          <w:lang w:val="en-AU"/>
        </w:rPr>
        <w:t xml:space="preserve">. </w:t>
      </w:r>
    </w:p>
    <w:p w14:paraId="536071AC" w14:textId="77777777" w:rsidR="006331C2" w:rsidRPr="007F1C1D" w:rsidRDefault="006331C2" w:rsidP="006331C2">
      <w:pPr>
        <w:rPr>
          <w:rFonts w:cs="Arial"/>
          <w:b/>
          <w:sz w:val="22"/>
          <w:szCs w:val="22"/>
          <w:lang w:val="en-AU"/>
        </w:rPr>
      </w:pPr>
    </w:p>
    <w:p w14:paraId="6390F2DD" w14:textId="33383E66" w:rsidR="00B22768" w:rsidRPr="00917BB1" w:rsidRDefault="006331C2" w:rsidP="007D155A">
      <w:pPr>
        <w:pStyle w:val="ListParagraph"/>
        <w:numPr>
          <w:ilvl w:val="0"/>
          <w:numId w:val="31"/>
        </w:numPr>
        <w:rPr>
          <w:rFonts w:cs="Arial"/>
          <w:b/>
          <w:sz w:val="22"/>
          <w:szCs w:val="22"/>
          <w:lang w:val="en-AU"/>
        </w:rPr>
      </w:pPr>
      <w:r w:rsidRPr="007F1C1D">
        <w:rPr>
          <w:rFonts w:cs="Arial"/>
          <w:sz w:val="22"/>
          <w:szCs w:val="22"/>
          <w:lang w:val="en-AU"/>
        </w:rPr>
        <w:t>Similarly, a RRI that has failed to comply with the Operational Guidelines and which has not been endorsed as operating within the framework of the Convention would nonetheless be able to maintain its membership of an</w:t>
      </w:r>
      <w:r w:rsidR="005D1B42" w:rsidRPr="007F1C1D">
        <w:rPr>
          <w:rFonts w:cs="Arial"/>
          <w:sz w:val="22"/>
          <w:szCs w:val="22"/>
          <w:lang w:val="en-AU"/>
        </w:rPr>
        <w:t xml:space="preserve"> IGO or</w:t>
      </w:r>
      <w:r w:rsidRPr="007F1C1D">
        <w:rPr>
          <w:rFonts w:cs="Arial"/>
          <w:sz w:val="22"/>
          <w:szCs w:val="22"/>
          <w:lang w:val="en-AU"/>
        </w:rPr>
        <w:t xml:space="preserve"> </w:t>
      </w:r>
      <w:r w:rsidR="00352C28">
        <w:rPr>
          <w:rFonts w:cs="Arial"/>
          <w:sz w:val="22"/>
          <w:szCs w:val="22"/>
          <w:lang w:val="en-AU"/>
        </w:rPr>
        <w:t>i</w:t>
      </w:r>
      <w:r w:rsidR="005D1B42" w:rsidRPr="007F1C1D">
        <w:rPr>
          <w:rFonts w:cs="Arial"/>
          <w:sz w:val="22"/>
          <w:szCs w:val="22"/>
          <w:lang w:val="en-AU"/>
        </w:rPr>
        <w:t>nternational NGO</w:t>
      </w:r>
      <w:r w:rsidRPr="007F1C1D">
        <w:rPr>
          <w:rFonts w:cs="Arial"/>
          <w:sz w:val="22"/>
          <w:szCs w:val="22"/>
          <w:lang w:val="en-AU"/>
        </w:rPr>
        <w:t xml:space="preserve"> (barring any agreement between the</w:t>
      </w:r>
      <w:r w:rsidR="005D1B42" w:rsidRPr="007F1C1D">
        <w:rPr>
          <w:rFonts w:cs="Arial"/>
          <w:sz w:val="22"/>
          <w:szCs w:val="22"/>
          <w:lang w:val="en-AU"/>
        </w:rPr>
        <w:t xml:space="preserve"> IGO or International NGO</w:t>
      </w:r>
      <w:r w:rsidRPr="007F1C1D">
        <w:rPr>
          <w:rFonts w:cs="Arial"/>
          <w:sz w:val="22"/>
          <w:szCs w:val="22"/>
          <w:lang w:val="en-AU"/>
        </w:rPr>
        <w:t xml:space="preserve"> and RRI to the contrary). While this may not pose any specific legal threat to the Convention, the desirability or otherwise of such a scenario is ultimately to be determined by the Contracting Parties.</w:t>
      </w:r>
      <w:r w:rsidR="00DE3969">
        <w:rPr>
          <w:rFonts w:cs="Arial"/>
          <w:sz w:val="22"/>
          <w:szCs w:val="22"/>
          <w:lang w:val="en-AU"/>
        </w:rPr>
        <w:t xml:space="preserve"> </w:t>
      </w:r>
      <w:r w:rsidR="00352C28">
        <w:rPr>
          <w:rFonts w:cs="Arial"/>
          <w:sz w:val="22"/>
          <w:szCs w:val="22"/>
          <w:lang w:val="en-AU"/>
        </w:rPr>
        <w:t>Specifically, the Contracting Parties may wish to consider possible reputational risks to the Convention.</w:t>
      </w:r>
    </w:p>
    <w:p w14:paraId="128FDAD3" w14:textId="77777777" w:rsidR="00917BB1" w:rsidRPr="00917BB1" w:rsidRDefault="00917BB1" w:rsidP="00917BB1">
      <w:pPr>
        <w:rPr>
          <w:rFonts w:cs="Arial"/>
          <w:b/>
          <w:sz w:val="22"/>
          <w:szCs w:val="22"/>
          <w:lang w:val="en-AU"/>
        </w:rPr>
      </w:pPr>
    </w:p>
    <w:p w14:paraId="197024C5" w14:textId="3AB3F48D" w:rsidR="00B76229" w:rsidRPr="00CC210F" w:rsidRDefault="006E3665" w:rsidP="007D155A">
      <w:pPr>
        <w:pStyle w:val="ListParagraph"/>
        <w:numPr>
          <w:ilvl w:val="0"/>
          <w:numId w:val="31"/>
        </w:numPr>
        <w:rPr>
          <w:rFonts w:cs="Arial"/>
          <w:b/>
          <w:sz w:val="22"/>
          <w:szCs w:val="22"/>
          <w:lang w:val="en-AU"/>
        </w:rPr>
      </w:pPr>
      <w:r w:rsidRPr="007F1C1D">
        <w:rPr>
          <w:rFonts w:cs="Arial"/>
          <w:sz w:val="22"/>
          <w:szCs w:val="22"/>
          <w:lang w:val="en-AU"/>
        </w:rPr>
        <w:t xml:space="preserve">It is also important to note that </w:t>
      </w:r>
      <w:r w:rsidR="0077200B">
        <w:rPr>
          <w:rFonts w:cs="Arial"/>
          <w:sz w:val="22"/>
          <w:szCs w:val="22"/>
          <w:lang w:val="en-AU"/>
        </w:rPr>
        <w:t>a RRI with a</w:t>
      </w:r>
      <w:r w:rsidR="0077200B" w:rsidRPr="007F1C1D">
        <w:rPr>
          <w:rFonts w:cs="Arial"/>
          <w:sz w:val="22"/>
          <w:szCs w:val="22"/>
          <w:lang w:val="en-AU"/>
        </w:rPr>
        <w:t xml:space="preserve"> </w:t>
      </w:r>
      <w:r w:rsidRPr="007F1C1D">
        <w:rPr>
          <w:rFonts w:cs="Arial"/>
          <w:sz w:val="22"/>
          <w:szCs w:val="22"/>
          <w:lang w:val="en-AU"/>
        </w:rPr>
        <w:t>formal legal structure and legal personali</w:t>
      </w:r>
      <w:r w:rsidR="00D46F4D">
        <w:rPr>
          <w:rFonts w:cs="Arial"/>
          <w:sz w:val="22"/>
          <w:szCs w:val="22"/>
          <w:lang w:val="en-AU"/>
        </w:rPr>
        <w:t>ty</w:t>
      </w:r>
      <w:r w:rsidRPr="007F1C1D">
        <w:rPr>
          <w:rFonts w:cs="Arial"/>
          <w:sz w:val="22"/>
          <w:szCs w:val="22"/>
          <w:lang w:val="en-AU"/>
        </w:rPr>
        <w:t xml:space="preserve"> </w:t>
      </w:r>
      <w:r w:rsidR="00D46F4D">
        <w:rPr>
          <w:rFonts w:cs="Arial"/>
          <w:sz w:val="22"/>
          <w:szCs w:val="22"/>
          <w:lang w:val="en-AU"/>
        </w:rPr>
        <w:t xml:space="preserve">can sue and be sued. This </w:t>
      </w:r>
      <w:r w:rsidRPr="007F1C1D">
        <w:rPr>
          <w:rFonts w:cs="Arial"/>
          <w:sz w:val="22"/>
          <w:szCs w:val="22"/>
          <w:lang w:val="en-AU"/>
        </w:rPr>
        <w:t>could</w:t>
      </w:r>
      <w:r w:rsidRPr="006549FF">
        <w:rPr>
          <w:rFonts w:cs="Arial"/>
          <w:i/>
          <w:sz w:val="22"/>
          <w:szCs w:val="22"/>
          <w:lang w:val="en-AU"/>
        </w:rPr>
        <w:t xml:space="preserve"> generally</w:t>
      </w:r>
      <w:r w:rsidR="00A05209" w:rsidRPr="006549FF">
        <w:rPr>
          <w:rStyle w:val="FootnoteReference"/>
          <w:rFonts w:cs="Arial"/>
          <w:sz w:val="22"/>
          <w:szCs w:val="22"/>
          <w:lang w:val="en-AU"/>
        </w:rPr>
        <w:footnoteReference w:id="54"/>
      </w:r>
      <w:r w:rsidRPr="007F1C1D">
        <w:rPr>
          <w:rFonts w:cs="Arial"/>
          <w:sz w:val="22"/>
          <w:szCs w:val="22"/>
          <w:lang w:val="en-AU"/>
        </w:rPr>
        <w:t xml:space="preserve"> be expected to protect </w:t>
      </w:r>
      <w:r w:rsidR="00D46F4D">
        <w:rPr>
          <w:rFonts w:cs="Arial"/>
          <w:sz w:val="22"/>
          <w:szCs w:val="22"/>
          <w:lang w:val="en-AU"/>
        </w:rPr>
        <w:t>a</w:t>
      </w:r>
      <w:r w:rsidRPr="007F1C1D">
        <w:rPr>
          <w:rFonts w:cs="Arial"/>
          <w:sz w:val="22"/>
          <w:szCs w:val="22"/>
          <w:lang w:val="en-AU"/>
        </w:rPr>
        <w:t xml:space="preserve"> host country </w:t>
      </w:r>
      <w:r w:rsidR="00D46F4D">
        <w:rPr>
          <w:rFonts w:cs="Arial"/>
          <w:sz w:val="22"/>
          <w:szCs w:val="22"/>
          <w:lang w:val="en-AU"/>
        </w:rPr>
        <w:t>or</w:t>
      </w:r>
      <w:r w:rsidR="00C16340" w:rsidRPr="007F1C1D">
        <w:rPr>
          <w:rFonts w:cs="Arial"/>
          <w:sz w:val="22"/>
          <w:szCs w:val="22"/>
          <w:lang w:val="en-AU"/>
        </w:rPr>
        <w:t xml:space="preserve"> </w:t>
      </w:r>
      <w:r w:rsidR="00D46F4D">
        <w:rPr>
          <w:rFonts w:cs="Arial"/>
          <w:sz w:val="22"/>
          <w:szCs w:val="22"/>
          <w:lang w:val="en-AU"/>
        </w:rPr>
        <w:t xml:space="preserve">individual </w:t>
      </w:r>
      <w:r w:rsidR="00C16340" w:rsidRPr="007F1C1D">
        <w:rPr>
          <w:rFonts w:cs="Arial"/>
          <w:sz w:val="22"/>
          <w:szCs w:val="22"/>
          <w:lang w:val="en-AU"/>
        </w:rPr>
        <w:t>members of the RRI</w:t>
      </w:r>
      <w:r w:rsidRPr="007F1C1D">
        <w:rPr>
          <w:rFonts w:cs="Arial"/>
          <w:sz w:val="22"/>
          <w:szCs w:val="22"/>
          <w:lang w:val="en-AU"/>
        </w:rPr>
        <w:t xml:space="preserve"> from</w:t>
      </w:r>
      <w:r w:rsidR="00C16340" w:rsidRPr="007F1C1D">
        <w:rPr>
          <w:rFonts w:cs="Arial"/>
          <w:sz w:val="22"/>
          <w:szCs w:val="22"/>
          <w:lang w:val="en-AU"/>
        </w:rPr>
        <w:t xml:space="preserve"> incurring liability </w:t>
      </w:r>
      <w:r w:rsidR="001C3AA2" w:rsidRPr="007F1C1D">
        <w:rPr>
          <w:rFonts w:cs="Arial"/>
          <w:sz w:val="22"/>
          <w:szCs w:val="22"/>
          <w:lang w:val="en-AU"/>
        </w:rPr>
        <w:t>as a result of the RRI breaching a contract or acting negligently</w:t>
      </w:r>
      <w:r w:rsidR="00C16340" w:rsidRPr="007F1C1D">
        <w:rPr>
          <w:rFonts w:cs="Arial"/>
          <w:sz w:val="22"/>
          <w:szCs w:val="22"/>
          <w:lang w:val="en-AU"/>
        </w:rPr>
        <w:t xml:space="preserve">. </w:t>
      </w:r>
      <w:r w:rsidR="006549FF">
        <w:rPr>
          <w:rFonts w:cs="Arial"/>
          <w:sz w:val="22"/>
          <w:szCs w:val="22"/>
          <w:lang w:val="en-AU"/>
        </w:rPr>
        <w:t xml:space="preserve">This is because an entity with legal personality can be </w:t>
      </w:r>
      <w:r w:rsidR="00D46F4D">
        <w:rPr>
          <w:rFonts w:cs="Arial"/>
          <w:sz w:val="22"/>
          <w:szCs w:val="22"/>
          <w:lang w:val="en-AU"/>
        </w:rPr>
        <w:t>held legally liable</w:t>
      </w:r>
      <w:r w:rsidR="006549FF">
        <w:rPr>
          <w:rFonts w:cs="Arial"/>
          <w:sz w:val="22"/>
          <w:szCs w:val="22"/>
          <w:lang w:val="en-AU"/>
        </w:rPr>
        <w:t xml:space="preserve">, which in theory removes the need for any wronged party to sue a host country (or any other related entity with legal personality). </w:t>
      </w:r>
      <w:r w:rsidR="00936303">
        <w:rPr>
          <w:rFonts w:cs="Arial"/>
          <w:sz w:val="22"/>
          <w:szCs w:val="22"/>
          <w:lang w:val="en-AU"/>
        </w:rPr>
        <w:t xml:space="preserve">Conversely, a RRI that does not have any legal personality that engages in unlawful activity cannot be sued. Thus – and as a general rule – liability may fall to a third party that sits behind the RRI (a host organisation or government, for example). </w:t>
      </w:r>
      <w:r w:rsidR="00BD6CC2">
        <w:rPr>
          <w:rFonts w:cs="Arial"/>
          <w:sz w:val="22"/>
          <w:szCs w:val="22"/>
          <w:lang w:val="en-AU"/>
        </w:rPr>
        <w:t xml:space="preserve">Note that this is general advice and not a substitute for more specific advice about a particular RRI and issues surrounding liability. </w:t>
      </w:r>
    </w:p>
    <w:p w14:paraId="5CF456BF" w14:textId="77777777" w:rsidR="00B76229" w:rsidRPr="00CC210F" w:rsidRDefault="00B76229" w:rsidP="00CC210F">
      <w:pPr>
        <w:rPr>
          <w:rFonts w:cs="Arial"/>
          <w:sz w:val="22"/>
          <w:szCs w:val="22"/>
          <w:lang w:val="en-AU"/>
        </w:rPr>
      </w:pPr>
    </w:p>
    <w:p w14:paraId="28989C08" w14:textId="79E42C30" w:rsidR="00D67421" w:rsidRPr="003C1F28" w:rsidRDefault="009233C9" w:rsidP="007D155A">
      <w:pPr>
        <w:pStyle w:val="ListParagraph"/>
        <w:numPr>
          <w:ilvl w:val="0"/>
          <w:numId w:val="31"/>
        </w:numPr>
        <w:rPr>
          <w:rFonts w:cs="Arial"/>
          <w:b/>
          <w:sz w:val="22"/>
          <w:szCs w:val="22"/>
          <w:lang w:val="en-AU"/>
        </w:rPr>
      </w:pPr>
      <w:r>
        <w:rPr>
          <w:rFonts w:cs="Arial"/>
          <w:sz w:val="22"/>
          <w:szCs w:val="22"/>
          <w:lang w:val="en-AU"/>
        </w:rPr>
        <w:t>As th</w:t>
      </w:r>
      <w:r w:rsidR="00BB09C3">
        <w:rPr>
          <w:rFonts w:cs="Arial"/>
          <w:sz w:val="22"/>
          <w:szCs w:val="22"/>
          <w:lang w:val="en-AU"/>
        </w:rPr>
        <w:t>ere are 19 RRIs, each with their</w:t>
      </w:r>
      <w:r>
        <w:rPr>
          <w:rFonts w:cs="Arial"/>
          <w:sz w:val="22"/>
          <w:szCs w:val="22"/>
          <w:lang w:val="en-AU"/>
        </w:rPr>
        <w:t xml:space="preserve"> own structure and relationship with the Secretariat, it would be worth </w:t>
      </w:r>
      <w:r w:rsidR="00694604">
        <w:rPr>
          <w:rFonts w:cs="Arial"/>
          <w:sz w:val="22"/>
          <w:szCs w:val="22"/>
          <w:lang w:val="en-AU"/>
        </w:rPr>
        <w:t>assessing each of them</w:t>
      </w:r>
      <w:r>
        <w:rPr>
          <w:rFonts w:cs="Arial"/>
          <w:sz w:val="22"/>
          <w:szCs w:val="22"/>
          <w:lang w:val="en-AU"/>
        </w:rPr>
        <w:t xml:space="preserve"> individually to determine</w:t>
      </w:r>
      <w:r w:rsidR="00033E67">
        <w:rPr>
          <w:rFonts w:cs="Arial"/>
          <w:sz w:val="22"/>
          <w:szCs w:val="22"/>
          <w:lang w:val="en-AU"/>
        </w:rPr>
        <w:t xml:space="preserve"> if they could subject the Secretariat and its staff to any form of legal liability</w:t>
      </w:r>
      <w:r>
        <w:rPr>
          <w:rFonts w:cs="Arial"/>
          <w:sz w:val="22"/>
          <w:szCs w:val="22"/>
          <w:lang w:val="en-AU"/>
        </w:rPr>
        <w:t xml:space="preserve">. </w:t>
      </w:r>
      <w:r w:rsidR="00BB09C3">
        <w:rPr>
          <w:rFonts w:cs="Arial"/>
          <w:sz w:val="22"/>
          <w:szCs w:val="22"/>
          <w:lang w:val="en-AU"/>
        </w:rPr>
        <w:t>In mak</w:t>
      </w:r>
      <w:r w:rsidR="00CC5896">
        <w:rPr>
          <w:rFonts w:cs="Arial"/>
          <w:sz w:val="22"/>
          <w:szCs w:val="22"/>
          <w:lang w:val="en-AU"/>
        </w:rPr>
        <w:t>ing this recommendation, I</w:t>
      </w:r>
      <w:r w:rsidR="00B76229">
        <w:rPr>
          <w:rFonts w:cs="Arial"/>
          <w:sz w:val="22"/>
          <w:szCs w:val="22"/>
          <w:lang w:val="en-AU"/>
        </w:rPr>
        <w:t xml:space="preserve"> note that </w:t>
      </w:r>
      <w:r w:rsidR="00B76229">
        <w:rPr>
          <w:rFonts w:cs="Arial"/>
          <w:sz w:val="22"/>
          <w:szCs w:val="22"/>
          <w:lang w:val="en-AU"/>
        </w:rPr>
        <w:lastRenderedPageBreak/>
        <w:t xml:space="preserve">the </w:t>
      </w:r>
      <w:r w:rsidR="00F768D4">
        <w:rPr>
          <w:rFonts w:cs="Arial"/>
          <w:sz w:val="22"/>
          <w:szCs w:val="22"/>
          <w:lang w:val="en-AU"/>
        </w:rPr>
        <w:t>Delegation of Authority from the Director-General of the IUCN to the Secretary-General of the Ramsar Convention (</w:t>
      </w:r>
      <w:r w:rsidR="00F768D4" w:rsidRPr="00CC210F">
        <w:rPr>
          <w:rFonts w:cs="Arial"/>
          <w:b/>
          <w:sz w:val="22"/>
          <w:szCs w:val="22"/>
          <w:lang w:val="en-AU"/>
        </w:rPr>
        <w:t>Delegation of Authority</w:t>
      </w:r>
      <w:r w:rsidR="00F768D4">
        <w:rPr>
          <w:rFonts w:cs="Arial"/>
          <w:sz w:val="22"/>
          <w:szCs w:val="22"/>
          <w:lang w:val="en-AU"/>
        </w:rPr>
        <w:t xml:space="preserve">) makes it clear </w:t>
      </w:r>
      <w:r w:rsidR="00AD072B">
        <w:rPr>
          <w:rFonts w:cs="Arial"/>
          <w:sz w:val="22"/>
          <w:szCs w:val="22"/>
          <w:lang w:val="en-AU"/>
        </w:rPr>
        <w:t xml:space="preserve">that the IUCN </w:t>
      </w:r>
      <w:r w:rsidR="005957B0">
        <w:rPr>
          <w:rFonts w:cs="Arial"/>
          <w:sz w:val="22"/>
          <w:szCs w:val="22"/>
          <w:lang w:val="en-AU"/>
        </w:rPr>
        <w:t>‘</w:t>
      </w:r>
      <w:r w:rsidR="00EB2810">
        <w:rPr>
          <w:rFonts w:cs="Arial"/>
          <w:sz w:val="22"/>
          <w:szCs w:val="22"/>
          <w:lang w:val="en-AU"/>
        </w:rPr>
        <w:t xml:space="preserve">retains ultimate legally liability for the actions of the Secretary-General.’ It also notes that the Secretary-General is to ‘ensure that potential risks of legal or financial liability </w:t>
      </w:r>
      <w:r w:rsidR="001C22F0">
        <w:rPr>
          <w:rFonts w:cs="Arial"/>
          <w:sz w:val="22"/>
          <w:szCs w:val="22"/>
          <w:lang w:val="en-AU"/>
        </w:rPr>
        <w:t>are, to the maximum ext</w:t>
      </w:r>
      <w:r w:rsidR="00876E7B">
        <w:rPr>
          <w:rFonts w:cs="Arial"/>
          <w:sz w:val="22"/>
          <w:szCs w:val="22"/>
          <w:lang w:val="en-AU"/>
        </w:rPr>
        <w:t>ent practicable, covered by insurance….’.</w:t>
      </w:r>
      <w:r w:rsidR="00876E7B">
        <w:rPr>
          <w:rStyle w:val="FootnoteReference"/>
          <w:rFonts w:cs="Arial"/>
          <w:sz w:val="22"/>
          <w:szCs w:val="22"/>
          <w:lang w:val="en-AU"/>
        </w:rPr>
        <w:footnoteReference w:id="55"/>
      </w:r>
      <w:r w:rsidR="00033E67">
        <w:rPr>
          <w:rFonts w:cs="Arial"/>
          <w:sz w:val="22"/>
          <w:szCs w:val="22"/>
          <w:lang w:val="en-AU"/>
        </w:rPr>
        <w:t xml:space="preserve"> </w:t>
      </w:r>
      <w:r>
        <w:rPr>
          <w:rFonts w:cs="Arial"/>
          <w:sz w:val="22"/>
          <w:szCs w:val="22"/>
          <w:lang w:val="en-AU"/>
        </w:rPr>
        <w:t xml:space="preserve">It </w:t>
      </w:r>
      <w:r w:rsidR="00F53C7A">
        <w:rPr>
          <w:rFonts w:cs="Arial"/>
          <w:sz w:val="22"/>
          <w:szCs w:val="22"/>
          <w:lang w:val="en-AU"/>
        </w:rPr>
        <w:t>would therefore be prudent to</w:t>
      </w:r>
      <w:r w:rsidR="00033E67">
        <w:rPr>
          <w:rFonts w:cs="Arial"/>
          <w:sz w:val="22"/>
          <w:szCs w:val="22"/>
          <w:lang w:val="en-AU"/>
        </w:rPr>
        <w:t xml:space="preserve"> ensure that current insurance policies are sufficient </w:t>
      </w:r>
      <w:r w:rsidR="004D60CA">
        <w:rPr>
          <w:rFonts w:cs="Arial"/>
          <w:sz w:val="22"/>
          <w:szCs w:val="22"/>
          <w:lang w:val="en-AU"/>
        </w:rPr>
        <w:t xml:space="preserve">to cover any possible legal liability that may arise in connection to one or more RRI. </w:t>
      </w:r>
      <w:r w:rsidR="00694604">
        <w:rPr>
          <w:rFonts w:cs="Arial"/>
          <w:sz w:val="22"/>
          <w:szCs w:val="22"/>
          <w:lang w:val="en-AU"/>
        </w:rPr>
        <w:t>Furthermore, t</w:t>
      </w:r>
      <w:r w:rsidR="00033E67">
        <w:rPr>
          <w:rFonts w:cs="Arial"/>
          <w:sz w:val="22"/>
          <w:szCs w:val="22"/>
          <w:lang w:val="en-AU"/>
        </w:rPr>
        <w:t>hese matters ought to be discussed with the IUCN (and its legal advisor)</w:t>
      </w:r>
      <w:r w:rsidR="004D60CA">
        <w:rPr>
          <w:rFonts w:cs="Arial"/>
          <w:sz w:val="22"/>
          <w:szCs w:val="22"/>
          <w:lang w:val="en-AU"/>
        </w:rPr>
        <w:t>.</w:t>
      </w:r>
    </w:p>
    <w:p w14:paraId="71BFE370" w14:textId="77777777" w:rsidR="00D67421" w:rsidRPr="007F1C1D" w:rsidRDefault="00D67421" w:rsidP="00D67421">
      <w:pPr>
        <w:rPr>
          <w:rFonts w:cs="Arial"/>
          <w:sz w:val="22"/>
          <w:szCs w:val="22"/>
          <w:lang w:val="en-AU"/>
        </w:rPr>
      </w:pPr>
    </w:p>
    <w:p w14:paraId="461C5FE8" w14:textId="017F4A53" w:rsidR="00D67421" w:rsidRPr="007F1C1D" w:rsidRDefault="00C16340" w:rsidP="007D155A">
      <w:pPr>
        <w:pStyle w:val="ListParagraph"/>
        <w:numPr>
          <w:ilvl w:val="0"/>
          <w:numId w:val="31"/>
        </w:numPr>
        <w:rPr>
          <w:rFonts w:cs="Arial"/>
          <w:b/>
          <w:sz w:val="22"/>
          <w:szCs w:val="22"/>
          <w:lang w:val="en-AU"/>
        </w:rPr>
      </w:pPr>
      <w:r w:rsidRPr="007F1C1D">
        <w:rPr>
          <w:rFonts w:cs="Arial"/>
          <w:sz w:val="22"/>
          <w:szCs w:val="22"/>
          <w:lang w:val="en-AU"/>
        </w:rPr>
        <w:t>To reiterate, as I am not an expert in the national and state laws of each Contracting Party, I can only provide general advice about such matters. Additional advice from an appropriately qualitied, domestic lawyer should therefore be sought</w:t>
      </w:r>
      <w:r w:rsidR="002300D0" w:rsidRPr="007F1C1D">
        <w:rPr>
          <w:rFonts w:cs="Arial"/>
          <w:sz w:val="22"/>
          <w:szCs w:val="22"/>
          <w:lang w:val="en-AU"/>
        </w:rPr>
        <w:t xml:space="preserve"> by the relevant Contracting Parties</w:t>
      </w:r>
      <w:r w:rsidRPr="007F1C1D">
        <w:rPr>
          <w:rFonts w:cs="Arial"/>
          <w:sz w:val="22"/>
          <w:szCs w:val="22"/>
          <w:lang w:val="en-AU"/>
        </w:rPr>
        <w:t xml:space="preserve"> if</w:t>
      </w:r>
      <w:r w:rsidR="00D67421" w:rsidRPr="007F1C1D">
        <w:rPr>
          <w:rFonts w:cs="Arial"/>
          <w:sz w:val="22"/>
          <w:szCs w:val="22"/>
          <w:lang w:val="en-AU"/>
        </w:rPr>
        <w:t xml:space="preserve"> steps are taken to grant formal legal status and legal personality </w:t>
      </w:r>
      <w:r w:rsidR="00E614B4" w:rsidRPr="007F1C1D">
        <w:rPr>
          <w:rFonts w:cs="Arial"/>
          <w:sz w:val="22"/>
          <w:szCs w:val="22"/>
          <w:lang w:val="en-AU"/>
        </w:rPr>
        <w:t xml:space="preserve">to a RRI </w:t>
      </w:r>
      <w:r w:rsidR="00395505">
        <w:rPr>
          <w:rFonts w:cs="Arial"/>
          <w:sz w:val="22"/>
          <w:szCs w:val="22"/>
          <w:lang w:val="en-AU"/>
        </w:rPr>
        <w:t xml:space="preserve">or its secretariat </w:t>
      </w:r>
      <w:r w:rsidR="00F15E88" w:rsidRPr="007F1C1D">
        <w:rPr>
          <w:rFonts w:cs="Arial"/>
          <w:sz w:val="22"/>
          <w:szCs w:val="22"/>
          <w:lang w:val="en-AU"/>
        </w:rPr>
        <w:t>under national laws</w:t>
      </w:r>
      <w:r w:rsidR="00E614B4" w:rsidRPr="007F1C1D">
        <w:rPr>
          <w:rFonts w:cs="Arial"/>
          <w:sz w:val="22"/>
          <w:szCs w:val="22"/>
          <w:lang w:val="en-AU"/>
        </w:rPr>
        <w:t xml:space="preserve">. </w:t>
      </w:r>
      <w:r w:rsidR="00B049EB" w:rsidRPr="007F1C1D">
        <w:rPr>
          <w:rFonts w:cs="Arial"/>
          <w:sz w:val="22"/>
          <w:szCs w:val="22"/>
          <w:lang w:val="en-AU"/>
        </w:rPr>
        <w:t xml:space="preserve">This matter is also touched on in the </w:t>
      </w:r>
      <w:r w:rsidR="00BF67F6">
        <w:rPr>
          <w:rFonts w:cs="Arial"/>
          <w:sz w:val="22"/>
          <w:szCs w:val="22"/>
          <w:lang w:val="en-AU"/>
        </w:rPr>
        <w:t>considerations set out</w:t>
      </w:r>
      <w:r w:rsidR="00BF67F6" w:rsidRPr="007F1C1D">
        <w:rPr>
          <w:rFonts w:cs="Arial"/>
          <w:sz w:val="22"/>
          <w:szCs w:val="22"/>
          <w:lang w:val="en-AU"/>
        </w:rPr>
        <w:t xml:space="preserve"> </w:t>
      </w:r>
      <w:r w:rsidR="00B049EB" w:rsidRPr="007F1C1D">
        <w:rPr>
          <w:rFonts w:cs="Arial"/>
          <w:sz w:val="22"/>
          <w:szCs w:val="22"/>
          <w:lang w:val="en-AU"/>
        </w:rPr>
        <w:t xml:space="preserve">in Part 6. </w:t>
      </w:r>
    </w:p>
    <w:p w14:paraId="6B81EBAD" w14:textId="77777777" w:rsidR="00D67421" w:rsidRPr="007F1C1D" w:rsidRDefault="00D67421" w:rsidP="00D67421">
      <w:pPr>
        <w:rPr>
          <w:rFonts w:cs="Arial"/>
          <w:b/>
          <w:sz w:val="22"/>
          <w:szCs w:val="22"/>
          <w:lang w:val="en-AU"/>
        </w:rPr>
      </w:pPr>
    </w:p>
    <w:p w14:paraId="7F3671C9" w14:textId="3FAE1940" w:rsidR="006331C2" w:rsidRPr="007F1C1D" w:rsidRDefault="006331C2" w:rsidP="00D67421">
      <w:pPr>
        <w:rPr>
          <w:rFonts w:cs="Arial"/>
          <w:b/>
          <w:i/>
          <w:sz w:val="22"/>
          <w:szCs w:val="22"/>
          <w:lang w:val="en-AU"/>
        </w:rPr>
      </w:pPr>
      <w:r w:rsidRPr="007F1C1D">
        <w:rPr>
          <w:rFonts w:cs="Arial"/>
          <w:b/>
          <w:i/>
          <w:sz w:val="22"/>
          <w:szCs w:val="22"/>
          <w:lang w:val="en-AU"/>
        </w:rPr>
        <w:t xml:space="preserve">International legal personality </w:t>
      </w:r>
    </w:p>
    <w:p w14:paraId="66B81943" w14:textId="77777777" w:rsidR="006331C2" w:rsidRPr="007F1C1D" w:rsidRDefault="006331C2" w:rsidP="00D67421">
      <w:pPr>
        <w:rPr>
          <w:rFonts w:cs="Arial"/>
          <w:b/>
          <w:sz w:val="22"/>
          <w:szCs w:val="22"/>
          <w:lang w:val="en-AU"/>
        </w:rPr>
      </w:pPr>
    </w:p>
    <w:p w14:paraId="151F440A" w14:textId="65153BE6" w:rsidR="00D67421" w:rsidRDefault="00A878CF" w:rsidP="002300D0">
      <w:pPr>
        <w:pStyle w:val="ListParagraph"/>
        <w:numPr>
          <w:ilvl w:val="0"/>
          <w:numId w:val="31"/>
        </w:numPr>
        <w:rPr>
          <w:rFonts w:cs="Arial"/>
          <w:sz w:val="22"/>
          <w:szCs w:val="22"/>
          <w:lang w:val="en-AU"/>
        </w:rPr>
      </w:pPr>
      <w:r w:rsidRPr="007F1C1D">
        <w:rPr>
          <w:rFonts w:cs="Arial"/>
          <w:sz w:val="22"/>
          <w:szCs w:val="22"/>
          <w:lang w:val="en-AU"/>
        </w:rPr>
        <w:t xml:space="preserve">It </w:t>
      </w:r>
      <w:r w:rsidR="002300D0" w:rsidRPr="007F1C1D">
        <w:rPr>
          <w:rFonts w:cs="Arial"/>
          <w:sz w:val="22"/>
          <w:szCs w:val="22"/>
          <w:lang w:val="en-AU"/>
        </w:rPr>
        <w:t xml:space="preserve">is necessary to briefly consider the implications for the </w:t>
      </w:r>
      <w:r w:rsidR="002323D1" w:rsidRPr="007F1C1D">
        <w:rPr>
          <w:rFonts w:cs="Arial"/>
          <w:sz w:val="22"/>
          <w:szCs w:val="22"/>
          <w:lang w:val="en-AU"/>
        </w:rPr>
        <w:t>Convention of</w:t>
      </w:r>
      <w:r w:rsidR="0048657E" w:rsidRPr="007F1C1D">
        <w:rPr>
          <w:rFonts w:cs="Arial"/>
          <w:sz w:val="22"/>
          <w:szCs w:val="22"/>
          <w:lang w:val="en-AU"/>
        </w:rPr>
        <w:t xml:space="preserve"> a</w:t>
      </w:r>
      <w:r w:rsidR="002323D1" w:rsidRPr="007F1C1D">
        <w:rPr>
          <w:rFonts w:cs="Arial"/>
          <w:sz w:val="22"/>
          <w:szCs w:val="22"/>
          <w:lang w:val="en-AU"/>
        </w:rPr>
        <w:t xml:space="preserve"> RRI becoming</w:t>
      </w:r>
      <w:r w:rsidR="0048657E" w:rsidRPr="007F1C1D">
        <w:rPr>
          <w:rFonts w:cs="Arial"/>
          <w:sz w:val="22"/>
          <w:szCs w:val="22"/>
          <w:lang w:val="en-AU"/>
        </w:rPr>
        <w:t xml:space="preserve"> a legally</w:t>
      </w:r>
      <w:r w:rsidR="002323D1" w:rsidRPr="007F1C1D">
        <w:rPr>
          <w:rFonts w:cs="Arial"/>
          <w:sz w:val="22"/>
          <w:szCs w:val="22"/>
          <w:lang w:val="en-AU"/>
        </w:rPr>
        <w:t xml:space="preserve"> recognised</w:t>
      </w:r>
      <w:r w:rsidR="0048657E" w:rsidRPr="007F1C1D">
        <w:rPr>
          <w:rFonts w:cs="Arial"/>
          <w:sz w:val="22"/>
          <w:szCs w:val="22"/>
          <w:lang w:val="en-AU"/>
        </w:rPr>
        <w:t xml:space="preserve"> </w:t>
      </w:r>
      <w:r w:rsidR="002300D0" w:rsidRPr="007F1C1D">
        <w:rPr>
          <w:rFonts w:cs="Arial"/>
          <w:sz w:val="22"/>
          <w:szCs w:val="22"/>
          <w:lang w:val="en-AU"/>
        </w:rPr>
        <w:t>IGO and subsequently acquiring international legal personality</w:t>
      </w:r>
      <w:r w:rsidR="00617037" w:rsidRPr="007F1C1D">
        <w:rPr>
          <w:rFonts w:cs="Arial"/>
          <w:sz w:val="22"/>
          <w:szCs w:val="22"/>
          <w:lang w:val="en-AU"/>
        </w:rPr>
        <w:t xml:space="preserve"> and being subject to international law</w:t>
      </w:r>
      <w:r w:rsidR="002300D0" w:rsidRPr="007F1C1D">
        <w:rPr>
          <w:rFonts w:cs="Arial"/>
          <w:sz w:val="22"/>
          <w:szCs w:val="22"/>
          <w:lang w:val="en-AU"/>
        </w:rPr>
        <w:t>.</w:t>
      </w:r>
      <w:r w:rsidR="002323D1" w:rsidRPr="007F1C1D">
        <w:rPr>
          <w:rFonts w:cs="Arial"/>
          <w:sz w:val="22"/>
          <w:szCs w:val="22"/>
          <w:lang w:val="en-AU"/>
        </w:rPr>
        <w:t xml:space="preserve"> </w:t>
      </w:r>
      <w:r w:rsidRPr="007F1C1D">
        <w:rPr>
          <w:rFonts w:cs="Arial"/>
          <w:sz w:val="22"/>
          <w:szCs w:val="22"/>
          <w:lang w:val="en-AU"/>
        </w:rPr>
        <w:t>By way of background – and as a general rule – an IGO is formed when a trea</w:t>
      </w:r>
      <w:r w:rsidR="00503FB1" w:rsidRPr="007F1C1D">
        <w:rPr>
          <w:rFonts w:cs="Arial"/>
          <w:sz w:val="22"/>
          <w:szCs w:val="22"/>
          <w:lang w:val="en-AU"/>
        </w:rPr>
        <w:t>ty is entered into between two</w:t>
      </w:r>
      <w:r w:rsidRPr="007F1C1D">
        <w:rPr>
          <w:rFonts w:cs="Arial"/>
          <w:sz w:val="22"/>
          <w:szCs w:val="22"/>
          <w:lang w:val="en-AU"/>
        </w:rPr>
        <w:t xml:space="preserve"> or more nation states</w:t>
      </w:r>
      <w:r w:rsidR="00CD61BF">
        <w:rPr>
          <w:rFonts w:cs="Arial"/>
          <w:sz w:val="22"/>
          <w:szCs w:val="22"/>
          <w:lang w:val="en-AU"/>
        </w:rPr>
        <w:t xml:space="preserve"> and/or other IGOs</w:t>
      </w:r>
      <w:r w:rsidRPr="007F1C1D">
        <w:rPr>
          <w:rFonts w:cs="Arial"/>
          <w:sz w:val="22"/>
          <w:szCs w:val="22"/>
          <w:lang w:val="en-AU"/>
        </w:rPr>
        <w:t>. An IGO may also be eligible in some jurisdictions to obtain formal</w:t>
      </w:r>
      <w:r w:rsidR="00502E81" w:rsidRPr="007F1C1D">
        <w:rPr>
          <w:rFonts w:cs="Arial"/>
          <w:sz w:val="22"/>
          <w:szCs w:val="22"/>
          <w:lang w:val="en-AU"/>
        </w:rPr>
        <w:t>, legal recognition as an IGO</w:t>
      </w:r>
      <w:r w:rsidRPr="007F1C1D">
        <w:rPr>
          <w:rFonts w:cs="Arial"/>
          <w:sz w:val="22"/>
          <w:szCs w:val="22"/>
          <w:lang w:val="en-AU"/>
        </w:rPr>
        <w:t xml:space="preserve"> under national or state laws. As noted above, I have been instructed that this is the case with respect to </w:t>
      </w:r>
      <w:r w:rsidR="00C07139" w:rsidRPr="007F1C1D">
        <w:rPr>
          <w:rFonts w:cs="Arial"/>
          <w:sz w:val="22"/>
          <w:szCs w:val="22"/>
          <w:lang w:val="en-AU"/>
        </w:rPr>
        <w:t xml:space="preserve">CREHO, the RRI located in Panama. </w:t>
      </w:r>
    </w:p>
    <w:p w14:paraId="73FC86BF" w14:textId="77777777" w:rsidR="00207769" w:rsidRPr="00207769" w:rsidRDefault="00207769" w:rsidP="00207769">
      <w:pPr>
        <w:rPr>
          <w:rFonts w:cs="Arial"/>
          <w:sz w:val="22"/>
          <w:szCs w:val="22"/>
          <w:lang w:val="en-AU"/>
        </w:rPr>
      </w:pPr>
    </w:p>
    <w:p w14:paraId="01A10884" w14:textId="780C02E2" w:rsidR="00833F77" w:rsidRPr="00833F77" w:rsidRDefault="008B4926" w:rsidP="00375A8C">
      <w:pPr>
        <w:pStyle w:val="ListParagraph"/>
        <w:numPr>
          <w:ilvl w:val="0"/>
          <w:numId w:val="31"/>
        </w:numPr>
        <w:rPr>
          <w:rFonts w:cs="Arial"/>
          <w:b/>
          <w:sz w:val="22"/>
          <w:szCs w:val="22"/>
          <w:lang w:val="en-AU"/>
        </w:rPr>
      </w:pPr>
      <w:r w:rsidRPr="00CC1787">
        <w:rPr>
          <w:rFonts w:cs="Arial"/>
          <w:sz w:val="22"/>
          <w:szCs w:val="22"/>
          <w:lang w:val="en-AU"/>
        </w:rPr>
        <w:t xml:space="preserve">A RRI that </w:t>
      </w:r>
      <w:r w:rsidR="00ED4A6E" w:rsidRPr="00CC1787">
        <w:rPr>
          <w:rFonts w:cs="Arial"/>
          <w:sz w:val="22"/>
          <w:szCs w:val="22"/>
          <w:lang w:val="en-AU"/>
        </w:rPr>
        <w:t>is legally recognised as</w:t>
      </w:r>
      <w:r w:rsidR="00873E87" w:rsidRPr="00CC1787">
        <w:rPr>
          <w:rFonts w:cs="Arial"/>
          <w:sz w:val="22"/>
          <w:szCs w:val="22"/>
          <w:lang w:val="en-AU"/>
        </w:rPr>
        <w:t xml:space="preserve"> an</w:t>
      </w:r>
      <w:r w:rsidRPr="00CC1787">
        <w:rPr>
          <w:rFonts w:cs="Arial"/>
          <w:sz w:val="22"/>
          <w:szCs w:val="22"/>
          <w:lang w:val="en-AU"/>
        </w:rPr>
        <w:t xml:space="preserve"> IGO may be able to</w:t>
      </w:r>
      <w:r w:rsidR="00ED4A6E" w:rsidRPr="00CC1787">
        <w:rPr>
          <w:rFonts w:cs="Arial"/>
          <w:sz w:val="22"/>
          <w:szCs w:val="22"/>
          <w:lang w:val="en-AU"/>
        </w:rPr>
        <w:t xml:space="preserve">, </w:t>
      </w:r>
      <w:r w:rsidR="00ED4A6E" w:rsidRPr="00CC1787">
        <w:rPr>
          <w:rFonts w:cs="Arial"/>
          <w:i/>
          <w:sz w:val="22"/>
          <w:szCs w:val="22"/>
          <w:lang w:val="en-AU"/>
        </w:rPr>
        <w:t>inter alia</w:t>
      </w:r>
      <w:r w:rsidRPr="00CC1787">
        <w:rPr>
          <w:rFonts w:cs="Arial"/>
          <w:sz w:val="22"/>
          <w:szCs w:val="22"/>
          <w:lang w:val="en-AU"/>
        </w:rPr>
        <w:t xml:space="preserve">: </w:t>
      </w:r>
      <w:r w:rsidR="008E2616" w:rsidRPr="00CC1787">
        <w:rPr>
          <w:rFonts w:cs="Arial"/>
          <w:sz w:val="22"/>
          <w:szCs w:val="22"/>
          <w:lang w:val="en-AU"/>
        </w:rPr>
        <w:t xml:space="preserve">enter into formal agreements with </w:t>
      </w:r>
      <w:r w:rsidRPr="00CC1787">
        <w:rPr>
          <w:rFonts w:cs="Arial"/>
          <w:sz w:val="22"/>
          <w:szCs w:val="22"/>
          <w:lang w:val="en-AU"/>
        </w:rPr>
        <w:t xml:space="preserve">other IGOs and/or </w:t>
      </w:r>
      <w:r w:rsidRPr="00CC210F">
        <w:rPr>
          <w:rFonts w:cs="Arial"/>
          <w:sz w:val="22"/>
          <w:szCs w:val="22"/>
          <w:lang w:val="en-AU"/>
        </w:rPr>
        <w:t>nation states;</w:t>
      </w:r>
      <w:r w:rsidR="00ED4A6E" w:rsidRPr="00CC210F">
        <w:rPr>
          <w:rStyle w:val="FootnoteReference"/>
          <w:rFonts w:cs="Arial"/>
          <w:sz w:val="22"/>
          <w:szCs w:val="22"/>
          <w:lang w:val="en-AU"/>
        </w:rPr>
        <w:footnoteReference w:id="56"/>
      </w:r>
      <w:r w:rsidRPr="00CC210F">
        <w:rPr>
          <w:rFonts w:cs="Arial"/>
          <w:sz w:val="22"/>
          <w:szCs w:val="22"/>
          <w:lang w:val="en-AU"/>
        </w:rPr>
        <w:t xml:space="preserve"> </w:t>
      </w:r>
      <w:r w:rsidR="004E056E" w:rsidRPr="00CC210F">
        <w:rPr>
          <w:rFonts w:cs="Arial"/>
          <w:sz w:val="22"/>
          <w:szCs w:val="22"/>
          <w:lang w:val="en-AU"/>
        </w:rPr>
        <w:t>become party to a treaty;</w:t>
      </w:r>
      <w:r w:rsidR="00ED4A6E" w:rsidRPr="00CC210F">
        <w:rPr>
          <w:rStyle w:val="FootnoteReference"/>
          <w:rFonts w:cs="Arial"/>
          <w:sz w:val="22"/>
          <w:szCs w:val="22"/>
          <w:lang w:val="en-AU"/>
        </w:rPr>
        <w:footnoteReference w:id="57"/>
      </w:r>
      <w:r w:rsidR="004E056E" w:rsidRPr="00CC210F">
        <w:rPr>
          <w:rFonts w:cs="Arial"/>
          <w:sz w:val="22"/>
          <w:szCs w:val="22"/>
          <w:lang w:val="en-AU"/>
        </w:rPr>
        <w:t xml:space="preserve"> </w:t>
      </w:r>
      <w:r w:rsidR="00B049EB" w:rsidRPr="00CC210F">
        <w:rPr>
          <w:rFonts w:cs="Arial"/>
          <w:sz w:val="22"/>
          <w:szCs w:val="22"/>
          <w:lang w:val="en-AU"/>
        </w:rPr>
        <w:t xml:space="preserve"> </w:t>
      </w:r>
      <w:r w:rsidRPr="00CC210F">
        <w:rPr>
          <w:rFonts w:cs="Arial"/>
          <w:sz w:val="22"/>
          <w:szCs w:val="22"/>
          <w:lang w:val="en-AU"/>
        </w:rPr>
        <w:t xml:space="preserve">become a permanent observer to the </w:t>
      </w:r>
      <w:r w:rsidR="009F1B25" w:rsidRPr="00170816">
        <w:rPr>
          <w:rFonts w:cs="Arial"/>
          <w:sz w:val="22"/>
          <w:szCs w:val="22"/>
          <w:lang w:val="en-AU"/>
        </w:rPr>
        <w:t>UNGA</w:t>
      </w:r>
      <w:r w:rsidR="008245E2" w:rsidRPr="00CC210F">
        <w:rPr>
          <w:rFonts w:cs="Arial"/>
          <w:sz w:val="22"/>
          <w:szCs w:val="22"/>
          <w:lang w:val="en-AU"/>
        </w:rPr>
        <w:t>;</w:t>
      </w:r>
      <w:r w:rsidR="00D21ABA" w:rsidRPr="00CC210F">
        <w:rPr>
          <w:rStyle w:val="FootnoteReference"/>
          <w:rFonts w:cs="Arial"/>
          <w:sz w:val="22"/>
          <w:szCs w:val="22"/>
          <w:lang w:val="en-AU"/>
        </w:rPr>
        <w:footnoteReference w:id="58"/>
      </w:r>
      <w:r w:rsidR="008245E2" w:rsidRPr="00CC210F">
        <w:rPr>
          <w:rFonts w:cs="Arial"/>
          <w:sz w:val="22"/>
          <w:szCs w:val="22"/>
          <w:lang w:val="en-AU"/>
        </w:rPr>
        <w:t xml:space="preserve"> bring and receive claims in international tribunals</w:t>
      </w:r>
      <w:r w:rsidR="00E01577" w:rsidRPr="00CC210F">
        <w:rPr>
          <w:rFonts w:cs="Arial"/>
          <w:sz w:val="22"/>
          <w:szCs w:val="22"/>
          <w:lang w:val="en-AU"/>
        </w:rPr>
        <w:t>;</w:t>
      </w:r>
      <w:r w:rsidR="00E01577" w:rsidRPr="00CC210F">
        <w:rPr>
          <w:rStyle w:val="FootnoteReference"/>
          <w:rFonts w:cs="Arial"/>
          <w:sz w:val="22"/>
          <w:szCs w:val="22"/>
          <w:lang w:val="en-AU"/>
        </w:rPr>
        <w:footnoteReference w:id="59"/>
      </w:r>
      <w:r w:rsidR="00E01577" w:rsidRPr="00CC210F">
        <w:rPr>
          <w:rFonts w:cs="Arial"/>
          <w:sz w:val="22"/>
          <w:szCs w:val="22"/>
          <w:lang w:val="en-AU"/>
        </w:rPr>
        <w:t xml:space="preserve"> and establish permanent missions with states</w:t>
      </w:r>
      <w:r w:rsidR="0046764B" w:rsidRPr="00CC210F">
        <w:rPr>
          <w:rFonts w:cs="Arial"/>
          <w:sz w:val="22"/>
          <w:szCs w:val="22"/>
          <w:lang w:val="en-AU"/>
        </w:rPr>
        <w:t xml:space="preserve"> and other international organisations (</w:t>
      </w:r>
      <w:r w:rsidR="0046764B" w:rsidRPr="00CC210F">
        <w:rPr>
          <w:rFonts w:cs="Arial"/>
          <w:i/>
          <w:sz w:val="22"/>
          <w:szCs w:val="22"/>
          <w:lang w:val="en-AU"/>
        </w:rPr>
        <w:t>jus missionis</w:t>
      </w:r>
      <w:r w:rsidR="0046764B" w:rsidRPr="00CC210F">
        <w:rPr>
          <w:rFonts w:cs="Arial"/>
          <w:sz w:val="22"/>
          <w:szCs w:val="22"/>
          <w:lang w:val="en-AU"/>
        </w:rPr>
        <w:t>)</w:t>
      </w:r>
      <w:r w:rsidR="00E01577" w:rsidRPr="00CC210F">
        <w:rPr>
          <w:rFonts w:cs="Arial"/>
          <w:sz w:val="22"/>
          <w:szCs w:val="22"/>
          <w:lang w:val="en-AU"/>
        </w:rPr>
        <w:t>.</w:t>
      </w:r>
      <w:r w:rsidR="00E01577" w:rsidRPr="00CC210F">
        <w:rPr>
          <w:rStyle w:val="FootnoteReference"/>
          <w:rFonts w:cs="Arial"/>
          <w:sz w:val="22"/>
          <w:szCs w:val="22"/>
          <w:lang w:val="en-AU"/>
        </w:rPr>
        <w:footnoteReference w:id="60"/>
      </w:r>
      <w:r w:rsidR="007D5202" w:rsidRPr="00CC210F">
        <w:rPr>
          <w:rFonts w:cs="Arial"/>
          <w:sz w:val="22"/>
          <w:szCs w:val="22"/>
          <w:lang w:val="en-AU"/>
        </w:rPr>
        <w:t xml:space="preserve"> </w:t>
      </w:r>
    </w:p>
    <w:p w14:paraId="325F1553" w14:textId="77777777" w:rsidR="00833F77" w:rsidRPr="00833F77" w:rsidRDefault="00833F77" w:rsidP="00833F77">
      <w:pPr>
        <w:rPr>
          <w:rFonts w:cs="Arial"/>
          <w:b/>
          <w:sz w:val="22"/>
          <w:szCs w:val="22"/>
          <w:lang w:val="en-AU"/>
        </w:rPr>
      </w:pPr>
    </w:p>
    <w:p w14:paraId="2F0372FD" w14:textId="2BF27C69" w:rsidR="00833F77" w:rsidRPr="00CC210F" w:rsidRDefault="00833F77" w:rsidP="00375A8C">
      <w:pPr>
        <w:pStyle w:val="ListParagraph"/>
        <w:numPr>
          <w:ilvl w:val="0"/>
          <w:numId w:val="31"/>
        </w:numPr>
        <w:rPr>
          <w:rFonts w:cs="Arial"/>
          <w:sz w:val="22"/>
          <w:szCs w:val="22"/>
          <w:lang w:val="en-US"/>
        </w:rPr>
      </w:pPr>
      <w:r w:rsidRPr="00CC210F">
        <w:rPr>
          <w:rFonts w:cs="Arial"/>
          <w:sz w:val="22"/>
          <w:szCs w:val="22"/>
          <w:lang w:val="en-AU"/>
        </w:rPr>
        <w:t>It is also worth noting that under international law, IGOs generally enjoy a range of privileges and immunities</w:t>
      </w:r>
      <w:r w:rsidRPr="00CC210F">
        <w:rPr>
          <w:rStyle w:val="FootnoteReference"/>
          <w:rFonts w:cs="Arial"/>
          <w:sz w:val="22"/>
          <w:szCs w:val="22"/>
          <w:lang w:val="en-AU"/>
        </w:rPr>
        <w:footnoteReference w:id="61"/>
      </w:r>
      <w:r w:rsidRPr="00CC210F">
        <w:rPr>
          <w:rFonts w:cs="Arial"/>
          <w:sz w:val="22"/>
          <w:szCs w:val="22"/>
          <w:lang w:val="en-AU"/>
        </w:rPr>
        <w:t xml:space="preserve"> which are necessary for the fulfilment of the organisation’s purpose.</w:t>
      </w:r>
      <w:r w:rsidRPr="00CC210F">
        <w:rPr>
          <w:rStyle w:val="FootnoteReference"/>
          <w:rFonts w:cs="Arial"/>
          <w:sz w:val="22"/>
          <w:szCs w:val="22"/>
          <w:lang w:val="en-AU"/>
        </w:rPr>
        <w:footnoteReference w:id="62"/>
      </w:r>
      <w:r w:rsidRPr="00CC210F">
        <w:rPr>
          <w:rFonts w:cs="Arial"/>
          <w:sz w:val="22"/>
          <w:szCs w:val="22"/>
          <w:lang w:val="en-AU"/>
        </w:rPr>
        <w:t xml:space="preserve"> These include, for example, immunity from jurisdiction (</w:t>
      </w:r>
      <w:r w:rsidR="00B761F9" w:rsidRPr="00CC210F">
        <w:rPr>
          <w:rFonts w:cs="Arial"/>
          <w:sz w:val="22"/>
          <w:szCs w:val="22"/>
          <w:lang w:val="en-AU"/>
        </w:rPr>
        <w:t xml:space="preserve">which means that IGOs cannot be </w:t>
      </w:r>
      <w:r w:rsidR="009D1ECE" w:rsidRPr="00CC210F">
        <w:rPr>
          <w:rFonts w:cs="Arial"/>
          <w:sz w:val="22"/>
          <w:szCs w:val="22"/>
          <w:lang w:val="en-AU"/>
        </w:rPr>
        <w:t>sued in domestic courts, unless the IGO waives immunity).</w:t>
      </w:r>
      <w:r w:rsidR="00857AF2" w:rsidRPr="00CC210F">
        <w:rPr>
          <w:rFonts w:cs="Arial"/>
          <w:sz w:val="22"/>
          <w:szCs w:val="22"/>
          <w:lang w:val="en-AU"/>
        </w:rPr>
        <w:t xml:space="preserve"> However, some countries (such as the United Kingdom) ‘adopt a dualistic </w:t>
      </w:r>
      <w:r w:rsidR="00857AF2" w:rsidRPr="00CC210F">
        <w:rPr>
          <w:rFonts w:cs="Arial"/>
          <w:sz w:val="22"/>
          <w:szCs w:val="22"/>
          <w:lang w:val="en-US"/>
        </w:rPr>
        <w:t xml:space="preserve">theory to international law and require enabling legislation to give </w:t>
      </w:r>
      <w:r w:rsidR="00857AF2" w:rsidRPr="00CC210F">
        <w:rPr>
          <w:rFonts w:cs="Arial"/>
          <w:sz w:val="22"/>
          <w:szCs w:val="22"/>
          <w:lang w:val="en-US"/>
        </w:rPr>
        <w:lastRenderedPageBreak/>
        <w:t xml:space="preserve">domestic legal force to international treaty rights and obligations.’ This means that </w:t>
      </w:r>
      <w:r w:rsidR="00D7074D" w:rsidRPr="00CC210F">
        <w:rPr>
          <w:rFonts w:cs="Arial"/>
          <w:sz w:val="22"/>
          <w:szCs w:val="22"/>
          <w:lang w:val="en-US"/>
        </w:rPr>
        <w:t xml:space="preserve">domestic legal personality can be conferred upon </w:t>
      </w:r>
      <w:r w:rsidR="00857AF2" w:rsidRPr="00CC210F">
        <w:rPr>
          <w:rFonts w:cs="Arial"/>
          <w:sz w:val="22"/>
          <w:szCs w:val="22"/>
          <w:lang w:val="en-US"/>
        </w:rPr>
        <w:t xml:space="preserve">IGOs </w:t>
      </w:r>
      <w:r w:rsidR="00D7074D" w:rsidRPr="00CC210F">
        <w:rPr>
          <w:rFonts w:cs="Arial"/>
          <w:sz w:val="22"/>
          <w:szCs w:val="22"/>
          <w:lang w:val="en-US"/>
        </w:rPr>
        <w:t>in certain circumstances, which in turn would allow the IGO to be sued.</w:t>
      </w:r>
      <w:r w:rsidR="00D7074D" w:rsidRPr="00CC210F">
        <w:rPr>
          <w:rStyle w:val="FootnoteReference"/>
          <w:rFonts w:cs="Arial"/>
          <w:sz w:val="22"/>
          <w:szCs w:val="22"/>
          <w:lang w:val="en-US"/>
        </w:rPr>
        <w:footnoteReference w:id="63"/>
      </w:r>
    </w:p>
    <w:p w14:paraId="69D9AC43" w14:textId="77777777" w:rsidR="00833F77" w:rsidRPr="00CC210F" w:rsidRDefault="00833F77" w:rsidP="00833F77">
      <w:pPr>
        <w:rPr>
          <w:rFonts w:cs="Arial"/>
          <w:b/>
          <w:sz w:val="22"/>
          <w:szCs w:val="22"/>
          <w:lang w:val="en-AU"/>
        </w:rPr>
      </w:pPr>
    </w:p>
    <w:p w14:paraId="4A38FC27" w14:textId="67BF1AA9" w:rsidR="00E01577" w:rsidRPr="00CC210F" w:rsidRDefault="00066DF4" w:rsidP="00375A8C">
      <w:pPr>
        <w:pStyle w:val="ListParagraph"/>
        <w:numPr>
          <w:ilvl w:val="0"/>
          <w:numId w:val="31"/>
        </w:numPr>
        <w:rPr>
          <w:rFonts w:cs="Arial"/>
          <w:b/>
          <w:sz w:val="22"/>
          <w:szCs w:val="22"/>
          <w:lang w:val="en-AU"/>
        </w:rPr>
      </w:pPr>
      <w:r w:rsidRPr="00CC210F">
        <w:rPr>
          <w:rFonts w:cs="Arial"/>
          <w:sz w:val="22"/>
          <w:szCs w:val="22"/>
          <w:lang w:val="en-AU"/>
        </w:rPr>
        <w:t>It is important to note that</w:t>
      </w:r>
      <w:r w:rsidR="0046764B" w:rsidRPr="00CC210F">
        <w:rPr>
          <w:rFonts w:cs="Arial"/>
          <w:sz w:val="22"/>
          <w:szCs w:val="22"/>
          <w:lang w:val="en-AU"/>
        </w:rPr>
        <w:t xml:space="preserve"> none of these outcomes would </w:t>
      </w:r>
      <w:r w:rsidR="008C1214" w:rsidRPr="00CC210F">
        <w:rPr>
          <w:rFonts w:cs="Arial"/>
          <w:i/>
          <w:sz w:val="22"/>
          <w:szCs w:val="22"/>
          <w:lang w:val="en-AU"/>
        </w:rPr>
        <w:t>prima facie</w:t>
      </w:r>
      <w:r w:rsidR="008C1214" w:rsidRPr="00CC210F">
        <w:rPr>
          <w:rFonts w:cs="Arial"/>
          <w:sz w:val="22"/>
          <w:szCs w:val="22"/>
          <w:lang w:val="en-AU"/>
        </w:rPr>
        <w:t xml:space="preserve"> </w:t>
      </w:r>
      <w:r w:rsidR="0046764B" w:rsidRPr="00CC210F">
        <w:rPr>
          <w:rFonts w:cs="Arial"/>
          <w:sz w:val="22"/>
          <w:szCs w:val="22"/>
          <w:lang w:val="en-AU"/>
        </w:rPr>
        <w:t xml:space="preserve">affect the legal status of the Convention, </w:t>
      </w:r>
      <w:r w:rsidR="008C1214" w:rsidRPr="00CC210F">
        <w:rPr>
          <w:rFonts w:cs="Arial"/>
          <w:sz w:val="22"/>
          <w:szCs w:val="22"/>
          <w:lang w:val="en-AU"/>
        </w:rPr>
        <w:t xml:space="preserve">its </w:t>
      </w:r>
      <w:r w:rsidR="00AD256A" w:rsidRPr="00CC210F">
        <w:rPr>
          <w:rFonts w:cs="Arial"/>
          <w:sz w:val="22"/>
          <w:szCs w:val="22"/>
          <w:lang w:val="en-AU"/>
        </w:rPr>
        <w:t>Resolutions or</w:t>
      </w:r>
      <w:r w:rsidR="0046764B" w:rsidRPr="00CC210F">
        <w:rPr>
          <w:rFonts w:cs="Arial"/>
          <w:sz w:val="22"/>
          <w:szCs w:val="22"/>
          <w:lang w:val="en-AU"/>
        </w:rPr>
        <w:t xml:space="preserve"> SC Decisions under international l</w:t>
      </w:r>
      <w:r w:rsidRPr="00CC210F">
        <w:rPr>
          <w:rFonts w:cs="Arial"/>
          <w:sz w:val="22"/>
          <w:szCs w:val="22"/>
          <w:lang w:val="en-AU"/>
        </w:rPr>
        <w:t xml:space="preserve">aw. </w:t>
      </w:r>
      <w:r w:rsidR="00CC1787" w:rsidRPr="00CC210F">
        <w:rPr>
          <w:rFonts w:cs="Arial"/>
          <w:sz w:val="22"/>
          <w:szCs w:val="22"/>
          <w:lang w:val="en-AU"/>
        </w:rPr>
        <w:t>However, they c</w:t>
      </w:r>
      <w:r w:rsidR="00B67B3F" w:rsidRPr="00CC210F">
        <w:rPr>
          <w:rFonts w:cs="Arial"/>
          <w:sz w:val="22"/>
          <w:szCs w:val="22"/>
          <w:lang w:val="en-AU"/>
        </w:rPr>
        <w:t xml:space="preserve">ould have some impact on the </w:t>
      </w:r>
      <w:r w:rsidR="00064371" w:rsidRPr="00CC210F">
        <w:rPr>
          <w:rFonts w:cs="Arial"/>
          <w:sz w:val="22"/>
          <w:szCs w:val="22"/>
          <w:lang w:val="en-AU"/>
        </w:rPr>
        <w:t>reputation of the Convention</w:t>
      </w:r>
      <w:r w:rsidR="0021300F" w:rsidRPr="00CC210F">
        <w:rPr>
          <w:rFonts w:cs="Arial"/>
          <w:sz w:val="22"/>
          <w:szCs w:val="22"/>
          <w:lang w:val="en-AU"/>
        </w:rPr>
        <w:t xml:space="preserve">, </w:t>
      </w:r>
      <w:r w:rsidR="00712296" w:rsidRPr="00CC210F">
        <w:rPr>
          <w:rFonts w:cs="Arial"/>
          <w:sz w:val="22"/>
          <w:szCs w:val="22"/>
          <w:lang w:val="en-AU"/>
        </w:rPr>
        <w:t>among</w:t>
      </w:r>
      <w:r w:rsidR="0021300F" w:rsidRPr="00CC210F">
        <w:rPr>
          <w:rFonts w:cs="Arial"/>
          <w:sz w:val="22"/>
          <w:szCs w:val="22"/>
          <w:lang w:val="en-AU"/>
        </w:rPr>
        <w:t xml:space="preserve"> other possibilities.</w:t>
      </w:r>
      <w:r w:rsidR="00064371" w:rsidRPr="00CC210F">
        <w:rPr>
          <w:rStyle w:val="FootnoteReference"/>
          <w:rFonts w:cs="Arial"/>
          <w:sz w:val="22"/>
          <w:szCs w:val="22"/>
          <w:lang w:val="en-AU"/>
        </w:rPr>
        <w:footnoteReference w:id="64"/>
      </w:r>
      <w:r w:rsidR="00064371" w:rsidRPr="00CC210F">
        <w:rPr>
          <w:rFonts w:cs="Arial"/>
          <w:sz w:val="22"/>
          <w:szCs w:val="22"/>
          <w:lang w:val="en-AU"/>
        </w:rPr>
        <w:t xml:space="preserve"> </w:t>
      </w:r>
      <w:r w:rsidR="00AC745E" w:rsidRPr="00CC210F">
        <w:rPr>
          <w:rFonts w:cs="Arial"/>
          <w:sz w:val="22"/>
          <w:szCs w:val="22"/>
          <w:lang w:val="en-AU"/>
        </w:rPr>
        <w:t xml:space="preserve">Notably, neither the Secretariat nor the Convention would have any enforceable legal authority to ‘shut down’ a </w:t>
      </w:r>
      <w:r w:rsidR="00833F77" w:rsidRPr="00CC210F">
        <w:rPr>
          <w:rFonts w:cs="Arial"/>
          <w:sz w:val="22"/>
          <w:szCs w:val="22"/>
          <w:lang w:val="en-AU"/>
        </w:rPr>
        <w:t>IGO-</w:t>
      </w:r>
      <w:r w:rsidR="00AC745E" w:rsidRPr="00CC210F">
        <w:rPr>
          <w:rFonts w:cs="Arial"/>
          <w:sz w:val="22"/>
          <w:szCs w:val="22"/>
          <w:lang w:val="en-AU"/>
        </w:rPr>
        <w:t xml:space="preserve">RRI that was acting inconsistently with the Convention. </w:t>
      </w:r>
      <w:r w:rsidR="009E38DF" w:rsidRPr="00CC210F">
        <w:rPr>
          <w:rFonts w:cs="Arial"/>
          <w:sz w:val="22"/>
          <w:szCs w:val="22"/>
          <w:lang w:val="en-AU"/>
        </w:rPr>
        <w:t xml:space="preserve">The Convention could refuse to endorse an RRI in such circumstances, but this would </w:t>
      </w:r>
      <w:r w:rsidR="00F4695F" w:rsidRPr="00CC210F">
        <w:rPr>
          <w:rFonts w:cs="Arial"/>
          <w:sz w:val="22"/>
          <w:szCs w:val="22"/>
          <w:lang w:val="en-AU"/>
        </w:rPr>
        <w:t>not prevent the RRI from continuing</w:t>
      </w:r>
      <w:r w:rsidR="009E38DF" w:rsidRPr="00CC210F">
        <w:rPr>
          <w:rFonts w:cs="Arial"/>
          <w:sz w:val="22"/>
          <w:szCs w:val="22"/>
          <w:lang w:val="en-AU"/>
        </w:rPr>
        <w:t xml:space="preserve"> to operate within the confines of relevant laws. </w:t>
      </w:r>
    </w:p>
    <w:p w14:paraId="58A5F4C3" w14:textId="77777777" w:rsidR="006F5142" w:rsidRPr="00CC210F" w:rsidRDefault="006F5142" w:rsidP="006F5142">
      <w:pPr>
        <w:rPr>
          <w:rFonts w:cs="Arial"/>
          <w:b/>
          <w:sz w:val="22"/>
          <w:szCs w:val="22"/>
          <w:lang w:val="en-AU"/>
        </w:rPr>
      </w:pPr>
    </w:p>
    <w:p w14:paraId="5BB5654C" w14:textId="52141B33" w:rsidR="00070DD2" w:rsidRPr="00CC210F" w:rsidRDefault="002C1249" w:rsidP="002C1249">
      <w:pPr>
        <w:pStyle w:val="ListParagraph"/>
        <w:numPr>
          <w:ilvl w:val="0"/>
          <w:numId w:val="31"/>
        </w:numPr>
        <w:rPr>
          <w:rFonts w:cs="Arial"/>
          <w:b/>
          <w:sz w:val="22"/>
          <w:szCs w:val="22"/>
          <w:lang w:val="en-AU"/>
        </w:rPr>
      </w:pPr>
      <w:r w:rsidRPr="00CC210F">
        <w:rPr>
          <w:rFonts w:cs="Arial"/>
          <w:sz w:val="22"/>
          <w:szCs w:val="22"/>
          <w:lang w:val="en-AU"/>
        </w:rPr>
        <w:t>Again, the Contracting Parties will need to contemplate the desirability – or otherwise – of a RRI pote</w:t>
      </w:r>
      <w:r w:rsidR="004556BC" w:rsidRPr="00CC210F">
        <w:rPr>
          <w:rFonts w:cs="Arial"/>
          <w:sz w:val="22"/>
          <w:szCs w:val="22"/>
          <w:lang w:val="en-AU"/>
        </w:rPr>
        <w:t>ntially being able to enter into such arrangements</w:t>
      </w:r>
      <w:r w:rsidR="00D7074D" w:rsidRPr="00CC210F">
        <w:rPr>
          <w:rFonts w:cs="Arial"/>
          <w:sz w:val="22"/>
          <w:szCs w:val="22"/>
          <w:lang w:val="en-AU"/>
        </w:rPr>
        <w:t xml:space="preserve">, </w:t>
      </w:r>
      <w:r w:rsidR="004556BC" w:rsidRPr="00CC210F">
        <w:rPr>
          <w:rFonts w:cs="Arial"/>
          <w:sz w:val="22"/>
          <w:szCs w:val="22"/>
          <w:lang w:val="en-AU"/>
        </w:rPr>
        <w:t>accorded such status</w:t>
      </w:r>
      <w:r w:rsidR="00B049EB" w:rsidRPr="00CC210F">
        <w:rPr>
          <w:rFonts w:cs="Arial"/>
          <w:sz w:val="22"/>
          <w:szCs w:val="22"/>
          <w:lang w:val="en-AU"/>
        </w:rPr>
        <w:t xml:space="preserve"> in an international forum</w:t>
      </w:r>
      <w:r w:rsidR="00D7074D" w:rsidRPr="00CC210F">
        <w:rPr>
          <w:rFonts w:cs="Arial"/>
          <w:sz w:val="22"/>
          <w:szCs w:val="22"/>
          <w:lang w:val="en-AU"/>
        </w:rPr>
        <w:t xml:space="preserve"> or benefitting from certain privileges and immunities</w:t>
      </w:r>
      <w:r w:rsidR="00391E34" w:rsidRPr="00CC210F">
        <w:rPr>
          <w:rFonts w:cs="Arial"/>
          <w:sz w:val="22"/>
          <w:szCs w:val="22"/>
          <w:lang w:val="en-AU"/>
        </w:rPr>
        <w:t>. The Contracting Parties</w:t>
      </w:r>
      <w:r w:rsidR="004556BC" w:rsidRPr="00CC210F">
        <w:rPr>
          <w:rFonts w:cs="Arial"/>
          <w:sz w:val="22"/>
          <w:szCs w:val="22"/>
          <w:lang w:val="en-AU"/>
        </w:rPr>
        <w:t xml:space="preserve"> will also need to consider the desirability – or otherwise –of a RRI being viewed (rightly or wrongly)</w:t>
      </w:r>
      <w:r w:rsidR="00F065DE" w:rsidRPr="00CC210F">
        <w:rPr>
          <w:rFonts w:cs="Arial"/>
          <w:sz w:val="22"/>
          <w:szCs w:val="22"/>
          <w:lang w:val="en-AU"/>
        </w:rPr>
        <w:t xml:space="preserve"> as a general representative </w:t>
      </w:r>
      <w:r w:rsidR="004556BC" w:rsidRPr="00CC210F">
        <w:rPr>
          <w:rFonts w:cs="Arial"/>
          <w:sz w:val="22"/>
          <w:szCs w:val="22"/>
          <w:lang w:val="en-AU"/>
        </w:rPr>
        <w:t xml:space="preserve">of the Convention within such contexts. </w:t>
      </w:r>
    </w:p>
    <w:p w14:paraId="5F06608D" w14:textId="77777777" w:rsidR="00D02D16" w:rsidRPr="00CC210F" w:rsidRDefault="00D02D16" w:rsidP="002C1249">
      <w:pPr>
        <w:rPr>
          <w:rFonts w:cs="Arial"/>
          <w:b/>
          <w:sz w:val="22"/>
          <w:szCs w:val="22"/>
          <w:lang w:val="en-AU"/>
        </w:rPr>
      </w:pPr>
    </w:p>
    <w:p w14:paraId="4CBEDBA5" w14:textId="7167CF62" w:rsidR="0019508D" w:rsidRPr="00CC210F" w:rsidRDefault="0019508D" w:rsidP="0019508D">
      <w:pPr>
        <w:rPr>
          <w:rFonts w:cs="Arial"/>
          <w:b/>
          <w:sz w:val="22"/>
          <w:szCs w:val="22"/>
          <w:lang w:val="en-AU"/>
        </w:rPr>
      </w:pPr>
      <w:r w:rsidRPr="00CC210F">
        <w:rPr>
          <w:rFonts w:cs="Arial"/>
          <w:b/>
          <w:sz w:val="22"/>
          <w:szCs w:val="22"/>
          <w:lang w:val="en-AU"/>
        </w:rPr>
        <w:t xml:space="preserve">Part 6: </w:t>
      </w:r>
      <w:r w:rsidR="008B170D" w:rsidRPr="00CC210F">
        <w:rPr>
          <w:rFonts w:cs="Arial"/>
          <w:b/>
          <w:sz w:val="22"/>
          <w:szCs w:val="22"/>
          <w:lang w:val="en-AU"/>
        </w:rPr>
        <w:t xml:space="preserve">Considerations  </w:t>
      </w:r>
    </w:p>
    <w:p w14:paraId="4213E579" w14:textId="77777777" w:rsidR="0019508D" w:rsidRPr="00CC210F" w:rsidRDefault="0019508D" w:rsidP="0019508D">
      <w:pPr>
        <w:rPr>
          <w:rFonts w:cs="Arial"/>
          <w:b/>
          <w:sz w:val="22"/>
          <w:szCs w:val="22"/>
          <w:lang w:val="en-AU"/>
        </w:rPr>
      </w:pPr>
    </w:p>
    <w:p w14:paraId="581BEB04" w14:textId="12FBA529" w:rsidR="0019508D" w:rsidRPr="00CC210F" w:rsidRDefault="000F58C8" w:rsidP="007D155A">
      <w:pPr>
        <w:pStyle w:val="ListParagraph"/>
        <w:numPr>
          <w:ilvl w:val="0"/>
          <w:numId w:val="31"/>
        </w:numPr>
        <w:rPr>
          <w:rFonts w:cs="Arial"/>
          <w:b/>
          <w:sz w:val="22"/>
          <w:szCs w:val="22"/>
          <w:lang w:val="en-AU"/>
        </w:rPr>
      </w:pPr>
      <w:r w:rsidRPr="00CC210F">
        <w:rPr>
          <w:rFonts w:cs="Arial"/>
          <w:sz w:val="22"/>
          <w:szCs w:val="22"/>
          <w:lang w:val="en-AU"/>
        </w:rPr>
        <w:t xml:space="preserve">I have devised a series of </w:t>
      </w:r>
      <w:r w:rsidR="008B170D" w:rsidRPr="00CC210F">
        <w:rPr>
          <w:rFonts w:cs="Arial"/>
          <w:sz w:val="22"/>
          <w:szCs w:val="22"/>
          <w:lang w:val="en-AU"/>
        </w:rPr>
        <w:t>considerations</w:t>
      </w:r>
      <w:r w:rsidRPr="00CC210F">
        <w:rPr>
          <w:rFonts w:cs="Arial"/>
          <w:sz w:val="22"/>
          <w:szCs w:val="22"/>
          <w:lang w:val="en-AU"/>
        </w:rPr>
        <w:t xml:space="preserve"> </w:t>
      </w:r>
      <w:r w:rsidR="00E01B9D" w:rsidRPr="00CC210F">
        <w:rPr>
          <w:rFonts w:cs="Arial"/>
          <w:sz w:val="22"/>
          <w:szCs w:val="22"/>
          <w:lang w:val="en-AU"/>
        </w:rPr>
        <w:t>for Contracting Parties to con</w:t>
      </w:r>
      <w:r w:rsidR="008B170D" w:rsidRPr="00CC210F">
        <w:rPr>
          <w:rFonts w:cs="Arial"/>
          <w:sz w:val="22"/>
          <w:szCs w:val="22"/>
          <w:lang w:val="en-AU"/>
        </w:rPr>
        <w:t>template</w:t>
      </w:r>
      <w:r w:rsidR="00E01B9D" w:rsidRPr="00CC210F">
        <w:rPr>
          <w:rFonts w:cs="Arial"/>
          <w:sz w:val="22"/>
          <w:szCs w:val="22"/>
          <w:lang w:val="en-AU"/>
        </w:rPr>
        <w:t xml:space="preserve">. These </w:t>
      </w:r>
      <w:r w:rsidR="007058E3">
        <w:rPr>
          <w:rFonts w:cs="Arial"/>
          <w:sz w:val="22"/>
          <w:szCs w:val="22"/>
          <w:lang w:val="en-AU"/>
        </w:rPr>
        <w:t>considerations</w:t>
      </w:r>
      <w:r w:rsidR="00E01B9D" w:rsidRPr="00CC210F">
        <w:rPr>
          <w:rFonts w:cs="Arial"/>
          <w:sz w:val="22"/>
          <w:szCs w:val="22"/>
          <w:lang w:val="en-AU"/>
        </w:rPr>
        <w:t xml:space="preserve"> are based on the analysis undertaken for, and specified in, this advice. </w:t>
      </w:r>
      <w:r w:rsidR="0069259D" w:rsidRPr="00CC210F">
        <w:rPr>
          <w:rFonts w:cs="Arial"/>
          <w:sz w:val="22"/>
          <w:szCs w:val="22"/>
          <w:lang w:val="en-AU"/>
        </w:rPr>
        <w:t>To clarify</w:t>
      </w:r>
      <w:r w:rsidR="00AB2ABF" w:rsidRPr="00CC210F">
        <w:rPr>
          <w:rFonts w:cs="Arial"/>
          <w:sz w:val="22"/>
          <w:szCs w:val="22"/>
          <w:lang w:val="en-AU"/>
        </w:rPr>
        <w:t xml:space="preserve">, they are not to be construed as </w:t>
      </w:r>
      <w:r w:rsidR="0069259D" w:rsidRPr="00CC210F">
        <w:rPr>
          <w:rFonts w:cs="Arial"/>
          <w:sz w:val="22"/>
          <w:szCs w:val="22"/>
          <w:lang w:val="en-AU"/>
        </w:rPr>
        <w:t>endorsing a particular</w:t>
      </w:r>
      <w:r w:rsidR="00734815" w:rsidRPr="00CC210F">
        <w:rPr>
          <w:rFonts w:cs="Arial"/>
          <w:sz w:val="22"/>
          <w:szCs w:val="22"/>
          <w:lang w:val="en-AU"/>
        </w:rPr>
        <w:t xml:space="preserve"> model for RRIs.</w:t>
      </w:r>
      <w:r w:rsidR="004A49EA" w:rsidRPr="00CC210F">
        <w:rPr>
          <w:rStyle w:val="FootnoteReference"/>
          <w:rFonts w:cs="Arial"/>
          <w:sz w:val="22"/>
          <w:szCs w:val="22"/>
          <w:lang w:val="en-AU"/>
        </w:rPr>
        <w:footnoteReference w:id="65"/>
      </w:r>
      <w:r w:rsidR="00734815" w:rsidRPr="00CC210F">
        <w:rPr>
          <w:rFonts w:cs="Arial"/>
          <w:sz w:val="22"/>
          <w:szCs w:val="22"/>
          <w:lang w:val="en-AU"/>
        </w:rPr>
        <w:t xml:space="preserve"> Rather, it is for the Contracting Parties to determine whether it is appropriate or otherwise for RRIs to have legal personality.  </w:t>
      </w:r>
      <w:r w:rsidR="0069259D" w:rsidRPr="00CC210F">
        <w:rPr>
          <w:rFonts w:cs="Arial"/>
          <w:sz w:val="22"/>
          <w:szCs w:val="22"/>
          <w:lang w:val="en-AU"/>
        </w:rPr>
        <w:t xml:space="preserve"> </w:t>
      </w:r>
    </w:p>
    <w:p w14:paraId="365757A4" w14:textId="77777777" w:rsidR="00E01B9D" w:rsidRPr="00CC210F" w:rsidRDefault="00E01B9D" w:rsidP="00E01B9D">
      <w:pPr>
        <w:pStyle w:val="ListParagraph"/>
        <w:ind w:left="360"/>
        <w:rPr>
          <w:rFonts w:cs="Arial"/>
          <w:b/>
          <w:sz w:val="22"/>
          <w:szCs w:val="22"/>
          <w:lang w:val="en-AU"/>
        </w:rPr>
      </w:pPr>
    </w:p>
    <w:p w14:paraId="24A3B295" w14:textId="2CC33A45" w:rsidR="002E44AA" w:rsidRDefault="00E01B9D" w:rsidP="00137556">
      <w:pPr>
        <w:pStyle w:val="ListParagraph"/>
        <w:numPr>
          <w:ilvl w:val="0"/>
          <w:numId w:val="31"/>
        </w:numPr>
        <w:rPr>
          <w:rFonts w:cs="Arial"/>
          <w:sz w:val="22"/>
          <w:szCs w:val="22"/>
          <w:lang w:val="en-AU"/>
        </w:rPr>
      </w:pPr>
      <w:r w:rsidRPr="001F1387">
        <w:rPr>
          <w:rFonts w:cs="Arial"/>
          <w:sz w:val="22"/>
          <w:szCs w:val="22"/>
          <w:lang w:val="en-AU"/>
        </w:rPr>
        <w:t xml:space="preserve">First, </w:t>
      </w:r>
      <w:r w:rsidR="001F1387" w:rsidRPr="001F1387">
        <w:rPr>
          <w:rFonts w:cs="Arial"/>
          <w:sz w:val="22"/>
          <w:szCs w:val="22"/>
          <w:lang w:val="en-AU"/>
        </w:rPr>
        <w:t>if the</w:t>
      </w:r>
      <w:r w:rsidRPr="001F1387">
        <w:rPr>
          <w:rFonts w:cs="Arial"/>
          <w:sz w:val="22"/>
          <w:szCs w:val="22"/>
          <w:lang w:val="en-AU"/>
        </w:rPr>
        <w:t xml:space="preserve"> Contracting Parties wi</w:t>
      </w:r>
      <w:r w:rsidR="005C6725" w:rsidRPr="001F1387">
        <w:rPr>
          <w:rFonts w:cs="Arial"/>
          <w:sz w:val="22"/>
          <w:szCs w:val="22"/>
          <w:lang w:val="en-AU"/>
        </w:rPr>
        <w:t>sh to authorise one or more RRI</w:t>
      </w:r>
      <w:r w:rsidRPr="001F1387">
        <w:rPr>
          <w:rFonts w:cs="Arial"/>
          <w:sz w:val="22"/>
          <w:szCs w:val="22"/>
          <w:lang w:val="en-AU"/>
        </w:rPr>
        <w:t xml:space="preserve"> to ado</w:t>
      </w:r>
      <w:r w:rsidR="00B049EB" w:rsidRPr="001F1387">
        <w:rPr>
          <w:rFonts w:cs="Arial"/>
          <w:sz w:val="22"/>
          <w:szCs w:val="22"/>
          <w:lang w:val="en-AU"/>
        </w:rPr>
        <w:t xml:space="preserve">pt a formal legal structure </w:t>
      </w:r>
      <w:r w:rsidRPr="001F1387">
        <w:rPr>
          <w:rFonts w:cs="Arial"/>
          <w:sz w:val="22"/>
          <w:szCs w:val="22"/>
          <w:lang w:val="en-AU"/>
        </w:rPr>
        <w:t>under</w:t>
      </w:r>
      <w:r w:rsidR="00C07142" w:rsidRPr="001F1387">
        <w:rPr>
          <w:rFonts w:cs="Arial"/>
          <w:sz w:val="22"/>
          <w:szCs w:val="22"/>
          <w:lang w:val="en-AU"/>
        </w:rPr>
        <w:t xml:space="preserve"> relevant</w:t>
      </w:r>
      <w:r w:rsidRPr="001F1387">
        <w:rPr>
          <w:rFonts w:cs="Arial"/>
          <w:sz w:val="22"/>
          <w:szCs w:val="22"/>
          <w:lang w:val="en-AU"/>
        </w:rPr>
        <w:t xml:space="preserve"> national law</w:t>
      </w:r>
      <w:r w:rsidR="00C07142" w:rsidRPr="001F1387">
        <w:rPr>
          <w:rFonts w:cs="Arial"/>
          <w:sz w:val="22"/>
          <w:szCs w:val="22"/>
          <w:lang w:val="en-AU"/>
        </w:rPr>
        <w:t>s</w:t>
      </w:r>
      <w:r w:rsidR="00B049EB" w:rsidRPr="001F1387">
        <w:rPr>
          <w:rFonts w:cs="Arial"/>
          <w:sz w:val="22"/>
          <w:szCs w:val="22"/>
          <w:lang w:val="en-AU"/>
        </w:rPr>
        <w:t xml:space="preserve"> (which in turn confers legal personality)</w:t>
      </w:r>
      <w:r w:rsidRPr="001F1387">
        <w:rPr>
          <w:rFonts w:cs="Arial"/>
          <w:sz w:val="22"/>
          <w:szCs w:val="22"/>
          <w:lang w:val="en-AU"/>
        </w:rPr>
        <w:t xml:space="preserve">, they </w:t>
      </w:r>
      <w:r w:rsidR="001F1387" w:rsidRPr="001F1387">
        <w:rPr>
          <w:rFonts w:cs="Arial"/>
          <w:sz w:val="22"/>
          <w:szCs w:val="22"/>
          <w:lang w:val="en-AU"/>
        </w:rPr>
        <w:t>may wish to consider whether this ought to be</w:t>
      </w:r>
      <w:r w:rsidR="00F43DA8" w:rsidRPr="001F1387">
        <w:rPr>
          <w:rFonts w:cs="Arial"/>
          <w:sz w:val="22"/>
          <w:szCs w:val="22"/>
          <w:lang w:val="en-AU"/>
        </w:rPr>
        <w:t xml:space="preserve"> clearly articulated in a R</w:t>
      </w:r>
      <w:r w:rsidRPr="001F1387">
        <w:rPr>
          <w:rFonts w:cs="Arial"/>
          <w:sz w:val="22"/>
          <w:szCs w:val="22"/>
          <w:lang w:val="en-AU"/>
        </w:rPr>
        <w:t>esolution</w:t>
      </w:r>
      <w:r w:rsidR="002D3ED9" w:rsidRPr="001F1387">
        <w:rPr>
          <w:rFonts w:cs="Arial"/>
          <w:sz w:val="22"/>
          <w:szCs w:val="22"/>
          <w:lang w:val="en-AU"/>
        </w:rPr>
        <w:t xml:space="preserve"> to avoid any confusion at a later date</w:t>
      </w:r>
      <w:r w:rsidRPr="001F1387">
        <w:rPr>
          <w:rFonts w:cs="Arial"/>
          <w:sz w:val="22"/>
          <w:szCs w:val="22"/>
          <w:lang w:val="en-AU"/>
        </w:rPr>
        <w:t>.</w:t>
      </w:r>
      <w:r w:rsidR="00C65FE7" w:rsidRPr="00CC210F">
        <w:rPr>
          <w:rStyle w:val="FootnoteReference"/>
          <w:rFonts w:cs="Arial"/>
          <w:sz w:val="22"/>
          <w:szCs w:val="22"/>
          <w:lang w:val="en-AU"/>
        </w:rPr>
        <w:footnoteReference w:id="66"/>
      </w:r>
      <w:r w:rsidRPr="001F1387">
        <w:rPr>
          <w:rFonts w:cs="Arial"/>
          <w:sz w:val="22"/>
          <w:szCs w:val="22"/>
          <w:lang w:val="en-AU"/>
        </w:rPr>
        <w:t xml:space="preserve"> </w:t>
      </w:r>
      <w:r w:rsidR="002D3ED9" w:rsidRPr="001F1387">
        <w:rPr>
          <w:rFonts w:cs="Arial"/>
          <w:sz w:val="22"/>
          <w:szCs w:val="22"/>
          <w:lang w:val="en-AU"/>
        </w:rPr>
        <w:t>T</w:t>
      </w:r>
      <w:r w:rsidR="001F1387" w:rsidRPr="001F1387">
        <w:rPr>
          <w:rFonts w:cs="Arial"/>
          <w:sz w:val="22"/>
          <w:szCs w:val="22"/>
          <w:lang w:val="en-AU"/>
        </w:rPr>
        <w:t xml:space="preserve">hey may also wish to undertake a risk-benefit analysis (including of legal issues) in relation to each RRI implicated prior to adopting any such Resolution. </w:t>
      </w:r>
    </w:p>
    <w:p w14:paraId="589F30D9" w14:textId="77777777" w:rsidR="001F1387" w:rsidRPr="001F1387" w:rsidRDefault="001F1387" w:rsidP="001F1387">
      <w:pPr>
        <w:rPr>
          <w:rFonts w:cs="Arial"/>
          <w:sz w:val="22"/>
          <w:szCs w:val="22"/>
          <w:lang w:val="en-AU"/>
        </w:rPr>
      </w:pPr>
    </w:p>
    <w:p w14:paraId="24E312DC" w14:textId="4E3DDF11" w:rsidR="00E01B9D" w:rsidRPr="001F1387" w:rsidRDefault="00E01B9D" w:rsidP="007D155A">
      <w:pPr>
        <w:pStyle w:val="ListParagraph"/>
        <w:numPr>
          <w:ilvl w:val="0"/>
          <w:numId w:val="31"/>
        </w:numPr>
        <w:rPr>
          <w:rFonts w:cs="Arial"/>
          <w:b/>
          <w:sz w:val="22"/>
          <w:szCs w:val="22"/>
          <w:lang w:val="en-AU"/>
        </w:rPr>
      </w:pPr>
      <w:r w:rsidRPr="00CC210F">
        <w:rPr>
          <w:rFonts w:cs="Arial"/>
          <w:sz w:val="22"/>
          <w:szCs w:val="22"/>
          <w:lang w:val="en-AU"/>
        </w:rPr>
        <w:t>Second and conversely, should the Convention wish to prohibit</w:t>
      </w:r>
      <w:r w:rsidR="005C6725" w:rsidRPr="00CC210F">
        <w:rPr>
          <w:rFonts w:cs="Arial"/>
          <w:sz w:val="22"/>
          <w:szCs w:val="22"/>
          <w:lang w:val="en-AU"/>
        </w:rPr>
        <w:t xml:space="preserve"> one or more RRI </w:t>
      </w:r>
      <w:r w:rsidRPr="00CC210F">
        <w:rPr>
          <w:rFonts w:cs="Arial"/>
          <w:sz w:val="22"/>
          <w:szCs w:val="22"/>
          <w:lang w:val="en-AU"/>
        </w:rPr>
        <w:t>from adopting a formal legal structure and legal perso</w:t>
      </w:r>
      <w:r w:rsidR="006D1D56">
        <w:rPr>
          <w:rFonts w:cs="Arial"/>
          <w:sz w:val="22"/>
          <w:szCs w:val="22"/>
          <w:lang w:val="en-AU"/>
        </w:rPr>
        <w:t>nality under national laws, they may wish to consider whether this ought to be</w:t>
      </w:r>
      <w:r w:rsidRPr="00CC210F">
        <w:rPr>
          <w:rFonts w:cs="Arial"/>
          <w:sz w:val="22"/>
          <w:szCs w:val="22"/>
          <w:lang w:val="en-AU"/>
        </w:rPr>
        <w:t xml:space="preserve"> clearly articulated in a Resolution.</w:t>
      </w:r>
      <w:r w:rsidR="002E44AA" w:rsidRPr="00CC210F">
        <w:rPr>
          <w:rStyle w:val="FootnoteReference"/>
          <w:rFonts w:cs="Arial"/>
          <w:sz w:val="22"/>
          <w:szCs w:val="22"/>
          <w:lang w:val="en-AU"/>
        </w:rPr>
        <w:footnoteReference w:id="67"/>
      </w:r>
      <w:r w:rsidRPr="00CC210F">
        <w:rPr>
          <w:rFonts w:cs="Arial"/>
          <w:sz w:val="22"/>
          <w:szCs w:val="22"/>
          <w:lang w:val="en-AU"/>
        </w:rPr>
        <w:t xml:space="preserve"> </w:t>
      </w:r>
    </w:p>
    <w:p w14:paraId="76985021" w14:textId="77777777" w:rsidR="001F1387" w:rsidRPr="001F1387" w:rsidRDefault="001F1387" w:rsidP="001F1387">
      <w:pPr>
        <w:rPr>
          <w:rFonts w:cs="Arial"/>
          <w:b/>
          <w:sz w:val="22"/>
          <w:szCs w:val="22"/>
          <w:lang w:val="en-AU"/>
        </w:rPr>
      </w:pPr>
    </w:p>
    <w:p w14:paraId="17FA40E5" w14:textId="26158C45" w:rsidR="001F1387" w:rsidRPr="006D1D56" w:rsidRDefault="001F1387" w:rsidP="007D155A">
      <w:pPr>
        <w:pStyle w:val="ListParagraph"/>
        <w:numPr>
          <w:ilvl w:val="0"/>
          <w:numId w:val="31"/>
        </w:numPr>
        <w:rPr>
          <w:rFonts w:cs="Arial"/>
          <w:b/>
          <w:sz w:val="22"/>
          <w:szCs w:val="22"/>
          <w:lang w:val="en-AU"/>
        </w:rPr>
      </w:pPr>
      <w:r>
        <w:rPr>
          <w:rFonts w:cs="Arial"/>
          <w:sz w:val="22"/>
          <w:szCs w:val="22"/>
          <w:lang w:val="en-AU"/>
        </w:rPr>
        <w:t>Third, the Contracting Parties may wish to</w:t>
      </w:r>
      <w:r w:rsidRPr="00CC210F">
        <w:rPr>
          <w:rFonts w:cs="Arial"/>
          <w:sz w:val="22"/>
          <w:szCs w:val="22"/>
          <w:lang w:val="en-AU"/>
        </w:rPr>
        <w:t xml:space="preserve"> consider the possibility that additional RRIs may seek to establish secretariats that have some sort of independent legal status and legal personality under relevant national laws. The Contracting Parties may accordingly wish to consider whether this issue ought to be contemplated in either the text of a COP resolution or the revised version of the Operational Guidelines (to be presented at COP14). </w:t>
      </w:r>
    </w:p>
    <w:p w14:paraId="6B2D5EBF" w14:textId="1C377E70" w:rsidR="00E46D65" w:rsidRPr="0097082A" w:rsidRDefault="00E46D65" w:rsidP="0097082A">
      <w:pPr>
        <w:rPr>
          <w:rFonts w:cs="Arial"/>
          <w:b/>
          <w:sz w:val="22"/>
          <w:szCs w:val="22"/>
          <w:lang w:val="en-AU"/>
        </w:rPr>
      </w:pPr>
    </w:p>
    <w:p w14:paraId="3F20644B" w14:textId="71B45282" w:rsidR="00A92C22" w:rsidRPr="00043CF8" w:rsidRDefault="002D10F6" w:rsidP="00A92C22">
      <w:pPr>
        <w:pStyle w:val="ListParagraph"/>
        <w:numPr>
          <w:ilvl w:val="0"/>
          <w:numId w:val="31"/>
        </w:numPr>
        <w:rPr>
          <w:rFonts w:cs="Arial"/>
          <w:b/>
          <w:sz w:val="22"/>
          <w:szCs w:val="22"/>
          <w:lang w:val="en-AU"/>
        </w:rPr>
      </w:pPr>
      <w:r w:rsidRPr="007F1C1D">
        <w:rPr>
          <w:rFonts w:cs="Arial"/>
          <w:sz w:val="22"/>
          <w:szCs w:val="22"/>
          <w:lang w:val="en-AU"/>
        </w:rPr>
        <w:lastRenderedPageBreak/>
        <w:t>F</w:t>
      </w:r>
      <w:r w:rsidR="006D1D56">
        <w:rPr>
          <w:rFonts w:cs="Arial"/>
          <w:sz w:val="22"/>
          <w:szCs w:val="22"/>
          <w:lang w:val="en-AU"/>
        </w:rPr>
        <w:t>ourth</w:t>
      </w:r>
      <w:r w:rsidRPr="007F1C1D">
        <w:rPr>
          <w:rFonts w:cs="Arial"/>
          <w:sz w:val="22"/>
          <w:szCs w:val="22"/>
          <w:lang w:val="en-AU"/>
        </w:rPr>
        <w:t xml:space="preserve">, </w:t>
      </w:r>
      <w:r w:rsidR="00670289" w:rsidRPr="007F1C1D">
        <w:rPr>
          <w:rFonts w:cs="Arial"/>
          <w:sz w:val="22"/>
          <w:szCs w:val="22"/>
          <w:lang w:val="en-AU"/>
        </w:rPr>
        <w:t xml:space="preserve">the </w:t>
      </w:r>
      <w:r w:rsidR="00492A89">
        <w:rPr>
          <w:rFonts w:cs="Arial"/>
          <w:sz w:val="22"/>
          <w:szCs w:val="22"/>
          <w:lang w:val="en-AU"/>
        </w:rPr>
        <w:t xml:space="preserve">COP </w:t>
      </w:r>
      <w:r w:rsidR="00670289" w:rsidRPr="007F1C1D">
        <w:rPr>
          <w:rFonts w:cs="Arial"/>
          <w:sz w:val="22"/>
          <w:szCs w:val="22"/>
          <w:lang w:val="en-AU"/>
        </w:rPr>
        <w:t xml:space="preserve">could </w:t>
      </w:r>
      <w:r w:rsidR="00492A89">
        <w:rPr>
          <w:rFonts w:cs="Arial"/>
          <w:sz w:val="22"/>
          <w:szCs w:val="22"/>
          <w:lang w:val="en-AU"/>
        </w:rPr>
        <w:t>impose</w:t>
      </w:r>
      <w:r w:rsidR="00492A89" w:rsidRPr="007F1C1D">
        <w:rPr>
          <w:rFonts w:cs="Arial"/>
          <w:sz w:val="22"/>
          <w:szCs w:val="22"/>
          <w:lang w:val="en-AU"/>
        </w:rPr>
        <w:t xml:space="preserve"> </w:t>
      </w:r>
      <w:r w:rsidR="00670289" w:rsidRPr="007F1C1D">
        <w:rPr>
          <w:rFonts w:cs="Arial"/>
          <w:sz w:val="22"/>
          <w:szCs w:val="22"/>
          <w:lang w:val="en-AU"/>
        </w:rPr>
        <w:t xml:space="preserve">more specific and stringent reporting </w:t>
      </w:r>
      <w:r w:rsidR="00243BCF" w:rsidRPr="007F1C1D">
        <w:rPr>
          <w:rFonts w:cs="Arial"/>
          <w:sz w:val="22"/>
          <w:szCs w:val="22"/>
          <w:lang w:val="en-AU"/>
        </w:rPr>
        <w:t xml:space="preserve">and auditing </w:t>
      </w:r>
      <w:r w:rsidR="00670289" w:rsidRPr="007F1C1D">
        <w:rPr>
          <w:rFonts w:cs="Arial"/>
          <w:sz w:val="22"/>
          <w:szCs w:val="22"/>
          <w:lang w:val="en-AU"/>
        </w:rPr>
        <w:t xml:space="preserve">requirements, particularly in relation to financial matters. This would be particularly prudent in the event that the </w:t>
      </w:r>
      <w:r w:rsidR="007F1428">
        <w:rPr>
          <w:rFonts w:cs="Arial"/>
          <w:sz w:val="22"/>
          <w:szCs w:val="22"/>
          <w:lang w:val="en-AU"/>
        </w:rPr>
        <w:t>COP</w:t>
      </w:r>
      <w:r w:rsidR="00670289" w:rsidRPr="007F1C1D">
        <w:rPr>
          <w:rFonts w:cs="Arial"/>
          <w:sz w:val="22"/>
          <w:szCs w:val="22"/>
          <w:lang w:val="en-AU"/>
        </w:rPr>
        <w:t xml:space="preserve"> decides to formally authorise one or mor</w:t>
      </w:r>
      <w:r w:rsidR="00B049EB" w:rsidRPr="007F1C1D">
        <w:rPr>
          <w:rFonts w:cs="Arial"/>
          <w:sz w:val="22"/>
          <w:szCs w:val="22"/>
          <w:lang w:val="en-AU"/>
        </w:rPr>
        <w:t>e RRI</w:t>
      </w:r>
      <w:r w:rsidR="00670289" w:rsidRPr="007F1C1D">
        <w:rPr>
          <w:rFonts w:cs="Arial"/>
          <w:sz w:val="22"/>
          <w:szCs w:val="22"/>
          <w:lang w:val="en-AU"/>
        </w:rPr>
        <w:t xml:space="preserve"> to adopt a formal legal structure and legal personality. Advice should be sought from a suitably qualified accountant or auditor regarding this matter. </w:t>
      </w:r>
    </w:p>
    <w:p w14:paraId="35786CBA" w14:textId="77777777" w:rsidR="00043CF8" w:rsidRPr="00043CF8" w:rsidRDefault="00043CF8" w:rsidP="00043CF8">
      <w:pPr>
        <w:rPr>
          <w:rFonts w:cs="Arial"/>
          <w:b/>
          <w:sz w:val="22"/>
          <w:szCs w:val="22"/>
          <w:lang w:val="en-AU"/>
        </w:rPr>
      </w:pPr>
    </w:p>
    <w:p w14:paraId="17AE32F5" w14:textId="402B1298" w:rsidR="00E01B9D" w:rsidRPr="007F1C1D" w:rsidRDefault="006D1D56" w:rsidP="007D155A">
      <w:pPr>
        <w:pStyle w:val="ListParagraph"/>
        <w:numPr>
          <w:ilvl w:val="0"/>
          <w:numId w:val="31"/>
        </w:numPr>
        <w:rPr>
          <w:rFonts w:cs="Arial"/>
          <w:b/>
          <w:sz w:val="22"/>
          <w:szCs w:val="22"/>
          <w:lang w:val="en-AU"/>
        </w:rPr>
      </w:pPr>
      <w:r>
        <w:rPr>
          <w:rFonts w:cs="Arial"/>
          <w:sz w:val="22"/>
          <w:szCs w:val="22"/>
          <w:lang w:val="en-AU"/>
        </w:rPr>
        <w:t>Fifth</w:t>
      </w:r>
      <w:r w:rsidR="00243BCF" w:rsidRPr="007F1C1D">
        <w:rPr>
          <w:rFonts w:cs="Arial"/>
          <w:sz w:val="22"/>
          <w:szCs w:val="22"/>
          <w:lang w:val="en-AU"/>
        </w:rPr>
        <w:t>, the Contracting Parties may wish to consid</w:t>
      </w:r>
      <w:r w:rsidR="00D02D16">
        <w:rPr>
          <w:rFonts w:cs="Arial"/>
          <w:sz w:val="22"/>
          <w:szCs w:val="22"/>
          <w:lang w:val="en-AU"/>
        </w:rPr>
        <w:t>er the implications of encouraging</w:t>
      </w:r>
      <w:r w:rsidR="00243BCF" w:rsidRPr="007F1C1D">
        <w:rPr>
          <w:rFonts w:cs="Arial"/>
          <w:sz w:val="22"/>
          <w:szCs w:val="22"/>
          <w:lang w:val="en-AU"/>
        </w:rPr>
        <w:t xml:space="preserve"> RRIs lacking a formal legal structure and personality to become financially independent.</w:t>
      </w:r>
      <w:r w:rsidR="0009031D">
        <w:rPr>
          <w:rStyle w:val="FootnoteReference"/>
          <w:rFonts w:cs="Arial"/>
          <w:sz w:val="22"/>
          <w:szCs w:val="22"/>
          <w:lang w:val="en-AU"/>
        </w:rPr>
        <w:footnoteReference w:id="68"/>
      </w:r>
      <w:r w:rsidR="00243BCF" w:rsidRPr="007F1C1D">
        <w:rPr>
          <w:rFonts w:cs="Arial"/>
          <w:sz w:val="22"/>
          <w:szCs w:val="22"/>
          <w:lang w:val="en-AU"/>
        </w:rPr>
        <w:t xml:space="preserve"> For example, in some jurisdictions it is necessary for an entity to adopt a particular legal structure before it can be granted tax deductible status. Relevantly, failure to obtain tax deductible status may </w:t>
      </w:r>
      <w:r w:rsidR="00DA160D">
        <w:rPr>
          <w:rFonts w:cs="Arial"/>
          <w:sz w:val="22"/>
          <w:szCs w:val="22"/>
          <w:lang w:val="en-AU"/>
        </w:rPr>
        <w:t xml:space="preserve">in certain circumstances </w:t>
      </w:r>
      <w:r w:rsidR="00243BCF" w:rsidRPr="007F1C1D">
        <w:rPr>
          <w:rFonts w:cs="Arial"/>
          <w:sz w:val="22"/>
          <w:szCs w:val="22"/>
          <w:lang w:val="en-AU"/>
        </w:rPr>
        <w:t xml:space="preserve">affect the ability of a RRI to fundraise and in turn become financially independent. </w:t>
      </w:r>
    </w:p>
    <w:p w14:paraId="0C5DE7FE" w14:textId="77777777" w:rsidR="00B07169" w:rsidRPr="007F1C1D" w:rsidRDefault="00B07169" w:rsidP="00B07169">
      <w:pPr>
        <w:rPr>
          <w:rFonts w:cs="Arial"/>
          <w:b/>
          <w:sz w:val="22"/>
          <w:szCs w:val="22"/>
          <w:lang w:val="en-AU"/>
        </w:rPr>
      </w:pPr>
    </w:p>
    <w:p w14:paraId="1AA488D7" w14:textId="5B77E1D6" w:rsidR="000F6E52" w:rsidRPr="00CC210F" w:rsidRDefault="006D1D56" w:rsidP="00AB2ABF">
      <w:pPr>
        <w:pStyle w:val="ListParagraph"/>
        <w:numPr>
          <w:ilvl w:val="0"/>
          <w:numId w:val="31"/>
        </w:numPr>
        <w:rPr>
          <w:rFonts w:cs="Arial"/>
          <w:b/>
          <w:sz w:val="22"/>
          <w:szCs w:val="22"/>
          <w:lang w:val="en-AU"/>
        </w:rPr>
      </w:pPr>
      <w:r>
        <w:rPr>
          <w:rFonts w:cs="Arial"/>
          <w:sz w:val="22"/>
          <w:szCs w:val="22"/>
          <w:lang w:val="en-AU"/>
        </w:rPr>
        <w:t>Sixth</w:t>
      </w:r>
      <w:r w:rsidR="00B07169" w:rsidRPr="00CC210F">
        <w:rPr>
          <w:rFonts w:cs="Arial"/>
          <w:sz w:val="22"/>
          <w:szCs w:val="22"/>
          <w:lang w:val="en-AU"/>
        </w:rPr>
        <w:t xml:space="preserve"> and as noted in Part 5 of this advice, the Contracting Parties should</w:t>
      </w:r>
      <w:r w:rsidR="0009031D" w:rsidRPr="00CC210F">
        <w:rPr>
          <w:rFonts w:cs="Arial"/>
          <w:sz w:val="22"/>
          <w:szCs w:val="22"/>
          <w:lang w:val="en-AU"/>
        </w:rPr>
        <w:t xml:space="preserve"> be mindful of the fact that a RRI that is an IGO may be eligible to: </w:t>
      </w:r>
    </w:p>
    <w:p w14:paraId="0320B375" w14:textId="77777777" w:rsidR="000F6E52" w:rsidRPr="00CC210F" w:rsidRDefault="000F6E52" w:rsidP="00CC210F">
      <w:pPr>
        <w:rPr>
          <w:rFonts w:cs="Arial"/>
          <w:sz w:val="22"/>
          <w:szCs w:val="22"/>
          <w:lang w:val="en-AU"/>
        </w:rPr>
      </w:pPr>
    </w:p>
    <w:p w14:paraId="19EE3EF5" w14:textId="77777777" w:rsidR="00CC210F" w:rsidRPr="00CC210F" w:rsidRDefault="002E5091" w:rsidP="00CC210F">
      <w:pPr>
        <w:pStyle w:val="ListParagraph"/>
        <w:numPr>
          <w:ilvl w:val="0"/>
          <w:numId w:val="39"/>
        </w:numPr>
        <w:rPr>
          <w:rFonts w:cs="Arial"/>
          <w:b/>
          <w:sz w:val="22"/>
          <w:szCs w:val="22"/>
          <w:lang w:val="en-AU"/>
        </w:rPr>
      </w:pPr>
      <w:r w:rsidRPr="00CC210F">
        <w:rPr>
          <w:rFonts w:cs="Arial"/>
          <w:sz w:val="22"/>
          <w:szCs w:val="22"/>
          <w:lang w:val="en-AU"/>
        </w:rPr>
        <w:t>be granted</w:t>
      </w:r>
      <w:r w:rsidR="00EF573A" w:rsidRPr="00CC210F">
        <w:rPr>
          <w:rFonts w:cs="Arial"/>
          <w:sz w:val="22"/>
          <w:szCs w:val="22"/>
          <w:lang w:val="en-AU"/>
        </w:rPr>
        <w:t xml:space="preserve"> observer status in the </w:t>
      </w:r>
      <w:r w:rsidR="009F1B25" w:rsidRPr="00CC210F">
        <w:rPr>
          <w:rFonts w:cs="Arial"/>
          <w:sz w:val="22"/>
          <w:szCs w:val="22"/>
          <w:lang w:val="en-AU"/>
        </w:rPr>
        <w:t>UNGA</w:t>
      </w:r>
      <w:r w:rsidR="0009031D" w:rsidRPr="00CC210F">
        <w:rPr>
          <w:rFonts w:cs="Arial"/>
          <w:sz w:val="22"/>
          <w:szCs w:val="22"/>
          <w:lang w:val="en-AU"/>
        </w:rPr>
        <w:t>;</w:t>
      </w:r>
      <w:r w:rsidR="00EF573A" w:rsidRPr="00CC210F">
        <w:rPr>
          <w:rFonts w:cs="Arial"/>
          <w:sz w:val="22"/>
          <w:szCs w:val="22"/>
          <w:lang w:val="en-AU"/>
        </w:rPr>
        <w:t xml:space="preserve"> </w:t>
      </w:r>
    </w:p>
    <w:p w14:paraId="33079474" w14:textId="63F20874" w:rsidR="004E0753" w:rsidRPr="00CC210F" w:rsidRDefault="002E5091" w:rsidP="00CC210F">
      <w:pPr>
        <w:pStyle w:val="ListParagraph"/>
        <w:numPr>
          <w:ilvl w:val="0"/>
          <w:numId w:val="39"/>
        </w:numPr>
        <w:rPr>
          <w:rFonts w:cs="Arial"/>
          <w:b/>
          <w:sz w:val="22"/>
          <w:szCs w:val="22"/>
          <w:lang w:val="en-AU"/>
        </w:rPr>
      </w:pPr>
      <w:r w:rsidRPr="00CC210F">
        <w:rPr>
          <w:rFonts w:cs="Arial"/>
          <w:sz w:val="22"/>
          <w:szCs w:val="22"/>
          <w:lang w:val="en-AU"/>
        </w:rPr>
        <w:t>enter into agreements with States or IGOs</w:t>
      </w:r>
      <w:r w:rsidR="00960748" w:rsidRPr="00CC210F">
        <w:rPr>
          <w:rFonts w:cs="Arial"/>
          <w:sz w:val="22"/>
          <w:szCs w:val="22"/>
          <w:lang w:val="en-AU"/>
        </w:rPr>
        <w:t>;</w:t>
      </w:r>
      <w:r w:rsidR="00960748" w:rsidRPr="00CC210F">
        <w:rPr>
          <w:rStyle w:val="FootnoteReference"/>
          <w:rFonts w:cs="Arial"/>
          <w:sz w:val="22"/>
          <w:szCs w:val="22"/>
          <w:lang w:val="en-AU"/>
        </w:rPr>
        <w:footnoteReference w:id="69"/>
      </w:r>
      <w:r w:rsidR="00960748" w:rsidRPr="00CC210F">
        <w:rPr>
          <w:rFonts w:cs="Arial"/>
          <w:sz w:val="22"/>
          <w:szCs w:val="22"/>
          <w:lang w:val="en-AU"/>
        </w:rPr>
        <w:t xml:space="preserve"> </w:t>
      </w:r>
    </w:p>
    <w:p w14:paraId="75858A00" w14:textId="6F138408" w:rsidR="004E0753" w:rsidRPr="006D1D56" w:rsidRDefault="002E5091" w:rsidP="00CC210F">
      <w:pPr>
        <w:pStyle w:val="ListParagraph"/>
        <w:numPr>
          <w:ilvl w:val="0"/>
          <w:numId w:val="39"/>
        </w:numPr>
        <w:rPr>
          <w:rFonts w:cs="Arial"/>
          <w:b/>
          <w:sz w:val="22"/>
          <w:szCs w:val="22"/>
          <w:lang w:val="en-AU"/>
        </w:rPr>
      </w:pPr>
      <w:r w:rsidRPr="006D1D56">
        <w:rPr>
          <w:rFonts w:cs="Arial"/>
          <w:sz w:val="22"/>
          <w:szCs w:val="22"/>
          <w:lang w:val="en-AU"/>
        </w:rPr>
        <w:t>be accredited</w:t>
      </w:r>
      <w:r w:rsidR="00EF573A" w:rsidRPr="006D1D56">
        <w:rPr>
          <w:rFonts w:cs="Arial"/>
          <w:sz w:val="22"/>
          <w:szCs w:val="22"/>
          <w:lang w:val="en-AU"/>
        </w:rPr>
        <w:t xml:space="preserve"> with the United Nations Environment Program, which in turn allows participation in the United Nations Environment Assembly;</w:t>
      </w:r>
      <w:r w:rsidR="00960748" w:rsidRPr="006D1D56">
        <w:rPr>
          <w:rStyle w:val="FootnoteReference"/>
          <w:rFonts w:cs="Arial"/>
          <w:sz w:val="22"/>
          <w:szCs w:val="22"/>
          <w:lang w:val="en-AU"/>
        </w:rPr>
        <w:footnoteReference w:id="70"/>
      </w:r>
      <w:r w:rsidR="00EF573A" w:rsidRPr="006D1D56">
        <w:rPr>
          <w:rFonts w:cs="Arial"/>
          <w:sz w:val="22"/>
          <w:szCs w:val="22"/>
          <w:lang w:val="en-AU"/>
        </w:rPr>
        <w:t xml:space="preserve"> </w:t>
      </w:r>
    </w:p>
    <w:p w14:paraId="28E865C9" w14:textId="181E8977" w:rsidR="004E0753" w:rsidRPr="001C272C" w:rsidRDefault="002E5091" w:rsidP="00CC210F">
      <w:pPr>
        <w:pStyle w:val="ListParagraph"/>
        <w:numPr>
          <w:ilvl w:val="0"/>
          <w:numId w:val="39"/>
        </w:numPr>
        <w:rPr>
          <w:rFonts w:cs="Arial"/>
          <w:b/>
          <w:sz w:val="22"/>
          <w:szCs w:val="22"/>
          <w:lang w:val="en-AU"/>
        </w:rPr>
      </w:pPr>
      <w:r w:rsidRPr="006D1D56">
        <w:rPr>
          <w:rFonts w:cs="Arial"/>
          <w:sz w:val="22"/>
          <w:szCs w:val="22"/>
          <w:lang w:val="en-AU"/>
        </w:rPr>
        <w:t xml:space="preserve">obtain </w:t>
      </w:r>
      <w:r w:rsidR="00EF573A" w:rsidRPr="006D1D56">
        <w:rPr>
          <w:rFonts w:cs="Arial"/>
          <w:sz w:val="22"/>
          <w:szCs w:val="22"/>
          <w:lang w:val="en-AU"/>
        </w:rPr>
        <w:t>memb</w:t>
      </w:r>
      <w:r w:rsidR="00CC210F" w:rsidRPr="006D1D56">
        <w:rPr>
          <w:rFonts w:cs="Arial"/>
          <w:sz w:val="22"/>
          <w:szCs w:val="22"/>
          <w:lang w:val="en-AU"/>
        </w:rPr>
        <w:t>ership of an i</w:t>
      </w:r>
      <w:r w:rsidRPr="006D1D56">
        <w:rPr>
          <w:rFonts w:cs="Arial"/>
          <w:sz w:val="22"/>
          <w:szCs w:val="22"/>
          <w:lang w:val="en-AU"/>
        </w:rPr>
        <w:t>nternational NGO (if it is a NGO under national law)</w:t>
      </w:r>
      <w:r w:rsidR="001B5D55" w:rsidRPr="006D1D56">
        <w:rPr>
          <w:rFonts w:cs="Arial"/>
          <w:sz w:val="22"/>
          <w:szCs w:val="22"/>
          <w:lang w:val="en-AU"/>
        </w:rPr>
        <w:t>;</w:t>
      </w:r>
    </w:p>
    <w:p w14:paraId="390594D3" w14:textId="77777777" w:rsidR="001C272C" w:rsidRPr="001C272C" w:rsidRDefault="001C272C" w:rsidP="00CC210F">
      <w:pPr>
        <w:pStyle w:val="ListParagraph"/>
        <w:numPr>
          <w:ilvl w:val="0"/>
          <w:numId w:val="39"/>
        </w:numPr>
        <w:rPr>
          <w:rFonts w:cs="Arial"/>
          <w:b/>
          <w:sz w:val="22"/>
          <w:szCs w:val="22"/>
          <w:lang w:val="en-AU"/>
        </w:rPr>
      </w:pPr>
      <w:r w:rsidRPr="00CC210F">
        <w:rPr>
          <w:rFonts w:cs="Arial"/>
          <w:sz w:val="22"/>
          <w:szCs w:val="22"/>
          <w:lang w:val="en-AU"/>
        </w:rPr>
        <w:t>bring and receive claims in international tribunals;</w:t>
      </w:r>
      <w:r w:rsidRPr="00CC210F">
        <w:rPr>
          <w:rStyle w:val="FootnoteReference"/>
          <w:rFonts w:cs="Arial"/>
          <w:sz w:val="22"/>
          <w:szCs w:val="22"/>
          <w:lang w:val="en-AU"/>
        </w:rPr>
        <w:footnoteReference w:id="71"/>
      </w:r>
      <w:r>
        <w:rPr>
          <w:rFonts w:cs="Arial"/>
          <w:sz w:val="22"/>
          <w:szCs w:val="22"/>
          <w:lang w:val="en-AU"/>
        </w:rPr>
        <w:t xml:space="preserve"> </w:t>
      </w:r>
    </w:p>
    <w:p w14:paraId="72FFBC9C" w14:textId="1D417BFF" w:rsidR="001C272C" w:rsidRPr="006D1D56" w:rsidRDefault="001C272C" w:rsidP="00CC210F">
      <w:pPr>
        <w:pStyle w:val="ListParagraph"/>
        <w:numPr>
          <w:ilvl w:val="0"/>
          <w:numId w:val="39"/>
        </w:numPr>
        <w:rPr>
          <w:rFonts w:cs="Arial"/>
          <w:b/>
          <w:sz w:val="22"/>
          <w:szCs w:val="22"/>
          <w:lang w:val="en-AU"/>
        </w:rPr>
      </w:pPr>
      <w:r w:rsidRPr="00CC210F">
        <w:rPr>
          <w:rFonts w:cs="Arial"/>
          <w:sz w:val="22"/>
          <w:szCs w:val="22"/>
          <w:lang w:val="en-AU"/>
        </w:rPr>
        <w:t>establish permanent missions with states and other international organisations (</w:t>
      </w:r>
      <w:r w:rsidRPr="00CC210F">
        <w:rPr>
          <w:rFonts w:cs="Arial"/>
          <w:i/>
          <w:sz w:val="22"/>
          <w:szCs w:val="22"/>
          <w:lang w:val="en-AU"/>
        </w:rPr>
        <w:t>jus missionis</w:t>
      </w:r>
      <w:r w:rsidRPr="00CC210F">
        <w:rPr>
          <w:rFonts w:cs="Arial"/>
          <w:sz w:val="22"/>
          <w:szCs w:val="22"/>
          <w:lang w:val="en-AU"/>
        </w:rPr>
        <w:t>)</w:t>
      </w:r>
      <w:r>
        <w:rPr>
          <w:rFonts w:cs="Arial"/>
          <w:sz w:val="22"/>
          <w:szCs w:val="22"/>
          <w:lang w:val="en-AU"/>
        </w:rPr>
        <w:t>;</w:t>
      </w:r>
      <w:r w:rsidRPr="00CC210F">
        <w:rPr>
          <w:rStyle w:val="FootnoteReference"/>
          <w:rFonts w:cs="Arial"/>
          <w:sz w:val="22"/>
          <w:szCs w:val="22"/>
          <w:lang w:val="en-AU"/>
        </w:rPr>
        <w:footnoteReference w:id="72"/>
      </w:r>
      <w:r>
        <w:rPr>
          <w:rFonts w:cs="Arial"/>
          <w:sz w:val="22"/>
          <w:szCs w:val="22"/>
          <w:lang w:val="en-AU"/>
        </w:rPr>
        <w:t xml:space="preserve"> and</w:t>
      </w:r>
    </w:p>
    <w:p w14:paraId="61697B85" w14:textId="29BE690E" w:rsidR="004E0753" w:rsidRPr="006D1D56" w:rsidRDefault="001B5D55" w:rsidP="00CC210F">
      <w:pPr>
        <w:pStyle w:val="ListParagraph"/>
        <w:numPr>
          <w:ilvl w:val="0"/>
          <w:numId w:val="39"/>
        </w:numPr>
        <w:rPr>
          <w:rFonts w:cs="Arial"/>
          <w:b/>
          <w:sz w:val="22"/>
          <w:szCs w:val="22"/>
          <w:lang w:val="en-AU"/>
        </w:rPr>
      </w:pPr>
      <w:r w:rsidRPr="006D1D56">
        <w:rPr>
          <w:rFonts w:cs="Arial"/>
          <w:sz w:val="22"/>
          <w:szCs w:val="22"/>
          <w:lang w:val="en-AU"/>
        </w:rPr>
        <w:t>enjoy privileges and immunities (including immunity from being sued under domestic laws).</w:t>
      </w:r>
      <w:r w:rsidR="00440883" w:rsidRPr="00CC210F">
        <w:rPr>
          <w:rStyle w:val="FootnoteReference"/>
          <w:rFonts w:cs="Arial"/>
          <w:sz w:val="22"/>
          <w:szCs w:val="22"/>
          <w:lang w:val="en-AU"/>
        </w:rPr>
        <w:footnoteReference w:id="73"/>
      </w:r>
      <w:r w:rsidR="00440883" w:rsidRPr="00CC210F">
        <w:rPr>
          <w:rFonts w:cs="Arial"/>
          <w:sz w:val="22"/>
          <w:szCs w:val="22"/>
          <w:lang w:val="en-AU"/>
        </w:rPr>
        <w:t xml:space="preserve"> </w:t>
      </w:r>
      <w:r w:rsidR="00492A89" w:rsidRPr="006D1D56">
        <w:rPr>
          <w:rFonts w:cs="Arial"/>
          <w:sz w:val="22"/>
          <w:szCs w:val="22"/>
          <w:lang w:val="en-AU"/>
        </w:rPr>
        <w:t xml:space="preserve"> </w:t>
      </w:r>
    </w:p>
    <w:p w14:paraId="0D73A45D" w14:textId="77777777" w:rsidR="004E0753" w:rsidRPr="006D1D56" w:rsidRDefault="004E0753" w:rsidP="00CC210F">
      <w:pPr>
        <w:ind w:left="360"/>
        <w:rPr>
          <w:rFonts w:cs="Arial"/>
          <w:sz w:val="22"/>
          <w:szCs w:val="22"/>
          <w:lang w:val="en-AU"/>
        </w:rPr>
      </w:pPr>
    </w:p>
    <w:p w14:paraId="2272B554" w14:textId="7AFE8F26" w:rsidR="003E3879" w:rsidRPr="006D1D56" w:rsidRDefault="006D1D56" w:rsidP="004E0753">
      <w:pPr>
        <w:pStyle w:val="ListParagraph"/>
        <w:numPr>
          <w:ilvl w:val="0"/>
          <w:numId w:val="31"/>
        </w:numPr>
        <w:rPr>
          <w:rFonts w:cs="Arial"/>
          <w:sz w:val="22"/>
          <w:szCs w:val="22"/>
          <w:lang w:val="en-AU"/>
        </w:rPr>
      </w:pPr>
      <w:r w:rsidRPr="006D1D56">
        <w:rPr>
          <w:rFonts w:cs="Arial"/>
          <w:sz w:val="22"/>
          <w:szCs w:val="22"/>
          <w:lang w:val="en-AU"/>
        </w:rPr>
        <w:t xml:space="preserve">Seventh, the Contracting Parties should also be mindful of the fact that a </w:t>
      </w:r>
      <w:r w:rsidR="003E3879" w:rsidRPr="006D1D56">
        <w:rPr>
          <w:rFonts w:cs="Arial"/>
          <w:sz w:val="22"/>
          <w:szCs w:val="22"/>
          <w:lang w:val="en-AU"/>
        </w:rPr>
        <w:t>RRI</w:t>
      </w:r>
      <w:r w:rsidRPr="006D1D56">
        <w:rPr>
          <w:rFonts w:cs="Arial"/>
          <w:sz w:val="22"/>
          <w:szCs w:val="22"/>
          <w:lang w:val="en-AU"/>
        </w:rPr>
        <w:t xml:space="preserve"> that has legal status under national laws may be eligible to be granted observer status to the COP of another environmental convention. </w:t>
      </w:r>
      <w:r w:rsidR="003E3879" w:rsidRPr="006D1D56">
        <w:rPr>
          <w:rFonts w:cs="Arial"/>
          <w:sz w:val="22"/>
          <w:szCs w:val="22"/>
          <w:lang w:val="en-AU"/>
        </w:rPr>
        <w:t xml:space="preserve"> </w:t>
      </w:r>
    </w:p>
    <w:p w14:paraId="7EF73541" w14:textId="77777777" w:rsidR="003E3879" w:rsidRPr="006D1D56" w:rsidRDefault="003E3879" w:rsidP="003E3879">
      <w:pPr>
        <w:rPr>
          <w:rFonts w:cs="Arial"/>
          <w:b/>
          <w:sz w:val="22"/>
          <w:szCs w:val="22"/>
          <w:lang w:val="en-AU"/>
        </w:rPr>
      </w:pPr>
    </w:p>
    <w:p w14:paraId="12C68C0F" w14:textId="4B86AD3A" w:rsidR="006D1D56" w:rsidRPr="0082678E" w:rsidRDefault="00492A89" w:rsidP="006D1D56">
      <w:pPr>
        <w:pStyle w:val="ListParagraph"/>
        <w:numPr>
          <w:ilvl w:val="0"/>
          <w:numId w:val="31"/>
        </w:numPr>
        <w:rPr>
          <w:rFonts w:cs="Arial"/>
          <w:b/>
          <w:sz w:val="22"/>
          <w:szCs w:val="22"/>
          <w:lang w:val="en-AU"/>
        </w:rPr>
      </w:pPr>
      <w:r w:rsidRPr="006D1D56">
        <w:rPr>
          <w:rFonts w:cs="Arial"/>
          <w:sz w:val="22"/>
          <w:szCs w:val="22"/>
          <w:lang w:val="en-AU"/>
        </w:rPr>
        <w:t>The Contracting Parties may wish to consider</w:t>
      </w:r>
      <w:r w:rsidR="006D1D56">
        <w:rPr>
          <w:rFonts w:cs="Arial"/>
          <w:sz w:val="22"/>
          <w:szCs w:val="22"/>
          <w:lang w:val="en-AU"/>
        </w:rPr>
        <w:t xml:space="preserve"> whether the out</w:t>
      </w:r>
      <w:r w:rsidR="0082678E">
        <w:rPr>
          <w:rFonts w:cs="Arial"/>
          <w:sz w:val="22"/>
          <w:szCs w:val="22"/>
          <w:lang w:val="en-AU"/>
        </w:rPr>
        <w:t>c</w:t>
      </w:r>
      <w:r w:rsidR="0077635A">
        <w:rPr>
          <w:rFonts w:cs="Arial"/>
          <w:sz w:val="22"/>
          <w:szCs w:val="22"/>
          <w:lang w:val="en-AU"/>
        </w:rPr>
        <w:t>omes specified in paragraphs 65 and 66</w:t>
      </w:r>
      <w:r w:rsidR="00960748" w:rsidRPr="006D1D56">
        <w:rPr>
          <w:rFonts w:cs="Arial"/>
          <w:sz w:val="22"/>
          <w:szCs w:val="22"/>
          <w:lang w:val="en-AU"/>
        </w:rPr>
        <w:t xml:space="preserve"> are consistent with the purpose of RRIs. They may also wish to</w:t>
      </w:r>
      <w:r w:rsidRPr="006D1D56">
        <w:rPr>
          <w:rFonts w:cs="Arial"/>
          <w:sz w:val="22"/>
          <w:szCs w:val="22"/>
          <w:lang w:val="en-AU"/>
        </w:rPr>
        <w:t xml:space="preserve"> </w:t>
      </w:r>
      <w:r w:rsidR="00960748" w:rsidRPr="006D1D56">
        <w:rPr>
          <w:rFonts w:cs="Arial"/>
          <w:sz w:val="22"/>
          <w:szCs w:val="22"/>
          <w:lang w:val="en-AU"/>
        </w:rPr>
        <w:t>consider the following matters:</w:t>
      </w:r>
      <w:r w:rsidRPr="006D1D56">
        <w:rPr>
          <w:rFonts w:cs="Arial"/>
          <w:sz w:val="22"/>
          <w:szCs w:val="22"/>
          <w:lang w:val="en-AU"/>
        </w:rPr>
        <w:t xml:space="preserve"> </w:t>
      </w:r>
      <w:r w:rsidR="00960748" w:rsidRPr="006D1D56">
        <w:rPr>
          <w:rFonts w:cs="Arial"/>
          <w:sz w:val="22"/>
          <w:szCs w:val="22"/>
          <w:lang w:val="en-AU"/>
        </w:rPr>
        <w:t xml:space="preserve">who is entitled to speak on behalf of the Convention in international fora; </w:t>
      </w:r>
      <w:r w:rsidRPr="006D1D56">
        <w:rPr>
          <w:rFonts w:cs="Arial"/>
          <w:sz w:val="22"/>
          <w:szCs w:val="22"/>
          <w:lang w:val="en-AU"/>
        </w:rPr>
        <w:t>consistency of messaging</w:t>
      </w:r>
      <w:r w:rsidR="00960748" w:rsidRPr="006D1D56">
        <w:rPr>
          <w:rFonts w:cs="Arial"/>
          <w:sz w:val="22"/>
          <w:szCs w:val="22"/>
          <w:lang w:val="en-AU"/>
        </w:rPr>
        <w:t xml:space="preserve"> regarding the Convention </w:t>
      </w:r>
      <w:r w:rsidRPr="006D1D56">
        <w:rPr>
          <w:rFonts w:cs="Arial"/>
          <w:sz w:val="22"/>
          <w:szCs w:val="22"/>
          <w:lang w:val="en-AU"/>
        </w:rPr>
        <w:t>in international fora;</w:t>
      </w:r>
      <w:r w:rsidR="00DA160D" w:rsidRPr="006D1D56">
        <w:rPr>
          <w:rStyle w:val="FootnoteReference"/>
          <w:rFonts w:cs="Arial"/>
          <w:sz w:val="22"/>
          <w:szCs w:val="22"/>
          <w:lang w:val="en-AU"/>
        </w:rPr>
        <w:footnoteReference w:id="74"/>
      </w:r>
      <w:r w:rsidRPr="006D1D56">
        <w:rPr>
          <w:rFonts w:cs="Arial"/>
          <w:sz w:val="22"/>
          <w:szCs w:val="22"/>
          <w:lang w:val="en-AU"/>
        </w:rPr>
        <w:t xml:space="preserve"> and any inconsistency between </w:t>
      </w:r>
      <w:r w:rsidRPr="006D1D56">
        <w:rPr>
          <w:rFonts w:cs="Arial"/>
          <w:sz w:val="22"/>
          <w:szCs w:val="22"/>
          <w:lang w:val="en-AU"/>
        </w:rPr>
        <w:lastRenderedPageBreak/>
        <w:t xml:space="preserve">Ramsar obligations and </w:t>
      </w:r>
      <w:r w:rsidR="008E3C21" w:rsidRPr="006D1D56">
        <w:rPr>
          <w:rFonts w:cs="Arial"/>
          <w:sz w:val="22"/>
          <w:szCs w:val="22"/>
          <w:lang w:val="en-AU"/>
        </w:rPr>
        <w:t xml:space="preserve">obligations arising out of </w:t>
      </w:r>
      <w:r w:rsidR="00960748" w:rsidRPr="006D1D56">
        <w:rPr>
          <w:rFonts w:cs="Arial"/>
          <w:sz w:val="22"/>
          <w:szCs w:val="22"/>
          <w:lang w:val="en-AU"/>
        </w:rPr>
        <w:t>membership of an</w:t>
      </w:r>
      <w:r w:rsidR="008E3C21" w:rsidRPr="006D1D56">
        <w:rPr>
          <w:rFonts w:cs="Arial"/>
          <w:sz w:val="22"/>
          <w:szCs w:val="22"/>
          <w:lang w:val="en-AU"/>
        </w:rPr>
        <w:t xml:space="preserve"> international organisation (for example).</w:t>
      </w:r>
    </w:p>
    <w:p w14:paraId="7D0B2AFA" w14:textId="77777777" w:rsidR="0082678E" w:rsidRPr="0082678E" w:rsidRDefault="0082678E" w:rsidP="0082678E">
      <w:pPr>
        <w:rPr>
          <w:rFonts w:cs="Arial"/>
          <w:b/>
          <w:sz w:val="22"/>
          <w:szCs w:val="22"/>
          <w:lang w:val="en-AU"/>
        </w:rPr>
      </w:pPr>
    </w:p>
    <w:p w14:paraId="57DAB97F" w14:textId="5058F49E" w:rsidR="0082678E" w:rsidRPr="0082678E" w:rsidRDefault="0082678E" w:rsidP="006D1D56">
      <w:pPr>
        <w:pStyle w:val="ListParagraph"/>
        <w:numPr>
          <w:ilvl w:val="0"/>
          <w:numId w:val="31"/>
        </w:numPr>
        <w:rPr>
          <w:rFonts w:cs="Arial"/>
          <w:b/>
          <w:sz w:val="22"/>
          <w:szCs w:val="22"/>
          <w:lang w:val="en-AU"/>
        </w:rPr>
      </w:pPr>
      <w:r w:rsidRPr="00CC210F">
        <w:rPr>
          <w:rFonts w:cs="Arial"/>
          <w:sz w:val="22"/>
          <w:szCs w:val="22"/>
          <w:lang w:val="en-AU"/>
        </w:rPr>
        <w:t xml:space="preserve">To clarify, it is my obligation as legal advisor to alert the Contracting Parties to the fact that any RRI that obtains domestic or international legal personality could potentially enjoy the benefits outlined in paragraph </w:t>
      </w:r>
      <w:r w:rsidR="00E30ACA">
        <w:rPr>
          <w:rFonts w:cs="Arial"/>
          <w:sz w:val="22"/>
          <w:szCs w:val="22"/>
          <w:lang w:val="en-AU"/>
        </w:rPr>
        <w:t>65 and 66</w:t>
      </w:r>
      <w:r w:rsidRPr="00CC210F">
        <w:rPr>
          <w:rFonts w:cs="Arial"/>
          <w:sz w:val="22"/>
          <w:szCs w:val="22"/>
          <w:lang w:val="en-AU"/>
        </w:rPr>
        <w:t xml:space="preserve">. It is not to be construed as an endorsement of a RRI doing such things. Indeed, it is up to the Contracting Parties to determine whether they consider it appropriate or not in the circumstances for a RRI to be eligible – by virtue of the fact that it is an IGO – to be granted observer status in the UNGA (for example). I do note, however, that the circumstances include the fact that the Secretariat of the Convention may not be eligible to be granted such status. </w:t>
      </w:r>
    </w:p>
    <w:p w14:paraId="708A9798" w14:textId="77777777" w:rsidR="006D1D56" w:rsidRPr="006D1D56" w:rsidRDefault="006D1D56" w:rsidP="006D1D56">
      <w:pPr>
        <w:rPr>
          <w:rFonts w:cs="Arial"/>
          <w:sz w:val="22"/>
          <w:szCs w:val="22"/>
          <w:lang w:val="en-AU"/>
        </w:rPr>
      </w:pPr>
    </w:p>
    <w:p w14:paraId="5BD897AA" w14:textId="77777777" w:rsidR="004E0A0D" w:rsidRPr="004E0A0D" w:rsidRDefault="00695AA9" w:rsidP="004E0753">
      <w:pPr>
        <w:pStyle w:val="ListParagraph"/>
        <w:numPr>
          <w:ilvl w:val="0"/>
          <w:numId w:val="31"/>
        </w:numPr>
        <w:rPr>
          <w:rFonts w:cs="Arial"/>
          <w:b/>
          <w:sz w:val="22"/>
          <w:szCs w:val="22"/>
          <w:lang w:val="en-AU"/>
        </w:rPr>
      </w:pPr>
      <w:r w:rsidRPr="00092FDA">
        <w:rPr>
          <w:rFonts w:cs="Arial"/>
          <w:color w:val="000000" w:themeColor="text1"/>
          <w:sz w:val="22"/>
          <w:szCs w:val="22"/>
          <w:lang w:val="en-AU"/>
        </w:rPr>
        <w:t>Eighth</w:t>
      </w:r>
      <w:r w:rsidR="006D1D56" w:rsidRPr="006D1D56">
        <w:rPr>
          <w:rFonts w:cs="Arial"/>
          <w:sz w:val="22"/>
          <w:szCs w:val="22"/>
          <w:lang w:val="en-AU"/>
        </w:rPr>
        <w:t>, the Secretariat should re</w:t>
      </w:r>
      <w:r w:rsidR="00743044">
        <w:rPr>
          <w:rFonts w:cs="Arial"/>
          <w:sz w:val="22"/>
          <w:szCs w:val="22"/>
          <w:lang w:val="en-AU"/>
        </w:rPr>
        <w:t>frain from entering into any agreement</w:t>
      </w:r>
      <w:r w:rsidR="006D1D56" w:rsidRPr="006D1D56">
        <w:rPr>
          <w:rFonts w:cs="Arial"/>
          <w:sz w:val="22"/>
          <w:szCs w:val="22"/>
          <w:lang w:val="en-AU"/>
        </w:rPr>
        <w:t>s</w:t>
      </w:r>
      <w:r w:rsidR="006D1D56" w:rsidRPr="006D1D56">
        <w:rPr>
          <w:rStyle w:val="FootnoteReference"/>
          <w:rFonts w:cs="Arial"/>
          <w:sz w:val="22"/>
          <w:szCs w:val="22"/>
          <w:lang w:val="en-AU"/>
        </w:rPr>
        <w:footnoteReference w:id="75"/>
      </w:r>
      <w:r w:rsidR="006D1D56" w:rsidRPr="006D1D56">
        <w:rPr>
          <w:rFonts w:cs="Arial"/>
          <w:sz w:val="22"/>
          <w:szCs w:val="22"/>
          <w:lang w:val="en-AU"/>
        </w:rPr>
        <w:t xml:space="preserve"> with RRIs or host countries or organisations without first obtaining legal advice regarding the implications for the Secretariat and the Conventi</w:t>
      </w:r>
      <w:r w:rsidR="00743044">
        <w:rPr>
          <w:rFonts w:cs="Arial"/>
          <w:sz w:val="22"/>
          <w:szCs w:val="22"/>
          <w:lang w:val="en-AU"/>
        </w:rPr>
        <w:t>on of entering into the agreement</w:t>
      </w:r>
      <w:r w:rsidR="006D1D56" w:rsidRPr="006D1D56">
        <w:rPr>
          <w:rFonts w:cs="Arial"/>
          <w:sz w:val="22"/>
          <w:szCs w:val="22"/>
          <w:lang w:val="en-AU"/>
        </w:rPr>
        <w:t xml:space="preserve"> in question (including in relation to transboundary enforcement). </w:t>
      </w:r>
    </w:p>
    <w:p w14:paraId="563BF1A2" w14:textId="77777777" w:rsidR="004E0A0D" w:rsidRPr="004E0A0D" w:rsidRDefault="004E0A0D" w:rsidP="004E0A0D">
      <w:pPr>
        <w:rPr>
          <w:rFonts w:cs="Arial"/>
          <w:sz w:val="22"/>
          <w:szCs w:val="22"/>
          <w:lang w:val="en-AU"/>
        </w:rPr>
      </w:pPr>
    </w:p>
    <w:p w14:paraId="1B9D7C4F" w14:textId="64798810" w:rsidR="00250677" w:rsidRPr="006D1D56" w:rsidRDefault="00250677" w:rsidP="00250677">
      <w:pPr>
        <w:pStyle w:val="ListParagraph"/>
        <w:numPr>
          <w:ilvl w:val="0"/>
          <w:numId w:val="31"/>
        </w:numPr>
        <w:rPr>
          <w:rFonts w:cs="Arial"/>
          <w:b/>
          <w:sz w:val="22"/>
          <w:szCs w:val="22"/>
          <w:lang w:val="en-AU"/>
        </w:rPr>
      </w:pPr>
      <w:r w:rsidRPr="0077635A">
        <w:rPr>
          <w:rFonts w:cs="Arial"/>
          <w:color w:val="000000" w:themeColor="text1"/>
          <w:sz w:val="22"/>
          <w:szCs w:val="22"/>
          <w:lang w:val="en-AU"/>
        </w:rPr>
        <w:t xml:space="preserve">Ninth, </w:t>
      </w:r>
      <w:r w:rsidR="00BF1FF5">
        <w:rPr>
          <w:rFonts w:cs="Arial"/>
          <w:sz w:val="22"/>
          <w:szCs w:val="22"/>
          <w:lang w:val="en-AU"/>
        </w:rPr>
        <w:t>the Secretariat</w:t>
      </w:r>
      <w:r w:rsidR="004E0A0D" w:rsidRPr="00250677">
        <w:rPr>
          <w:rFonts w:cs="Arial"/>
          <w:sz w:val="22"/>
          <w:szCs w:val="22"/>
          <w:lang w:val="en-AU"/>
        </w:rPr>
        <w:t xml:space="preserve"> enters into funding agreements with RRI</w:t>
      </w:r>
      <w:r w:rsidR="00283FC6">
        <w:rPr>
          <w:rFonts w:cs="Arial"/>
          <w:sz w:val="22"/>
          <w:szCs w:val="22"/>
          <w:lang w:val="en-AU"/>
        </w:rPr>
        <w:t>s</w:t>
      </w:r>
      <w:r w:rsidR="004E0A0D" w:rsidRPr="00250677">
        <w:rPr>
          <w:rFonts w:cs="Arial"/>
          <w:sz w:val="22"/>
          <w:szCs w:val="22"/>
          <w:lang w:val="en-AU"/>
        </w:rPr>
        <w:t xml:space="preserve">, including those that lack legal personality. </w:t>
      </w:r>
      <w:r w:rsidR="00015C27">
        <w:rPr>
          <w:rFonts w:cs="Arial"/>
          <w:sz w:val="22"/>
          <w:szCs w:val="22"/>
          <w:lang w:val="en-AU"/>
        </w:rPr>
        <w:t xml:space="preserve">I note that the </w:t>
      </w:r>
      <w:r w:rsidR="002F09C6">
        <w:rPr>
          <w:rFonts w:cs="Arial"/>
          <w:sz w:val="22"/>
          <w:szCs w:val="22"/>
          <w:lang w:val="en-AU"/>
        </w:rPr>
        <w:t>funding agreements that I have c</w:t>
      </w:r>
      <w:r w:rsidR="00015C27">
        <w:rPr>
          <w:rFonts w:cs="Arial"/>
          <w:sz w:val="22"/>
          <w:szCs w:val="22"/>
          <w:lang w:val="en-AU"/>
        </w:rPr>
        <w:t>ited require disputes, claims, breaches etc. to be settled via arbitration in Gland in accordance with UNCITRAL Arbitration Rules</w:t>
      </w:r>
      <w:r w:rsidR="00015C27" w:rsidRPr="00250677">
        <w:rPr>
          <w:rFonts w:cs="Arial"/>
          <w:sz w:val="22"/>
          <w:szCs w:val="22"/>
          <w:lang w:val="en-AU"/>
        </w:rPr>
        <w:t xml:space="preserve">. </w:t>
      </w:r>
      <w:r w:rsidR="007D64AE">
        <w:rPr>
          <w:rFonts w:cs="Arial"/>
          <w:sz w:val="22"/>
          <w:szCs w:val="22"/>
          <w:lang w:val="en-AU"/>
        </w:rPr>
        <w:t>If necessary, the Secretariat may wish to</w:t>
      </w:r>
      <w:r w:rsidR="001F38CC">
        <w:rPr>
          <w:rFonts w:cs="Arial"/>
          <w:sz w:val="22"/>
          <w:szCs w:val="22"/>
          <w:lang w:val="en-AU"/>
        </w:rPr>
        <w:t xml:space="preserve"> seek further advice from the legal advisor to the IUCN</w:t>
      </w:r>
      <w:r w:rsidR="00015C27">
        <w:rPr>
          <w:rFonts w:cs="Arial"/>
          <w:sz w:val="22"/>
          <w:szCs w:val="22"/>
          <w:lang w:val="en-AU"/>
        </w:rPr>
        <w:t xml:space="preserve"> regarding </w:t>
      </w:r>
      <w:r w:rsidR="005C496D">
        <w:rPr>
          <w:rFonts w:cs="Arial"/>
          <w:sz w:val="22"/>
          <w:szCs w:val="22"/>
          <w:lang w:val="en-AU"/>
        </w:rPr>
        <w:t>legal issues that could</w:t>
      </w:r>
      <w:r w:rsidR="00015C27">
        <w:rPr>
          <w:rFonts w:cs="Arial"/>
          <w:sz w:val="22"/>
          <w:szCs w:val="22"/>
          <w:lang w:val="en-AU"/>
        </w:rPr>
        <w:t xml:space="preserve"> arise</w:t>
      </w:r>
      <w:r w:rsidR="00BF1FF5">
        <w:rPr>
          <w:rFonts w:cs="Arial"/>
          <w:sz w:val="22"/>
          <w:szCs w:val="22"/>
          <w:lang w:val="en-AU"/>
        </w:rPr>
        <w:t xml:space="preserve"> during any such arbitration as a consequence of the RRI</w:t>
      </w:r>
      <w:r w:rsidR="005C496D">
        <w:rPr>
          <w:rFonts w:cs="Arial"/>
          <w:sz w:val="22"/>
          <w:szCs w:val="22"/>
          <w:lang w:val="en-AU"/>
        </w:rPr>
        <w:t xml:space="preserve"> that is party to the dispute </w:t>
      </w:r>
      <w:r w:rsidR="00BF1FF5">
        <w:rPr>
          <w:rFonts w:cs="Arial"/>
          <w:sz w:val="22"/>
          <w:szCs w:val="22"/>
          <w:lang w:val="en-AU"/>
        </w:rPr>
        <w:t xml:space="preserve">lacking legal personality (noting that </w:t>
      </w:r>
      <w:r>
        <w:rPr>
          <w:rFonts w:cs="Arial"/>
          <w:sz w:val="22"/>
          <w:szCs w:val="22"/>
          <w:lang w:val="en-AU"/>
        </w:rPr>
        <w:t xml:space="preserve">only </w:t>
      </w:r>
      <w:r w:rsidRPr="006D1D56">
        <w:rPr>
          <w:rFonts w:cs="Arial"/>
          <w:sz w:val="22"/>
          <w:szCs w:val="22"/>
          <w:lang w:val="en-AU"/>
        </w:rPr>
        <w:t>entities with legal personality can sue or be sued</w:t>
      </w:r>
      <w:r>
        <w:rPr>
          <w:rFonts w:cs="Arial"/>
          <w:sz w:val="22"/>
          <w:szCs w:val="22"/>
          <w:lang w:val="en-AU"/>
        </w:rPr>
        <w:t>)</w:t>
      </w:r>
      <w:r w:rsidRPr="006D1D56">
        <w:rPr>
          <w:rFonts w:cs="Arial"/>
          <w:sz w:val="22"/>
          <w:szCs w:val="22"/>
          <w:lang w:val="en-AU"/>
        </w:rPr>
        <w:t xml:space="preserve">. </w:t>
      </w:r>
    </w:p>
    <w:p w14:paraId="515A4F0E" w14:textId="77777777" w:rsidR="002D6300" w:rsidRPr="002D6300" w:rsidRDefault="002D6300" w:rsidP="002D6300">
      <w:pPr>
        <w:rPr>
          <w:rFonts w:cs="Arial"/>
          <w:b/>
          <w:sz w:val="22"/>
          <w:szCs w:val="22"/>
          <w:lang w:val="en-AU"/>
        </w:rPr>
      </w:pPr>
    </w:p>
    <w:p w14:paraId="63A3EB5E" w14:textId="0A35D0AD" w:rsidR="00A93779" w:rsidRPr="007F1C1D" w:rsidRDefault="00BA2D30" w:rsidP="00A93779">
      <w:pPr>
        <w:rPr>
          <w:rFonts w:cs="Arial"/>
          <w:sz w:val="22"/>
          <w:szCs w:val="22"/>
          <w:lang w:val="en-AU"/>
        </w:rPr>
      </w:pPr>
      <w:r>
        <w:rPr>
          <w:rFonts w:cs="Arial"/>
          <w:sz w:val="22"/>
          <w:szCs w:val="22"/>
          <w:lang w:val="en-AU"/>
        </w:rPr>
        <w:t>Please do not hesitate</w:t>
      </w:r>
      <w:r w:rsidR="00A93779" w:rsidRPr="007F1C1D">
        <w:rPr>
          <w:rFonts w:cs="Arial"/>
          <w:sz w:val="22"/>
          <w:szCs w:val="22"/>
          <w:lang w:val="en-AU"/>
        </w:rPr>
        <w:t xml:space="preserve"> to contact me if you have any questions regarding this advice. </w:t>
      </w:r>
    </w:p>
    <w:p w14:paraId="638B0D90" w14:textId="77777777" w:rsidR="00A93779" w:rsidRPr="007F1C1D" w:rsidRDefault="00A93779" w:rsidP="00A93779">
      <w:pPr>
        <w:rPr>
          <w:rFonts w:cs="Arial"/>
          <w:sz w:val="22"/>
          <w:szCs w:val="22"/>
          <w:lang w:val="en-AU"/>
        </w:rPr>
      </w:pPr>
    </w:p>
    <w:p w14:paraId="1B01830D" w14:textId="354CDB9A" w:rsidR="00A93779" w:rsidRPr="007F1C1D" w:rsidRDefault="00A93779" w:rsidP="00A93779">
      <w:pPr>
        <w:rPr>
          <w:rFonts w:cs="Arial"/>
          <w:sz w:val="22"/>
          <w:szCs w:val="22"/>
          <w:lang w:val="en-AU"/>
        </w:rPr>
      </w:pPr>
      <w:r w:rsidRPr="007F1C1D">
        <w:rPr>
          <w:rFonts w:cs="Arial"/>
          <w:sz w:val="22"/>
          <w:szCs w:val="22"/>
          <w:lang w:val="en-AU"/>
        </w:rPr>
        <w:t>Kind Regards,</w:t>
      </w:r>
    </w:p>
    <w:p w14:paraId="60917717" w14:textId="77777777" w:rsidR="00A93779" w:rsidRPr="007F1C1D" w:rsidRDefault="00A93779" w:rsidP="00A93779">
      <w:pPr>
        <w:rPr>
          <w:rFonts w:cs="Arial"/>
          <w:sz w:val="22"/>
          <w:szCs w:val="22"/>
          <w:lang w:val="en-AU"/>
        </w:rPr>
      </w:pPr>
    </w:p>
    <w:p w14:paraId="47928685" w14:textId="728B3830" w:rsidR="00A93779" w:rsidRPr="007F1C1D" w:rsidRDefault="0077344E" w:rsidP="00A93779">
      <w:pPr>
        <w:rPr>
          <w:rFonts w:cs="Arial"/>
          <w:sz w:val="22"/>
          <w:szCs w:val="22"/>
          <w:lang w:val="en-AU"/>
        </w:rPr>
      </w:pPr>
      <w:r w:rsidRPr="007F1C1D">
        <w:rPr>
          <w:rFonts w:cs="Arial"/>
          <w:noProof/>
          <w:sz w:val="22"/>
          <w:szCs w:val="22"/>
          <w:lang w:val="en-GB" w:eastAsia="en-GB"/>
        </w:rPr>
        <w:drawing>
          <wp:inline distT="0" distB="0" distL="0" distR="0" wp14:anchorId="61F78D29" wp14:editId="7558503A">
            <wp:extent cx="831167" cy="403711"/>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3718" cy="414664"/>
                    </a:xfrm>
                    <a:prstGeom prst="rect">
                      <a:avLst/>
                    </a:prstGeom>
                  </pic:spPr>
                </pic:pic>
              </a:graphicData>
            </a:graphic>
          </wp:inline>
        </w:drawing>
      </w:r>
    </w:p>
    <w:p w14:paraId="45AF7C23" w14:textId="5645E596" w:rsidR="00A93779" w:rsidRPr="007F1C1D" w:rsidRDefault="00A93779" w:rsidP="00A93779">
      <w:pPr>
        <w:rPr>
          <w:rFonts w:cs="Arial"/>
          <w:sz w:val="22"/>
          <w:szCs w:val="22"/>
          <w:lang w:val="en-AU"/>
        </w:rPr>
      </w:pPr>
    </w:p>
    <w:p w14:paraId="5B3F7C00" w14:textId="5E301DC0" w:rsidR="00A93779" w:rsidRPr="007F1C1D" w:rsidRDefault="00A93779" w:rsidP="00A93779">
      <w:pPr>
        <w:rPr>
          <w:rFonts w:cs="Arial"/>
          <w:sz w:val="22"/>
          <w:szCs w:val="22"/>
          <w:lang w:val="en-AU"/>
        </w:rPr>
      </w:pPr>
      <w:r w:rsidRPr="007F1C1D">
        <w:rPr>
          <w:rFonts w:cs="Arial"/>
          <w:sz w:val="22"/>
          <w:szCs w:val="22"/>
          <w:lang w:val="en-AU"/>
        </w:rPr>
        <w:t>Dr Emma Carmody</w:t>
      </w:r>
    </w:p>
    <w:p w14:paraId="1E2E84F7" w14:textId="18CAADC4" w:rsidR="0077344E" w:rsidRDefault="00A93779" w:rsidP="00C65B3C">
      <w:pPr>
        <w:rPr>
          <w:rFonts w:cs="Arial"/>
          <w:sz w:val="22"/>
          <w:szCs w:val="22"/>
          <w:lang w:val="en-AU"/>
        </w:rPr>
      </w:pPr>
      <w:r w:rsidRPr="007F1C1D">
        <w:rPr>
          <w:rFonts w:cs="Arial"/>
          <w:sz w:val="22"/>
          <w:szCs w:val="22"/>
          <w:lang w:val="en-AU"/>
        </w:rPr>
        <w:t>Legal Adviso</w:t>
      </w:r>
      <w:r w:rsidR="00064531" w:rsidRPr="007F1C1D">
        <w:rPr>
          <w:rFonts w:cs="Arial"/>
          <w:sz w:val="22"/>
          <w:szCs w:val="22"/>
          <w:lang w:val="en-AU"/>
        </w:rPr>
        <w:t>r</w:t>
      </w:r>
    </w:p>
    <w:p w14:paraId="3C249693" w14:textId="77777777" w:rsidR="002F09C6" w:rsidRDefault="002F09C6">
      <w:pPr>
        <w:rPr>
          <w:rFonts w:cs="Arial"/>
          <w:sz w:val="22"/>
          <w:szCs w:val="22"/>
          <w:lang w:val="en-AU"/>
        </w:rPr>
      </w:pPr>
      <w:r>
        <w:rPr>
          <w:rFonts w:cs="Arial"/>
          <w:sz w:val="22"/>
          <w:szCs w:val="22"/>
          <w:lang w:val="en-AU"/>
        </w:rPr>
        <w:br w:type="page"/>
      </w:r>
    </w:p>
    <w:p w14:paraId="7E0106BE" w14:textId="15356306" w:rsidR="0037754F" w:rsidRPr="007F1C1D" w:rsidRDefault="008B7B6E" w:rsidP="00167996">
      <w:pPr>
        <w:jc w:val="center"/>
        <w:rPr>
          <w:rFonts w:cs="Arial"/>
          <w:b/>
          <w:sz w:val="22"/>
          <w:szCs w:val="22"/>
          <w:lang w:val="en-AU"/>
        </w:rPr>
      </w:pPr>
      <w:r>
        <w:rPr>
          <w:rFonts w:cs="Arial"/>
          <w:b/>
          <w:sz w:val="22"/>
          <w:szCs w:val="22"/>
          <w:lang w:val="en-AU"/>
        </w:rPr>
        <w:lastRenderedPageBreak/>
        <w:t>Appendix</w:t>
      </w:r>
      <w:r w:rsidR="00167996" w:rsidRPr="007F1C1D">
        <w:rPr>
          <w:rFonts w:cs="Arial"/>
          <w:b/>
          <w:sz w:val="22"/>
          <w:szCs w:val="22"/>
          <w:lang w:val="en-AU"/>
        </w:rPr>
        <w:t xml:space="preserve"> 1</w:t>
      </w:r>
    </w:p>
    <w:p w14:paraId="086CAC8D" w14:textId="77777777" w:rsidR="00167996" w:rsidRPr="007F1C1D" w:rsidRDefault="00167996" w:rsidP="00167996">
      <w:pPr>
        <w:rPr>
          <w:rFonts w:cs="Arial"/>
          <w:b/>
          <w:i/>
          <w:sz w:val="22"/>
          <w:szCs w:val="22"/>
          <w:lang w:val="en-AU"/>
        </w:rPr>
      </w:pPr>
    </w:p>
    <w:p w14:paraId="569AB6D3" w14:textId="7BFEBED8" w:rsidR="00024BF9" w:rsidRPr="00024BF9" w:rsidRDefault="00024BF9" w:rsidP="000570A5">
      <w:pPr>
        <w:ind w:left="2268" w:hanging="2268"/>
        <w:rPr>
          <w:rFonts w:cs="Arial"/>
          <w:sz w:val="22"/>
          <w:szCs w:val="22"/>
          <w:lang w:val="en-AU"/>
        </w:rPr>
      </w:pPr>
      <w:r>
        <w:rPr>
          <w:rFonts w:cs="Arial"/>
          <w:b/>
          <w:sz w:val="22"/>
          <w:szCs w:val="22"/>
          <w:lang w:val="en-AU"/>
        </w:rPr>
        <w:t xml:space="preserve">2018- </w:t>
      </w:r>
      <w:r w:rsidR="007F1428">
        <w:rPr>
          <w:rFonts w:cs="Arial"/>
          <w:b/>
          <w:sz w:val="22"/>
          <w:szCs w:val="22"/>
          <w:lang w:val="en-AU"/>
        </w:rPr>
        <w:t>COP</w:t>
      </w:r>
      <w:r>
        <w:rPr>
          <w:rFonts w:cs="Arial"/>
          <w:b/>
          <w:sz w:val="22"/>
          <w:szCs w:val="22"/>
          <w:lang w:val="en-AU"/>
        </w:rPr>
        <w:t>13</w:t>
      </w:r>
      <w:r w:rsidRPr="007F1C1D">
        <w:rPr>
          <w:rFonts w:cs="Arial"/>
          <w:b/>
          <w:sz w:val="22"/>
          <w:szCs w:val="22"/>
          <w:lang w:val="en-AU"/>
        </w:rPr>
        <w:t xml:space="preserve"> Res. XI</w:t>
      </w:r>
      <w:r>
        <w:rPr>
          <w:rFonts w:cs="Arial"/>
          <w:b/>
          <w:sz w:val="22"/>
          <w:szCs w:val="22"/>
          <w:lang w:val="en-AU"/>
        </w:rPr>
        <w:t>II.9</w:t>
      </w:r>
      <w:r w:rsidRPr="007F1C1D">
        <w:rPr>
          <w:rFonts w:cs="Arial"/>
          <w:b/>
          <w:sz w:val="22"/>
          <w:szCs w:val="22"/>
          <w:lang w:val="en-AU"/>
        </w:rPr>
        <w:t>:</w:t>
      </w:r>
      <w:r>
        <w:rPr>
          <w:rFonts w:cs="Arial"/>
          <w:b/>
          <w:sz w:val="22"/>
          <w:szCs w:val="22"/>
          <w:lang w:val="en-AU"/>
        </w:rPr>
        <w:t xml:space="preserve">  </w:t>
      </w:r>
      <w:r w:rsidR="00527270">
        <w:rPr>
          <w:rFonts w:cs="Arial"/>
          <w:sz w:val="22"/>
          <w:szCs w:val="22"/>
          <w:lang w:val="en-AU"/>
        </w:rPr>
        <w:t xml:space="preserve">Endorses 19 RRIs as operating within the framework of the Convention; </w:t>
      </w:r>
      <w:r>
        <w:rPr>
          <w:rFonts w:cs="Arial"/>
          <w:sz w:val="22"/>
          <w:szCs w:val="22"/>
          <w:lang w:val="en-AU"/>
        </w:rPr>
        <w:t>Introduces the 7 Principles; states that the Revised Operational Guidelines 2016-18 may be applied on a discretionary basis to RRIs; re-establishes the RRI Working Group to draft new operational guidelines</w:t>
      </w:r>
      <w:r w:rsidR="00695A34">
        <w:rPr>
          <w:rFonts w:cs="Arial"/>
          <w:sz w:val="22"/>
          <w:szCs w:val="22"/>
          <w:lang w:val="en-AU"/>
        </w:rPr>
        <w:t xml:space="preserve"> to be presented at SC58 and </w:t>
      </w:r>
      <w:r w:rsidR="007F1428">
        <w:rPr>
          <w:rFonts w:cs="Arial"/>
          <w:sz w:val="22"/>
          <w:szCs w:val="22"/>
          <w:lang w:val="en-AU"/>
        </w:rPr>
        <w:t>COP</w:t>
      </w:r>
      <w:r w:rsidR="00695A34">
        <w:rPr>
          <w:rFonts w:cs="Arial"/>
          <w:sz w:val="22"/>
          <w:szCs w:val="22"/>
          <w:lang w:val="en-AU"/>
        </w:rPr>
        <w:t>14</w:t>
      </w:r>
      <w:r>
        <w:rPr>
          <w:rFonts w:cs="Arial"/>
          <w:sz w:val="22"/>
          <w:szCs w:val="22"/>
          <w:lang w:val="en-AU"/>
        </w:rPr>
        <w:t xml:space="preserve">; requests the legal advisor to review all relevant SC Decisions and </w:t>
      </w:r>
      <w:r w:rsidR="007F1428">
        <w:rPr>
          <w:rFonts w:cs="Arial"/>
          <w:sz w:val="22"/>
          <w:szCs w:val="22"/>
          <w:lang w:val="en-AU"/>
        </w:rPr>
        <w:t>COP</w:t>
      </w:r>
      <w:r>
        <w:rPr>
          <w:rFonts w:cs="Arial"/>
          <w:sz w:val="22"/>
          <w:szCs w:val="22"/>
          <w:lang w:val="en-AU"/>
        </w:rPr>
        <w:t xml:space="preserve"> Resolutions to determi</w:t>
      </w:r>
      <w:r w:rsidR="00FC2013">
        <w:rPr>
          <w:rFonts w:cs="Arial"/>
          <w:sz w:val="22"/>
          <w:szCs w:val="22"/>
          <w:lang w:val="en-AU"/>
        </w:rPr>
        <w:t>ne which are no longer relevant</w:t>
      </w:r>
      <w:r>
        <w:rPr>
          <w:rFonts w:cs="Arial"/>
          <w:sz w:val="22"/>
          <w:szCs w:val="22"/>
          <w:lang w:val="en-AU"/>
        </w:rPr>
        <w:t xml:space="preserve"> </w:t>
      </w:r>
    </w:p>
    <w:p w14:paraId="1E4621A8" w14:textId="77777777" w:rsidR="000570A5" w:rsidRDefault="000570A5" w:rsidP="000570A5">
      <w:pPr>
        <w:ind w:left="2268" w:hanging="2268"/>
        <w:rPr>
          <w:rFonts w:cs="Arial"/>
          <w:b/>
          <w:sz w:val="22"/>
          <w:szCs w:val="22"/>
          <w:lang w:val="en-AU"/>
        </w:rPr>
      </w:pPr>
    </w:p>
    <w:p w14:paraId="4C2444B6" w14:textId="48F947D9" w:rsidR="00167996" w:rsidRPr="007F1C1D" w:rsidRDefault="00167996" w:rsidP="000570A5">
      <w:pPr>
        <w:ind w:left="2268" w:hanging="2268"/>
        <w:rPr>
          <w:rFonts w:cs="Arial"/>
          <w:sz w:val="22"/>
          <w:szCs w:val="22"/>
          <w:lang w:val="en-AU"/>
        </w:rPr>
      </w:pPr>
      <w:r w:rsidRPr="007F1C1D">
        <w:rPr>
          <w:rFonts w:cs="Arial"/>
          <w:b/>
          <w:sz w:val="22"/>
          <w:szCs w:val="22"/>
          <w:lang w:val="en-AU"/>
        </w:rPr>
        <w:t>2018 -    SC54-30:</w:t>
      </w:r>
      <w:r w:rsidR="008171B8" w:rsidRPr="007F1C1D">
        <w:rPr>
          <w:rFonts w:cs="Arial"/>
          <w:sz w:val="22"/>
          <w:szCs w:val="22"/>
          <w:lang w:val="en-AU"/>
        </w:rPr>
        <w:tab/>
        <w:t>I</w:t>
      </w:r>
      <w:r w:rsidRPr="007F1C1D">
        <w:rPr>
          <w:rFonts w:cs="Arial"/>
          <w:sz w:val="22"/>
          <w:szCs w:val="22"/>
          <w:lang w:val="en-AU"/>
        </w:rPr>
        <w:t xml:space="preserve">nstructs the Secretariat to undertake a review of the legal status of RRIs and the implications for the Convention, and to edit the draft resolution for consideration at </w:t>
      </w:r>
      <w:r w:rsidR="007F1428">
        <w:rPr>
          <w:rFonts w:cs="Arial"/>
          <w:sz w:val="22"/>
          <w:szCs w:val="22"/>
          <w:lang w:val="en-AU"/>
        </w:rPr>
        <w:t>COP</w:t>
      </w:r>
      <w:r w:rsidRPr="007F1C1D">
        <w:rPr>
          <w:rFonts w:cs="Arial"/>
          <w:sz w:val="22"/>
          <w:szCs w:val="22"/>
          <w:lang w:val="en-AU"/>
        </w:rPr>
        <w:t xml:space="preserve">13 </w:t>
      </w:r>
    </w:p>
    <w:p w14:paraId="4F1AC5C6" w14:textId="77777777" w:rsidR="000570A5" w:rsidRDefault="000570A5" w:rsidP="000570A5">
      <w:pPr>
        <w:ind w:left="2268" w:hanging="2268"/>
        <w:rPr>
          <w:rFonts w:cs="Arial"/>
          <w:b/>
          <w:sz w:val="22"/>
          <w:szCs w:val="22"/>
          <w:lang w:val="en-AU"/>
        </w:rPr>
      </w:pPr>
    </w:p>
    <w:p w14:paraId="266CC965" w14:textId="39D22D25" w:rsidR="00167996" w:rsidRPr="007F1C1D" w:rsidRDefault="00167996" w:rsidP="000570A5">
      <w:pPr>
        <w:ind w:left="2268" w:hanging="2268"/>
        <w:rPr>
          <w:rFonts w:cs="Arial"/>
          <w:sz w:val="22"/>
          <w:szCs w:val="22"/>
          <w:lang w:val="en-AU"/>
        </w:rPr>
      </w:pPr>
      <w:r w:rsidRPr="007F1C1D">
        <w:rPr>
          <w:rFonts w:cs="Arial"/>
          <w:b/>
          <w:sz w:val="22"/>
          <w:szCs w:val="22"/>
          <w:lang w:val="en-AU"/>
        </w:rPr>
        <w:t>2017 -    SC53-37/38:</w:t>
      </w:r>
      <w:r w:rsidRPr="007F1C1D">
        <w:rPr>
          <w:rFonts w:cs="Arial"/>
          <w:sz w:val="22"/>
          <w:szCs w:val="22"/>
          <w:lang w:val="en-AU"/>
        </w:rPr>
        <w:tab/>
        <w:t xml:space="preserve">Allocation of budget </w:t>
      </w:r>
    </w:p>
    <w:p w14:paraId="74DF5F37" w14:textId="77777777" w:rsidR="000570A5" w:rsidRDefault="000570A5" w:rsidP="000570A5">
      <w:pPr>
        <w:ind w:left="2268" w:hanging="2268"/>
        <w:rPr>
          <w:rFonts w:cs="Arial"/>
          <w:b/>
          <w:sz w:val="22"/>
          <w:szCs w:val="22"/>
          <w:lang w:val="en-AU"/>
        </w:rPr>
      </w:pPr>
    </w:p>
    <w:p w14:paraId="3676E1E9" w14:textId="585FF8F9" w:rsidR="00167996" w:rsidRPr="007F1C1D" w:rsidRDefault="00167996" w:rsidP="000570A5">
      <w:pPr>
        <w:ind w:left="2268" w:hanging="2268"/>
        <w:rPr>
          <w:rFonts w:cs="Arial"/>
          <w:sz w:val="22"/>
          <w:szCs w:val="22"/>
          <w:lang w:val="en-AU"/>
        </w:rPr>
      </w:pPr>
      <w:r w:rsidRPr="007F1C1D">
        <w:rPr>
          <w:rFonts w:cs="Arial"/>
          <w:b/>
          <w:sz w:val="22"/>
          <w:szCs w:val="22"/>
          <w:lang w:val="en-AU"/>
        </w:rPr>
        <w:t>2017 -    SC53-12:</w:t>
      </w:r>
      <w:r w:rsidR="008171B8" w:rsidRPr="007F1C1D">
        <w:rPr>
          <w:rFonts w:cs="Arial"/>
          <w:sz w:val="22"/>
          <w:szCs w:val="22"/>
          <w:lang w:val="en-AU"/>
        </w:rPr>
        <w:tab/>
        <w:t>A</w:t>
      </w:r>
      <w:r w:rsidRPr="007F1C1D">
        <w:rPr>
          <w:rFonts w:cs="Arial"/>
          <w:sz w:val="22"/>
          <w:szCs w:val="22"/>
          <w:lang w:val="en-AU"/>
        </w:rPr>
        <w:t xml:space="preserve">sks the Secretariat to prepare a draft resolution, taking into account information in the report by the working group, for </w:t>
      </w:r>
      <w:r w:rsidR="007F1428">
        <w:rPr>
          <w:rFonts w:cs="Arial"/>
          <w:sz w:val="22"/>
          <w:szCs w:val="22"/>
          <w:lang w:val="en-AU"/>
        </w:rPr>
        <w:t>COP</w:t>
      </w:r>
      <w:r w:rsidRPr="007F1C1D">
        <w:rPr>
          <w:rFonts w:cs="Arial"/>
          <w:sz w:val="22"/>
          <w:szCs w:val="22"/>
          <w:lang w:val="en-AU"/>
        </w:rPr>
        <w:t xml:space="preserve">13 </w:t>
      </w:r>
    </w:p>
    <w:p w14:paraId="429653D4" w14:textId="77777777" w:rsidR="000570A5" w:rsidRDefault="000570A5" w:rsidP="000570A5">
      <w:pPr>
        <w:ind w:left="2268" w:hanging="2268"/>
        <w:rPr>
          <w:rFonts w:cs="Arial"/>
          <w:b/>
          <w:sz w:val="22"/>
          <w:szCs w:val="22"/>
          <w:lang w:val="en-AU"/>
        </w:rPr>
      </w:pPr>
    </w:p>
    <w:p w14:paraId="09C586A8" w14:textId="639ABECB" w:rsidR="00167996" w:rsidRPr="007F1C1D" w:rsidRDefault="00167996" w:rsidP="000570A5">
      <w:pPr>
        <w:ind w:left="2268" w:hanging="2268"/>
        <w:rPr>
          <w:rFonts w:cs="Arial"/>
          <w:sz w:val="22"/>
          <w:szCs w:val="22"/>
          <w:lang w:val="en-AU"/>
        </w:rPr>
      </w:pPr>
      <w:r w:rsidRPr="007F1C1D">
        <w:rPr>
          <w:rFonts w:cs="Arial"/>
          <w:b/>
          <w:sz w:val="22"/>
          <w:szCs w:val="22"/>
          <w:lang w:val="en-AU"/>
        </w:rPr>
        <w:t>2017 -    SC53-11:</w:t>
      </w:r>
      <w:r w:rsidR="008171B8" w:rsidRPr="007F1C1D">
        <w:rPr>
          <w:rFonts w:cs="Arial"/>
          <w:sz w:val="22"/>
          <w:szCs w:val="22"/>
          <w:lang w:val="en-AU"/>
        </w:rPr>
        <w:tab/>
        <w:t>N</w:t>
      </w:r>
      <w:r w:rsidRPr="007F1C1D">
        <w:rPr>
          <w:rFonts w:cs="Arial"/>
          <w:sz w:val="22"/>
          <w:szCs w:val="22"/>
          <w:lang w:val="en-AU"/>
        </w:rPr>
        <w:t xml:space="preserve">otes that some Parties would continue implement the Operational Guidelines in effect as of </w:t>
      </w:r>
      <w:r w:rsidR="007F1428">
        <w:rPr>
          <w:rFonts w:cs="Arial"/>
          <w:sz w:val="22"/>
          <w:szCs w:val="22"/>
          <w:lang w:val="en-AU"/>
        </w:rPr>
        <w:t>COP</w:t>
      </w:r>
      <w:r w:rsidRPr="007F1C1D">
        <w:rPr>
          <w:rFonts w:cs="Arial"/>
          <w:sz w:val="22"/>
          <w:szCs w:val="22"/>
          <w:lang w:val="en-AU"/>
        </w:rPr>
        <w:t xml:space="preserve">12 (cf. SC46-28 – Guidelines to 2015) </w:t>
      </w:r>
    </w:p>
    <w:p w14:paraId="58435BB1" w14:textId="77777777" w:rsidR="000570A5" w:rsidRDefault="000570A5" w:rsidP="000570A5">
      <w:pPr>
        <w:ind w:left="2268" w:hanging="2268"/>
        <w:rPr>
          <w:rFonts w:cs="Arial"/>
          <w:b/>
          <w:sz w:val="22"/>
          <w:szCs w:val="22"/>
          <w:lang w:val="en-AU"/>
        </w:rPr>
      </w:pPr>
    </w:p>
    <w:p w14:paraId="79CB9ACB" w14:textId="325093D0" w:rsidR="00167996" w:rsidRPr="007F1C1D" w:rsidRDefault="00167996" w:rsidP="000570A5">
      <w:pPr>
        <w:ind w:left="2268" w:hanging="2268"/>
        <w:rPr>
          <w:rFonts w:cs="Arial"/>
          <w:sz w:val="22"/>
          <w:szCs w:val="22"/>
          <w:lang w:val="en-AU"/>
        </w:rPr>
      </w:pPr>
      <w:r w:rsidRPr="007F1C1D">
        <w:rPr>
          <w:rFonts w:cs="Arial"/>
          <w:b/>
          <w:sz w:val="22"/>
          <w:szCs w:val="22"/>
          <w:lang w:val="en-AU"/>
        </w:rPr>
        <w:t>2017 -    SC53-09:</w:t>
      </w:r>
      <w:r w:rsidRPr="007F1C1D">
        <w:rPr>
          <w:rFonts w:cs="Arial"/>
          <w:sz w:val="22"/>
          <w:szCs w:val="22"/>
          <w:lang w:val="en-AU"/>
        </w:rPr>
        <w:tab/>
        <w:t xml:space="preserve">allocates core budget funds to 4 new RRIs for their activities in 2017 </w:t>
      </w:r>
    </w:p>
    <w:p w14:paraId="160DDCC7" w14:textId="77777777" w:rsidR="000570A5" w:rsidRDefault="000570A5" w:rsidP="000570A5">
      <w:pPr>
        <w:ind w:left="2268" w:hanging="2268"/>
        <w:rPr>
          <w:rFonts w:cs="Arial"/>
          <w:b/>
          <w:sz w:val="22"/>
          <w:szCs w:val="22"/>
          <w:lang w:val="en-AU"/>
        </w:rPr>
      </w:pPr>
    </w:p>
    <w:p w14:paraId="12FE4DB1" w14:textId="105488B9" w:rsidR="00167996" w:rsidRPr="007F1C1D" w:rsidRDefault="00167996" w:rsidP="000570A5">
      <w:pPr>
        <w:ind w:left="2268" w:hanging="2268"/>
        <w:rPr>
          <w:rFonts w:cs="Arial"/>
          <w:sz w:val="22"/>
          <w:szCs w:val="22"/>
          <w:lang w:val="en-AU"/>
        </w:rPr>
      </w:pPr>
      <w:r w:rsidRPr="007F1C1D">
        <w:rPr>
          <w:rFonts w:cs="Arial"/>
          <w:b/>
          <w:sz w:val="22"/>
          <w:szCs w:val="22"/>
          <w:lang w:val="en-AU"/>
        </w:rPr>
        <w:t>2016 -    SC52-20:</w:t>
      </w:r>
      <w:r w:rsidRPr="007F1C1D">
        <w:rPr>
          <w:rFonts w:cs="Arial"/>
          <w:sz w:val="22"/>
          <w:szCs w:val="22"/>
          <w:lang w:val="en-AU"/>
        </w:rPr>
        <w:t xml:space="preserve"> </w:t>
      </w:r>
      <w:r w:rsidRPr="007F1C1D">
        <w:rPr>
          <w:rFonts w:cs="Arial"/>
          <w:sz w:val="22"/>
          <w:szCs w:val="22"/>
          <w:lang w:val="en-AU"/>
        </w:rPr>
        <w:tab/>
        <w:t xml:space="preserve">endorses 4 new RRIs operating in the framework of the Convention (cf. in the table below) </w:t>
      </w:r>
    </w:p>
    <w:p w14:paraId="341766F3" w14:textId="77777777" w:rsidR="000570A5" w:rsidRDefault="000570A5" w:rsidP="000570A5">
      <w:pPr>
        <w:ind w:left="2268" w:hanging="2268"/>
        <w:rPr>
          <w:rFonts w:cs="Arial"/>
          <w:b/>
          <w:sz w:val="22"/>
          <w:szCs w:val="22"/>
          <w:lang w:val="en-AU"/>
        </w:rPr>
      </w:pPr>
    </w:p>
    <w:p w14:paraId="40F7412A" w14:textId="4D28DF9D" w:rsidR="00167996" w:rsidRPr="007F1C1D" w:rsidRDefault="00167996" w:rsidP="000570A5">
      <w:pPr>
        <w:ind w:left="2268" w:hanging="2268"/>
        <w:rPr>
          <w:rFonts w:cs="Arial"/>
          <w:sz w:val="22"/>
          <w:szCs w:val="22"/>
          <w:lang w:val="en-AU"/>
        </w:rPr>
      </w:pPr>
      <w:r w:rsidRPr="007F1C1D">
        <w:rPr>
          <w:rFonts w:cs="Arial"/>
          <w:b/>
          <w:sz w:val="22"/>
          <w:szCs w:val="22"/>
          <w:lang w:val="en-AU"/>
        </w:rPr>
        <w:t>2016 -    SC52-19:</w:t>
      </w:r>
      <w:r w:rsidRPr="007F1C1D">
        <w:rPr>
          <w:rFonts w:cs="Arial"/>
          <w:sz w:val="22"/>
          <w:szCs w:val="22"/>
          <w:lang w:val="en-AU"/>
        </w:rPr>
        <w:tab/>
        <w:t xml:space="preserve">Asked Working Group with help of Secretariat to present a summary report of any issues re. RRIs and any related proposals </w:t>
      </w:r>
    </w:p>
    <w:p w14:paraId="47A39660" w14:textId="77777777" w:rsidR="000570A5" w:rsidRDefault="000570A5" w:rsidP="000570A5">
      <w:pPr>
        <w:ind w:left="2268" w:hanging="2268"/>
        <w:rPr>
          <w:rFonts w:cs="Arial"/>
          <w:b/>
          <w:sz w:val="22"/>
          <w:szCs w:val="22"/>
          <w:lang w:val="en-AU"/>
        </w:rPr>
      </w:pPr>
    </w:p>
    <w:p w14:paraId="688BB522" w14:textId="5602E1F7" w:rsidR="00167996" w:rsidRPr="007F1C1D" w:rsidRDefault="00167996" w:rsidP="000570A5">
      <w:pPr>
        <w:ind w:left="2268" w:hanging="2268"/>
        <w:rPr>
          <w:rFonts w:cs="Arial"/>
          <w:sz w:val="22"/>
          <w:szCs w:val="22"/>
          <w:lang w:val="en-AU"/>
        </w:rPr>
      </w:pPr>
      <w:r w:rsidRPr="007F1C1D">
        <w:rPr>
          <w:rFonts w:cs="Arial"/>
          <w:b/>
          <w:sz w:val="22"/>
          <w:szCs w:val="22"/>
          <w:lang w:val="en-AU"/>
        </w:rPr>
        <w:t>2016 -    SC52-18:</w:t>
      </w:r>
      <w:r w:rsidRPr="007F1C1D">
        <w:rPr>
          <w:rFonts w:cs="Arial"/>
          <w:sz w:val="22"/>
          <w:szCs w:val="22"/>
          <w:lang w:val="en-AU"/>
        </w:rPr>
        <w:tab/>
        <w:t xml:space="preserve">Asked Working Group to assess applicability of Operational Guidelines as approved before SC53 </w:t>
      </w:r>
    </w:p>
    <w:p w14:paraId="4A37A59E" w14:textId="77777777" w:rsidR="000570A5" w:rsidRDefault="000570A5" w:rsidP="000570A5">
      <w:pPr>
        <w:ind w:left="2268" w:hanging="2268"/>
        <w:rPr>
          <w:rFonts w:cs="Arial"/>
          <w:b/>
          <w:sz w:val="22"/>
          <w:szCs w:val="22"/>
          <w:lang w:val="en-AU"/>
        </w:rPr>
      </w:pPr>
    </w:p>
    <w:p w14:paraId="52B0C120" w14:textId="4B6058B3" w:rsidR="00167996" w:rsidRPr="007F1C1D" w:rsidRDefault="00167996" w:rsidP="000570A5">
      <w:pPr>
        <w:ind w:left="2268" w:hanging="2268"/>
        <w:rPr>
          <w:rFonts w:cs="Arial"/>
          <w:sz w:val="22"/>
          <w:szCs w:val="22"/>
          <w:lang w:val="en-AU"/>
        </w:rPr>
      </w:pPr>
      <w:r w:rsidRPr="007F1C1D">
        <w:rPr>
          <w:rFonts w:cs="Arial"/>
          <w:b/>
          <w:sz w:val="22"/>
          <w:szCs w:val="22"/>
          <w:lang w:val="en-AU"/>
        </w:rPr>
        <w:t>2016 -    SC52-17:</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 xml:space="preserve">ndorses 15 ongoing RRIs operating in the framework of the Convention in 2016-2018 (cf. in the table below) </w:t>
      </w:r>
    </w:p>
    <w:p w14:paraId="145503CE" w14:textId="77777777" w:rsidR="000570A5" w:rsidRDefault="000570A5" w:rsidP="000570A5">
      <w:pPr>
        <w:ind w:left="2268" w:hanging="2268"/>
        <w:rPr>
          <w:rFonts w:cs="Arial"/>
          <w:b/>
          <w:sz w:val="22"/>
          <w:szCs w:val="22"/>
          <w:lang w:val="en-AU"/>
        </w:rPr>
      </w:pPr>
    </w:p>
    <w:p w14:paraId="61EDD86B" w14:textId="1AB7B2DA" w:rsidR="00167996" w:rsidRPr="007F1C1D" w:rsidRDefault="00167996" w:rsidP="000570A5">
      <w:pPr>
        <w:ind w:left="2268" w:hanging="2268"/>
        <w:rPr>
          <w:rFonts w:cs="Arial"/>
          <w:sz w:val="22"/>
          <w:szCs w:val="22"/>
          <w:lang w:val="en-AU"/>
        </w:rPr>
      </w:pPr>
      <w:r w:rsidRPr="007F1C1D">
        <w:rPr>
          <w:rFonts w:cs="Arial"/>
          <w:b/>
          <w:sz w:val="22"/>
          <w:szCs w:val="22"/>
          <w:lang w:val="en-AU"/>
        </w:rPr>
        <w:t>2016 -    SC52-16</w:t>
      </w:r>
      <w:r w:rsidR="008171B8" w:rsidRPr="007F1C1D">
        <w:rPr>
          <w:rFonts w:cs="Arial"/>
          <w:b/>
          <w:sz w:val="22"/>
          <w:szCs w:val="22"/>
          <w:lang w:val="en-AU"/>
        </w:rPr>
        <w:t>:</w:t>
      </w:r>
      <w:r w:rsidRPr="007F1C1D">
        <w:rPr>
          <w:rFonts w:cs="Arial"/>
          <w:sz w:val="22"/>
          <w:szCs w:val="22"/>
          <w:lang w:val="en-AU"/>
        </w:rPr>
        <w:tab/>
        <w:t xml:space="preserve">Adopted Operational Guidelines </w:t>
      </w:r>
    </w:p>
    <w:p w14:paraId="254AD82E" w14:textId="77777777" w:rsidR="000570A5" w:rsidRDefault="000570A5" w:rsidP="000570A5">
      <w:pPr>
        <w:ind w:left="2268" w:hanging="2268"/>
        <w:rPr>
          <w:rFonts w:cs="Arial"/>
          <w:b/>
          <w:sz w:val="22"/>
          <w:szCs w:val="22"/>
          <w:lang w:val="en-AU"/>
        </w:rPr>
      </w:pPr>
    </w:p>
    <w:p w14:paraId="7C945B02" w14:textId="72A0FE5B" w:rsidR="00167996" w:rsidRPr="007F1C1D" w:rsidRDefault="008171B8" w:rsidP="000570A5">
      <w:pPr>
        <w:ind w:left="2268" w:hanging="2268"/>
        <w:rPr>
          <w:rFonts w:cs="Arial"/>
          <w:sz w:val="22"/>
          <w:szCs w:val="22"/>
          <w:lang w:val="en-AU"/>
        </w:rPr>
      </w:pPr>
      <w:r w:rsidRPr="007F1C1D">
        <w:rPr>
          <w:rFonts w:cs="Arial"/>
          <w:b/>
          <w:sz w:val="22"/>
          <w:szCs w:val="22"/>
          <w:lang w:val="en-AU"/>
        </w:rPr>
        <w:t>2015 -    SC51-14:</w:t>
      </w:r>
      <w:r w:rsidRPr="007F1C1D">
        <w:rPr>
          <w:rFonts w:cs="Arial"/>
          <w:sz w:val="22"/>
          <w:szCs w:val="22"/>
          <w:lang w:val="en-AU"/>
        </w:rPr>
        <w:tab/>
        <w:t>A</w:t>
      </w:r>
      <w:r w:rsidR="00167996" w:rsidRPr="007F1C1D">
        <w:rPr>
          <w:rFonts w:cs="Arial"/>
          <w:sz w:val="22"/>
          <w:szCs w:val="22"/>
          <w:lang w:val="en-AU"/>
        </w:rPr>
        <w:t xml:space="preserve">sked proposed new RRIs to submit relevant information for consideration by SC52 </w:t>
      </w:r>
    </w:p>
    <w:p w14:paraId="23A3775F" w14:textId="77777777" w:rsidR="000570A5" w:rsidRDefault="000570A5" w:rsidP="000570A5">
      <w:pPr>
        <w:ind w:left="2268" w:hanging="2268"/>
        <w:rPr>
          <w:rFonts w:cs="Arial"/>
          <w:b/>
          <w:sz w:val="22"/>
          <w:szCs w:val="22"/>
          <w:lang w:val="en-AU"/>
        </w:rPr>
      </w:pPr>
    </w:p>
    <w:p w14:paraId="62744945" w14:textId="159C2E28" w:rsidR="00167996" w:rsidRPr="007F1C1D" w:rsidRDefault="008171B8" w:rsidP="000570A5">
      <w:pPr>
        <w:ind w:left="2268" w:hanging="2268"/>
        <w:rPr>
          <w:rFonts w:cs="Arial"/>
          <w:sz w:val="22"/>
          <w:szCs w:val="22"/>
          <w:lang w:val="en-AU"/>
        </w:rPr>
      </w:pPr>
      <w:r w:rsidRPr="007F1C1D">
        <w:rPr>
          <w:rFonts w:cs="Arial"/>
          <w:b/>
          <w:sz w:val="22"/>
          <w:szCs w:val="22"/>
          <w:lang w:val="en-AU"/>
        </w:rPr>
        <w:t>2015 -    SC51-13:</w:t>
      </w:r>
      <w:r w:rsidRPr="007F1C1D">
        <w:rPr>
          <w:rFonts w:cs="Arial"/>
          <w:sz w:val="22"/>
          <w:szCs w:val="22"/>
          <w:lang w:val="en-AU"/>
        </w:rPr>
        <w:tab/>
        <w:t>A</w:t>
      </w:r>
      <w:r w:rsidR="00167996" w:rsidRPr="007F1C1D">
        <w:rPr>
          <w:rFonts w:cs="Arial"/>
          <w:sz w:val="22"/>
          <w:szCs w:val="22"/>
          <w:lang w:val="en-AU"/>
        </w:rPr>
        <w:t xml:space="preserve">sks a workshop to revise the Operational Guidelines immediately before SC52 </w:t>
      </w:r>
    </w:p>
    <w:p w14:paraId="73CF3CE3" w14:textId="77777777" w:rsidR="000570A5" w:rsidRDefault="000570A5" w:rsidP="000570A5">
      <w:pPr>
        <w:ind w:left="2268" w:hanging="2268"/>
        <w:rPr>
          <w:rFonts w:cs="Arial"/>
          <w:b/>
          <w:sz w:val="22"/>
          <w:szCs w:val="22"/>
          <w:lang w:val="en-AU"/>
        </w:rPr>
      </w:pPr>
    </w:p>
    <w:p w14:paraId="222BCB7D" w14:textId="5A39BB31" w:rsidR="00167996" w:rsidRPr="007F1C1D" w:rsidRDefault="00167996" w:rsidP="000570A5">
      <w:pPr>
        <w:ind w:left="2268" w:hanging="2268"/>
        <w:rPr>
          <w:rFonts w:cs="Arial"/>
          <w:sz w:val="22"/>
          <w:szCs w:val="22"/>
          <w:lang w:val="en-AU"/>
        </w:rPr>
      </w:pPr>
      <w:r w:rsidRPr="007F1C1D">
        <w:rPr>
          <w:rFonts w:cs="Arial"/>
          <w:b/>
          <w:sz w:val="22"/>
          <w:szCs w:val="22"/>
          <w:lang w:val="en-AU"/>
        </w:rPr>
        <w:t xml:space="preserve">2015 </w:t>
      </w:r>
      <w:r w:rsidR="008171B8" w:rsidRPr="007F1C1D">
        <w:rPr>
          <w:rFonts w:cs="Arial"/>
          <w:b/>
          <w:sz w:val="22"/>
          <w:szCs w:val="22"/>
          <w:lang w:val="en-AU"/>
        </w:rPr>
        <w:t>-    SC51-12:</w:t>
      </w:r>
      <w:r w:rsidR="008171B8" w:rsidRPr="007F1C1D">
        <w:rPr>
          <w:rFonts w:cs="Arial"/>
          <w:sz w:val="22"/>
          <w:szCs w:val="22"/>
          <w:lang w:val="en-AU"/>
        </w:rPr>
        <w:tab/>
        <w:t>A</w:t>
      </w:r>
      <w:r w:rsidRPr="007F1C1D">
        <w:rPr>
          <w:rFonts w:cs="Arial"/>
          <w:sz w:val="22"/>
          <w:szCs w:val="22"/>
          <w:lang w:val="en-AU"/>
        </w:rPr>
        <w:t xml:space="preserve">sks the Secretariat to complete the assessment of existing RRIs and to support a common communications strategy </w:t>
      </w:r>
    </w:p>
    <w:p w14:paraId="4AFDF4EB" w14:textId="77777777" w:rsidR="000570A5" w:rsidRDefault="000570A5" w:rsidP="000570A5">
      <w:pPr>
        <w:ind w:left="2268" w:hanging="2268"/>
        <w:rPr>
          <w:rFonts w:cs="Arial"/>
          <w:b/>
          <w:sz w:val="22"/>
          <w:szCs w:val="22"/>
          <w:lang w:val="en-AU"/>
        </w:rPr>
      </w:pPr>
    </w:p>
    <w:p w14:paraId="052A31B6" w14:textId="200DC2FC" w:rsidR="00167996" w:rsidRPr="007F1C1D" w:rsidRDefault="00167996" w:rsidP="000570A5">
      <w:pPr>
        <w:ind w:left="2268" w:hanging="2268"/>
        <w:rPr>
          <w:rFonts w:cs="Arial"/>
          <w:sz w:val="22"/>
          <w:szCs w:val="22"/>
          <w:lang w:val="en-AU"/>
        </w:rPr>
      </w:pPr>
      <w:r w:rsidRPr="007F1C1D">
        <w:rPr>
          <w:rFonts w:cs="Arial"/>
          <w:b/>
          <w:sz w:val="22"/>
          <w:szCs w:val="22"/>
          <w:lang w:val="en-AU"/>
        </w:rPr>
        <w:t xml:space="preserve">2015 </w:t>
      </w:r>
      <w:r w:rsidR="008171B8" w:rsidRPr="007F1C1D">
        <w:rPr>
          <w:rFonts w:cs="Arial"/>
          <w:b/>
          <w:sz w:val="22"/>
          <w:szCs w:val="22"/>
          <w:lang w:val="en-AU"/>
        </w:rPr>
        <w:t>-    SC51-11:</w:t>
      </w:r>
      <w:r w:rsidR="008171B8" w:rsidRPr="007F1C1D">
        <w:rPr>
          <w:rFonts w:cs="Arial"/>
          <w:sz w:val="22"/>
          <w:szCs w:val="22"/>
          <w:lang w:val="en-AU"/>
        </w:rPr>
        <w:tab/>
        <w:t>E</w:t>
      </w:r>
      <w:r w:rsidRPr="007F1C1D">
        <w:rPr>
          <w:rFonts w:cs="Arial"/>
          <w:sz w:val="22"/>
          <w:szCs w:val="22"/>
          <w:lang w:val="en-AU"/>
        </w:rPr>
        <w:t xml:space="preserve">stablishes a working group to examine implications of proposed new Operational Guidelines for RRIs </w:t>
      </w:r>
    </w:p>
    <w:p w14:paraId="4C2E62E1" w14:textId="77777777" w:rsidR="000570A5" w:rsidRDefault="000570A5" w:rsidP="000570A5">
      <w:pPr>
        <w:ind w:left="2268" w:hanging="2268"/>
        <w:rPr>
          <w:rFonts w:cs="Arial"/>
          <w:b/>
          <w:sz w:val="22"/>
          <w:szCs w:val="22"/>
          <w:lang w:val="en-AU"/>
        </w:rPr>
      </w:pPr>
    </w:p>
    <w:p w14:paraId="3EC1C88B" w14:textId="07D331E9" w:rsidR="00167996" w:rsidRPr="007F1C1D" w:rsidRDefault="00167996" w:rsidP="000570A5">
      <w:pPr>
        <w:ind w:left="2268" w:hanging="2268"/>
        <w:rPr>
          <w:rFonts w:cs="Arial"/>
          <w:sz w:val="22"/>
          <w:szCs w:val="22"/>
          <w:lang w:val="en-AU"/>
        </w:rPr>
      </w:pPr>
      <w:r w:rsidRPr="007F1C1D">
        <w:rPr>
          <w:rFonts w:cs="Arial"/>
          <w:b/>
          <w:sz w:val="22"/>
          <w:szCs w:val="22"/>
          <w:lang w:val="en-AU"/>
        </w:rPr>
        <w:t>2015-</w:t>
      </w:r>
      <w:r w:rsidR="007F1428">
        <w:rPr>
          <w:rFonts w:cs="Arial"/>
          <w:b/>
          <w:sz w:val="22"/>
          <w:szCs w:val="22"/>
          <w:lang w:val="en-AU"/>
        </w:rPr>
        <w:t>COP</w:t>
      </w:r>
      <w:r w:rsidRPr="007F1C1D">
        <w:rPr>
          <w:rFonts w:cs="Arial"/>
          <w:b/>
          <w:sz w:val="22"/>
          <w:szCs w:val="22"/>
          <w:lang w:val="en-AU"/>
        </w:rPr>
        <w:t>12 Res. XII.8:</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D</w:t>
      </w:r>
      <w:r w:rsidRPr="007F1C1D">
        <w:rPr>
          <w:rFonts w:cs="Arial"/>
          <w:sz w:val="22"/>
          <w:szCs w:val="22"/>
          <w:lang w:val="en-AU"/>
        </w:rPr>
        <w:t xml:space="preserve">efines an operational framework for RRIs during 2016-2018, instructs SC to review the </w:t>
      </w:r>
      <w:r w:rsidRPr="007F1C1D">
        <w:rPr>
          <w:rFonts w:cs="Arial"/>
          <w:i/>
          <w:sz w:val="22"/>
          <w:szCs w:val="22"/>
          <w:lang w:val="en-AU"/>
        </w:rPr>
        <w:t>Operational Guidelines</w:t>
      </w:r>
      <w:r w:rsidRPr="007F1C1D">
        <w:rPr>
          <w:rFonts w:cs="Arial"/>
          <w:sz w:val="22"/>
          <w:szCs w:val="22"/>
          <w:lang w:val="en-AU"/>
        </w:rPr>
        <w:t xml:space="preserve"> adopted through Decision SC46-28, no later than SC52 </w:t>
      </w:r>
    </w:p>
    <w:p w14:paraId="4E70A0B3" w14:textId="77777777" w:rsidR="000570A5" w:rsidRDefault="000570A5" w:rsidP="000570A5">
      <w:pPr>
        <w:ind w:left="2268" w:hanging="2268"/>
        <w:rPr>
          <w:rFonts w:cs="Arial"/>
          <w:b/>
          <w:sz w:val="22"/>
          <w:szCs w:val="22"/>
          <w:lang w:val="en-AU"/>
        </w:rPr>
      </w:pPr>
    </w:p>
    <w:p w14:paraId="2B374388" w14:textId="2067F00B" w:rsidR="00167996" w:rsidRPr="007F1C1D" w:rsidRDefault="00167996" w:rsidP="000570A5">
      <w:pPr>
        <w:ind w:left="2268" w:hanging="2268"/>
        <w:rPr>
          <w:rFonts w:cs="Arial"/>
          <w:sz w:val="22"/>
          <w:szCs w:val="22"/>
          <w:lang w:val="en-AU"/>
        </w:rPr>
      </w:pPr>
      <w:r w:rsidRPr="007F1C1D">
        <w:rPr>
          <w:rFonts w:cs="Arial"/>
          <w:b/>
          <w:sz w:val="22"/>
          <w:szCs w:val="22"/>
          <w:lang w:val="en-AU"/>
        </w:rPr>
        <w:t>2015 -    SC48-25:</w:t>
      </w:r>
      <w:r w:rsidR="008171B8" w:rsidRPr="007F1C1D">
        <w:rPr>
          <w:rFonts w:cs="Arial"/>
          <w:sz w:val="22"/>
          <w:szCs w:val="22"/>
          <w:lang w:val="en-AU"/>
        </w:rPr>
        <w:tab/>
        <w:t>A</w:t>
      </w:r>
      <w:r w:rsidRPr="007F1C1D">
        <w:rPr>
          <w:rFonts w:cs="Arial"/>
          <w:sz w:val="22"/>
          <w:szCs w:val="22"/>
          <w:lang w:val="en-AU"/>
        </w:rPr>
        <w:t xml:space="preserve">pproves the draft resolution on RRIs to be submitted to </w:t>
      </w:r>
      <w:r w:rsidR="007F1428">
        <w:rPr>
          <w:rFonts w:cs="Arial"/>
          <w:sz w:val="22"/>
          <w:szCs w:val="22"/>
          <w:lang w:val="en-AU"/>
        </w:rPr>
        <w:t>COP</w:t>
      </w:r>
      <w:r w:rsidRPr="007F1C1D">
        <w:rPr>
          <w:rFonts w:cs="Arial"/>
          <w:sz w:val="22"/>
          <w:szCs w:val="22"/>
          <w:lang w:val="en-AU"/>
        </w:rPr>
        <w:t xml:space="preserve">12 </w:t>
      </w:r>
    </w:p>
    <w:p w14:paraId="79744732" w14:textId="77777777" w:rsidR="000570A5" w:rsidRDefault="000570A5" w:rsidP="000570A5">
      <w:pPr>
        <w:ind w:left="2268" w:hanging="2268"/>
        <w:rPr>
          <w:rFonts w:cs="Arial"/>
          <w:b/>
          <w:sz w:val="22"/>
          <w:szCs w:val="22"/>
          <w:lang w:val="en-AU"/>
        </w:rPr>
      </w:pPr>
    </w:p>
    <w:p w14:paraId="02267361" w14:textId="6BAA25AD" w:rsidR="00167996" w:rsidRPr="007F1C1D" w:rsidRDefault="00167996" w:rsidP="000570A5">
      <w:pPr>
        <w:ind w:left="2268" w:hanging="2268"/>
        <w:rPr>
          <w:rFonts w:cs="Arial"/>
          <w:sz w:val="22"/>
          <w:szCs w:val="22"/>
          <w:lang w:val="en-AU"/>
        </w:rPr>
      </w:pPr>
      <w:r w:rsidRPr="007F1C1D">
        <w:rPr>
          <w:rFonts w:cs="Arial"/>
          <w:b/>
          <w:sz w:val="22"/>
          <w:szCs w:val="22"/>
          <w:lang w:val="en-AU"/>
        </w:rPr>
        <w:t>2014 -    SC47-26:</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 xml:space="preserve">ndorses 15 ongoing RRIs operating in the framework of the Convention 2013-2015 and asked Secretariat to help RRIs to develop ties with regional conventions to strengthen local rootedness etc. </w:t>
      </w:r>
    </w:p>
    <w:p w14:paraId="15357014" w14:textId="77777777" w:rsidR="000570A5" w:rsidRDefault="000570A5" w:rsidP="000570A5">
      <w:pPr>
        <w:ind w:left="2268" w:hanging="2268"/>
        <w:rPr>
          <w:rFonts w:cs="Arial"/>
          <w:b/>
          <w:sz w:val="22"/>
          <w:szCs w:val="22"/>
          <w:lang w:val="en-AU"/>
        </w:rPr>
      </w:pPr>
    </w:p>
    <w:p w14:paraId="182501D8" w14:textId="23873628" w:rsidR="00167996" w:rsidRPr="007F1C1D" w:rsidRDefault="00167996" w:rsidP="000570A5">
      <w:pPr>
        <w:ind w:left="2268" w:hanging="2268"/>
        <w:rPr>
          <w:rFonts w:cs="Arial"/>
          <w:sz w:val="22"/>
          <w:szCs w:val="22"/>
          <w:lang w:val="en-AU"/>
        </w:rPr>
      </w:pPr>
      <w:r w:rsidRPr="007F1C1D">
        <w:rPr>
          <w:rFonts w:cs="Arial"/>
          <w:b/>
          <w:sz w:val="22"/>
          <w:szCs w:val="22"/>
          <w:lang w:val="en-AU"/>
        </w:rPr>
        <w:t>2014 -    SC47-10:</w:t>
      </w:r>
      <w:r w:rsidR="008171B8" w:rsidRPr="007F1C1D">
        <w:rPr>
          <w:rFonts w:cs="Arial"/>
          <w:sz w:val="22"/>
          <w:szCs w:val="22"/>
          <w:lang w:val="en-AU"/>
        </w:rPr>
        <w:tab/>
        <w:t>A</w:t>
      </w:r>
      <w:r w:rsidRPr="007F1C1D">
        <w:rPr>
          <w:rFonts w:cs="Arial"/>
          <w:sz w:val="22"/>
          <w:szCs w:val="22"/>
          <w:lang w:val="en-AU"/>
        </w:rPr>
        <w:t xml:space="preserve">llocates core budget funds to 6 RRIs for their activities in 2014 </w:t>
      </w:r>
    </w:p>
    <w:p w14:paraId="24D8B52B" w14:textId="77777777" w:rsidR="000570A5" w:rsidRDefault="000570A5" w:rsidP="000570A5">
      <w:pPr>
        <w:ind w:left="2268" w:hanging="2268"/>
        <w:rPr>
          <w:rFonts w:cs="Arial"/>
          <w:b/>
          <w:sz w:val="22"/>
          <w:szCs w:val="22"/>
          <w:lang w:val="en-AU"/>
        </w:rPr>
      </w:pPr>
    </w:p>
    <w:p w14:paraId="5EC47863" w14:textId="6D16F598" w:rsidR="00167996" w:rsidRPr="007F1C1D" w:rsidRDefault="00167996" w:rsidP="000570A5">
      <w:pPr>
        <w:ind w:left="2268" w:hanging="2268"/>
        <w:rPr>
          <w:rFonts w:cs="Arial"/>
          <w:sz w:val="22"/>
          <w:szCs w:val="22"/>
          <w:lang w:val="en-AU"/>
        </w:rPr>
      </w:pPr>
      <w:r w:rsidRPr="007F1C1D">
        <w:rPr>
          <w:rFonts w:cs="Arial"/>
          <w:b/>
          <w:sz w:val="22"/>
          <w:szCs w:val="22"/>
          <w:lang w:val="en-AU"/>
        </w:rPr>
        <w:t>2013 -    SC46-28:</w:t>
      </w:r>
      <w:r w:rsidRPr="007F1C1D">
        <w:rPr>
          <w:rFonts w:cs="Arial"/>
          <w:sz w:val="22"/>
          <w:szCs w:val="22"/>
          <w:lang w:val="en-AU"/>
        </w:rPr>
        <w:tab/>
      </w:r>
      <w:r w:rsidR="008171B8" w:rsidRPr="007F1C1D">
        <w:rPr>
          <w:rFonts w:cs="Arial"/>
          <w:sz w:val="22"/>
          <w:szCs w:val="22"/>
          <w:lang w:val="en-AU"/>
        </w:rPr>
        <w:t>A</w:t>
      </w:r>
      <w:r w:rsidRPr="007F1C1D">
        <w:rPr>
          <w:rFonts w:cs="Arial"/>
          <w:sz w:val="22"/>
          <w:szCs w:val="22"/>
          <w:lang w:val="en-AU"/>
        </w:rPr>
        <w:t xml:space="preserve">dopts revised </w:t>
      </w:r>
      <w:r w:rsidRPr="007F1C1D">
        <w:rPr>
          <w:rFonts w:cs="Arial"/>
          <w:i/>
          <w:sz w:val="22"/>
          <w:szCs w:val="22"/>
          <w:lang w:val="en-AU"/>
        </w:rPr>
        <w:t>Operational Guidelines 2013-2015</w:t>
      </w:r>
      <w:r w:rsidRPr="007F1C1D">
        <w:rPr>
          <w:rFonts w:cs="Arial"/>
          <w:sz w:val="22"/>
          <w:szCs w:val="22"/>
          <w:lang w:val="en-AU"/>
        </w:rPr>
        <w:t xml:space="preserve"> for RRIs </w:t>
      </w:r>
    </w:p>
    <w:p w14:paraId="2BAFC7E1" w14:textId="77777777" w:rsidR="000570A5" w:rsidRDefault="000570A5" w:rsidP="000570A5">
      <w:pPr>
        <w:ind w:left="2268" w:hanging="2268"/>
        <w:rPr>
          <w:rFonts w:cs="Arial"/>
          <w:b/>
          <w:sz w:val="22"/>
          <w:szCs w:val="22"/>
          <w:lang w:val="en-AU"/>
        </w:rPr>
      </w:pPr>
    </w:p>
    <w:p w14:paraId="324B524C" w14:textId="05AF2875" w:rsidR="00167996" w:rsidRPr="007F1C1D" w:rsidRDefault="00167996" w:rsidP="000570A5">
      <w:pPr>
        <w:ind w:left="2268" w:hanging="2268"/>
        <w:rPr>
          <w:rFonts w:cs="Arial"/>
          <w:sz w:val="22"/>
          <w:szCs w:val="22"/>
          <w:lang w:val="en-AU"/>
        </w:rPr>
      </w:pPr>
      <w:r w:rsidRPr="007F1C1D">
        <w:rPr>
          <w:rFonts w:cs="Arial"/>
          <w:b/>
          <w:sz w:val="22"/>
          <w:szCs w:val="22"/>
          <w:lang w:val="en-AU"/>
        </w:rPr>
        <w:t>2013 -    SC46-23:</w:t>
      </w:r>
      <w:r w:rsidR="008171B8" w:rsidRPr="007F1C1D">
        <w:rPr>
          <w:rFonts w:cs="Arial"/>
          <w:sz w:val="22"/>
          <w:szCs w:val="22"/>
          <w:lang w:val="en-AU"/>
        </w:rPr>
        <w:tab/>
        <w:t>A</w:t>
      </w:r>
      <w:r w:rsidRPr="007F1C1D">
        <w:rPr>
          <w:rFonts w:cs="Arial"/>
          <w:sz w:val="22"/>
          <w:szCs w:val="22"/>
          <w:lang w:val="en-AU"/>
        </w:rPr>
        <w:t xml:space="preserve">llocates core budget funds to 6 RRIs for their activities in 2013 </w:t>
      </w:r>
    </w:p>
    <w:p w14:paraId="49AAE672" w14:textId="77777777" w:rsidR="000570A5" w:rsidRDefault="000570A5" w:rsidP="000570A5">
      <w:pPr>
        <w:ind w:left="2268" w:hanging="2268"/>
        <w:rPr>
          <w:rFonts w:cs="Arial"/>
          <w:b/>
          <w:sz w:val="22"/>
          <w:szCs w:val="22"/>
          <w:lang w:val="en-AU"/>
        </w:rPr>
      </w:pPr>
    </w:p>
    <w:p w14:paraId="0EA0E968" w14:textId="3EC293BF" w:rsidR="00167996" w:rsidRPr="007F1C1D" w:rsidRDefault="00167996" w:rsidP="000570A5">
      <w:pPr>
        <w:ind w:left="2268" w:hanging="2268"/>
        <w:rPr>
          <w:rFonts w:cs="Arial"/>
          <w:sz w:val="22"/>
          <w:szCs w:val="22"/>
          <w:lang w:val="en-AU"/>
        </w:rPr>
      </w:pPr>
      <w:r w:rsidRPr="007F1C1D">
        <w:rPr>
          <w:rFonts w:cs="Arial"/>
          <w:b/>
          <w:sz w:val="22"/>
          <w:szCs w:val="22"/>
          <w:lang w:val="en-AU"/>
        </w:rPr>
        <w:t>2013 -    SC46-13:</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 xml:space="preserve">ndorses 15 ongoing RRIs operating in the framework of the Convention during 2013, and highlights shortcomings </w:t>
      </w:r>
    </w:p>
    <w:p w14:paraId="6B2B1F71" w14:textId="77777777" w:rsidR="000570A5" w:rsidRDefault="000570A5" w:rsidP="000570A5">
      <w:pPr>
        <w:ind w:left="2268" w:hanging="2268"/>
        <w:rPr>
          <w:rFonts w:cs="Arial"/>
          <w:b/>
          <w:sz w:val="22"/>
          <w:szCs w:val="22"/>
          <w:lang w:val="en-AU"/>
        </w:rPr>
      </w:pPr>
    </w:p>
    <w:p w14:paraId="4E26EC4F" w14:textId="7457E64D" w:rsidR="00167996" w:rsidRPr="007F1C1D" w:rsidRDefault="00167996" w:rsidP="000570A5">
      <w:pPr>
        <w:ind w:left="2268" w:hanging="2268"/>
        <w:rPr>
          <w:rFonts w:cs="Arial"/>
          <w:sz w:val="22"/>
          <w:szCs w:val="22"/>
          <w:lang w:val="en-AU"/>
        </w:rPr>
      </w:pPr>
      <w:r w:rsidRPr="007F1C1D">
        <w:rPr>
          <w:rFonts w:cs="Arial"/>
          <w:b/>
          <w:sz w:val="22"/>
          <w:szCs w:val="22"/>
          <w:lang w:val="en-AU"/>
        </w:rPr>
        <w:t>2012-</w:t>
      </w:r>
      <w:r w:rsidR="007F1428">
        <w:rPr>
          <w:rFonts w:cs="Arial"/>
          <w:b/>
          <w:sz w:val="22"/>
          <w:szCs w:val="22"/>
          <w:lang w:val="en-AU"/>
        </w:rPr>
        <w:t>COP</w:t>
      </w:r>
      <w:r w:rsidRPr="007F1C1D">
        <w:rPr>
          <w:rFonts w:cs="Arial"/>
          <w:b/>
          <w:sz w:val="22"/>
          <w:szCs w:val="22"/>
          <w:lang w:val="en-AU"/>
        </w:rPr>
        <w:t>11 Res. XI.5:</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D</w:t>
      </w:r>
      <w:r w:rsidRPr="007F1C1D">
        <w:rPr>
          <w:rFonts w:cs="Arial"/>
          <w:sz w:val="22"/>
          <w:szCs w:val="22"/>
          <w:lang w:val="en-AU"/>
        </w:rPr>
        <w:t xml:space="preserve">efines an operational framework for RRIs during 2013-2015, approves continued validity of the Operational Guidelines 2009-12 for 2013-2015 </w:t>
      </w:r>
    </w:p>
    <w:p w14:paraId="137C7D54" w14:textId="77777777" w:rsidR="000570A5" w:rsidRDefault="000570A5" w:rsidP="000570A5">
      <w:pPr>
        <w:ind w:left="2268" w:hanging="2268"/>
        <w:rPr>
          <w:rFonts w:cs="Arial"/>
          <w:b/>
          <w:sz w:val="22"/>
          <w:szCs w:val="22"/>
          <w:lang w:val="en-AU"/>
        </w:rPr>
      </w:pPr>
    </w:p>
    <w:p w14:paraId="46446F03" w14:textId="7B91627E" w:rsidR="00167996" w:rsidRPr="007F1C1D" w:rsidRDefault="00167996" w:rsidP="000570A5">
      <w:pPr>
        <w:ind w:left="2268" w:hanging="2268"/>
        <w:rPr>
          <w:rFonts w:cs="Arial"/>
          <w:sz w:val="22"/>
          <w:szCs w:val="22"/>
          <w:lang w:val="en-AU"/>
        </w:rPr>
      </w:pPr>
      <w:r w:rsidRPr="007F1C1D">
        <w:rPr>
          <w:rFonts w:cs="Arial"/>
          <w:b/>
          <w:sz w:val="22"/>
          <w:szCs w:val="22"/>
          <w:lang w:val="en-AU"/>
        </w:rPr>
        <w:t>2011 -    SC43-11:</w:t>
      </w:r>
      <w:r w:rsidR="008171B8" w:rsidRPr="007F1C1D">
        <w:rPr>
          <w:rFonts w:cs="Arial"/>
          <w:sz w:val="22"/>
          <w:szCs w:val="22"/>
          <w:lang w:val="en-AU"/>
        </w:rPr>
        <w:tab/>
        <w:t>A</w:t>
      </w:r>
      <w:r w:rsidRPr="007F1C1D">
        <w:rPr>
          <w:rFonts w:cs="Arial"/>
          <w:sz w:val="22"/>
          <w:szCs w:val="22"/>
          <w:lang w:val="en-AU"/>
        </w:rPr>
        <w:t xml:space="preserve">sks for an independent assessment of the Ramsar Centres in Asia and Africa, and its results to be incorporated in the draft resolution for </w:t>
      </w:r>
      <w:r w:rsidR="007F1428">
        <w:rPr>
          <w:rFonts w:cs="Arial"/>
          <w:sz w:val="22"/>
          <w:szCs w:val="22"/>
          <w:lang w:val="en-AU"/>
        </w:rPr>
        <w:t>COP</w:t>
      </w:r>
      <w:r w:rsidRPr="007F1C1D">
        <w:rPr>
          <w:rFonts w:cs="Arial"/>
          <w:sz w:val="22"/>
          <w:szCs w:val="22"/>
          <w:lang w:val="en-AU"/>
        </w:rPr>
        <w:t xml:space="preserve">11 </w:t>
      </w:r>
    </w:p>
    <w:p w14:paraId="580C1CC5" w14:textId="77777777" w:rsidR="000570A5" w:rsidRDefault="000570A5" w:rsidP="000570A5">
      <w:pPr>
        <w:ind w:left="2268" w:hanging="2268"/>
        <w:rPr>
          <w:rFonts w:cs="Arial"/>
          <w:b/>
          <w:sz w:val="22"/>
          <w:szCs w:val="22"/>
          <w:lang w:val="en-AU"/>
        </w:rPr>
      </w:pPr>
    </w:p>
    <w:p w14:paraId="4A639789" w14:textId="721CDB0B" w:rsidR="00167996" w:rsidRPr="007F1C1D" w:rsidRDefault="00167996" w:rsidP="000570A5">
      <w:pPr>
        <w:ind w:left="2268" w:hanging="2268"/>
        <w:rPr>
          <w:rFonts w:cs="Arial"/>
          <w:sz w:val="22"/>
          <w:szCs w:val="22"/>
          <w:lang w:val="en-AU"/>
        </w:rPr>
      </w:pPr>
      <w:r w:rsidRPr="007F1C1D">
        <w:rPr>
          <w:rFonts w:cs="Arial"/>
          <w:b/>
          <w:sz w:val="22"/>
          <w:szCs w:val="22"/>
          <w:lang w:val="en-AU"/>
        </w:rPr>
        <w:t>2011 -    SC42-20:</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 xml:space="preserve">ndorses ongoing 11 RRIs operating in the framework of the Convention in 2011 and withdraws 3 inactive initiatives </w:t>
      </w:r>
    </w:p>
    <w:p w14:paraId="04653CC8" w14:textId="77777777" w:rsidR="000570A5" w:rsidRDefault="000570A5" w:rsidP="000570A5">
      <w:pPr>
        <w:ind w:left="2268" w:hanging="2268"/>
        <w:rPr>
          <w:rFonts w:cs="Arial"/>
          <w:b/>
          <w:sz w:val="22"/>
          <w:szCs w:val="22"/>
          <w:lang w:val="en-AU"/>
        </w:rPr>
      </w:pPr>
    </w:p>
    <w:p w14:paraId="69B94D9D" w14:textId="56047765" w:rsidR="00167996" w:rsidRPr="007F1C1D" w:rsidRDefault="00167996" w:rsidP="000570A5">
      <w:pPr>
        <w:ind w:left="2268" w:hanging="2268"/>
        <w:rPr>
          <w:rFonts w:cs="Arial"/>
          <w:sz w:val="22"/>
          <w:szCs w:val="22"/>
          <w:lang w:val="en-AU"/>
        </w:rPr>
      </w:pPr>
      <w:r w:rsidRPr="007F1C1D">
        <w:rPr>
          <w:rFonts w:cs="Arial"/>
          <w:b/>
          <w:sz w:val="22"/>
          <w:szCs w:val="22"/>
          <w:lang w:val="en-AU"/>
        </w:rPr>
        <w:t>2010 -    SC41-23:</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 xml:space="preserve">ndorses 3 new RRIs operating in the framework of the Convention </w:t>
      </w:r>
    </w:p>
    <w:p w14:paraId="1635DB21" w14:textId="77777777" w:rsidR="000570A5" w:rsidRDefault="000570A5" w:rsidP="000570A5">
      <w:pPr>
        <w:ind w:left="2268" w:hanging="2268"/>
        <w:rPr>
          <w:rFonts w:cs="Arial"/>
          <w:b/>
          <w:sz w:val="22"/>
          <w:szCs w:val="22"/>
          <w:lang w:val="en-AU"/>
        </w:rPr>
      </w:pPr>
    </w:p>
    <w:p w14:paraId="04E380FE" w14:textId="7AFEA611" w:rsidR="00167996" w:rsidRPr="007F1C1D" w:rsidRDefault="00167996" w:rsidP="000570A5">
      <w:pPr>
        <w:ind w:left="2268" w:hanging="2268"/>
        <w:rPr>
          <w:rFonts w:cs="Arial"/>
          <w:sz w:val="22"/>
          <w:szCs w:val="22"/>
          <w:lang w:val="en-AU"/>
        </w:rPr>
      </w:pPr>
      <w:r w:rsidRPr="007F1C1D">
        <w:rPr>
          <w:rFonts w:cs="Arial"/>
          <w:b/>
          <w:sz w:val="22"/>
          <w:szCs w:val="22"/>
          <w:lang w:val="en-AU"/>
        </w:rPr>
        <w:t>2010 -    SC41-22:</w:t>
      </w:r>
      <w:r w:rsidR="008171B8" w:rsidRPr="007F1C1D">
        <w:rPr>
          <w:rFonts w:cs="Arial"/>
          <w:sz w:val="22"/>
          <w:szCs w:val="22"/>
          <w:lang w:val="en-AU"/>
        </w:rPr>
        <w:t xml:space="preserve"> </w:t>
      </w:r>
      <w:r w:rsidR="008171B8" w:rsidRPr="007F1C1D">
        <w:rPr>
          <w:rFonts w:cs="Arial"/>
          <w:sz w:val="22"/>
          <w:szCs w:val="22"/>
          <w:lang w:val="en-AU"/>
        </w:rPr>
        <w:tab/>
        <w:t>W</w:t>
      </w:r>
      <w:r w:rsidRPr="007F1C1D">
        <w:rPr>
          <w:rFonts w:cs="Arial"/>
          <w:sz w:val="22"/>
          <w:szCs w:val="22"/>
          <w:lang w:val="en-AU"/>
        </w:rPr>
        <w:t xml:space="preserve">elcomes the “letter of agreement” for disbursement of annual Ramsar core budget allocations to RRIs. </w:t>
      </w:r>
      <w:r w:rsidR="00806261" w:rsidRPr="007F1C1D">
        <w:rPr>
          <w:rFonts w:cs="Arial"/>
          <w:sz w:val="22"/>
          <w:szCs w:val="22"/>
          <w:lang w:val="en-AU"/>
        </w:rPr>
        <w:t>See</w:t>
      </w:r>
      <w:r w:rsidRPr="007F1C1D">
        <w:rPr>
          <w:rFonts w:cs="Arial"/>
          <w:sz w:val="22"/>
          <w:szCs w:val="22"/>
          <w:lang w:val="en-AU"/>
        </w:rPr>
        <w:t xml:space="preserve"> DOC. SC41-13, annex II, which is model cont</w:t>
      </w:r>
      <w:r w:rsidR="00806261" w:rsidRPr="007F1C1D">
        <w:rPr>
          <w:rFonts w:cs="Arial"/>
          <w:sz w:val="22"/>
          <w:szCs w:val="22"/>
          <w:lang w:val="en-AU"/>
        </w:rPr>
        <w:t>ract or ‘letter of agreement’</w:t>
      </w:r>
      <w:r w:rsidRPr="007F1C1D">
        <w:rPr>
          <w:rFonts w:cs="Arial"/>
          <w:sz w:val="22"/>
          <w:szCs w:val="22"/>
          <w:lang w:val="en-AU"/>
        </w:rPr>
        <w:t>.</w:t>
      </w:r>
    </w:p>
    <w:p w14:paraId="14259308" w14:textId="77777777" w:rsidR="000570A5" w:rsidRDefault="000570A5" w:rsidP="000570A5">
      <w:pPr>
        <w:ind w:left="2268" w:hanging="2268"/>
        <w:rPr>
          <w:rFonts w:cs="Arial"/>
          <w:b/>
          <w:sz w:val="22"/>
          <w:szCs w:val="22"/>
          <w:lang w:val="en-AU"/>
        </w:rPr>
      </w:pPr>
    </w:p>
    <w:p w14:paraId="26D8348A" w14:textId="74F5C8CF" w:rsidR="00167996" w:rsidRPr="007F1C1D" w:rsidRDefault="00167996" w:rsidP="000570A5">
      <w:pPr>
        <w:ind w:left="2268" w:hanging="2268"/>
        <w:rPr>
          <w:rFonts w:cs="Arial"/>
          <w:sz w:val="22"/>
          <w:szCs w:val="22"/>
          <w:lang w:val="en-AU"/>
        </w:rPr>
      </w:pPr>
      <w:r w:rsidRPr="007F1C1D">
        <w:rPr>
          <w:rFonts w:cs="Arial"/>
          <w:b/>
          <w:sz w:val="22"/>
          <w:szCs w:val="22"/>
          <w:lang w:val="en-AU"/>
        </w:rPr>
        <w:t>2010 -    SC41-21:</w:t>
      </w:r>
      <w:r w:rsidR="008171B8" w:rsidRPr="007F1C1D">
        <w:rPr>
          <w:rFonts w:cs="Arial"/>
          <w:sz w:val="22"/>
          <w:szCs w:val="22"/>
          <w:lang w:val="en-AU"/>
        </w:rPr>
        <w:t xml:space="preserve"> </w:t>
      </w:r>
      <w:r w:rsidR="008171B8" w:rsidRPr="007F1C1D">
        <w:rPr>
          <w:rFonts w:cs="Arial"/>
          <w:sz w:val="22"/>
          <w:szCs w:val="22"/>
          <w:lang w:val="en-AU"/>
        </w:rPr>
        <w:tab/>
        <w:t>A</w:t>
      </w:r>
      <w:r w:rsidR="00806261" w:rsidRPr="007F1C1D">
        <w:rPr>
          <w:rFonts w:cs="Arial"/>
          <w:sz w:val="22"/>
          <w:szCs w:val="22"/>
          <w:lang w:val="en-AU"/>
        </w:rPr>
        <w:t>pproves the ‘</w:t>
      </w:r>
      <w:r w:rsidRPr="007F1C1D">
        <w:rPr>
          <w:rFonts w:cs="Arial"/>
          <w:sz w:val="22"/>
          <w:szCs w:val="22"/>
          <w:lang w:val="en-AU"/>
        </w:rPr>
        <w:t>combined format for annual reporting and forward planni</w:t>
      </w:r>
      <w:r w:rsidR="00806261" w:rsidRPr="007F1C1D">
        <w:rPr>
          <w:rFonts w:cs="Arial"/>
          <w:sz w:val="22"/>
          <w:szCs w:val="22"/>
          <w:lang w:val="en-AU"/>
        </w:rPr>
        <w:t xml:space="preserve">ng’ </w:t>
      </w:r>
      <w:r w:rsidRPr="007F1C1D">
        <w:rPr>
          <w:rFonts w:cs="Arial"/>
          <w:sz w:val="22"/>
          <w:szCs w:val="22"/>
          <w:lang w:val="en-AU"/>
        </w:rPr>
        <w:t xml:space="preserve">for RRIs </w:t>
      </w:r>
    </w:p>
    <w:p w14:paraId="0CC4D175" w14:textId="77777777" w:rsidR="000570A5" w:rsidRDefault="000570A5" w:rsidP="000570A5">
      <w:pPr>
        <w:ind w:left="2268" w:hanging="2268"/>
        <w:rPr>
          <w:rFonts w:cs="Arial"/>
          <w:b/>
          <w:sz w:val="22"/>
          <w:szCs w:val="22"/>
          <w:lang w:val="en-AU"/>
        </w:rPr>
      </w:pPr>
    </w:p>
    <w:p w14:paraId="4F6468AD" w14:textId="4F58626D" w:rsidR="00167996" w:rsidRPr="007F1C1D" w:rsidRDefault="00167996" w:rsidP="000570A5">
      <w:pPr>
        <w:ind w:left="2268" w:hanging="2268"/>
        <w:rPr>
          <w:rFonts w:cs="Arial"/>
          <w:sz w:val="22"/>
          <w:szCs w:val="22"/>
          <w:lang w:val="en-AU"/>
        </w:rPr>
      </w:pPr>
      <w:r w:rsidRPr="007F1C1D">
        <w:rPr>
          <w:rFonts w:cs="Arial"/>
          <w:b/>
          <w:sz w:val="22"/>
          <w:szCs w:val="22"/>
          <w:lang w:val="en-AU"/>
        </w:rPr>
        <w:t>2010 -    SC41-20:</w:t>
      </w:r>
      <w:r w:rsidR="008171B8" w:rsidRPr="007F1C1D">
        <w:rPr>
          <w:rFonts w:cs="Arial"/>
          <w:sz w:val="22"/>
          <w:szCs w:val="22"/>
          <w:lang w:val="en-AU"/>
        </w:rPr>
        <w:tab/>
        <w:t>A</w:t>
      </w:r>
      <w:r w:rsidRPr="007F1C1D">
        <w:rPr>
          <w:rFonts w:cs="Arial"/>
          <w:sz w:val="22"/>
          <w:szCs w:val="22"/>
          <w:lang w:val="en-AU"/>
        </w:rPr>
        <w:t xml:space="preserve">llows accrual of unallocated funds for RRIs to 2011 </w:t>
      </w:r>
    </w:p>
    <w:p w14:paraId="46FF6E8F" w14:textId="77777777" w:rsidR="000570A5" w:rsidRDefault="000570A5" w:rsidP="000570A5">
      <w:pPr>
        <w:ind w:left="2268" w:hanging="2268"/>
        <w:rPr>
          <w:rFonts w:cs="Arial"/>
          <w:b/>
          <w:sz w:val="22"/>
          <w:szCs w:val="22"/>
          <w:lang w:val="en-AU"/>
        </w:rPr>
      </w:pPr>
    </w:p>
    <w:p w14:paraId="5A1086D1" w14:textId="13A54973" w:rsidR="00167996" w:rsidRPr="007F1C1D" w:rsidRDefault="00167996" w:rsidP="000570A5">
      <w:pPr>
        <w:ind w:left="2268" w:hanging="2268"/>
        <w:rPr>
          <w:rFonts w:cs="Arial"/>
          <w:sz w:val="22"/>
          <w:szCs w:val="22"/>
          <w:lang w:val="en-AU"/>
        </w:rPr>
      </w:pPr>
      <w:r w:rsidRPr="007F1C1D">
        <w:rPr>
          <w:rFonts w:cs="Arial"/>
          <w:b/>
          <w:sz w:val="22"/>
          <w:szCs w:val="22"/>
          <w:lang w:val="en-AU"/>
        </w:rPr>
        <w:t>2010 -    SC41-19:</w:t>
      </w:r>
      <w:r w:rsidR="008171B8" w:rsidRPr="007F1C1D">
        <w:rPr>
          <w:rFonts w:cs="Arial"/>
          <w:sz w:val="22"/>
          <w:szCs w:val="22"/>
          <w:lang w:val="en-AU"/>
        </w:rPr>
        <w:tab/>
        <w:t>A</w:t>
      </w:r>
      <w:r w:rsidRPr="007F1C1D">
        <w:rPr>
          <w:rFonts w:cs="Arial"/>
          <w:sz w:val="22"/>
          <w:szCs w:val="22"/>
          <w:lang w:val="en-AU"/>
        </w:rPr>
        <w:t xml:space="preserve">llocates Ramsar core budget funds to 10 RRIs </w:t>
      </w:r>
    </w:p>
    <w:p w14:paraId="6E044A03" w14:textId="77777777" w:rsidR="000570A5" w:rsidRDefault="000570A5" w:rsidP="000570A5">
      <w:pPr>
        <w:ind w:left="2268" w:hanging="2268"/>
        <w:rPr>
          <w:rFonts w:cs="Arial"/>
          <w:b/>
          <w:sz w:val="22"/>
          <w:szCs w:val="22"/>
          <w:lang w:val="en-AU"/>
        </w:rPr>
      </w:pPr>
    </w:p>
    <w:p w14:paraId="4710F530" w14:textId="02A423F6" w:rsidR="00167996" w:rsidRPr="007F1C1D" w:rsidRDefault="00167996" w:rsidP="000570A5">
      <w:pPr>
        <w:ind w:left="2268" w:hanging="2268"/>
        <w:rPr>
          <w:rFonts w:cs="Arial"/>
          <w:sz w:val="22"/>
          <w:szCs w:val="22"/>
          <w:lang w:val="en-AU"/>
        </w:rPr>
      </w:pPr>
      <w:r w:rsidRPr="007F1C1D">
        <w:rPr>
          <w:rFonts w:cs="Arial"/>
          <w:b/>
          <w:sz w:val="22"/>
          <w:szCs w:val="22"/>
          <w:lang w:val="en-AU"/>
        </w:rPr>
        <w:t>2009 -    SC40-18:</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ndorses 10 ongoing RRIs for 2009-2012 as meeting OGs (and 3 RRIs</w:t>
      </w:r>
      <w:r w:rsidR="00273318" w:rsidRPr="007F1C1D">
        <w:rPr>
          <w:rFonts w:cs="Arial"/>
          <w:sz w:val="22"/>
          <w:szCs w:val="22"/>
          <w:lang w:val="en-AU"/>
        </w:rPr>
        <w:t xml:space="preserve"> provisionally for one year. CF</w:t>
      </w:r>
      <w:r w:rsidRPr="007F1C1D">
        <w:rPr>
          <w:rFonts w:cs="Arial"/>
          <w:sz w:val="22"/>
          <w:szCs w:val="22"/>
          <w:lang w:val="en-AU"/>
        </w:rPr>
        <w:t xml:space="preserve"> SC41-23) </w:t>
      </w:r>
    </w:p>
    <w:p w14:paraId="2E1F4895" w14:textId="77777777" w:rsidR="000570A5" w:rsidRDefault="000570A5" w:rsidP="000570A5">
      <w:pPr>
        <w:ind w:left="2268" w:hanging="2268"/>
        <w:rPr>
          <w:rFonts w:cs="Arial"/>
          <w:b/>
          <w:sz w:val="22"/>
          <w:szCs w:val="22"/>
          <w:lang w:val="en-AU"/>
        </w:rPr>
      </w:pPr>
    </w:p>
    <w:p w14:paraId="709B168A" w14:textId="0DEF3DB7" w:rsidR="00167996" w:rsidRPr="007F1C1D" w:rsidRDefault="00167996" w:rsidP="000570A5">
      <w:pPr>
        <w:ind w:left="2268" w:hanging="2268"/>
        <w:rPr>
          <w:rFonts w:cs="Arial"/>
          <w:sz w:val="22"/>
          <w:szCs w:val="22"/>
          <w:lang w:val="en-AU"/>
        </w:rPr>
      </w:pPr>
      <w:r w:rsidRPr="007F1C1D">
        <w:rPr>
          <w:rFonts w:cs="Arial"/>
          <w:b/>
          <w:sz w:val="22"/>
          <w:szCs w:val="22"/>
          <w:lang w:val="en-AU"/>
        </w:rPr>
        <w:t>2009 -   SC40-15</w:t>
      </w:r>
      <w:r w:rsidR="008171B8" w:rsidRPr="007F1C1D">
        <w:rPr>
          <w:rFonts w:cs="Arial"/>
          <w:b/>
          <w:sz w:val="22"/>
          <w:szCs w:val="22"/>
          <w:lang w:val="en-AU"/>
        </w:rPr>
        <w:t>:</w:t>
      </w:r>
      <w:r w:rsidRPr="007F1C1D">
        <w:rPr>
          <w:rFonts w:cs="Arial"/>
          <w:sz w:val="22"/>
          <w:szCs w:val="22"/>
          <w:lang w:val="en-AU"/>
        </w:rPr>
        <w:tab/>
        <w:t>Adopted Evaluation Criteria to ensure operating in framework of the Convention CF Annex I of DOC. SC40-10</w:t>
      </w:r>
    </w:p>
    <w:p w14:paraId="35B0CBF4" w14:textId="77777777" w:rsidR="000570A5" w:rsidRDefault="000570A5" w:rsidP="000570A5">
      <w:pPr>
        <w:ind w:left="2268" w:hanging="2268"/>
        <w:rPr>
          <w:rFonts w:cs="Arial"/>
          <w:b/>
          <w:sz w:val="22"/>
          <w:szCs w:val="22"/>
          <w:lang w:val="en-AU"/>
        </w:rPr>
      </w:pPr>
    </w:p>
    <w:p w14:paraId="08BC9FC0" w14:textId="6214092C" w:rsidR="00167996" w:rsidRPr="007F1C1D" w:rsidRDefault="00167996" w:rsidP="000570A5">
      <w:pPr>
        <w:ind w:left="2268" w:hanging="2268"/>
        <w:rPr>
          <w:rFonts w:cs="Arial"/>
          <w:sz w:val="22"/>
          <w:szCs w:val="22"/>
          <w:lang w:val="en-AU"/>
        </w:rPr>
      </w:pPr>
      <w:r w:rsidRPr="007F1C1D">
        <w:rPr>
          <w:rFonts w:cs="Arial"/>
          <w:b/>
          <w:sz w:val="22"/>
          <w:szCs w:val="22"/>
          <w:lang w:val="en-AU"/>
        </w:rPr>
        <w:t>2009 -   SC40-16</w:t>
      </w:r>
      <w:r w:rsidR="008171B8" w:rsidRPr="007F1C1D">
        <w:rPr>
          <w:rFonts w:cs="Arial"/>
          <w:b/>
          <w:sz w:val="22"/>
          <w:szCs w:val="22"/>
          <w:lang w:val="en-AU"/>
        </w:rPr>
        <w:t>:</w:t>
      </w:r>
      <w:r w:rsidRPr="007F1C1D">
        <w:rPr>
          <w:rFonts w:cs="Arial"/>
          <w:sz w:val="22"/>
          <w:szCs w:val="22"/>
          <w:lang w:val="en-AU"/>
        </w:rPr>
        <w:tab/>
      </w:r>
      <w:r w:rsidR="00806261" w:rsidRPr="007F1C1D">
        <w:rPr>
          <w:rFonts w:cs="Arial"/>
          <w:sz w:val="22"/>
          <w:szCs w:val="22"/>
          <w:lang w:val="en-AU"/>
        </w:rPr>
        <w:t>‘</w:t>
      </w:r>
      <w:r w:rsidRPr="007F1C1D">
        <w:rPr>
          <w:rFonts w:cs="Arial"/>
          <w:sz w:val="22"/>
          <w:szCs w:val="22"/>
          <w:lang w:val="en-AU"/>
        </w:rPr>
        <w:t>Format for annual fi</w:t>
      </w:r>
      <w:r w:rsidR="00806261" w:rsidRPr="007F1C1D">
        <w:rPr>
          <w:rFonts w:cs="Arial"/>
          <w:sz w:val="22"/>
          <w:szCs w:val="22"/>
          <w:lang w:val="en-AU"/>
        </w:rPr>
        <w:t>nancial and work plan reporting’</w:t>
      </w:r>
      <w:r w:rsidRPr="007F1C1D">
        <w:rPr>
          <w:rFonts w:cs="Arial"/>
          <w:sz w:val="22"/>
          <w:szCs w:val="22"/>
          <w:lang w:val="en-AU"/>
        </w:rPr>
        <w:t xml:space="preserve">, to be used by Regional Initiatives when reporting annually to the Secretariat </w:t>
      </w:r>
    </w:p>
    <w:p w14:paraId="684543FD" w14:textId="77777777" w:rsidR="000570A5" w:rsidRDefault="000570A5" w:rsidP="000570A5">
      <w:pPr>
        <w:ind w:left="2268" w:hanging="2268"/>
        <w:rPr>
          <w:rFonts w:cs="Arial"/>
          <w:b/>
          <w:sz w:val="22"/>
          <w:szCs w:val="22"/>
          <w:lang w:val="en-AU"/>
        </w:rPr>
      </w:pPr>
    </w:p>
    <w:p w14:paraId="474946B7" w14:textId="6369AE01" w:rsidR="00167996" w:rsidRPr="007F1C1D" w:rsidRDefault="00167996" w:rsidP="000570A5">
      <w:pPr>
        <w:ind w:left="2268" w:hanging="2268"/>
        <w:rPr>
          <w:rFonts w:cs="Arial"/>
          <w:sz w:val="22"/>
          <w:szCs w:val="22"/>
          <w:lang w:val="en-AU"/>
        </w:rPr>
      </w:pPr>
      <w:r w:rsidRPr="007F1C1D">
        <w:rPr>
          <w:rFonts w:cs="Arial"/>
          <w:b/>
          <w:sz w:val="22"/>
          <w:szCs w:val="22"/>
          <w:lang w:val="en-AU"/>
        </w:rPr>
        <w:t>2008-</w:t>
      </w:r>
      <w:r w:rsidR="007F1428">
        <w:rPr>
          <w:rFonts w:cs="Arial"/>
          <w:b/>
          <w:sz w:val="22"/>
          <w:szCs w:val="22"/>
          <w:lang w:val="en-AU"/>
        </w:rPr>
        <w:t>COP</w:t>
      </w:r>
      <w:r w:rsidRPr="007F1C1D">
        <w:rPr>
          <w:rFonts w:cs="Arial"/>
          <w:b/>
          <w:sz w:val="22"/>
          <w:szCs w:val="22"/>
          <w:lang w:val="en-AU"/>
        </w:rPr>
        <w:t xml:space="preserve">10 Res. X.6: </w:t>
      </w:r>
      <w:r w:rsidRPr="007F1C1D">
        <w:rPr>
          <w:rFonts w:cs="Arial"/>
          <w:b/>
          <w:sz w:val="22"/>
          <w:szCs w:val="22"/>
          <w:lang w:val="en-AU"/>
        </w:rPr>
        <w:tab/>
      </w:r>
      <w:r w:rsidR="008171B8" w:rsidRPr="007F1C1D">
        <w:rPr>
          <w:rFonts w:cs="Arial"/>
          <w:sz w:val="22"/>
          <w:szCs w:val="22"/>
          <w:lang w:val="en-AU"/>
        </w:rPr>
        <w:t>D</w:t>
      </w:r>
      <w:r w:rsidRPr="007F1C1D">
        <w:rPr>
          <w:rFonts w:cs="Arial"/>
          <w:sz w:val="22"/>
          <w:szCs w:val="22"/>
          <w:lang w:val="en-AU"/>
        </w:rPr>
        <w:t xml:space="preserve">efines an operational framework for RRIs and provides </w:t>
      </w:r>
      <w:r w:rsidRPr="007F1C1D">
        <w:rPr>
          <w:rFonts w:cs="Arial"/>
          <w:i/>
          <w:sz w:val="22"/>
          <w:szCs w:val="22"/>
          <w:lang w:val="en-AU"/>
        </w:rPr>
        <w:t xml:space="preserve">Operational Guidelines for 2009-2012 </w:t>
      </w:r>
    </w:p>
    <w:p w14:paraId="76C0E2EA" w14:textId="77777777" w:rsidR="000570A5" w:rsidRDefault="000570A5" w:rsidP="000570A5">
      <w:pPr>
        <w:ind w:left="2268" w:hanging="2268"/>
        <w:rPr>
          <w:rFonts w:cs="Arial"/>
          <w:b/>
          <w:sz w:val="22"/>
          <w:szCs w:val="22"/>
          <w:lang w:val="en-AU"/>
        </w:rPr>
      </w:pPr>
    </w:p>
    <w:p w14:paraId="612ABCA3" w14:textId="30BDA71D" w:rsidR="00167996" w:rsidRPr="007F1C1D" w:rsidRDefault="00167996" w:rsidP="000570A5">
      <w:pPr>
        <w:ind w:left="2268" w:hanging="2268"/>
        <w:rPr>
          <w:rFonts w:cs="Arial"/>
          <w:sz w:val="22"/>
          <w:szCs w:val="22"/>
          <w:lang w:val="en-AU"/>
        </w:rPr>
      </w:pPr>
      <w:r w:rsidRPr="007F1C1D">
        <w:rPr>
          <w:rFonts w:cs="Arial"/>
          <w:b/>
          <w:sz w:val="22"/>
          <w:szCs w:val="22"/>
          <w:lang w:val="en-AU"/>
        </w:rPr>
        <w:t>2008 -    SC37-07:</w:t>
      </w:r>
      <w:r w:rsidR="008171B8" w:rsidRPr="007F1C1D">
        <w:rPr>
          <w:rFonts w:cs="Arial"/>
          <w:sz w:val="22"/>
          <w:szCs w:val="22"/>
          <w:lang w:val="en-AU"/>
        </w:rPr>
        <w:tab/>
        <w:t>A</w:t>
      </w:r>
      <w:r w:rsidRPr="007F1C1D">
        <w:rPr>
          <w:rFonts w:cs="Arial"/>
          <w:sz w:val="22"/>
          <w:szCs w:val="22"/>
          <w:lang w:val="en-AU"/>
        </w:rPr>
        <w:t xml:space="preserve">pproves the amended draft resolution on RRIs for transmission to </w:t>
      </w:r>
      <w:r w:rsidR="007F1428">
        <w:rPr>
          <w:rFonts w:cs="Arial"/>
          <w:sz w:val="22"/>
          <w:szCs w:val="22"/>
          <w:lang w:val="en-AU"/>
        </w:rPr>
        <w:t>COP</w:t>
      </w:r>
      <w:r w:rsidRPr="007F1C1D">
        <w:rPr>
          <w:rFonts w:cs="Arial"/>
          <w:sz w:val="22"/>
          <w:szCs w:val="22"/>
          <w:lang w:val="en-AU"/>
        </w:rPr>
        <w:t xml:space="preserve">10 </w:t>
      </w:r>
    </w:p>
    <w:p w14:paraId="3C083D2B" w14:textId="77777777" w:rsidR="000570A5" w:rsidRDefault="000570A5" w:rsidP="000570A5">
      <w:pPr>
        <w:ind w:left="2268" w:hanging="2268"/>
        <w:rPr>
          <w:rFonts w:cs="Arial"/>
          <w:b/>
          <w:sz w:val="22"/>
          <w:szCs w:val="22"/>
          <w:lang w:val="en-AU"/>
        </w:rPr>
      </w:pPr>
    </w:p>
    <w:p w14:paraId="3F93911B" w14:textId="795E91B1" w:rsidR="00167996" w:rsidRPr="007F1C1D" w:rsidRDefault="00167996" w:rsidP="000570A5">
      <w:pPr>
        <w:ind w:left="2268" w:hanging="2268"/>
        <w:rPr>
          <w:rFonts w:cs="Arial"/>
          <w:sz w:val="22"/>
          <w:szCs w:val="22"/>
          <w:lang w:val="en-AU"/>
        </w:rPr>
      </w:pPr>
      <w:r w:rsidRPr="007F1C1D">
        <w:rPr>
          <w:rFonts w:cs="Arial"/>
          <w:b/>
          <w:sz w:val="22"/>
          <w:szCs w:val="22"/>
          <w:lang w:val="en-AU"/>
        </w:rPr>
        <w:lastRenderedPageBreak/>
        <w:t>2008 -    SC36-19:</w:t>
      </w:r>
      <w:r w:rsidR="008171B8" w:rsidRPr="007F1C1D">
        <w:rPr>
          <w:rFonts w:cs="Arial"/>
          <w:sz w:val="22"/>
          <w:szCs w:val="22"/>
          <w:lang w:val="en-AU"/>
        </w:rPr>
        <w:tab/>
        <w:t>I</w:t>
      </w:r>
      <w:r w:rsidRPr="007F1C1D">
        <w:rPr>
          <w:rFonts w:cs="Arial"/>
          <w:sz w:val="22"/>
          <w:szCs w:val="22"/>
          <w:lang w:val="en-AU"/>
        </w:rPr>
        <w:t>nstructs the Management Working Group</w:t>
      </w:r>
      <w:r w:rsidR="00806261" w:rsidRPr="007F1C1D">
        <w:rPr>
          <w:rFonts w:cs="Arial"/>
          <w:sz w:val="22"/>
          <w:szCs w:val="22"/>
          <w:lang w:val="en-AU"/>
        </w:rPr>
        <w:t xml:space="preserve"> to make a proposal to SC37 on ‘umbrella’</w:t>
      </w:r>
      <w:r w:rsidRPr="007F1C1D">
        <w:rPr>
          <w:rFonts w:cs="Arial"/>
          <w:sz w:val="22"/>
          <w:szCs w:val="22"/>
          <w:lang w:val="en-AU"/>
        </w:rPr>
        <w:t xml:space="preserve"> RRIs </w:t>
      </w:r>
    </w:p>
    <w:p w14:paraId="6B987ED2" w14:textId="77777777" w:rsidR="000570A5" w:rsidRDefault="000570A5" w:rsidP="000570A5">
      <w:pPr>
        <w:ind w:left="2268" w:hanging="2268"/>
        <w:rPr>
          <w:rFonts w:cs="Arial"/>
          <w:b/>
          <w:sz w:val="22"/>
          <w:szCs w:val="22"/>
          <w:lang w:val="en-AU"/>
        </w:rPr>
      </w:pPr>
    </w:p>
    <w:p w14:paraId="1B32951F" w14:textId="2A006110" w:rsidR="00167996" w:rsidRPr="007F1C1D" w:rsidRDefault="00167996" w:rsidP="000570A5">
      <w:pPr>
        <w:ind w:left="2268" w:hanging="2268"/>
        <w:rPr>
          <w:rFonts w:cs="Arial"/>
          <w:sz w:val="22"/>
          <w:szCs w:val="22"/>
          <w:lang w:val="en-AU"/>
        </w:rPr>
      </w:pPr>
      <w:r w:rsidRPr="007F1C1D">
        <w:rPr>
          <w:rFonts w:cs="Arial"/>
          <w:b/>
          <w:sz w:val="22"/>
          <w:szCs w:val="22"/>
          <w:lang w:val="en-AU"/>
        </w:rPr>
        <w:t>2008 -    SC36-13:</w:t>
      </w:r>
      <w:r w:rsidR="008171B8" w:rsidRPr="007F1C1D">
        <w:rPr>
          <w:rFonts w:cs="Arial"/>
          <w:sz w:val="22"/>
          <w:szCs w:val="22"/>
          <w:lang w:val="en-AU"/>
        </w:rPr>
        <w:tab/>
        <w:t>A</w:t>
      </w:r>
      <w:r w:rsidRPr="007F1C1D">
        <w:rPr>
          <w:rFonts w:cs="Arial"/>
          <w:sz w:val="22"/>
          <w:szCs w:val="22"/>
          <w:lang w:val="en-AU"/>
        </w:rPr>
        <w:t xml:space="preserve">pproves Ramsar core budget allocations to 6 RRIs </w:t>
      </w:r>
    </w:p>
    <w:p w14:paraId="639EC8E1" w14:textId="77777777" w:rsidR="000570A5" w:rsidRDefault="000570A5" w:rsidP="000570A5">
      <w:pPr>
        <w:ind w:left="2268" w:hanging="2268"/>
        <w:rPr>
          <w:rFonts w:cs="Arial"/>
          <w:b/>
          <w:sz w:val="22"/>
          <w:szCs w:val="22"/>
          <w:lang w:val="en-AU"/>
        </w:rPr>
      </w:pPr>
    </w:p>
    <w:p w14:paraId="7E8F97B5" w14:textId="65FADA8A" w:rsidR="00167996" w:rsidRPr="007F1C1D" w:rsidRDefault="00167996" w:rsidP="000570A5">
      <w:pPr>
        <w:ind w:left="2268" w:hanging="2268"/>
        <w:rPr>
          <w:rFonts w:cs="Arial"/>
          <w:sz w:val="22"/>
          <w:szCs w:val="22"/>
          <w:lang w:val="en-AU"/>
        </w:rPr>
      </w:pPr>
      <w:r w:rsidRPr="007F1C1D">
        <w:rPr>
          <w:rFonts w:cs="Arial"/>
          <w:b/>
          <w:sz w:val="22"/>
          <w:szCs w:val="22"/>
          <w:lang w:val="en-AU"/>
        </w:rPr>
        <w:t>2007 -    SC35-7/8:</w:t>
      </w:r>
      <w:r w:rsidRPr="007F1C1D">
        <w:rPr>
          <w:rFonts w:cs="Arial"/>
          <w:sz w:val="22"/>
          <w:szCs w:val="22"/>
          <w:lang w:val="en-AU"/>
        </w:rPr>
        <w:tab/>
        <w:t xml:space="preserve">Budget and directs Secretariat to prepare overview </w:t>
      </w:r>
      <w:r w:rsidR="008171B8" w:rsidRPr="007F1C1D">
        <w:rPr>
          <w:rFonts w:cs="Arial"/>
          <w:sz w:val="22"/>
          <w:szCs w:val="22"/>
          <w:lang w:val="en-AU"/>
        </w:rPr>
        <w:t>for each SC meeting</w:t>
      </w:r>
      <w:r w:rsidRPr="007F1C1D">
        <w:rPr>
          <w:rFonts w:cs="Arial"/>
          <w:sz w:val="22"/>
          <w:szCs w:val="22"/>
          <w:lang w:val="en-AU"/>
        </w:rPr>
        <w:t xml:space="preserve">. </w:t>
      </w:r>
    </w:p>
    <w:p w14:paraId="245B8BAC" w14:textId="77777777" w:rsidR="000570A5" w:rsidRDefault="000570A5" w:rsidP="000570A5">
      <w:pPr>
        <w:ind w:left="2268" w:hanging="2268"/>
        <w:rPr>
          <w:rFonts w:cs="Arial"/>
          <w:b/>
          <w:sz w:val="22"/>
          <w:szCs w:val="22"/>
          <w:lang w:val="en-AU"/>
        </w:rPr>
      </w:pPr>
    </w:p>
    <w:p w14:paraId="65BBE59A" w14:textId="1C091AF3" w:rsidR="00167996" w:rsidRPr="007F1C1D" w:rsidRDefault="00167996" w:rsidP="000570A5">
      <w:pPr>
        <w:ind w:left="2268" w:hanging="2268"/>
        <w:rPr>
          <w:rFonts w:cs="Arial"/>
          <w:sz w:val="22"/>
          <w:szCs w:val="22"/>
          <w:lang w:val="en-AU"/>
        </w:rPr>
      </w:pPr>
      <w:r w:rsidRPr="007F1C1D">
        <w:rPr>
          <w:rFonts w:cs="Arial"/>
          <w:b/>
          <w:sz w:val="22"/>
          <w:szCs w:val="22"/>
          <w:lang w:val="en-AU"/>
        </w:rPr>
        <w:t>2006 -    SC34-21:</w:t>
      </w:r>
      <w:r w:rsidR="008171B8" w:rsidRPr="007F1C1D">
        <w:rPr>
          <w:rFonts w:cs="Arial"/>
          <w:sz w:val="22"/>
          <w:szCs w:val="22"/>
          <w:lang w:val="en-AU"/>
        </w:rPr>
        <w:tab/>
        <w:t>R</w:t>
      </w:r>
      <w:r w:rsidRPr="007F1C1D">
        <w:rPr>
          <w:rFonts w:cs="Arial"/>
          <w:sz w:val="22"/>
          <w:szCs w:val="22"/>
          <w:lang w:val="en-AU"/>
        </w:rPr>
        <w:t xml:space="preserve">egulates Ramsar core budget funding to eligible RRIs </w:t>
      </w:r>
    </w:p>
    <w:p w14:paraId="06969EC2" w14:textId="77777777" w:rsidR="000570A5" w:rsidRDefault="000570A5" w:rsidP="000570A5">
      <w:pPr>
        <w:ind w:left="2268" w:hanging="2268"/>
        <w:rPr>
          <w:rFonts w:cs="Arial"/>
          <w:b/>
          <w:sz w:val="22"/>
          <w:szCs w:val="22"/>
          <w:lang w:val="en-AU"/>
        </w:rPr>
      </w:pPr>
    </w:p>
    <w:p w14:paraId="74641FAE" w14:textId="4F04CF6E" w:rsidR="00167996" w:rsidRPr="007F1C1D" w:rsidRDefault="00167996" w:rsidP="000570A5">
      <w:pPr>
        <w:ind w:left="2268" w:hanging="2268"/>
        <w:rPr>
          <w:rFonts w:cs="Arial"/>
          <w:sz w:val="22"/>
          <w:szCs w:val="22"/>
          <w:lang w:val="en-AU"/>
        </w:rPr>
      </w:pPr>
      <w:r w:rsidRPr="007F1C1D">
        <w:rPr>
          <w:rFonts w:cs="Arial"/>
          <w:b/>
          <w:sz w:val="22"/>
          <w:szCs w:val="22"/>
          <w:lang w:val="en-AU"/>
        </w:rPr>
        <w:t>2005-</w:t>
      </w:r>
      <w:r w:rsidR="007F1428">
        <w:rPr>
          <w:rFonts w:cs="Arial"/>
          <w:b/>
          <w:sz w:val="22"/>
          <w:szCs w:val="22"/>
          <w:lang w:val="en-AU"/>
        </w:rPr>
        <w:t>COP</w:t>
      </w:r>
      <w:r w:rsidRPr="007F1C1D">
        <w:rPr>
          <w:rFonts w:cs="Arial"/>
          <w:b/>
          <w:sz w:val="22"/>
          <w:szCs w:val="22"/>
          <w:lang w:val="en-AU"/>
        </w:rPr>
        <w:t xml:space="preserve">9 Res. IX.7: </w:t>
      </w:r>
      <w:r w:rsidRPr="007F1C1D">
        <w:rPr>
          <w:rFonts w:cs="Arial"/>
          <w:sz w:val="22"/>
          <w:szCs w:val="22"/>
          <w:lang w:val="en-AU"/>
        </w:rPr>
        <w:tab/>
      </w:r>
      <w:r w:rsidR="008171B8" w:rsidRPr="007F1C1D">
        <w:rPr>
          <w:rFonts w:cs="Arial"/>
          <w:sz w:val="22"/>
          <w:szCs w:val="22"/>
          <w:lang w:val="en-AU"/>
        </w:rPr>
        <w:t>E</w:t>
      </w:r>
      <w:r w:rsidRPr="007F1C1D">
        <w:rPr>
          <w:rFonts w:cs="Arial"/>
          <w:sz w:val="22"/>
          <w:szCs w:val="22"/>
          <w:lang w:val="en-AU"/>
        </w:rPr>
        <w:t xml:space="preserve">ndorses 9 RRIs for 2006-2008, recognizes 4 potentially new RRIs, decides on Ramsar budget support for 2006 to 4 RRIs, approves MedWet budget 2006-08 </w:t>
      </w:r>
    </w:p>
    <w:p w14:paraId="208A851A" w14:textId="77777777" w:rsidR="000570A5" w:rsidRDefault="000570A5" w:rsidP="000570A5">
      <w:pPr>
        <w:ind w:left="2268" w:hanging="2268"/>
        <w:rPr>
          <w:rFonts w:cs="Arial"/>
          <w:b/>
          <w:sz w:val="22"/>
          <w:szCs w:val="22"/>
          <w:lang w:val="en-AU"/>
        </w:rPr>
      </w:pPr>
    </w:p>
    <w:p w14:paraId="40205524" w14:textId="5CBB8281" w:rsidR="00167996" w:rsidRPr="007F1C1D" w:rsidRDefault="00167996" w:rsidP="000570A5">
      <w:pPr>
        <w:ind w:left="2268" w:hanging="2268"/>
        <w:rPr>
          <w:rFonts w:cs="Arial"/>
          <w:sz w:val="22"/>
          <w:szCs w:val="22"/>
          <w:lang w:val="en-AU"/>
        </w:rPr>
      </w:pPr>
      <w:r w:rsidRPr="007F1C1D">
        <w:rPr>
          <w:rFonts w:cs="Arial"/>
          <w:b/>
          <w:sz w:val="22"/>
          <w:szCs w:val="22"/>
          <w:lang w:val="en-AU"/>
        </w:rPr>
        <w:t>2005 -    SC31-24:</w:t>
      </w:r>
      <w:r w:rsidR="008171B8" w:rsidRPr="007F1C1D">
        <w:rPr>
          <w:rFonts w:cs="Arial"/>
          <w:sz w:val="22"/>
          <w:szCs w:val="22"/>
          <w:lang w:val="en-AU"/>
        </w:rPr>
        <w:tab/>
        <w:t>P</w:t>
      </w:r>
      <w:r w:rsidRPr="007F1C1D">
        <w:rPr>
          <w:rFonts w:cs="Arial"/>
          <w:sz w:val="22"/>
          <w:szCs w:val="22"/>
          <w:lang w:val="en-AU"/>
        </w:rPr>
        <w:t xml:space="preserve">rovides instructions how to finalise the draft resolution on RRI for submission to </w:t>
      </w:r>
      <w:r w:rsidR="007F1428">
        <w:rPr>
          <w:rFonts w:cs="Arial"/>
          <w:sz w:val="22"/>
          <w:szCs w:val="22"/>
          <w:lang w:val="en-AU"/>
        </w:rPr>
        <w:t>COP</w:t>
      </w:r>
      <w:r w:rsidRPr="007F1C1D">
        <w:rPr>
          <w:rFonts w:cs="Arial"/>
          <w:sz w:val="22"/>
          <w:szCs w:val="22"/>
          <w:lang w:val="en-AU"/>
        </w:rPr>
        <w:t>9 (consistently with recommenda</w:t>
      </w:r>
      <w:r w:rsidR="004F337F" w:rsidRPr="007F1C1D">
        <w:rPr>
          <w:rFonts w:cs="Arial"/>
          <w:sz w:val="22"/>
          <w:szCs w:val="22"/>
          <w:lang w:val="en-AU"/>
        </w:rPr>
        <w:t>tions of Sub Group on Finance</w:t>
      </w:r>
      <w:r w:rsidR="008171B8" w:rsidRPr="007F1C1D">
        <w:rPr>
          <w:rFonts w:cs="Arial"/>
          <w:sz w:val="22"/>
          <w:szCs w:val="22"/>
          <w:lang w:val="en-AU"/>
        </w:rPr>
        <w:t>)</w:t>
      </w:r>
    </w:p>
    <w:p w14:paraId="0E9E54DD" w14:textId="77777777" w:rsidR="000570A5" w:rsidRDefault="000570A5" w:rsidP="000570A5">
      <w:pPr>
        <w:ind w:left="2268" w:hanging="2268"/>
        <w:rPr>
          <w:rFonts w:cs="Arial"/>
          <w:b/>
          <w:sz w:val="22"/>
          <w:szCs w:val="22"/>
          <w:lang w:val="en-AU"/>
        </w:rPr>
      </w:pPr>
    </w:p>
    <w:p w14:paraId="336F1487" w14:textId="486966EC" w:rsidR="00167996" w:rsidRPr="007F1C1D" w:rsidRDefault="00167996" w:rsidP="000570A5">
      <w:pPr>
        <w:ind w:left="2268" w:hanging="2268"/>
        <w:rPr>
          <w:rFonts w:cs="Arial"/>
          <w:sz w:val="22"/>
          <w:szCs w:val="22"/>
          <w:lang w:val="en-AU"/>
        </w:rPr>
      </w:pPr>
      <w:r w:rsidRPr="007F1C1D">
        <w:rPr>
          <w:rFonts w:cs="Arial"/>
          <w:b/>
          <w:sz w:val="22"/>
          <w:szCs w:val="22"/>
          <w:lang w:val="en-AU"/>
        </w:rPr>
        <w:t>2004 -    SC30-18:</w:t>
      </w:r>
      <w:r w:rsidR="008171B8" w:rsidRPr="007F1C1D">
        <w:rPr>
          <w:rFonts w:cs="Arial"/>
          <w:sz w:val="22"/>
          <w:szCs w:val="22"/>
          <w:lang w:val="en-AU"/>
        </w:rPr>
        <w:tab/>
        <w:t>W</w:t>
      </w:r>
      <w:r w:rsidRPr="007F1C1D">
        <w:rPr>
          <w:rFonts w:cs="Arial"/>
          <w:sz w:val="22"/>
          <w:szCs w:val="22"/>
          <w:lang w:val="en-AU"/>
        </w:rPr>
        <w:t xml:space="preserve">elcomes the bringing to life of CREHO </w:t>
      </w:r>
    </w:p>
    <w:p w14:paraId="35A974F9" w14:textId="77777777" w:rsidR="000570A5" w:rsidRDefault="000570A5" w:rsidP="000570A5">
      <w:pPr>
        <w:ind w:left="2268" w:hanging="2268"/>
        <w:rPr>
          <w:rFonts w:cs="Arial"/>
          <w:b/>
          <w:sz w:val="22"/>
          <w:szCs w:val="22"/>
          <w:lang w:val="en-AU"/>
        </w:rPr>
      </w:pPr>
    </w:p>
    <w:p w14:paraId="47735FB3" w14:textId="75400FC2" w:rsidR="00167996" w:rsidRPr="007F1C1D" w:rsidRDefault="00167996" w:rsidP="000570A5">
      <w:pPr>
        <w:ind w:left="2268" w:hanging="2268"/>
        <w:rPr>
          <w:rFonts w:cs="Arial"/>
          <w:sz w:val="22"/>
          <w:szCs w:val="22"/>
          <w:lang w:val="en-AU"/>
        </w:rPr>
      </w:pPr>
      <w:r w:rsidRPr="007F1C1D">
        <w:rPr>
          <w:rFonts w:cs="Arial"/>
          <w:b/>
          <w:sz w:val="22"/>
          <w:szCs w:val="22"/>
          <w:lang w:val="en-AU"/>
        </w:rPr>
        <w:t>2003 -    SC29-04:</w:t>
      </w:r>
      <w:r w:rsidR="008171B8" w:rsidRPr="007F1C1D">
        <w:rPr>
          <w:rFonts w:cs="Arial"/>
          <w:sz w:val="22"/>
          <w:szCs w:val="22"/>
          <w:lang w:val="en-AU"/>
        </w:rPr>
        <w:tab/>
        <w:t>E</w:t>
      </w:r>
      <w:r w:rsidRPr="007F1C1D">
        <w:rPr>
          <w:rFonts w:cs="Arial"/>
          <w:sz w:val="22"/>
          <w:szCs w:val="22"/>
          <w:lang w:val="en-AU"/>
        </w:rPr>
        <w:t>ndorses “</w:t>
      </w:r>
      <w:r w:rsidR="008171B8" w:rsidRPr="007F1C1D">
        <w:rPr>
          <w:rFonts w:cs="Arial"/>
          <w:sz w:val="22"/>
          <w:szCs w:val="22"/>
          <w:lang w:val="en-AU"/>
        </w:rPr>
        <w:t>proposed agreement</w:t>
      </w:r>
      <w:r w:rsidRPr="007F1C1D">
        <w:rPr>
          <w:rFonts w:cs="Arial"/>
          <w:sz w:val="22"/>
          <w:szCs w:val="22"/>
          <w:lang w:val="en-AU"/>
        </w:rPr>
        <w:t xml:space="preserve">” </w:t>
      </w:r>
      <w:r w:rsidR="008171B8" w:rsidRPr="007F1C1D">
        <w:rPr>
          <w:rFonts w:cs="Arial"/>
          <w:sz w:val="22"/>
          <w:szCs w:val="22"/>
          <w:lang w:val="en-AU"/>
        </w:rPr>
        <w:t xml:space="preserve">between Panama and the Secretariat on the establishment of CREHO. </w:t>
      </w:r>
    </w:p>
    <w:p w14:paraId="3ECEBF18" w14:textId="77777777" w:rsidR="000570A5" w:rsidRDefault="000570A5" w:rsidP="000570A5">
      <w:pPr>
        <w:ind w:left="2268" w:right="-217" w:hanging="2268"/>
        <w:rPr>
          <w:rFonts w:cs="Arial"/>
          <w:b/>
          <w:sz w:val="22"/>
          <w:szCs w:val="22"/>
          <w:lang w:val="en-AU"/>
        </w:rPr>
      </w:pPr>
    </w:p>
    <w:p w14:paraId="302B3C02" w14:textId="5AE2832A" w:rsidR="00167996" w:rsidRPr="007F1C1D" w:rsidRDefault="00167996" w:rsidP="000570A5">
      <w:pPr>
        <w:ind w:left="2268" w:right="-217" w:hanging="2268"/>
        <w:rPr>
          <w:rFonts w:cs="Arial"/>
          <w:sz w:val="22"/>
          <w:szCs w:val="22"/>
          <w:lang w:val="en-AU"/>
        </w:rPr>
      </w:pPr>
      <w:r w:rsidRPr="007F1C1D">
        <w:rPr>
          <w:rFonts w:cs="Arial"/>
          <w:b/>
          <w:sz w:val="22"/>
          <w:szCs w:val="22"/>
          <w:lang w:val="en-AU"/>
        </w:rPr>
        <w:t>2002-</w:t>
      </w:r>
      <w:r w:rsidR="007F1428">
        <w:rPr>
          <w:rFonts w:cs="Arial"/>
          <w:b/>
          <w:sz w:val="22"/>
          <w:szCs w:val="22"/>
          <w:lang w:val="en-AU"/>
        </w:rPr>
        <w:t>COP</w:t>
      </w:r>
      <w:r w:rsidRPr="007F1C1D">
        <w:rPr>
          <w:rFonts w:cs="Arial"/>
          <w:b/>
          <w:sz w:val="22"/>
          <w:szCs w:val="22"/>
          <w:lang w:val="en-AU"/>
        </w:rPr>
        <w:t xml:space="preserve">8 Res. VIII.41: </w:t>
      </w:r>
      <w:r w:rsidR="008171B8" w:rsidRPr="007F1C1D">
        <w:rPr>
          <w:rFonts w:cs="Arial"/>
          <w:sz w:val="22"/>
          <w:szCs w:val="22"/>
          <w:lang w:val="en-AU"/>
        </w:rPr>
        <w:t>A</w:t>
      </w:r>
      <w:r w:rsidRPr="007F1C1D">
        <w:rPr>
          <w:rFonts w:cs="Arial"/>
          <w:sz w:val="22"/>
          <w:szCs w:val="22"/>
          <w:lang w:val="en-AU"/>
        </w:rPr>
        <w:t xml:space="preserve">pproves the proposal to establish RRC-CWA, a Ramsar Regional Centre for Training and Research on Wetlands in Central and West Asia </w:t>
      </w:r>
    </w:p>
    <w:p w14:paraId="6836D502" w14:textId="77777777" w:rsidR="000570A5" w:rsidRDefault="000570A5" w:rsidP="000570A5">
      <w:pPr>
        <w:ind w:left="2268" w:hanging="2268"/>
        <w:rPr>
          <w:rFonts w:cs="Arial"/>
          <w:b/>
          <w:sz w:val="22"/>
          <w:szCs w:val="22"/>
          <w:lang w:val="en-AU"/>
        </w:rPr>
      </w:pPr>
    </w:p>
    <w:p w14:paraId="05A9D460" w14:textId="50D721C1" w:rsidR="00167996" w:rsidRPr="007F1C1D" w:rsidRDefault="00167996" w:rsidP="000570A5">
      <w:pPr>
        <w:ind w:left="2268" w:hanging="2268"/>
        <w:rPr>
          <w:rFonts w:cs="Arial"/>
          <w:sz w:val="22"/>
          <w:szCs w:val="22"/>
          <w:lang w:val="en-AU"/>
        </w:rPr>
      </w:pPr>
      <w:r w:rsidRPr="007F1C1D">
        <w:rPr>
          <w:rFonts w:cs="Arial"/>
          <w:b/>
          <w:sz w:val="22"/>
          <w:szCs w:val="22"/>
          <w:lang w:val="en-AU"/>
        </w:rPr>
        <w:t>2002-</w:t>
      </w:r>
      <w:r w:rsidR="007F1428">
        <w:rPr>
          <w:rFonts w:cs="Arial"/>
          <w:b/>
          <w:sz w:val="22"/>
          <w:szCs w:val="22"/>
          <w:lang w:val="en-AU"/>
        </w:rPr>
        <w:t>COP</w:t>
      </w:r>
      <w:r w:rsidRPr="007F1C1D">
        <w:rPr>
          <w:rFonts w:cs="Arial"/>
          <w:b/>
          <w:sz w:val="22"/>
          <w:szCs w:val="22"/>
          <w:lang w:val="en-AU"/>
        </w:rPr>
        <w:t>8 Res. VIII.30:</w:t>
      </w:r>
      <w:r w:rsidRPr="007F1C1D">
        <w:rPr>
          <w:rFonts w:cs="Arial"/>
          <w:sz w:val="22"/>
          <w:szCs w:val="22"/>
          <w:lang w:val="en-AU"/>
        </w:rPr>
        <w:t xml:space="preserve"> </w:t>
      </w:r>
      <w:r w:rsidR="008171B8" w:rsidRPr="007F1C1D">
        <w:rPr>
          <w:rFonts w:cs="Arial"/>
          <w:sz w:val="22"/>
          <w:szCs w:val="22"/>
          <w:lang w:val="en-AU"/>
        </w:rPr>
        <w:t>E</w:t>
      </w:r>
      <w:r w:rsidRPr="007F1C1D">
        <w:rPr>
          <w:rFonts w:cs="Arial"/>
          <w:sz w:val="22"/>
          <w:szCs w:val="22"/>
          <w:lang w:val="en-AU"/>
        </w:rPr>
        <w:t xml:space="preserve">stablishes Ramsar budget line for RRIs, adopts Guidance for the development of RRIs, approves MedWet budget 2003-05 </w:t>
      </w:r>
    </w:p>
    <w:p w14:paraId="7823F6E5" w14:textId="77777777" w:rsidR="000570A5" w:rsidRDefault="000570A5" w:rsidP="000570A5">
      <w:pPr>
        <w:ind w:left="2268" w:right="-76" w:hanging="2268"/>
        <w:rPr>
          <w:rFonts w:cs="Arial"/>
          <w:b/>
          <w:sz w:val="22"/>
          <w:szCs w:val="22"/>
          <w:lang w:val="en-AU"/>
        </w:rPr>
      </w:pPr>
    </w:p>
    <w:p w14:paraId="5F450A77" w14:textId="7674C12E" w:rsidR="00167996" w:rsidRPr="007F1C1D" w:rsidRDefault="00167996" w:rsidP="000570A5">
      <w:pPr>
        <w:ind w:left="2268" w:right="-76" w:hanging="2268"/>
        <w:rPr>
          <w:rFonts w:cs="Arial"/>
          <w:sz w:val="22"/>
          <w:szCs w:val="22"/>
          <w:lang w:val="en-AU"/>
        </w:rPr>
      </w:pPr>
      <w:r w:rsidRPr="007F1C1D">
        <w:rPr>
          <w:rFonts w:cs="Arial"/>
          <w:b/>
          <w:sz w:val="22"/>
          <w:szCs w:val="22"/>
          <w:lang w:val="en-AU"/>
        </w:rPr>
        <w:t>1999-</w:t>
      </w:r>
      <w:r w:rsidR="007F1428">
        <w:rPr>
          <w:rFonts w:cs="Arial"/>
          <w:b/>
          <w:sz w:val="22"/>
          <w:szCs w:val="22"/>
          <w:lang w:val="en-AU"/>
        </w:rPr>
        <w:t>COP</w:t>
      </w:r>
      <w:r w:rsidRPr="007F1C1D">
        <w:rPr>
          <w:rFonts w:cs="Arial"/>
          <w:b/>
          <w:sz w:val="22"/>
          <w:szCs w:val="22"/>
          <w:lang w:val="en-AU"/>
        </w:rPr>
        <w:t>7 Res. VII.26:</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A</w:t>
      </w:r>
      <w:r w:rsidRPr="007F1C1D">
        <w:rPr>
          <w:rFonts w:cs="Arial"/>
          <w:sz w:val="22"/>
          <w:szCs w:val="22"/>
          <w:lang w:val="en-AU"/>
        </w:rPr>
        <w:t xml:space="preserve">pproves the establishment of CREHO, the Regional Ramsar Centre for Training and Research on Wetlands in the Western Hemisphere </w:t>
      </w:r>
    </w:p>
    <w:p w14:paraId="5FA27CA0" w14:textId="77777777" w:rsidR="000570A5" w:rsidRDefault="000570A5" w:rsidP="000570A5">
      <w:pPr>
        <w:ind w:left="2268" w:hanging="2268"/>
        <w:rPr>
          <w:rFonts w:cs="Arial"/>
          <w:b/>
          <w:sz w:val="22"/>
          <w:szCs w:val="22"/>
          <w:lang w:val="en-AU"/>
        </w:rPr>
      </w:pPr>
    </w:p>
    <w:p w14:paraId="76AF5BC8" w14:textId="44FE0213" w:rsidR="00167996" w:rsidRPr="007F1C1D" w:rsidRDefault="00167996" w:rsidP="000570A5">
      <w:pPr>
        <w:ind w:left="2268" w:hanging="2268"/>
        <w:rPr>
          <w:rFonts w:cs="Arial"/>
          <w:sz w:val="22"/>
          <w:szCs w:val="22"/>
          <w:lang w:val="en-AU"/>
        </w:rPr>
      </w:pPr>
      <w:r w:rsidRPr="007F1C1D">
        <w:rPr>
          <w:rFonts w:cs="Arial"/>
          <w:b/>
          <w:sz w:val="22"/>
          <w:szCs w:val="22"/>
          <w:lang w:val="en-AU"/>
        </w:rPr>
        <w:t>1999-</w:t>
      </w:r>
      <w:r w:rsidR="007F1428">
        <w:rPr>
          <w:rFonts w:cs="Arial"/>
          <w:b/>
          <w:sz w:val="22"/>
          <w:szCs w:val="22"/>
          <w:lang w:val="en-AU"/>
        </w:rPr>
        <w:t>COP</w:t>
      </w:r>
      <w:r w:rsidRPr="007F1C1D">
        <w:rPr>
          <w:rFonts w:cs="Arial"/>
          <w:b/>
          <w:sz w:val="22"/>
          <w:szCs w:val="22"/>
          <w:lang w:val="en-AU"/>
        </w:rPr>
        <w:t>7 Res. VII.22:</w:t>
      </w:r>
      <w:r w:rsidRPr="007F1C1D">
        <w:rPr>
          <w:rFonts w:cs="Arial"/>
          <w:sz w:val="22"/>
          <w:szCs w:val="22"/>
          <w:lang w:val="en-AU"/>
        </w:rPr>
        <w:t xml:space="preserve"> </w:t>
      </w:r>
      <w:r w:rsidRPr="007F1C1D">
        <w:rPr>
          <w:rFonts w:cs="Arial"/>
          <w:sz w:val="22"/>
          <w:szCs w:val="22"/>
          <w:lang w:val="en-AU"/>
        </w:rPr>
        <w:tab/>
      </w:r>
      <w:r w:rsidR="008171B8" w:rsidRPr="007F1C1D">
        <w:rPr>
          <w:rFonts w:cs="Arial"/>
          <w:sz w:val="22"/>
          <w:szCs w:val="22"/>
          <w:lang w:val="en-AU"/>
        </w:rPr>
        <w:t>A</w:t>
      </w:r>
      <w:r w:rsidRPr="007F1C1D">
        <w:rPr>
          <w:rFonts w:cs="Arial"/>
          <w:sz w:val="22"/>
          <w:szCs w:val="22"/>
          <w:lang w:val="en-AU"/>
        </w:rPr>
        <w:t xml:space="preserve">pproves the establishment of MedWet, i.e. the Mediterranean Wetlands Committee </w:t>
      </w:r>
    </w:p>
    <w:p w14:paraId="6FA7B673" w14:textId="77777777" w:rsidR="000570A5" w:rsidRDefault="000570A5" w:rsidP="000570A5">
      <w:pPr>
        <w:ind w:left="2268" w:hanging="2268"/>
        <w:rPr>
          <w:rFonts w:cs="Arial"/>
          <w:b/>
          <w:sz w:val="22"/>
          <w:szCs w:val="22"/>
          <w:lang w:val="en-AU"/>
        </w:rPr>
      </w:pPr>
    </w:p>
    <w:p w14:paraId="4060FEB8" w14:textId="7B8670F1" w:rsidR="00167996" w:rsidRPr="007F1C1D" w:rsidRDefault="00167996" w:rsidP="000570A5">
      <w:pPr>
        <w:ind w:left="2268" w:hanging="2268"/>
        <w:rPr>
          <w:rFonts w:cs="Arial"/>
          <w:sz w:val="22"/>
          <w:szCs w:val="22"/>
          <w:lang w:val="en-AU"/>
        </w:rPr>
      </w:pPr>
      <w:r w:rsidRPr="007F1C1D">
        <w:rPr>
          <w:rFonts w:cs="Arial"/>
          <w:b/>
          <w:sz w:val="22"/>
          <w:szCs w:val="22"/>
          <w:lang w:val="en-AU"/>
        </w:rPr>
        <w:t>1999-</w:t>
      </w:r>
      <w:r w:rsidR="007F1428">
        <w:rPr>
          <w:rFonts w:cs="Arial"/>
          <w:b/>
          <w:sz w:val="22"/>
          <w:szCs w:val="22"/>
          <w:lang w:val="en-AU"/>
        </w:rPr>
        <w:t>COP</w:t>
      </w:r>
      <w:r w:rsidRPr="007F1C1D">
        <w:rPr>
          <w:rFonts w:cs="Arial"/>
          <w:b/>
          <w:sz w:val="22"/>
          <w:szCs w:val="22"/>
          <w:lang w:val="en-AU"/>
        </w:rPr>
        <w:t>7 Res. VII.19:</w:t>
      </w:r>
      <w:r w:rsidR="008171B8" w:rsidRPr="007F1C1D">
        <w:rPr>
          <w:rFonts w:cs="Arial"/>
          <w:sz w:val="22"/>
          <w:szCs w:val="22"/>
          <w:lang w:val="en-AU"/>
        </w:rPr>
        <w:tab/>
        <w:t>P</w:t>
      </w:r>
      <w:r w:rsidRPr="007F1C1D">
        <w:rPr>
          <w:rFonts w:cs="Arial"/>
          <w:sz w:val="22"/>
          <w:szCs w:val="22"/>
          <w:lang w:val="en-AU"/>
        </w:rPr>
        <w:t xml:space="preserve">rovides Guidelines for international cooperation as a framework for collaboration between CPs and other partners </w:t>
      </w:r>
    </w:p>
    <w:p w14:paraId="73582B53" w14:textId="77777777" w:rsidR="000570A5" w:rsidRDefault="000570A5" w:rsidP="000570A5">
      <w:pPr>
        <w:ind w:left="2268" w:hanging="2268"/>
        <w:rPr>
          <w:rFonts w:cs="Arial"/>
          <w:b/>
          <w:sz w:val="22"/>
          <w:szCs w:val="22"/>
          <w:lang w:val="en-AU"/>
        </w:rPr>
      </w:pPr>
    </w:p>
    <w:p w14:paraId="6418A472" w14:textId="4356C88A" w:rsidR="00167996" w:rsidRPr="007F1C1D" w:rsidRDefault="00167996" w:rsidP="000570A5">
      <w:pPr>
        <w:ind w:left="2268" w:hanging="2268"/>
        <w:rPr>
          <w:rFonts w:cs="Arial"/>
          <w:sz w:val="22"/>
          <w:szCs w:val="22"/>
          <w:lang w:val="en-AU"/>
        </w:rPr>
      </w:pPr>
      <w:r w:rsidRPr="007F1C1D">
        <w:rPr>
          <w:rFonts w:cs="Arial"/>
          <w:b/>
          <w:sz w:val="22"/>
          <w:szCs w:val="22"/>
          <w:lang w:val="en-AU"/>
        </w:rPr>
        <w:t>1996-</w:t>
      </w:r>
      <w:r w:rsidR="007F1428">
        <w:rPr>
          <w:rFonts w:cs="Arial"/>
          <w:b/>
          <w:sz w:val="22"/>
          <w:szCs w:val="22"/>
          <w:lang w:val="en-AU"/>
        </w:rPr>
        <w:t>COP</w:t>
      </w:r>
      <w:r w:rsidRPr="007F1C1D">
        <w:rPr>
          <w:rFonts w:cs="Arial"/>
          <w:b/>
          <w:sz w:val="22"/>
          <w:szCs w:val="22"/>
          <w:lang w:val="en-AU"/>
        </w:rPr>
        <w:t>6 Rec. 6.11:</w:t>
      </w:r>
      <w:r w:rsidR="008171B8" w:rsidRPr="007F1C1D">
        <w:rPr>
          <w:rFonts w:cs="Arial"/>
          <w:sz w:val="22"/>
          <w:szCs w:val="22"/>
          <w:lang w:val="en-AU"/>
        </w:rPr>
        <w:tab/>
        <w:t>W</w:t>
      </w:r>
      <w:r w:rsidRPr="007F1C1D">
        <w:rPr>
          <w:rFonts w:cs="Arial"/>
          <w:sz w:val="22"/>
          <w:szCs w:val="22"/>
          <w:lang w:val="en-AU"/>
        </w:rPr>
        <w:t xml:space="preserve">elcomes the MedWet collaboration between government and non-government partners and requests a report to </w:t>
      </w:r>
      <w:r w:rsidR="007F1428">
        <w:rPr>
          <w:rFonts w:cs="Arial"/>
          <w:sz w:val="22"/>
          <w:szCs w:val="22"/>
          <w:lang w:val="en-AU"/>
        </w:rPr>
        <w:t>COP</w:t>
      </w:r>
      <w:r w:rsidRPr="007F1C1D">
        <w:rPr>
          <w:rFonts w:cs="Arial"/>
          <w:sz w:val="22"/>
          <w:szCs w:val="22"/>
          <w:lang w:val="en-AU"/>
        </w:rPr>
        <w:t xml:space="preserve">7 </w:t>
      </w:r>
    </w:p>
    <w:p w14:paraId="68851F70" w14:textId="77777777" w:rsidR="000570A5" w:rsidRDefault="000570A5" w:rsidP="000570A5">
      <w:pPr>
        <w:ind w:left="2268" w:hanging="2268"/>
        <w:rPr>
          <w:rFonts w:cs="Arial"/>
          <w:b/>
          <w:sz w:val="22"/>
          <w:szCs w:val="22"/>
          <w:lang w:val="en-AU"/>
        </w:rPr>
      </w:pPr>
    </w:p>
    <w:p w14:paraId="20698DD2" w14:textId="305FDBEF" w:rsidR="00167996" w:rsidRPr="007F1C1D" w:rsidRDefault="00167996" w:rsidP="000570A5">
      <w:pPr>
        <w:ind w:left="2268" w:hanging="2268"/>
        <w:rPr>
          <w:rFonts w:cs="Arial"/>
          <w:sz w:val="22"/>
          <w:szCs w:val="22"/>
          <w:lang w:val="en-AU"/>
        </w:rPr>
      </w:pPr>
      <w:r w:rsidRPr="007F1C1D">
        <w:rPr>
          <w:rFonts w:cs="Arial"/>
          <w:b/>
          <w:sz w:val="22"/>
          <w:szCs w:val="22"/>
          <w:lang w:val="en-AU"/>
        </w:rPr>
        <w:t>1993-</w:t>
      </w:r>
      <w:r w:rsidR="007F1428">
        <w:rPr>
          <w:rFonts w:cs="Arial"/>
          <w:b/>
          <w:sz w:val="22"/>
          <w:szCs w:val="22"/>
          <w:lang w:val="en-AU"/>
        </w:rPr>
        <w:t>COP</w:t>
      </w:r>
      <w:r w:rsidRPr="007F1C1D">
        <w:rPr>
          <w:rFonts w:cs="Arial"/>
          <w:b/>
          <w:sz w:val="22"/>
          <w:szCs w:val="22"/>
          <w:lang w:val="en-AU"/>
        </w:rPr>
        <w:t>5 Rec. 5.14:</w:t>
      </w:r>
      <w:r w:rsidR="008171B8" w:rsidRPr="007F1C1D">
        <w:rPr>
          <w:rFonts w:cs="Arial"/>
          <w:sz w:val="22"/>
          <w:szCs w:val="22"/>
          <w:lang w:val="en-AU"/>
        </w:rPr>
        <w:tab/>
        <w:t>W</w:t>
      </w:r>
      <w:r w:rsidRPr="007F1C1D">
        <w:rPr>
          <w:rFonts w:cs="Arial"/>
          <w:sz w:val="22"/>
          <w:szCs w:val="22"/>
          <w:lang w:val="en-AU"/>
        </w:rPr>
        <w:t xml:space="preserve">elcomes the MedWet initiative as a promising approach and requests it to report on progress to </w:t>
      </w:r>
      <w:r w:rsidR="007F1428">
        <w:rPr>
          <w:rFonts w:cs="Arial"/>
          <w:sz w:val="22"/>
          <w:szCs w:val="22"/>
          <w:lang w:val="en-AU"/>
        </w:rPr>
        <w:t>COP</w:t>
      </w:r>
      <w:r w:rsidRPr="007F1C1D">
        <w:rPr>
          <w:rFonts w:cs="Arial"/>
          <w:sz w:val="22"/>
          <w:szCs w:val="22"/>
          <w:lang w:val="en-AU"/>
        </w:rPr>
        <w:t xml:space="preserve">6 </w:t>
      </w:r>
    </w:p>
    <w:p w14:paraId="469B31D3" w14:textId="2AF76CFB" w:rsidR="000570A5" w:rsidRDefault="000570A5">
      <w:pPr>
        <w:rPr>
          <w:rFonts w:cs="Arial"/>
          <w:sz w:val="22"/>
          <w:szCs w:val="22"/>
          <w:lang w:val="en-AU"/>
        </w:rPr>
      </w:pPr>
      <w:r>
        <w:rPr>
          <w:rFonts w:cs="Arial"/>
          <w:sz w:val="22"/>
          <w:szCs w:val="22"/>
          <w:lang w:val="en-AU"/>
        </w:rPr>
        <w:br w:type="page"/>
      </w:r>
    </w:p>
    <w:p w14:paraId="692820A0" w14:textId="49E40C2A" w:rsidR="0094377A" w:rsidRPr="007F1C1D" w:rsidRDefault="008B7B6E" w:rsidP="0020479E">
      <w:pPr>
        <w:spacing w:line="360" w:lineRule="auto"/>
        <w:jc w:val="center"/>
        <w:rPr>
          <w:rFonts w:cs="Arial"/>
          <w:b/>
          <w:sz w:val="22"/>
          <w:szCs w:val="22"/>
          <w:lang w:val="en-AU"/>
        </w:rPr>
      </w:pPr>
      <w:r>
        <w:rPr>
          <w:rFonts w:cs="Arial"/>
          <w:b/>
          <w:sz w:val="22"/>
          <w:szCs w:val="22"/>
          <w:lang w:val="en-AU"/>
        </w:rPr>
        <w:lastRenderedPageBreak/>
        <w:t>Appendix</w:t>
      </w:r>
      <w:r w:rsidR="0094377A" w:rsidRPr="007F1C1D">
        <w:rPr>
          <w:rFonts w:cs="Arial"/>
          <w:b/>
          <w:sz w:val="22"/>
          <w:szCs w:val="22"/>
          <w:lang w:val="en-AU"/>
        </w:rPr>
        <w:t xml:space="preserve"> 2</w:t>
      </w:r>
    </w:p>
    <w:p w14:paraId="1858F356" w14:textId="77777777" w:rsidR="00644DA9" w:rsidRPr="007F1C1D" w:rsidRDefault="00644DA9" w:rsidP="005C3DC0">
      <w:pPr>
        <w:jc w:val="center"/>
        <w:rPr>
          <w:rFonts w:cs="Arial"/>
          <w:b/>
          <w:sz w:val="22"/>
          <w:szCs w:val="22"/>
          <w:lang w:val="en-AU"/>
        </w:rPr>
      </w:pPr>
    </w:p>
    <w:tbl>
      <w:tblPr>
        <w:tblStyle w:val="TableGrid"/>
        <w:tblW w:w="0" w:type="auto"/>
        <w:tblCellMar>
          <w:top w:w="85" w:type="dxa"/>
          <w:bottom w:w="85" w:type="dxa"/>
        </w:tblCellMar>
        <w:tblLook w:val="04A0" w:firstRow="1" w:lastRow="0" w:firstColumn="1" w:lastColumn="0" w:noHBand="0" w:noVBand="1"/>
      </w:tblPr>
      <w:tblGrid>
        <w:gridCol w:w="2215"/>
        <w:gridCol w:w="6841"/>
      </w:tblGrid>
      <w:tr w:rsidR="0094377A" w:rsidRPr="007F1C1D" w14:paraId="0E596836" w14:textId="77777777" w:rsidTr="005C3DC0">
        <w:trPr>
          <w:trHeight w:val="417"/>
        </w:trPr>
        <w:tc>
          <w:tcPr>
            <w:tcW w:w="2240" w:type="dxa"/>
            <w:vAlign w:val="center"/>
          </w:tcPr>
          <w:p w14:paraId="117DC94A" w14:textId="742E3E50" w:rsidR="0094377A" w:rsidRPr="007F1C1D" w:rsidRDefault="0094377A" w:rsidP="005C3DC0">
            <w:pPr>
              <w:jc w:val="center"/>
              <w:rPr>
                <w:rFonts w:cs="Arial"/>
                <w:b/>
                <w:sz w:val="22"/>
                <w:szCs w:val="22"/>
                <w:lang w:val="en-AU"/>
              </w:rPr>
            </w:pPr>
            <w:r w:rsidRPr="007F1C1D">
              <w:rPr>
                <w:rFonts w:cs="Arial"/>
                <w:b/>
                <w:sz w:val="22"/>
                <w:szCs w:val="22"/>
                <w:lang w:val="en-AU"/>
              </w:rPr>
              <w:t xml:space="preserve">Resolution </w:t>
            </w:r>
            <w:r w:rsidR="006A0A39" w:rsidRPr="007F1C1D">
              <w:rPr>
                <w:rFonts w:cs="Arial"/>
                <w:b/>
                <w:sz w:val="22"/>
                <w:szCs w:val="22"/>
                <w:lang w:val="en-AU"/>
              </w:rPr>
              <w:t>re. RRIs</w:t>
            </w:r>
          </w:p>
        </w:tc>
        <w:tc>
          <w:tcPr>
            <w:tcW w:w="6966" w:type="dxa"/>
            <w:vAlign w:val="center"/>
          </w:tcPr>
          <w:p w14:paraId="219FE679" w14:textId="063B6704" w:rsidR="0094377A" w:rsidRPr="007F1C1D" w:rsidRDefault="00FF7DF0" w:rsidP="005C3DC0">
            <w:pPr>
              <w:jc w:val="center"/>
              <w:rPr>
                <w:rFonts w:cs="Arial"/>
                <w:b/>
                <w:sz w:val="22"/>
                <w:szCs w:val="22"/>
                <w:lang w:val="en-AU"/>
              </w:rPr>
            </w:pPr>
            <w:r w:rsidRPr="007F1C1D">
              <w:rPr>
                <w:rFonts w:cs="Arial"/>
                <w:b/>
                <w:sz w:val="22"/>
                <w:szCs w:val="22"/>
                <w:lang w:val="en-AU"/>
              </w:rPr>
              <w:t>Key points</w:t>
            </w:r>
          </w:p>
        </w:tc>
      </w:tr>
      <w:tr w:rsidR="0094377A" w:rsidRPr="00E10F49" w14:paraId="69EA782A" w14:textId="77777777" w:rsidTr="005C3DC0">
        <w:trPr>
          <w:trHeight w:val="2599"/>
        </w:trPr>
        <w:tc>
          <w:tcPr>
            <w:tcW w:w="2240" w:type="dxa"/>
          </w:tcPr>
          <w:p w14:paraId="606C3A17" w14:textId="0C05EACD" w:rsidR="0094377A" w:rsidRPr="007F1C1D" w:rsidRDefault="0094377A" w:rsidP="005C3DC0">
            <w:pPr>
              <w:rPr>
                <w:rFonts w:cs="Arial"/>
                <w:b/>
                <w:sz w:val="22"/>
                <w:szCs w:val="22"/>
                <w:lang w:val="en-AU"/>
              </w:rPr>
            </w:pPr>
            <w:r w:rsidRPr="007F1C1D">
              <w:rPr>
                <w:rFonts w:cs="Arial"/>
                <w:b/>
                <w:sz w:val="22"/>
                <w:szCs w:val="22"/>
                <w:lang w:val="en-AU"/>
              </w:rPr>
              <w:t>Resolution VIII.30</w:t>
            </w:r>
            <w:r w:rsidR="00FF7DF0" w:rsidRPr="007F1C1D">
              <w:rPr>
                <w:rFonts w:cs="Arial"/>
                <w:b/>
                <w:sz w:val="22"/>
                <w:szCs w:val="22"/>
                <w:lang w:val="en-AU"/>
              </w:rPr>
              <w:t>:</w:t>
            </w:r>
          </w:p>
          <w:p w14:paraId="16FFAAC6" w14:textId="554D8B23" w:rsidR="0094377A" w:rsidRPr="007F1C1D" w:rsidRDefault="0094377A" w:rsidP="005C3DC0">
            <w:pPr>
              <w:rPr>
                <w:rFonts w:cs="Arial"/>
                <w:sz w:val="22"/>
                <w:szCs w:val="22"/>
                <w:lang w:val="en-AU"/>
              </w:rPr>
            </w:pPr>
            <w:r w:rsidRPr="007F1C1D">
              <w:rPr>
                <w:rFonts w:cs="Arial"/>
                <w:sz w:val="22"/>
                <w:szCs w:val="22"/>
                <w:lang w:val="en-AU"/>
              </w:rPr>
              <w:t>Guidance Document</w:t>
            </w:r>
          </w:p>
        </w:tc>
        <w:tc>
          <w:tcPr>
            <w:tcW w:w="6966" w:type="dxa"/>
          </w:tcPr>
          <w:p w14:paraId="6B901330" w14:textId="60E70521" w:rsidR="0094377A" w:rsidRPr="007F1C1D" w:rsidRDefault="0094377A" w:rsidP="005C3DC0">
            <w:pPr>
              <w:pStyle w:val="ListParagraph"/>
              <w:numPr>
                <w:ilvl w:val="0"/>
                <w:numId w:val="24"/>
              </w:numPr>
              <w:rPr>
                <w:rFonts w:cs="Arial"/>
                <w:b/>
                <w:sz w:val="22"/>
                <w:szCs w:val="22"/>
                <w:lang w:val="en-AU"/>
              </w:rPr>
            </w:pPr>
            <w:r w:rsidRPr="007F1C1D">
              <w:rPr>
                <w:rFonts w:cs="Arial"/>
                <w:sz w:val="22"/>
                <w:szCs w:val="22"/>
                <w:lang w:val="en-AU"/>
              </w:rPr>
              <w:t xml:space="preserve">A regional initiative should </w:t>
            </w:r>
            <w:r w:rsidR="00806261" w:rsidRPr="007F1C1D">
              <w:rPr>
                <w:rFonts w:cs="Arial"/>
                <w:sz w:val="22"/>
                <w:szCs w:val="22"/>
                <w:lang w:val="en-AU"/>
              </w:rPr>
              <w:t xml:space="preserve">from the start </w:t>
            </w:r>
            <w:r w:rsidRPr="007F1C1D">
              <w:rPr>
                <w:rFonts w:cs="Arial"/>
                <w:sz w:val="22"/>
                <w:szCs w:val="22"/>
                <w:lang w:val="en-AU"/>
              </w:rPr>
              <w:t xml:space="preserve">include the participation of the Administrative Authorities, as well as all other relevant stakeholders including ministries responsible for environmental and water issues, intergovernmental bodies, NGOs, academia and economic actors. </w:t>
            </w:r>
          </w:p>
          <w:p w14:paraId="113CFCEB" w14:textId="77777777" w:rsidR="0094377A" w:rsidRPr="007F1C1D" w:rsidRDefault="0094377A" w:rsidP="005C3DC0">
            <w:pPr>
              <w:pStyle w:val="ListParagraph"/>
              <w:numPr>
                <w:ilvl w:val="0"/>
                <w:numId w:val="24"/>
              </w:numPr>
              <w:rPr>
                <w:rFonts w:cs="Arial"/>
                <w:b/>
                <w:sz w:val="22"/>
                <w:szCs w:val="22"/>
                <w:lang w:val="en-AU"/>
              </w:rPr>
            </w:pPr>
            <w:r w:rsidRPr="007F1C1D">
              <w:rPr>
                <w:rFonts w:cs="Arial"/>
                <w:sz w:val="22"/>
                <w:szCs w:val="22"/>
                <w:lang w:val="en-AU"/>
              </w:rPr>
              <w:t>‘The strategic and operational targets of a regional initiative should be fully aligned with the Strategic Plan of the Convention by means of policy and site technical work and activities.’</w:t>
            </w:r>
          </w:p>
          <w:p w14:paraId="69472885" w14:textId="0AC9E73B" w:rsidR="000570A5" w:rsidRPr="005C3DC0" w:rsidRDefault="0094377A" w:rsidP="005C3DC0">
            <w:pPr>
              <w:pStyle w:val="ListParagraph"/>
              <w:numPr>
                <w:ilvl w:val="0"/>
                <w:numId w:val="24"/>
              </w:numPr>
              <w:rPr>
                <w:rFonts w:cs="Arial"/>
                <w:b/>
                <w:sz w:val="22"/>
                <w:szCs w:val="22"/>
                <w:lang w:val="en-AU"/>
              </w:rPr>
            </w:pPr>
            <w:r w:rsidRPr="007F1C1D">
              <w:rPr>
                <w:rFonts w:cs="Arial"/>
                <w:sz w:val="22"/>
                <w:szCs w:val="22"/>
                <w:lang w:val="en-AU"/>
              </w:rPr>
              <w:t xml:space="preserve">Specific arrangements regarding the coordination between a regional initiative and the Convention should be worked out by the Bureau under the guidance of the Standing Committee (with the </w:t>
            </w:r>
            <w:r w:rsidR="007F1428">
              <w:rPr>
                <w:rFonts w:cs="Arial"/>
                <w:sz w:val="22"/>
                <w:szCs w:val="22"/>
                <w:lang w:val="en-AU"/>
              </w:rPr>
              <w:t>COP</w:t>
            </w:r>
            <w:r w:rsidRPr="007F1C1D">
              <w:rPr>
                <w:rFonts w:cs="Arial"/>
                <w:sz w:val="22"/>
                <w:szCs w:val="22"/>
                <w:lang w:val="en-AU"/>
              </w:rPr>
              <w:t xml:space="preserve"> ultimately approving such arrangements).</w:t>
            </w:r>
          </w:p>
        </w:tc>
      </w:tr>
      <w:tr w:rsidR="0094377A" w:rsidRPr="00E10F49" w14:paraId="488758A9" w14:textId="77777777" w:rsidTr="005C3DC0">
        <w:trPr>
          <w:trHeight w:val="7392"/>
        </w:trPr>
        <w:tc>
          <w:tcPr>
            <w:tcW w:w="2240" w:type="dxa"/>
          </w:tcPr>
          <w:p w14:paraId="001F074C" w14:textId="27F8BA0A" w:rsidR="0094377A" w:rsidRPr="007F1C1D" w:rsidRDefault="0094377A" w:rsidP="005C3DC0">
            <w:pPr>
              <w:rPr>
                <w:rFonts w:cs="Arial"/>
                <w:b/>
                <w:sz w:val="22"/>
                <w:szCs w:val="22"/>
                <w:lang w:val="en-AU"/>
              </w:rPr>
            </w:pPr>
            <w:r w:rsidRPr="007F1C1D">
              <w:rPr>
                <w:rFonts w:cs="Arial"/>
                <w:b/>
                <w:sz w:val="22"/>
                <w:szCs w:val="22"/>
                <w:lang w:val="en-AU"/>
              </w:rPr>
              <w:t>Resolution X.6</w:t>
            </w:r>
            <w:r w:rsidR="00FF7DF0" w:rsidRPr="007F1C1D">
              <w:rPr>
                <w:rFonts w:cs="Arial"/>
                <w:b/>
                <w:sz w:val="22"/>
                <w:szCs w:val="22"/>
                <w:lang w:val="en-AU"/>
              </w:rPr>
              <w:t>:</w:t>
            </w:r>
          </w:p>
          <w:p w14:paraId="4167AE73" w14:textId="3EE9BCB1" w:rsidR="0094377A" w:rsidRPr="007F1C1D" w:rsidRDefault="0094377A" w:rsidP="005C3DC0">
            <w:pPr>
              <w:rPr>
                <w:rFonts w:cs="Arial"/>
                <w:sz w:val="22"/>
                <w:szCs w:val="22"/>
                <w:lang w:val="en-AU"/>
              </w:rPr>
            </w:pPr>
            <w:r w:rsidRPr="007F1C1D">
              <w:rPr>
                <w:rFonts w:cs="Arial"/>
                <w:sz w:val="22"/>
                <w:szCs w:val="22"/>
                <w:lang w:val="en-AU"/>
              </w:rPr>
              <w:t>Operational Guidelines 2009-12</w:t>
            </w:r>
          </w:p>
          <w:p w14:paraId="6310DB24" w14:textId="1D7A83CD" w:rsidR="0094377A" w:rsidRPr="007F1C1D" w:rsidRDefault="0094377A" w:rsidP="005C3DC0">
            <w:pPr>
              <w:jc w:val="center"/>
              <w:rPr>
                <w:rFonts w:cs="Arial"/>
                <w:b/>
                <w:sz w:val="22"/>
                <w:szCs w:val="22"/>
                <w:lang w:val="en-AU"/>
              </w:rPr>
            </w:pPr>
          </w:p>
        </w:tc>
        <w:tc>
          <w:tcPr>
            <w:tcW w:w="6966" w:type="dxa"/>
          </w:tcPr>
          <w:p w14:paraId="4BBF7B13" w14:textId="19BC9A95"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RRI</w:t>
            </w:r>
            <w:r w:rsidR="00806261" w:rsidRPr="007F1C1D">
              <w:rPr>
                <w:rFonts w:cs="Arial"/>
                <w:sz w:val="22"/>
                <w:szCs w:val="22"/>
                <w:lang w:val="en-AU"/>
              </w:rPr>
              <w:t>s</w:t>
            </w:r>
            <w:r w:rsidRPr="007F1C1D">
              <w:rPr>
                <w:rFonts w:cs="Arial"/>
                <w:sz w:val="22"/>
                <w:szCs w:val="22"/>
                <w:lang w:val="en-AU"/>
              </w:rPr>
              <w:t xml:space="preserve"> are intended to provide ‘lasting, structural and operational support to facilitating and improving the implementation of the Ramsar Convention…’. Accordingly, ‘it is important to make sure that there is support from all participating Contracting Parties or a significant number of Contracting Parties in the regions concerned.’</w:t>
            </w:r>
          </w:p>
          <w:p w14:paraId="4567B902" w14:textId="36558F5A"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The Secretariat must receive regular reports from RRI</w:t>
            </w:r>
            <w:r w:rsidR="00806261" w:rsidRPr="007F1C1D">
              <w:rPr>
                <w:rFonts w:cs="Arial"/>
                <w:sz w:val="22"/>
                <w:szCs w:val="22"/>
                <w:lang w:val="en-AU"/>
              </w:rPr>
              <w:t>s</w:t>
            </w:r>
            <w:r w:rsidRPr="007F1C1D">
              <w:rPr>
                <w:rFonts w:cs="Arial"/>
                <w:sz w:val="22"/>
                <w:szCs w:val="22"/>
                <w:lang w:val="en-AU"/>
              </w:rPr>
              <w:t xml:space="preserve"> to enable it to report to the Standing Committee and </w:t>
            </w:r>
            <w:r w:rsidR="007F1428">
              <w:rPr>
                <w:rFonts w:cs="Arial"/>
                <w:sz w:val="22"/>
                <w:szCs w:val="22"/>
                <w:lang w:val="en-AU"/>
              </w:rPr>
              <w:t>COP</w:t>
            </w:r>
            <w:r w:rsidRPr="007F1C1D">
              <w:rPr>
                <w:rFonts w:cs="Arial"/>
                <w:sz w:val="22"/>
                <w:szCs w:val="22"/>
                <w:lang w:val="en-AU"/>
              </w:rPr>
              <w:t xml:space="preserve"> as required. </w:t>
            </w:r>
          </w:p>
          <w:p w14:paraId="32B8E562" w14:textId="77777777"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Contracting Parties or other members participating in a RRI need to provide professional staff to ensure a minimum level of coordination between members of the RRI.</w:t>
            </w:r>
          </w:p>
          <w:p w14:paraId="7EE84013" w14:textId="77777777"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The strategic and operational targets of the RRI should be fully aligned with the Strategic Plan of the Convention.</w:t>
            </w:r>
          </w:p>
          <w:p w14:paraId="29D6D8AB" w14:textId="77777777"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 xml:space="preserve">RRIs need to raise the visibility of the Convention and general awareness of Ramsar objectives. </w:t>
            </w:r>
          </w:p>
          <w:p w14:paraId="3966D4A1" w14:textId="77777777"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 xml:space="preserve">After an initial period of support, RRIs should become financially independent. </w:t>
            </w:r>
          </w:p>
          <w:p w14:paraId="3A5C002E" w14:textId="5FF20D0E"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 xml:space="preserve">RRIs that are recognised as operating within the framework of the Convention must submit progress reports to the Secretariat to allow time for it to report to the following </w:t>
            </w:r>
            <w:r w:rsidR="007F1428">
              <w:rPr>
                <w:rFonts w:cs="Arial"/>
                <w:sz w:val="22"/>
                <w:szCs w:val="22"/>
                <w:lang w:val="en-AU"/>
              </w:rPr>
              <w:t>COP</w:t>
            </w:r>
            <w:r w:rsidRPr="007F1C1D">
              <w:rPr>
                <w:rFonts w:cs="Arial"/>
                <w:sz w:val="22"/>
                <w:szCs w:val="22"/>
                <w:lang w:val="en-AU"/>
              </w:rPr>
              <w:t xml:space="preserve">. Further, RRIs requesting funding from the Ramsar core budget must submit annual reports of progress and financial status to the Secretariat in time for the following Standing Committee meeting. </w:t>
            </w:r>
          </w:p>
          <w:p w14:paraId="47A2447D" w14:textId="77777777" w:rsidR="0094377A" w:rsidRPr="007F1C1D" w:rsidRDefault="0094377A" w:rsidP="005C3DC0">
            <w:pPr>
              <w:pStyle w:val="ListParagraph"/>
              <w:numPr>
                <w:ilvl w:val="0"/>
                <w:numId w:val="25"/>
              </w:numPr>
              <w:rPr>
                <w:rFonts w:cs="Arial"/>
                <w:sz w:val="22"/>
                <w:szCs w:val="22"/>
                <w:lang w:val="en-AU"/>
              </w:rPr>
            </w:pPr>
            <w:r w:rsidRPr="007F1C1D">
              <w:rPr>
                <w:rFonts w:cs="Arial"/>
                <w:sz w:val="22"/>
                <w:szCs w:val="22"/>
                <w:lang w:val="en-AU"/>
              </w:rPr>
              <w:t xml:space="preserve">RRIs are to be subject to periodic assessment and review processes, to be coordinated by the Secretariat. These are to ensure that RRIs are operating within the framework of agreed work plans and following the approaches approved pursuant to Resolutions. </w:t>
            </w:r>
          </w:p>
          <w:p w14:paraId="18B3E5E6" w14:textId="2CB8600C" w:rsidR="0094377A" w:rsidRPr="005C3DC0" w:rsidRDefault="0094377A" w:rsidP="005C3DC0">
            <w:pPr>
              <w:pStyle w:val="ListParagraph"/>
              <w:numPr>
                <w:ilvl w:val="0"/>
                <w:numId w:val="25"/>
              </w:numPr>
              <w:rPr>
                <w:rFonts w:cs="Arial"/>
                <w:sz w:val="22"/>
                <w:szCs w:val="22"/>
                <w:lang w:val="en-AU"/>
              </w:rPr>
            </w:pPr>
            <w:r w:rsidRPr="007F1C1D">
              <w:rPr>
                <w:rFonts w:cs="Arial"/>
                <w:sz w:val="22"/>
                <w:szCs w:val="22"/>
                <w:lang w:val="en-AU"/>
              </w:rPr>
              <w:t xml:space="preserve">This Resolution further authorised the Standing Committee to examine and approve, between meetings of the </w:t>
            </w:r>
            <w:r w:rsidR="007F1428">
              <w:rPr>
                <w:rFonts w:cs="Arial"/>
                <w:sz w:val="22"/>
                <w:szCs w:val="22"/>
                <w:lang w:val="en-AU"/>
              </w:rPr>
              <w:t>COP</w:t>
            </w:r>
            <w:r w:rsidRPr="007F1C1D">
              <w:rPr>
                <w:rFonts w:cs="Arial"/>
                <w:sz w:val="22"/>
                <w:szCs w:val="22"/>
                <w:lang w:val="en-AU"/>
              </w:rPr>
              <w:t xml:space="preserve">, new RRIs which fully meet the Operational Guidelines 2009-12, and to develop evaluation criteria against which to assess whether RRIs operating within the framework of the Convention. </w:t>
            </w:r>
          </w:p>
        </w:tc>
      </w:tr>
      <w:tr w:rsidR="0094377A" w:rsidRPr="00E10F49" w14:paraId="26E62EA2" w14:textId="77777777" w:rsidTr="005C3DC0">
        <w:tc>
          <w:tcPr>
            <w:tcW w:w="2240" w:type="dxa"/>
          </w:tcPr>
          <w:p w14:paraId="0B611667" w14:textId="07A006C0" w:rsidR="0094377A" w:rsidRPr="007F1C1D" w:rsidRDefault="00FF7DF0" w:rsidP="005C3DC0">
            <w:pPr>
              <w:rPr>
                <w:rFonts w:cs="Arial"/>
                <w:b/>
                <w:sz w:val="22"/>
                <w:szCs w:val="22"/>
                <w:lang w:val="en-AU"/>
              </w:rPr>
            </w:pPr>
            <w:r w:rsidRPr="007F1C1D">
              <w:rPr>
                <w:rFonts w:cs="Arial"/>
                <w:b/>
                <w:sz w:val="22"/>
                <w:szCs w:val="22"/>
                <w:lang w:val="en-AU"/>
              </w:rPr>
              <w:lastRenderedPageBreak/>
              <w:t>Resolution IX.7</w:t>
            </w:r>
            <w:r w:rsidRPr="007F1C1D">
              <w:rPr>
                <w:rFonts w:cs="Arial"/>
                <w:sz w:val="22"/>
                <w:szCs w:val="22"/>
                <w:lang w:val="en-AU"/>
              </w:rPr>
              <w:t>: Regional initiatives in the framework of the Ramsar Convention</w:t>
            </w:r>
          </w:p>
        </w:tc>
        <w:tc>
          <w:tcPr>
            <w:tcW w:w="6966" w:type="dxa"/>
          </w:tcPr>
          <w:p w14:paraId="5B033186" w14:textId="2C4DE401" w:rsidR="00FF7DF0" w:rsidRPr="007F1C1D" w:rsidRDefault="00FF7DF0" w:rsidP="005C3DC0">
            <w:pPr>
              <w:pStyle w:val="ListParagraph"/>
              <w:numPr>
                <w:ilvl w:val="0"/>
                <w:numId w:val="25"/>
              </w:numPr>
              <w:rPr>
                <w:rFonts w:cs="Arial"/>
                <w:b/>
                <w:sz w:val="22"/>
                <w:szCs w:val="22"/>
                <w:lang w:val="en-AU"/>
              </w:rPr>
            </w:pPr>
            <w:r w:rsidRPr="007F1C1D">
              <w:rPr>
                <w:rFonts w:cs="Arial"/>
                <w:sz w:val="22"/>
                <w:szCs w:val="22"/>
                <w:lang w:val="en-AU"/>
              </w:rPr>
              <w:t xml:space="preserve">Authorised the Secretary-General to conclude </w:t>
            </w:r>
            <w:r w:rsidR="00435504" w:rsidRPr="007F1C1D">
              <w:rPr>
                <w:rFonts w:cs="Arial"/>
                <w:sz w:val="22"/>
                <w:szCs w:val="22"/>
                <w:lang w:val="en-AU"/>
              </w:rPr>
              <w:t>MoUs</w:t>
            </w:r>
            <w:r w:rsidRPr="007F1C1D">
              <w:rPr>
                <w:rFonts w:cs="Arial"/>
                <w:sz w:val="22"/>
                <w:szCs w:val="22"/>
                <w:lang w:val="en-AU"/>
              </w:rPr>
              <w:t xml:space="preserve"> with relevant governments and bodies with regard to the specific financial and institutional arrangements</w:t>
            </w:r>
            <w:r w:rsidR="00435504" w:rsidRPr="007F1C1D">
              <w:rPr>
                <w:rFonts w:cs="Arial"/>
                <w:sz w:val="22"/>
                <w:szCs w:val="22"/>
                <w:lang w:val="en-AU"/>
              </w:rPr>
              <w:t xml:space="preserve"> for</w:t>
            </w:r>
            <w:r w:rsidRPr="007F1C1D">
              <w:rPr>
                <w:rFonts w:cs="Arial"/>
                <w:sz w:val="22"/>
                <w:szCs w:val="22"/>
                <w:lang w:val="en-AU"/>
              </w:rPr>
              <w:t xml:space="preserve"> the initiatives listed in the Annex.</w:t>
            </w:r>
          </w:p>
          <w:p w14:paraId="26A51A14" w14:textId="2A605083" w:rsidR="0094377A" w:rsidRPr="005C3DC0" w:rsidRDefault="00FF7DF0" w:rsidP="005C3DC0">
            <w:pPr>
              <w:pStyle w:val="ListParagraph"/>
              <w:numPr>
                <w:ilvl w:val="0"/>
                <w:numId w:val="25"/>
              </w:numPr>
              <w:rPr>
                <w:rFonts w:cs="Arial"/>
                <w:b/>
                <w:sz w:val="22"/>
                <w:szCs w:val="22"/>
                <w:lang w:val="en-AU"/>
              </w:rPr>
            </w:pPr>
            <w:r w:rsidRPr="007F1C1D">
              <w:rPr>
                <w:rFonts w:cs="Arial"/>
                <w:sz w:val="22"/>
                <w:szCs w:val="22"/>
                <w:lang w:val="en-AU"/>
              </w:rPr>
              <w:t xml:space="preserve">Instructed all initiatives under the Resolution to submit to the Standing Committee a progress report, including their success on complying with the Guidance Document and ‘actions taken to replace Ramsar funds with alternative sustainable funds.’ </w:t>
            </w:r>
          </w:p>
        </w:tc>
      </w:tr>
      <w:tr w:rsidR="00337E9E" w:rsidRPr="00E10F49" w14:paraId="5F1071F4" w14:textId="77777777" w:rsidTr="005C3DC0">
        <w:tc>
          <w:tcPr>
            <w:tcW w:w="2240" w:type="dxa"/>
          </w:tcPr>
          <w:p w14:paraId="703DBF3A" w14:textId="14F093BB" w:rsidR="00337E9E" w:rsidRPr="007F1C1D" w:rsidRDefault="00337E9E" w:rsidP="005C3DC0">
            <w:pPr>
              <w:rPr>
                <w:rFonts w:cs="Arial"/>
                <w:b/>
                <w:sz w:val="22"/>
                <w:szCs w:val="22"/>
                <w:lang w:val="en-AU"/>
              </w:rPr>
            </w:pPr>
            <w:r w:rsidRPr="007F1C1D">
              <w:rPr>
                <w:rFonts w:cs="Arial"/>
                <w:b/>
                <w:sz w:val="22"/>
                <w:szCs w:val="22"/>
                <w:lang w:val="en-AU"/>
              </w:rPr>
              <w:t>Resolution XI.5</w:t>
            </w:r>
            <w:r w:rsidRPr="007F1C1D">
              <w:rPr>
                <w:rFonts w:cs="Arial"/>
                <w:sz w:val="22"/>
                <w:szCs w:val="22"/>
                <w:lang w:val="en-AU"/>
              </w:rPr>
              <w:t>: Regional Initiatives 2013-15 in the framework of the Ramsar Convention</w:t>
            </w:r>
          </w:p>
        </w:tc>
        <w:tc>
          <w:tcPr>
            <w:tcW w:w="6966" w:type="dxa"/>
          </w:tcPr>
          <w:p w14:paraId="33207038" w14:textId="7901BFB6" w:rsidR="00337E9E" w:rsidRPr="007F1C1D" w:rsidRDefault="00337E9E" w:rsidP="005C3DC0">
            <w:pPr>
              <w:pStyle w:val="ListParagraph"/>
              <w:numPr>
                <w:ilvl w:val="0"/>
                <w:numId w:val="26"/>
              </w:numPr>
              <w:rPr>
                <w:rFonts w:cs="Arial"/>
                <w:sz w:val="22"/>
                <w:szCs w:val="22"/>
                <w:lang w:val="en-AU"/>
              </w:rPr>
            </w:pPr>
            <w:r w:rsidRPr="007F1C1D">
              <w:rPr>
                <w:rFonts w:cs="Arial"/>
                <w:sz w:val="22"/>
                <w:szCs w:val="22"/>
                <w:lang w:val="en-AU"/>
              </w:rPr>
              <w:t>Instructs RRIs to provide the Standing Committee with annual reports on their progress and operations and specifically their success in fulfilling the Operational Guidelines.</w:t>
            </w:r>
          </w:p>
          <w:p w14:paraId="53C737C3" w14:textId="77777777" w:rsidR="00337E9E" w:rsidRPr="007F1C1D" w:rsidRDefault="00337E9E" w:rsidP="005C3DC0">
            <w:pPr>
              <w:pStyle w:val="ListParagraph"/>
              <w:numPr>
                <w:ilvl w:val="0"/>
                <w:numId w:val="26"/>
              </w:numPr>
              <w:rPr>
                <w:rFonts w:cs="Arial"/>
                <w:sz w:val="22"/>
                <w:szCs w:val="22"/>
                <w:lang w:val="en-AU"/>
              </w:rPr>
            </w:pPr>
            <w:r w:rsidRPr="007F1C1D">
              <w:rPr>
                <w:rFonts w:cs="Arial"/>
                <w:sz w:val="22"/>
                <w:szCs w:val="22"/>
                <w:lang w:val="en-AU"/>
              </w:rPr>
              <w:t>Instructs the Standing Committee to revise the ‘guidelines on Regional Initiatives’</w:t>
            </w:r>
            <w:r w:rsidRPr="007F1C1D">
              <w:rPr>
                <w:rStyle w:val="FootnoteReference"/>
                <w:rFonts w:cs="Arial"/>
                <w:sz w:val="22"/>
                <w:szCs w:val="22"/>
                <w:lang w:val="en-AU"/>
              </w:rPr>
              <w:footnoteReference w:id="76"/>
            </w:r>
            <w:r w:rsidRPr="007F1C1D">
              <w:rPr>
                <w:rFonts w:cs="Arial"/>
                <w:sz w:val="22"/>
                <w:szCs w:val="22"/>
                <w:lang w:val="en-AU"/>
              </w:rPr>
              <w:t xml:space="preserve"> so that a precise evaluation of their activities and their administration and financial management and long-term sustainability is possible and to use these new guidelines to determine the level of support (financial and otherwise) in the coming triennium.</w:t>
            </w:r>
          </w:p>
          <w:p w14:paraId="5FD112AF" w14:textId="77777777" w:rsidR="00337E9E" w:rsidRPr="007F1C1D" w:rsidRDefault="00337E9E" w:rsidP="005C3DC0">
            <w:pPr>
              <w:pStyle w:val="ListParagraph"/>
              <w:numPr>
                <w:ilvl w:val="0"/>
                <w:numId w:val="26"/>
              </w:numPr>
              <w:rPr>
                <w:rFonts w:cs="Arial"/>
                <w:sz w:val="22"/>
                <w:szCs w:val="22"/>
                <w:lang w:val="en-AU"/>
              </w:rPr>
            </w:pPr>
            <w:r w:rsidRPr="007F1C1D">
              <w:rPr>
                <w:rFonts w:cs="Arial"/>
                <w:sz w:val="22"/>
                <w:szCs w:val="22"/>
                <w:lang w:val="en-AU"/>
              </w:rPr>
              <w:t>Agrees to provide core budget funding to RRI that are determined by the Standing Committee to fully meet the Operational Guidelines.</w:t>
            </w:r>
          </w:p>
          <w:p w14:paraId="37578301" w14:textId="77777777" w:rsidR="00337E9E" w:rsidRPr="007F1C1D" w:rsidRDefault="00337E9E" w:rsidP="005C3DC0">
            <w:pPr>
              <w:pStyle w:val="ListParagraph"/>
              <w:numPr>
                <w:ilvl w:val="0"/>
                <w:numId w:val="26"/>
              </w:numPr>
              <w:rPr>
                <w:rFonts w:cs="Arial"/>
                <w:sz w:val="22"/>
                <w:szCs w:val="22"/>
                <w:lang w:val="en-AU"/>
              </w:rPr>
            </w:pPr>
            <w:r w:rsidRPr="007F1C1D">
              <w:rPr>
                <w:rFonts w:cs="Arial"/>
                <w:sz w:val="22"/>
                <w:szCs w:val="22"/>
                <w:lang w:val="en-AU"/>
              </w:rPr>
              <w:t>Strongly urges RRIs that receive financial support from the core budget to strengthen their financial sustainability.</w:t>
            </w:r>
          </w:p>
          <w:p w14:paraId="0262056D" w14:textId="77777777" w:rsidR="00337E9E" w:rsidRPr="007F1C1D" w:rsidRDefault="00337E9E" w:rsidP="005C3DC0">
            <w:pPr>
              <w:pStyle w:val="ListParagraph"/>
              <w:numPr>
                <w:ilvl w:val="0"/>
                <w:numId w:val="26"/>
              </w:numPr>
              <w:rPr>
                <w:rFonts w:cs="Arial"/>
                <w:sz w:val="22"/>
                <w:szCs w:val="22"/>
                <w:lang w:val="en-AU"/>
              </w:rPr>
            </w:pPr>
            <w:r w:rsidRPr="007F1C1D">
              <w:rPr>
                <w:rFonts w:cs="Arial"/>
                <w:sz w:val="22"/>
                <w:szCs w:val="22"/>
                <w:lang w:val="en-AU"/>
              </w:rPr>
              <w:t>Decides that RRI Centres that meet the Operational Guidelines can be funded for up to six years.</w:t>
            </w:r>
          </w:p>
          <w:p w14:paraId="0BDE0271" w14:textId="33FD81C1" w:rsidR="00337E9E" w:rsidRPr="005C3DC0" w:rsidRDefault="00337E9E" w:rsidP="005C3DC0">
            <w:pPr>
              <w:pStyle w:val="ListParagraph"/>
              <w:numPr>
                <w:ilvl w:val="0"/>
                <w:numId w:val="26"/>
              </w:numPr>
              <w:rPr>
                <w:rFonts w:cs="Arial"/>
                <w:sz w:val="22"/>
                <w:szCs w:val="22"/>
                <w:lang w:val="en-AU"/>
              </w:rPr>
            </w:pPr>
            <w:r w:rsidRPr="007F1C1D">
              <w:rPr>
                <w:rFonts w:cs="Arial"/>
                <w:sz w:val="22"/>
                <w:szCs w:val="22"/>
                <w:lang w:val="en-AU"/>
              </w:rPr>
              <w:t>Instructs RRI Centres and Networks operating in the framework of the Convention to ‘describe themselves as an operational means to provide support for the implementation of the objectives of the Ramsar Convention, but to present themselves with their own independent and individual identities to the public and other partners…’. This is to avoid any confusion between the different roles of RRIs, Administrative Authorities at the national level and Secretariat at the international level.</w:t>
            </w:r>
          </w:p>
        </w:tc>
      </w:tr>
      <w:tr w:rsidR="005B7138" w:rsidRPr="00E10F49" w14:paraId="72879E4C" w14:textId="77777777" w:rsidTr="005C3DC0">
        <w:trPr>
          <w:trHeight w:val="1262"/>
        </w:trPr>
        <w:tc>
          <w:tcPr>
            <w:tcW w:w="2240" w:type="dxa"/>
          </w:tcPr>
          <w:p w14:paraId="6EC7E708" w14:textId="7B5A563E" w:rsidR="005B7138" w:rsidRPr="007F1C1D" w:rsidRDefault="005B7138" w:rsidP="005C3DC0">
            <w:pPr>
              <w:rPr>
                <w:rFonts w:cs="Arial"/>
                <w:b/>
                <w:sz w:val="22"/>
                <w:szCs w:val="22"/>
                <w:lang w:val="en-AU"/>
              </w:rPr>
            </w:pPr>
            <w:r w:rsidRPr="007F1C1D">
              <w:rPr>
                <w:rFonts w:cs="Arial"/>
                <w:b/>
                <w:sz w:val="22"/>
                <w:szCs w:val="22"/>
                <w:lang w:val="en-AU"/>
              </w:rPr>
              <w:t xml:space="preserve">SC Decision 52-16: </w:t>
            </w:r>
            <w:r w:rsidRPr="007F1C1D">
              <w:rPr>
                <w:rFonts w:cs="Arial"/>
                <w:sz w:val="22"/>
                <w:szCs w:val="22"/>
                <w:lang w:val="en-AU"/>
              </w:rPr>
              <w:t>Revised Operational Guidelines 2016-18</w:t>
            </w:r>
          </w:p>
        </w:tc>
        <w:tc>
          <w:tcPr>
            <w:tcW w:w="6966" w:type="dxa"/>
          </w:tcPr>
          <w:p w14:paraId="4CA14FBF" w14:textId="77777777" w:rsidR="006A0A39" w:rsidRPr="007F1C1D" w:rsidRDefault="006A0A39" w:rsidP="005C3DC0">
            <w:pPr>
              <w:pStyle w:val="ListParagraph"/>
              <w:numPr>
                <w:ilvl w:val="0"/>
                <w:numId w:val="26"/>
              </w:numPr>
              <w:rPr>
                <w:rFonts w:cs="Arial"/>
                <w:sz w:val="22"/>
                <w:szCs w:val="22"/>
                <w:lang w:val="en-AU"/>
              </w:rPr>
            </w:pPr>
            <w:r w:rsidRPr="007F1C1D">
              <w:rPr>
                <w:rFonts w:cs="Arial"/>
                <w:sz w:val="22"/>
                <w:szCs w:val="22"/>
                <w:lang w:val="en-AU"/>
              </w:rPr>
              <w:t>The complementary role of RRIs and the Secretariat may be defined in written arrangements.</w:t>
            </w:r>
          </w:p>
          <w:p w14:paraId="4F82AE10" w14:textId="77777777" w:rsidR="006A0A39" w:rsidRPr="007F1C1D" w:rsidRDefault="006A0A39" w:rsidP="005C3DC0">
            <w:pPr>
              <w:pStyle w:val="ListParagraph"/>
              <w:numPr>
                <w:ilvl w:val="0"/>
                <w:numId w:val="26"/>
              </w:numPr>
              <w:rPr>
                <w:rFonts w:cs="Arial"/>
                <w:sz w:val="22"/>
                <w:szCs w:val="22"/>
                <w:lang w:val="en-AU"/>
              </w:rPr>
            </w:pPr>
            <w:r w:rsidRPr="007F1C1D">
              <w:rPr>
                <w:rFonts w:cs="Arial"/>
                <w:sz w:val="22"/>
                <w:szCs w:val="22"/>
                <w:lang w:val="en-AU"/>
              </w:rPr>
              <w:t>Equitable and transparent governance and coordination structures should be laid down in a set of operational procedures to be made public and shared with the Secretariat.</w:t>
            </w:r>
          </w:p>
          <w:p w14:paraId="0A743341" w14:textId="77777777" w:rsidR="006A0A39" w:rsidRPr="007F1C1D" w:rsidRDefault="006A0A39" w:rsidP="005C3DC0">
            <w:pPr>
              <w:pStyle w:val="ListParagraph"/>
              <w:numPr>
                <w:ilvl w:val="0"/>
                <w:numId w:val="26"/>
              </w:numPr>
              <w:rPr>
                <w:rFonts w:cs="Arial"/>
                <w:sz w:val="22"/>
                <w:szCs w:val="22"/>
                <w:lang w:val="en-AU"/>
              </w:rPr>
            </w:pPr>
            <w:r w:rsidRPr="007F1C1D">
              <w:rPr>
                <w:rFonts w:cs="Arial"/>
                <w:sz w:val="22"/>
                <w:szCs w:val="22"/>
                <w:lang w:val="en-AU"/>
              </w:rPr>
              <w:t>RRIs are intended to provide lasting structural and operational support to facilitate and improve the implementation of the Convention in the relevant region. Support of participating Contracting Parties is required.</w:t>
            </w:r>
          </w:p>
          <w:p w14:paraId="02068B33" w14:textId="77777777" w:rsidR="006A0A39" w:rsidRPr="007F1C1D" w:rsidRDefault="006A0A39" w:rsidP="005C3DC0">
            <w:pPr>
              <w:pStyle w:val="ListParagraph"/>
              <w:numPr>
                <w:ilvl w:val="0"/>
                <w:numId w:val="26"/>
              </w:numPr>
              <w:rPr>
                <w:rFonts w:cs="Arial"/>
                <w:sz w:val="22"/>
                <w:szCs w:val="22"/>
                <w:lang w:val="en-AU"/>
              </w:rPr>
            </w:pPr>
            <w:r w:rsidRPr="007F1C1D">
              <w:rPr>
                <w:rFonts w:cs="Arial"/>
                <w:sz w:val="22"/>
                <w:szCs w:val="22"/>
                <w:lang w:val="en-AU"/>
              </w:rPr>
              <w:t>To be eligible for funding from the Convention, a letter of support from the relevant Administrative Authorities is required.</w:t>
            </w:r>
          </w:p>
          <w:p w14:paraId="79FA53F5" w14:textId="77777777" w:rsidR="006A0A39" w:rsidRPr="007F1C1D" w:rsidRDefault="006A0A39" w:rsidP="005C3DC0">
            <w:pPr>
              <w:pStyle w:val="ListParagraph"/>
              <w:numPr>
                <w:ilvl w:val="0"/>
                <w:numId w:val="26"/>
              </w:numPr>
              <w:rPr>
                <w:rFonts w:cs="Arial"/>
                <w:sz w:val="22"/>
                <w:szCs w:val="22"/>
                <w:lang w:val="en-AU"/>
              </w:rPr>
            </w:pPr>
            <w:r w:rsidRPr="007F1C1D">
              <w:rPr>
                <w:rFonts w:cs="Arial"/>
                <w:sz w:val="22"/>
                <w:szCs w:val="22"/>
                <w:lang w:val="en-AU"/>
              </w:rPr>
              <w:t>It is the responsibility of the involved stakeholders</w:t>
            </w:r>
            <w:r w:rsidR="00A716B6" w:rsidRPr="007F1C1D">
              <w:rPr>
                <w:rFonts w:cs="Arial"/>
                <w:sz w:val="22"/>
                <w:szCs w:val="22"/>
                <w:lang w:val="en-AU"/>
              </w:rPr>
              <w:t>, in particular the heads of the Administrative Authorities which engage in the governance of RRIs, to develop and coordinate RRIs.</w:t>
            </w:r>
          </w:p>
          <w:p w14:paraId="404A6F99" w14:textId="77777777"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Each RRI is encouraged to have professional staff involved to supervise or coordinate regional projects and programs.</w:t>
            </w:r>
          </w:p>
          <w:p w14:paraId="47E23CE9" w14:textId="77777777"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lastRenderedPageBreak/>
              <w:t>When a RRI is hosted by an institution, a hosting agreement should recognise the specific status of the initiative and its operational independence with regard to the host institution, following the format adopted by the Standing Committee.</w:t>
            </w:r>
          </w:p>
          <w:p w14:paraId="6A36FC1C" w14:textId="0ED01C6A"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 xml:space="preserve">RRIs are approved by the </w:t>
            </w:r>
            <w:r w:rsidR="007F1428">
              <w:rPr>
                <w:rFonts w:cs="Arial"/>
                <w:sz w:val="22"/>
                <w:szCs w:val="22"/>
                <w:lang w:val="en-AU"/>
              </w:rPr>
              <w:t>COP</w:t>
            </w:r>
            <w:r w:rsidRPr="007F1C1D">
              <w:rPr>
                <w:rFonts w:cs="Arial"/>
                <w:sz w:val="22"/>
                <w:szCs w:val="22"/>
                <w:lang w:val="en-AU"/>
              </w:rPr>
              <w:t xml:space="preserve"> and/or Standing Committee, provided that their establishment is justified as a response to the needs of the regions and that they comply with the Operational Guidelines. </w:t>
            </w:r>
          </w:p>
          <w:p w14:paraId="7ACB2AE9" w14:textId="77777777"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RRIs should be aligned with the Strategic Plan.</w:t>
            </w:r>
          </w:p>
          <w:p w14:paraId="3E1C5346" w14:textId="77777777"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 xml:space="preserve">The work program of RRIs improves the visibility of the Convention and general awareness of the objectives of its Strategic Plan. </w:t>
            </w:r>
          </w:p>
          <w:p w14:paraId="7159B4BA" w14:textId="77777777"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 xml:space="preserve">RRIs generate their own resources and should take the necessary measures to establish financial sustainability. </w:t>
            </w:r>
          </w:p>
          <w:p w14:paraId="4C608D17" w14:textId="77777777"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 xml:space="preserve">RRIs are to report annually to the Secretariat. </w:t>
            </w:r>
          </w:p>
          <w:p w14:paraId="73A12BD2" w14:textId="5AD92855"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RRIs that satisfy the Operational Guidelines are approved by the Standing Committee</w:t>
            </w:r>
            <w:r w:rsidR="00435504" w:rsidRPr="007F1C1D">
              <w:rPr>
                <w:rFonts w:cs="Arial"/>
                <w:sz w:val="22"/>
                <w:szCs w:val="22"/>
                <w:lang w:val="en-AU"/>
              </w:rPr>
              <w:t xml:space="preserve"> as</w:t>
            </w:r>
            <w:r w:rsidRPr="007F1C1D">
              <w:rPr>
                <w:rFonts w:cs="Arial"/>
                <w:sz w:val="22"/>
                <w:szCs w:val="22"/>
                <w:lang w:val="en-AU"/>
              </w:rPr>
              <w:t xml:space="preserve"> operating within the framework of the Convention for the period between two meetings of the </w:t>
            </w:r>
            <w:r w:rsidR="007F1428">
              <w:rPr>
                <w:rFonts w:cs="Arial"/>
                <w:sz w:val="22"/>
                <w:szCs w:val="22"/>
                <w:lang w:val="en-AU"/>
              </w:rPr>
              <w:t>COP</w:t>
            </w:r>
            <w:r w:rsidRPr="007F1C1D">
              <w:rPr>
                <w:rFonts w:cs="Arial"/>
                <w:sz w:val="22"/>
                <w:szCs w:val="22"/>
                <w:lang w:val="en-AU"/>
              </w:rPr>
              <w:t xml:space="preserve">, and receive the status of RRI. </w:t>
            </w:r>
          </w:p>
          <w:p w14:paraId="05F71259" w14:textId="4AE7895B" w:rsidR="00A716B6" w:rsidRPr="007F1C1D" w:rsidRDefault="00A716B6" w:rsidP="005C3DC0">
            <w:pPr>
              <w:pStyle w:val="ListParagraph"/>
              <w:numPr>
                <w:ilvl w:val="0"/>
                <w:numId w:val="26"/>
              </w:numPr>
              <w:rPr>
                <w:rFonts w:cs="Arial"/>
                <w:sz w:val="22"/>
                <w:szCs w:val="22"/>
                <w:lang w:val="en-AU"/>
              </w:rPr>
            </w:pPr>
            <w:r w:rsidRPr="007F1C1D">
              <w:rPr>
                <w:rFonts w:cs="Arial"/>
                <w:sz w:val="22"/>
                <w:szCs w:val="22"/>
                <w:lang w:val="en-AU"/>
              </w:rPr>
              <w:t>All RRIs that do not report on their activities to the Secretariat i</w:t>
            </w:r>
            <w:r w:rsidR="00435504" w:rsidRPr="007F1C1D">
              <w:rPr>
                <w:rFonts w:cs="Arial"/>
                <w:sz w:val="22"/>
                <w:szCs w:val="22"/>
                <w:lang w:val="en-AU"/>
              </w:rPr>
              <w:t>n time will have their status as a</w:t>
            </w:r>
            <w:r w:rsidRPr="007F1C1D">
              <w:rPr>
                <w:rFonts w:cs="Arial"/>
                <w:sz w:val="22"/>
                <w:szCs w:val="22"/>
                <w:lang w:val="en-AU"/>
              </w:rPr>
              <w:t xml:space="preserve"> RRI withdrawn by the Standing Committee.  </w:t>
            </w:r>
          </w:p>
        </w:tc>
      </w:tr>
      <w:tr w:rsidR="00CF7B0C" w:rsidRPr="00E10F49" w14:paraId="44E6153E" w14:textId="77777777" w:rsidTr="005C3DC0">
        <w:trPr>
          <w:trHeight w:val="1262"/>
        </w:trPr>
        <w:tc>
          <w:tcPr>
            <w:tcW w:w="2240" w:type="dxa"/>
          </w:tcPr>
          <w:p w14:paraId="16B1A77E" w14:textId="0E5AF65F" w:rsidR="00CF7B0C" w:rsidRDefault="00CF7B0C" w:rsidP="005C3DC0">
            <w:pPr>
              <w:rPr>
                <w:rFonts w:cs="Arial"/>
                <w:b/>
                <w:sz w:val="22"/>
                <w:szCs w:val="22"/>
                <w:lang w:val="en-AU"/>
              </w:rPr>
            </w:pPr>
            <w:r>
              <w:rPr>
                <w:rFonts w:cs="Arial"/>
                <w:b/>
                <w:sz w:val="22"/>
                <w:szCs w:val="22"/>
                <w:lang w:val="en-AU"/>
              </w:rPr>
              <w:lastRenderedPageBreak/>
              <w:t>Resolution XIII.9</w:t>
            </w:r>
            <w:r w:rsidR="00AE45A2">
              <w:rPr>
                <w:rFonts w:cs="Arial"/>
                <w:b/>
                <w:sz w:val="22"/>
                <w:szCs w:val="22"/>
                <w:lang w:val="en-AU"/>
              </w:rPr>
              <w:t>:</w:t>
            </w:r>
          </w:p>
          <w:p w14:paraId="46FD4258" w14:textId="38735AED" w:rsidR="00CF7B0C" w:rsidRPr="007F1C1D" w:rsidRDefault="00CF7B0C" w:rsidP="005C3DC0">
            <w:pPr>
              <w:rPr>
                <w:rFonts w:cs="Arial"/>
                <w:b/>
                <w:sz w:val="22"/>
                <w:szCs w:val="22"/>
                <w:lang w:val="en-AU"/>
              </w:rPr>
            </w:pPr>
            <w:r>
              <w:rPr>
                <w:rFonts w:cs="Arial"/>
                <w:b/>
                <w:sz w:val="22"/>
                <w:szCs w:val="22"/>
                <w:lang w:val="en-AU"/>
              </w:rPr>
              <w:t xml:space="preserve">7 Principles </w:t>
            </w:r>
          </w:p>
        </w:tc>
        <w:tc>
          <w:tcPr>
            <w:tcW w:w="6966" w:type="dxa"/>
          </w:tcPr>
          <w:p w14:paraId="4FF110AB" w14:textId="77777777" w:rsidR="00CF7B0C" w:rsidRPr="00CF7B0C" w:rsidRDefault="00CF7B0C" w:rsidP="005C3DC0">
            <w:pPr>
              <w:pStyle w:val="NormalWeb"/>
              <w:numPr>
                <w:ilvl w:val="0"/>
                <w:numId w:val="26"/>
              </w:numPr>
              <w:spacing w:before="0" w:beforeAutospacing="0" w:after="0" w:afterAutospacing="0"/>
              <w:rPr>
                <w:rFonts w:ascii="Calibri" w:hAnsi="Calibri"/>
                <w:sz w:val="22"/>
                <w:szCs w:val="22"/>
                <w:lang w:val="en-US"/>
              </w:rPr>
            </w:pPr>
            <w:r w:rsidRPr="00CF7B0C">
              <w:rPr>
                <w:rFonts w:ascii="Calibri" w:hAnsi="Calibri"/>
                <w:sz w:val="22"/>
                <w:szCs w:val="22"/>
                <w:lang w:val="en-US"/>
              </w:rPr>
              <w:t xml:space="preserve">RRIs must be endorsed by the Conference of the Contracting Parties, or intersessionally by the Standing Committee if they are new; </w:t>
            </w:r>
          </w:p>
          <w:p w14:paraId="6E19513A" w14:textId="77777777" w:rsidR="00CF7B0C" w:rsidRPr="00CF7B0C" w:rsidRDefault="00CF7B0C" w:rsidP="005C3DC0">
            <w:pPr>
              <w:pStyle w:val="NormalWeb"/>
              <w:numPr>
                <w:ilvl w:val="0"/>
                <w:numId w:val="26"/>
              </w:numPr>
              <w:spacing w:before="0" w:beforeAutospacing="0" w:after="0" w:afterAutospacing="0"/>
              <w:rPr>
                <w:rFonts w:ascii="Calibri" w:hAnsi="Calibri"/>
                <w:sz w:val="22"/>
                <w:szCs w:val="22"/>
                <w:lang w:val="en-US"/>
              </w:rPr>
            </w:pPr>
            <w:r w:rsidRPr="00CF7B0C">
              <w:rPr>
                <w:rFonts w:ascii="Calibri" w:hAnsi="Calibri"/>
                <w:sz w:val="22"/>
                <w:szCs w:val="22"/>
                <w:lang w:val="en-US"/>
              </w:rPr>
              <w:t xml:space="preserve">RRIs must be subject to review by the Contracting Parties at each meeting of the Conference of the Parties; </w:t>
            </w:r>
          </w:p>
          <w:p w14:paraId="5C4E077E" w14:textId="77777777" w:rsidR="00CF7B0C" w:rsidRPr="00CF7B0C" w:rsidRDefault="00CF7B0C" w:rsidP="005C3DC0">
            <w:pPr>
              <w:pStyle w:val="NormalWeb"/>
              <w:numPr>
                <w:ilvl w:val="0"/>
                <w:numId w:val="26"/>
              </w:numPr>
              <w:spacing w:before="0" w:beforeAutospacing="0" w:after="0" w:afterAutospacing="0"/>
              <w:rPr>
                <w:rFonts w:ascii="Calibri" w:hAnsi="Calibri"/>
                <w:sz w:val="22"/>
                <w:szCs w:val="22"/>
                <w:lang w:val="en-US"/>
              </w:rPr>
            </w:pPr>
            <w:r w:rsidRPr="00CF7B0C">
              <w:rPr>
                <w:rFonts w:ascii="Calibri" w:hAnsi="Calibri"/>
                <w:sz w:val="22"/>
                <w:szCs w:val="22"/>
                <w:lang w:val="en-US"/>
              </w:rPr>
              <w:t xml:space="preserve">RRIs must develop terms of reference, which cover their own rules of procedure, structure, governance and membership, including the status of the Convention Secretariat’s participation in the RRI, and which should be consistent with the Resolutions and Recommendations of the Conference of the Parties; </w:t>
            </w:r>
          </w:p>
          <w:p w14:paraId="38825C7E" w14:textId="77777777" w:rsidR="00CF7B0C" w:rsidRPr="00CF7B0C" w:rsidRDefault="00CF7B0C" w:rsidP="005C3DC0">
            <w:pPr>
              <w:pStyle w:val="NormalWeb"/>
              <w:numPr>
                <w:ilvl w:val="0"/>
                <w:numId w:val="26"/>
              </w:numPr>
              <w:spacing w:before="0" w:beforeAutospacing="0" w:after="0" w:afterAutospacing="0"/>
              <w:rPr>
                <w:rFonts w:ascii="Calibri" w:hAnsi="Calibri"/>
                <w:sz w:val="22"/>
                <w:szCs w:val="22"/>
                <w:lang w:val="en-US"/>
              </w:rPr>
            </w:pPr>
            <w:r w:rsidRPr="00CF7B0C">
              <w:rPr>
                <w:rFonts w:ascii="Calibri" w:hAnsi="Calibri"/>
                <w:sz w:val="22"/>
                <w:szCs w:val="22"/>
                <w:lang w:val="en-US"/>
              </w:rPr>
              <w:t xml:space="preserve">RRIs must be financially accountable; </w:t>
            </w:r>
          </w:p>
          <w:p w14:paraId="7C2320F1" w14:textId="77777777" w:rsidR="00CF7B0C" w:rsidRPr="00CF7B0C" w:rsidRDefault="00CF7B0C" w:rsidP="005C3DC0">
            <w:pPr>
              <w:pStyle w:val="NormalWeb"/>
              <w:numPr>
                <w:ilvl w:val="0"/>
                <w:numId w:val="26"/>
              </w:numPr>
              <w:spacing w:before="0" w:beforeAutospacing="0" w:after="0" w:afterAutospacing="0"/>
              <w:rPr>
                <w:rFonts w:ascii="Calibri" w:hAnsi="Calibri"/>
                <w:sz w:val="22"/>
                <w:szCs w:val="22"/>
                <w:lang w:val="en-US"/>
              </w:rPr>
            </w:pPr>
            <w:r w:rsidRPr="00CF7B0C">
              <w:rPr>
                <w:rFonts w:ascii="Calibri" w:hAnsi="Calibri"/>
                <w:sz w:val="22"/>
                <w:szCs w:val="22"/>
                <w:lang w:val="en-US"/>
              </w:rPr>
              <w:t xml:space="preserve">RRIs should undertake tasks related to the implementation of the Convention in their region and can speak in their own name only, using their own logo only; </w:t>
            </w:r>
          </w:p>
          <w:p w14:paraId="6AB3AF37" w14:textId="77777777" w:rsidR="00CF7B0C" w:rsidRPr="00CF7B0C" w:rsidRDefault="00CF7B0C" w:rsidP="005C3DC0">
            <w:pPr>
              <w:pStyle w:val="NormalWeb"/>
              <w:numPr>
                <w:ilvl w:val="0"/>
                <w:numId w:val="26"/>
              </w:numPr>
              <w:spacing w:before="0" w:beforeAutospacing="0" w:after="0" w:afterAutospacing="0"/>
              <w:rPr>
                <w:rFonts w:ascii="Calibri" w:hAnsi="Calibri"/>
                <w:sz w:val="22"/>
                <w:szCs w:val="22"/>
                <w:lang w:val="en-US"/>
              </w:rPr>
            </w:pPr>
            <w:r w:rsidRPr="00CF7B0C">
              <w:rPr>
                <w:rFonts w:ascii="Calibri" w:hAnsi="Calibri"/>
                <w:sz w:val="22"/>
                <w:szCs w:val="22"/>
                <w:lang w:val="en-US"/>
              </w:rPr>
              <w:t xml:space="preserve">RRIs must submit to the Secretariat, according to the format approved by the Standing Committee, an annual report of progress on their work and a financial summary at the end of each year, together with a work plan and budget for the following year; and </w:t>
            </w:r>
          </w:p>
          <w:p w14:paraId="7CE6FF89" w14:textId="5D6385A1" w:rsidR="00CF7B0C" w:rsidRPr="00CF7B0C" w:rsidRDefault="00CF7B0C" w:rsidP="005C3DC0">
            <w:pPr>
              <w:pStyle w:val="ListParagraph"/>
              <w:numPr>
                <w:ilvl w:val="0"/>
                <w:numId w:val="26"/>
              </w:numPr>
              <w:rPr>
                <w:rFonts w:ascii="Calibri" w:hAnsi="Calibri"/>
                <w:sz w:val="20"/>
                <w:szCs w:val="20"/>
                <w:lang w:val="en-US"/>
              </w:rPr>
            </w:pPr>
            <w:r w:rsidRPr="005C3DC0">
              <w:rPr>
                <w:rFonts w:cs="Arial"/>
                <w:sz w:val="22"/>
                <w:szCs w:val="22"/>
                <w:lang w:val="en-AU"/>
              </w:rPr>
              <w:t>RRIs that have been established for fewer than six years and that want to apply for start-up financial support from the Ramsar Convention core budget must request it in their budget submitted for the following year;</w:t>
            </w:r>
            <w:r w:rsidRPr="00B74871">
              <w:rPr>
                <w:rFonts w:ascii="Calibri" w:hAnsi="Calibri"/>
                <w:sz w:val="20"/>
                <w:szCs w:val="20"/>
                <w:lang w:val="en-US"/>
              </w:rPr>
              <w:t xml:space="preserve"> </w:t>
            </w:r>
          </w:p>
        </w:tc>
      </w:tr>
    </w:tbl>
    <w:p w14:paraId="41493896" w14:textId="1088E589" w:rsidR="008B7B6E" w:rsidRPr="007F1C1D" w:rsidRDefault="008B7B6E" w:rsidP="005C3DC0">
      <w:pPr>
        <w:rPr>
          <w:rFonts w:cs="Arial"/>
          <w:b/>
          <w:sz w:val="22"/>
          <w:szCs w:val="22"/>
          <w:lang w:val="en-AU"/>
        </w:rPr>
      </w:pPr>
    </w:p>
    <w:p w14:paraId="6E7F5514" w14:textId="77777777" w:rsidR="005C3DC0" w:rsidRDefault="005C3DC0">
      <w:pPr>
        <w:rPr>
          <w:rFonts w:cs="Arial"/>
          <w:b/>
          <w:sz w:val="22"/>
          <w:szCs w:val="22"/>
          <w:lang w:val="en-AU"/>
        </w:rPr>
      </w:pPr>
      <w:r>
        <w:rPr>
          <w:rFonts w:cs="Arial"/>
          <w:b/>
          <w:sz w:val="22"/>
          <w:szCs w:val="22"/>
          <w:lang w:val="en-AU"/>
        </w:rPr>
        <w:br w:type="page"/>
      </w:r>
    </w:p>
    <w:p w14:paraId="2341A386" w14:textId="3495B64C" w:rsidR="00644DA9" w:rsidRPr="007F1C1D" w:rsidRDefault="008B7B6E" w:rsidP="00644DA9">
      <w:pPr>
        <w:jc w:val="center"/>
        <w:rPr>
          <w:rFonts w:cs="Arial"/>
          <w:b/>
          <w:sz w:val="22"/>
          <w:szCs w:val="22"/>
          <w:lang w:val="en-AU"/>
        </w:rPr>
      </w:pPr>
      <w:r>
        <w:rPr>
          <w:rFonts w:cs="Arial"/>
          <w:b/>
          <w:sz w:val="22"/>
          <w:szCs w:val="22"/>
          <w:lang w:val="en-AU"/>
        </w:rPr>
        <w:lastRenderedPageBreak/>
        <w:t>Appendix</w:t>
      </w:r>
      <w:r w:rsidR="00644DA9" w:rsidRPr="007F1C1D">
        <w:rPr>
          <w:rFonts w:cs="Arial"/>
          <w:b/>
          <w:sz w:val="22"/>
          <w:szCs w:val="22"/>
          <w:lang w:val="en-AU"/>
        </w:rPr>
        <w:t xml:space="preserve"> 3</w:t>
      </w:r>
    </w:p>
    <w:p w14:paraId="282B18EF" w14:textId="77777777" w:rsidR="00644DA9" w:rsidRPr="007F1C1D" w:rsidRDefault="00644DA9" w:rsidP="00644DA9">
      <w:pPr>
        <w:jc w:val="center"/>
        <w:rPr>
          <w:rFonts w:cs="Arial"/>
          <w:b/>
          <w:sz w:val="22"/>
          <w:szCs w:val="22"/>
          <w:lang w:val="en-AU"/>
        </w:rPr>
      </w:pPr>
    </w:p>
    <w:tbl>
      <w:tblPr>
        <w:tblStyle w:val="TableGrid"/>
        <w:tblW w:w="9117" w:type="dxa"/>
        <w:tblCellMar>
          <w:top w:w="85" w:type="dxa"/>
          <w:bottom w:w="85" w:type="dxa"/>
        </w:tblCellMar>
        <w:tblLook w:val="04A0" w:firstRow="1" w:lastRow="0" w:firstColumn="1" w:lastColumn="0" w:noHBand="0" w:noVBand="1"/>
      </w:tblPr>
      <w:tblGrid>
        <w:gridCol w:w="3405"/>
        <w:gridCol w:w="5712"/>
      </w:tblGrid>
      <w:tr w:rsidR="00644DA9" w:rsidRPr="00E10F49" w14:paraId="7F2574D9" w14:textId="77777777" w:rsidTr="005C3DC0">
        <w:trPr>
          <w:cantSplit/>
        </w:trPr>
        <w:tc>
          <w:tcPr>
            <w:tcW w:w="3405" w:type="dxa"/>
          </w:tcPr>
          <w:p w14:paraId="736DB5AA" w14:textId="18AD0F07" w:rsidR="00644DA9" w:rsidRPr="005C3DC0" w:rsidRDefault="00644DA9" w:rsidP="005C3DC0">
            <w:pPr>
              <w:rPr>
                <w:rFonts w:cs="Arial"/>
                <w:b/>
                <w:sz w:val="22"/>
                <w:szCs w:val="22"/>
                <w:lang w:val="en-AU"/>
              </w:rPr>
            </w:pPr>
            <w:r w:rsidRPr="007F1C1D">
              <w:rPr>
                <w:rFonts w:cs="Arial"/>
                <w:b/>
                <w:sz w:val="22"/>
                <w:szCs w:val="22"/>
                <w:lang w:val="en-AU"/>
              </w:rPr>
              <w:t xml:space="preserve">Ramsar Regional Initiative (RRI) </w:t>
            </w:r>
            <w:r w:rsidR="005C3DC0">
              <w:rPr>
                <w:rFonts w:cs="Arial"/>
                <w:b/>
                <w:sz w:val="22"/>
                <w:szCs w:val="22"/>
                <w:lang w:val="en-AU"/>
              </w:rPr>
              <w:t>and year of initial endorsement</w:t>
            </w:r>
          </w:p>
        </w:tc>
        <w:tc>
          <w:tcPr>
            <w:tcW w:w="5712" w:type="dxa"/>
          </w:tcPr>
          <w:p w14:paraId="59391D4A" w14:textId="19879737" w:rsidR="00644DA9" w:rsidRPr="005C3DC0" w:rsidRDefault="003545FA" w:rsidP="005C3DC0">
            <w:pPr>
              <w:rPr>
                <w:rFonts w:cs="Arial"/>
                <w:b/>
                <w:sz w:val="22"/>
                <w:szCs w:val="22"/>
                <w:lang w:val="en-AU"/>
              </w:rPr>
            </w:pPr>
            <w:r>
              <w:rPr>
                <w:rFonts w:cs="Arial"/>
                <w:b/>
                <w:sz w:val="22"/>
                <w:szCs w:val="22"/>
                <w:lang w:val="en-AU"/>
              </w:rPr>
              <w:t xml:space="preserve">Endorsement by </w:t>
            </w:r>
            <w:r w:rsidR="007F1428">
              <w:rPr>
                <w:rFonts w:cs="Arial"/>
                <w:b/>
                <w:sz w:val="22"/>
                <w:szCs w:val="22"/>
                <w:lang w:val="en-AU"/>
              </w:rPr>
              <w:t>COP</w:t>
            </w:r>
            <w:r w:rsidR="00644DA9" w:rsidRPr="007F1C1D">
              <w:rPr>
                <w:rFonts w:cs="Arial"/>
                <w:b/>
                <w:sz w:val="22"/>
                <w:szCs w:val="22"/>
                <w:lang w:val="en-AU"/>
              </w:rPr>
              <w:t xml:space="preserve"> or Standing Committee as operating within th</w:t>
            </w:r>
            <w:r w:rsidR="005C3DC0">
              <w:rPr>
                <w:rFonts w:cs="Arial"/>
                <w:b/>
                <w:sz w:val="22"/>
                <w:szCs w:val="22"/>
                <w:lang w:val="en-AU"/>
              </w:rPr>
              <w:t xml:space="preserve">e framework of the Convention </w:t>
            </w:r>
          </w:p>
        </w:tc>
      </w:tr>
      <w:tr w:rsidR="00644DA9" w:rsidRPr="00E10F49" w14:paraId="0722B104" w14:textId="77777777" w:rsidTr="005C3DC0">
        <w:trPr>
          <w:cantSplit/>
        </w:trPr>
        <w:tc>
          <w:tcPr>
            <w:tcW w:w="3405" w:type="dxa"/>
          </w:tcPr>
          <w:p w14:paraId="5B00A849" w14:textId="77777777" w:rsidR="00644DA9" w:rsidRPr="007F1C1D" w:rsidRDefault="00644DA9" w:rsidP="00204DFD">
            <w:pPr>
              <w:rPr>
                <w:rFonts w:cs="Arial"/>
                <w:sz w:val="22"/>
                <w:szCs w:val="22"/>
                <w:lang w:val="en-AU"/>
              </w:rPr>
            </w:pPr>
            <w:r w:rsidRPr="007F1C1D">
              <w:rPr>
                <w:rFonts w:cs="Arial"/>
                <w:sz w:val="22"/>
                <w:szCs w:val="22"/>
                <w:lang w:val="en-AU"/>
              </w:rPr>
              <w:t>Ramsar Centre for Eastern Africa (RAMCEA)</w:t>
            </w:r>
          </w:p>
          <w:p w14:paraId="4344D14F" w14:textId="77777777" w:rsidR="00644DA9" w:rsidRPr="007F1C1D" w:rsidRDefault="00644DA9" w:rsidP="00204DFD">
            <w:pPr>
              <w:rPr>
                <w:rFonts w:cs="Arial"/>
                <w:b/>
                <w:i/>
                <w:sz w:val="22"/>
                <w:szCs w:val="22"/>
                <w:lang w:val="en-AU"/>
              </w:rPr>
            </w:pPr>
            <w:r w:rsidRPr="007F1C1D">
              <w:rPr>
                <w:rFonts w:cs="Arial"/>
                <w:b/>
                <w:i/>
                <w:sz w:val="22"/>
                <w:szCs w:val="22"/>
                <w:lang w:val="en-AU"/>
              </w:rPr>
              <w:t>2009 (SC40)</w:t>
            </w:r>
          </w:p>
        </w:tc>
        <w:tc>
          <w:tcPr>
            <w:tcW w:w="5712" w:type="dxa"/>
          </w:tcPr>
          <w:p w14:paraId="7712E88C" w14:textId="08536B54"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421EA6E8"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2CF5D8A4"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6E84D48E"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78DB48A3" w14:textId="77777777" w:rsidR="00644DA9" w:rsidRPr="007F1C1D" w:rsidRDefault="00644DA9" w:rsidP="00204DFD">
            <w:pPr>
              <w:rPr>
                <w:rFonts w:cs="Arial"/>
                <w:sz w:val="22"/>
                <w:szCs w:val="22"/>
                <w:lang w:val="en-AU"/>
              </w:rPr>
            </w:pPr>
            <w:r w:rsidRPr="007F1C1D">
              <w:rPr>
                <w:rFonts w:cs="Arial"/>
                <w:sz w:val="22"/>
                <w:szCs w:val="22"/>
                <w:lang w:val="en-AU"/>
              </w:rPr>
              <w:t>SC42-20: endorses for 2011</w:t>
            </w:r>
          </w:p>
          <w:p w14:paraId="0F7E9B91" w14:textId="77777777" w:rsidR="00644DA9" w:rsidRPr="007F1C1D" w:rsidRDefault="00644DA9" w:rsidP="00204DFD">
            <w:pPr>
              <w:rPr>
                <w:rFonts w:cs="Arial"/>
                <w:sz w:val="22"/>
                <w:szCs w:val="22"/>
                <w:lang w:val="en-AU"/>
              </w:rPr>
            </w:pPr>
            <w:r w:rsidRPr="007F1C1D">
              <w:rPr>
                <w:rFonts w:cs="Arial"/>
                <w:sz w:val="22"/>
                <w:szCs w:val="22"/>
                <w:lang w:val="en-AU"/>
              </w:rPr>
              <w:t xml:space="preserve">SC40-18: </w:t>
            </w:r>
            <w:r w:rsidRPr="007F1C1D">
              <w:rPr>
                <w:rFonts w:cs="Arial"/>
                <w:b/>
                <w:sz w:val="22"/>
                <w:szCs w:val="22"/>
                <w:lang w:val="en-AU"/>
              </w:rPr>
              <w:t>endorses for 2009-2012</w:t>
            </w:r>
          </w:p>
        </w:tc>
      </w:tr>
      <w:tr w:rsidR="00644DA9" w:rsidRPr="00E10F49" w14:paraId="28E6137B" w14:textId="77777777" w:rsidTr="005C3DC0">
        <w:trPr>
          <w:cantSplit/>
        </w:trPr>
        <w:tc>
          <w:tcPr>
            <w:tcW w:w="3405" w:type="dxa"/>
          </w:tcPr>
          <w:p w14:paraId="58EDA7CA" w14:textId="77777777" w:rsidR="00644DA9" w:rsidRPr="007F1C1D" w:rsidRDefault="00644DA9" w:rsidP="00204DFD">
            <w:pPr>
              <w:rPr>
                <w:rFonts w:cs="Arial"/>
                <w:sz w:val="22"/>
                <w:szCs w:val="22"/>
                <w:lang w:val="en-AU"/>
              </w:rPr>
            </w:pPr>
            <w:r w:rsidRPr="007F1C1D">
              <w:rPr>
                <w:rFonts w:cs="Arial"/>
                <w:sz w:val="22"/>
                <w:szCs w:val="22"/>
                <w:lang w:val="en-AU"/>
              </w:rPr>
              <w:t>Ramsar Regional Centre for Training and Research in the Western Hemisphere (CREHO)</w:t>
            </w:r>
          </w:p>
          <w:p w14:paraId="304AD935" w14:textId="28F5A71A" w:rsidR="00644DA9" w:rsidRPr="007F1C1D" w:rsidRDefault="00644DA9" w:rsidP="00204DFD">
            <w:pPr>
              <w:rPr>
                <w:rFonts w:cs="Arial"/>
                <w:b/>
                <w:i/>
                <w:sz w:val="22"/>
                <w:szCs w:val="22"/>
                <w:lang w:val="en-AU"/>
              </w:rPr>
            </w:pPr>
            <w:r w:rsidRPr="007F1C1D">
              <w:rPr>
                <w:rFonts w:cs="Arial"/>
                <w:b/>
                <w:i/>
                <w:sz w:val="22"/>
                <w:szCs w:val="22"/>
                <w:lang w:val="en-AU"/>
              </w:rPr>
              <w:t>1999 (</w:t>
            </w:r>
            <w:r w:rsidR="007F1428">
              <w:rPr>
                <w:rFonts w:cs="Arial"/>
                <w:b/>
                <w:i/>
                <w:sz w:val="22"/>
                <w:szCs w:val="22"/>
                <w:lang w:val="en-AU"/>
              </w:rPr>
              <w:t>COP</w:t>
            </w:r>
            <w:r w:rsidRPr="007F1C1D">
              <w:rPr>
                <w:rFonts w:cs="Arial"/>
                <w:b/>
                <w:i/>
                <w:sz w:val="22"/>
                <w:szCs w:val="22"/>
                <w:lang w:val="en-AU"/>
              </w:rPr>
              <w:t>7)</w:t>
            </w:r>
          </w:p>
        </w:tc>
        <w:tc>
          <w:tcPr>
            <w:tcW w:w="5712" w:type="dxa"/>
          </w:tcPr>
          <w:p w14:paraId="01C0D329" w14:textId="088A7407"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427BA484"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1C6322C3"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22395F45"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0E089809" w14:textId="77777777" w:rsidR="00644DA9" w:rsidRPr="007F1C1D" w:rsidRDefault="00644DA9" w:rsidP="00204DFD">
            <w:pPr>
              <w:rPr>
                <w:rFonts w:cs="Arial"/>
                <w:sz w:val="22"/>
                <w:szCs w:val="22"/>
                <w:lang w:val="en-AU"/>
              </w:rPr>
            </w:pPr>
            <w:r w:rsidRPr="007F1C1D">
              <w:rPr>
                <w:rFonts w:cs="Arial"/>
                <w:sz w:val="22"/>
                <w:szCs w:val="22"/>
                <w:lang w:val="en-AU"/>
              </w:rPr>
              <w:t>SC42-20: endorses for 2011</w:t>
            </w:r>
          </w:p>
          <w:p w14:paraId="7ABD4D0F" w14:textId="77777777" w:rsidR="00644DA9" w:rsidRPr="007F1C1D" w:rsidRDefault="00644DA9" w:rsidP="00204DFD">
            <w:pPr>
              <w:rPr>
                <w:rFonts w:cs="Arial"/>
                <w:sz w:val="22"/>
                <w:szCs w:val="22"/>
                <w:lang w:val="en-AU"/>
              </w:rPr>
            </w:pPr>
            <w:r w:rsidRPr="007F1C1D">
              <w:rPr>
                <w:rFonts w:cs="Arial"/>
                <w:sz w:val="22"/>
                <w:szCs w:val="22"/>
                <w:lang w:val="en-AU"/>
              </w:rPr>
              <w:t>SC40-18: endorses for 2009-2012</w:t>
            </w:r>
          </w:p>
          <w:p w14:paraId="4B4236B4" w14:textId="77777777" w:rsidR="00644DA9" w:rsidRPr="007F1C1D" w:rsidRDefault="00644DA9" w:rsidP="00204DFD">
            <w:pPr>
              <w:rPr>
                <w:rFonts w:cs="Arial"/>
                <w:color w:val="000000" w:themeColor="text1"/>
                <w:sz w:val="22"/>
                <w:szCs w:val="22"/>
                <w:lang w:val="en-AU"/>
              </w:rPr>
            </w:pPr>
            <w:r w:rsidRPr="007F1C1D">
              <w:rPr>
                <w:rFonts w:cs="Arial"/>
                <w:color w:val="000000" w:themeColor="text1"/>
                <w:sz w:val="22"/>
                <w:szCs w:val="22"/>
                <w:lang w:val="en-AU"/>
              </w:rPr>
              <w:t xml:space="preserve">SC30-18: welcomed new developments in bringing this Centre to life. </w:t>
            </w:r>
          </w:p>
          <w:p w14:paraId="463973C7" w14:textId="77777777" w:rsidR="00644DA9" w:rsidRPr="007F1C1D" w:rsidRDefault="00644DA9" w:rsidP="00204DFD">
            <w:pPr>
              <w:rPr>
                <w:rFonts w:cs="Arial"/>
                <w:sz w:val="22"/>
                <w:szCs w:val="22"/>
                <w:lang w:val="en-AU"/>
              </w:rPr>
            </w:pPr>
            <w:r w:rsidRPr="007F1C1D">
              <w:rPr>
                <w:rFonts w:cs="Arial"/>
                <w:sz w:val="22"/>
                <w:szCs w:val="22"/>
                <w:lang w:val="en-AU"/>
              </w:rPr>
              <w:t>Res. IX.7: endorses for 2006-2008</w:t>
            </w:r>
          </w:p>
          <w:p w14:paraId="251B71B6" w14:textId="77777777" w:rsidR="00644DA9" w:rsidRPr="007F1C1D" w:rsidRDefault="00644DA9" w:rsidP="00204DFD">
            <w:pPr>
              <w:rPr>
                <w:rFonts w:cs="Arial"/>
                <w:sz w:val="22"/>
                <w:szCs w:val="22"/>
                <w:lang w:val="en-AU"/>
              </w:rPr>
            </w:pPr>
            <w:r w:rsidRPr="007F1C1D">
              <w:rPr>
                <w:rFonts w:cs="Arial"/>
                <w:sz w:val="22"/>
                <w:szCs w:val="22"/>
                <w:lang w:val="en-AU"/>
              </w:rPr>
              <w:t xml:space="preserve">Res. VII.26: </w:t>
            </w:r>
            <w:r w:rsidRPr="007F1C1D">
              <w:rPr>
                <w:rFonts w:cs="Arial"/>
                <w:b/>
                <w:sz w:val="22"/>
                <w:szCs w:val="22"/>
                <w:lang w:val="en-AU"/>
              </w:rPr>
              <w:t>endorses this new RRI 1999</w:t>
            </w:r>
          </w:p>
        </w:tc>
      </w:tr>
      <w:tr w:rsidR="00644DA9" w:rsidRPr="00E10F49" w14:paraId="63FE143C" w14:textId="77777777" w:rsidTr="005C3DC0">
        <w:trPr>
          <w:cantSplit/>
        </w:trPr>
        <w:tc>
          <w:tcPr>
            <w:tcW w:w="3405" w:type="dxa"/>
          </w:tcPr>
          <w:p w14:paraId="1D8630A6" w14:textId="77777777" w:rsidR="00644DA9" w:rsidRPr="007F1C1D" w:rsidRDefault="00644DA9" w:rsidP="00204DFD">
            <w:pPr>
              <w:rPr>
                <w:rFonts w:cs="Arial"/>
                <w:sz w:val="22"/>
                <w:szCs w:val="22"/>
                <w:lang w:val="en-AU"/>
              </w:rPr>
            </w:pPr>
            <w:r w:rsidRPr="007F1C1D">
              <w:rPr>
                <w:rFonts w:cs="Arial"/>
                <w:sz w:val="22"/>
                <w:szCs w:val="22"/>
                <w:lang w:val="en-AU"/>
              </w:rPr>
              <w:t>Ramsar Regional Centre – Central and West Asia (RRC-CWA)</w:t>
            </w:r>
          </w:p>
          <w:p w14:paraId="40051769" w14:textId="74130C65" w:rsidR="00644DA9" w:rsidRPr="007F1C1D" w:rsidRDefault="00644DA9" w:rsidP="00204DFD">
            <w:pPr>
              <w:rPr>
                <w:rFonts w:cs="Arial"/>
                <w:b/>
                <w:i/>
                <w:sz w:val="22"/>
                <w:szCs w:val="22"/>
                <w:lang w:val="en-AU"/>
              </w:rPr>
            </w:pPr>
            <w:r w:rsidRPr="007F1C1D">
              <w:rPr>
                <w:rFonts w:cs="Arial"/>
                <w:b/>
                <w:i/>
                <w:sz w:val="22"/>
                <w:szCs w:val="22"/>
                <w:lang w:val="en-AU"/>
              </w:rPr>
              <w:t>2002 (</w:t>
            </w:r>
            <w:r w:rsidR="007F1428">
              <w:rPr>
                <w:rFonts w:cs="Arial"/>
                <w:b/>
                <w:i/>
                <w:sz w:val="22"/>
                <w:szCs w:val="22"/>
                <w:lang w:val="en-AU"/>
              </w:rPr>
              <w:t>COP</w:t>
            </w:r>
            <w:r w:rsidRPr="007F1C1D">
              <w:rPr>
                <w:rFonts w:cs="Arial"/>
                <w:b/>
                <w:i/>
                <w:sz w:val="22"/>
                <w:szCs w:val="22"/>
                <w:lang w:val="en-AU"/>
              </w:rPr>
              <w:t>8)</w:t>
            </w:r>
          </w:p>
        </w:tc>
        <w:tc>
          <w:tcPr>
            <w:tcW w:w="5712" w:type="dxa"/>
          </w:tcPr>
          <w:p w14:paraId="0B80154F" w14:textId="491E5F1C"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1E5FFF72"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63D78C42"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5F2CA3A1"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4E8E47A8" w14:textId="77777777" w:rsidR="00644DA9" w:rsidRPr="007F1C1D" w:rsidRDefault="00644DA9" w:rsidP="00204DFD">
            <w:pPr>
              <w:rPr>
                <w:rFonts w:cs="Arial"/>
                <w:sz w:val="22"/>
                <w:szCs w:val="22"/>
                <w:lang w:val="en-AU"/>
              </w:rPr>
            </w:pPr>
            <w:r w:rsidRPr="007F1C1D">
              <w:rPr>
                <w:rFonts w:cs="Arial"/>
                <w:sz w:val="22"/>
                <w:szCs w:val="22"/>
                <w:lang w:val="en-AU"/>
              </w:rPr>
              <w:t>SC42-20: endorses for 2011</w:t>
            </w:r>
          </w:p>
          <w:p w14:paraId="435FCEA6" w14:textId="77777777" w:rsidR="00644DA9" w:rsidRPr="007F1C1D" w:rsidRDefault="00644DA9" w:rsidP="00204DFD">
            <w:pPr>
              <w:rPr>
                <w:rFonts w:cs="Arial"/>
                <w:sz w:val="22"/>
                <w:szCs w:val="22"/>
                <w:lang w:val="en-AU"/>
              </w:rPr>
            </w:pPr>
            <w:r w:rsidRPr="007F1C1D">
              <w:rPr>
                <w:rFonts w:cs="Arial"/>
                <w:sz w:val="22"/>
                <w:szCs w:val="22"/>
                <w:lang w:val="en-AU"/>
              </w:rPr>
              <w:t>SC40-18: endorses for 2009-2012</w:t>
            </w:r>
          </w:p>
          <w:p w14:paraId="4D878F3E" w14:textId="77777777" w:rsidR="00644DA9" w:rsidRPr="007F1C1D" w:rsidRDefault="00644DA9" w:rsidP="00204DFD">
            <w:pPr>
              <w:rPr>
                <w:rFonts w:cs="Arial"/>
                <w:sz w:val="22"/>
                <w:szCs w:val="22"/>
                <w:lang w:val="en-AU"/>
              </w:rPr>
            </w:pPr>
            <w:r w:rsidRPr="007F1C1D">
              <w:rPr>
                <w:rFonts w:cs="Arial"/>
                <w:sz w:val="22"/>
                <w:szCs w:val="22"/>
                <w:lang w:val="en-AU"/>
              </w:rPr>
              <w:t>Res. IX.7: endorses for 2006-2008</w:t>
            </w:r>
          </w:p>
          <w:p w14:paraId="648F2EAA" w14:textId="77777777" w:rsidR="00644DA9" w:rsidRPr="007F1C1D" w:rsidRDefault="00644DA9" w:rsidP="00204DFD">
            <w:pPr>
              <w:rPr>
                <w:rFonts w:cs="Arial"/>
                <w:sz w:val="22"/>
                <w:szCs w:val="22"/>
                <w:lang w:val="en-AU"/>
              </w:rPr>
            </w:pPr>
            <w:r w:rsidRPr="007F1C1D">
              <w:rPr>
                <w:rFonts w:cs="Arial"/>
                <w:sz w:val="22"/>
                <w:szCs w:val="22"/>
                <w:lang w:val="en-AU"/>
              </w:rPr>
              <w:t xml:space="preserve">Res. VIII.41: </w:t>
            </w:r>
            <w:r w:rsidRPr="007F1C1D">
              <w:rPr>
                <w:rFonts w:cs="Arial"/>
                <w:b/>
                <w:sz w:val="22"/>
                <w:szCs w:val="22"/>
                <w:lang w:val="en-AU"/>
              </w:rPr>
              <w:t>endorses this new RRI 2002</w:t>
            </w:r>
          </w:p>
        </w:tc>
      </w:tr>
      <w:tr w:rsidR="00644DA9" w:rsidRPr="007F1C1D" w14:paraId="62EF1909" w14:textId="77777777" w:rsidTr="005C3DC0">
        <w:trPr>
          <w:cantSplit/>
        </w:trPr>
        <w:tc>
          <w:tcPr>
            <w:tcW w:w="3405" w:type="dxa"/>
          </w:tcPr>
          <w:p w14:paraId="255B31E4" w14:textId="77777777" w:rsidR="00644DA9" w:rsidRPr="007F1C1D" w:rsidRDefault="00644DA9" w:rsidP="00204DFD">
            <w:pPr>
              <w:rPr>
                <w:rFonts w:cs="Arial"/>
                <w:sz w:val="22"/>
                <w:szCs w:val="22"/>
                <w:lang w:val="en-AU"/>
              </w:rPr>
            </w:pPr>
            <w:r w:rsidRPr="007F1C1D">
              <w:rPr>
                <w:rFonts w:cs="Arial"/>
                <w:sz w:val="22"/>
                <w:szCs w:val="22"/>
                <w:lang w:val="en-AU"/>
              </w:rPr>
              <w:t>Ramsar Regional Centre – East Asia (RRC-EA)</w:t>
            </w:r>
          </w:p>
          <w:p w14:paraId="3695C77A" w14:textId="77777777" w:rsidR="00644DA9" w:rsidRPr="007F1C1D" w:rsidRDefault="00644DA9" w:rsidP="00204DFD">
            <w:pPr>
              <w:rPr>
                <w:rFonts w:cs="Arial"/>
                <w:b/>
                <w:i/>
                <w:sz w:val="22"/>
                <w:szCs w:val="22"/>
                <w:lang w:val="en-AU"/>
              </w:rPr>
            </w:pPr>
            <w:r w:rsidRPr="007F1C1D">
              <w:rPr>
                <w:rFonts w:cs="Arial"/>
                <w:b/>
                <w:i/>
                <w:sz w:val="22"/>
                <w:szCs w:val="22"/>
                <w:lang w:val="en-AU"/>
              </w:rPr>
              <w:t>2009 (SC40)</w:t>
            </w:r>
          </w:p>
        </w:tc>
        <w:tc>
          <w:tcPr>
            <w:tcW w:w="5712" w:type="dxa"/>
          </w:tcPr>
          <w:p w14:paraId="518A929C" w14:textId="2E0AD760"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2B127062"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7D6E2A00"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064E505E"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056DDE20" w14:textId="77777777" w:rsidR="00644DA9" w:rsidRPr="007F1C1D" w:rsidRDefault="00644DA9" w:rsidP="00204DFD">
            <w:pPr>
              <w:rPr>
                <w:rFonts w:cs="Arial"/>
                <w:sz w:val="22"/>
                <w:szCs w:val="22"/>
                <w:lang w:val="en-AU"/>
              </w:rPr>
            </w:pPr>
            <w:r w:rsidRPr="007F1C1D">
              <w:rPr>
                <w:rFonts w:cs="Arial"/>
                <w:sz w:val="22"/>
                <w:szCs w:val="22"/>
                <w:lang w:val="en-AU"/>
              </w:rPr>
              <w:t>SC40-18: endorses for 2009-2012</w:t>
            </w:r>
          </w:p>
        </w:tc>
      </w:tr>
      <w:tr w:rsidR="00644DA9" w:rsidRPr="00E10F49" w14:paraId="275C8454" w14:textId="77777777" w:rsidTr="005C3DC0">
        <w:trPr>
          <w:cantSplit/>
        </w:trPr>
        <w:tc>
          <w:tcPr>
            <w:tcW w:w="3405" w:type="dxa"/>
          </w:tcPr>
          <w:p w14:paraId="09A05CF1" w14:textId="77777777" w:rsidR="00644DA9" w:rsidRPr="007F1C1D" w:rsidRDefault="00644DA9" w:rsidP="00204DFD">
            <w:pPr>
              <w:rPr>
                <w:rFonts w:cs="Arial"/>
                <w:sz w:val="22"/>
                <w:szCs w:val="22"/>
                <w:lang w:val="en-AU"/>
              </w:rPr>
            </w:pPr>
            <w:r w:rsidRPr="007F1C1D">
              <w:rPr>
                <w:rFonts w:cs="Arial"/>
                <w:sz w:val="22"/>
                <w:szCs w:val="22"/>
                <w:lang w:val="en-AU"/>
              </w:rPr>
              <w:t>RRI for West African Coastal Zone Wetlands (WaCoWet)</w:t>
            </w:r>
          </w:p>
          <w:p w14:paraId="681A47E4" w14:textId="0D474F45" w:rsidR="00644DA9" w:rsidRPr="007F1C1D" w:rsidRDefault="00644DA9" w:rsidP="00204DFD">
            <w:pPr>
              <w:rPr>
                <w:rFonts w:cs="Arial"/>
                <w:b/>
                <w:i/>
                <w:sz w:val="22"/>
                <w:szCs w:val="22"/>
                <w:lang w:val="en-AU"/>
              </w:rPr>
            </w:pPr>
            <w:r w:rsidRPr="007F1C1D">
              <w:rPr>
                <w:rFonts w:cs="Arial"/>
                <w:b/>
                <w:i/>
                <w:sz w:val="22"/>
                <w:szCs w:val="22"/>
                <w:lang w:val="en-AU"/>
              </w:rPr>
              <w:t>2005 (</w:t>
            </w:r>
            <w:r w:rsidR="007F1428">
              <w:rPr>
                <w:rFonts w:cs="Arial"/>
                <w:b/>
                <w:i/>
                <w:sz w:val="22"/>
                <w:szCs w:val="22"/>
                <w:lang w:val="en-AU"/>
              </w:rPr>
              <w:t>COP</w:t>
            </w:r>
            <w:r w:rsidRPr="007F1C1D">
              <w:rPr>
                <w:rFonts w:cs="Arial"/>
                <w:b/>
                <w:i/>
                <w:sz w:val="22"/>
                <w:szCs w:val="22"/>
                <w:lang w:val="en-AU"/>
              </w:rPr>
              <w:t>9)</w:t>
            </w:r>
          </w:p>
        </w:tc>
        <w:tc>
          <w:tcPr>
            <w:tcW w:w="5712" w:type="dxa"/>
          </w:tcPr>
          <w:p w14:paraId="30EB39B9" w14:textId="635D375F"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5344D476"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12979C85"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5D5C5223"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39C7EEEB" w14:textId="77777777" w:rsidR="00644DA9" w:rsidRPr="007F1C1D" w:rsidRDefault="00644DA9" w:rsidP="00204DFD">
            <w:pPr>
              <w:rPr>
                <w:rFonts w:cs="Arial"/>
                <w:sz w:val="22"/>
                <w:szCs w:val="22"/>
                <w:lang w:val="en-AU"/>
              </w:rPr>
            </w:pPr>
            <w:r w:rsidRPr="007F1C1D">
              <w:rPr>
                <w:rFonts w:cs="Arial"/>
                <w:sz w:val="22"/>
                <w:szCs w:val="22"/>
                <w:lang w:val="en-AU"/>
              </w:rPr>
              <w:t>SC42-20: endorses for 2011</w:t>
            </w:r>
          </w:p>
          <w:p w14:paraId="46257DEB" w14:textId="77777777" w:rsidR="00644DA9" w:rsidRPr="007F1C1D" w:rsidRDefault="00644DA9" w:rsidP="00204DFD">
            <w:pPr>
              <w:rPr>
                <w:rFonts w:cs="Arial"/>
                <w:sz w:val="22"/>
                <w:szCs w:val="22"/>
                <w:lang w:val="en-AU"/>
              </w:rPr>
            </w:pPr>
            <w:r w:rsidRPr="007F1C1D">
              <w:rPr>
                <w:rFonts w:cs="Arial"/>
                <w:sz w:val="22"/>
                <w:szCs w:val="22"/>
                <w:lang w:val="en-AU"/>
              </w:rPr>
              <w:t xml:space="preserve">Res. IX.7: </w:t>
            </w:r>
            <w:r w:rsidRPr="007F1C1D">
              <w:rPr>
                <w:rFonts w:cs="Arial"/>
                <w:b/>
                <w:sz w:val="22"/>
                <w:szCs w:val="22"/>
                <w:lang w:val="en-AU"/>
              </w:rPr>
              <w:t>endorses for 2006-2008</w:t>
            </w:r>
          </w:p>
        </w:tc>
      </w:tr>
      <w:tr w:rsidR="00644DA9" w:rsidRPr="00E10F49" w14:paraId="16145F18" w14:textId="77777777" w:rsidTr="005C3DC0">
        <w:trPr>
          <w:cantSplit/>
        </w:trPr>
        <w:tc>
          <w:tcPr>
            <w:tcW w:w="3405" w:type="dxa"/>
          </w:tcPr>
          <w:p w14:paraId="234D49D5" w14:textId="77777777" w:rsidR="00644DA9" w:rsidRPr="007F1C1D" w:rsidRDefault="00644DA9" w:rsidP="00204DFD">
            <w:pPr>
              <w:rPr>
                <w:rFonts w:cs="Arial"/>
                <w:sz w:val="22"/>
                <w:szCs w:val="22"/>
                <w:lang w:val="en-AU"/>
              </w:rPr>
            </w:pPr>
            <w:r w:rsidRPr="007F1C1D">
              <w:rPr>
                <w:rFonts w:cs="Arial"/>
                <w:sz w:val="22"/>
                <w:szCs w:val="22"/>
                <w:lang w:val="en-AU"/>
              </w:rPr>
              <w:t>RRI for the Niger River Basin (NigerWet)</w:t>
            </w:r>
          </w:p>
          <w:p w14:paraId="67163682" w14:textId="59482C9F" w:rsidR="00644DA9" w:rsidRPr="007F1C1D" w:rsidRDefault="00644DA9" w:rsidP="00204DFD">
            <w:pPr>
              <w:rPr>
                <w:rFonts w:cs="Arial"/>
                <w:b/>
                <w:i/>
                <w:sz w:val="22"/>
                <w:szCs w:val="22"/>
                <w:lang w:val="en-AU"/>
              </w:rPr>
            </w:pPr>
            <w:r w:rsidRPr="007F1C1D">
              <w:rPr>
                <w:rFonts w:cs="Arial"/>
                <w:b/>
                <w:i/>
                <w:sz w:val="22"/>
                <w:szCs w:val="22"/>
                <w:lang w:val="en-AU"/>
              </w:rPr>
              <w:t>2005 (</w:t>
            </w:r>
            <w:r w:rsidR="007F1428">
              <w:rPr>
                <w:rFonts w:cs="Arial"/>
                <w:b/>
                <w:i/>
                <w:sz w:val="22"/>
                <w:szCs w:val="22"/>
                <w:lang w:val="en-AU"/>
              </w:rPr>
              <w:t>COP</w:t>
            </w:r>
            <w:r w:rsidRPr="007F1C1D">
              <w:rPr>
                <w:rFonts w:cs="Arial"/>
                <w:b/>
                <w:i/>
                <w:sz w:val="22"/>
                <w:szCs w:val="22"/>
                <w:lang w:val="en-AU"/>
              </w:rPr>
              <w:t>9)</w:t>
            </w:r>
          </w:p>
        </w:tc>
        <w:tc>
          <w:tcPr>
            <w:tcW w:w="5712" w:type="dxa"/>
          </w:tcPr>
          <w:p w14:paraId="62BB242C" w14:textId="238F997A"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5A361A07" w14:textId="77777777" w:rsidR="00644DA9" w:rsidRPr="007F1C1D" w:rsidRDefault="00644DA9" w:rsidP="00204DFD">
            <w:pPr>
              <w:rPr>
                <w:rFonts w:cs="Arial"/>
                <w:sz w:val="22"/>
                <w:szCs w:val="22"/>
                <w:lang w:val="en-AU"/>
              </w:rPr>
            </w:pPr>
            <w:r w:rsidRPr="007F1C1D">
              <w:rPr>
                <w:rFonts w:cs="Arial"/>
                <w:sz w:val="22"/>
                <w:szCs w:val="22"/>
                <w:lang w:val="en-AU"/>
              </w:rPr>
              <w:t>SC52-17: endorses for2016-2018</w:t>
            </w:r>
          </w:p>
          <w:p w14:paraId="68916199"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2C5A095E"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15262C60" w14:textId="77777777" w:rsidR="00644DA9" w:rsidRPr="007F1C1D" w:rsidRDefault="00644DA9" w:rsidP="00204DFD">
            <w:pPr>
              <w:rPr>
                <w:rFonts w:cs="Arial"/>
                <w:sz w:val="22"/>
                <w:szCs w:val="22"/>
                <w:lang w:val="en-AU"/>
              </w:rPr>
            </w:pPr>
            <w:r w:rsidRPr="007F1C1D">
              <w:rPr>
                <w:rFonts w:cs="Arial"/>
                <w:sz w:val="22"/>
                <w:szCs w:val="22"/>
                <w:lang w:val="en-AU"/>
              </w:rPr>
              <w:t>C42-20: endorses for 2011</w:t>
            </w:r>
          </w:p>
          <w:p w14:paraId="74810E74" w14:textId="77777777" w:rsidR="00644DA9" w:rsidRPr="007F1C1D" w:rsidRDefault="00644DA9" w:rsidP="00204DFD">
            <w:pPr>
              <w:rPr>
                <w:rFonts w:cs="Arial"/>
                <w:sz w:val="22"/>
                <w:szCs w:val="22"/>
                <w:lang w:val="en-AU"/>
              </w:rPr>
            </w:pPr>
            <w:r w:rsidRPr="007F1C1D">
              <w:rPr>
                <w:rFonts w:cs="Arial"/>
                <w:sz w:val="22"/>
                <w:szCs w:val="22"/>
                <w:lang w:val="en-AU"/>
              </w:rPr>
              <w:t xml:space="preserve">Res. IX.7: </w:t>
            </w:r>
            <w:r w:rsidRPr="007F1C1D">
              <w:rPr>
                <w:rFonts w:cs="Arial"/>
                <w:b/>
                <w:sz w:val="22"/>
                <w:szCs w:val="22"/>
                <w:lang w:val="en-AU"/>
              </w:rPr>
              <w:t>endorses for 2006-2008</w:t>
            </w:r>
          </w:p>
        </w:tc>
      </w:tr>
      <w:tr w:rsidR="00644DA9" w:rsidRPr="00E10F49" w14:paraId="392399BE" w14:textId="77777777" w:rsidTr="005C3DC0">
        <w:trPr>
          <w:cantSplit/>
        </w:trPr>
        <w:tc>
          <w:tcPr>
            <w:tcW w:w="3405" w:type="dxa"/>
          </w:tcPr>
          <w:p w14:paraId="2690E560" w14:textId="77777777" w:rsidR="00644DA9" w:rsidRPr="007F1C1D" w:rsidRDefault="00644DA9" w:rsidP="00204DFD">
            <w:pPr>
              <w:rPr>
                <w:rFonts w:cs="Arial"/>
                <w:sz w:val="22"/>
                <w:szCs w:val="22"/>
                <w:lang w:val="en-AU"/>
              </w:rPr>
            </w:pPr>
            <w:r w:rsidRPr="007F1C1D">
              <w:rPr>
                <w:rFonts w:cs="Arial"/>
                <w:sz w:val="22"/>
                <w:szCs w:val="22"/>
                <w:lang w:val="en-AU"/>
              </w:rPr>
              <w:lastRenderedPageBreak/>
              <w:t>RRI for the Senegal River Basin</w:t>
            </w:r>
          </w:p>
          <w:p w14:paraId="1FBC5C8F" w14:textId="77777777" w:rsidR="00644DA9" w:rsidRPr="007F1C1D" w:rsidRDefault="00644DA9" w:rsidP="00204DFD">
            <w:pPr>
              <w:rPr>
                <w:rFonts w:cs="Arial"/>
                <w:b/>
                <w:i/>
                <w:sz w:val="22"/>
                <w:szCs w:val="22"/>
                <w:lang w:val="en-AU"/>
              </w:rPr>
            </w:pPr>
            <w:r w:rsidRPr="007F1C1D">
              <w:rPr>
                <w:rFonts w:cs="Arial"/>
                <w:b/>
                <w:i/>
                <w:sz w:val="22"/>
                <w:szCs w:val="22"/>
                <w:lang w:val="en-AU"/>
              </w:rPr>
              <w:t>2016 (SC52)</w:t>
            </w:r>
          </w:p>
        </w:tc>
        <w:tc>
          <w:tcPr>
            <w:tcW w:w="5712" w:type="dxa"/>
          </w:tcPr>
          <w:p w14:paraId="24B81AE0" w14:textId="2659E8A9"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183794C5" w14:textId="77777777" w:rsidR="00644DA9" w:rsidRPr="007F1C1D" w:rsidRDefault="00644DA9" w:rsidP="00204DFD">
            <w:pPr>
              <w:rPr>
                <w:rFonts w:cs="Arial"/>
                <w:sz w:val="22"/>
                <w:szCs w:val="22"/>
                <w:lang w:val="en-AU"/>
              </w:rPr>
            </w:pPr>
            <w:r w:rsidRPr="007F1C1D">
              <w:rPr>
                <w:rFonts w:cs="Arial"/>
                <w:sz w:val="22"/>
                <w:szCs w:val="22"/>
                <w:lang w:val="en-AU"/>
              </w:rPr>
              <w:t xml:space="preserve">SC52-20: </w:t>
            </w:r>
            <w:r w:rsidRPr="007F1C1D">
              <w:rPr>
                <w:rFonts w:cs="Arial"/>
                <w:b/>
                <w:sz w:val="22"/>
                <w:szCs w:val="22"/>
                <w:lang w:val="en-AU"/>
              </w:rPr>
              <w:t>endorses this new RRI 2016</w:t>
            </w:r>
          </w:p>
          <w:p w14:paraId="27531399" w14:textId="77777777" w:rsidR="00644DA9" w:rsidRPr="007F1C1D" w:rsidRDefault="00644DA9" w:rsidP="00204DFD">
            <w:pPr>
              <w:rPr>
                <w:rFonts w:cs="Arial"/>
                <w:sz w:val="22"/>
                <w:szCs w:val="22"/>
                <w:lang w:val="en-AU"/>
              </w:rPr>
            </w:pPr>
          </w:p>
        </w:tc>
      </w:tr>
      <w:tr w:rsidR="00644DA9" w:rsidRPr="007F1C1D" w14:paraId="76C62C32" w14:textId="77777777" w:rsidTr="005C3DC0">
        <w:trPr>
          <w:cantSplit/>
        </w:trPr>
        <w:tc>
          <w:tcPr>
            <w:tcW w:w="3405" w:type="dxa"/>
          </w:tcPr>
          <w:p w14:paraId="25CDDA9A" w14:textId="77777777" w:rsidR="00644DA9" w:rsidRPr="007F1C1D" w:rsidRDefault="00644DA9" w:rsidP="00204DFD">
            <w:pPr>
              <w:rPr>
                <w:rFonts w:cs="Arial"/>
                <w:sz w:val="22"/>
                <w:szCs w:val="22"/>
                <w:lang w:val="en-AU"/>
              </w:rPr>
            </w:pPr>
            <w:r w:rsidRPr="007F1C1D">
              <w:rPr>
                <w:rFonts w:cs="Arial"/>
                <w:sz w:val="22"/>
                <w:szCs w:val="22"/>
                <w:lang w:val="en-AU"/>
              </w:rPr>
              <w:t>RRI for the Conservation and Wise Use of High Andean Wetlands</w:t>
            </w:r>
          </w:p>
          <w:p w14:paraId="654811D9" w14:textId="36116106" w:rsidR="00644DA9" w:rsidRPr="007F1C1D" w:rsidRDefault="00644DA9" w:rsidP="00204DFD">
            <w:pPr>
              <w:rPr>
                <w:rFonts w:cs="Arial"/>
                <w:b/>
                <w:i/>
                <w:sz w:val="22"/>
                <w:szCs w:val="22"/>
                <w:lang w:val="en-AU"/>
              </w:rPr>
            </w:pPr>
            <w:r w:rsidRPr="007F1C1D">
              <w:rPr>
                <w:rFonts w:cs="Arial"/>
                <w:b/>
                <w:i/>
                <w:sz w:val="22"/>
                <w:szCs w:val="22"/>
                <w:lang w:val="en-AU"/>
              </w:rPr>
              <w:t>2005 (</w:t>
            </w:r>
            <w:r w:rsidR="007F1428">
              <w:rPr>
                <w:rFonts w:cs="Arial"/>
                <w:b/>
                <w:i/>
                <w:sz w:val="22"/>
                <w:szCs w:val="22"/>
                <w:lang w:val="en-AU"/>
              </w:rPr>
              <w:t>COP</w:t>
            </w:r>
            <w:r w:rsidRPr="007F1C1D">
              <w:rPr>
                <w:rFonts w:cs="Arial"/>
                <w:b/>
                <w:i/>
                <w:sz w:val="22"/>
                <w:szCs w:val="22"/>
                <w:lang w:val="en-AU"/>
              </w:rPr>
              <w:t>9)</w:t>
            </w:r>
          </w:p>
        </w:tc>
        <w:tc>
          <w:tcPr>
            <w:tcW w:w="5712" w:type="dxa"/>
          </w:tcPr>
          <w:p w14:paraId="65D278A6" w14:textId="1F4D4BD2"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18E18BC0"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1FBAF707"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62A39CCF"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39C3A62A" w14:textId="77777777" w:rsidR="00644DA9" w:rsidRPr="007F1C1D" w:rsidRDefault="00644DA9" w:rsidP="00204DFD">
            <w:pPr>
              <w:rPr>
                <w:rFonts w:cs="Arial"/>
                <w:sz w:val="22"/>
                <w:szCs w:val="22"/>
                <w:lang w:val="en-AU"/>
              </w:rPr>
            </w:pPr>
            <w:r w:rsidRPr="007F1C1D">
              <w:rPr>
                <w:rFonts w:cs="Arial"/>
                <w:sz w:val="22"/>
                <w:szCs w:val="22"/>
                <w:lang w:val="en-AU"/>
              </w:rPr>
              <w:t>SC42-20: endorses for 2011</w:t>
            </w:r>
          </w:p>
          <w:p w14:paraId="21CA617E" w14:textId="77777777" w:rsidR="00644DA9" w:rsidRPr="007F1C1D" w:rsidRDefault="00644DA9" w:rsidP="00204DFD">
            <w:pPr>
              <w:rPr>
                <w:rFonts w:cs="Arial"/>
                <w:sz w:val="22"/>
                <w:szCs w:val="22"/>
                <w:lang w:val="en-AU"/>
              </w:rPr>
            </w:pPr>
            <w:r w:rsidRPr="007F1C1D">
              <w:rPr>
                <w:rFonts w:cs="Arial"/>
                <w:sz w:val="22"/>
                <w:szCs w:val="22"/>
                <w:lang w:val="en-AU"/>
              </w:rPr>
              <w:t>SC40-18: endorsement 2009-2012</w:t>
            </w:r>
          </w:p>
          <w:p w14:paraId="6C0AD625" w14:textId="77777777" w:rsidR="00644DA9" w:rsidRPr="007F1C1D" w:rsidRDefault="00644DA9" w:rsidP="00204DFD">
            <w:pPr>
              <w:rPr>
                <w:rFonts w:cs="Arial"/>
                <w:sz w:val="22"/>
                <w:szCs w:val="22"/>
                <w:lang w:val="en-AU"/>
              </w:rPr>
            </w:pPr>
            <w:r w:rsidRPr="007F1C1D">
              <w:rPr>
                <w:rFonts w:cs="Arial"/>
                <w:sz w:val="22"/>
                <w:szCs w:val="22"/>
                <w:lang w:val="en-AU"/>
              </w:rPr>
              <w:t xml:space="preserve">Res. IX.7: </w:t>
            </w:r>
            <w:r w:rsidRPr="007F1C1D">
              <w:rPr>
                <w:rFonts w:cs="Arial"/>
                <w:b/>
                <w:sz w:val="22"/>
                <w:szCs w:val="22"/>
                <w:lang w:val="en-AU"/>
              </w:rPr>
              <w:t>endorses for 2006-2008</w:t>
            </w:r>
          </w:p>
        </w:tc>
      </w:tr>
      <w:tr w:rsidR="00644DA9" w:rsidRPr="00E10F49" w14:paraId="2ED6A0A6" w14:textId="77777777" w:rsidTr="005C3DC0">
        <w:trPr>
          <w:cantSplit/>
        </w:trPr>
        <w:tc>
          <w:tcPr>
            <w:tcW w:w="3405" w:type="dxa"/>
          </w:tcPr>
          <w:p w14:paraId="2B9A6397" w14:textId="77777777" w:rsidR="00644DA9" w:rsidRPr="007F1C1D" w:rsidRDefault="00644DA9" w:rsidP="00204DFD">
            <w:pPr>
              <w:rPr>
                <w:rFonts w:cs="Arial"/>
                <w:sz w:val="22"/>
                <w:szCs w:val="22"/>
                <w:lang w:val="en-AU"/>
              </w:rPr>
            </w:pPr>
            <w:r w:rsidRPr="007F1C1D">
              <w:rPr>
                <w:rFonts w:cs="Arial"/>
                <w:sz w:val="22"/>
                <w:szCs w:val="22"/>
                <w:lang w:val="en-AU"/>
              </w:rPr>
              <w:t>RRI for the Conservation and Wise Use of the Plata River Basin</w:t>
            </w:r>
          </w:p>
          <w:p w14:paraId="5CEB6135" w14:textId="77777777" w:rsidR="00644DA9" w:rsidRPr="007F1C1D" w:rsidRDefault="00644DA9" w:rsidP="00204DFD">
            <w:pPr>
              <w:rPr>
                <w:rFonts w:cs="Arial"/>
                <w:b/>
                <w:i/>
                <w:sz w:val="22"/>
                <w:szCs w:val="22"/>
                <w:lang w:val="en-AU"/>
              </w:rPr>
            </w:pPr>
            <w:r w:rsidRPr="007F1C1D">
              <w:rPr>
                <w:rFonts w:cs="Arial"/>
                <w:b/>
                <w:i/>
                <w:sz w:val="22"/>
                <w:szCs w:val="22"/>
                <w:lang w:val="en-AU"/>
              </w:rPr>
              <w:t>2009 (SC40)</w:t>
            </w:r>
          </w:p>
        </w:tc>
        <w:tc>
          <w:tcPr>
            <w:tcW w:w="5712" w:type="dxa"/>
          </w:tcPr>
          <w:p w14:paraId="40C72ADA" w14:textId="23DA1987"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4CFD27CA" w14:textId="77777777" w:rsidR="00644DA9" w:rsidRPr="007F1C1D" w:rsidRDefault="00644DA9" w:rsidP="00204DFD">
            <w:pPr>
              <w:rPr>
                <w:rFonts w:cs="Arial"/>
                <w:sz w:val="22"/>
                <w:szCs w:val="22"/>
                <w:lang w:val="en-AU"/>
              </w:rPr>
            </w:pPr>
            <w:r w:rsidRPr="007F1C1D">
              <w:rPr>
                <w:rFonts w:cs="Arial"/>
                <w:sz w:val="22"/>
                <w:szCs w:val="22"/>
                <w:lang w:val="en-AU"/>
              </w:rPr>
              <w:t>SC52-17: endorsement 2016-2018</w:t>
            </w:r>
          </w:p>
          <w:p w14:paraId="26EC3BB0"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4FBA9778"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4451A9D7" w14:textId="77777777" w:rsidR="00644DA9" w:rsidRPr="007F1C1D" w:rsidRDefault="00644DA9" w:rsidP="00204DFD">
            <w:pPr>
              <w:rPr>
                <w:rFonts w:cs="Arial"/>
                <w:sz w:val="22"/>
                <w:szCs w:val="22"/>
                <w:lang w:val="en-AU"/>
              </w:rPr>
            </w:pPr>
            <w:r w:rsidRPr="007F1C1D">
              <w:rPr>
                <w:rFonts w:cs="Arial"/>
                <w:sz w:val="22"/>
                <w:szCs w:val="22"/>
                <w:lang w:val="en-AU"/>
              </w:rPr>
              <w:t>SC42-20: endorsement 2011</w:t>
            </w:r>
          </w:p>
          <w:p w14:paraId="0BED6F61" w14:textId="77777777" w:rsidR="00644DA9" w:rsidRPr="007F1C1D" w:rsidRDefault="00644DA9" w:rsidP="00204DFD">
            <w:pPr>
              <w:rPr>
                <w:rFonts w:cs="Arial"/>
                <w:sz w:val="22"/>
                <w:szCs w:val="22"/>
                <w:lang w:val="en-AU"/>
              </w:rPr>
            </w:pPr>
            <w:r w:rsidRPr="007F1C1D">
              <w:rPr>
                <w:rFonts w:cs="Arial"/>
                <w:sz w:val="22"/>
                <w:szCs w:val="22"/>
                <w:lang w:val="en-AU"/>
              </w:rPr>
              <w:t xml:space="preserve">SC40-18: </w:t>
            </w:r>
            <w:r w:rsidRPr="007F1C1D">
              <w:rPr>
                <w:rFonts w:cs="Arial"/>
                <w:b/>
                <w:sz w:val="22"/>
                <w:szCs w:val="22"/>
                <w:lang w:val="en-AU"/>
              </w:rPr>
              <w:t>endorses for 2009-2012</w:t>
            </w:r>
          </w:p>
        </w:tc>
      </w:tr>
      <w:tr w:rsidR="00644DA9" w:rsidRPr="00E10F49" w14:paraId="5645AFBB" w14:textId="77777777" w:rsidTr="005C3DC0">
        <w:trPr>
          <w:cantSplit/>
        </w:trPr>
        <w:tc>
          <w:tcPr>
            <w:tcW w:w="3405" w:type="dxa"/>
          </w:tcPr>
          <w:p w14:paraId="7ADDD3EC" w14:textId="77777777" w:rsidR="00644DA9" w:rsidRPr="007F1C1D" w:rsidRDefault="00644DA9" w:rsidP="00204DFD">
            <w:pPr>
              <w:rPr>
                <w:rFonts w:cs="Arial"/>
                <w:sz w:val="22"/>
                <w:szCs w:val="22"/>
                <w:lang w:val="en-AU"/>
              </w:rPr>
            </w:pPr>
            <w:r w:rsidRPr="007F1C1D">
              <w:rPr>
                <w:rFonts w:cs="Arial"/>
                <w:sz w:val="22"/>
                <w:szCs w:val="22"/>
                <w:lang w:val="en-AU"/>
              </w:rPr>
              <w:t>Caribbean Wetlands RRI (CariWet)</w:t>
            </w:r>
          </w:p>
          <w:p w14:paraId="2B17F9D9" w14:textId="77777777" w:rsidR="00644DA9" w:rsidRPr="007F1C1D" w:rsidRDefault="00644DA9" w:rsidP="00204DFD">
            <w:pPr>
              <w:rPr>
                <w:rFonts w:cs="Arial"/>
                <w:b/>
                <w:i/>
                <w:sz w:val="22"/>
                <w:szCs w:val="22"/>
                <w:lang w:val="en-AU"/>
              </w:rPr>
            </w:pPr>
            <w:r w:rsidRPr="007F1C1D">
              <w:rPr>
                <w:rFonts w:cs="Arial"/>
                <w:b/>
                <w:i/>
                <w:sz w:val="22"/>
                <w:szCs w:val="22"/>
                <w:lang w:val="en-AU"/>
              </w:rPr>
              <w:t>2010 (SC41)</w:t>
            </w:r>
          </w:p>
        </w:tc>
        <w:tc>
          <w:tcPr>
            <w:tcW w:w="5712" w:type="dxa"/>
          </w:tcPr>
          <w:p w14:paraId="289A8116" w14:textId="308198EA"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51D8D013" w14:textId="252F74A4" w:rsidR="00644DA9" w:rsidRPr="007F1C1D" w:rsidRDefault="00644DA9" w:rsidP="00204DFD">
            <w:pPr>
              <w:rPr>
                <w:rFonts w:cs="Arial"/>
                <w:sz w:val="22"/>
                <w:szCs w:val="22"/>
                <w:lang w:val="en-AU"/>
              </w:rPr>
            </w:pPr>
            <w:r w:rsidRPr="007F1C1D">
              <w:rPr>
                <w:rFonts w:cs="Arial"/>
                <w:sz w:val="22"/>
                <w:szCs w:val="22"/>
                <w:lang w:val="en-AU"/>
              </w:rPr>
              <w:t xml:space="preserve">SC52-17: endorsement 2016-2018 </w:t>
            </w:r>
          </w:p>
          <w:p w14:paraId="05B3455E"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4978E02B"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3D3CB43A" w14:textId="77777777" w:rsidR="00644DA9" w:rsidRPr="007F1C1D" w:rsidRDefault="00644DA9" w:rsidP="00204DFD">
            <w:pPr>
              <w:rPr>
                <w:rFonts w:cs="Arial"/>
                <w:sz w:val="22"/>
                <w:szCs w:val="22"/>
                <w:lang w:val="en-AU"/>
              </w:rPr>
            </w:pPr>
            <w:r w:rsidRPr="007F1C1D">
              <w:rPr>
                <w:rFonts w:cs="Arial"/>
                <w:sz w:val="22"/>
                <w:szCs w:val="22"/>
                <w:lang w:val="en-AU"/>
              </w:rPr>
              <w:t>SC42-20: endorsement 2011</w:t>
            </w:r>
          </w:p>
          <w:p w14:paraId="5CDAF068" w14:textId="77777777" w:rsidR="00644DA9" w:rsidRPr="007F1C1D" w:rsidRDefault="00644DA9" w:rsidP="00204DFD">
            <w:pPr>
              <w:rPr>
                <w:rFonts w:cs="Arial"/>
                <w:sz w:val="22"/>
                <w:szCs w:val="22"/>
                <w:lang w:val="en-AU"/>
              </w:rPr>
            </w:pPr>
            <w:r w:rsidRPr="007F1C1D">
              <w:rPr>
                <w:rFonts w:cs="Arial"/>
                <w:sz w:val="22"/>
                <w:szCs w:val="22"/>
                <w:lang w:val="en-AU"/>
              </w:rPr>
              <w:t xml:space="preserve">SC41-23: </w:t>
            </w:r>
            <w:r w:rsidRPr="007F1C1D">
              <w:rPr>
                <w:rFonts w:cs="Arial"/>
                <w:b/>
                <w:sz w:val="22"/>
                <w:szCs w:val="22"/>
                <w:lang w:val="en-AU"/>
              </w:rPr>
              <w:t>endorses this new RRI 2010</w:t>
            </w:r>
          </w:p>
        </w:tc>
      </w:tr>
      <w:tr w:rsidR="00644DA9" w:rsidRPr="00E10F49" w14:paraId="23CE4DF5" w14:textId="77777777" w:rsidTr="005C3DC0">
        <w:trPr>
          <w:cantSplit/>
        </w:trPr>
        <w:tc>
          <w:tcPr>
            <w:tcW w:w="3405" w:type="dxa"/>
          </w:tcPr>
          <w:p w14:paraId="4A736CA1" w14:textId="77777777" w:rsidR="00644DA9" w:rsidRPr="007F1C1D" w:rsidRDefault="00644DA9" w:rsidP="00204DFD">
            <w:pPr>
              <w:rPr>
                <w:rFonts w:cs="Arial"/>
                <w:sz w:val="22"/>
                <w:szCs w:val="22"/>
                <w:lang w:val="en-AU"/>
              </w:rPr>
            </w:pPr>
            <w:r w:rsidRPr="007F1C1D">
              <w:rPr>
                <w:rFonts w:cs="Arial"/>
                <w:sz w:val="22"/>
                <w:szCs w:val="22"/>
                <w:lang w:val="en-AU"/>
              </w:rPr>
              <w:t>RRI for the Conservation and Wise Use of Mangroves and Coral Reefs</w:t>
            </w:r>
          </w:p>
          <w:p w14:paraId="491B3235" w14:textId="77777777" w:rsidR="00644DA9" w:rsidRPr="007F1C1D" w:rsidRDefault="00644DA9" w:rsidP="00204DFD">
            <w:pPr>
              <w:rPr>
                <w:rFonts w:cs="Arial"/>
                <w:b/>
                <w:sz w:val="22"/>
                <w:szCs w:val="22"/>
                <w:lang w:val="en-AU"/>
              </w:rPr>
            </w:pPr>
            <w:r w:rsidRPr="007F1C1D">
              <w:rPr>
                <w:rFonts w:cs="Arial"/>
                <w:b/>
                <w:i/>
                <w:sz w:val="22"/>
                <w:szCs w:val="22"/>
                <w:lang w:val="en-AU"/>
              </w:rPr>
              <w:t>2010 (SC41</w:t>
            </w:r>
            <w:r w:rsidRPr="007F1C1D">
              <w:rPr>
                <w:rFonts w:cs="Arial"/>
                <w:b/>
                <w:sz w:val="22"/>
                <w:szCs w:val="22"/>
                <w:lang w:val="en-AU"/>
              </w:rPr>
              <w:t>)</w:t>
            </w:r>
          </w:p>
        </w:tc>
        <w:tc>
          <w:tcPr>
            <w:tcW w:w="5712" w:type="dxa"/>
          </w:tcPr>
          <w:p w14:paraId="73025E7C" w14:textId="3FFCA207"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3361ED4D" w14:textId="77777777" w:rsidR="00644DA9" w:rsidRPr="007F1C1D" w:rsidRDefault="00644DA9" w:rsidP="00204DFD">
            <w:pPr>
              <w:rPr>
                <w:rFonts w:cs="Arial"/>
                <w:sz w:val="22"/>
                <w:szCs w:val="22"/>
                <w:lang w:val="en-AU"/>
              </w:rPr>
            </w:pPr>
            <w:r w:rsidRPr="007F1C1D">
              <w:rPr>
                <w:rFonts w:cs="Arial"/>
                <w:sz w:val="22"/>
                <w:szCs w:val="22"/>
                <w:lang w:val="en-AU"/>
              </w:rPr>
              <w:t>SC52-17: endorsement 2016-2018</w:t>
            </w:r>
          </w:p>
          <w:p w14:paraId="4ED978D7"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07FDB018"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2A592FFC" w14:textId="77777777" w:rsidR="00644DA9" w:rsidRPr="007F1C1D" w:rsidRDefault="00644DA9" w:rsidP="00204DFD">
            <w:pPr>
              <w:rPr>
                <w:rFonts w:cs="Arial"/>
                <w:sz w:val="22"/>
                <w:szCs w:val="22"/>
                <w:lang w:val="en-AU"/>
              </w:rPr>
            </w:pPr>
            <w:r w:rsidRPr="007F1C1D">
              <w:rPr>
                <w:rFonts w:cs="Arial"/>
                <w:sz w:val="22"/>
                <w:szCs w:val="22"/>
                <w:lang w:val="en-AU"/>
              </w:rPr>
              <w:t>SC42-20: endorsement 2011</w:t>
            </w:r>
          </w:p>
          <w:p w14:paraId="3A9290EB" w14:textId="77777777" w:rsidR="00644DA9" w:rsidRPr="007F1C1D" w:rsidRDefault="00644DA9" w:rsidP="00204DFD">
            <w:pPr>
              <w:rPr>
                <w:rFonts w:cs="Arial"/>
                <w:sz w:val="22"/>
                <w:szCs w:val="22"/>
                <w:lang w:val="en-AU"/>
              </w:rPr>
            </w:pPr>
            <w:r w:rsidRPr="007F1C1D">
              <w:rPr>
                <w:rFonts w:cs="Arial"/>
                <w:sz w:val="22"/>
                <w:szCs w:val="22"/>
                <w:lang w:val="en-AU"/>
              </w:rPr>
              <w:t xml:space="preserve">SC41-23: </w:t>
            </w:r>
            <w:r w:rsidRPr="007F1C1D">
              <w:rPr>
                <w:rFonts w:cs="Arial"/>
                <w:b/>
                <w:sz w:val="22"/>
                <w:szCs w:val="22"/>
                <w:lang w:val="en-AU"/>
              </w:rPr>
              <w:t>endorses this new RRI 2010</w:t>
            </w:r>
          </w:p>
        </w:tc>
      </w:tr>
      <w:tr w:rsidR="00644DA9" w:rsidRPr="00E10F49" w14:paraId="0F362FF5" w14:textId="77777777" w:rsidTr="005C3DC0">
        <w:trPr>
          <w:cantSplit/>
        </w:trPr>
        <w:tc>
          <w:tcPr>
            <w:tcW w:w="3405" w:type="dxa"/>
          </w:tcPr>
          <w:p w14:paraId="3C916787" w14:textId="77777777" w:rsidR="00644DA9" w:rsidRPr="007F1C1D" w:rsidRDefault="00644DA9" w:rsidP="00204DFD">
            <w:pPr>
              <w:rPr>
                <w:rFonts w:cs="Arial"/>
                <w:sz w:val="22"/>
                <w:szCs w:val="22"/>
                <w:lang w:val="en-AU"/>
              </w:rPr>
            </w:pPr>
            <w:r w:rsidRPr="007F1C1D">
              <w:rPr>
                <w:rFonts w:cs="Arial"/>
                <w:sz w:val="22"/>
                <w:szCs w:val="22"/>
                <w:lang w:val="en-AU"/>
              </w:rPr>
              <w:t>RRI for the Amazon River Basin</w:t>
            </w:r>
          </w:p>
          <w:p w14:paraId="313D7060" w14:textId="77777777" w:rsidR="00644DA9" w:rsidRPr="007F1C1D" w:rsidRDefault="00644DA9" w:rsidP="00204DFD">
            <w:pPr>
              <w:rPr>
                <w:rFonts w:cs="Arial"/>
                <w:b/>
                <w:i/>
                <w:sz w:val="22"/>
                <w:szCs w:val="22"/>
                <w:lang w:val="en-AU"/>
              </w:rPr>
            </w:pPr>
            <w:r w:rsidRPr="007F1C1D">
              <w:rPr>
                <w:rFonts w:cs="Arial"/>
                <w:b/>
                <w:i/>
                <w:sz w:val="22"/>
                <w:szCs w:val="22"/>
                <w:lang w:val="en-AU"/>
              </w:rPr>
              <w:t>2016 (SC52)</w:t>
            </w:r>
          </w:p>
        </w:tc>
        <w:tc>
          <w:tcPr>
            <w:tcW w:w="5712" w:type="dxa"/>
          </w:tcPr>
          <w:p w14:paraId="3D700252" w14:textId="1DFC4461"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1D0CCD8C" w14:textId="77777777" w:rsidR="00644DA9" w:rsidRPr="007F1C1D" w:rsidRDefault="00644DA9" w:rsidP="00204DFD">
            <w:pPr>
              <w:rPr>
                <w:rFonts w:cs="Arial"/>
                <w:sz w:val="22"/>
                <w:szCs w:val="22"/>
                <w:lang w:val="en-AU"/>
              </w:rPr>
            </w:pPr>
            <w:r w:rsidRPr="007F1C1D">
              <w:rPr>
                <w:rFonts w:cs="Arial"/>
                <w:sz w:val="22"/>
                <w:szCs w:val="22"/>
                <w:lang w:val="en-AU"/>
              </w:rPr>
              <w:t xml:space="preserve">SC52-20: </w:t>
            </w:r>
            <w:r w:rsidRPr="007F1C1D">
              <w:rPr>
                <w:rFonts w:cs="Arial"/>
                <w:b/>
                <w:sz w:val="22"/>
                <w:szCs w:val="22"/>
                <w:lang w:val="en-AU"/>
              </w:rPr>
              <w:t>endorses this new RRI 2016</w:t>
            </w:r>
          </w:p>
        </w:tc>
      </w:tr>
      <w:tr w:rsidR="00644DA9" w:rsidRPr="00E10F49" w14:paraId="2731B627" w14:textId="77777777" w:rsidTr="005C3DC0">
        <w:trPr>
          <w:cantSplit/>
        </w:trPr>
        <w:tc>
          <w:tcPr>
            <w:tcW w:w="3405" w:type="dxa"/>
          </w:tcPr>
          <w:p w14:paraId="2CDA710B" w14:textId="77777777" w:rsidR="00644DA9" w:rsidRPr="007F1C1D" w:rsidRDefault="00644DA9" w:rsidP="00204DFD">
            <w:pPr>
              <w:rPr>
                <w:rFonts w:cs="Arial"/>
                <w:sz w:val="22"/>
                <w:szCs w:val="22"/>
                <w:lang w:val="en-AU"/>
              </w:rPr>
            </w:pPr>
            <w:r w:rsidRPr="007F1C1D">
              <w:rPr>
                <w:rFonts w:cs="Arial"/>
                <w:sz w:val="22"/>
                <w:szCs w:val="22"/>
                <w:lang w:val="en-AU"/>
              </w:rPr>
              <w:t>East-Asian Australasian Flyway Partnership</w:t>
            </w:r>
          </w:p>
          <w:p w14:paraId="532F7ED3" w14:textId="077C08A7" w:rsidR="00644DA9" w:rsidRPr="007F1C1D" w:rsidRDefault="00644DA9" w:rsidP="00204DFD">
            <w:pPr>
              <w:rPr>
                <w:rFonts w:cs="Arial"/>
                <w:b/>
                <w:i/>
                <w:sz w:val="22"/>
                <w:szCs w:val="22"/>
                <w:lang w:val="en-AU"/>
              </w:rPr>
            </w:pPr>
            <w:r w:rsidRPr="007F1C1D">
              <w:rPr>
                <w:rFonts w:cs="Arial"/>
                <w:b/>
                <w:i/>
                <w:sz w:val="22"/>
                <w:szCs w:val="22"/>
                <w:lang w:val="en-AU"/>
              </w:rPr>
              <w:t>2005 (</w:t>
            </w:r>
            <w:r w:rsidR="007F1428">
              <w:rPr>
                <w:rFonts w:cs="Arial"/>
                <w:b/>
                <w:i/>
                <w:sz w:val="22"/>
                <w:szCs w:val="22"/>
                <w:lang w:val="en-AU"/>
              </w:rPr>
              <w:t>COP</w:t>
            </w:r>
            <w:r w:rsidRPr="007F1C1D">
              <w:rPr>
                <w:rFonts w:cs="Arial"/>
                <w:b/>
                <w:i/>
                <w:sz w:val="22"/>
                <w:szCs w:val="22"/>
                <w:lang w:val="en-AU"/>
              </w:rPr>
              <w:t>9)</w:t>
            </w:r>
          </w:p>
        </w:tc>
        <w:tc>
          <w:tcPr>
            <w:tcW w:w="5712" w:type="dxa"/>
          </w:tcPr>
          <w:p w14:paraId="547E0490" w14:textId="7ABBC1F9"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60213799" w14:textId="77777777" w:rsidR="00644DA9" w:rsidRPr="007F1C1D" w:rsidRDefault="00644DA9" w:rsidP="00204DFD">
            <w:pPr>
              <w:rPr>
                <w:rFonts w:cs="Arial"/>
                <w:sz w:val="22"/>
                <w:szCs w:val="22"/>
                <w:lang w:val="en-AU"/>
              </w:rPr>
            </w:pPr>
            <w:r w:rsidRPr="007F1C1D">
              <w:rPr>
                <w:rFonts w:cs="Arial"/>
                <w:sz w:val="22"/>
                <w:szCs w:val="22"/>
                <w:lang w:val="en-AU"/>
              </w:rPr>
              <w:t>SC52-17: endorsement 2016-2018</w:t>
            </w:r>
          </w:p>
          <w:p w14:paraId="755EC557"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4FC595DD"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6A13117B" w14:textId="77777777" w:rsidR="00644DA9" w:rsidRPr="007F1C1D" w:rsidRDefault="00644DA9" w:rsidP="00204DFD">
            <w:pPr>
              <w:rPr>
                <w:rFonts w:cs="Arial"/>
                <w:sz w:val="22"/>
                <w:szCs w:val="22"/>
                <w:lang w:val="en-AU"/>
              </w:rPr>
            </w:pPr>
            <w:r w:rsidRPr="007F1C1D">
              <w:rPr>
                <w:rFonts w:cs="Arial"/>
                <w:sz w:val="22"/>
                <w:szCs w:val="22"/>
                <w:lang w:val="en-AU"/>
              </w:rPr>
              <w:t>SC40-18: endorsement 2009-2012</w:t>
            </w:r>
          </w:p>
          <w:p w14:paraId="78927F7C" w14:textId="77777777" w:rsidR="00644DA9" w:rsidRPr="007F1C1D" w:rsidRDefault="00644DA9" w:rsidP="00204DFD">
            <w:pPr>
              <w:rPr>
                <w:rFonts w:cs="Arial"/>
                <w:sz w:val="22"/>
                <w:szCs w:val="22"/>
                <w:lang w:val="en-AU"/>
              </w:rPr>
            </w:pPr>
            <w:r w:rsidRPr="007F1C1D">
              <w:rPr>
                <w:rFonts w:cs="Arial"/>
                <w:sz w:val="22"/>
                <w:szCs w:val="22"/>
                <w:lang w:val="en-AU"/>
              </w:rPr>
              <w:t xml:space="preserve">Res. IX.7: </w:t>
            </w:r>
            <w:r w:rsidRPr="007F1C1D">
              <w:rPr>
                <w:rFonts w:cs="Arial"/>
                <w:b/>
                <w:sz w:val="22"/>
                <w:szCs w:val="22"/>
                <w:lang w:val="en-AU"/>
              </w:rPr>
              <w:t>endorses for 2006-2008</w:t>
            </w:r>
          </w:p>
        </w:tc>
      </w:tr>
      <w:tr w:rsidR="00644DA9" w:rsidRPr="00E10F49" w14:paraId="12C23CE6" w14:textId="77777777" w:rsidTr="005C3DC0">
        <w:trPr>
          <w:cantSplit/>
        </w:trPr>
        <w:tc>
          <w:tcPr>
            <w:tcW w:w="3405" w:type="dxa"/>
          </w:tcPr>
          <w:p w14:paraId="3925C49E" w14:textId="77777777" w:rsidR="00644DA9" w:rsidRPr="007F1C1D" w:rsidRDefault="00644DA9" w:rsidP="00204DFD">
            <w:pPr>
              <w:rPr>
                <w:rFonts w:cs="Arial"/>
                <w:sz w:val="22"/>
                <w:szCs w:val="22"/>
                <w:lang w:val="en-AU"/>
              </w:rPr>
            </w:pPr>
            <w:r w:rsidRPr="007F1C1D">
              <w:rPr>
                <w:rFonts w:cs="Arial"/>
                <w:sz w:val="22"/>
                <w:szCs w:val="22"/>
                <w:lang w:val="en-AU"/>
              </w:rPr>
              <w:t>RRI for Central Asia</w:t>
            </w:r>
          </w:p>
          <w:p w14:paraId="78F4C20E" w14:textId="77777777" w:rsidR="00644DA9" w:rsidRPr="007F1C1D" w:rsidRDefault="00644DA9" w:rsidP="00204DFD">
            <w:pPr>
              <w:rPr>
                <w:rFonts w:cs="Arial"/>
                <w:b/>
                <w:i/>
                <w:sz w:val="22"/>
                <w:szCs w:val="22"/>
                <w:lang w:val="en-AU"/>
              </w:rPr>
            </w:pPr>
            <w:r w:rsidRPr="007F1C1D">
              <w:rPr>
                <w:rFonts w:cs="Arial"/>
                <w:b/>
                <w:i/>
                <w:sz w:val="22"/>
                <w:szCs w:val="22"/>
                <w:lang w:val="en-AU"/>
              </w:rPr>
              <w:t>2016 (SC52)</w:t>
            </w:r>
          </w:p>
        </w:tc>
        <w:tc>
          <w:tcPr>
            <w:tcW w:w="5712" w:type="dxa"/>
          </w:tcPr>
          <w:p w14:paraId="11CE87DE" w14:textId="6E45FD5D"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60C57910" w14:textId="77777777" w:rsidR="00644DA9" w:rsidRPr="007F1C1D" w:rsidRDefault="00644DA9" w:rsidP="00204DFD">
            <w:pPr>
              <w:rPr>
                <w:rFonts w:cs="Arial"/>
                <w:sz w:val="22"/>
                <w:szCs w:val="22"/>
                <w:lang w:val="en-AU"/>
              </w:rPr>
            </w:pPr>
            <w:r w:rsidRPr="007F1C1D">
              <w:rPr>
                <w:rFonts w:cs="Arial"/>
                <w:sz w:val="22"/>
                <w:szCs w:val="22"/>
                <w:lang w:val="en-AU"/>
              </w:rPr>
              <w:t xml:space="preserve">SC52-20: </w:t>
            </w:r>
            <w:r w:rsidRPr="007F1C1D">
              <w:rPr>
                <w:rFonts w:cs="Arial"/>
                <w:b/>
                <w:sz w:val="22"/>
                <w:szCs w:val="22"/>
                <w:lang w:val="en-AU"/>
              </w:rPr>
              <w:t>endorses this new RRI 2016</w:t>
            </w:r>
          </w:p>
        </w:tc>
      </w:tr>
      <w:tr w:rsidR="00644DA9" w:rsidRPr="00E10F49" w14:paraId="7D8D06A0" w14:textId="77777777" w:rsidTr="005C3DC0">
        <w:trPr>
          <w:cantSplit/>
        </w:trPr>
        <w:tc>
          <w:tcPr>
            <w:tcW w:w="3405" w:type="dxa"/>
          </w:tcPr>
          <w:p w14:paraId="40A6EE1D" w14:textId="77777777" w:rsidR="00644DA9" w:rsidRPr="007F1C1D" w:rsidRDefault="00644DA9" w:rsidP="00204DFD">
            <w:pPr>
              <w:rPr>
                <w:rFonts w:cs="Arial"/>
                <w:sz w:val="22"/>
                <w:szCs w:val="22"/>
                <w:lang w:val="en-AU"/>
              </w:rPr>
            </w:pPr>
            <w:r w:rsidRPr="007F1C1D">
              <w:rPr>
                <w:rFonts w:cs="Arial"/>
                <w:sz w:val="22"/>
                <w:szCs w:val="22"/>
                <w:lang w:val="en-AU"/>
              </w:rPr>
              <w:t>Indo-Burma RRI</w:t>
            </w:r>
          </w:p>
          <w:p w14:paraId="5F09AEF7" w14:textId="77777777" w:rsidR="00644DA9" w:rsidRPr="007F1C1D" w:rsidRDefault="00644DA9" w:rsidP="00204DFD">
            <w:pPr>
              <w:rPr>
                <w:rFonts w:cs="Arial"/>
                <w:b/>
                <w:i/>
                <w:sz w:val="22"/>
                <w:szCs w:val="22"/>
                <w:lang w:val="en-AU"/>
              </w:rPr>
            </w:pPr>
            <w:r w:rsidRPr="007F1C1D">
              <w:rPr>
                <w:rFonts w:cs="Arial"/>
                <w:b/>
                <w:i/>
                <w:sz w:val="22"/>
                <w:szCs w:val="22"/>
                <w:lang w:val="en-AU"/>
              </w:rPr>
              <w:t>2016 (SC52)</w:t>
            </w:r>
          </w:p>
        </w:tc>
        <w:tc>
          <w:tcPr>
            <w:tcW w:w="5712" w:type="dxa"/>
          </w:tcPr>
          <w:p w14:paraId="233CC3E8" w14:textId="7477B301"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118A312B" w14:textId="77777777" w:rsidR="00644DA9" w:rsidRPr="007F1C1D" w:rsidRDefault="00644DA9" w:rsidP="00204DFD">
            <w:pPr>
              <w:rPr>
                <w:rFonts w:cs="Arial"/>
                <w:sz w:val="22"/>
                <w:szCs w:val="22"/>
                <w:lang w:val="en-AU"/>
              </w:rPr>
            </w:pPr>
            <w:r w:rsidRPr="007F1C1D">
              <w:rPr>
                <w:rFonts w:cs="Arial"/>
                <w:sz w:val="22"/>
                <w:szCs w:val="22"/>
                <w:lang w:val="en-AU"/>
              </w:rPr>
              <w:t xml:space="preserve">SC52-20: </w:t>
            </w:r>
            <w:r w:rsidRPr="007F1C1D">
              <w:rPr>
                <w:rFonts w:cs="Arial"/>
                <w:b/>
                <w:sz w:val="22"/>
                <w:szCs w:val="22"/>
                <w:lang w:val="en-AU"/>
              </w:rPr>
              <w:t>endorses this new RRI 2016</w:t>
            </w:r>
          </w:p>
        </w:tc>
      </w:tr>
      <w:tr w:rsidR="00644DA9" w:rsidRPr="00E10F49" w14:paraId="0609A70A" w14:textId="77777777" w:rsidTr="005C3DC0">
        <w:trPr>
          <w:cantSplit/>
        </w:trPr>
        <w:tc>
          <w:tcPr>
            <w:tcW w:w="3405" w:type="dxa"/>
          </w:tcPr>
          <w:p w14:paraId="26441752" w14:textId="77777777" w:rsidR="00644DA9" w:rsidRPr="007F1C1D" w:rsidRDefault="00644DA9" w:rsidP="00204DFD">
            <w:pPr>
              <w:rPr>
                <w:rFonts w:cs="Arial"/>
                <w:sz w:val="22"/>
                <w:szCs w:val="22"/>
                <w:lang w:val="en-AU"/>
              </w:rPr>
            </w:pPr>
            <w:r w:rsidRPr="007F1C1D">
              <w:rPr>
                <w:rFonts w:cs="Arial"/>
                <w:sz w:val="22"/>
                <w:szCs w:val="22"/>
                <w:lang w:val="en-AU"/>
              </w:rPr>
              <w:lastRenderedPageBreak/>
              <w:t>Mediterranean Wetlands RRI (MedWet)</w:t>
            </w:r>
          </w:p>
          <w:p w14:paraId="1D3F6D8C" w14:textId="4136FF6B" w:rsidR="00644DA9" w:rsidRPr="007F1C1D" w:rsidRDefault="00644DA9" w:rsidP="00204DFD">
            <w:pPr>
              <w:rPr>
                <w:rFonts w:cs="Arial"/>
                <w:b/>
                <w:i/>
                <w:sz w:val="22"/>
                <w:szCs w:val="22"/>
                <w:lang w:val="en-AU"/>
              </w:rPr>
            </w:pPr>
            <w:r w:rsidRPr="007F1C1D">
              <w:rPr>
                <w:rFonts w:cs="Arial"/>
                <w:b/>
                <w:i/>
                <w:sz w:val="22"/>
                <w:szCs w:val="22"/>
                <w:lang w:val="en-AU"/>
              </w:rPr>
              <w:t>1999 (</w:t>
            </w:r>
            <w:r w:rsidR="007F1428">
              <w:rPr>
                <w:rFonts w:cs="Arial"/>
                <w:b/>
                <w:i/>
                <w:sz w:val="22"/>
                <w:szCs w:val="22"/>
                <w:lang w:val="en-AU"/>
              </w:rPr>
              <w:t>COP</w:t>
            </w:r>
            <w:r w:rsidRPr="007F1C1D">
              <w:rPr>
                <w:rFonts w:cs="Arial"/>
                <w:b/>
                <w:i/>
                <w:sz w:val="22"/>
                <w:szCs w:val="22"/>
                <w:lang w:val="en-AU"/>
              </w:rPr>
              <w:t>7)</w:t>
            </w:r>
          </w:p>
        </w:tc>
        <w:tc>
          <w:tcPr>
            <w:tcW w:w="5712" w:type="dxa"/>
          </w:tcPr>
          <w:p w14:paraId="7F0260BB" w14:textId="4F60F4BE"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255A55A6" w14:textId="77777777" w:rsidR="00644DA9" w:rsidRPr="007F1C1D" w:rsidRDefault="00644DA9" w:rsidP="00204DFD">
            <w:pPr>
              <w:rPr>
                <w:rFonts w:cs="Arial"/>
                <w:sz w:val="22"/>
                <w:szCs w:val="22"/>
                <w:lang w:val="en-AU"/>
              </w:rPr>
            </w:pPr>
            <w:r w:rsidRPr="007F1C1D">
              <w:rPr>
                <w:rFonts w:cs="Arial"/>
                <w:sz w:val="22"/>
                <w:szCs w:val="22"/>
                <w:lang w:val="en-AU"/>
              </w:rPr>
              <w:t>SC52-17: endorses for 2016-2018</w:t>
            </w:r>
          </w:p>
          <w:p w14:paraId="15948737"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7E140E83"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627DA702" w14:textId="77777777" w:rsidR="00644DA9" w:rsidRPr="007F1C1D" w:rsidRDefault="00644DA9" w:rsidP="00204DFD">
            <w:pPr>
              <w:rPr>
                <w:rFonts w:cs="Arial"/>
                <w:sz w:val="22"/>
                <w:szCs w:val="22"/>
                <w:lang w:val="en-AU"/>
              </w:rPr>
            </w:pPr>
            <w:r w:rsidRPr="007F1C1D">
              <w:rPr>
                <w:rFonts w:cs="Arial"/>
                <w:sz w:val="22"/>
                <w:szCs w:val="22"/>
                <w:lang w:val="en-AU"/>
              </w:rPr>
              <w:t>SC40-18: endorses for 2009-2012</w:t>
            </w:r>
          </w:p>
          <w:p w14:paraId="097CD577" w14:textId="77777777" w:rsidR="00644DA9" w:rsidRPr="007F1C1D" w:rsidRDefault="00644DA9" w:rsidP="00204DFD">
            <w:pPr>
              <w:rPr>
                <w:rFonts w:cs="Arial"/>
                <w:sz w:val="22"/>
                <w:szCs w:val="22"/>
                <w:lang w:val="en-AU"/>
              </w:rPr>
            </w:pPr>
            <w:r w:rsidRPr="007F1C1D">
              <w:rPr>
                <w:rFonts w:cs="Arial"/>
                <w:sz w:val="22"/>
                <w:szCs w:val="22"/>
                <w:lang w:val="en-AU"/>
              </w:rPr>
              <w:t>Res. IX.7: endorses for 2006-2008</w:t>
            </w:r>
          </w:p>
          <w:p w14:paraId="1515F2A0" w14:textId="77777777" w:rsidR="00644DA9" w:rsidRPr="007F1C1D" w:rsidRDefault="00644DA9" w:rsidP="00204DFD">
            <w:pPr>
              <w:rPr>
                <w:rFonts w:cs="Arial"/>
                <w:sz w:val="22"/>
                <w:szCs w:val="22"/>
                <w:lang w:val="en-AU"/>
              </w:rPr>
            </w:pPr>
            <w:r w:rsidRPr="007F1C1D">
              <w:rPr>
                <w:rFonts w:cs="Arial"/>
                <w:sz w:val="22"/>
                <w:szCs w:val="22"/>
                <w:lang w:val="en-AU"/>
              </w:rPr>
              <w:t xml:space="preserve">Res. VII.22: </w:t>
            </w:r>
            <w:r w:rsidRPr="007F1C1D">
              <w:rPr>
                <w:rFonts w:cs="Arial"/>
                <w:b/>
                <w:sz w:val="22"/>
                <w:szCs w:val="22"/>
                <w:lang w:val="en-AU"/>
              </w:rPr>
              <w:t>endorses this new RRI 1999</w:t>
            </w:r>
          </w:p>
        </w:tc>
      </w:tr>
      <w:tr w:rsidR="00644DA9" w:rsidRPr="00E10F49" w14:paraId="2A128EC5" w14:textId="77777777" w:rsidTr="005C3DC0">
        <w:trPr>
          <w:cantSplit/>
        </w:trPr>
        <w:tc>
          <w:tcPr>
            <w:tcW w:w="3405" w:type="dxa"/>
          </w:tcPr>
          <w:p w14:paraId="3B59E5FA" w14:textId="77777777" w:rsidR="00644DA9" w:rsidRPr="007F1C1D" w:rsidRDefault="00644DA9" w:rsidP="00204DFD">
            <w:pPr>
              <w:rPr>
                <w:rFonts w:cs="Arial"/>
                <w:sz w:val="22"/>
                <w:szCs w:val="22"/>
                <w:lang w:val="en-AU"/>
              </w:rPr>
            </w:pPr>
            <w:r w:rsidRPr="007F1C1D">
              <w:rPr>
                <w:rFonts w:cs="Arial"/>
                <w:sz w:val="22"/>
                <w:szCs w:val="22"/>
                <w:lang w:val="en-AU"/>
              </w:rPr>
              <w:t>Carpathian Wetland RRI (CWI)</w:t>
            </w:r>
          </w:p>
          <w:p w14:paraId="02D87C45" w14:textId="77777777" w:rsidR="00644DA9" w:rsidRPr="007F1C1D" w:rsidRDefault="00644DA9" w:rsidP="00204DFD">
            <w:pPr>
              <w:rPr>
                <w:rFonts w:cs="Arial"/>
                <w:b/>
                <w:i/>
                <w:sz w:val="22"/>
                <w:szCs w:val="22"/>
                <w:lang w:val="en-AU"/>
              </w:rPr>
            </w:pPr>
            <w:r w:rsidRPr="007F1C1D">
              <w:rPr>
                <w:rFonts w:cs="Arial"/>
                <w:b/>
                <w:i/>
                <w:sz w:val="22"/>
                <w:szCs w:val="22"/>
                <w:lang w:val="en-AU"/>
              </w:rPr>
              <w:t>2009 (SC49)</w:t>
            </w:r>
          </w:p>
        </w:tc>
        <w:tc>
          <w:tcPr>
            <w:tcW w:w="5712" w:type="dxa"/>
          </w:tcPr>
          <w:p w14:paraId="14145895" w14:textId="10947775"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46240B61" w14:textId="77777777" w:rsidR="00644DA9" w:rsidRPr="007F1C1D" w:rsidRDefault="00644DA9" w:rsidP="00204DFD">
            <w:pPr>
              <w:rPr>
                <w:rFonts w:cs="Arial"/>
                <w:sz w:val="22"/>
                <w:szCs w:val="22"/>
                <w:lang w:val="en-AU"/>
              </w:rPr>
            </w:pPr>
            <w:r w:rsidRPr="007F1C1D">
              <w:rPr>
                <w:rFonts w:cs="Arial"/>
                <w:sz w:val="22"/>
                <w:szCs w:val="22"/>
                <w:lang w:val="en-AU"/>
              </w:rPr>
              <w:t>SC52-17: endorsement 2016-2018</w:t>
            </w:r>
          </w:p>
          <w:p w14:paraId="6FD55770"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6688544D"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17170E7A" w14:textId="77777777" w:rsidR="00644DA9" w:rsidRPr="007F1C1D" w:rsidRDefault="00644DA9" w:rsidP="00204DFD">
            <w:pPr>
              <w:rPr>
                <w:rFonts w:cs="Arial"/>
                <w:sz w:val="22"/>
                <w:szCs w:val="22"/>
                <w:lang w:val="en-AU"/>
              </w:rPr>
            </w:pPr>
            <w:r w:rsidRPr="007F1C1D">
              <w:rPr>
                <w:rFonts w:cs="Arial"/>
                <w:sz w:val="22"/>
                <w:szCs w:val="22"/>
                <w:lang w:val="en-AU"/>
              </w:rPr>
              <w:t>SC42-20: endorsement 2011</w:t>
            </w:r>
          </w:p>
          <w:p w14:paraId="6A932580" w14:textId="77777777" w:rsidR="00644DA9" w:rsidRPr="007F1C1D" w:rsidRDefault="00644DA9" w:rsidP="00204DFD">
            <w:pPr>
              <w:rPr>
                <w:rFonts w:cs="Arial"/>
                <w:sz w:val="22"/>
                <w:szCs w:val="22"/>
                <w:lang w:val="en-AU"/>
              </w:rPr>
            </w:pPr>
            <w:r w:rsidRPr="007F1C1D">
              <w:rPr>
                <w:rFonts w:cs="Arial"/>
                <w:sz w:val="22"/>
                <w:szCs w:val="22"/>
                <w:lang w:val="en-AU"/>
              </w:rPr>
              <w:t xml:space="preserve">SC40-18: </w:t>
            </w:r>
            <w:r w:rsidRPr="007F1C1D">
              <w:rPr>
                <w:rFonts w:cs="Arial"/>
                <w:b/>
                <w:sz w:val="22"/>
                <w:szCs w:val="22"/>
                <w:lang w:val="en-AU"/>
              </w:rPr>
              <w:t>endorses for 2009-2012</w:t>
            </w:r>
          </w:p>
        </w:tc>
      </w:tr>
      <w:tr w:rsidR="00644DA9" w:rsidRPr="007F1C1D" w14:paraId="7D81CAF4" w14:textId="77777777" w:rsidTr="005C3DC0">
        <w:trPr>
          <w:cantSplit/>
        </w:trPr>
        <w:tc>
          <w:tcPr>
            <w:tcW w:w="3405" w:type="dxa"/>
          </w:tcPr>
          <w:p w14:paraId="24FBEB4B" w14:textId="77777777" w:rsidR="00644DA9" w:rsidRPr="007F1C1D" w:rsidRDefault="00644DA9" w:rsidP="00204DFD">
            <w:pPr>
              <w:rPr>
                <w:rFonts w:cs="Arial"/>
                <w:sz w:val="22"/>
                <w:szCs w:val="22"/>
                <w:lang w:val="en-AU"/>
              </w:rPr>
            </w:pPr>
            <w:r w:rsidRPr="007F1C1D">
              <w:rPr>
                <w:rFonts w:cs="Arial"/>
                <w:sz w:val="22"/>
                <w:szCs w:val="22"/>
                <w:lang w:val="en-AU"/>
              </w:rPr>
              <w:t>Nordic-Baltic Wetlands RRI (NorBalWet)</w:t>
            </w:r>
          </w:p>
          <w:p w14:paraId="6F7E59E9" w14:textId="77777777" w:rsidR="00644DA9" w:rsidRPr="007F1C1D" w:rsidRDefault="00644DA9" w:rsidP="00204DFD">
            <w:pPr>
              <w:rPr>
                <w:rFonts w:cs="Arial"/>
                <w:b/>
                <w:i/>
                <w:sz w:val="22"/>
                <w:szCs w:val="22"/>
                <w:lang w:val="en-AU"/>
              </w:rPr>
            </w:pPr>
            <w:r w:rsidRPr="007F1C1D">
              <w:rPr>
                <w:rFonts w:cs="Arial"/>
                <w:b/>
                <w:i/>
                <w:sz w:val="22"/>
                <w:szCs w:val="22"/>
                <w:lang w:val="en-AU"/>
              </w:rPr>
              <w:t>2009 (SC40)</w:t>
            </w:r>
          </w:p>
        </w:tc>
        <w:tc>
          <w:tcPr>
            <w:tcW w:w="5712" w:type="dxa"/>
          </w:tcPr>
          <w:p w14:paraId="754F68FD" w14:textId="5D113932" w:rsid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5D4C2C4A" w14:textId="77777777" w:rsidR="00644DA9" w:rsidRPr="007F1C1D" w:rsidRDefault="00644DA9" w:rsidP="00204DFD">
            <w:pPr>
              <w:rPr>
                <w:rFonts w:cs="Arial"/>
                <w:sz w:val="22"/>
                <w:szCs w:val="22"/>
                <w:lang w:val="en-AU"/>
              </w:rPr>
            </w:pPr>
            <w:r w:rsidRPr="007F1C1D">
              <w:rPr>
                <w:rFonts w:cs="Arial"/>
                <w:sz w:val="22"/>
                <w:szCs w:val="22"/>
                <w:lang w:val="en-AU"/>
              </w:rPr>
              <w:t>SC52-17: endorsement 2016-2018</w:t>
            </w:r>
          </w:p>
          <w:p w14:paraId="4E4BFB68" w14:textId="77777777" w:rsidR="00644DA9" w:rsidRPr="007F1C1D" w:rsidRDefault="00644DA9" w:rsidP="00204DFD">
            <w:pPr>
              <w:rPr>
                <w:rFonts w:cs="Arial"/>
                <w:sz w:val="22"/>
                <w:szCs w:val="22"/>
                <w:lang w:val="en-AU"/>
              </w:rPr>
            </w:pPr>
            <w:r w:rsidRPr="007F1C1D">
              <w:rPr>
                <w:rFonts w:cs="Arial"/>
                <w:sz w:val="22"/>
                <w:szCs w:val="22"/>
                <w:lang w:val="en-AU"/>
              </w:rPr>
              <w:t>SC47-26: endorses for 2013-2015</w:t>
            </w:r>
          </w:p>
          <w:p w14:paraId="53F8AD88" w14:textId="77777777" w:rsidR="00644DA9" w:rsidRPr="007F1C1D" w:rsidRDefault="00644DA9" w:rsidP="00204DFD">
            <w:pPr>
              <w:rPr>
                <w:rFonts w:cs="Arial"/>
                <w:sz w:val="22"/>
                <w:szCs w:val="22"/>
                <w:lang w:val="en-AU"/>
              </w:rPr>
            </w:pPr>
            <w:r w:rsidRPr="007F1C1D">
              <w:rPr>
                <w:rFonts w:cs="Arial"/>
                <w:sz w:val="22"/>
                <w:szCs w:val="22"/>
                <w:lang w:val="en-AU"/>
              </w:rPr>
              <w:t>SC46-13: endorses for 2013</w:t>
            </w:r>
          </w:p>
          <w:p w14:paraId="062611B4" w14:textId="77777777" w:rsidR="00644DA9" w:rsidRPr="007F1C1D" w:rsidRDefault="00644DA9" w:rsidP="00204DFD">
            <w:pPr>
              <w:rPr>
                <w:rFonts w:cs="Arial"/>
                <w:sz w:val="22"/>
                <w:szCs w:val="22"/>
                <w:lang w:val="en-AU"/>
              </w:rPr>
            </w:pPr>
            <w:r w:rsidRPr="007F1C1D">
              <w:rPr>
                <w:rFonts w:cs="Arial"/>
                <w:sz w:val="22"/>
                <w:szCs w:val="22"/>
                <w:lang w:val="en-AU"/>
              </w:rPr>
              <w:t xml:space="preserve">SC40-18: </w:t>
            </w:r>
            <w:r w:rsidRPr="007F1C1D">
              <w:rPr>
                <w:rFonts w:cs="Arial"/>
                <w:b/>
                <w:sz w:val="22"/>
                <w:szCs w:val="22"/>
                <w:lang w:val="en-AU"/>
              </w:rPr>
              <w:t>endorses for 2009-2012</w:t>
            </w:r>
          </w:p>
        </w:tc>
      </w:tr>
      <w:tr w:rsidR="00644DA9" w:rsidRPr="00E10F49" w14:paraId="5FFA7A55" w14:textId="77777777" w:rsidTr="005C3DC0">
        <w:trPr>
          <w:cantSplit/>
        </w:trPr>
        <w:tc>
          <w:tcPr>
            <w:tcW w:w="3405" w:type="dxa"/>
          </w:tcPr>
          <w:p w14:paraId="7753E50E" w14:textId="77777777" w:rsidR="00644DA9" w:rsidRPr="007F1C1D" w:rsidRDefault="00644DA9" w:rsidP="00204DFD">
            <w:pPr>
              <w:rPr>
                <w:rFonts w:cs="Arial"/>
                <w:sz w:val="22"/>
                <w:szCs w:val="22"/>
                <w:lang w:val="en-US"/>
              </w:rPr>
            </w:pPr>
            <w:r w:rsidRPr="007F1C1D">
              <w:rPr>
                <w:rFonts w:cs="Arial"/>
                <w:sz w:val="22"/>
                <w:szCs w:val="22"/>
                <w:lang w:val="en-US"/>
              </w:rPr>
              <w:t>RRI on Black and Azov Seas Coastal Wetlands (BlackSeaWet)</w:t>
            </w:r>
          </w:p>
          <w:p w14:paraId="68873202" w14:textId="77777777" w:rsidR="00644DA9" w:rsidRPr="007F1C1D" w:rsidRDefault="00644DA9" w:rsidP="00204DFD">
            <w:pPr>
              <w:rPr>
                <w:rFonts w:cs="Arial"/>
                <w:b/>
                <w:i/>
                <w:sz w:val="22"/>
                <w:szCs w:val="22"/>
              </w:rPr>
            </w:pPr>
            <w:r w:rsidRPr="007F1C1D">
              <w:rPr>
                <w:rFonts w:cs="Arial"/>
                <w:b/>
                <w:i/>
                <w:sz w:val="22"/>
                <w:szCs w:val="22"/>
              </w:rPr>
              <w:t>2010 (SC41)</w:t>
            </w:r>
          </w:p>
        </w:tc>
        <w:tc>
          <w:tcPr>
            <w:tcW w:w="5712" w:type="dxa"/>
          </w:tcPr>
          <w:p w14:paraId="52D6C760" w14:textId="4AE74553" w:rsidR="00D73C0D" w:rsidRPr="00D73C0D" w:rsidRDefault="00D73C0D" w:rsidP="00204DFD">
            <w:pPr>
              <w:rPr>
                <w:rFonts w:cs="Arial"/>
                <w:sz w:val="22"/>
                <w:szCs w:val="22"/>
                <w:lang w:val="en-AU"/>
              </w:rPr>
            </w:pPr>
            <w:r w:rsidRPr="007F1C1D">
              <w:rPr>
                <w:rFonts w:cs="Arial"/>
                <w:sz w:val="22"/>
                <w:szCs w:val="22"/>
                <w:lang w:val="en-AU"/>
              </w:rPr>
              <w:t>Re</w:t>
            </w:r>
            <w:r>
              <w:rPr>
                <w:rFonts w:cs="Arial"/>
                <w:sz w:val="22"/>
                <w:szCs w:val="22"/>
                <w:lang w:val="en-AU"/>
              </w:rPr>
              <w:t xml:space="preserve">s. XIII.9: endorses until </w:t>
            </w:r>
            <w:r w:rsidR="007F1428">
              <w:rPr>
                <w:rFonts w:cs="Arial"/>
                <w:sz w:val="22"/>
                <w:szCs w:val="22"/>
                <w:lang w:val="en-AU"/>
              </w:rPr>
              <w:t>COP</w:t>
            </w:r>
            <w:r>
              <w:rPr>
                <w:rFonts w:cs="Arial"/>
                <w:sz w:val="22"/>
                <w:szCs w:val="22"/>
                <w:lang w:val="en-AU"/>
              </w:rPr>
              <w:t xml:space="preserve">14 </w:t>
            </w:r>
          </w:p>
          <w:p w14:paraId="25967488" w14:textId="77777777" w:rsidR="00644DA9" w:rsidRPr="007F1C1D" w:rsidRDefault="00644DA9" w:rsidP="00204DFD">
            <w:pPr>
              <w:rPr>
                <w:rFonts w:cs="Arial"/>
                <w:sz w:val="22"/>
                <w:szCs w:val="22"/>
                <w:lang w:val="en-US"/>
              </w:rPr>
            </w:pPr>
            <w:r w:rsidRPr="007F1C1D">
              <w:rPr>
                <w:rFonts w:cs="Arial"/>
                <w:sz w:val="22"/>
                <w:szCs w:val="22"/>
                <w:lang w:val="en-US"/>
              </w:rPr>
              <w:t>SC52-17: endorsement 2016-2018</w:t>
            </w:r>
          </w:p>
          <w:p w14:paraId="18015E46" w14:textId="77777777" w:rsidR="00644DA9" w:rsidRPr="007F1C1D" w:rsidRDefault="00644DA9" w:rsidP="00204DFD">
            <w:pPr>
              <w:rPr>
                <w:rFonts w:cs="Arial"/>
                <w:sz w:val="22"/>
                <w:szCs w:val="22"/>
                <w:lang w:val="en-US"/>
              </w:rPr>
            </w:pPr>
            <w:r w:rsidRPr="007F1C1D">
              <w:rPr>
                <w:rFonts w:cs="Arial"/>
                <w:sz w:val="22"/>
                <w:szCs w:val="22"/>
                <w:lang w:val="en-US"/>
              </w:rPr>
              <w:t>SC47-26: endorses for 2013-2015</w:t>
            </w:r>
          </w:p>
          <w:p w14:paraId="078A673E" w14:textId="77777777" w:rsidR="00644DA9" w:rsidRPr="007F1C1D" w:rsidRDefault="00644DA9" w:rsidP="00204DFD">
            <w:pPr>
              <w:rPr>
                <w:rFonts w:cs="Arial"/>
                <w:sz w:val="22"/>
                <w:szCs w:val="22"/>
                <w:lang w:val="en-US"/>
              </w:rPr>
            </w:pPr>
            <w:r w:rsidRPr="007F1C1D">
              <w:rPr>
                <w:rFonts w:cs="Arial"/>
                <w:sz w:val="22"/>
                <w:szCs w:val="22"/>
                <w:lang w:val="en-US"/>
              </w:rPr>
              <w:t>SC46-13: endorses for 2013</w:t>
            </w:r>
          </w:p>
          <w:p w14:paraId="63A777C2" w14:textId="77777777" w:rsidR="00644DA9" w:rsidRPr="007F1C1D" w:rsidRDefault="00644DA9" w:rsidP="00204DFD">
            <w:pPr>
              <w:rPr>
                <w:rFonts w:cs="Arial"/>
                <w:sz w:val="22"/>
                <w:szCs w:val="22"/>
                <w:lang w:val="en-US"/>
              </w:rPr>
            </w:pPr>
            <w:r w:rsidRPr="007F1C1D">
              <w:rPr>
                <w:rFonts w:cs="Arial"/>
                <w:sz w:val="22"/>
                <w:szCs w:val="22"/>
                <w:lang w:val="en-US"/>
              </w:rPr>
              <w:t>C42-20: endorsement 2011</w:t>
            </w:r>
          </w:p>
          <w:p w14:paraId="2AAA3D32" w14:textId="77777777" w:rsidR="00644DA9" w:rsidRPr="007F1C1D" w:rsidRDefault="00644DA9" w:rsidP="00204DFD">
            <w:pPr>
              <w:rPr>
                <w:rFonts w:cs="Arial"/>
                <w:sz w:val="22"/>
                <w:szCs w:val="22"/>
                <w:lang w:val="en-US"/>
              </w:rPr>
            </w:pPr>
            <w:r w:rsidRPr="007F1C1D">
              <w:rPr>
                <w:rFonts w:cs="Arial"/>
                <w:sz w:val="22"/>
                <w:szCs w:val="22"/>
                <w:lang w:val="en-US"/>
              </w:rPr>
              <w:t xml:space="preserve">SC41-23: </w:t>
            </w:r>
            <w:r w:rsidRPr="007F1C1D">
              <w:rPr>
                <w:rFonts w:cs="Arial"/>
                <w:b/>
                <w:sz w:val="22"/>
                <w:szCs w:val="22"/>
                <w:lang w:val="en-US"/>
              </w:rPr>
              <w:t>endorses this new RRI 2010</w:t>
            </w:r>
          </w:p>
        </w:tc>
      </w:tr>
    </w:tbl>
    <w:p w14:paraId="7A43D388" w14:textId="20089355" w:rsidR="0094377A" w:rsidRPr="007F1C1D" w:rsidRDefault="0094377A" w:rsidP="008171B8">
      <w:pPr>
        <w:spacing w:line="360" w:lineRule="auto"/>
        <w:rPr>
          <w:rFonts w:cs="Arial"/>
          <w:sz w:val="22"/>
          <w:szCs w:val="22"/>
          <w:lang w:val="en-US"/>
        </w:rPr>
      </w:pPr>
    </w:p>
    <w:sectPr w:rsidR="0094377A" w:rsidRPr="007F1C1D" w:rsidSect="00251D8C">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9F66" w14:textId="77777777" w:rsidR="002F09C6" w:rsidRDefault="002F09C6" w:rsidP="00A93E7F">
      <w:r>
        <w:separator/>
      </w:r>
    </w:p>
  </w:endnote>
  <w:endnote w:type="continuationSeparator" w:id="0">
    <w:p w14:paraId="24900B37" w14:textId="77777777" w:rsidR="002F09C6" w:rsidRDefault="002F09C6" w:rsidP="00A9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3982" w14:textId="77777777" w:rsidR="002F09C6" w:rsidRDefault="002F09C6" w:rsidP="00B925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E1B00" w14:textId="77777777" w:rsidR="002F09C6" w:rsidRDefault="002F09C6" w:rsidP="00A93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B293" w14:textId="620469DA" w:rsidR="002F09C6" w:rsidRPr="007C0B10" w:rsidRDefault="002F09C6" w:rsidP="00251D8C">
    <w:pPr>
      <w:pStyle w:val="Footer"/>
      <w:framePr w:wrap="none" w:vAnchor="text" w:hAnchor="margin" w:xAlign="right" w:y="1"/>
      <w:rPr>
        <w:rStyle w:val="PageNumber"/>
        <w:sz w:val="20"/>
        <w:szCs w:val="20"/>
      </w:rPr>
    </w:pPr>
    <w:r w:rsidRPr="007C0B10">
      <w:rPr>
        <w:rStyle w:val="PageNumber"/>
        <w:sz w:val="20"/>
        <w:szCs w:val="20"/>
      </w:rPr>
      <w:fldChar w:fldCharType="begin"/>
    </w:r>
    <w:r w:rsidRPr="007C0B10">
      <w:rPr>
        <w:rStyle w:val="PageNumber"/>
        <w:sz w:val="20"/>
        <w:szCs w:val="20"/>
      </w:rPr>
      <w:instrText xml:space="preserve">PAGE  </w:instrText>
    </w:r>
    <w:r w:rsidRPr="007C0B10">
      <w:rPr>
        <w:rStyle w:val="PageNumber"/>
        <w:sz w:val="20"/>
        <w:szCs w:val="20"/>
      </w:rPr>
      <w:fldChar w:fldCharType="separate"/>
    </w:r>
    <w:r w:rsidR="00E10F49">
      <w:rPr>
        <w:rStyle w:val="PageNumber"/>
        <w:noProof/>
        <w:sz w:val="20"/>
        <w:szCs w:val="20"/>
      </w:rPr>
      <w:t>20</w:t>
    </w:r>
    <w:r w:rsidRPr="007C0B10">
      <w:rPr>
        <w:rStyle w:val="PageNumber"/>
        <w:sz w:val="20"/>
        <w:szCs w:val="20"/>
      </w:rPr>
      <w:fldChar w:fldCharType="end"/>
    </w:r>
  </w:p>
  <w:p w14:paraId="04F283C3" w14:textId="49C2BF20" w:rsidR="002F09C6" w:rsidRPr="00251D8C" w:rsidRDefault="002F09C6" w:rsidP="00251D8C">
    <w:pPr>
      <w:pStyle w:val="Footer"/>
      <w:ind w:right="360"/>
      <w:rPr>
        <w:sz w:val="20"/>
        <w:szCs w:val="20"/>
      </w:rPr>
    </w:pPr>
    <w:r>
      <w:rPr>
        <w:sz w:val="20"/>
        <w:szCs w:val="20"/>
      </w:rPr>
      <w:t>SC58 Doc.22.3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023B" w14:textId="77777777" w:rsidR="002F09C6" w:rsidRDefault="002F09C6" w:rsidP="00A93E7F">
      <w:r>
        <w:separator/>
      </w:r>
    </w:p>
  </w:footnote>
  <w:footnote w:type="continuationSeparator" w:id="0">
    <w:p w14:paraId="37756E3F" w14:textId="77777777" w:rsidR="002F09C6" w:rsidRDefault="002F09C6" w:rsidP="00A93E7F">
      <w:r>
        <w:continuationSeparator/>
      </w:r>
    </w:p>
  </w:footnote>
  <w:footnote w:id="1">
    <w:p w14:paraId="2E9F5F02" w14:textId="49AD6617" w:rsidR="002F09C6" w:rsidRPr="000C553F" w:rsidRDefault="002F09C6" w:rsidP="007A0270">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In a federated nation state, corporate structure (which in turn affects legal personality) may be regulated at the state (or provincial), rather than national, level. </w:t>
      </w:r>
    </w:p>
  </w:footnote>
  <w:footnote w:id="2">
    <w:p w14:paraId="6EC8E86B" w14:textId="77777777" w:rsidR="002F09C6" w:rsidRPr="000C553F" w:rsidRDefault="002F09C6">
      <w:pPr>
        <w:pStyle w:val="FootnoteText"/>
        <w:rPr>
          <w:lang w:val="en-AU"/>
        </w:rPr>
      </w:pPr>
      <w:r w:rsidRPr="000C553F">
        <w:rPr>
          <w:rStyle w:val="FootnoteReference"/>
          <w:rFonts w:cs="Arial"/>
          <w:sz w:val="20"/>
          <w:szCs w:val="20"/>
        </w:rPr>
        <w:footnoteRef/>
      </w:r>
      <w:r w:rsidRPr="000C553F">
        <w:rPr>
          <w:rFonts w:cs="Arial"/>
          <w:sz w:val="20"/>
          <w:szCs w:val="20"/>
          <w:lang w:val="en-US"/>
        </w:rPr>
        <w:t xml:space="preserve"> </w:t>
      </w:r>
      <w:r w:rsidRPr="000C553F">
        <w:rPr>
          <w:rFonts w:cs="Arial"/>
          <w:sz w:val="20"/>
          <w:szCs w:val="20"/>
          <w:lang w:val="en-AU"/>
        </w:rPr>
        <w:t>Ibid.</w:t>
      </w:r>
    </w:p>
  </w:footnote>
  <w:footnote w:id="3">
    <w:p w14:paraId="54CCFB1E" w14:textId="416EFDFA"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w:t>
      </w:r>
      <w:hyperlink r:id="rId1" w:history="1">
        <w:r w:rsidRPr="00CC210F">
          <w:rPr>
            <w:rStyle w:val="Hyperlink"/>
            <w:sz w:val="20"/>
            <w:szCs w:val="20"/>
            <w:lang w:val="en-US"/>
          </w:rPr>
          <w:t>https://www.ramsar.org/activity/ramsar-regional-initiatives</w:t>
        </w:r>
      </w:hyperlink>
      <w:r w:rsidRPr="00CC210F">
        <w:rPr>
          <w:sz w:val="20"/>
          <w:szCs w:val="20"/>
          <w:lang w:val="en-US"/>
        </w:rPr>
        <w:t xml:space="preserve"> (accessed 23 March 2020).</w:t>
      </w:r>
    </w:p>
  </w:footnote>
  <w:footnote w:id="4">
    <w:p w14:paraId="734E0DE8" w14:textId="77777777" w:rsidR="002F09C6" w:rsidRPr="00A74DDB" w:rsidRDefault="002F09C6" w:rsidP="00BC1B2C">
      <w:pPr>
        <w:pStyle w:val="FootnoteText"/>
        <w:rPr>
          <w:sz w:val="20"/>
          <w:szCs w:val="20"/>
          <w:lang w:val="en-US"/>
        </w:rPr>
      </w:pPr>
      <w:r w:rsidRPr="00A74DDB">
        <w:rPr>
          <w:rStyle w:val="FootnoteReference"/>
          <w:sz w:val="20"/>
          <w:szCs w:val="20"/>
        </w:rPr>
        <w:footnoteRef/>
      </w:r>
      <w:r w:rsidRPr="00A74DDB">
        <w:rPr>
          <w:sz w:val="20"/>
          <w:szCs w:val="20"/>
          <w:lang w:val="en-US"/>
        </w:rPr>
        <w:t xml:space="preserve"> For example, the Indo-Burma Ramsar Regional Initiative (</w:t>
      </w:r>
      <w:r w:rsidRPr="00A74DDB">
        <w:rPr>
          <w:b/>
          <w:sz w:val="20"/>
          <w:szCs w:val="20"/>
          <w:lang w:val="en-US"/>
        </w:rPr>
        <w:t>IBRRI</w:t>
      </w:r>
      <w:r w:rsidRPr="00A74DDB">
        <w:rPr>
          <w:sz w:val="20"/>
          <w:szCs w:val="20"/>
          <w:lang w:val="en-US"/>
        </w:rPr>
        <w:t>) which is hosted by IUCN Asia.</w:t>
      </w:r>
    </w:p>
  </w:footnote>
  <w:footnote w:id="5">
    <w:p w14:paraId="28D81F82" w14:textId="07CE6579" w:rsidR="002F09C6" w:rsidRPr="00147111"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w:t>
      </w:r>
      <w:r>
        <w:rPr>
          <w:sz w:val="20"/>
          <w:szCs w:val="20"/>
          <w:lang w:val="en-US"/>
        </w:rPr>
        <w:t xml:space="preserve">For example, NorBalWet. I am instructed that Contracting Parties take turns acting as chair (with the role being held for one to two years).  </w:t>
      </w:r>
    </w:p>
  </w:footnote>
  <w:footnote w:id="6">
    <w:p w14:paraId="32B961F2" w14:textId="63B8547C" w:rsidR="002F09C6" w:rsidRPr="00E77139" w:rsidRDefault="002F09C6">
      <w:pPr>
        <w:pStyle w:val="FootnoteText"/>
        <w:rPr>
          <w:sz w:val="20"/>
          <w:szCs w:val="20"/>
          <w:lang w:val="en-US"/>
        </w:rPr>
      </w:pPr>
      <w:r w:rsidRPr="00E77139">
        <w:rPr>
          <w:rStyle w:val="FootnoteReference"/>
          <w:sz w:val="20"/>
          <w:szCs w:val="20"/>
        </w:rPr>
        <w:footnoteRef/>
      </w:r>
      <w:r w:rsidRPr="00E77139">
        <w:rPr>
          <w:sz w:val="20"/>
          <w:szCs w:val="20"/>
          <w:lang w:val="en-US"/>
        </w:rPr>
        <w:t xml:space="preserve"> </w:t>
      </w:r>
      <w:r w:rsidRPr="00E77139">
        <w:rPr>
          <w:sz w:val="20"/>
          <w:szCs w:val="20"/>
          <w:lang w:val="en-AU"/>
        </w:rPr>
        <w:t>Ramsar Regional Centre for Training and Research in the Western Hemisphere (</w:t>
      </w:r>
      <w:r w:rsidRPr="00E77139">
        <w:rPr>
          <w:b/>
          <w:sz w:val="20"/>
          <w:szCs w:val="20"/>
          <w:lang w:val="en-US"/>
        </w:rPr>
        <w:t>CREHO</w:t>
      </w:r>
      <w:r w:rsidRPr="00E77139">
        <w:rPr>
          <w:sz w:val="20"/>
          <w:szCs w:val="20"/>
          <w:lang w:val="en-US"/>
        </w:rPr>
        <w:t>).</w:t>
      </w:r>
    </w:p>
  </w:footnote>
  <w:footnote w:id="7">
    <w:p w14:paraId="2FF625C1" w14:textId="550183B8" w:rsidR="002F09C6" w:rsidRPr="00E77139" w:rsidRDefault="002F09C6">
      <w:pPr>
        <w:pStyle w:val="FootnoteText"/>
        <w:rPr>
          <w:sz w:val="20"/>
          <w:szCs w:val="20"/>
          <w:lang w:val="en-US"/>
        </w:rPr>
      </w:pPr>
      <w:r w:rsidRPr="00E77139">
        <w:rPr>
          <w:rStyle w:val="FootnoteReference"/>
          <w:sz w:val="20"/>
          <w:szCs w:val="20"/>
        </w:rPr>
        <w:footnoteRef/>
      </w:r>
      <w:r w:rsidRPr="00E77139">
        <w:rPr>
          <w:sz w:val="20"/>
          <w:szCs w:val="20"/>
          <w:lang w:val="en-US"/>
        </w:rPr>
        <w:t xml:space="preserve"> MedWe</w:t>
      </w:r>
      <w:r>
        <w:rPr>
          <w:sz w:val="20"/>
          <w:szCs w:val="20"/>
          <w:lang w:val="en-US"/>
        </w:rPr>
        <w:t xml:space="preserve">t. </w:t>
      </w:r>
    </w:p>
  </w:footnote>
  <w:footnote w:id="8">
    <w:p w14:paraId="16A64C6E" w14:textId="5652EDE7" w:rsidR="002F09C6" w:rsidRPr="00E77139" w:rsidRDefault="002F09C6" w:rsidP="00C712BE">
      <w:pPr>
        <w:pStyle w:val="FootnoteText"/>
        <w:rPr>
          <w:sz w:val="20"/>
          <w:szCs w:val="20"/>
          <w:lang w:val="en-US"/>
        </w:rPr>
      </w:pPr>
      <w:r w:rsidRPr="00E77139">
        <w:rPr>
          <w:rStyle w:val="FootnoteReference"/>
          <w:sz w:val="20"/>
          <w:szCs w:val="20"/>
        </w:rPr>
        <w:footnoteRef/>
      </w:r>
      <w:r w:rsidRPr="00E77139">
        <w:rPr>
          <w:sz w:val="20"/>
          <w:szCs w:val="20"/>
          <w:lang w:val="en-US"/>
        </w:rPr>
        <w:t xml:space="preserve"> </w:t>
      </w:r>
      <w:r>
        <w:rPr>
          <w:sz w:val="20"/>
          <w:szCs w:val="20"/>
          <w:lang w:val="en-US"/>
        </w:rPr>
        <w:t>East Asian-Australasian Flyway Partnership (</w:t>
      </w:r>
      <w:r w:rsidRPr="002223B7">
        <w:rPr>
          <w:b/>
          <w:sz w:val="20"/>
          <w:szCs w:val="20"/>
          <w:lang w:val="en-US"/>
        </w:rPr>
        <w:t>EAAFP</w:t>
      </w:r>
      <w:r>
        <w:rPr>
          <w:sz w:val="20"/>
          <w:szCs w:val="20"/>
          <w:lang w:val="en-US"/>
        </w:rPr>
        <w:t>).</w:t>
      </w:r>
    </w:p>
  </w:footnote>
  <w:footnote w:id="9">
    <w:p w14:paraId="1661A0ED" w14:textId="49D97969" w:rsidR="002F09C6" w:rsidRPr="004E59A1"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w:t>
      </w:r>
      <w:r w:rsidRPr="00D240AD">
        <w:rPr>
          <w:sz w:val="20"/>
          <w:szCs w:val="20"/>
          <w:lang w:val="en-AU"/>
        </w:rPr>
        <w:t>In</w:t>
      </w:r>
      <w:r w:rsidRPr="00CC210F">
        <w:rPr>
          <w:sz w:val="20"/>
          <w:szCs w:val="20"/>
          <w:lang w:val="en-AU"/>
        </w:rPr>
        <w:t xml:space="preserve"> its Annual Report for 2015-16 (submitted in 2015), it refers to the ‘</w:t>
      </w:r>
      <w:r w:rsidRPr="00CC210F">
        <w:rPr>
          <w:sz w:val="20"/>
          <w:szCs w:val="20"/>
          <w:lang w:val="en-US"/>
        </w:rPr>
        <w:t>[n]uevo estat</w:t>
      </w:r>
      <w:r w:rsidRPr="00D240AD">
        <w:rPr>
          <w:sz w:val="20"/>
          <w:szCs w:val="20"/>
          <w:lang w:val="en-US"/>
        </w:rPr>
        <w:t xml:space="preserve">us de Misión Internacional del </w:t>
      </w:r>
      <w:r w:rsidRPr="00CC210F">
        <w:rPr>
          <w:sz w:val="20"/>
          <w:szCs w:val="20"/>
          <w:lang w:val="en-US"/>
        </w:rPr>
        <w:t>CREHO.’</w:t>
      </w:r>
      <w:r>
        <w:rPr>
          <w:sz w:val="20"/>
          <w:szCs w:val="20"/>
          <w:lang w:val="en-US"/>
        </w:rPr>
        <w:t xml:space="preserve"> See: </w:t>
      </w:r>
      <w:hyperlink r:id="rId2" w:history="1">
        <w:r w:rsidRPr="00D240AD">
          <w:rPr>
            <w:rStyle w:val="Hyperlink"/>
            <w:sz w:val="20"/>
            <w:szCs w:val="20"/>
            <w:lang w:val="en-US"/>
          </w:rPr>
          <w:t>https://www.ramsar.org/sites/default/files/documents/library/ri_report2015_plan2016_centre_western_hemisphere.pdf</w:t>
        </w:r>
      </w:hyperlink>
      <w:r w:rsidRPr="00D240AD">
        <w:rPr>
          <w:sz w:val="20"/>
          <w:szCs w:val="20"/>
          <w:lang w:val="en-US"/>
        </w:rPr>
        <w:t xml:space="preserve"> (Accessed 23 March 2020). I note that CREHO has been endorsed as operating within the framework of the Convention twice since this report was submitted. Note that it only appears in Spanish on the Ramsar website. </w:t>
      </w:r>
    </w:p>
  </w:footnote>
  <w:footnote w:id="10">
    <w:p w14:paraId="318EA989" w14:textId="68040A33" w:rsidR="002F09C6" w:rsidRPr="000C0AD7" w:rsidRDefault="002F09C6">
      <w:pPr>
        <w:pStyle w:val="FootnoteText"/>
        <w:rPr>
          <w:sz w:val="20"/>
          <w:szCs w:val="20"/>
          <w:lang w:val="en-US"/>
        </w:rPr>
      </w:pPr>
      <w:r w:rsidRPr="00784434">
        <w:rPr>
          <w:rStyle w:val="FootnoteReference"/>
          <w:color w:val="000000" w:themeColor="text1"/>
          <w:sz w:val="20"/>
          <w:szCs w:val="20"/>
        </w:rPr>
        <w:footnoteRef/>
      </w:r>
      <w:r w:rsidRPr="00784434">
        <w:rPr>
          <w:color w:val="000000" w:themeColor="text1"/>
          <w:sz w:val="20"/>
          <w:szCs w:val="20"/>
          <w:lang w:val="en-US"/>
        </w:rPr>
        <w:t xml:space="preserve"> Or may be required to pay value-added tax (VAT).</w:t>
      </w:r>
    </w:p>
  </w:footnote>
  <w:footnote w:id="11">
    <w:p w14:paraId="6A573A5D" w14:textId="77777777" w:rsidR="002F09C6" w:rsidRPr="000C553F" w:rsidRDefault="002F09C6" w:rsidP="00452867">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This may depend on the terms of its charter/originating treaty.</w:t>
      </w:r>
    </w:p>
  </w:footnote>
  <w:footnote w:id="12">
    <w:p w14:paraId="2F67028D" w14:textId="77777777" w:rsidR="002F09C6" w:rsidRPr="000C553F" w:rsidRDefault="002F09C6" w:rsidP="00452867">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Ibid.</w:t>
      </w:r>
    </w:p>
  </w:footnote>
  <w:footnote w:id="13">
    <w:p w14:paraId="64C47B46" w14:textId="77777777" w:rsidR="002F09C6" w:rsidRPr="00CC210F" w:rsidRDefault="002F09C6" w:rsidP="00170816">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Subject to complying with </w:t>
      </w:r>
      <w:r w:rsidRPr="000C553F">
        <w:rPr>
          <w:rFonts w:cs="Arial"/>
          <w:sz w:val="20"/>
          <w:szCs w:val="20"/>
          <w:lang w:val="en-GB"/>
        </w:rPr>
        <w:t xml:space="preserve">UN Decision 49/426 of 9 December 1994, </w:t>
      </w:r>
      <w:r w:rsidRPr="000C553F">
        <w:rPr>
          <w:rFonts w:cs="Arial"/>
          <w:sz w:val="20"/>
          <w:szCs w:val="20"/>
          <w:lang w:val="en-US"/>
        </w:rPr>
        <w:t xml:space="preserve">and the Sixth Committee of the United Nations recommending to the United Nations General Assembly accept the IGO’s request to become a </w:t>
      </w:r>
      <w:r w:rsidRPr="00CC210F">
        <w:rPr>
          <w:rFonts w:cs="Arial"/>
          <w:sz w:val="20"/>
          <w:szCs w:val="20"/>
          <w:lang w:val="en-US"/>
        </w:rPr>
        <w:t>permanent observer.</w:t>
      </w:r>
    </w:p>
  </w:footnote>
  <w:footnote w:id="14">
    <w:p w14:paraId="4B24D159" w14:textId="77777777" w:rsidR="002F09C6" w:rsidRPr="00CC210F" w:rsidRDefault="002F09C6" w:rsidP="00440883">
      <w:pPr>
        <w:pStyle w:val="FootnoteText"/>
        <w:rPr>
          <w:sz w:val="20"/>
          <w:szCs w:val="20"/>
          <w:lang w:val="en-US"/>
        </w:rPr>
      </w:pPr>
      <w:r w:rsidRPr="00CC210F">
        <w:rPr>
          <w:rStyle w:val="FootnoteReference"/>
        </w:rPr>
        <w:footnoteRef/>
      </w:r>
      <w:r w:rsidRPr="00CC210F">
        <w:rPr>
          <w:lang w:val="en-US"/>
        </w:rPr>
        <w:t xml:space="preserve"> </w:t>
      </w:r>
      <w:r w:rsidRPr="00CC210F">
        <w:rPr>
          <w:sz w:val="20"/>
          <w:szCs w:val="20"/>
          <w:lang w:val="en-US"/>
        </w:rPr>
        <w:t>See for example Article 105 of the </w:t>
      </w:r>
      <w:r w:rsidRPr="00CC210F">
        <w:rPr>
          <w:i/>
          <w:iCs/>
          <w:sz w:val="20"/>
          <w:szCs w:val="20"/>
          <w:lang w:val="en-US"/>
        </w:rPr>
        <w:t>United Nations Charter</w:t>
      </w:r>
      <w:r w:rsidRPr="00CC210F">
        <w:rPr>
          <w:sz w:val="20"/>
          <w:szCs w:val="20"/>
          <w:lang w:val="en-US"/>
        </w:rPr>
        <w:t> provides that ‘the Organization shall enjoy in the territory of each of its Members such privileges and immunities as are necessary for the fulfilment of its purposes and that representatives of the Members of the United Nations and officials of the Organization shall similarly enjoy such privileges and immunities as are necessary for the independent exercise of their functions in connection with the Organization’. The </w:t>
      </w:r>
      <w:r w:rsidRPr="00CC210F">
        <w:rPr>
          <w:i/>
          <w:iCs/>
          <w:sz w:val="20"/>
          <w:szCs w:val="20"/>
          <w:lang w:val="en-US"/>
        </w:rPr>
        <w:t>Convention on the Privileges and Immunities of the United Nations</w:t>
      </w:r>
      <w:r w:rsidRPr="00CC210F">
        <w:rPr>
          <w:sz w:val="20"/>
          <w:szCs w:val="20"/>
          <w:lang w:val="en-US"/>
        </w:rPr>
        <w:t> was subsequently adopted to reflect Article 105.</w:t>
      </w:r>
    </w:p>
  </w:footnote>
  <w:footnote w:id="15">
    <w:p w14:paraId="2B0A43B2" w14:textId="52BD6086" w:rsidR="002F09C6" w:rsidRPr="00794A92" w:rsidRDefault="002F09C6">
      <w:pPr>
        <w:pStyle w:val="FootnoteText"/>
        <w:rPr>
          <w:lang w:val="en-US"/>
        </w:rPr>
      </w:pPr>
      <w:r>
        <w:rPr>
          <w:rStyle w:val="FootnoteReference"/>
        </w:rPr>
        <w:footnoteRef/>
      </w:r>
      <w:r w:rsidRPr="00794A92">
        <w:rPr>
          <w:lang w:val="en-US"/>
        </w:rPr>
        <w:t xml:space="preserve"> </w:t>
      </w:r>
      <w:r w:rsidRPr="00794A92">
        <w:rPr>
          <w:sz w:val="20"/>
          <w:szCs w:val="20"/>
          <w:lang w:val="en-US"/>
        </w:rPr>
        <w:t>Initially known as the ‘Coordination Unit’.</w:t>
      </w:r>
      <w:r>
        <w:rPr>
          <w:lang w:val="en-US"/>
        </w:rPr>
        <w:t xml:space="preserve"> </w:t>
      </w:r>
    </w:p>
  </w:footnote>
  <w:footnote w:id="16">
    <w:p w14:paraId="61CF8EC4" w14:textId="2E728AF5"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w:t>
      </w:r>
      <w:hyperlink r:id="rId3" w:history="1">
        <w:r w:rsidRPr="00CC210F">
          <w:rPr>
            <w:rStyle w:val="Hyperlink"/>
            <w:sz w:val="20"/>
            <w:szCs w:val="20"/>
            <w:lang w:val="en-US"/>
          </w:rPr>
          <w:t>https://www.ramsar.org/sites/default/files/documents/pdf/cop9/cop9_doc08_e.pdf</w:t>
        </w:r>
      </w:hyperlink>
      <w:r w:rsidRPr="00CC210F">
        <w:rPr>
          <w:sz w:val="20"/>
          <w:szCs w:val="20"/>
          <w:lang w:val="en-US"/>
        </w:rPr>
        <w:t xml:space="preserve"> (Accessed 25 March 2020).</w:t>
      </w:r>
      <w:r>
        <w:rPr>
          <w:sz w:val="20"/>
          <w:szCs w:val="20"/>
          <w:lang w:val="en-US"/>
        </w:rPr>
        <w:t xml:space="preserve"> MedWet was next endorsed as operating within the framework of the Convention in SC 40-18. </w:t>
      </w:r>
    </w:p>
  </w:footnote>
  <w:footnote w:id="17">
    <w:p w14:paraId="09147D2E" w14:textId="56F56C9A" w:rsidR="002F09C6" w:rsidRPr="00C804FE" w:rsidRDefault="002F09C6">
      <w:pPr>
        <w:pStyle w:val="FootnoteText"/>
        <w:rPr>
          <w:lang w:val="en-US"/>
        </w:rPr>
      </w:pPr>
      <w:r>
        <w:rPr>
          <w:rStyle w:val="FootnoteReference"/>
        </w:rPr>
        <w:footnoteRef/>
      </w:r>
      <w:r w:rsidRPr="00C804FE">
        <w:rPr>
          <w:sz w:val="20"/>
          <w:szCs w:val="20"/>
          <w:lang w:val="en-US"/>
        </w:rPr>
        <w:t xml:space="preserve"> Without legal personality, the Secretariat would have been unable to enter into contracts, hire staff etc.</w:t>
      </w:r>
      <w:r>
        <w:rPr>
          <w:sz w:val="20"/>
          <w:szCs w:val="20"/>
          <w:lang w:val="en-US"/>
        </w:rPr>
        <w:t xml:space="preserve"> in its own name.</w:t>
      </w:r>
    </w:p>
  </w:footnote>
  <w:footnote w:id="18">
    <w:p w14:paraId="5750766F" w14:textId="657E7E38" w:rsidR="002F09C6" w:rsidRPr="006E0FC9"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Specifically, paragraph 25 states: ‘Regional initiatives need to generate their own resources and become financially self-sufficient after an initial start-up phase and in the long term.’</w:t>
      </w:r>
    </w:p>
  </w:footnote>
  <w:footnote w:id="19">
    <w:p w14:paraId="049B75BB" w14:textId="77777777" w:rsidR="002F09C6" w:rsidRPr="000C553F" w:rsidRDefault="002F09C6" w:rsidP="0094377A">
      <w:pPr>
        <w:pStyle w:val="FootnoteText"/>
        <w:rPr>
          <w:rFonts w:cs="Arial"/>
          <w:sz w:val="20"/>
          <w:szCs w:val="20"/>
          <w:lang w:val="en-AU"/>
        </w:rPr>
      </w:pPr>
      <w:r w:rsidRPr="000C553F">
        <w:rPr>
          <w:rStyle w:val="FootnoteReference"/>
          <w:rFonts w:cs="Arial"/>
          <w:sz w:val="20"/>
          <w:szCs w:val="20"/>
        </w:rPr>
        <w:footnoteRef/>
      </w:r>
      <w:r w:rsidRPr="000C553F">
        <w:rPr>
          <w:rFonts w:cs="Arial"/>
          <w:sz w:val="20"/>
          <w:szCs w:val="20"/>
          <w:lang w:val="en-US"/>
        </w:rPr>
        <w:t xml:space="preserve"> </w:t>
      </w:r>
      <w:r w:rsidRPr="000C553F">
        <w:rPr>
          <w:rFonts w:cs="Arial"/>
          <w:sz w:val="20"/>
          <w:szCs w:val="20"/>
          <w:lang w:val="en-AU"/>
        </w:rPr>
        <w:t xml:space="preserve">When read in conjunction with X:6, paragraph 12. This paragraph ‘INSTRUCTS all initiatives under the present Resolution, and particularly those funded from the core budget, to submit to the Standing Committee annual reports on progress and operations of the initiatives concerned, </w:t>
      </w:r>
      <w:r w:rsidRPr="000C553F">
        <w:rPr>
          <w:rFonts w:cs="Arial"/>
          <w:b/>
          <w:sz w:val="20"/>
          <w:szCs w:val="20"/>
          <w:lang w:val="en-AU"/>
        </w:rPr>
        <w:t>and specifically on their success in fulfilling the Operational Guidelines</w:t>
      </w:r>
      <w:r w:rsidRPr="000C553F">
        <w:rPr>
          <w:rFonts w:cs="Arial"/>
          <w:sz w:val="20"/>
          <w:szCs w:val="20"/>
          <w:lang w:val="en-AU"/>
        </w:rPr>
        <w:t xml:space="preserve"> (my emphasis).’  </w:t>
      </w:r>
    </w:p>
  </w:footnote>
  <w:footnote w:id="20">
    <w:p w14:paraId="2AB8DA7F" w14:textId="77777777" w:rsidR="002F09C6" w:rsidRPr="000C553F" w:rsidRDefault="002F09C6">
      <w:pPr>
        <w:pStyle w:val="FootnoteText"/>
        <w:rPr>
          <w:rFonts w:cs="Arial"/>
          <w:sz w:val="20"/>
          <w:szCs w:val="20"/>
          <w:lang w:val="en-AU"/>
        </w:rPr>
      </w:pPr>
      <w:r w:rsidRPr="000C553F">
        <w:rPr>
          <w:rStyle w:val="FootnoteReference"/>
          <w:rFonts w:cs="Arial"/>
          <w:sz w:val="20"/>
          <w:szCs w:val="20"/>
        </w:rPr>
        <w:footnoteRef/>
      </w:r>
      <w:r w:rsidRPr="000C553F">
        <w:rPr>
          <w:rFonts w:cs="Arial"/>
          <w:sz w:val="20"/>
          <w:szCs w:val="20"/>
          <w:lang w:val="en-US"/>
        </w:rPr>
        <w:t xml:space="preserve"> </w:t>
      </w:r>
      <w:r w:rsidRPr="000C553F">
        <w:rPr>
          <w:rFonts w:cs="Arial"/>
          <w:sz w:val="20"/>
          <w:szCs w:val="20"/>
          <w:lang w:val="en-AU"/>
        </w:rPr>
        <w:t>As stipulated in Resolution X.6 at paragraphs 15 and 16.</w:t>
      </w:r>
    </w:p>
  </w:footnote>
  <w:footnote w:id="21">
    <w:p w14:paraId="7D917A60" w14:textId="673439B6" w:rsidR="002F09C6" w:rsidRPr="000C553F" w:rsidRDefault="002F09C6">
      <w:pPr>
        <w:pStyle w:val="FootnoteText"/>
        <w:rPr>
          <w:sz w:val="20"/>
          <w:szCs w:val="20"/>
          <w:lang w:val="en-US"/>
        </w:rPr>
      </w:pPr>
      <w:r w:rsidRPr="000C553F">
        <w:rPr>
          <w:rStyle w:val="FootnoteReference"/>
          <w:sz w:val="20"/>
          <w:szCs w:val="20"/>
        </w:rPr>
        <w:footnoteRef/>
      </w:r>
      <w:r w:rsidRPr="000C553F">
        <w:rPr>
          <w:sz w:val="20"/>
          <w:szCs w:val="20"/>
          <w:lang w:val="en-US"/>
        </w:rPr>
        <w:t xml:space="preserve"> </w:t>
      </w:r>
      <w:r w:rsidRPr="000C553F">
        <w:rPr>
          <w:rFonts w:cs="Arial"/>
          <w:sz w:val="20"/>
          <w:szCs w:val="20"/>
          <w:lang w:val="en-AU"/>
        </w:rPr>
        <w:t>It is worth noting that the evaluation criteria approved in SC Decision 40-15 were tied to the Operational Guidelines 2009-12. As such, they technically ceased to be relevant upon endorsement of the Operational Guidelines 2013-15. By way of contrast, the reporting format adopted in SC Decision 41-21 was approved and to that extent maintained its relevance.</w:t>
      </w:r>
    </w:p>
  </w:footnote>
  <w:footnote w:id="22">
    <w:p w14:paraId="58932E66" w14:textId="4A9A5A0A" w:rsidR="002F09C6" w:rsidRPr="000C553F" w:rsidRDefault="002F09C6">
      <w:pPr>
        <w:pStyle w:val="FootnoteText"/>
        <w:rPr>
          <w:rFonts w:cs="Arial"/>
          <w:sz w:val="20"/>
          <w:szCs w:val="20"/>
          <w:lang w:val="en-AU"/>
        </w:rPr>
      </w:pPr>
      <w:r w:rsidRPr="000C553F">
        <w:rPr>
          <w:rStyle w:val="FootnoteReference"/>
          <w:rFonts w:cs="Arial"/>
          <w:sz w:val="20"/>
          <w:szCs w:val="20"/>
        </w:rPr>
        <w:footnoteRef/>
      </w:r>
      <w:r w:rsidRPr="000C553F">
        <w:rPr>
          <w:rFonts w:cs="Arial"/>
          <w:sz w:val="20"/>
          <w:szCs w:val="20"/>
          <w:lang w:val="en-US"/>
        </w:rPr>
        <w:t xml:space="preserve"> </w:t>
      </w:r>
      <w:r>
        <w:rPr>
          <w:rFonts w:cs="Arial"/>
          <w:sz w:val="20"/>
          <w:szCs w:val="20"/>
          <w:lang w:val="en-US"/>
        </w:rPr>
        <w:t xml:space="preserve">Reaffirmed by Resolution XIII.9 at paragraph 6. They will be revised at COP14. </w:t>
      </w:r>
    </w:p>
  </w:footnote>
  <w:footnote w:id="23">
    <w:p w14:paraId="690ECFD5" w14:textId="6C19F7F7" w:rsidR="002F09C6" w:rsidRPr="00BD0A3D" w:rsidRDefault="002F09C6">
      <w:pPr>
        <w:pStyle w:val="FootnoteText"/>
        <w:rPr>
          <w:sz w:val="20"/>
          <w:szCs w:val="20"/>
          <w:lang w:val="en-US"/>
        </w:rPr>
      </w:pPr>
      <w:r w:rsidRPr="00BD0A3D">
        <w:rPr>
          <w:rStyle w:val="FootnoteReference"/>
          <w:sz w:val="20"/>
          <w:szCs w:val="20"/>
        </w:rPr>
        <w:footnoteRef/>
      </w:r>
      <w:r w:rsidRPr="00BD0A3D">
        <w:rPr>
          <w:sz w:val="20"/>
          <w:szCs w:val="20"/>
          <w:lang w:val="en-US"/>
        </w:rPr>
        <w:t xml:space="preserve"> See paras 16, 17, 33. </w:t>
      </w:r>
    </w:p>
  </w:footnote>
  <w:footnote w:id="24">
    <w:p w14:paraId="6B679CA7" w14:textId="0BBBB8C4" w:rsidR="002F09C6" w:rsidRPr="00296B5F" w:rsidRDefault="002F09C6">
      <w:pPr>
        <w:pStyle w:val="FootnoteText"/>
        <w:rPr>
          <w:sz w:val="20"/>
          <w:szCs w:val="20"/>
          <w:lang w:val="en-US"/>
        </w:rPr>
      </w:pPr>
      <w:r w:rsidRPr="00296B5F">
        <w:rPr>
          <w:rStyle w:val="FootnoteReference"/>
          <w:sz w:val="20"/>
          <w:szCs w:val="20"/>
        </w:rPr>
        <w:footnoteRef/>
      </w:r>
      <w:r w:rsidRPr="00296B5F">
        <w:rPr>
          <w:sz w:val="20"/>
          <w:szCs w:val="20"/>
          <w:lang w:val="en-US"/>
        </w:rPr>
        <w:t xml:space="preserve"> These are set out in </w:t>
      </w:r>
      <w:r w:rsidRPr="00296B5F">
        <w:rPr>
          <w:b/>
          <w:sz w:val="20"/>
          <w:szCs w:val="20"/>
          <w:lang w:val="en-US"/>
        </w:rPr>
        <w:t>Appendix 2</w:t>
      </w:r>
      <w:r w:rsidRPr="00296B5F">
        <w:rPr>
          <w:sz w:val="20"/>
          <w:szCs w:val="20"/>
          <w:lang w:val="en-US"/>
        </w:rPr>
        <w:t>.</w:t>
      </w:r>
    </w:p>
  </w:footnote>
  <w:footnote w:id="25">
    <w:p w14:paraId="3BC05E1F" w14:textId="3F19F113" w:rsidR="002F09C6" w:rsidRPr="006E5518" w:rsidRDefault="002F09C6" w:rsidP="006E5518">
      <w:pPr>
        <w:pStyle w:val="FootnoteText"/>
        <w:rPr>
          <w:sz w:val="20"/>
          <w:szCs w:val="20"/>
          <w:lang w:val="en-US"/>
        </w:rPr>
      </w:pPr>
      <w:r w:rsidRPr="006E5518">
        <w:rPr>
          <w:rStyle w:val="FootnoteReference"/>
          <w:sz w:val="20"/>
          <w:szCs w:val="20"/>
        </w:rPr>
        <w:footnoteRef/>
      </w:r>
      <w:r w:rsidRPr="006E5518">
        <w:rPr>
          <w:sz w:val="20"/>
          <w:szCs w:val="20"/>
          <w:lang w:val="en-US"/>
        </w:rPr>
        <w:t xml:space="preserve"> Paragraph 6 (with 7 principles set out in paragraph 8).</w:t>
      </w:r>
      <w:r>
        <w:rPr>
          <w:sz w:val="20"/>
          <w:szCs w:val="20"/>
          <w:lang w:val="en-US"/>
        </w:rPr>
        <w:t xml:space="preserve"> It is worth noting that paragraph 8 employ stronger wording in relation to the applicability of the 7 Principles, stating that to ‘maintain their formal recognition as an RRI, </w:t>
      </w:r>
      <w:r w:rsidRPr="00866354">
        <w:rPr>
          <w:sz w:val="20"/>
          <w:szCs w:val="20"/>
          <w:lang w:val="en-US"/>
        </w:rPr>
        <w:t>[</w:t>
      </w:r>
      <w:r>
        <w:rPr>
          <w:sz w:val="20"/>
          <w:szCs w:val="20"/>
          <w:lang w:val="en-US"/>
        </w:rPr>
        <w:t>they</w:t>
      </w:r>
      <w:r w:rsidRPr="00866354">
        <w:rPr>
          <w:sz w:val="20"/>
          <w:szCs w:val="20"/>
          <w:lang w:val="en-US"/>
        </w:rPr>
        <w:t>] </w:t>
      </w:r>
      <w:r>
        <w:rPr>
          <w:sz w:val="20"/>
          <w:szCs w:val="20"/>
          <w:lang w:val="en-US"/>
        </w:rPr>
        <w:t xml:space="preserve">have to be in line with the following principles:…’. </w:t>
      </w:r>
    </w:p>
  </w:footnote>
  <w:footnote w:id="26">
    <w:p w14:paraId="2992A651" w14:textId="21D3306C" w:rsidR="002F09C6" w:rsidRPr="006F46C6" w:rsidRDefault="002F09C6" w:rsidP="0078380A">
      <w:pPr>
        <w:pStyle w:val="FootnoteText"/>
        <w:rPr>
          <w:color w:val="FF0000"/>
          <w:sz w:val="20"/>
          <w:szCs w:val="20"/>
          <w:lang w:val="en-US"/>
        </w:rPr>
      </w:pPr>
      <w:r w:rsidRPr="00E56BB0">
        <w:rPr>
          <w:rStyle w:val="FootnoteReference"/>
          <w:sz w:val="20"/>
          <w:szCs w:val="20"/>
        </w:rPr>
        <w:footnoteRef/>
      </w:r>
      <w:r>
        <w:rPr>
          <w:sz w:val="20"/>
          <w:szCs w:val="20"/>
          <w:lang w:val="en-US"/>
        </w:rPr>
        <w:t xml:space="preserve"> Relevantly, Reso</w:t>
      </w:r>
      <w:r w:rsidRPr="00E56BB0">
        <w:rPr>
          <w:sz w:val="20"/>
          <w:szCs w:val="20"/>
          <w:lang w:val="en-US"/>
        </w:rPr>
        <w:t>lution XIII.9 (at para 25)</w:t>
      </w:r>
      <w:r>
        <w:rPr>
          <w:sz w:val="20"/>
          <w:szCs w:val="20"/>
          <w:lang w:val="en-US"/>
        </w:rPr>
        <w:t xml:space="preserve"> encourages</w:t>
      </w:r>
      <w:r w:rsidRPr="00E56BB0">
        <w:rPr>
          <w:sz w:val="20"/>
          <w:szCs w:val="20"/>
          <w:lang w:val="en-US"/>
        </w:rPr>
        <w:t xml:space="preserve"> the </w:t>
      </w:r>
      <w:r>
        <w:rPr>
          <w:sz w:val="20"/>
          <w:szCs w:val="20"/>
          <w:lang w:val="en-US"/>
        </w:rPr>
        <w:t>‘</w:t>
      </w:r>
      <w:r w:rsidRPr="00E56BB0">
        <w:rPr>
          <w:sz w:val="20"/>
          <w:szCs w:val="20"/>
          <w:lang w:val="en-US"/>
        </w:rPr>
        <w:t>Contracting Parties concerned to take the necessary steps to achieve the financi</w:t>
      </w:r>
      <w:r>
        <w:rPr>
          <w:sz w:val="20"/>
          <w:szCs w:val="20"/>
          <w:lang w:val="en-US"/>
        </w:rPr>
        <w:t>al sustainability of the RRIs,</w:t>
      </w:r>
      <w:r w:rsidRPr="00CC210F">
        <w:rPr>
          <w:sz w:val="20"/>
          <w:szCs w:val="20"/>
          <w:lang w:val="en-US"/>
        </w:rPr>
        <w:t xml:space="preserve"> preferably through financial support from a variety of sources, to establish mechanisms and procedures to ensure their sustainability beyond specific project periods, and to try to avoid RRIs becoming dependent on a single major donor, in order to promote the financial stability of the RRI;’.</w:t>
      </w:r>
    </w:p>
  </w:footnote>
  <w:footnote w:id="27">
    <w:p w14:paraId="6DBACC3D" w14:textId="3C16E174" w:rsidR="002F09C6" w:rsidRPr="00E47FDB" w:rsidRDefault="002F09C6">
      <w:pPr>
        <w:pStyle w:val="FootnoteText"/>
        <w:rPr>
          <w:sz w:val="20"/>
          <w:szCs w:val="20"/>
          <w:lang w:val="en-US"/>
        </w:rPr>
      </w:pPr>
      <w:r w:rsidRPr="00E47FDB">
        <w:rPr>
          <w:rStyle w:val="FootnoteReference"/>
          <w:sz w:val="20"/>
          <w:szCs w:val="20"/>
        </w:rPr>
        <w:footnoteRef/>
      </w:r>
      <w:r w:rsidRPr="00E47FDB">
        <w:rPr>
          <w:sz w:val="20"/>
          <w:szCs w:val="20"/>
          <w:lang w:val="en-US"/>
        </w:rPr>
        <w:t xml:space="preserve"> This is because it is common for financially and operationally independent</w:t>
      </w:r>
      <w:r>
        <w:rPr>
          <w:sz w:val="20"/>
          <w:szCs w:val="20"/>
          <w:lang w:val="en-US"/>
        </w:rPr>
        <w:t xml:space="preserve"> entities with their own</w:t>
      </w:r>
      <w:r w:rsidRPr="00E47FDB">
        <w:rPr>
          <w:sz w:val="20"/>
          <w:szCs w:val="20"/>
          <w:lang w:val="en-US"/>
        </w:rPr>
        <w:t xml:space="preserve"> identity </w:t>
      </w:r>
      <w:r>
        <w:rPr>
          <w:sz w:val="20"/>
          <w:szCs w:val="20"/>
          <w:lang w:val="en-US"/>
        </w:rPr>
        <w:t>to have</w:t>
      </w:r>
      <w:r w:rsidRPr="00E47FDB">
        <w:rPr>
          <w:sz w:val="20"/>
          <w:szCs w:val="20"/>
          <w:lang w:val="en-US"/>
        </w:rPr>
        <w:t xml:space="preserve"> some sort of formal legal status and legal personality.</w:t>
      </w:r>
    </w:p>
  </w:footnote>
  <w:footnote w:id="28">
    <w:p w14:paraId="129CBCA7" w14:textId="2E602F34" w:rsidR="002F09C6" w:rsidRPr="00566174" w:rsidRDefault="002F09C6">
      <w:pPr>
        <w:pStyle w:val="FootnoteText"/>
        <w:rPr>
          <w:sz w:val="20"/>
          <w:szCs w:val="20"/>
          <w:lang w:val="en-US"/>
        </w:rPr>
      </w:pPr>
      <w:r w:rsidRPr="00566174">
        <w:rPr>
          <w:rStyle w:val="FootnoteReference"/>
          <w:sz w:val="20"/>
          <w:szCs w:val="20"/>
        </w:rPr>
        <w:footnoteRef/>
      </w:r>
      <w:r w:rsidRPr="00566174">
        <w:rPr>
          <w:sz w:val="20"/>
          <w:szCs w:val="20"/>
          <w:lang w:val="en-US"/>
        </w:rPr>
        <w:t xml:space="preserve"> </w:t>
      </w:r>
      <w:hyperlink r:id="rId4" w:history="1">
        <w:r w:rsidRPr="00566174">
          <w:rPr>
            <w:rStyle w:val="Hyperlink"/>
            <w:sz w:val="20"/>
            <w:szCs w:val="20"/>
            <w:lang w:val="en-US"/>
          </w:rPr>
          <w:t>https://www.ramsar.org/sites/default/files/documents/pdf/cop9/cop9_doc08_e.pdf</w:t>
        </w:r>
      </w:hyperlink>
      <w:r w:rsidRPr="00566174">
        <w:rPr>
          <w:sz w:val="20"/>
          <w:szCs w:val="20"/>
          <w:lang w:val="en-US"/>
        </w:rPr>
        <w:t xml:space="preserve"> (Accessed 25 March 2020).</w:t>
      </w:r>
    </w:p>
  </w:footnote>
  <w:footnote w:id="29">
    <w:p w14:paraId="5B0E8DCF" w14:textId="2B3A7A78" w:rsidR="002F09C6" w:rsidRPr="008840D6" w:rsidRDefault="002F09C6">
      <w:pPr>
        <w:pStyle w:val="FootnoteText"/>
        <w:rPr>
          <w:sz w:val="20"/>
          <w:szCs w:val="20"/>
          <w:lang w:val="en-US"/>
        </w:rPr>
      </w:pPr>
      <w:r w:rsidRPr="008840D6">
        <w:rPr>
          <w:rStyle w:val="FootnoteReference"/>
          <w:sz w:val="20"/>
          <w:szCs w:val="20"/>
        </w:rPr>
        <w:footnoteRef/>
      </w:r>
      <w:r w:rsidRPr="008840D6">
        <w:rPr>
          <w:sz w:val="20"/>
          <w:szCs w:val="20"/>
          <w:lang w:val="en-US"/>
        </w:rPr>
        <w:t xml:space="preserve"> </w:t>
      </w:r>
      <w:r>
        <w:rPr>
          <w:sz w:val="20"/>
          <w:szCs w:val="20"/>
          <w:lang w:val="en-US"/>
        </w:rPr>
        <w:t>The MedWet secretariat is physically hosted by the Tour du Valet Foundation. The secretariat is registered pursuant to the ‘Associations loi du 1ère juillet 1901’. This law confers legal personality upon the resulting association as soon as a public notice regarding its creation is placed in the ‘journal officiel’: (</w:t>
      </w:r>
      <w:r w:rsidRPr="00167B40">
        <w:rPr>
          <w:sz w:val="20"/>
          <w:szCs w:val="20"/>
          <w:lang w:val="en-US"/>
        </w:rPr>
        <w:t>L. 1er juill. 1901, art. 5 al. 4</w:t>
      </w:r>
      <w:r>
        <w:rPr>
          <w:sz w:val="20"/>
          <w:szCs w:val="20"/>
          <w:lang w:val="en-US"/>
        </w:rPr>
        <w:t xml:space="preserve">). This occurred on the 22 February 2014. </w:t>
      </w:r>
    </w:p>
  </w:footnote>
  <w:footnote w:id="30">
    <w:p w14:paraId="53CB3055" w14:textId="77777777" w:rsidR="002F09C6" w:rsidRPr="00507B41" w:rsidRDefault="002F09C6" w:rsidP="008D3CE7">
      <w:pPr>
        <w:pStyle w:val="FootnoteText"/>
        <w:rPr>
          <w:lang w:val="en-US"/>
        </w:rPr>
      </w:pPr>
      <w:r>
        <w:rPr>
          <w:rStyle w:val="FootnoteReference"/>
        </w:rPr>
        <w:footnoteRef/>
      </w:r>
      <w:r w:rsidRPr="00507B41">
        <w:rPr>
          <w:lang w:val="en-US"/>
        </w:rPr>
        <w:t xml:space="preserve"> </w:t>
      </w:r>
      <w:r w:rsidRPr="00716814">
        <w:rPr>
          <w:sz w:val="20"/>
          <w:szCs w:val="20"/>
          <w:lang w:val="en-US"/>
        </w:rPr>
        <w:t>The most recent MoU was entered into in May 2019 and expires in May 2024.</w:t>
      </w:r>
    </w:p>
  </w:footnote>
  <w:footnote w:id="31">
    <w:p w14:paraId="350A158E" w14:textId="77777777" w:rsidR="002F09C6" w:rsidRPr="00E11DB5" w:rsidRDefault="002F09C6" w:rsidP="008D3CE7">
      <w:pPr>
        <w:pStyle w:val="FootnoteText"/>
        <w:rPr>
          <w:lang w:val="en-US"/>
        </w:rPr>
      </w:pPr>
      <w:r>
        <w:rPr>
          <w:rStyle w:val="FootnoteReference"/>
        </w:rPr>
        <w:footnoteRef/>
      </w:r>
      <w:r w:rsidRPr="00E11DB5">
        <w:rPr>
          <w:lang w:val="en-US"/>
        </w:rPr>
        <w:t xml:space="preserve"> </w:t>
      </w:r>
      <w:r w:rsidRPr="00E11DB5">
        <w:rPr>
          <w:sz w:val="20"/>
          <w:szCs w:val="20"/>
          <w:lang w:val="en-US"/>
        </w:rPr>
        <w:t>The certificate of business registration indicates that it was first registered in this capacity in 2009.</w:t>
      </w:r>
      <w:r>
        <w:rPr>
          <w:sz w:val="20"/>
          <w:szCs w:val="20"/>
          <w:lang w:val="en-US"/>
        </w:rPr>
        <w:t xml:space="preserve"> </w:t>
      </w:r>
    </w:p>
  </w:footnote>
  <w:footnote w:id="32">
    <w:p w14:paraId="5EE9B8E8" w14:textId="77777777" w:rsidR="002F09C6" w:rsidRPr="00194B68" w:rsidRDefault="002F09C6" w:rsidP="008D3CE7">
      <w:pPr>
        <w:pStyle w:val="FootnoteText"/>
        <w:rPr>
          <w:sz w:val="20"/>
          <w:szCs w:val="20"/>
          <w:lang w:val="en-US"/>
        </w:rPr>
      </w:pPr>
      <w:r w:rsidRPr="00194B68">
        <w:rPr>
          <w:rStyle w:val="FootnoteReference"/>
          <w:sz w:val="20"/>
          <w:szCs w:val="20"/>
        </w:rPr>
        <w:footnoteRef/>
      </w:r>
      <w:r w:rsidRPr="00194B68">
        <w:rPr>
          <w:sz w:val="20"/>
          <w:szCs w:val="20"/>
          <w:lang w:val="en-US"/>
        </w:rPr>
        <w:t xml:space="preserve"> However, the Secretariat does have two full-time seconded staff from Icheon Government who oversee the finances and local compliance administration of the Secretariat. </w:t>
      </w:r>
    </w:p>
  </w:footnote>
  <w:footnote w:id="33">
    <w:p w14:paraId="476791B2" w14:textId="77777777" w:rsidR="002F09C6" w:rsidRPr="009C35F1" w:rsidRDefault="002F09C6" w:rsidP="008D3CE7">
      <w:pPr>
        <w:pStyle w:val="FootnoteText"/>
        <w:rPr>
          <w:sz w:val="20"/>
          <w:szCs w:val="20"/>
          <w:lang w:val="en-US"/>
        </w:rPr>
      </w:pPr>
      <w:r w:rsidRPr="009C35F1">
        <w:rPr>
          <w:rStyle w:val="FootnoteReference"/>
          <w:sz w:val="20"/>
          <w:szCs w:val="20"/>
        </w:rPr>
        <w:footnoteRef/>
      </w:r>
      <w:r w:rsidRPr="009C35F1">
        <w:rPr>
          <w:sz w:val="20"/>
          <w:szCs w:val="20"/>
          <w:lang w:val="en-US"/>
        </w:rPr>
        <w:t xml:space="preserve"> </w:t>
      </w:r>
      <w:r>
        <w:rPr>
          <w:sz w:val="20"/>
          <w:szCs w:val="20"/>
          <w:lang w:val="en-US"/>
        </w:rPr>
        <w:t>Under para 5A of the</w:t>
      </w:r>
      <w:r w:rsidRPr="009C35F1">
        <w:rPr>
          <w:sz w:val="20"/>
          <w:szCs w:val="20"/>
          <w:lang w:val="en-US"/>
        </w:rPr>
        <w:t xml:space="preserve"> MoU, the ‘Host Government Partner’ (the Ministry of Environment) is responsible for establishing a separate bank account for the Secretariat of the EAAFP, which could suggest that it lacks the necessary legal personality to do so itself. </w:t>
      </w:r>
    </w:p>
  </w:footnote>
  <w:footnote w:id="34">
    <w:p w14:paraId="6B4D2557" w14:textId="77777777" w:rsidR="002F09C6" w:rsidRPr="00FD14A2" w:rsidRDefault="002F09C6" w:rsidP="008D3CE7">
      <w:pPr>
        <w:pStyle w:val="FootnoteText"/>
        <w:rPr>
          <w:sz w:val="20"/>
          <w:szCs w:val="20"/>
          <w:lang w:val="en-US"/>
        </w:rPr>
      </w:pPr>
      <w:r w:rsidRPr="00FD14A2">
        <w:rPr>
          <w:rStyle w:val="FootnoteReference"/>
          <w:sz w:val="20"/>
          <w:szCs w:val="20"/>
        </w:rPr>
        <w:footnoteRef/>
      </w:r>
      <w:r w:rsidRPr="00FD14A2">
        <w:rPr>
          <w:sz w:val="20"/>
          <w:szCs w:val="20"/>
          <w:lang w:val="en-US"/>
        </w:rPr>
        <w:t xml:space="preserve"> The EAAFP is subject to a Partnership Document (version 15). Paragraph 1 of the Document defines its legal status as ‘an informal and voluntary initiative of the Partners.’</w:t>
      </w:r>
    </w:p>
  </w:footnote>
  <w:footnote w:id="35">
    <w:p w14:paraId="1A655371" w14:textId="32760559" w:rsidR="002F09C6" w:rsidRPr="00237548" w:rsidRDefault="002F09C6">
      <w:pPr>
        <w:pStyle w:val="FootnoteText"/>
        <w:rPr>
          <w:sz w:val="20"/>
          <w:szCs w:val="20"/>
          <w:lang w:val="en-US"/>
        </w:rPr>
      </w:pPr>
      <w:r w:rsidRPr="00237548">
        <w:rPr>
          <w:rStyle w:val="FootnoteReference"/>
          <w:sz w:val="20"/>
          <w:szCs w:val="20"/>
        </w:rPr>
        <w:footnoteRef/>
      </w:r>
      <w:r w:rsidRPr="00237548">
        <w:rPr>
          <w:sz w:val="20"/>
          <w:szCs w:val="20"/>
          <w:lang w:val="en-US"/>
        </w:rPr>
        <w:t xml:space="preserve"> I note that in its ‘Annual Summary Report 2009 and Plan for 2010’, the EAAFP indicated that it had established a ‘Secretariat Office’ in Icheon. It does not include any reference to its legal status, though. </w:t>
      </w:r>
      <w:hyperlink r:id="rId5" w:history="1">
        <w:r w:rsidRPr="00237548">
          <w:rPr>
            <w:rStyle w:val="Hyperlink"/>
            <w:sz w:val="20"/>
            <w:szCs w:val="20"/>
            <w:lang w:val="en-US"/>
          </w:rPr>
          <w:t>https://www.ramsar.org/sites/default/files/documents/pdf/sc/41/sc41_doc13_app06.pdf</w:t>
        </w:r>
      </w:hyperlink>
      <w:r w:rsidRPr="00237548">
        <w:rPr>
          <w:sz w:val="20"/>
          <w:szCs w:val="20"/>
          <w:lang w:val="en-US"/>
        </w:rPr>
        <w:t xml:space="preserve"> (Accessed 27 March 2020).</w:t>
      </w:r>
    </w:p>
  </w:footnote>
  <w:footnote w:id="36">
    <w:p w14:paraId="09E130D5" w14:textId="69BF254C" w:rsidR="002F09C6" w:rsidRPr="008E6FA0" w:rsidRDefault="002F09C6">
      <w:pPr>
        <w:pStyle w:val="FootnoteText"/>
        <w:rPr>
          <w:lang w:val="en-US"/>
        </w:rPr>
      </w:pPr>
      <w:r>
        <w:rPr>
          <w:rStyle w:val="FootnoteReference"/>
        </w:rPr>
        <w:footnoteRef/>
      </w:r>
      <w:r w:rsidRPr="008E6FA0">
        <w:rPr>
          <w:lang w:val="en-US"/>
        </w:rPr>
        <w:t xml:space="preserve"> </w:t>
      </w:r>
      <w:hyperlink r:id="rId6" w:history="1">
        <w:r w:rsidRPr="008E6FA0">
          <w:rPr>
            <w:rStyle w:val="Hyperlink"/>
            <w:sz w:val="20"/>
            <w:szCs w:val="20"/>
            <w:lang w:val="en-US"/>
          </w:rPr>
          <w:t>https://medwet.org/wp-content/uploads/2018/05/EN-Terms-of-Reference-of-Mediterranean-Wetlands-Initiative.pdf</w:t>
        </w:r>
      </w:hyperlink>
      <w:r w:rsidRPr="008E6FA0">
        <w:rPr>
          <w:sz w:val="20"/>
          <w:szCs w:val="20"/>
          <w:lang w:val="en-US"/>
        </w:rPr>
        <w:t xml:space="preserve"> (Accessed 26 March 2020).</w:t>
      </w:r>
    </w:p>
  </w:footnote>
  <w:footnote w:id="37">
    <w:p w14:paraId="5FC1812B" w14:textId="11390E94" w:rsidR="002F09C6" w:rsidRPr="00F541AC" w:rsidRDefault="002F09C6">
      <w:pPr>
        <w:pStyle w:val="FootnoteText"/>
        <w:rPr>
          <w:sz w:val="20"/>
          <w:szCs w:val="20"/>
          <w:lang w:val="en-US"/>
        </w:rPr>
      </w:pPr>
      <w:r w:rsidRPr="00F541AC">
        <w:rPr>
          <w:rStyle w:val="FootnoteReference"/>
          <w:sz w:val="20"/>
          <w:szCs w:val="20"/>
        </w:rPr>
        <w:footnoteRef/>
      </w:r>
      <w:r w:rsidRPr="00F541AC">
        <w:rPr>
          <w:sz w:val="20"/>
          <w:szCs w:val="20"/>
          <w:lang w:val="en-US"/>
        </w:rPr>
        <w:t xml:space="preserve"> As adopted at the 5</w:t>
      </w:r>
      <w:r w:rsidRPr="00F541AC">
        <w:rPr>
          <w:sz w:val="20"/>
          <w:szCs w:val="20"/>
          <w:vertAlign w:val="superscript"/>
          <w:lang w:val="en-US"/>
        </w:rPr>
        <w:t>th</w:t>
      </w:r>
      <w:r w:rsidRPr="00F541AC">
        <w:rPr>
          <w:sz w:val="20"/>
          <w:szCs w:val="20"/>
          <w:lang w:val="en-US"/>
        </w:rPr>
        <w:t xml:space="preserve"> meeting of the Partners, December 2010.   </w:t>
      </w:r>
      <w:hyperlink r:id="rId7" w:history="1">
        <w:r w:rsidRPr="00F541AC">
          <w:rPr>
            <w:rStyle w:val="Hyperlink"/>
            <w:sz w:val="20"/>
            <w:szCs w:val="20"/>
            <w:lang w:val="en-US"/>
          </w:rPr>
          <w:t>http://eaaflyway.net/documents/key/internal/EAAFP_Secretariat_ToR_as-adopted.pdf</w:t>
        </w:r>
      </w:hyperlink>
      <w:r w:rsidRPr="00F541AC">
        <w:rPr>
          <w:sz w:val="20"/>
          <w:szCs w:val="20"/>
          <w:lang w:val="en-US"/>
        </w:rPr>
        <w:t xml:space="preserve"> (Accessed 27 March 2020).</w:t>
      </w:r>
    </w:p>
  </w:footnote>
  <w:footnote w:id="38">
    <w:p w14:paraId="210FA544" w14:textId="445DE491" w:rsidR="002F09C6" w:rsidRPr="00731A65" w:rsidRDefault="002F09C6">
      <w:pPr>
        <w:pStyle w:val="FootnoteText"/>
        <w:rPr>
          <w:sz w:val="20"/>
          <w:szCs w:val="20"/>
          <w:lang w:val="en-US"/>
        </w:rPr>
      </w:pPr>
      <w:r w:rsidRPr="00731A65">
        <w:rPr>
          <w:rStyle w:val="FootnoteReference"/>
          <w:sz w:val="20"/>
          <w:szCs w:val="20"/>
        </w:rPr>
        <w:footnoteRef/>
      </w:r>
      <w:r w:rsidRPr="00731A65">
        <w:rPr>
          <w:sz w:val="20"/>
          <w:szCs w:val="20"/>
          <w:lang w:val="en-US"/>
        </w:rPr>
        <w:t xml:space="preserve"> This recognition was conferred in 2015.</w:t>
      </w:r>
    </w:p>
  </w:footnote>
  <w:footnote w:id="39">
    <w:p w14:paraId="42C8F077" w14:textId="19B0473B" w:rsidR="002F09C6" w:rsidRPr="00CC210F" w:rsidRDefault="002F09C6">
      <w:pPr>
        <w:pStyle w:val="FootnoteText"/>
        <w:rPr>
          <w:lang w:val="en-US"/>
        </w:rPr>
      </w:pPr>
      <w:r w:rsidRPr="00600D6E">
        <w:rPr>
          <w:rStyle w:val="FootnoteReference"/>
          <w:sz w:val="20"/>
          <w:szCs w:val="20"/>
        </w:rPr>
        <w:footnoteRef/>
      </w:r>
      <w:r w:rsidRPr="00600D6E">
        <w:rPr>
          <w:sz w:val="20"/>
          <w:szCs w:val="20"/>
          <w:lang w:val="en-US"/>
        </w:rPr>
        <w:t xml:space="preserve"> </w:t>
      </w:r>
      <w:hyperlink r:id="rId8" w:history="1">
        <w:r w:rsidRPr="00600D6E">
          <w:rPr>
            <w:rStyle w:val="Hyperlink"/>
            <w:sz w:val="20"/>
            <w:szCs w:val="20"/>
            <w:lang w:val="en-US"/>
          </w:rPr>
          <w:t>https://www.ramsar.org/sites/default/files/documents/pdf/cop9/cop9_doc08_e.pdf</w:t>
        </w:r>
      </w:hyperlink>
      <w:r w:rsidRPr="00600D6E">
        <w:rPr>
          <w:sz w:val="20"/>
          <w:szCs w:val="20"/>
          <w:lang w:val="en-US"/>
        </w:rPr>
        <w:t xml:space="preserve"> (Accessed 25 March 2020). </w:t>
      </w:r>
      <w:hyperlink r:id="rId9" w:history="1">
        <w:r w:rsidRPr="00CC210F">
          <w:rPr>
            <w:rStyle w:val="Hyperlink"/>
            <w:sz w:val="20"/>
            <w:szCs w:val="20"/>
            <w:lang w:val="en-US"/>
          </w:rPr>
          <w:t>https://www.ramsar.org/sites/default/files/documents/library/ri_report2015_plan2016_centre_western_hemisphere.pdf</w:t>
        </w:r>
      </w:hyperlink>
      <w:r>
        <w:rPr>
          <w:sz w:val="20"/>
          <w:szCs w:val="20"/>
          <w:lang w:val="en-US"/>
        </w:rPr>
        <w:t xml:space="preserve"> (Accessed 23 March 2020). I note that CREHO has been endorsed as operating within the framework of the Convention twice since this report was submitted. Note that it only appears in Spanish on the Ramsar website. </w:t>
      </w:r>
    </w:p>
  </w:footnote>
  <w:footnote w:id="40">
    <w:p w14:paraId="74C30040" w14:textId="22127B72" w:rsidR="002F09C6" w:rsidRPr="00FF7D04" w:rsidRDefault="002F09C6">
      <w:pPr>
        <w:pStyle w:val="FootnoteText"/>
        <w:rPr>
          <w:sz w:val="20"/>
          <w:szCs w:val="20"/>
          <w:lang w:val="en-US"/>
        </w:rPr>
      </w:pPr>
      <w:r w:rsidRPr="00FF7D04">
        <w:rPr>
          <w:rStyle w:val="FootnoteReference"/>
          <w:sz w:val="20"/>
          <w:szCs w:val="20"/>
        </w:rPr>
        <w:footnoteRef/>
      </w:r>
      <w:r w:rsidRPr="00FF7D04">
        <w:rPr>
          <w:sz w:val="20"/>
          <w:szCs w:val="20"/>
          <w:lang w:val="en-US"/>
        </w:rPr>
        <w:t xml:space="preserve"> This is also consistent with SC52-Inf.Doc.04, ‘Ramsar Regional Initiatives: An assessment of their achievements at 2015’. Page 12 of this document includes a section entitled ‘Legal Status of Ramsar Regional Initiatives’ and indicates that only MedWet, CREHO and EAAFP have ‘legal status’ (although no further details are provided). I was instructed by the Secretariat</w:t>
      </w:r>
      <w:r>
        <w:rPr>
          <w:sz w:val="20"/>
          <w:szCs w:val="20"/>
          <w:lang w:val="en-US"/>
        </w:rPr>
        <w:t xml:space="preserve"> of the Convention</w:t>
      </w:r>
      <w:r w:rsidRPr="00FF7D04">
        <w:rPr>
          <w:sz w:val="20"/>
          <w:szCs w:val="20"/>
          <w:lang w:val="en-US"/>
        </w:rPr>
        <w:t xml:space="preserve"> that </w:t>
      </w:r>
      <w:r>
        <w:rPr>
          <w:sz w:val="20"/>
          <w:szCs w:val="20"/>
          <w:lang w:val="en-US"/>
        </w:rPr>
        <w:t xml:space="preserve">the legal status of the remaining RRIs has not changed (that is, they do not possess any formal legal status or personality under national laws). To clarify, this includes the four RRIs that were endorsed after SC52-Inf.Doc.04 was published. </w:t>
      </w:r>
    </w:p>
  </w:footnote>
  <w:footnote w:id="41">
    <w:p w14:paraId="2167F24C" w14:textId="5FB12868" w:rsidR="002F09C6" w:rsidRPr="000C553F" w:rsidRDefault="002F09C6" w:rsidP="007D5342">
      <w:pPr>
        <w:pStyle w:val="FootnoteText"/>
        <w:rPr>
          <w:rFonts w:cs="Arial"/>
          <w:sz w:val="20"/>
          <w:szCs w:val="20"/>
          <w:lang w:val="en-AU"/>
        </w:rPr>
      </w:pPr>
      <w:r w:rsidRPr="000C553F">
        <w:rPr>
          <w:rStyle w:val="FootnoteReference"/>
          <w:rFonts w:cs="Arial"/>
          <w:sz w:val="20"/>
          <w:szCs w:val="20"/>
          <w:lang w:val="en-AU"/>
        </w:rPr>
        <w:footnoteRef/>
      </w:r>
      <w:r>
        <w:rPr>
          <w:rFonts w:cs="Arial"/>
          <w:sz w:val="20"/>
          <w:szCs w:val="20"/>
          <w:lang w:val="en-AU"/>
        </w:rPr>
        <w:t xml:space="preserve"> There is no ‘formal criteria’</w:t>
      </w:r>
      <w:r w:rsidRPr="000C553F">
        <w:rPr>
          <w:rFonts w:cs="Arial"/>
          <w:sz w:val="20"/>
          <w:szCs w:val="20"/>
          <w:lang w:val="en-AU"/>
        </w:rPr>
        <w:t xml:space="preserve"> for international legal personality: Klabbers, Jan, </w:t>
      </w:r>
      <w:r w:rsidRPr="000C553F">
        <w:rPr>
          <w:rFonts w:cs="Arial"/>
          <w:i/>
          <w:sz w:val="20"/>
          <w:szCs w:val="20"/>
          <w:lang w:val="en-AU"/>
        </w:rPr>
        <w:t>International Law</w:t>
      </w:r>
      <w:r w:rsidRPr="000C553F">
        <w:rPr>
          <w:rFonts w:cs="Arial"/>
          <w:sz w:val="20"/>
          <w:szCs w:val="20"/>
          <w:lang w:val="en-AU"/>
        </w:rPr>
        <w:t xml:space="preserve">. Cambridge University Press, 2013, p. 68. Cambridge Books Online. See also: See Roland Portmann, </w:t>
      </w:r>
      <w:r w:rsidRPr="000C553F">
        <w:rPr>
          <w:rFonts w:cs="Arial"/>
          <w:i/>
          <w:sz w:val="20"/>
          <w:szCs w:val="20"/>
          <w:lang w:val="en-AU"/>
        </w:rPr>
        <w:t xml:space="preserve">Legal Personality In International Law, </w:t>
      </w:r>
      <w:r w:rsidRPr="000C553F">
        <w:rPr>
          <w:rFonts w:cs="Arial"/>
          <w:sz w:val="20"/>
          <w:szCs w:val="20"/>
          <w:lang w:val="en-AU"/>
        </w:rPr>
        <w:t>Cambridge University Press</w:t>
      </w:r>
      <w:r w:rsidRPr="000C553F">
        <w:rPr>
          <w:rFonts w:cs="Arial"/>
          <w:i/>
          <w:sz w:val="20"/>
          <w:szCs w:val="20"/>
          <w:lang w:val="en-AU"/>
        </w:rPr>
        <w:t xml:space="preserve">, </w:t>
      </w:r>
      <w:r w:rsidRPr="000C553F">
        <w:rPr>
          <w:rFonts w:cs="Arial"/>
          <w:sz w:val="20"/>
          <w:szCs w:val="20"/>
          <w:lang w:val="en-AU"/>
        </w:rPr>
        <w:t>2010.</w:t>
      </w:r>
    </w:p>
  </w:footnote>
  <w:footnote w:id="42">
    <w:p w14:paraId="2BC70F06" w14:textId="377C4788" w:rsidR="002F09C6" w:rsidRPr="000C553F" w:rsidRDefault="002F09C6" w:rsidP="007D5342">
      <w:pPr>
        <w:pStyle w:val="FootnoteText"/>
        <w:rPr>
          <w:rFonts w:cs="Arial"/>
          <w:sz w:val="20"/>
          <w:szCs w:val="20"/>
          <w:lang w:val="en-AU"/>
        </w:rPr>
      </w:pPr>
      <w:r w:rsidRPr="000C553F">
        <w:rPr>
          <w:rStyle w:val="FootnoteReference"/>
          <w:rFonts w:cs="Arial"/>
          <w:sz w:val="20"/>
          <w:szCs w:val="20"/>
          <w:lang w:val="en-AU"/>
        </w:rPr>
        <w:footnoteRef/>
      </w:r>
      <w:r>
        <w:rPr>
          <w:rFonts w:cs="Arial"/>
          <w:sz w:val="20"/>
          <w:szCs w:val="20"/>
          <w:lang w:val="en-AU"/>
        </w:rPr>
        <w:t xml:space="preserve"> The ‘</w:t>
      </w:r>
      <w:r w:rsidRPr="000C553F">
        <w:rPr>
          <w:rFonts w:cs="Arial"/>
          <w:sz w:val="20"/>
          <w:szCs w:val="20"/>
          <w:lang w:val="en-AU"/>
        </w:rPr>
        <w:t>Reparations for Injuries Suffered in th</w:t>
      </w:r>
      <w:r>
        <w:rPr>
          <w:rFonts w:cs="Arial"/>
          <w:sz w:val="20"/>
          <w:szCs w:val="20"/>
          <w:lang w:val="en-AU"/>
        </w:rPr>
        <w:t>e Service of the United Nations’ (‘Reparations case’</w:t>
      </w:r>
      <w:r w:rsidRPr="000C553F">
        <w:rPr>
          <w:rFonts w:cs="Arial"/>
          <w:sz w:val="20"/>
          <w:szCs w:val="20"/>
          <w:lang w:val="en-AU"/>
        </w:rPr>
        <w:t xml:space="preserve">) was an advisory opinion issued by the International Court of Justice in 1949.  Two core theories regarding the notion of international legal personality (subjective v objective) emerged from this case. However, there does not appear to be any consensus amongst international lawyers and scholars regarding which of these two theories takes precedence. For further discussion see: Sognnæs, Cecilia, </w:t>
      </w:r>
      <w:r w:rsidRPr="000C553F">
        <w:rPr>
          <w:rFonts w:cs="Arial"/>
          <w:i/>
          <w:sz w:val="20"/>
          <w:szCs w:val="20"/>
          <w:lang w:val="en-AU"/>
        </w:rPr>
        <w:t>International legal personality - an assessment of the International Committee of the Red Cross and its legal status</w:t>
      </w:r>
      <w:r w:rsidRPr="000C553F">
        <w:rPr>
          <w:rFonts w:cs="Arial"/>
          <w:sz w:val="20"/>
          <w:szCs w:val="20"/>
          <w:lang w:val="en-AU"/>
        </w:rPr>
        <w:t xml:space="preserve">, UiO: Det juridiske fakultet, 2014. </w:t>
      </w:r>
    </w:p>
  </w:footnote>
  <w:footnote w:id="43">
    <w:p w14:paraId="0E98229D" w14:textId="77777777" w:rsidR="002F09C6" w:rsidRPr="000C553F" w:rsidRDefault="002F09C6" w:rsidP="007D5342">
      <w:pPr>
        <w:pStyle w:val="FootnoteText"/>
        <w:rPr>
          <w:rFonts w:cs="Arial"/>
          <w:sz w:val="20"/>
          <w:szCs w:val="20"/>
          <w:lang w:val="en-AU"/>
        </w:rPr>
      </w:pPr>
      <w:r w:rsidRPr="000C553F">
        <w:rPr>
          <w:rStyle w:val="FootnoteReference"/>
          <w:rFonts w:cs="Arial"/>
          <w:sz w:val="20"/>
          <w:szCs w:val="20"/>
          <w:lang w:val="en-AU"/>
        </w:rPr>
        <w:footnoteRef/>
      </w:r>
      <w:r w:rsidRPr="000C553F">
        <w:rPr>
          <w:rFonts w:cs="Arial"/>
          <w:sz w:val="20"/>
          <w:szCs w:val="20"/>
          <w:lang w:val="en-AU"/>
        </w:rPr>
        <w:t xml:space="preserve"> See for example: Worster, William Thomas, </w:t>
      </w:r>
      <w:r w:rsidRPr="000C553F">
        <w:rPr>
          <w:rFonts w:cs="Arial"/>
          <w:i/>
          <w:sz w:val="20"/>
          <w:szCs w:val="20"/>
          <w:lang w:val="en-AU"/>
        </w:rPr>
        <w:t>Relative International Legal Personality of Non-State Actors</w:t>
      </w:r>
      <w:r w:rsidRPr="000C553F">
        <w:rPr>
          <w:rFonts w:cs="Arial"/>
          <w:sz w:val="20"/>
          <w:szCs w:val="20"/>
          <w:lang w:val="en-AU"/>
        </w:rPr>
        <w:t>, (October 28, 2015), pp. 1-2. Available at SSRN: </w:t>
      </w:r>
      <w:hyperlink r:id="rId10" w:tgtFrame="_blank" w:history="1">
        <w:r w:rsidRPr="000C553F">
          <w:rPr>
            <w:rStyle w:val="Hyperlink"/>
            <w:rFonts w:cs="Arial"/>
            <w:sz w:val="20"/>
            <w:szCs w:val="20"/>
            <w:lang w:val="en-AU"/>
          </w:rPr>
          <w:t>https://ssrn.com/abstract=2682444</w:t>
        </w:r>
      </w:hyperlink>
      <w:r w:rsidRPr="000C553F">
        <w:rPr>
          <w:rFonts w:cs="Arial"/>
          <w:sz w:val="20"/>
          <w:szCs w:val="20"/>
          <w:lang w:val="en-AU"/>
        </w:rPr>
        <w:t> or </w:t>
      </w:r>
      <w:hyperlink r:id="rId11" w:tgtFrame="_blank" w:history="1">
        <w:r w:rsidRPr="000C553F">
          <w:rPr>
            <w:rStyle w:val="Hyperlink"/>
            <w:rFonts w:cs="Arial"/>
            <w:sz w:val="20"/>
            <w:szCs w:val="20"/>
            <w:lang w:val="en-AU"/>
          </w:rPr>
          <w:t>http://dx.doi.org/10.2139/ssrn.2682444</w:t>
        </w:r>
      </w:hyperlink>
      <w:r w:rsidRPr="000C553F">
        <w:rPr>
          <w:rFonts w:cs="Arial"/>
          <w:sz w:val="20"/>
          <w:szCs w:val="20"/>
          <w:lang w:val="en-AU"/>
        </w:rPr>
        <w:t xml:space="preserve"> (Accessed 02 October 2017).</w:t>
      </w:r>
    </w:p>
  </w:footnote>
  <w:footnote w:id="44">
    <w:p w14:paraId="7D7494CF" w14:textId="77777777" w:rsidR="002F09C6" w:rsidRPr="000C553F" w:rsidRDefault="002F09C6" w:rsidP="007D5342">
      <w:pPr>
        <w:pStyle w:val="FootnoteText"/>
        <w:rPr>
          <w:rFonts w:cs="Arial"/>
          <w:sz w:val="20"/>
          <w:szCs w:val="20"/>
          <w:lang w:val="en-AU"/>
        </w:rPr>
      </w:pPr>
      <w:r w:rsidRPr="000C553F">
        <w:rPr>
          <w:rStyle w:val="FootnoteReference"/>
          <w:rFonts w:cs="Arial"/>
          <w:sz w:val="20"/>
          <w:szCs w:val="20"/>
          <w:lang w:val="en-AU"/>
        </w:rPr>
        <w:footnoteRef/>
      </w:r>
      <w:r w:rsidRPr="000C553F">
        <w:rPr>
          <w:rFonts w:cs="Arial"/>
          <w:sz w:val="20"/>
          <w:szCs w:val="20"/>
          <w:lang w:val="en-AU"/>
        </w:rPr>
        <w:t xml:space="preserve"> Ibid, pp. 1-2. </w:t>
      </w:r>
    </w:p>
  </w:footnote>
  <w:footnote w:id="45">
    <w:p w14:paraId="7C7DB6BE" w14:textId="79250F73" w:rsidR="002F09C6" w:rsidRPr="000C553F" w:rsidRDefault="002F09C6" w:rsidP="007D5342">
      <w:pPr>
        <w:pStyle w:val="FootnoteText"/>
        <w:rPr>
          <w:rFonts w:cs="Arial"/>
          <w:sz w:val="20"/>
          <w:szCs w:val="20"/>
          <w:lang w:val="en-AU"/>
        </w:rPr>
      </w:pPr>
      <w:r w:rsidRPr="000C553F">
        <w:rPr>
          <w:rStyle w:val="FootnoteReference"/>
          <w:sz w:val="20"/>
          <w:szCs w:val="20"/>
        </w:rPr>
        <w:footnoteRef/>
      </w:r>
      <w:r w:rsidRPr="000C553F">
        <w:rPr>
          <w:lang w:val="en-US"/>
        </w:rPr>
        <w:t xml:space="preserve"> </w:t>
      </w:r>
      <w:r w:rsidRPr="000C553F">
        <w:rPr>
          <w:rFonts w:cs="Arial"/>
          <w:sz w:val="20"/>
          <w:szCs w:val="20"/>
          <w:lang w:val="en-AU"/>
        </w:rPr>
        <w:t xml:space="preserve">The ‘Reparations for Injuries Suffered in the Service of the United Nations’ (‘Reparations case’) established that an IGO – in this instance the United Nations - could have international legal personality. Note that the terms ‘international organisation’ and ‘intergovernmental organisation’ tend to be used interchangeably. See Vienna Convention on the law of treaties, Article (2)(1)(i). </w:t>
      </w:r>
    </w:p>
  </w:footnote>
  <w:footnote w:id="46">
    <w:p w14:paraId="7DD88670" w14:textId="77777777" w:rsidR="002F09C6" w:rsidRPr="000C553F" w:rsidRDefault="002F09C6" w:rsidP="007D5342">
      <w:pPr>
        <w:pStyle w:val="FootnoteText"/>
        <w:rPr>
          <w:rFonts w:cs="Arial"/>
          <w:sz w:val="20"/>
          <w:szCs w:val="20"/>
          <w:lang w:val="en-AU"/>
        </w:rPr>
      </w:pPr>
      <w:r w:rsidRPr="000C553F">
        <w:rPr>
          <w:rStyle w:val="FootnoteReference"/>
          <w:rFonts w:cs="Arial"/>
          <w:sz w:val="20"/>
          <w:szCs w:val="20"/>
          <w:lang w:val="en-AU"/>
        </w:rPr>
        <w:footnoteRef/>
      </w:r>
      <w:r w:rsidRPr="000C553F">
        <w:rPr>
          <w:rFonts w:cs="Arial"/>
          <w:sz w:val="20"/>
          <w:szCs w:val="20"/>
          <w:lang w:val="en-AU"/>
        </w:rPr>
        <w:t xml:space="preserve"> Drafted by the International Law Commission. Available online: </w:t>
      </w:r>
      <w:hyperlink r:id="rId12" w:history="1">
        <w:r w:rsidRPr="000C553F">
          <w:rPr>
            <w:rStyle w:val="Hyperlink"/>
            <w:rFonts w:cs="Arial"/>
            <w:sz w:val="20"/>
            <w:szCs w:val="20"/>
            <w:lang w:val="en-AU"/>
          </w:rPr>
          <w:t>http://legal.un.org/ilc/texts/instruments/english/draft_articles/9_11_2011.pdf</w:t>
        </w:r>
      </w:hyperlink>
      <w:r w:rsidRPr="000C553F">
        <w:rPr>
          <w:rFonts w:cs="Arial"/>
          <w:sz w:val="20"/>
          <w:szCs w:val="20"/>
          <w:lang w:val="en-AU"/>
        </w:rPr>
        <w:t xml:space="preserve"> (Accessed 02 October 2017).</w:t>
      </w:r>
    </w:p>
  </w:footnote>
  <w:footnote w:id="47">
    <w:p w14:paraId="76AA7AC8" w14:textId="77777777" w:rsidR="002F09C6" w:rsidRPr="000C553F" w:rsidRDefault="002F09C6" w:rsidP="007D5342">
      <w:pPr>
        <w:pStyle w:val="FootnoteText"/>
        <w:rPr>
          <w:rFonts w:cs="Arial"/>
          <w:sz w:val="20"/>
          <w:szCs w:val="20"/>
          <w:lang w:val="en-AU"/>
        </w:rPr>
      </w:pPr>
      <w:r w:rsidRPr="000C553F">
        <w:rPr>
          <w:rStyle w:val="FootnoteReference"/>
          <w:rFonts w:cs="Arial"/>
          <w:sz w:val="20"/>
          <w:szCs w:val="20"/>
          <w:lang w:val="en-AU"/>
        </w:rPr>
        <w:footnoteRef/>
      </w:r>
      <w:r w:rsidRPr="000C553F">
        <w:rPr>
          <w:rFonts w:cs="Arial"/>
          <w:sz w:val="20"/>
          <w:szCs w:val="20"/>
          <w:lang w:val="en-AU"/>
        </w:rPr>
        <w:t xml:space="preserve"> Collins, Richard, White, Nigel, </w:t>
      </w:r>
      <w:r w:rsidRPr="000C553F">
        <w:rPr>
          <w:rFonts w:cs="Arial"/>
          <w:i/>
          <w:sz w:val="20"/>
          <w:szCs w:val="20"/>
          <w:lang w:val="en-AU"/>
        </w:rPr>
        <w:t>International Organizations and the Idea of Autonomy: Institutional Independence in the International Legal Order</w:t>
      </w:r>
      <w:r w:rsidRPr="000C553F">
        <w:rPr>
          <w:rFonts w:cs="Arial"/>
          <w:sz w:val="20"/>
          <w:szCs w:val="20"/>
          <w:lang w:val="en-AU"/>
        </w:rPr>
        <w:t>, Routledge, 2011, P. 121</w:t>
      </w:r>
    </w:p>
  </w:footnote>
  <w:footnote w:id="48">
    <w:p w14:paraId="0CC28D32" w14:textId="68474127" w:rsidR="002F09C6" w:rsidRPr="00CC210F" w:rsidRDefault="002F09C6">
      <w:pPr>
        <w:pStyle w:val="FootnoteText"/>
        <w:rPr>
          <w:rFonts w:asciiTheme="majorHAnsi" w:hAnsiTheme="majorHAnsi"/>
          <w:sz w:val="20"/>
          <w:szCs w:val="20"/>
          <w:lang w:val="en-US"/>
        </w:rPr>
      </w:pPr>
      <w:r w:rsidRPr="00CC210F">
        <w:rPr>
          <w:rStyle w:val="FootnoteReference"/>
          <w:rFonts w:asciiTheme="majorHAnsi" w:hAnsiTheme="majorHAnsi"/>
          <w:sz w:val="20"/>
          <w:szCs w:val="20"/>
        </w:rPr>
        <w:footnoteRef/>
      </w:r>
      <w:r w:rsidRPr="00CC210F">
        <w:rPr>
          <w:rFonts w:asciiTheme="majorHAnsi" w:hAnsiTheme="majorHAnsi"/>
          <w:sz w:val="20"/>
          <w:szCs w:val="20"/>
          <w:lang w:val="en-US"/>
        </w:rPr>
        <w:t xml:space="preserve"> </w:t>
      </w:r>
      <w:hyperlink r:id="rId13" w:history="1">
        <w:r w:rsidRPr="00CC210F">
          <w:rPr>
            <w:rStyle w:val="Hyperlink"/>
            <w:rFonts w:asciiTheme="majorHAnsi" w:hAnsiTheme="majorHAnsi"/>
            <w:sz w:val="20"/>
            <w:szCs w:val="20"/>
            <w:lang w:val="en-US"/>
          </w:rPr>
          <w:t>https://medwet.org/2019/12/medwet-presence-at-the-barcelona-convention-cop-21/</w:t>
        </w:r>
      </w:hyperlink>
      <w:r w:rsidRPr="00CC210F">
        <w:rPr>
          <w:rFonts w:asciiTheme="majorHAnsi" w:hAnsiTheme="majorHAnsi"/>
          <w:sz w:val="20"/>
          <w:szCs w:val="20"/>
          <w:lang w:val="en-US"/>
        </w:rPr>
        <w:t xml:space="preserve"> (Accessed 25 March 2020).</w:t>
      </w:r>
    </w:p>
  </w:footnote>
  <w:footnote w:id="49">
    <w:p w14:paraId="43932D2F" w14:textId="1B842ED6" w:rsidR="002F09C6" w:rsidRPr="000C553F" w:rsidRDefault="002F09C6">
      <w:pPr>
        <w:pStyle w:val="FootnoteText"/>
        <w:rPr>
          <w:lang w:val="en-US"/>
        </w:rPr>
      </w:pPr>
      <w:r w:rsidRPr="000C553F">
        <w:rPr>
          <w:rStyle w:val="FootnoteReference"/>
          <w:rFonts w:cs="Arial"/>
          <w:sz w:val="20"/>
          <w:szCs w:val="20"/>
        </w:rPr>
        <w:footnoteRef/>
      </w:r>
      <w:r w:rsidRPr="000C553F">
        <w:rPr>
          <w:rFonts w:cs="Arial"/>
          <w:sz w:val="20"/>
          <w:szCs w:val="20"/>
          <w:lang w:val="en-US"/>
        </w:rPr>
        <w:t xml:space="preserve"> Subject to meeting the stipulated criteria: </w:t>
      </w:r>
      <w:hyperlink r:id="rId14" w:history="1">
        <w:r w:rsidRPr="000C553F">
          <w:rPr>
            <w:rStyle w:val="Hyperlink"/>
            <w:rFonts w:cs="Arial"/>
            <w:sz w:val="20"/>
            <w:szCs w:val="20"/>
            <w:lang w:val="en-US"/>
          </w:rPr>
          <w:t>http://wedocs.unep.org/bitstream/handle/20.500.11822/20737/Accreditation%20modalities%20%20Flyer2.pdf?sequence=1&amp;isAllowed=y</w:t>
        </w:r>
      </w:hyperlink>
      <w:r w:rsidRPr="000C553F">
        <w:rPr>
          <w:lang w:val="en-US"/>
        </w:rPr>
        <w:t xml:space="preserve"> </w:t>
      </w:r>
    </w:p>
  </w:footnote>
  <w:footnote w:id="50">
    <w:p w14:paraId="3DC197C0" w14:textId="70FB74EF" w:rsidR="002F09C6" w:rsidRPr="00BC6807" w:rsidRDefault="002F09C6">
      <w:pPr>
        <w:pStyle w:val="FootnoteText"/>
        <w:rPr>
          <w:lang w:val="en-US"/>
        </w:rPr>
      </w:pPr>
      <w:r>
        <w:rPr>
          <w:rStyle w:val="FootnoteReference"/>
        </w:rPr>
        <w:footnoteRef/>
      </w:r>
      <w:r w:rsidRPr="00BC6807">
        <w:rPr>
          <w:lang w:val="en-US"/>
        </w:rPr>
        <w:t xml:space="preserve"> </w:t>
      </w:r>
      <w:r w:rsidRPr="00CC210F">
        <w:rPr>
          <w:sz w:val="20"/>
          <w:szCs w:val="20"/>
          <w:lang w:val="en-US"/>
        </w:rPr>
        <w:t xml:space="preserve">Note that this is simply a consideration </w:t>
      </w:r>
      <w:r w:rsidRPr="00CC210F">
        <w:rPr>
          <w:i/>
          <w:sz w:val="20"/>
          <w:szCs w:val="20"/>
          <w:lang w:val="en-US"/>
        </w:rPr>
        <w:t>in the event that</w:t>
      </w:r>
      <w:r w:rsidRPr="00CC210F">
        <w:rPr>
          <w:sz w:val="20"/>
          <w:szCs w:val="20"/>
          <w:lang w:val="en-US"/>
        </w:rPr>
        <w:t xml:space="preserve"> the Ramsar Secretariat enters into </w:t>
      </w:r>
      <w:r>
        <w:rPr>
          <w:sz w:val="20"/>
          <w:szCs w:val="20"/>
          <w:lang w:val="en-US"/>
        </w:rPr>
        <w:t>an agreement</w:t>
      </w:r>
      <w:r w:rsidRPr="00CC210F">
        <w:rPr>
          <w:sz w:val="20"/>
          <w:szCs w:val="20"/>
          <w:lang w:val="en-US"/>
        </w:rPr>
        <w:t xml:space="preserve"> with a RRI. As legal advisor to the Convention, I am obliged to envisage the possibility of such an occurrence so that I can suggest options to mitigate any risk that may arise in such circumstances. Further and to clarify, clause I(B) of the Delegation of Authority to the Secretary-General of the Ramsar Convention authorises the Secretary-General to enter into contracts. To that end, I have reviewed copies of several agreements between the Secretariat of the Ramsar Convention and another party. Some of these have been signed by the Secretary-General (on behalf of the Secretariat); others have been signed by both the Secretary-General (on behalf of the Secretariat) and the Director-General (on behalf of the IUCN). It is beyond the scope of this advice to examine this issue in detail, however I would be happy to do so if required (in consultation with the legal advisor to the IUCN).</w:t>
      </w:r>
    </w:p>
  </w:footnote>
  <w:footnote w:id="51">
    <w:p w14:paraId="14388569" w14:textId="05BCB9BA" w:rsidR="002F09C6" w:rsidRPr="00FE1931" w:rsidRDefault="002F09C6">
      <w:pPr>
        <w:pStyle w:val="FootnoteText"/>
        <w:rPr>
          <w:sz w:val="20"/>
          <w:szCs w:val="20"/>
          <w:lang w:val="en-US"/>
        </w:rPr>
      </w:pPr>
      <w:r w:rsidRPr="00215E73">
        <w:rPr>
          <w:rStyle w:val="FootnoteReference"/>
          <w:sz w:val="20"/>
          <w:szCs w:val="20"/>
        </w:rPr>
        <w:footnoteRef/>
      </w:r>
      <w:r w:rsidRPr="00215E73">
        <w:rPr>
          <w:sz w:val="20"/>
          <w:szCs w:val="20"/>
          <w:lang w:val="en-US"/>
        </w:rPr>
        <w:t xml:space="preserve"> </w:t>
      </w:r>
      <w:r>
        <w:rPr>
          <w:sz w:val="20"/>
          <w:szCs w:val="20"/>
          <w:lang w:val="en-AU"/>
        </w:rPr>
        <w:t>U</w:t>
      </w:r>
      <w:r w:rsidRPr="00215E73">
        <w:rPr>
          <w:sz w:val="20"/>
          <w:szCs w:val="20"/>
          <w:lang w:val="en-AU"/>
        </w:rPr>
        <w:t>nless, for example, its constitution indicates</w:t>
      </w:r>
      <w:r>
        <w:rPr>
          <w:sz w:val="20"/>
          <w:szCs w:val="20"/>
          <w:lang w:val="en-AU"/>
        </w:rPr>
        <w:t xml:space="preserve"> otherwise.</w:t>
      </w:r>
    </w:p>
  </w:footnote>
  <w:footnote w:id="52">
    <w:p w14:paraId="6C7E9361" w14:textId="260A256B" w:rsidR="002F09C6" w:rsidRPr="00FE1931" w:rsidRDefault="002F09C6">
      <w:pPr>
        <w:pStyle w:val="FootnoteText"/>
        <w:rPr>
          <w:lang w:val="en-US"/>
        </w:rPr>
      </w:pPr>
      <w:r w:rsidRPr="00FE1931">
        <w:rPr>
          <w:rStyle w:val="FootnoteReference"/>
          <w:sz w:val="20"/>
          <w:szCs w:val="20"/>
        </w:rPr>
        <w:footnoteRef/>
      </w:r>
      <w:r w:rsidRPr="00FE1931">
        <w:rPr>
          <w:sz w:val="20"/>
          <w:szCs w:val="20"/>
          <w:lang w:val="en-US"/>
        </w:rPr>
        <w:t xml:space="preserve"> See note 37 regarding the power of the Secretary-General of the Convention to enter into agreements. Note 37 also highlights the fact that where necessary, both the Secretary-General of the Convention and the Director-General of the IUCN act as co-signatories to certain agreements.</w:t>
      </w:r>
    </w:p>
  </w:footnote>
  <w:footnote w:id="53">
    <w:p w14:paraId="1D72624B" w14:textId="4AE28354" w:rsidR="002F09C6" w:rsidRPr="000C553F" w:rsidRDefault="002F09C6">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See: https://www.ramsar.org/resources/logo-and-name-of-the-ramsar-convention-on-wetlands</w:t>
      </w:r>
    </w:p>
  </w:footnote>
  <w:footnote w:id="54">
    <w:p w14:paraId="1154DA11" w14:textId="44232559" w:rsidR="002F09C6" w:rsidRPr="00A05209" w:rsidRDefault="002F09C6">
      <w:pPr>
        <w:pStyle w:val="FootnoteText"/>
        <w:rPr>
          <w:sz w:val="20"/>
          <w:szCs w:val="20"/>
          <w:lang w:val="en-US"/>
        </w:rPr>
      </w:pPr>
      <w:r w:rsidRPr="00A05209">
        <w:rPr>
          <w:rStyle w:val="FootnoteReference"/>
          <w:sz w:val="20"/>
          <w:szCs w:val="20"/>
        </w:rPr>
        <w:footnoteRef/>
      </w:r>
      <w:r w:rsidRPr="00A05209">
        <w:rPr>
          <w:sz w:val="20"/>
          <w:szCs w:val="20"/>
          <w:lang w:val="en-US"/>
        </w:rPr>
        <w:t xml:space="preserve"> This is a general statement that does not take into account </w:t>
      </w:r>
      <w:r>
        <w:rPr>
          <w:sz w:val="20"/>
          <w:szCs w:val="20"/>
          <w:lang w:val="en-US"/>
        </w:rPr>
        <w:t xml:space="preserve">the particularities of any given contractual arrangement or situation. </w:t>
      </w:r>
    </w:p>
  </w:footnote>
  <w:footnote w:id="55">
    <w:p w14:paraId="2C9DA2A6" w14:textId="3310A1E7"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w:t>
      </w:r>
      <w:r>
        <w:rPr>
          <w:sz w:val="20"/>
          <w:szCs w:val="20"/>
          <w:lang w:val="en-US"/>
        </w:rPr>
        <w:t xml:space="preserve">Delegation of Authority, Supplementary Note, subsection (c). </w:t>
      </w:r>
    </w:p>
  </w:footnote>
  <w:footnote w:id="56">
    <w:p w14:paraId="07004082" w14:textId="14181DB6" w:rsidR="002F09C6" w:rsidRPr="000C553F" w:rsidRDefault="002F09C6">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This may depend on the terms of its charter/originating treaty.</w:t>
      </w:r>
    </w:p>
  </w:footnote>
  <w:footnote w:id="57">
    <w:p w14:paraId="1D86E372" w14:textId="32233958" w:rsidR="002F09C6" w:rsidRPr="000C553F" w:rsidRDefault="002F09C6">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Ibid.</w:t>
      </w:r>
    </w:p>
  </w:footnote>
  <w:footnote w:id="58">
    <w:p w14:paraId="5A71E3CE" w14:textId="6222ABC8" w:rsidR="002F09C6" w:rsidRPr="00CC210F" w:rsidRDefault="002F09C6">
      <w:pPr>
        <w:pStyle w:val="FootnoteText"/>
        <w:rPr>
          <w:rFonts w:cs="Arial"/>
          <w:sz w:val="20"/>
          <w:szCs w:val="20"/>
          <w:lang w:val="en-US"/>
        </w:rPr>
      </w:pPr>
      <w:r w:rsidRPr="000C553F">
        <w:rPr>
          <w:rStyle w:val="FootnoteReference"/>
          <w:rFonts w:cs="Arial"/>
          <w:sz w:val="20"/>
          <w:szCs w:val="20"/>
        </w:rPr>
        <w:footnoteRef/>
      </w:r>
      <w:r w:rsidRPr="000C553F">
        <w:rPr>
          <w:rFonts w:cs="Arial"/>
          <w:sz w:val="20"/>
          <w:szCs w:val="20"/>
          <w:lang w:val="en-US"/>
        </w:rPr>
        <w:t xml:space="preserve"> Subject to complying with </w:t>
      </w:r>
      <w:r w:rsidRPr="000C553F">
        <w:rPr>
          <w:rFonts w:cs="Arial"/>
          <w:sz w:val="20"/>
          <w:szCs w:val="20"/>
          <w:lang w:val="en-GB"/>
        </w:rPr>
        <w:t xml:space="preserve">UN Decision 49/426 of 9 December 1994, </w:t>
      </w:r>
      <w:r w:rsidRPr="000C553F">
        <w:rPr>
          <w:rFonts w:cs="Arial"/>
          <w:sz w:val="20"/>
          <w:szCs w:val="20"/>
          <w:lang w:val="en-US"/>
        </w:rPr>
        <w:t xml:space="preserve">and the Sixth Committee of the United Nations recommending to the United Nations General Assembly accept the IGO’s request to become a </w:t>
      </w:r>
      <w:r w:rsidRPr="00CC210F">
        <w:rPr>
          <w:rFonts w:cs="Arial"/>
          <w:sz w:val="20"/>
          <w:szCs w:val="20"/>
          <w:lang w:val="en-US"/>
        </w:rPr>
        <w:t>permanent observer.</w:t>
      </w:r>
    </w:p>
  </w:footnote>
  <w:footnote w:id="59">
    <w:p w14:paraId="49F41E09" w14:textId="0EB8026E"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Above, note 33 (Reparations Case).</w:t>
      </w:r>
    </w:p>
  </w:footnote>
  <w:footnote w:id="60">
    <w:p w14:paraId="3328F6E2" w14:textId="60AF0D1F" w:rsidR="002F09C6" w:rsidRPr="00CC210F" w:rsidRDefault="002F09C6">
      <w:pPr>
        <w:pStyle w:val="FootnoteText"/>
        <w:rPr>
          <w:lang w:val="en-US"/>
        </w:rPr>
      </w:pPr>
      <w:r w:rsidRPr="00CC210F">
        <w:rPr>
          <w:rStyle w:val="FootnoteReference"/>
        </w:rPr>
        <w:footnoteRef/>
      </w:r>
      <w:r w:rsidRPr="00CC210F">
        <w:rPr>
          <w:lang w:val="en-US"/>
        </w:rPr>
        <w:t xml:space="preserve"> </w:t>
      </w:r>
      <w:r w:rsidRPr="00CC210F">
        <w:rPr>
          <w:sz w:val="20"/>
          <w:szCs w:val="20"/>
          <w:lang w:val="en-US"/>
        </w:rPr>
        <w:t>The existence of the </w:t>
      </w:r>
      <w:r w:rsidRPr="00CC210F">
        <w:rPr>
          <w:i/>
          <w:iCs/>
          <w:sz w:val="20"/>
          <w:szCs w:val="20"/>
          <w:lang w:val="en-US"/>
        </w:rPr>
        <w:t>jus missionis </w:t>
      </w:r>
      <w:r w:rsidRPr="00CC210F">
        <w:rPr>
          <w:sz w:val="20"/>
          <w:szCs w:val="20"/>
          <w:lang w:val="en-US"/>
        </w:rPr>
        <w:t>is reflected in the conclusion of the Vienna Convention on the Representation of States in their Relations with International Organizations of a Universal Character (1975).</w:t>
      </w:r>
    </w:p>
  </w:footnote>
  <w:footnote w:id="61">
    <w:p w14:paraId="0BF3E83C" w14:textId="297D9794" w:rsidR="002F09C6" w:rsidRPr="00CC210F" w:rsidRDefault="002F09C6" w:rsidP="00833F77">
      <w:pPr>
        <w:pStyle w:val="FootnoteText"/>
        <w:rPr>
          <w:lang w:val="en-US"/>
        </w:rPr>
      </w:pPr>
      <w:r w:rsidRPr="00CC210F">
        <w:rPr>
          <w:rStyle w:val="FootnoteReference"/>
        </w:rPr>
        <w:footnoteRef/>
      </w:r>
      <w:r w:rsidRPr="00CC210F">
        <w:rPr>
          <w:lang w:val="en-US"/>
        </w:rPr>
        <w:t xml:space="preserve">  </w:t>
      </w:r>
      <w:r w:rsidRPr="00CC210F">
        <w:rPr>
          <w:sz w:val="20"/>
          <w:szCs w:val="20"/>
          <w:lang w:val="en-US"/>
        </w:rPr>
        <w:t>Harris, </w:t>
      </w:r>
      <w:r w:rsidRPr="00CC210F">
        <w:rPr>
          <w:i/>
          <w:iCs/>
          <w:sz w:val="20"/>
          <w:szCs w:val="20"/>
          <w:lang w:val="en-US"/>
        </w:rPr>
        <w:t>Cases and materials on international law</w:t>
      </w:r>
      <w:r w:rsidRPr="00CC210F">
        <w:rPr>
          <w:sz w:val="20"/>
          <w:szCs w:val="20"/>
          <w:lang w:val="en-US"/>
        </w:rPr>
        <w:t>, 7</w:t>
      </w:r>
      <w:r w:rsidRPr="00CC210F">
        <w:rPr>
          <w:sz w:val="20"/>
          <w:szCs w:val="20"/>
          <w:vertAlign w:val="superscript"/>
          <w:lang w:val="en-US"/>
        </w:rPr>
        <w:t>th</w:t>
      </w:r>
      <w:r w:rsidRPr="00CC210F">
        <w:rPr>
          <w:sz w:val="20"/>
          <w:szCs w:val="20"/>
          <w:lang w:val="en-US"/>
        </w:rPr>
        <w:t> ed., Sweet &amp; Maxwell, United Kingdom, 2010, p. 125.</w:t>
      </w:r>
    </w:p>
  </w:footnote>
  <w:footnote w:id="62">
    <w:p w14:paraId="2D5B1929" w14:textId="14CFF1AF" w:rsidR="002F09C6" w:rsidRPr="00CC210F" w:rsidRDefault="002F09C6">
      <w:pPr>
        <w:pStyle w:val="FootnoteText"/>
        <w:rPr>
          <w:sz w:val="20"/>
          <w:szCs w:val="20"/>
          <w:lang w:val="en-US"/>
        </w:rPr>
      </w:pPr>
      <w:r w:rsidRPr="00CC210F">
        <w:rPr>
          <w:rStyle w:val="FootnoteReference"/>
        </w:rPr>
        <w:footnoteRef/>
      </w:r>
      <w:r w:rsidRPr="00CC210F">
        <w:rPr>
          <w:lang w:val="en-US"/>
        </w:rPr>
        <w:t xml:space="preserve"> </w:t>
      </w:r>
      <w:r w:rsidRPr="00CC210F">
        <w:rPr>
          <w:sz w:val="20"/>
          <w:szCs w:val="20"/>
          <w:lang w:val="en-US"/>
        </w:rPr>
        <w:t>See for example Article 105 of the </w:t>
      </w:r>
      <w:r w:rsidRPr="00CC210F">
        <w:rPr>
          <w:i/>
          <w:iCs/>
          <w:sz w:val="20"/>
          <w:szCs w:val="20"/>
          <w:lang w:val="en-US"/>
        </w:rPr>
        <w:t>United Nations Charter</w:t>
      </w:r>
      <w:r w:rsidRPr="00CC210F">
        <w:rPr>
          <w:sz w:val="20"/>
          <w:szCs w:val="20"/>
          <w:lang w:val="en-US"/>
        </w:rPr>
        <w:t> provides that ‘the Organization shall enjoy in the territory of each of its Members such privileges and immunities as are necessary for the fulfilment of its purposes and that representatives of the Members of the United Nations and officials of the Organization shall similarly enjoy such privileges and immunities as are necessary for the independent exercise of their functions in connection with the Organization’. The </w:t>
      </w:r>
      <w:r w:rsidRPr="00CC210F">
        <w:rPr>
          <w:i/>
          <w:iCs/>
          <w:sz w:val="20"/>
          <w:szCs w:val="20"/>
          <w:lang w:val="en-US"/>
        </w:rPr>
        <w:t>Convention on the Privileges and Immunities of the United Nations</w:t>
      </w:r>
      <w:r w:rsidRPr="00CC210F">
        <w:rPr>
          <w:sz w:val="20"/>
          <w:szCs w:val="20"/>
          <w:lang w:val="en-US"/>
        </w:rPr>
        <w:t> was subsequently adopted to reflect Article 105.</w:t>
      </w:r>
    </w:p>
  </w:footnote>
  <w:footnote w:id="63">
    <w:p w14:paraId="589980D8" w14:textId="1B7D87EE" w:rsidR="002F09C6" w:rsidRPr="00CC210F" w:rsidRDefault="002F09C6" w:rsidP="00D7074D">
      <w:pPr>
        <w:pStyle w:val="FootnoteText"/>
        <w:rPr>
          <w:i/>
          <w:sz w:val="20"/>
          <w:szCs w:val="20"/>
          <w:lang w:val="en-US"/>
        </w:rPr>
      </w:pPr>
      <w:r w:rsidRPr="00CC210F">
        <w:rPr>
          <w:rStyle w:val="FootnoteReference"/>
          <w:sz w:val="20"/>
          <w:szCs w:val="20"/>
        </w:rPr>
        <w:footnoteRef/>
      </w:r>
      <w:r w:rsidRPr="00CC210F">
        <w:rPr>
          <w:sz w:val="20"/>
          <w:szCs w:val="20"/>
          <w:lang w:val="en-US"/>
        </w:rPr>
        <w:t xml:space="preserve"> See for example section 1(2) of the </w:t>
      </w:r>
      <w:r w:rsidRPr="00CC210F">
        <w:rPr>
          <w:i/>
          <w:sz w:val="20"/>
          <w:szCs w:val="20"/>
          <w:lang w:val="en-US"/>
        </w:rPr>
        <w:t>International Organisations Act 1968 </w:t>
      </w:r>
    </w:p>
    <w:p w14:paraId="109B97F2" w14:textId="6E71AC5C" w:rsidR="002F09C6" w:rsidRPr="00CC210F" w:rsidRDefault="002F09C6">
      <w:pPr>
        <w:pStyle w:val="FootnoteText"/>
        <w:rPr>
          <w:sz w:val="20"/>
          <w:szCs w:val="20"/>
          <w:lang w:val="en-US"/>
        </w:rPr>
      </w:pPr>
      <w:r w:rsidRPr="00CC210F">
        <w:rPr>
          <w:sz w:val="20"/>
          <w:szCs w:val="20"/>
          <w:lang w:val="en-US"/>
        </w:rPr>
        <w:t>(UK), which provides that the ‘legal capacities of a body corporate’ may be conferred on an international organisation of which the UK is a member or host state by an Order in Council.</w:t>
      </w:r>
    </w:p>
  </w:footnote>
  <w:footnote w:id="64">
    <w:p w14:paraId="2EB8706C" w14:textId="352C330C"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There are many different hypothetical situations that could arise should a RRI become an IGO and in turn become active in international fora. It is beyond the scope of this advice to attempt to grapple with all of these. </w:t>
      </w:r>
    </w:p>
  </w:footnote>
  <w:footnote w:id="65">
    <w:p w14:paraId="6EAF1804" w14:textId="32A6E1BE" w:rsidR="002F09C6" w:rsidRPr="004A49EA" w:rsidRDefault="002F09C6">
      <w:pPr>
        <w:pStyle w:val="FootnoteText"/>
        <w:rPr>
          <w:color w:val="FF0000"/>
          <w:sz w:val="20"/>
          <w:szCs w:val="20"/>
          <w:lang w:val="en-US"/>
        </w:rPr>
      </w:pPr>
      <w:r w:rsidRPr="00CC210F">
        <w:rPr>
          <w:rStyle w:val="FootnoteReference"/>
          <w:sz w:val="20"/>
          <w:szCs w:val="20"/>
        </w:rPr>
        <w:footnoteRef/>
      </w:r>
      <w:r w:rsidRPr="00CC210F">
        <w:rPr>
          <w:sz w:val="20"/>
          <w:szCs w:val="20"/>
          <w:lang w:val="en-US"/>
        </w:rPr>
        <w:t xml:space="preserve"> This is reflected in the use of the conditional tense throughout (‘should’, ‘may’, ‘could’).</w:t>
      </w:r>
    </w:p>
  </w:footnote>
  <w:footnote w:id="66">
    <w:p w14:paraId="1CA5EAC2" w14:textId="3BC05FAC" w:rsidR="002F09C6" w:rsidRPr="000C553F" w:rsidRDefault="002F09C6">
      <w:pPr>
        <w:pStyle w:val="FootnoteText"/>
        <w:rPr>
          <w:lang w:val="en-US"/>
        </w:rPr>
      </w:pPr>
      <w:r w:rsidRPr="000C553F">
        <w:rPr>
          <w:rStyle w:val="FootnoteReference"/>
          <w:rFonts w:cs="Arial"/>
          <w:sz w:val="20"/>
          <w:szCs w:val="20"/>
        </w:rPr>
        <w:footnoteRef/>
      </w:r>
      <w:r w:rsidRPr="000C553F">
        <w:rPr>
          <w:rFonts w:cs="Arial"/>
          <w:sz w:val="20"/>
          <w:szCs w:val="20"/>
          <w:lang w:val="en-US"/>
        </w:rPr>
        <w:t xml:space="preserve"> Refer to Part 2, which describes the ambiguous nature of the Operational Guidelines 2016-18 with respect to the nature of the structure that may be adopted by a RRI.</w:t>
      </w:r>
    </w:p>
  </w:footnote>
  <w:footnote w:id="67">
    <w:p w14:paraId="0790EF48" w14:textId="4013077F" w:rsidR="002F09C6" w:rsidRPr="00CC210F" w:rsidRDefault="002F09C6">
      <w:pPr>
        <w:pStyle w:val="FootnoteText"/>
        <w:rPr>
          <w:rFonts w:cs="Arial"/>
          <w:sz w:val="20"/>
          <w:szCs w:val="20"/>
          <w:lang w:val="en-US"/>
        </w:rPr>
      </w:pPr>
      <w:r w:rsidRPr="00CC210F">
        <w:rPr>
          <w:rStyle w:val="FootnoteReference"/>
          <w:rFonts w:cs="Arial"/>
          <w:sz w:val="20"/>
          <w:szCs w:val="20"/>
        </w:rPr>
        <w:footnoteRef/>
      </w:r>
      <w:r w:rsidRPr="00CC210F">
        <w:rPr>
          <w:rFonts w:cs="Arial"/>
          <w:sz w:val="20"/>
          <w:szCs w:val="20"/>
          <w:lang w:val="en-US"/>
        </w:rPr>
        <w:t xml:space="preserve"> Ibid. </w:t>
      </w:r>
    </w:p>
  </w:footnote>
  <w:footnote w:id="68">
    <w:p w14:paraId="43630E5A" w14:textId="0A151CE2"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Refer to Part 2 of this advice, which sets out the various Resolutions which encourage RRIs to become financially sustainable and/or independent. For example, the Operational Guidelines 2009-12 state at paragraph 25 that ‘Regional initiatives need to generate their own resources and become financially self-sufficient after an initial start-up phase and in the long term.’</w:t>
      </w:r>
    </w:p>
  </w:footnote>
  <w:footnote w:id="69">
    <w:p w14:paraId="68F856EB" w14:textId="68FAF76E"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If it obtains the status of an IGO.</w:t>
      </w:r>
    </w:p>
  </w:footnote>
  <w:footnote w:id="70">
    <w:p w14:paraId="347E123D" w14:textId="1F9907BF" w:rsidR="002F09C6" w:rsidRPr="00CC210F" w:rsidRDefault="002F09C6">
      <w:pPr>
        <w:pStyle w:val="FootnoteText"/>
        <w:rPr>
          <w:sz w:val="20"/>
          <w:szCs w:val="20"/>
          <w:lang w:val="en-US"/>
        </w:rPr>
      </w:pPr>
      <w:r w:rsidRPr="00CC210F">
        <w:rPr>
          <w:rStyle w:val="FootnoteReference"/>
          <w:sz w:val="20"/>
          <w:szCs w:val="20"/>
        </w:rPr>
        <w:footnoteRef/>
      </w:r>
      <w:r w:rsidRPr="00CC210F">
        <w:rPr>
          <w:sz w:val="20"/>
          <w:szCs w:val="20"/>
          <w:lang w:val="en-US"/>
        </w:rPr>
        <w:t xml:space="preserve"> If it is a NGO under national law.</w:t>
      </w:r>
    </w:p>
  </w:footnote>
  <w:footnote w:id="71">
    <w:p w14:paraId="3AC0192C" w14:textId="77777777" w:rsidR="002F09C6" w:rsidRPr="00CC210F" w:rsidRDefault="002F09C6" w:rsidP="001C272C">
      <w:pPr>
        <w:pStyle w:val="FootnoteText"/>
        <w:rPr>
          <w:sz w:val="20"/>
          <w:szCs w:val="20"/>
          <w:lang w:val="en-US"/>
        </w:rPr>
      </w:pPr>
      <w:r w:rsidRPr="00CC210F">
        <w:rPr>
          <w:rStyle w:val="FootnoteReference"/>
          <w:sz w:val="20"/>
          <w:szCs w:val="20"/>
        </w:rPr>
        <w:footnoteRef/>
      </w:r>
      <w:r w:rsidRPr="00CC210F">
        <w:rPr>
          <w:sz w:val="20"/>
          <w:szCs w:val="20"/>
          <w:lang w:val="en-US"/>
        </w:rPr>
        <w:t xml:space="preserve"> Above, note 33 (Reparations Case).</w:t>
      </w:r>
    </w:p>
  </w:footnote>
  <w:footnote w:id="72">
    <w:p w14:paraId="76928F96" w14:textId="77777777" w:rsidR="002F09C6" w:rsidRPr="00CC210F" w:rsidRDefault="002F09C6" w:rsidP="001C272C">
      <w:pPr>
        <w:pStyle w:val="FootnoteText"/>
        <w:rPr>
          <w:lang w:val="en-US"/>
        </w:rPr>
      </w:pPr>
      <w:r w:rsidRPr="00CC210F">
        <w:rPr>
          <w:rStyle w:val="FootnoteReference"/>
        </w:rPr>
        <w:footnoteRef/>
      </w:r>
      <w:r w:rsidRPr="00CC210F">
        <w:rPr>
          <w:lang w:val="en-US"/>
        </w:rPr>
        <w:t xml:space="preserve"> </w:t>
      </w:r>
      <w:r w:rsidRPr="00CC210F">
        <w:rPr>
          <w:sz w:val="20"/>
          <w:szCs w:val="20"/>
          <w:lang w:val="en-US"/>
        </w:rPr>
        <w:t>The existence of the </w:t>
      </w:r>
      <w:r w:rsidRPr="00CC210F">
        <w:rPr>
          <w:i/>
          <w:iCs/>
          <w:sz w:val="20"/>
          <w:szCs w:val="20"/>
          <w:lang w:val="en-US"/>
        </w:rPr>
        <w:t>jus missionis </w:t>
      </w:r>
      <w:r w:rsidRPr="00CC210F">
        <w:rPr>
          <w:sz w:val="20"/>
          <w:szCs w:val="20"/>
          <w:lang w:val="en-US"/>
        </w:rPr>
        <w:t>is reflected in the conclusion of the Vienna Convention on the Representation of States in their Relations with International Organizations of a Universal Character (1975).</w:t>
      </w:r>
    </w:p>
  </w:footnote>
  <w:footnote w:id="73">
    <w:p w14:paraId="0DCCB995" w14:textId="77777777" w:rsidR="002F09C6" w:rsidRPr="00CC210F" w:rsidRDefault="002F09C6" w:rsidP="00440883">
      <w:pPr>
        <w:pStyle w:val="FootnoteText"/>
        <w:rPr>
          <w:sz w:val="20"/>
          <w:szCs w:val="20"/>
          <w:lang w:val="en-US"/>
        </w:rPr>
      </w:pPr>
      <w:r w:rsidRPr="00CC210F">
        <w:rPr>
          <w:rStyle w:val="FootnoteReference"/>
        </w:rPr>
        <w:footnoteRef/>
      </w:r>
      <w:r w:rsidRPr="00CC210F">
        <w:rPr>
          <w:lang w:val="en-US"/>
        </w:rPr>
        <w:t xml:space="preserve"> </w:t>
      </w:r>
      <w:r w:rsidRPr="00CC210F">
        <w:rPr>
          <w:sz w:val="20"/>
          <w:szCs w:val="20"/>
          <w:lang w:val="en-US"/>
        </w:rPr>
        <w:t>See for example Article 105 of the </w:t>
      </w:r>
      <w:r w:rsidRPr="00CC210F">
        <w:rPr>
          <w:i/>
          <w:iCs/>
          <w:sz w:val="20"/>
          <w:szCs w:val="20"/>
          <w:lang w:val="en-US"/>
        </w:rPr>
        <w:t>United Nations Charter</w:t>
      </w:r>
      <w:r w:rsidRPr="00CC210F">
        <w:rPr>
          <w:sz w:val="20"/>
          <w:szCs w:val="20"/>
          <w:lang w:val="en-US"/>
        </w:rPr>
        <w:t> provides that ‘the Organization shall enjoy in the territory of each of its Members such privileges and immunities as are necessary for the fulfilment of its purposes and that representatives of the Members of the United Nations and officials of the Organization shall similarly enjoy such privileges and immunities as are necessary for the independent exercise of their functions in connection with the Organization’. The </w:t>
      </w:r>
      <w:r w:rsidRPr="00CC210F">
        <w:rPr>
          <w:i/>
          <w:iCs/>
          <w:sz w:val="20"/>
          <w:szCs w:val="20"/>
          <w:lang w:val="en-US"/>
        </w:rPr>
        <w:t>Convention on the Privileges and Immunities of the United Nations</w:t>
      </w:r>
      <w:r w:rsidRPr="00CC210F">
        <w:rPr>
          <w:sz w:val="20"/>
          <w:szCs w:val="20"/>
          <w:lang w:val="en-US"/>
        </w:rPr>
        <w:t> was subsequently adopted to reflect Article 105.</w:t>
      </w:r>
    </w:p>
  </w:footnote>
  <w:footnote w:id="74">
    <w:p w14:paraId="094A87D2" w14:textId="1AC3A6A7" w:rsidR="002F09C6" w:rsidRPr="00CC210F" w:rsidRDefault="002F09C6">
      <w:pPr>
        <w:pStyle w:val="FootnoteText"/>
        <w:rPr>
          <w:lang w:val="en-US"/>
        </w:rPr>
      </w:pPr>
      <w:r w:rsidRPr="00CC210F">
        <w:rPr>
          <w:rStyle w:val="FootnoteReference"/>
          <w:sz w:val="20"/>
          <w:szCs w:val="20"/>
        </w:rPr>
        <w:footnoteRef/>
      </w:r>
      <w:r w:rsidRPr="00CC210F">
        <w:rPr>
          <w:sz w:val="20"/>
          <w:szCs w:val="20"/>
          <w:lang w:val="en-US"/>
        </w:rPr>
        <w:t xml:space="preserve"> Where, for example, both the Secretariat and a RRI are granted observer status to another environmental Convention. </w:t>
      </w:r>
    </w:p>
  </w:footnote>
  <w:footnote w:id="75">
    <w:p w14:paraId="07484221" w14:textId="7E7DE517" w:rsidR="002F09C6" w:rsidRPr="00CC210F" w:rsidRDefault="002F09C6" w:rsidP="006D1D56">
      <w:pPr>
        <w:pStyle w:val="FootnoteText"/>
        <w:rPr>
          <w:rFonts w:cs="Arial"/>
          <w:sz w:val="20"/>
          <w:szCs w:val="20"/>
          <w:lang w:val="en-US"/>
        </w:rPr>
      </w:pPr>
      <w:r w:rsidRPr="00CC210F">
        <w:rPr>
          <w:rStyle w:val="FootnoteReference"/>
          <w:rFonts w:cs="Arial"/>
          <w:sz w:val="20"/>
          <w:szCs w:val="20"/>
        </w:rPr>
        <w:footnoteRef/>
      </w:r>
      <w:r w:rsidRPr="00CC210F">
        <w:rPr>
          <w:rFonts w:cs="Arial"/>
          <w:sz w:val="20"/>
          <w:szCs w:val="20"/>
          <w:lang w:val="en-US"/>
        </w:rPr>
        <w:t xml:space="preserve"> Excluding funding agreements.</w:t>
      </w:r>
    </w:p>
  </w:footnote>
  <w:footnote w:id="76">
    <w:p w14:paraId="73D1032D" w14:textId="77777777" w:rsidR="002F09C6" w:rsidRPr="00E16597" w:rsidRDefault="002F09C6" w:rsidP="00337E9E">
      <w:pPr>
        <w:pStyle w:val="FootnoteText"/>
        <w:rPr>
          <w:lang w:val="en-AU"/>
        </w:rPr>
      </w:pPr>
      <w:r w:rsidRPr="000C553F">
        <w:rPr>
          <w:rStyle w:val="FootnoteReference"/>
        </w:rPr>
        <w:footnoteRef/>
      </w:r>
      <w:r w:rsidRPr="000C553F">
        <w:rPr>
          <w:lang w:val="en-US"/>
        </w:rPr>
        <w:t xml:space="preserve"> </w:t>
      </w:r>
      <w:r w:rsidRPr="000C553F">
        <w:rPr>
          <w:rFonts w:cs="Arial"/>
          <w:sz w:val="20"/>
          <w:szCs w:val="20"/>
          <w:lang w:val="en-AU"/>
        </w:rPr>
        <w:t>This is presumably a reference to the Operational Guidelines 2009-</w:t>
      </w:r>
      <w:r w:rsidRPr="00251062">
        <w:rPr>
          <w:rFonts w:cstheme="minorHAnsi"/>
          <w:sz w:val="20"/>
          <w:szCs w:val="20"/>
          <w:lang w:val="en-AU"/>
        </w:rPr>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FA7"/>
    <w:multiLevelType w:val="hybridMultilevel"/>
    <w:tmpl w:val="D7F2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4F57BA"/>
    <w:multiLevelType w:val="hybridMultilevel"/>
    <w:tmpl w:val="AC7226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663DD3"/>
    <w:multiLevelType w:val="hybridMultilevel"/>
    <w:tmpl w:val="A324062C"/>
    <w:lvl w:ilvl="0" w:tplc="040C000F">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5723A"/>
    <w:multiLevelType w:val="hybridMultilevel"/>
    <w:tmpl w:val="51A6E168"/>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326F7D"/>
    <w:multiLevelType w:val="multilevel"/>
    <w:tmpl w:val="A74C8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E5A57"/>
    <w:multiLevelType w:val="hybridMultilevel"/>
    <w:tmpl w:val="2D241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552DDF"/>
    <w:multiLevelType w:val="hybridMultilevel"/>
    <w:tmpl w:val="998C3E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BE64EF"/>
    <w:multiLevelType w:val="hybridMultilevel"/>
    <w:tmpl w:val="03821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B2F5D"/>
    <w:multiLevelType w:val="hybridMultilevel"/>
    <w:tmpl w:val="2E50FD0E"/>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075AF3"/>
    <w:multiLevelType w:val="hybridMultilevel"/>
    <w:tmpl w:val="DF80D04A"/>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0" w15:restartNumberingAfterBreak="0">
    <w:nsid w:val="1A94684C"/>
    <w:multiLevelType w:val="multilevel"/>
    <w:tmpl w:val="F60CB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170D0E"/>
    <w:multiLevelType w:val="multilevel"/>
    <w:tmpl w:val="E600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B548F"/>
    <w:multiLevelType w:val="hybridMultilevel"/>
    <w:tmpl w:val="6E205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392AF4"/>
    <w:multiLevelType w:val="multilevel"/>
    <w:tmpl w:val="2B5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96161"/>
    <w:multiLevelType w:val="hybridMultilevel"/>
    <w:tmpl w:val="93BE5ABA"/>
    <w:lvl w:ilvl="0" w:tplc="040C000F">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3C2945"/>
    <w:multiLevelType w:val="hybridMultilevel"/>
    <w:tmpl w:val="5922CDA8"/>
    <w:lvl w:ilvl="0" w:tplc="69F437EC">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7492400"/>
    <w:multiLevelType w:val="hybridMultilevel"/>
    <w:tmpl w:val="3CEA263A"/>
    <w:lvl w:ilvl="0" w:tplc="F70AED0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6605CC"/>
    <w:multiLevelType w:val="multilevel"/>
    <w:tmpl w:val="1744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D490A"/>
    <w:multiLevelType w:val="multilevel"/>
    <w:tmpl w:val="8CC047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D79E0"/>
    <w:multiLevelType w:val="hybridMultilevel"/>
    <w:tmpl w:val="A49EA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652AD5"/>
    <w:multiLevelType w:val="hybridMultilevel"/>
    <w:tmpl w:val="98E2AF8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1A3F79"/>
    <w:multiLevelType w:val="multilevel"/>
    <w:tmpl w:val="79B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C78A4"/>
    <w:multiLevelType w:val="hybridMultilevel"/>
    <w:tmpl w:val="E39ED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425247"/>
    <w:multiLevelType w:val="multilevel"/>
    <w:tmpl w:val="5A5A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C4DBD"/>
    <w:multiLevelType w:val="multilevel"/>
    <w:tmpl w:val="03483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E0E75"/>
    <w:multiLevelType w:val="hybridMultilevel"/>
    <w:tmpl w:val="955C5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0F0986"/>
    <w:multiLevelType w:val="hybridMultilevel"/>
    <w:tmpl w:val="8976F576"/>
    <w:lvl w:ilvl="0" w:tplc="3C98E5CE">
      <w:start w:val="1"/>
      <w:numFmt w:val="decimal"/>
      <w:lvlText w:val="%1."/>
      <w:lvlJc w:val="left"/>
      <w:pPr>
        <w:ind w:left="360" w:hanging="360"/>
      </w:pPr>
      <w:rPr>
        <w:b w:val="0"/>
        <w:color w:val="000000" w:themeColor="text1"/>
      </w:rPr>
    </w:lvl>
    <w:lvl w:ilvl="1" w:tplc="0C09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33D6CED"/>
    <w:multiLevelType w:val="hybridMultilevel"/>
    <w:tmpl w:val="43CEC38C"/>
    <w:lvl w:ilvl="0" w:tplc="A75C135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E854B1"/>
    <w:multiLevelType w:val="multilevel"/>
    <w:tmpl w:val="8E3C2D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46324"/>
    <w:multiLevelType w:val="hybridMultilevel"/>
    <w:tmpl w:val="D10084D8"/>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B2C3EA6"/>
    <w:multiLevelType w:val="hybridMultilevel"/>
    <w:tmpl w:val="42EA63B6"/>
    <w:lvl w:ilvl="0" w:tplc="040C000F">
      <w:start w:val="1"/>
      <w:numFmt w:val="decimal"/>
      <w:lvlText w:val="%1."/>
      <w:lvlJc w:val="left"/>
      <w:pPr>
        <w:ind w:left="776" w:hanging="360"/>
      </w:pPr>
    </w:lvl>
    <w:lvl w:ilvl="1" w:tplc="040C0019" w:tentative="1">
      <w:start w:val="1"/>
      <w:numFmt w:val="lowerLetter"/>
      <w:lvlText w:val="%2."/>
      <w:lvlJc w:val="left"/>
      <w:pPr>
        <w:ind w:left="1496" w:hanging="360"/>
      </w:pPr>
    </w:lvl>
    <w:lvl w:ilvl="2" w:tplc="040C001B" w:tentative="1">
      <w:start w:val="1"/>
      <w:numFmt w:val="lowerRoman"/>
      <w:lvlText w:val="%3."/>
      <w:lvlJc w:val="right"/>
      <w:pPr>
        <w:ind w:left="2216" w:hanging="180"/>
      </w:pPr>
    </w:lvl>
    <w:lvl w:ilvl="3" w:tplc="040C000F" w:tentative="1">
      <w:start w:val="1"/>
      <w:numFmt w:val="decimal"/>
      <w:lvlText w:val="%4."/>
      <w:lvlJc w:val="left"/>
      <w:pPr>
        <w:ind w:left="2936" w:hanging="360"/>
      </w:pPr>
    </w:lvl>
    <w:lvl w:ilvl="4" w:tplc="040C0019" w:tentative="1">
      <w:start w:val="1"/>
      <w:numFmt w:val="lowerLetter"/>
      <w:lvlText w:val="%5."/>
      <w:lvlJc w:val="left"/>
      <w:pPr>
        <w:ind w:left="3656" w:hanging="360"/>
      </w:pPr>
    </w:lvl>
    <w:lvl w:ilvl="5" w:tplc="040C001B" w:tentative="1">
      <w:start w:val="1"/>
      <w:numFmt w:val="lowerRoman"/>
      <w:lvlText w:val="%6."/>
      <w:lvlJc w:val="right"/>
      <w:pPr>
        <w:ind w:left="4376" w:hanging="180"/>
      </w:pPr>
    </w:lvl>
    <w:lvl w:ilvl="6" w:tplc="040C000F" w:tentative="1">
      <w:start w:val="1"/>
      <w:numFmt w:val="decimal"/>
      <w:lvlText w:val="%7."/>
      <w:lvlJc w:val="left"/>
      <w:pPr>
        <w:ind w:left="5096" w:hanging="360"/>
      </w:pPr>
    </w:lvl>
    <w:lvl w:ilvl="7" w:tplc="040C0019" w:tentative="1">
      <w:start w:val="1"/>
      <w:numFmt w:val="lowerLetter"/>
      <w:lvlText w:val="%8."/>
      <w:lvlJc w:val="left"/>
      <w:pPr>
        <w:ind w:left="5816" w:hanging="360"/>
      </w:pPr>
    </w:lvl>
    <w:lvl w:ilvl="8" w:tplc="040C001B" w:tentative="1">
      <w:start w:val="1"/>
      <w:numFmt w:val="lowerRoman"/>
      <w:lvlText w:val="%9."/>
      <w:lvlJc w:val="right"/>
      <w:pPr>
        <w:ind w:left="6536" w:hanging="180"/>
      </w:pPr>
    </w:lvl>
  </w:abstractNum>
  <w:abstractNum w:abstractNumId="31" w15:restartNumberingAfterBreak="0">
    <w:nsid w:val="6C107058"/>
    <w:multiLevelType w:val="multilevel"/>
    <w:tmpl w:val="6D467F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0250F8"/>
    <w:multiLevelType w:val="hybridMultilevel"/>
    <w:tmpl w:val="F6ACB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166B61"/>
    <w:multiLevelType w:val="hybridMultilevel"/>
    <w:tmpl w:val="90162F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83551B"/>
    <w:multiLevelType w:val="hybridMultilevel"/>
    <w:tmpl w:val="D570B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F24018"/>
    <w:multiLevelType w:val="multilevel"/>
    <w:tmpl w:val="56EE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E04B20"/>
    <w:multiLevelType w:val="multilevel"/>
    <w:tmpl w:val="7DDCC076"/>
    <w:lvl w:ilvl="0">
      <w:start w:val="19"/>
      <w:numFmt w:val="decimal"/>
      <w:lvlText w:val="%1."/>
      <w:lvlJc w:val="left"/>
      <w:pPr>
        <w:tabs>
          <w:tab w:val="num" w:pos="720"/>
        </w:tabs>
        <w:ind w:left="720" w:hanging="360"/>
      </w:pPr>
    </w:lvl>
    <w:lvl w:ilvl="1">
      <w:start w:val="2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FC4D8C"/>
    <w:multiLevelType w:val="multilevel"/>
    <w:tmpl w:val="7EAC2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39072E"/>
    <w:multiLevelType w:val="hybridMultilevel"/>
    <w:tmpl w:val="5DB8D1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7"/>
  </w:num>
  <w:num w:numId="2">
    <w:abstractNumId w:val="14"/>
  </w:num>
  <w:num w:numId="3">
    <w:abstractNumId w:val="36"/>
  </w:num>
  <w:num w:numId="4">
    <w:abstractNumId w:val="28"/>
  </w:num>
  <w:num w:numId="5">
    <w:abstractNumId w:val="2"/>
  </w:num>
  <w:num w:numId="6">
    <w:abstractNumId w:val="10"/>
  </w:num>
  <w:num w:numId="7">
    <w:abstractNumId w:val="24"/>
  </w:num>
  <w:num w:numId="8">
    <w:abstractNumId w:val="20"/>
  </w:num>
  <w:num w:numId="9">
    <w:abstractNumId w:val="31"/>
  </w:num>
  <w:num w:numId="10">
    <w:abstractNumId w:val="8"/>
  </w:num>
  <w:num w:numId="11">
    <w:abstractNumId w:val="18"/>
  </w:num>
  <w:num w:numId="12">
    <w:abstractNumId w:val="3"/>
  </w:num>
  <w:num w:numId="13">
    <w:abstractNumId w:val="29"/>
  </w:num>
  <w:num w:numId="14">
    <w:abstractNumId w:val="23"/>
  </w:num>
  <w:num w:numId="15">
    <w:abstractNumId w:val="11"/>
  </w:num>
  <w:num w:numId="16">
    <w:abstractNumId w:val="4"/>
  </w:num>
  <w:num w:numId="17">
    <w:abstractNumId w:val="17"/>
  </w:num>
  <w:num w:numId="18">
    <w:abstractNumId w:val="13"/>
  </w:num>
  <w:num w:numId="19">
    <w:abstractNumId w:val="15"/>
  </w:num>
  <w:num w:numId="20">
    <w:abstractNumId w:val="22"/>
  </w:num>
  <w:num w:numId="21">
    <w:abstractNumId w:val="12"/>
  </w:num>
  <w:num w:numId="22">
    <w:abstractNumId w:val="34"/>
  </w:num>
  <w:num w:numId="23">
    <w:abstractNumId w:val="16"/>
  </w:num>
  <w:num w:numId="24">
    <w:abstractNumId w:val="32"/>
  </w:num>
  <w:num w:numId="25">
    <w:abstractNumId w:val="0"/>
  </w:num>
  <w:num w:numId="26">
    <w:abstractNumId w:val="1"/>
  </w:num>
  <w:num w:numId="27">
    <w:abstractNumId w:val="38"/>
  </w:num>
  <w:num w:numId="28">
    <w:abstractNumId w:val="25"/>
  </w:num>
  <w:num w:numId="29">
    <w:abstractNumId w:val="27"/>
  </w:num>
  <w:num w:numId="30">
    <w:abstractNumId w:val="6"/>
  </w:num>
  <w:num w:numId="31">
    <w:abstractNumId w:val="26"/>
  </w:num>
  <w:num w:numId="32">
    <w:abstractNumId w:val="35"/>
  </w:num>
  <w:num w:numId="33">
    <w:abstractNumId w:val="33"/>
  </w:num>
  <w:num w:numId="34">
    <w:abstractNumId w:val="7"/>
  </w:num>
  <w:num w:numId="35">
    <w:abstractNumId w:val="19"/>
  </w:num>
  <w:num w:numId="36">
    <w:abstractNumId w:val="5"/>
  </w:num>
  <w:num w:numId="37">
    <w:abstractNumId w:val="30"/>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4F"/>
    <w:rsid w:val="00003661"/>
    <w:rsid w:val="0000559C"/>
    <w:rsid w:val="00015C27"/>
    <w:rsid w:val="00020045"/>
    <w:rsid w:val="00020316"/>
    <w:rsid w:val="00024BF9"/>
    <w:rsid w:val="0002738E"/>
    <w:rsid w:val="00027896"/>
    <w:rsid w:val="00033B1B"/>
    <w:rsid w:val="00033CC1"/>
    <w:rsid w:val="00033E67"/>
    <w:rsid w:val="00036B6D"/>
    <w:rsid w:val="00037475"/>
    <w:rsid w:val="00043CF8"/>
    <w:rsid w:val="00050803"/>
    <w:rsid w:val="00053D01"/>
    <w:rsid w:val="00055450"/>
    <w:rsid w:val="000569C6"/>
    <w:rsid w:val="000570A5"/>
    <w:rsid w:val="00062BA2"/>
    <w:rsid w:val="00064371"/>
    <w:rsid w:val="00064531"/>
    <w:rsid w:val="00066DF4"/>
    <w:rsid w:val="00070DD2"/>
    <w:rsid w:val="000828F8"/>
    <w:rsid w:val="0008429C"/>
    <w:rsid w:val="00084423"/>
    <w:rsid w:val="0009031D"/>
    <w:rsid w:val="00091056"/>
    <w:rsid w:val="00092FDA"/>
    <w:rsid w:val="00096418"/>
    <w:rsid w:val="000A189C"/>
    <w:rsid w:val="000A2E03"/>
    <w:rsid w:val="000A2F17"/>
    <w:rsid w:val="000B7127"/>
    <w:rsid w:val="000C0AD7"/>
    <w:rsid w:val="000C3E63"/>
    <w:rsid w:val="000C553F"/>
    <w:rsid w:val="000E2CBA"/>
    <w:rsid w:val="000E3345"/>
    <w:rsid w:val="000F28AF"/>
    <w:rsid w:val="000F2B2D"/>
    <w:rsid w:val="000F54F3"/>
    <w:rsid w:val="000F58C8"/>
    <w:rsid w:val="000F5916"/>
    <w:rsid w:val="000F5AE1"/>
    <w:rsid w:val="000F6E52"/>
    <w:rsid w:val="000F7327"/>
    <w:rsid w:val="000F7453"/>
    <w:rsid w:val="000F7C78"/>
    <w:rsid w:val="0010101B"/>
    <w:rsid w:val="0010245C"/>
    <w:rsid w:val="00105D9A"/>
    <w:rsid w:val="00111FE8"/>
    <w:rsid w:val="00112424"/>
    <w:rsid w:val="0011659D"/>
    <w:rsid w:val="00117865"/>
    <w:rsid w:val="00124103"/>
    <w:rsid w:val="00130971"/>
    <w:rsid w:val="001334C1"/>
    <w:rsid w:val="00136491"/>
    <w:rsid w:val="00137556"/>
    <w:rsid w:val="00137578"/>
    <w:rsid w:val="001407D1"/>
    <w:rsid w:val="00147111"/>
    <w:rsid w:val="0015002A"/>
    <w:rsid w:val="00150D7A"/>
    <w:rsid w:val="0015452A"/>
    <w:rsid w:val="00155786"/>
    <w:rsid w:val="001568B3"/>
    <w:rsid w:val="001576E5"/>
    <w:rsid w:val="00162F09"/>
    <w:rsid w:val="00166A63"/>
    <w:rsid w:val="00167072"/>
    <w:rsid w:val="00167996"/>
    <w:rsid w:val="00167B40"/>
    <w:rsid w:val="00170816"/>
    <w:rsid w:val="00170B51"/>
    <w:rsid w:val="00171F71"/>
    <w:rsid w:val="00175D6A"/>
    <w:rsid w:val="001774BD"/>
    <w:rsid w:val="00181BC4"/>
    <w:rsid w:val="001845BA"/>
    <w:rsid w:val="00187EA5"/>
    <w:rsid w:val="001912F0"/>
    <w:rsid w:val="001924FC"/>
    <w:rsid w:val="00192B08"/>
    <w:rsid w:val="001932B9"/>
    <w:rsid w:val="00194B68"/>
    <w:rsid w:val="0019508D"/>
    <w:rsid w:val="001951D5"/>
    <w:rsid w:val="00196851"/>
    <w:rsid w:val="001A5B9B"/>
    <w:rsid w:val="001B2151"/>
    <w:rsid w:val="001B41A0"/>
    <w:rsid w:val="001B5D55"/>
    <w:rsid w:val="001C0F5D"/>
    <w:rsid w:val="001C22F0"/>
    <w:rsid w:val="001C272C"/>
    <w:rsid w:val="001C3AA2"/>
    <w:rsid w:val="001C5E62"/>
    <w:rsid w:val="001C74D8"/>
    <w:rsid w:val="001D2E27"/>
    <w:rsid w:val="001D2E37"/>
    <w:rsid w:val="001D349C"/>
    <w:rsid w:val="001D5FA1"/>
    <w:rsid w:val="001D6D01"/>
    <w:rsid w:val="001E468C"/>
    <w:rsid w:val="001E470D"/>
    <w:rsid w:val="001F1387"/>
    <w:rsid w:val="001F287E"/>
    <w:rsid w:val="001F38CC"/>
    <w:rsid w:val="001F3CB8"/>
    <w:rsid w:val="001F529B"/>
    <w:rsid w:val="0020380D"/>
    <w:rsid w:val="0020479E"/>
    <w:rsid w:val="00204DFD"/>
    <w:rsid w:val="002070DC"/>
    <w:rsid w:val="00207769"/>
    <w:rsid w:val="00210C17"/>
    <w:rsid w:val="00211206"/>
    <w:rsid w:val="0021300F"/>
    <w:rsid w:val="00215E73"/>
    <w:rsid w:val="0022008E"/>
    <w:rsid w:val="002223B7"/>
    <w:rsid w:val="00224F89"/>
    <w:rsid w:val="00225A55"/>
    <w:rsid w:val="0022633C"/>
    <w:rsid w:val="00227E9B"/>
    <w:rsid w:val="002300D0"/>
    <w:rsid w:val="002323D1"/>
    <w:rsid w:val="00232882"/>
    <w:rsid w:val="002341FC"/>
    <w:rsid w:val="00237548"/>
    <w:rsid w:val="00237E8D"/>
    <w:rsid w:val="002426C9"/>
    <w:rsid w:val="00243BCF"/>
    <w:rsid w:val="0025034D"/>
    <w:rsid w:val="00250374"/>
    <w:rsid w:val="00250677"/>
    <w:rsid w:val="00251062"/>
    <w:rsid w:val="00251D8C"/>
    <w:rsid w:val="00253DF0"/>
    <w:rsid w:val="0025573F"/>
    <w:rsid w:val="00263E4D"/>
    <w:rsid w:val="002642F0"/>
    <w:rsid w:val="0026523F"/>
    <w:rsid w:val="0026747B"/>
    <w:rsid w:val="00273318"/>
    <w:rsid w:val="00276DC4"/>
    <w:rsid w:val="00280B19"/>
    <w:rsid w:val="00283466"/>
    <w:rsid w:val="00283ED0"/>
    <w:rsid w:val="00283FC6"/>
    <w:rsid w:val="00286DEA"/>
    <w:rsid w:val="00296B5F"/>
    <w:rsid w:val="002A3B6F"/>
    <w:rsid w:val="002A5146"/>
    <w:rsid w:val="002A63AC"/>
    <w:rsid w:val="002B20CB"/>
    <w:rsid w:val="002B2248"/>
    <w:rsid w:val="002B26EB"/>
    <w:rsid w:val="002B56BC"/>
    <w:rsid w:val="002B7800"/>
    <w:rsid w:val="002B78EB"/>
    <w:rsid w:val="002C1249"/>
    <w:rsid w:val="002C49E0"/>
    <w:rsid w:val="002C7452"/>
    <w:rsid w:val="002D0B28"/>
    <w:rsid w:val="002D10F6"/>
    <w:rsid w:val="002D3ED9"/>
    <w:rsid w:val="002D4E9D"/>
    <w:rsid w:val="002D5F30"/>
    <w:rsid w:val="002D6300"/>
    <w:rsid w:val="002E0D40"/>
    <w:rsid w:val="002E44AA"/>
    <w:rsid w:val="002E4E06"/>
    <w:rsid w:val="002E5091"/>
    <w:rsid w:val="002E5656"/>
    <w:rsid w:val="002E66AD"/>
    <w:rsid w:val="002F09C6"/>
    <w:rsid w:val="002F1C66"/>
    <w:rsid w:val="002F2ACA"/>
    <w:rsid w:val="002F3B46"/>
    <w:rsid w:val="003003DF"/>
    <w:rsid w:val="00305313"/>
    <w:rsid w:val="00310EAC"/>
    <w:rsid w:val="00315301"/>
    <w:rsid w:val="00316F1B"/>
    <w:rsid w:val="00317CAA"/>
    <w:rsid w:val="00324EBF"/>
    <w:rsid w:val="00325552"/>
    <w:rsid w:val="003261F3"/>
    <w:rsid w:val="00327D08"/>
    <w:rsid w:val="003317F5"/>
    <w:rsid w:val="00333A6B"/>
    <w:rsid w:val="00337E9E"/>
    <w:rsid w:val="00340638"/>
    <w:rsid w:val="003521D8"/>
    <w:rsid w:val="00352C28"/>
    <w:rsid w:val="003545FA"/>
    <w:rsid w:val="003605FD"/>
    <w:rsid w:val="00365DA4"/>
    <w:rsid w:val="0037164F"/>
    <w:rsid w:val="00375A8C"/>
    <w:rsid w:val="0037754F"/>
    <w:rsid w:val="00381A56"/>
    <w:rsid w:val="00386C9C"/>
    <w:rsid w:val="00391E34"/>
    <w:rsid w:val="00395505"/>
    <w:rsid w:val="003A7881"/>
    <w:rsid w:val="003B652E"/>
    <w:rsid w:val="003C1F28"/>
    <w:rsid w:val="003C45B6"/>
    <w:rsid w:val="003D068A"/>
    <w:rsid w:val="003D1337"/>
    <w:rsid w:val="003E00CB"/>
    <w:rsid w:val="003E0583"/>
    <w:rsid w:val="003E1BC4"/>
    <w:rsid w:val="003E3879"/>
    <w:rsid w:val="003F5ACD"/>
    <w:rsid w:val="004011AE"/>
    <w:rsid w:val="004036DC"/>
    <w:rsid w:val="00403970"/>
    <w:rsid w:val="004066E7"/>
    <w:rsid w:val="004124CF"/>
    <w:rsid w:val="0041283E"/>
    <w:rsid w:val="00416C85"/>
    <w:rsid w:val="00424ED4"/>
    <w:rsid w:val="0042728A"/>
    <w:rsid w:val="004304D4"/>
    <w:rsid w:val="00435504"/>
    <w:rsid w:val="00435850"/>
    <w:rsid w:val="00436679"/>
    <w:rsid w:val="00440883"/>
    <w:rsid w:val="00443751"/>
    <w:rsid w:val="004450B4"/>
    <w:rsid w:val="00446DD5"/>
    <w:rsid w:val="0044742F"/>
    <w:rsid w:val="00450823"/>
    <w:rsid w:val="00452867"/>
    <w:rsid w:val="004556BC"/>
    <w:rsid w:val="00463C46"/>
    <w:rsid w:val="004649DF"/>
    <w:rsid w:val="0046764B"/>
    <w:rsid w:val="00473C36"/>
    <w:rsid w:val="0047582D"/>
    <w:rsid w:val="00480253"/>
    <w:rsid w:val="00483C78"/>
    <w:rsid w:val="0048657E"/>
    <w:rsid w:val="00492A89"/>
    <w:rsid w:val="004A1BBF"/>
    <w:rsid w:val="004A49EA"/>
    <w:rsid w:val="004A5635"/>
    <w:rsid w:val="004A58DE"/>
    <w:rsid w:val="004A7C3A"/>
    <w:rsid w:val="004A7E1B"/>
    <w:rsid w:val="004B0AA0"/>
    <w:rsid w:val="004B5F8F"/>
    <w:rsid w:val="004B6165"/>
    <w:rsid w:val="004B645B"/>
    <w:rsid w:val="004C4800"/>
    <w:rsid w:val="004C50D5"/>
    <w:rsid w:val="004C6F0D"/>
    <w:rsid w:val="004D4785"/>
    <w:rsid w:val="004D60CA"/>
    <w:rsid w:val="004E056E"/>
    <w:rsid w:val="004E0753"/>
    <w:rsid w:val="004E0A0D"/>
    <w:rsid w:val="004E1E96"/>
    <w:rsid w:val="004E59A1"/>
    <w:rsid w:val="004F0194"/>
    <w:rsid w:val="004F337F"/>
    <w:rsid w:val="00500C6D"/>
    <w:rsid w:val="00502E81"/>
    <w:rsid w:val="00503FB1"/>
    <w:rsid w:val="0050764E"/>
    <w:rsid w:val="00507B41"/>
    <w:rsid w:val="00521ACA"/>
    <w:rsid w:val="005233D2"/>
    <w:rsid w:val="005266A2"/>
    <w:rsid w:val="00527270"/>
    <w:rsid w:val="00527418"/>
    <w:rsid w:val="00533963"/>
    <w:rsid w:val="0053681C"/>
    <w:rsid w:val="00536EC7"/>
    <w:rsid w:val="005414C9"/>
    <w:rsid w:val="005422BB"/>
    <w:rsid w:val="005440BA"/>
    <w:rsid w:val="005460CD"/>
    <w:rsid w:val="005464B0"/>
    <w:rsid w:val="00547D30"/>
    <w:rsid w:val="00551D74"/>
    <w:rsid w:val="00553267"/>
    <w:rsid w:val="00554025"/>
    <w:rsid w:val="00564072"/>
    <w:rsid w:val="00566174"/>
    <w:rsid w:val="0057142A"/>
    <w:rsid w:val="00573A5A"/>
    <w:rsid w:val="00576CBC"/>
    <w:rsid w:val="00580CC8"/>
    <w:rsid w:val="00587C13"/>
    <w:rsid w:val="005957B0"/>
    <w:rsid w:val="00597D7F"/>
    <w:rsid w:val="005A1325"/>
    <w:rsid w:val="005A1743"/>
    <w:rsid w:val="005A6408"/>
    <w:rsid w:val="005B1991"/>
    <w:rsid w:val="005B2D41"/>
    <w:rsid w:val="005B4A62"/>
    <w:rsid w:val="005B6E07"/>
    <w:rsid w:val="005B7138"/>
    <w:rsid w:val="005B78F9"/>
    <w:rsid w:val="005C1A82"/>
    <w:rsid w:val="005C3DC0"/>
    <w:rsid w:val="005C496D"/>
    <w:rsid w:val="005C4AC4"/>
    <w:rsid w:val="005C5A1D"/>
    <w:rsid w:val="005C6725"/>
    <w:rsid w:val="005C7C14"/>
    <w:rsid w:val="005D1B42"/>
    <w:rsid w:val="005D3F90"/>
    <w:rsid w:val="005E05F3"/>
    <w:rsid w:val="005F0922"/>
    <w:rsid w:val="005F3B78"/>
    <w:rsid w:val="005F5CCC"/>
    <w:rsid w:val="005F5FE4"/>
    <w:rsid w:val="005F6182"/>
    <w:rsid w:val="00600CAC"/>
    <w:rsid w:val="00600D6E"/>
    <w:rsid w:val="00614C78"/>
    <w:rsid w:val="00616FCE"/>
    <w:rsid w:val="00617037"/>
    <w:rsid w:val="006202A3"/>
    <w:rsid w:val="00622AC7"/>
    <w:rsid w:val="006331C2"/>
    <w:rsid w:val="00641B56"/>
    <w:rsid w:val="00644DA9"/>
    <w:rsid w:val="00647A26"/>
    <w:rsid w:val="00652C43"/>
    <w:rsid w:val="006549FF"/>
    <w:rsid w:val="00655F04"/>
    <w:rsid w:val="00657A1B"/>
    <w:rsid w:val="00670289"/>
    <w:rsid w:val="00670FE6"/>
    <w:rsid w:val="00675A61"/>
    <w:rsid w:val="00675F39"/>
    <w:rsid w:val="006800A4"/>
    <w:rsid w:val="0068497F"/>
    <w:rsid w:val="006863C5"/>
    <w:rsid w:val="00690293"/>
    <w:rsid w:val="0069259D"/>
    <w:rsid w:val="00692F9C"/>
    <w:rsid w:val="006933FE"/>
    <w:rsid w:val="00694604"/>
    <w:rsid w:val="00694CEB"/>
    <w:rsid w:val="00695A34"/>
    <w:rsid w:val="00695AA9"/>
    <w:rsid w:val="0069774B"/>
    <w:rsid w:val="006978E0"/>
    <w:rsid w:val="006A0A39"/>
    <w:rsid w:val="006A1FFF"/>
    <w:rsid w:val="006A404D"/>
    <w:rsid w:val="006C44F9"/>
    <w:rsid w:val="006C70EE"/>
    <w:rsid w:val="006D1880"/>
    <w:rsid w:val="006D1D56"/>
    <w:rsid w:val="006E0FC9"/>
    <w:rsid w:val="006E1482"/>
    <w:rsid w:val="006E3665"/>
    <w:rsid w:val="006E5518"/>
    <w:rsid w:val="006F013D"/>
    <w:rsid w:val="006F0488"/>
    <w:rsid w:val="006F05C4"/>
    <w:rsid w:val="006F07E8"/>
    <w:rsid w:val="006F284C"/>
    <w:rsid w:val="006F423D"/>
    <w:rsid w:val="006F46C6"/>
    <w:rsid w:val="006F501A"/>
    <w:rsid w:val="006F5142"/>
    <w:rsid w:val="007002BD"/>
    <w:rsid w:val="0070084B"/>
    <w:rsid w:val="007058E3"/>
    <w:rsid w:val="007114F9"/>
    <w:rsid w:val="00712296"/>
    <w:rsid w:val="0071231D"/>
    <w:rsid w:val="00715560"/>
    <w:rsid w:val="00716814"/>
    <w:rsid w:val="0072076D"/>
    <w:rsid w:val="00722411"/>
    <w:rsid w:val="00730F8D"/>
    <w:rsid w:val="00731A65"/>
    <w:rsid w:val="00731BA4"/>
    <w:rsid w:val="00734815"/>
    <w:rsid w:val="00742FE9"/>
    <w:rsid w:val="00743044"/>
    <w:rsid w:val="0074545F"/>
    <w:rsid w:val="007567FA"/>
    <w:rsid w:val="0076208A"/>
    <w:rsid w:val="007634E6"/>
    <w:rsid w:val="007659CA"/>
    <w:rsid w:val="0077075D"/>
    <w:rsid w:val="0077200B"/>
    <w:rsid w:val="00772556"/>
    <w:rsid w:val="0077344E"/>
    <w:rsid w:val="007740A6"/>
    <w:rsid w:val="00774EC7"/>
    <w:rsid w:val="0077566C"/>
    <w:rsid w:val="0077635A"/>
    <w:rsid w:val="00776DDC"/>
    <w:rsid w:val="007805B1"/>
    <w:rsid w:val="007806F1"/>
    <w:rsid w:val="0078380A"/>
    <w:rsid w:val="00784434"/>
    <w:rsid w:val="00787D15"/>
    <w:rsid w:val="00791EB6"/>
    <w:rsid w:val="007929EF"/>
    <w:rsid w:val="00794A92"/>
    <w:rsid w:val="007A0270"/>
    <w:rsid w:val="007A0C7C"/>
    <w:rsid w:val="007B04BD"/>
    <w:rsid w:val="007B074A"/>
    <w:rsid w:val="007B57D7"/>
    <w:rsid w:val="007B6512"/>
    <w:rsid w:val="007B68C2"/>
    <w:rsid w:val="007C3D72"/>
    <w:rsid w:val="007C46D2"/>
    <w:rsid w:val="007D155A"/>
    <w:rsid w:val="007D4D9E"/>
    <w:rsid w:val="007D5202"/>
    <w:rsid w:val="007D5342"/>
    <w:rsid w:val="007D64AE"/>
    <w:rsid w:val="007E3B8A"/>
    <w:rsid w:val="007F006B"/>
    <w:rsid w:val="007F1428"/>
    <w:rsid w:val="007F1C1D"/>
    <w:rsid w:val="00806261"/>
    <w:rsid w:val="00815BF7"/>
    <w:rsid w:val="008171B8"/>
    <w:rsid w:val="00822B0F"/>
    <w:rsid w:val="008245E2"/>
    <w:rsid w:val="0082678E"/>
    <w:rsid w:val="00832354"/>
    <w:rsid w:val="00833350"/>
    <w:rsid w:val="00833F77"/>
    <w:rsid w:val="00841244"/>
    <w:rsid w:val="0084397B"/>
    <w:rsid w:val="00852068"/>
    <w:rsid w:val="0085599C"/>
    <w:rsid w:val="00856655"/>
    <w:rsid w:val="008574FE"/>
    <w:rsid w:val="00857AF2"/>
    <w:rsid w:val="00862428"/>
    <w:rsid w:val="008632EB"/>
    <w:rsid w:val="00863A12"/>
    <w:rsid w:val="00864CF9"/>
    <w:rsid w:val="00866354"/>
    <w:rsid w:val="00867841"/>
    <w:rsid w:val="00870203"/>
    <w:rsid w:val="00870E6E"/>
    <w:rsid w:val="00873988"/>
    <w:rsid w:val="00873C1B"/>
    <w:rsid w:val="00873E87"/>
    <w:rsid w:val="00876E7B"/>
    <w:rsid w:val="0087703F"/>
    <w:rsid w:val="008840D6"/>
    <w:rsid w:val="008874DC"/>
    <w:rsid w:val="00890A86"/>
    <w:rsid w:val="00897CC9"/>
    <w:rsid w:val="008A1F03"/>
    <w:rsid w:val="008A7D89"/>
    <w:rsid w:val="008B170D"/>
    <w:rsid w:val="008B3B5C"/>
    <w:rsid w:val="008B4820"/>
    <w:rsid w:val="008B4926"/>
    <w:rsid w:val="008B5887"/>
    <w:rsid w:val="008B7B6E"/>
    <w:rsid w:val="008C0713"/>
    <w:rsid w:val="008C1214"/>
    <w:rsid w:val="008C78B2"/>
    <w:rsid w:val="008C7EF6"/>
    <w:rsid w:val="008D16CC"/>
    <w:rsid w:val="008D239D"/>
    <w:rsid w:val="008D3CE7"/>
    <w:rsid w:val="008D6C02"/>
    <w:rsid w:val="008E0673"/>
    <w:rsid w:val="008E2143"/>
    <w:rsid w:val="008E2616"/>
    <w:rsid w:val="008E28E2"/>
    <w:rsid w:val="008E3C21"/>
    <w:rsid w:val="008E5FC7"/>
    <w:rsid w:val="008E6926"/>
    <w:rsid w:val="008E6FA0"/>
    <w:rsid w:val="008F226C"/>
    <w:rsid w:val="008F4FA4"/>
    <w:rsid w:val="008F6370"/>
    <w:rsid w:val="008F70FF"/>
    <w:rsid w:val="00916623"/>
    <w:rsid w:val="00917581"/>
    <w:rsid w:val="00917BB1"/>
    <w:rsid w:val="009221E0"/>
    <w:rsid w:val="009233C9"/>
    <w:rsid w:val="009240F4"/>
    <w:rsid w:val="00924DA3"/>
    <w:rsid w:val="00930459"/>
    <w:rsid w:val="00930A46"/>
    <w:rsid w:val="00936303"/>
    <w:rsid w:val="00940361"/>
    <w:rsid w:val="00941D2E"/>
    <w:rsid w:val="0094377A"/>
    <w:rsid w:val="00952F4E"/>
    <w:rsid w:val="00960748"/>
    <w:rsid w:val="009630E0"/>
    <w:rsid w:val="009635A8"/>
    <w:rsid w:val="009644DD"/>
    <w:rsid w:val="0097082A"/>
    <w:rsid w:val="00974C5E"/>
    <w:rsid w:val="00977D2D"/>
    <w:rsid w:val="00982636"/>
    <w:rsid w:val="00982922"/>
    <w:rsid w:val="009A1EAB"/>
    <w:rsid w:val="009B1539"/>
    <w:rsid w:val="009B4869"/>
    <w:rsid w:val="009B6B1C"/>
    <w:rsid w:val="009C35F1"/>
    <w:rsid w:val="009D1ECE"/>
    <w:rsid w:val="009D634C"/>
    <w:rsid w:val="009D65E6"/>
    <w:rsid w:val="009E22A8"/>
    <w:rsid w:val="009E2B57"/>
    <w:rsid w:val="009E38DF"/>
    <w:rsid w:val="009E3B08"/>
    <w:rsid w:val="009E67FC"/>
    <w:rsid w:val="009F1B25"/>
    <w:rsid w:val="009F2401"/>
    <w:rsid w:val="009F4B69"/>
    <w:rsid w:val="00A01218"/>
    <w:rsid w:val="00A05106"/>
    <w:rsid w:val="00A05209"/>
    <w:rsid w:val="00A10387"/>
    <w:rsid w:val="00A12216"/>
    <w:rsid w:val="00A137D8"/>
    <w:rsid w:val="00A23D4F"/>
    <w:rsid w:val="00A25875"/>
    <w:rsid w:val="00A27744"/>
    <w:rsid w:val="00A27FE7"/>
    <w:rsid w:val="00A34AEB"/>
    <w:rsid w:val="00A50EE5"/>
    <w:rsid w:val="00A519AE"/>
    <w:rsid w:val="00A54FE3"/>
    <w:rsid w:val="00A5790B"/>
    <w:rsid w:val="00A57A13"/>
    <w:rsid w:val="00A6366E"/>
    <w:rsid w:val="00A67C16"/>
    <w:rsid w:val="00A70969"/>
    <w:rsid w:val="00A716B6"/>
    <w:rsid w:val="00A74C5A"/>
    <w:rsid w:val="00A74DDB"/>
    <w:rsid w:val="00A75EDC"/>
    <w:rsid w:val="00A760A6"/>
    <w:rsid w:val="00A76739"/>
    <w:rsid w:val="00A767B7"/>
    <w:rsid w:val="00A77429"/>
    <w:rsid w:val="00A82EFF"/>
    <w:rsid w:val="00A85D47"/>
    <w:rsid w:val="00A878CF"/>
    <w:rsid w:val="00A91E85"/>
    <w:rsid w:val="00A92C22"/>
    <w:rsid w:val="00A93779"/>
    <w:rsid w:val="00A93E7F"/>
    <w:rsid w:val="00A9692D"/>
    <w:rsid w:val="00AA2707"/>
    <w:rsid w:val="00AA3350"/>
    <w:rsid w:val="00AB2548"/>
    <w:rsid w:val="00AB2ABF"/>
    <w:rsid w:val="00AB40FF"/>
    <w:rsid w:val="00AC299C"/>
    <w:rsid w:val="00AC4E71"/>
    <w:rsid w:val="00AC5331"/>
    <w:rsid w:val="00AC745E"/>
    <w:rsid w:val="00AC7500"/>
    <w:rsid w:val="00AD072B"/>
    <w:rsid w:val="00AD256A"/>
    <w:rsid w:val="00AD4167"/>
    <w:rsid w:val="00AD4E8D"/>
    <w:rsid w:val="00AD7202"/>
    <w:rsid w:val="00AD790D"/>
    <w:rsid w:val="00AE41CC"/>
    <w:rsid w:val="00AE45A2"/>
    <w:rsid w:val="00AE467E"/>
    <w:rsid w:val="00AE4CE7"/>
    <w:rsid w:val="00AE4EB9"/>
    <w:rsid w:val="00AF3F39"/>
    <w:rsid w:val="00B03BA0"/>
    <w:rsid w:val="00B049EB"/>
    <w:rsid w:val="00B05051"/>
    <w:rsid w:val="00B0549E"/>
    <w:rsid w:val="00B07169"/>
    <w:rsid w:val="00B127EC"/>
    <w:rsid w:val="00B148F9"/>
    <w:rsid w:val="00B1505F"/>
    <w:rsid w:val="00B21420"/>
    <w:rsid w:val="00B21EA9"/>
    <w:rsid w:val="00B22768"/>
    <w:rsid w:val="00B2551F"/>
    <w:rsid w:val="00B32EC5"/>
    <w:rsid w:val="00B33D47"/>
    <w:rsid w:val="00B35A7E"/>
    <w:rsid w:val="00B3625B"/>
    <w:rsid w:val="00B45058"/>
    <w:rsid w:val="00B50095"/>
    <w:rsid w:val="00B6445D"/>
    <w:rsid w:val="00B64932"/>
    <w:rsid w:val="00B65EF1"/>
    <w:rsid w:val="00B67B3F"/>
    <w:rsid w:val="00B70C4B"/>
    <w:rsid w:val="00B710D9"/>
    <w:rsid w:val="00B71BFD"/>
    <w:rsid w:val="00B761F9"/>
    <w:rsid w:val="00B76229"/>
    <w:rsid w:val="00B76380"/>
    <w:rsid w:val="00B76BE4"/>
    <w:rsid w:val="00B76D93"/>
    <w:rsid w:val="00B81DD9"/>
    <w:rsid w:val="00B82F53"/>
    <w:rsid w:val="00B8338A"/>
    <w:rsid w:val="00B837C3"/>
    <w:rsid w:val="00B84CCF"/>
    <w:rsid w:val="00B87A91"/>
    <w:rsid w:val="00B87E48"/>
    <w:rsid w:val="00B9228C"/>
    <w:rsid w:val="00B9259C"/>
    <w:rsid w:val="00B9492A"/>
    <w:rsid w:val="00B97203"/>
    <w:rsid w:val="00B97A15"/>
    <w:rsid w:val="00B97E5B"/>
    <w:rsid w:val="00BA0AF0"/>
    <w:rsid w:val="00BA1E15"/>
    <w:rsid w:val="00BA2D30"/>
    <w:rsid w:val="00BA34FD"/>
    <w:rsid w:val="00BA36C2"/>
    <w:rsid w:val="00BB09C3"/>
    <w:rsid w:val="00BB28C2"/>
    <w:rsid w:val="00BB417E"/>
    <w:rsid w:val="00BC1B2C"/>
    <w:rsid w:val="00BC1C3B"/>
    <w:rsid w:val="00BC6807"/>
    <w:rsid w:val="00BD0A3D"/>
    <w:rsid w:val="00BD5B23"/>
    <w:rsid w:val="00BD5BD5"/>
    <w:rsid w:val="00BD688D"/>
    <w:rsid w:val="00BD6CC2"/>
    <w:rsid w:val="00BE19FD"/>
    <w:rsid w:val="00BE523F"/>
    <w:rsid w:val="00BE79E4"/>
    <w:rsid w:val="00BF1FF5"/>
    <w:rsid w:val="00BF585A"/>
    <w:rsid w:val="00BF5876"/>
    <w:rsid w:val="00BF67F6"/>
    <w:rsid w:val="00C03EEA"/>
    <w:rsid w:val="00C07139"/>
    <w:rsid w:val="00C07142"/>
    <w:rsid w:val="00C143BA"/>
    <w:rsid w:val="00C15175"/>
    <w:rsid w:val="00C1624B"/>
    <w:rsid w:val="00C16340"/>
    <w:rsid w:val="00C31A64"/>
    <w:rsid w:val="00C3418E"/>
    <w:rsid w:val="00C346A2"/>
    <w:rsid w:val="00C50FAC"/>
    <w:rsid w:val="00C53BE5"/>
    <w:rsid w:val="00C54165"/>
    <w:rsid w:val="00C57114"/>
    <w:rsid w:val="00C60057"/>
    <w:rsid w:val="00C62B6D"/>
    <w:rsid w:val="00C62BFF"/>
    <w:rsid w:val="00C64863"/>
    <w:rsid w:val="00C65B3C"/>
    <w:rsid w:val="00C65FE7"/>
    <w:rsid w:val="00C660BC"/>
    <w:rsid w:val="00C712BE"/>
    <w:rsid w:val="00C74FB4"/>
    <w:rsid w:val="00C804FE"/>
    <w:rsid w:val="00C80725"/>
    <w:rsid w:val="00C84368"/>
    <w:rsid w:val="00C847FA"/>
    <w:rsid w:val="00C852EE"/>
    <w:rsid w:val="00C87FBD"/>
    <w:rsid w:val="00C90395"/>
    <w:rsid w:val="00C9561B"/>
    <w:rsid w:val="00CA3BEE"/>
    <w:rsid w:val="00CB5BFC"/>
    <w:rsid w:val="00CC1787"/>
    <w:rsid w:val="00CC1825"/>
    <w:rsid w:val="00CC210F"/>
    <w:rsid w:val="00CC2794"/>
    <w:rsid w:val="00CC5896"/>
    <w:rsid w:val="00CC6B1E"/>
    <w:rsid w:val="00CD05A5"/>
    <w:rsid w:val="00CD43E1"/>
    <w:rsid w:val="00CD61BF"/>
    <w:rsid w:val="00CE1981"/>
    <w:rsid w:val="00CE570B"/>
    <w:rsid w:val="00CF1121"/>
    <w:rsid w:val="00CF1D02"/>
    <w:rsid w:val="00CF45EB"/>
    <w:rsid w:val="00CF5121"/>
    <w:rsid w:val="00CF7B0C"/>
    <w:rsid w:val="00D02D16"/>
    <w:rsid w:val="00D04E0E"/>
    <w:rsid w:val="00D04ED4"/>
    <w:rsid w:val="00D0521C"/>
    <w:rsid w:val="00D06C67"/>
    <w:rsid w:val="00D06EE0"/>
    <w:rsid w:val="00D118C5"/>
    <w:rsid w:val="00D16124"/>
    <w:rsid w:val="00D203BC"/>
    <w:rsid w:val="00D20CCE"/>
    <w:rsid w:val="00D21ABA"/>
    <w:rsid w:val="00D23916"/>
    <w:rsid w:val="00D240AD"/>
    <w:rsid w:val="00D244BF"/>
    <w:rsid w:val="00D40A55"/>
    <w:rsid w:val="00D41BCF"/>
    <w:rsid w:val="00D44EBF"/>
    <w:rsid w:val="00D45875"/>
    <w:rsid w:val="00D46F4D"/>
    <w:rsid w:val="00D51D67"/>
    <w:rsid w:val="00D52515"/>
    <w:rsid w:val="00D57011"/>
    <w:rsid w:val="00D57322"/>
    <w:rsid w:val="00D57A63"/>
    <w:rsid w:val="00D62B86"/>
    <w:rsid w:val="00D63BE6"/>
    <w:rsid w:val="00D647B9"/>
    <w:rsid w:val="00D669C7"/>
    <w:rsid w:val="00D67421"/>
    <w:rsid w:val="00D700EF"/>
    <w:rsid w:val="00D7074D"/>
    <w:rsid w:val="00D73C0D"/>
    <w:rsid w:val="00D7556A"/>
    <w:rsid w:val="00D76673"/>
    <w:rsid w:val="00D77A67"/>
    <w:rsid w:val="00D80B55"/>
    <w:rsid w:val="00D81349"/>
    <w:rsid w:val="00D84C1C"/>
    <w:rsid w:val="00D85CCC"/>
    <w:rsid w:val="00D86AF5"/>
    <w:rsid w:val="00D946B7"/>
    <w:rsid w:val="00DA160D"/>
    <w:rsid w:val="00DA5260"/>
    <w:rsid w:val="00DB5EE3"/>
    <w:rsid w:val="00DB7A61"/>
    <w:rsid w:val="00DC3181"/>
    <w:rsid w:val="00DC4199"/>
    <w:rsid w:val="00DC52FF"/>
    <w:rsid w:val="00DC7F88"/>
    <w:rsid w:val="00DD267F"/>
    <w:rsid w:val="00DD2BE6"/>
    <w:rsid w:val="00DD3358"/>
    <w:rsid w:val="00DD47DF"/>
    <w:rsid w:val="00DE3969"/>
    <w:rsid w:val="00DE4AFA"/>
    <w:rsid w:val="00DE7D3D"/>
    <w:rsid w:val="00DF5019"/>
    <w:rsid w:val="00DF7E13"/>
    <w:rsid w:val="00E01577"/>
    <w:rsid w:val="00E01B9D"/>
    <w:rsid w:val="00E057E1"/>
    <w:rsid w:val="00E06D92"/>
    <w:rsid w:val="00E06FF8"/>
    <w:rsid w:val="00E10F49"/>
    <w:rsid w:val="00E11478"/>
    <w:rsid w:val="00E11DB5"/>
    <w:rsid w:val="00E150BB"/>
    <w:rsid w:val="00E15231"/>
    <w:rsid w:val="00E16597"/>
    <w:rsid w:val="00E1792C"/>
    <w:rsid w:val="00E22CE3"/>
    <w:rsid w:val="00E2352A"/>
    <w:rsid w:val="00E23733"/>
    <w:rsid w:val="00E23EAF"/>
    <w:rsid w:val="00E2441D"/>
    <w:rsid w:val="00E261E4"/>
    <w:rsid w:val="00E30ACA"/>
    <w:rsid w:val="00E31B93"/>
    <w:rsid w:val="00E322F2"/>
    <w:rsid w:val="00E36EBF"/>
    <w:rsid w:val="00E43F8C"/>
    <w:rsid w:val="00E468DD"/>
    <w:rsid w:val="00E46D65"/>
    <w:rsid w:val="00E47FDB"/>
    <w:rsid w:val="00E509CE"/>
    <w:rsid w:val="00E53F90"/>
    <w:rsid w:val="00E56BB0"/>
    <w:rsid w:val="00E60260"/>
    <w:rsid w:val="00E60662"/>
    <w:rsid w:val="00E614B4"/>
    <w:rsid w:val="00E63E83"/>
    <w:rsid w:val="00E64416"/>
    <w:rsid w:val="00E7263E"/>
    <w:rsid w:val="00E73F00"/>
    <w:rsid w:val="00E750A5"/>
    <w:rsid w:val="00E77139"/>
    <w:rsid w:val="00E82D4E"/>
    <w:rsid w:val="00E85ED7"/>
    <w:rsid w:val="00E97F8F"/>
    <w:rsid w:val="00EA1AE3"/>
    <w:rsid w:val="00EA5D9F"/>
    <w:rsid w:val="00EB2810"/>
    <w:rsid w:val="00EB4F56"/>
    <w:rsid w:val="00EC0B32"/>
    <w:rsid w:val="00EC256E"/>
    <w:rsid w:val="00EC4E2F"/>
    <w:rsid w:val="00ED1C70"/>
    <w:rsid w:val="00ED25A0"/>
    <w:rsid w:val="00ED398D"/>
    <w:rsid w:val="00ED3F44"/>
    <w:rsid w:val="00ED4A6E"/>
    <w:rsid w:val="00EE5C31"/>
    <w:rsid w:val="00EF573A"/>
    <w:rsid w:val="00F00508"/>
    <w:rsid w:val="00F00687"/>
    <w:rsid w:val="00F01BF3"/>
    <w:rsid w:val="00F04AD3"/>
    <w:rsid w:val="00F065DE"/>
    <w:rsid w:val="00F1441D"/>
    <w:rsid w:val="00F15E88"/>
    <w:rsid w:val="00F16C55"/>
    <w:rsid w:val="00F323BC"/>
    <w:rsid w:val="00F32450"/>
    <w:rsid w:val="00F354D6"/>
    <w:rsid w:val="00F36D0A"/>
    <w:rsid w:val="00F40427"/>
    <w:rsid w:val="00F42D8C"/>
    <w:rsid w:val="00F42F21"/>
    <w:rsid w:val="00F43DA8"/>
    <w:rsid w:val="00F450E6"/>
    <w:rsid w:val="00F4695F"/>
    <w:rsid w:val="00F476D2"/>
    <w:rsid w:val="00F4796B"/>
    <w:rsid w:val="00F53C7A"/>
    <w:rsid w:val="00F541AC"/>
    <w:rsid w:val="00F663D2"/>
    <w:rsid w:val="00F677F0"/>
    <w:rsid w:val="00F73FC8"/>
    <w:rsid w:val="00F75A8A"/>
    <w:rsid w:val="00F768D4"/>
    <w:rsid w:val="00F831E6"/>
    <w:rsid w:val="00F921DB"/>
    <w:rsid w:val="00F95C30"/>
    <w:rsid w:val="00FA5D74"/>
    <w:rsid w:val="00FA6222"/>
    <w:rsid w:val="00FB1D94"/>
    <w:rsid w:val="00FB3948"/>
    <w:rsid w:val="00FB4027"/>
    <w:rsid w:val="00FB58DF"/>
    <w:rsid w:val="00FB6064"/>
    <w:rsid w:val="00FC0C71"/>
    <w:rsid w:val="00FC2013"/>
    <w:rsid w:val="00FC4045"/>
    <w:rsid w:val="00FC4CF5"/>
    <w:rsid w:val="00FC5D07"/>
    <w:rsid w:val="00FD14A2"/>
    <w:rsid w:val="00FD1546"/>
    <w:rsid w:val="00FD319A"/>
    <w:rsid w:val="00FD6590"/>
    <w:rsid w:val="00FE1931"/>
    <w:rsid w:val="00FF7D04"/>
    <w:rsid w:val="00FF7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9425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18C5"/>
    <w:pPr>
      <w:spacing w:before="100" w:beforeAutospacing="1" w:after="100" w:afterAutospacing="1"/>
      <w:outlineLvl w:val="1"/>
    </w:pPr>
    <w:rPr>
      <w:rFonts w:ascii="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54F"/>
    <w:pPr>
      <w:spacing w:before="100" w:beforeAutospacing="1" w:after="100" w:afterAutospacing="1"/>
    </w:pPr>
    <w:rPr>
      <w:rFonts w:ascii="Times New Roman" w:hAnsi="Times New Roman" w:cs="Times New Roman"/>
      <w:lang w:eastAsia="fr-FR"/>
    </w:rPr>
  </w:style>
  <w:style w:type="paragraph" w:styleId="ListParagraph">
    <w:name w:val="List Paragraph"/>
    <w:basedOn w:val="Normal"/>
    <w:uiPriority w:val="34"/>
    <w:qFormat/>
    <w:rsid w:val="002E4E06"/>
    <w:pPr>
      <w:ind w:left="720"/>
      <w:contextualSpacing/>
    </w:pPr>
  </w:style>
  <w:style w:type="character" w:customStyle="1" w:styleId="Heading2Char">
    <w:name w:val="Heading 2 Char"/>
    <w:basedOn w:val="DefaultParagraphFont"/>
    <w:link w:val="Heading2"/>
    <w:uiPriority w:val="9"/>
    <w:rsid w:val="00D118C5"/>
    <w:rPr>
      <w:rFonts w:ascii="Times New Roman" w:hAnsi="Times New Roman" w:cs="Times New Roman"/>
      <w:b/>
      <w:bCs/>
      <w:sz w:val="36"/>
      <w:szCs w:val="36"/>
      <w:lang w:eastAsia="fr-FR"/>
    </w:rPr>
  </w:style>
  <w:style w:type="character" w:customStyle="1" w:styleId="apple-converted-space">
    <w:name w:val="apple-converted-space"/>
    <w:basedOn w:val="DefaultParagraphFont"/>
    <w:rsid w:val="00D118C5"/>
  </w:style>
  <w:style w:type="character" w:styleId="Hyperlink">
    <w:name w:val="Hyperlink"/>
    <w:basedOn w:val="DefaultParagraphFont"/>
    <w:uiPriority w:val="99"/>
    <w:unhideWhenUsed/>
    <w:rsid w:val="00D118C5"/>
    <w:rPr>
      <w:color w:val="0000FF"/>
      <w:u w:val="single"/>
    </w:rPr>
  </w:style>
  <w:style w:type="character" w:styleId="Strong">
    <w:name w:val="Strong"/>
    <w:basedOn w:val="DefaultParagraphFont"/>
    <w:uiPriority w:val="22"/>
    <w:qFormat/>
    <w:rsid w:val="00325552"/>
    <w:rPr>
      <w:b/>
      <w:bCs/>
    </w:rPr>
  </w:style>
  <w:style w:type="paragraph" w:styleId="FootnoteText">
    <w:name w:val="footnote text"/>
    <w:basedOn w:val="Normal"/>
    <w:link w:val="FootnoteTextChar"/>
    <w:uiPriority w:val="99"/>
    <w:unhideWhenUsed/>
    <w:rsid w:val="00A93E7F"/>
  </w:style>
  <w:style w:type="character" w:customStyle="1" w:styleId="FootnoteTextChar">
    <w:name w:val="Footnote Text Char"/>
    <w:basedOn w:val="DefaultParagraphFont"/>
    <w:link w:val="FootnoteText"/>
    <w:uiPriority w:val="99"/>
    <w:rsid w:val="00A93E7F"/>
  </w:style>
  <w:style w:type="character" w:styleId="FootnoteReference">
    <w:name w:val="footnote reference"/>
    <w:basedOn w:val="DefaultParagraphFont"/>
    <w:uiPriority w:val="99"/>
    <w:unhideWhenUsed/>
    <w:rsid w:val="00A93E7F"/>
    <w:rPr>
      <w:vertAlign w:val="superscript"/>
    </w:rPr>
  </w:style>
  <w:style w:type="paragraph" w:styleId="Footer">
    <w:name w:val="footer"/>
    <w:basedOn w:val="Normal"/>
    <w:link w:val="FooterChar"/>
    <w:uiPriority w:val="99"/>
    <w:unhideWhenUsed/>
    <w:rsid w:val="00A93E7F"/>
    <w:pPr>
      <w:tabs>
        <w:tab w:val="center" w:pos="4536"/>
        <w:tab w:val="right" w:pos="9072"/>
      </w:tabs>
    </w:pPr>
  </w:style>
  <w:style w:type="character" w:customStyle="1" w:styleId="FooterChar">
    <w:name w:val="Footer Char"/>
    <w:basedOn w:val="DefaultParagraphFont"/>
    <w:link w:val="Footer"/>
    <w:uiPriority w:val="99"/>
    <w:rsid w:val="00A93E7F"/>
  </w:style>
  <w:style w:type="character" w:styleId="PageNumber">
    <w:name w:val="page number"/>
    <w:basedOn w:val="DefaultParagraphFont"/>
    <w:uiPriority w:val="99"/>
    <w:semiHidden/>
    <w:unhideWhenUsed/>
    <w:rsid w:val="00A93E7F"/>
  </w:style>
  <w:style w:type="character" w:styleId="CommentReference">
    <w:name w:val="annotation reference"/>
    <w:basedOn w:val="DefaultParagraphFont"/>
    <w:uiPriority w:val="99"/>
    <w:semiHidden/>
    <w:unhideWhenUsed/>
    <w:rsid w:val="007567FA"/>
    <w:rPr>
      <w:sz w:val="16"/>
      <w:szCs w:val="16"/>
    </w:rPr>
  </w:style>
  <w:style w:type="paragraph" w:styleId="CommentText">
    <w:name w:val="annotation text"/>
    <w:basedOn w:val="Normal"/>
    <w:link w:val="CommentTextChar"/>
    <w:uiPriority w:val="99"/>
    <w:semiHidden/>
    <w:unhideWhenUsed/>
    <w:rsid w:val="007567FA"/>
    <w:rPr>
      <w:sz w:val="20"/>
      <w:szCs w:val="20"/>
    </w:rPr>
  </w:style>
  <w:style w:type="character" w:customStyle="1" w:styleId="CommentTextChar">
    <w:name w:val="Comment Text Char"/>
    <w:basedOn w:val="DefaultParagraphFont"/>
    <w:link w:val="CommentText"/>
    <w:uiPriority w:val="99"/>
    <w:semiHidden/>
    <w:rsid w:val="007567FA"/>
    <w:rPr>
      <w:sz w:val="20"/>
      <w:szCs w:val="20"/>
    </w:rPr>
  </w:style>
  <w:style w:type="paragraph" w:styleId="CommentSubject">
    <w:name w:val="annotation subject"/>
    <w:basedOn w:val="CommentText"/>
    <w:next w:val="CommentText"/>
    <w:link w:val="CommentSubjectChar"/>
    <w:uiPriority w:val="99"/>
    <w:semiHidden/>
    <w:unhideWhenUsed/>
    <w:rsid w:val="007567FA"/>
    <w:rPr>
      <w:b/>
      <w:bCs/>
    </w:rPr>
  </w:style>
  <w:style w:type="character" w:customStyle="1" w:styleId="CommentSubjectChar">
    <w:name w:val="Comment Subject Char"/>
    <w:basedOn w:val="CommentTextChar"/>
    <w:link w:val="CommentSubject"/>
    <w:uiPriority w:val="99"/>
    <w:semiHidden/>
    <w:rsid w:val="007567FA"/>
    <w:rPr>
      <w:b/>
      <w:bCs/>
      <w:sz w:val="20"/>
      <w:szCs w:val="20"/>
    </w:rPr>
  </w:style>
  <w:style w:type="paragraph" w:styleId="BalloonText">
    <w:name w:val="Balloon Text"/>
    <w:basedOn w:val="Normal"/>
    <w:link w:val="BalloonTextChar"/>
    <w:uiPriority w:val="99"/>
    <w:semiHidden/>
    <w:unhideWhenUsed/>
    <w:rsid w:val="007567FA"/>
    <w:rPr>
      <w:rFonts w:ascii="Tahoma" w:hAnsi="Tahoma" w:cs="Tahoma"/>
      <w:sz w:val="16"/>
      <w:szCs w:val="16"/>
    </w:rPr>
  </w:style>
  <w:style w:type="character" w:customStyle="1" w:styleId="BalloonTextChar">
    <w:name w:val="Balloon Text Char"/>
    <w:basedOn w:val="DefaultParagraphFont"/>
    <w:link w:val="BalloonText"/>
    <w:uiPriority w:val="99"/>
    <w:semiHidden/>
    <w:rsid w:val="007567FA"/>
    <w:rPr>
      <w:rFonts w:ascii="Tahoma" w:hAnsi="Tahoma" w:cs="Tahoma"/>
      <w:sz w:val="16"/>
      <w:szCs w:val="16"/>
    </w:rPr>
  </w:style>
  <w:style w:type="table" w:styleId="TableGrid">
    <w:name w:val="Table Grid"/>
    <w:basedOn w:val="TableNormal"/>
    <w:uiPriority w:val="39"/>
    <w:rsid w:val="0094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677F0"/>
    <w:pPr>
      <w:ind w:left="720" w:hanging="425"/>
      <w:contextualSpacing/>
    </w:pPr>
    <w:rPr>
      <w:rFonts w:ascii="Calibri" w:eastAsia="Calibri" w:hAnsi="Calibri" w:cs="Times New Roman"/>
      <w:sz w:val="22"/>
      <w:szCs w:val="22"/>
      <w:lang w:val="en-GB"/>
    </w:rPr>
  </w:style>
  <w:style w:type="paragraph" w:styleId="Header">
    <w:name w:val="header"/>
    <w:basedOn w:val="Normal"/>
    <w:link w:val="HeaderChar"/>
    <w:uiPriority w:val="99"/>
    <w:unhideWhenUsed/>
    <w:rsid w:val="00D51D67"/>
    <w:pPr>
      <w:tabs>
        <w:tab w:val="center" w:pos="4536"/>
        <w:tab w:val="right" w:pos="9072"/>
      </w:tabs>
    </w:pPr>
  </w:style>
  <w:style w:type="character" w:customStyle="1" w:styleId="HeaderChar">
    <w:name w:val="Header Char"/>
    <w:basedOn w:val="DefaultParagraphFont"/>
    <w:link w:val="Header"/>
    <w:uiPriority w:val="99"/>
    <w:rsid w:val="00D51D67"/>
  </w:style>
  <w:style w:type="paragraph" w:styleId="Revision">
    <w:name w:val="Revision"/>
    <w:hidden/>
    <w:uiPriority w:val="99"/>
    <w:semiHidden/>
    <w:rsid w:val="008C7EF6"/>
  </w:style>
  <w:style w:type="character" w:styleId="FollowedHyperlink">
    <w:name w:val="FollowedHyperlink"/>
    <w:basedOn w:val="DefaultParagraphFont"/>
    <w:uiPriority w:val="99"/>
    <w:semiHidden/>
    <w:unhideWhenUsed/>
    <w:rsid w:val="00930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927">
      <w:bodyDiv w:val="1"/>
      <w:marLeft w:val="0"/>
      <w:marRight w:val="0"/>
      <w:marTop w:val="0"/>
      <w:marBottom w:val="0"/>
      <w:divBdr>
        <w:top w:val="none" w:sz="0" w:space="0" w:color="auto"/>
        <w:left w:val="none" w:sz="0" w:space="0" w:color="auto"/>
        <w:bottom w:val="none" w:sz="0" w:space="0" w:color="auto"/>
        <w:right w:val="none" w:sz="0" w:space="0" w:color="auto"/>
      </w:divBdr>
      <w:divsChild>
        <w:div w:id="1494026204">
          <w:marLeft w:val="0"/>
          <w:marRight w:val="0"/>
          <w:marTop w:val="0"/>
          <w:marBottom w:val="0"/>
          <w:divBdr>
            <w:top w:val="none" w:sz="0" w:space="0" w:color="auto"/>
            <w:left w:val="none" w:sz="0" w:space="0" w:color="auto"/>
            <w:bottom w:val="none" w:sz="0" w:space="0" w:color="auto"/>
            <w:right w:val="none" w:sz="0" w:space="0" w:color="auto"/>
          </w:divBdr>
          <w:divsChild>
            <w:div w:id="1358239558">
              <w:marLeft w:val="0"/>
              <w:marRight w:val="0"/>
              <w:marTop w:val="0"/>
              <w:marBottom w:val="0"/>
              <w:divBdr>
                <w:top w:val="none" w:sz="0" w:space="0" w:color="auto"/>
                <w:left w:val="none" w:sz="0" w:space="0" w:color="auto"/>
                <w:bottom w:val="none" w:sz="0" w:space="0" w:color="auto"/>
                <w:right w:val="none" w:sz="0" w:space="0" w:color="auto"/>
              </w:divBdr>
              <w:divsChild>
                <w:div w:id="6245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004">
      <w:bodyDiv w:val="1"/>
      <w:marLeft w:val="0"/>
      <w:marRight w:val="0"/>
      <w:marTop w:val="0"/>
      <w:marBottom w:val="0"/>
      <w:divBdr>
        <w:top w:val="none" w:sz="0" w:space="0" w:color="auto"/>
        <w:left w:val="none" w:sz="0" w:space="0" w:color="auto"/>
        <w:bottom w:val="none" w:sz="0" w:space="0" w:color="auto"/>
        <w:right w:val="none" w:sz="0" w:space="0" w:color="auto"/>
      </w:divBdr>
    </w:div>
    <w:div w:id="74665917">
      <w:bodyDiv w:val="1"/>
      <w:marLeft w:val="0"/>
      <w:marRight w:val="0"/>
      <w:marTop w:val="0"/>
      <w:marBottom w:val="0"/>
      <w:divBdr>
        <w:top w:val="none" w:sz="0" w:space="0" w:color="auto"/>
        <w:left w:val="none" w:sz="0" w:space="0" w:color="auto"/>
        <w:bottom w:val="none" w:sz="0" w:space="0" w:color="auto"/>
        <w:right w:val="none" w:sz="0" w:space="0" w:color="auto"/>
      </w:divBdr>
    </w:div>
    <w:div w:id="132063330">
      <w:bodyDiv w:val="1"/>
      <w:marLeft w:val="0"/>
      <w:marRight w:val="0"/>
      <w:marTop w:val="0"/>
      <w:marBottom w:val="0"/>
      <w:divBdr>
        <w:top w:val="none" w:sz="0" w:space="0" w:color="auto"/>
        <w:left w:val="none" w:sz="0" w:space="0" w:color="auto"/>
        <w:bottom w:val="none" w:sz="0" w:space="0" w:color="auto"/>
        <w:right w:val="none" w:sz="0" w:space="0" w:color="auto"/>
      </w:divBdr>
      <w:divsChild>
        <w:div w:id="2136823174">
          <w:marLeft w:val="0"/>
          <w:marRight w:val="0"/>
          <w:marTop w:val="0"/>
          <w:marBottom w:val="0"/>
          <w:divBdr>
            <w:top w:val="none" w:sz="0" w:space="0" w:color="auto"/>
            <w:left w:val="none" w:sz="0" w:space="0" w:color="auto"/>
            <w:bottom w:val="none" w:sz="0" w:space="0" w:color="auto"/>
            <w:right w:val="none" w:sz="0" w:space="0" w:color="auto"/>
          </w:divBdr>
          <w:divsChild>
            <w:div w:id="1229725474">
              <w:marLeft w:val="0"/>
              <w:marRight w:val="0"/>
              <w:marTop w:val="0"/>
              <w:marBottom w:val="0"/>
              <w:divBdr>
                <w:top w:val="none" w:sz="0" w:space="0" w:color="auto"/>
                <w:left w:val="none" w:sz="0" w:space="0" w:color="auto"/>
                <w:bottom w:val="none" w:sz="0" w:space="0" w:color="auto"/>
                <w:right w:val="none" w:sz="0" w:space="0" w:color="auto"/>
              </w:divBdr>
              <w:divsChild>
                <w:div w:id="14135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128">
      <w:bodyDiv w:val="1"/>
      <w:marLeft w:val="0"/>
      <w:marRight w:val="0"/>
      <w:marTop w:val="0"/>
      <w:marBottom w:val="0"/>
      <w:divBdr>
        <w:top w:val="none" w:sz="0" w:space="0" w:color="auto"/>
        <w:left w:val="none" w:sz="0" w:space="0" w:color="auto"/>
        <w:bottom w:val="none" w:sz="0" w:space="0" w:color="auto"/>
        <w:right w:val="none" w:sz="0" w:space="0" w:color="auto"/>
      </w:divBdr>
    </w:div>
    <w:div w:id="145241926">
      <w:bodyDiv w:val="1"/>
      <w:marLeft w:val="0"/>
      <w:marRight w:val="0"/>
      <w:marTop w:val="0"/>
      <w:marBottom w:val="0"/>
      <w:divBdr>
        <w:top w:val="none" w:sz="0" w:space="0" w:color="auto"/>
        <w:left w:val="none" w:sz="0" w:space="0" w:color="auto"/>
        <w:bottom w:val="none" w:sz="0" w:space="0" w:color="auto"/>
        <w:right w:val="none" w:sz="0" w:space="0" w:color="auto"/>
      </w:divBdr>
    </w:div>
    <w:div w:id="157163354">
      <w:bodyDiv w:val="1"/>
      <w:marLeft w:val="0"/>
      <w:marRight w:val="0"/>
      <w:marTop w:val="0"/>
      <w:marBottom w:val="0"/>
      <w:divBdr>
        <w:top w:val="none" w:sz="0" w:space="0" w:color="auto"/>
        <w:left w:val="none" w:sz="0" w:space="0" w:color="auto"/>
        <w:bottom w:val="none" w:sz="0" w:space="0" w:color="auto"/>
        <w:right w:val="none" w:sz="0" w:space="0" w:color="auto"/>
      </w:divBdr>
      <w:divsChild>
        <w:div w:id="32116957">
          <w:marLeft w:val="0"/>
          <w:marRight w:val="0"/>
          <w:marTop w:val="0"/>
          <w:marBottom w:val="0"/>
          <w:divBdr>
            <w:top w:val="none" w:sz="0" w:space="0" w:color="auto"/>
            <w:left w:val="none" w:sz="0" w:space="0" w:color="auto"/>
            <w:bottom w:val="none" w:sz="0" w:space="0" w:color="auto"/>
            <w:right w:val="none" w:sz="0" w:space="0" w:color="auto"/>
          </w:divBdr>
          <w:divsChild>
            <w:div w:id="1415392002">
              <w:marLeft w:val="0"/>
              <w:marRight w:val="0"/>
              <w:marTop w:val="0"/>
              <w:marBottom w:val="0"/>
              <w:divBdr>
                <w:top w:val="none" w:sz="0" w:space="0" w:color="auto"/>
                <w:left w:val="none" w:sz="0" w:space="0" w:color="auto"/>
                <w:bottom w:val="none" w:sz="0" w:space="0" w:color="auto"/>
                <w:right w:val="none" w:sz="0" w:space="0" w:color="auto"/>
              </w:divBdr>
              <w:divsChild>
                <w:div w:id="11653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4645">
      <w:bodyDiv w:val="1"/>
      <w:marLeft w:val="0"/>
      <w:marRight w:val="0"/>
      <w:marTop w:val="0"/>
      <w:marBottom w:val="0"/>
      <w:divBdr>
        <w:top w:val="none" w:sz="0" w:space="0" w:color="auto"/>
        <w:left w:val="none" w:sz="0" w:space="0" w:color="auto"/>
        <w:bottom w:val="none" w:sz="0" w:space="0" w:color="auto"/>
        <w:right w:val="none" w:sz="0" w:space="0" w:color="auto"/>
      </w:divBdr>
    </w:div>
    <w:div w:id="252670299">
      <w:bodyDiv w:val="1"/>
      <w:marLeft w:val="0"/>
      <w:marRight w:val="0"/>
      <w:marTop w:val="0"/>
      <w:marBottom w:val="0"/>
      <w:divBdr>
        <w:top w:val="none" w:sz="0" w:space="0" w:color="auto"/>
        <w:left w:val="none" w:sz="0" w:space="0" w:color="auto"/>
        <w:bottom w:val="none" w:sz="0" w:space="0" w:color="auto"/>
        <w:right w:val="none" w:sz="0" w:space="0" w:color="auto"/>
      </w:divBdr>
    </w:div>
    <w:div w:id="415056897">
      <w:bodyDiv w:val="1"/>
      <w:marLeft w:val="0"/>
      <w:marRight w:val="0"/>
      <w:marTop w:val="0"/>
      <w:marBottom w:val="0"/>
      <w:divBdr>
        <w:top w:val="none" w:sz="0" w:space="0" w:color="auto"/>
        <w:left w:val="none" w:sz="0" w:space="0" w:color="auto"/>
        <w:bottom w:val="none" w:sz="0" w:space="0" w:color="auto"/>
        <w:right w:val="none" w:sz="0" w:space="0" w:color="auto"/>
      </w:divBdr>
    </w:div>
    <w:div w:id="493617783">
      <w:bodyDiv w:val="1"/>
      <w:marLeft w:val="0"/>
      <w:marRight w:val="0"/>
      <w:marTop w:val="0"/>
      <w:marBottom w:val="0"/>
      <w:divBdr>
        <w:top w:val="none" w:sz="0" w:space="0" w:color="auto"/>
        <w:left w:val="none" w:sz="0" w:space="0" w:color="auto"/>
        <w:bottom w:val="none" w:sz="0" w:space="0" w:color="auto"/>
        <w:right w:val="none" w:sz="0" w:space="0" w:color="auto"/>
      </w:divBdr>
      <w:divsChild>
        <w:div w:id="1608998159">
          <w:marLeft w:val="0"/>
          <w:marRight w:val="0"/>
          <w:marTop w:val="0"/>
          <w:marBottom w:val="0"/>
          <w:divBdr>
            <w:top w:val="none" w:sz="0" w:space="0" w:color="auto"/>
            <w:left w:val="none" w:sz="0" w:space="0" w:color="auto"/>
            <w:bottom w:val="none" w:sz="0" w:space="0" w:color="auto"/>
            <w:right w:val="none" w:sz="0" w:space="0" w:color="auto"/>
          </w:divBdr>
          <w:divsChild>
            <w:div w:id="216744240">
              <w:marLeft w:val="0"/>
              <w:marRight w:val="0"/>
              <w:marTop w:val="0"/>
              <w:marBottom w:val="0"/>
              <w:divBdr>
                <w:top w:val="none" w:sz="0" w:space="0" w:color="auto"/>
                <w:left w:val="none" w:sz="0" w:space="0" w:color="auto"/>
                <w:bottom w:val="none" w:sz="0" w:space="0" w:color="auto"/>
                <w:right w:val="none" w:sz="0" w:space="0" w:color="auto"/>
              </w:divBdr>
              <w:divsChild>
                <w:div w:id="17067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8149">
      <w:bodyDiv w:val="1"/>
      <w:marLeft w:val="0"/>
      <w:marRight w:val="0"/>
      <w:marTop w:val="0"/>
      <w:marBottom w:val="0"/>
      <w:divBdr>
        <w:top w:val="none" w:sz="0" w:space="0" w:color="auto"/>
        <w:left w:val="none" w:sz="0" w:space="0" w:color="auto"/>
        <w:bottom w:val="none" w:sz="0" w:space="0" w:color="auto"/>
        <w:right w:val="none" w:sz="0" w:space="0" w:color="auto"/>
      </w:divBdr>
    </w:div>
    <w:div w:id="563830771">
      <w:bodyDiv w:val="1"/>
      <w:marLeft w:val="0"/>
      <w:marRight w:val="0"/>
      <w:marTop w:val="0"/>
      <w:marBottom w:val="0"/>
      <w:divBdr>
        <w:top w:val="none" w:sz="0" w:space="0" w:color="auto"/>
        <w:left w:val="none" w:sz="0" w:space="0" w:color="auto"/>
        <w:bottom w:val="none" w:sz="0" w:space="0" w:color="auto"/>
        <w:right w:val="none" w:sz="0" w:space="0" w:color="auto"/>
      </w:divBdr>
    </w:div>
    <w:div w:id="645670819">
      <w:bodyDiv w:val="1"/>
      <w:marLeft w:val="0"/>
      <w:marRight w:val="0"/>
      <w:marTop w:val="0"/>
      <w:marBottom w:val="0"/>
      <w:divBdr>
        <w:top w:val="none" w:sz="0" w:space="0" w:color="auto"/>
        <w:left w:val="none" w:sz="0" w:space="0" w:color="auto"/>
        <w:bottom w:val="none" w:sz="0" w:space="0" w:color="auto"/>
        <w:right w:val="none" w:sz="0" w:space="0" w:color="auto"/>
      </w:divBdr>
    </w:div>
    <w:div w:id="658971543">
      <w:bodyDiv w:val="1"/>
      <w:marLeft w:val="0"/>
      <w:marRight w:val="0"/>
      <w:marTop w:val="0"/>
      <w:marBottom w:val="0"/>
      <w:divBdr>
        <w:top w:val="none" w:sz="0" w:space="0" w:color="auto"/>
        <w:left w:val="none" w:sz="0" w:space="0" w:color="auto"/>
        <w:bottom w:val="none" w:sz="0" w:space="0" w:color="auto"/>
        <w:right w:val="none" w:sz="0" w:space="0" w:color="auto"/>
      </w:divBdr>
      <w:divsChild>
        <w:div w:id="828330614">
          <w:marLeft w:val="0"/>
          <w:marRight w:val="0"/>
          <w:marTop w:val="0"/>
          <w:marBottom w:val="0"/>
          <w:divBdr>
            <w:top w:val="none" w:sz="0" w:space="0" w:color="auto"/>
            <w:left w:val="none" w:sz="0" w:space="0" w:color="auto"/>
            <w:bottom w:val="none" w:sz="0" w:space="0" w:color="auto"/>
            <w:right w:val="none" w:sz="0" w:space="0" w:color="auto"/>
          </w:divBdr>
          <w:divsChild>
            <w:div w:id="465465817">
              <w:marLeft w:val="0"/>
              <w:marRight w:val="0"/>
              <w:marTop w:val="0"/>
              <w:marBottom w:val="0"/>
              <w:divBdr>
                <w:top w:val="none" w:sz="0" w:space="0" w:color="auto"/>
                <w:left w:val="none" w:sz="0" w:space="0" w:color="auto"/>
                <w:bottom w:val="none" w:sz="0" w:space="0" w:color="auto"/>
                <w:right w:val="none" w:sz="0" w:space="0" w:color="auto"/>
              </w:divBdr>
              <w:divsChild>
                <w:div w:id="647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6789">
      <w:bodyDiv w:val="1"/>
      <w:marLeft w:val="0"/>
      <w:marRight w:val="0"/>
      <w:marTop w:val="0"/>
      <w:marBottom w:val="0"/>
      <w:divBdr>
        <w:top w:val="none" w:sz="0" w:space="0" w:color="auto"/>
        <w:left w:val="none" w:sz="0" w:space="0" w:color="auto"/>
        <w:bottom w:val="none" w:sz="0" w:space="0" w:color="auto"/>
        <w:right w:val="none" w:sz="0" w:space="0" w:color="auto"/>
      </w:divBdr>
      <w:divsChild>
        <w:div w:id="1807311072">
          <w:marLeft w:val="0"/>
          <w:marRight w:val="0"/>
          <w:marTop w:val="0"/>
          <w:marBottom w:val="0"/>
          <w:divBdr>
            <w:top w:val="none" w:sz="0" w:space="0" w:color="auto"/>
            <w:left w:val="none" w:sz="0" w:space="0" w:color="auto"/>
            <w:bottom w:val="none" w:sz="0" w:space="0" w:color="auto"/>
            <w:right w:val="none" w:sz="0" w:space="0" w:color="auto"/>
          </w:divBdr>
          <w:divsChild>
            <w:div w:id="377779021">
              <w:marLeft w:val="0"/>
              <w:marRight w:val="0"/>
              <w:marTop w:val="0"/>
              <w:marBottom w:val="0"/>
              <w:divBdr>
                <w:top w:val="none" w:sz="0" w:space="0" w:color="auto"/>
                <w:left w:val="none" w:sz="0" w:space="0" w:color="auto"/>
                <w:bottom w:val="none" w:sz="0" w:space="0" w:color="auto"/>
                <w:right w:val="none" w:sz="0" w:space="0" w:color="auto"/>
              </w:divBdr>
              <w:divsChild>
                <w:div w:id="19082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4573">
      <w:bodyDiv w:val="1"/>
      <w:marLeft w:val="0"/>
      <w:marRight w:val="0"/>
      <w:marTop w:val="0"/>
      <w:marBottom w:val="0"/>
      <w:divBdr>
        <w:top w:val="none" w:sz="0" w:space="0" w:color="auto"/>
        <w:left w:val="none" w:sz="0" w:space="0" w:color="auto"/>
        <w:bottom w:val="none" w:sz="0" w:space="0" w:color="auto"/>
        <w:right w:val="none" w:sz="0" w:space="0" w:color="auto"/>
      </w:divBdr>
    </w:div>
    <w:div w:id="682174011">
      <w:bodyDiv w:val="1"/>
      <w:marLeft w:val="0"/>
      <w:marRight w:val="0"/>
      <w:marTop w:val="0"/>
      <w:marBottom w:val="0"/>
      <w:divBdr>
        <w:top w:val="none" w:sz="0" w:space="0" w:color="auto"/>
        <w:left w:val="none" w:sz="0" w:space="0" w:color="auto"/>
        <w:bottom w:val="none" w:sz="0" w:space="0" w:color="auto"/>
        <w:right w:val="none" w:sz="0" w:space="0" w:color="auto"/>
      </w:divBdr>
      <w:divsChild>
        <w:div w:id="2013140204">
          <w:marLeft w:val="0"/>
          <w:marRight w:val="0"/>
          <w:marTop w:val="0"/>
          <w:marBottom w:val="0"/>
          <w:divBdr>
            <w:top w:val="none" w:sz="0" w:space="0" w:color="auto"/>
            <w:left w:val="none" w:sz="0" w:space="0" w:color="auto"/>
            <w:bottom w:val="none" w:sz="0" w:space="0" w:color="auto"/>
            <w:right w:val="none" w:sz="0" w:space="0" w:color="auto"/>
          </w:divBdr>
          <w:divsChild>
            <w:div w:id="343095700">
              <w:marLeft w:val="0"/>
              <w:marRight w:val="0"/>
              <w:marTop w:val="0"/>
              <w:marBottom w:val="0"/>
              <w:divBdr>
                <w:top w:val="none" w:sz="0" w:space="0" w:color="auto"/>
                <w:left w:val="none" w:sz="0" w:space="0" w:color="auto"/>
                <w:bottom w:val="none" w:sz="0" w:space="0" w:color="auto"/>
                <w:right w:val="none" w:sz="0" w:space="0" w:color="auto"/>
              </w:divBdr>
              <w:divsChild>
                <w:div w:id="14353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2182">
      <w:bodyDiv w:val="1"/>
      <w:marLeft w:val="0"/>
      <w:marRight w:val="0"/>
      <w:marTop w:val="0"/>
      <w:marBottom w:val="0"/>
      <w:divBdr>
        <w:top w:val="none" w:sz="0" w:space="0" w:color="auto"/>
        <w:left w:val="none" w:sz="0" w:space="0" w:color="auto"/>
        <w:bottom w:val="none" w:sz="0" w:space="0" w:color="auto"/>
        <w:right w:val="none" w:sz="0" w:space="0" w:color="auto"/>
      </w:divBdr>
    </w:div>
    <w:div w:id="732124651">
      <w:bodyDiv w:val="1"/>
      <w:marLeft w:val="0"/>
      <w:marRight w:val="0"/>
      <w:marTop w:val="0"/>
      <w:marBottom w:val="0"/>
      <w:divBdr>
        <w:top w:val="none" w:sz="0" w:space="0" w:color="auto"/>
        <w:left w:val="none" w:sz="0" w:space="0" w:color="auto"/>
        <w:bottom w:val="none" w:sz="0" w:space="0" w:color="auto"/>
        <w:right w:val="none" w:sz="0" w:space="0" w:color="auto"/>
      </w:divBdr>
      <w:divsChild>
        <w:div w:id="16585350">
          <w:marLeft w:val="0"/>
          <w:marRight w:val="0"/>
          <w:marTop w:val="0"/>
          <w:marBottom w:val="0"/>
          <w:divBdr>
            <w:top w:val="none" w:sz="0" w:space="0" w:color="auto"/>
            <w:left w:val="none" w:sz="0" w:space="0" w:color="auto"/>
            <w:bottom w:val="none" w:sz="0" w:space="0" w:color="auto"/>
            <w:right w:val="none" w:sz="0" w:space="0" w:color="auto"/>
          </w:divBdr>
          <w:divsChild>
            <w:div w:id="335307362">
              <w:marLeft w:val="0"/>
              <w:marRight w:val="0"/>
              <w:marTop w:val="0"/>
              <w:marBottom w:val="0"/>
              <w:divBdr>
                <w:top w:val="none" w:sz="0" w:space="0" w:color="auto"/>
                <w:left w:val="none" w:sz="0" w:space="0" w:color="auto"/>
                <w:bottom w:val="none" w:sz="0" w:space="0" w:color="auto"/>
                <w:right w:val="none" w:sz="0" w:space="0" w:color="auto"/>
              </w:divBdr>
              <w:divsChild>
                <w:div w:id="1946958919">
                  <w:marLeft w:val="0"/>
                  <w:marRight w:val="0"/>
                  <w:marTop w:val="0"/>
                  <w:marBottom w:val="0"/>
                  <w:divBdr>
                    <w:top w:val="none" w:sz="0" w:space="0" w:color="auto"/>
                    <w:left w:val="none" w:sz="0" w:space="0" w:color="auto"/>
                    <w:bottom w:val="none" w:sz="0" w:space="0" w:color="auto"/>
                    <w:right w:val="none" w:sz="0" w:space="0" w:color="auto"/>
                  </w:divBdr>
                  <w:divsChild>
                    <w:div w:id="10635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3238">
      <w:bodyDiv w:val="1"/>
      <w:marLeft w:val="0"/>
      <w:marRight w:val="0"/>
      <w:marTop w:val="0"/>
      <w:marBottom w:val="0"/>
      <w:divBdr>
        <w:top w:val="none" w:sz="0" w:space="0" w:color="auto"/>
        <w:left w:val="none" w:sz="0" w:space="0" w:color="auto"/>
        <w:bottom w:val="none" w:sz="0" w:space="0" w:color="auto"/>
        <w:right w:val="none" w:sz="0" w:space="0" w:color="auto"/>
      </w:divBdr>
    </w:div>
    <w:div w:id="784929937">
      <w:bodyDiv w:val="1"/>
      <w:marLeft w:val="0"/>
      <w:marRight w:val="0"/>
      <w:marTop w:val="0"/>
      <w:marBottom w:val="0"/>
      <w:divBdr>
        <w:top w:val="none" w:sz="0" w:space="0" w:color="auto"/>
        <w:left w:val="none" w:sz="0" w:space="0" w:color="auto"/>
        <w:bottom w:val="none" w:sz="0" w:space="0" w:color="auto"/>
        <w:right w:val="none" w:sz="0" w:space="0" w:color="auto"/>
      </w:divBdr>
    </w:div>
    <w:div w:id="842818356">
      <w:bodyDiv w:val="1"/>
      <w:marLeft w:val="0"/>
      <w:marRight w:val="0"/>
      <w:marTop w:val="0"/>
      <w:marBottom w:val="0"/>
      <w:divBdr>
        <w:top w:val="none" w:sz="0" w:space="0" w:color="auto"/>
        <w:left w:val="none" w:sz="0" w:space="0" w:color="auto"/>
        <w:bottom w:val="none" w:sz="0" w:space="0" w:color="auto"/>
        <w:right w:val="none" w:sz="0" w:space="0" w:color="auto"/>
      </w:divBdr>
    </w:div>
    <w:div w:id="864175515">
      <w:bodyDiv w:val="1"/>
      <w:marLeft w:val="0"/>
      <w:marRight w:val="0"/>
      <w:marTop w:val="0"/>
      <w:marBottom w:val="0"/>
      <w:divBdr>
        <w:top w:val="none" w:sz="0" w:space="0" w:color="auto"/>
        <w:left w:val="none" w:sz="0" w:space="0" w:color="auto"/>
        <w:bottom w:val="none" w:sz="0" w:space="0" w:color="auto"/>
        <w:right w:val="none" w:sz="0" w:space="0" w:color="auto"/>
      </w:divBdr>
    </w:div>
    <w:div w:id="899290692">
      <w:bodyDiv w:val="1"/>
      <w:marLeft w:val="0"/>
      <w:marRight w:val="0"/>
      <w:marTop w:val="0"/>
      <w:marBottom w:val="0"/>
      <w:divBdr>
        <w:top w:val="none" w:sz="0" w:space="0" w:color="auto"/>
        <w:left w:val="none" w:sz="0" w:space="0" w:color="auto"/>
        <w:bottom w:val="none" w:sz="0" w:space="0" w:color="auto"/>
        <w:right w:val="none" w:sz="0" w:space="0" w:color="auto"/>
      </w:divBdr>
    </w:div>
    <w:div w:id="973678079">
      <w:bodyDiv w:val="1"/>
      <w:marLeft w:val="0"/>
      <w:marRight w:val="0"/>
      <w:marTop w:val="0"/>
      <w:marBottom w:val="0"/>
      <w:divBdr>
        <w:top w:val="none" w:sz="0" w:space="0" w:color="auto"/>
        <w:left w:val="none" w:sz="0" w:space="0" w:color="auto"/>
        <w:bottom w:val="none" w:sz="0" w:space="0" w:color="auto"/>
        <w:right w:val="none" w:sz="0" w:space="0" w:color="auto"/>
      </w:divBdr>
      <w:divsChild>
        <w:div w:id="1440833968">
          <w:marLeft w:val="0"/>
          <w:marRight w:val="0"/>
          <w:marTop w:val="0"/>
          <w:marBottom w:val="0"/>
          <w:divBdr>
            <w:top w:val="none" w:sz="0" w:space="0" w:color="auto"/>
            <w:left w:val="none" w:sz="0" w:space="0" w:color="auto"/>
            <w:bottom w:val="none" w:sz="0" w:space="0" w:color="auto"/>
            <w:right w:val="none" w:sz="0" w:space="0" w:color="auto"/>
          </w:divBdr>
          <w:divsChild>
            <w:div w:id="1710059723">
              <w:marLeft w:val="0"/>
              <w:marRight w:val="0"/>
              <w:marTop w:val="0"/>
              <w:marBottom w:val="0"/>
              <w:divBdr>
                <w:top w:val="none" w:sz="0" w:space="0" w:color="auto"/>
                <w:left w:val="none" w:sz="0" w:space="0" w:color="auto"/>
                <w:bottom w:val="none" w:sz="0" w:space="0" w:color="auto"/>
                <w:right w:val="none" w:sz="0" w:space="0" w:color="auto"/>
              </w:divBdr>
              <w:divsChild>
                <w:div w:id="6032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664">
      <w:bodyDiv w:val="1"/>
      <w:marLeft w:val="0"/>
      <w:marRight w:val="0"/>
      <w:marTop w:val="0"/>
      <w:marBottom w:val="0"/>
      <w:divBdr>
        <w:top w:val="none" w:sz="0" w:space="0" w:color="auto"/>
        <w:left w:val="none" w:sz="0" w:space="0" w:color="auto"/>
        <w:bottom w:val="none" w:sz="0" w:space="0" w:color="auto"/>
        <w:right w:val="none" w:sz="0" w:space="0" w:color="auto"/>
      </w:divBdr>
      <w:divsChild>
        <w:div w:id="1390760293">
          <w:marLeft w:val="0"/>
          <w:marRight w:val="0"/>
          <w:marTop w:val="0"/>
          <w:marBottom w:val="0"/>
          <w:divBdr>
            <w:top w:val="none" w:sz="0" w:space="0" w:color="auto"/>
            <w:left w:val="none" w:sz="0" w:space="0" w:color="auto"/>
            <w:bottom w:val="none" w:sz="0" w:space="0" w:color="auto"/>
            <w:right w:val="none" w:sz="0" w:space="0" w:color="auto"/>
          </w:divBdr>
          <w:divsChild>
            <w:div w:id="1134904704">
              <w:marLeft w:val="0"/>
              <w:marRight w:val="0"/>
              <w:marTop w:val="0"/>
              <w:marBottom w:val="0"/>
              <w:divBdr>
                <w:top w:val="none" w:sz="0" w:space="0" w:color="auto"/>
                <w:left w:val="none" w:sz="0" w:space="0" w:color="auto"/>
                <w:bottom w:val="none" w:sz="0" w:space="0" w:color="auto"/>
                <w:right w:val="none" w:sz="0" w:space="0" w:color="auto"/>
              </w:divBdr>
              <w:divsChild>
                <w:div w:id="7400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779">
      <w:bodyDiv w:val="1"/>
      <w:marLeft w:val="0"/>
      <w:marRight w:val="0"/>
      <w:marTop w:val="0"/>
      <w:marBottom w:val="0"/>
      <w:divBdr>
        <w:top w:val="none" w:sz="0" w:space="0" w:color="auto"/>
        <w:left w:val="none" w:sz="0" w:space="0" w:color="auto"/>
        <w:bottom w:val="none" w:sz="0" w:space="0" w:color="auto"/>
        <w:right w:val="none" w:sz="0" w:space="0" w:color="auto"/>
      </w:divBdr>
    </w:div>
    <w:div w:id="1091973794">
      <w:bodyDiv w:val="1"/>
      <w:marLeft w:val="0"/>
      <w:marRight w:val="0"/>
      <w:marTop w:val="0"/>
      <w:marBottom w:val="0"/>
      <w:divBdr>
        <w:top w:val="none" w:sz="0" w:space="0" w:color="auto"/>
        <w:left w:val="none" w:sz="0" w:space="0" w:color="auto"/>
        <w:bottom w:val="none" w:sz="0" w:space="0" w:color="auto"/>
        <w:right w:val="none" w:sz="0" w:space="0" w:color="auto"/>
      </w:divBdr>
      <w:divsChild>
        <w:div w:id="1303385358">
          <w:marLeft w:val="0"/>
          <w:marRight w:val="0"/>
          <w:marTop w:val="0"/>
          <w:marBottom w:val="0"/>
          <w:divBdr>
            <w:top w:val="none" w:sz="0" w:space="0" w:color="auto"/>
            <w:left w:val="none" w:sz="0" w:space="0" w:color="auto"/>
            <w:bottom w:val="none" w:sz="0" w:space="0" w:color="auto"/>
            <w:right w:val="none" w:sz="0" w:space="0" w:color="auto"/>
          </w:divBdr>
          <w:divsChild>
            <w:div w:id="892083501">
              <w:marLeft w:val="0"/>
              <w:marRight w:val="0"/>
              <w:marTop w:val="0"/>
              <w:marBottom w:val="0"/>
              <w:divBdr>
                <w:top w:val="none" w:sz="0" w:space="0" w:color="auto"/>
                <w:left w:val="none" w:sz="0" w:space="0" w:color="auto"/>
                <w:bottom w:val="none" w:sz="0" w:space="0" w:color="auto"/>
                <w:right w:val="none" w:sz="0" w:space="0" w:color="auto"/>
              </w:divBdr>
              <w:divsChild>
                <w:div w:id="523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4875">
      <w:bodyDiv w:val="1"/>
      <w:marLeft w:val="0"/>
      <w:marRight w:val="0"/>
      <w:marTop w:val="0"/>
      <w:marBottom w:val="0"/>
      <w:divBdr>
        <w:top w:val="none" w:sz="0" w:space="0" w:color="auto"/>
        <w:left w:val="none" w:sz="0" w:space="0" w:color="auto"/>
        <w:bottom w:val="none" w:sz="0" w:space="0" w:color="auto"/>
        <w:right w:val="none" w:sz="0" w:space="0" w:color="auto"/>
      </w:divBdr>
    </w:div>
    <w:div w:id="1150513502">
      <w:bodyDiv w:val="1"/>
      <w:marLeft w:val="0"/>
      <w:marRight w:val="0"/>
      <w:marTop w:val="0"/>
      <w:marBottom w:val="0"/>
      <w:divBdr>
        <w:top w:val="none" w:sz="0" w:space="0" w:color="auto"/>
        <w:left w:val="none" w:sz="0" w:space="0" w:color="auto"/>
        <w:bottom w:val="none" w:sz="0" w:space="0" w:color="auto"/>
        <w:right w:val="none" w:sz="0" w:space="0" w:color="auto"/>
      </w:divBdr>
      <w:divsChild>
        <w:div w:id="368653397">
          <w:marLeft w:val="0"/>
          <w:marRight w:val="0"/>
          <w:marTop w:val="0"/>
          <w:marBottom w:val="0"/>
          <w:divBdr>
            <w:top w:val="none" w:sz="0" w:space="0" w:color="auto"/>
            <w:left w:val="none" w:sz="0" w:space="0" w:color="auto"/>
            <w:bottom w:val="none" w:sz="0" w:space="0" w:color="auto"/>
            <w:right w:val="none" w:sz="0" w:space="0" w:color="auto"/>
          </w:divBdr>
          <w:divsChild>
            <w:div w:id="1913810418">
              <w:marLeft w:val="0"/>
              <w:marRight w:val="0"/>
              <w:marTop w:val="0"/>
              <w:marBottom w:val="0"/>
              <w:divBdr>
                <w:top w:val="none" w:sz="0" w:space="0" w:color="auto"/>
                <w:left w:val="none" w:sz="0" w:space="0" w:color="auto"/>
                <w:bottom w:val="none" w:sz="0" w:space="0" w:color="auto"/>
                <w:right w:val="none" w:sz="0" w:space="0" w:color="auto"/>
              </w:divBdr>
              <w:divsChild>
                <w:div w:id="733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8090">
      <w:bodyDiv w:val="1"/>
      <w:marLeft w:val="0"/>
      <w:marRight w:val="0"/>
      <w:marTop w:val="0"/>
      <w:marBottom w:val="0"/>
      <w:divBdr>
        <w:top w:val="none" w:sz="0" w:space="0" w:color="auto"/>
        <w:left w:val="none" w:sz="0" w:space="0" w:color="auto"/>
        <w:bottom w:val="none" w:sz="0" w:space="0" w:color="auto"/>
        <w:right w:val="none" w:sz="0" w:space="0" w:color="auto"/>
      </w:divBdr>
    </w:div>
    <w:div w:id="1225291244">
      <w:bodyDiv w:val="1"/>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523786286">
              <w:marLeft w:val="0"/>
              <w:marRight w:val="0"/>
              <w:marTop w:val="0"/>
              <w:marBottom w:val="0"/>
              <w:divBdr>
                <w:top w:val="none" w:sz="0" w:space="0" w:color="auto"/>
                <w:left w:val="none" w:sz="0" w:space="0" w:color="auto"/>
                <w:bottom w:val="none" w:sz="0" w:space="0" w:color="auto"/>
                <w:right w:val="none" w:sz="0" w:space="0" w:color="auto"/>
              </w:divBdr>
              <w:divsChild>
                <w:div w:id="12425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56477">
      <w:bodyDiv w:val="1"/>
      <w:marLeft w:val="0"/>
      <w:marRight w:val="0"/>
      <w:marTop w:val="0"/>
      <w:marBottom w:val="0"/>
      <w:divBdr>
        <w:top w:val="none" w:sz="0" w:space="0" w:color="auto"/>
        <w:left w:val="none" w:sz="0" w:space="0" w:color="auto"/>
        <w:bottom w:val="none" w:sz="0" w:space="0" w:color="auto"/>
        <w:right w:val="none" w:sz="0" w:space="0" w:color="auto"/>
      </w:divBdr>
    </w:div>
    <w:div w:id="1243028743">
      <w:bodyDiv w:val="1"/>
      <w:marLeft w:val="0"/>
      <w:marRight w:val="0"/>
      <w:marTop w:val="0"/>
      <w:marBottom w:val="0"/>
      <w:divBdr>
        <w:top w:val="none" w:sz="0" w:space="0" w:color="auto"/>
        <w:left w:val="none" w:sz="0" w:space="0" w:color="auto"/>
        <w:bottom w:val="none" w:sz="0" w:space="0" w:color="auto"/>
        <w:right w:val="none" w:sz="0" w:space="0" w:color="auto"/>
      </w:divBdr>
    </w:div>
    <w:div w:id="1250040579">
      <w:bodyDiv w:val="1"/>
      <w:marLeft w:val="0"/>
      <w:marRight w:val="0"/>
      <w:marTop w:val="0"/>
      <w:marBottom w:val="0"/>
      <w:divBdr>
        <w:top w:val="none" w:sz="0" w:space="0" w:color="auto"/>
        <w:left w:val="none" w:sz="0" w:space="0" w:color="auto"/>
        <w:bottom w:val="none" w:sz="0" w:space="0" w:color="auto"/>
        <w:right w:val="none" w:sz="0" w:space="0" w:color="auto"/>
      </w:divBdr>
    </w:div>
    <w:div w:id="1316254960">
      <w:bodyDiv w:val="1"/>
      <w:marLeft w:val="0"/>
      <w:marRight w:val="0"/>
      <w:marTop w:val="0"/>
      <w:marBottom w:val="0"/>
      <w:divBdr>
        <w:top w:val="none" w:sz="0" w:space="0" w:color="auto"/>
        <w:left w:val="none" w:sz="0" w:space="0" w:color="auto"/>
        <w:bottom w:val="none" w:sz="0" w:space="0" w:color="auto"/>
        <w:right w:val="none" w:sz="0" w:space="0" w:color="auto"/>
      </w:divBdr>
    </w:div>
    <w:div w:id="1403021107">
      <w:bodyDiv w:val="1"/>
      <w:marLeft w:val="0"/>
      <w:marRight w:val="0"/>
      <w:marTop w:val="0"/>
      <w:marBottom w:val="0"/>
      <w:divBdr>
        <w:top w:val="none" w:sz="0" w:space="0" w:color="auto"/>
        <w:left w:val="none" w:sz="0" w:space="0" w:color="auto"/>
        <w:bottom w:val="none" w:sz="0" w:space="0" w:color="auto"/>
        <w:right w:val="none" w:sz="0" w:space="0" w:color="auto"/>
      </w:divBdr>
      <w:divsChild>
        <w:div w:id="1172380522">
          <w:marLeft w:val="0"/>
          <w:marRight w:val="0"/>
          <w:marTop w:val="0"/>
          <w:marBottom w:val="0"/>
          <w:divBdr>
            <w:top w:val="none" w:sz="0" w:space="0" w:color="auto"/>
            <w:left w:val="none" w:sz="0" w:space="0" w:color="auto"/>
            <w:bottom w:val="none" w:sz="0" w:space="0" w:color="auto"/>
            <w:right w:val="none" w:sz="0" w:space="0" w:color="auto"/>
          </w:divBdr>
          <w:divsChild>
            <w:div w:id="1098797577">
              <w:marLeft w:val="0"/>
              <w:marRight w:val="0"/>
              <w:marTop w:val="0"/>
              <w:marBottom w:val="0"/>
              <w:divBdr>
                <w:top w:val="none" w:sz="0" w:space="0" w:color="auto"/>
                <w:left w:val="none" w:sz="0" w:space="0" w:color="auto"/>
                <w:bottom w:val="none" w:sz="0" w:space="0" w:color="auto"/>
                <w:right w:val="none" w:sz="0" w:space="0" w:color="auto"/>
              </w:divBdr>
              <w:divsChild>
                <w:div w:id="1935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0382">
      <w:bodyDiv w:val="1"/>
      <w:marLeft w:val="0"/>
      <w:marRight w:val="0"/>
      <w:marTop w:val="0"/>
      <w:marBottom w:val="0"/>
      <w:divBdr>
        <w:top w:val="none" w:sz="0" w:space="0" w:color="auto"/>
        <w:left w:val="none" w:sz="0" w:space="0" w:color="auto"/>
        <w:bottom w:val="none" w:sz="0" w:space="0" w:color="auto"/>
        <w:right w:val="none" w:sz="0" w:space="0" w:color="auto"/>
      </w:divBdr>
    </w:div>
    <w:div w:id="1424103324">
      <w:bodyDiv w:val="1"/>
      <w:marLeft w:val="0"/>
      <w:marRight w:val="0"/>
      <w:marTop w:val="0"/>
      <w:marBottom w:val="0"/>
      <w:divBdr>
        <w:top w:val="none" w:sz="0" w:space="0" w:color="auto"/>
        <w:left w:val="none" w:sz="0" w:space="0" w:color="auto"/>
        <w:bottom w:val="none" w:sz="0" w:space="0" w:color="auto"/>
        <w:right w:val="none" w:sz="0" w:space="0" w:color="auto"/>
      </w:divBdr>
    </w:div>
    <w:div w:id="1445272828">
      <w:bodyDiv w:val="1"/>
      <w:marLeft w:val="0"/>
      <w:marRight w:val="0"/>
      <w:marTop w:val="0"/>
      <w:marBottom w:val="0"/>
      <w:divBdr>
        <w:top w:val="none" w:sz="0" w:space="0" w:color="auto"/>
        <w:left w:val="none" w:sz="0" w:space="0" w:color="auto"/>
        <w:bottom w:val="none" w:sz="0" w:space="0" w:color="auto"/>
        <w:right w:val="none" w:sz="0" w:space="0" w:color="auto"/>
      </w:divBdr>
    </w:div>
    <w:div w:id="1466124494">
      <w:bodyDiv w:val="1"/>
      <w:marLeft w:val="0"/>
      <w:marRight w:val="0"/>
      <w:marTop w:val="0"/>
      <w:marBottom w:val="0"/>
      <w:divBdr>
        <w:top w:val="none" w:sz="0" w:space="0" w:color="auto"/>
        <w:left w:val="none" w:sz="0" w:space="0" w:color="auto"/>
        <w:bottom w:val="none" w:sz="0" w:space="0" w:color="auto"/>
        <w:right w:val="none" w:sz="0" w:space="0" w:color="auto"/>
      </w:divBdr>
    </w:div>
    <w:div w:id="1612975734">
      <w:bodyDiv w:val="1"/>
      <w:marLeft w:val="0"/>
      <w:marRight w:val="0"/>
      <w:marTop w:val="0"/>
      <w:marBottom w:val="0"/>
      <w:divBdr>
        <w:top w:val="none" w:sz="0" w:space="0" w:color="auto"/>
        <w:left w:val="none" w:sz="0" w:space="0" w:color="auto"/>
        <w:bottom w:val="none" w:sz="0" w:space="0" w:color="auto"/>
        <w:right w:val="none" w:sz="0" w:space="0" w:color="auto"/>
      </w:divBdr>
    </w:div>
    <w:div w:id="1654093065">
      <w:bodyDiv w:val="1"/>
      <w:marLeft w:val="0"/>
      <w:marRight w:val="0"/>
      <w:marTop w:val="0"/>
      <w:marBottom w:val="0"/>
      <w:divBdr>
        <w:top w:val="none" w:sz="0" w:space="0" w:color="auto"/>
        <w:left w:val="none" w:sz="0" w:space="0" w:color="auto"/>
        <w:bottom w:val="none" w:sz="0" w:space="0" w:color="auto"/>
        <w:right w:val="none" w:sz="0" w:space="0" w:color="auto"/>
      </w:divBdr>
    </w:div>
    <w:div w:id="1699501389">
      <w:bodyDiv w:val="1"/>
      <w:marLeft w:val="0"/>
      <w:marRight w:val="0"/>
      <w:marTop w:val="0"/>
      <w:marBottom w:val="0"/>
      <w:divBdr>
        <w:top w:val="none" w:sz="0" w:space="0" w:color="auto"/>
        <w:left w:val="none" w:sz="0" w:space="0" w:color="auto"/>
        <w:bottom w:val="none" w:sz="0" w:space="0" w:color="auto"/>
        <w:right w:val="none" w:sz="0" w:space="0" w:color="auto"/>
      </w:divBdr>
      <w:divsChild>
        <w:div w:id="1636907311">
          <w:marLeft w:val="0"/>
          <w:marRight w:val="0"/>
          <w:marTop w:val="0"/>
          <w:marBottom w:val="0"/>
          <w:divBdr>
            <w:top w:val="none" w:sz="0" w:space="0" w:color="auto"/>
            <w:left w:val="none" w:sz="0" w:space="0" w:color="auto"/>
            <w:bottom w:val="none" w:sz="0" w:space="0" w:color="auto"/>
            <w:right w:val="none" w:sz="0" w:space="0" w:color="auto"/>
          </w:divBdr>
          <w:divsChild>
            <w:div w:id="1308778802">
              <w:marLeft w:val="0"/>
              <w:marRight w:val="0"/>
              <w:marTop w:val="0"/>
              <w:marBottom w:val="0"/>
              <w:divBdr>
                <w:top w:val="none" w:sz="0" w:space="0" w:color="auto"/>
                <w:left w:val="none" w:sz="0" w:space="0" w:color="auto"/>
                <w:bottom w:val="none" w:sz="0" w:space="0" w:color="auto"/>
                <w:right w:val="none" w:sz="0" w:space="0" w:color="auto"/>
              </w:divBdr>
              <w:divsChild>
                <w:div w:id="5990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50550">
      <w:bodyDiv w:val="1"/>
      <w:marLeft w:val="0"/>
      <w:marRight w:val="0"/>
      <w:marTop w:val="0"/>
      <w:marBottom w:val="0"/>
      <w:divBdr>
        <w:top w:val="none" w:sz="0" w:space="0" w:color="auto"/>
        <w:left w:val="none" w:sz="0" w:space="0" w:color="auto"/>
        <w:bottom w:val="none" w:sz="0" w:space="0" w:color="auto"/>
        <w:right w:val="none" w:sz="0" w:space="0" w:color="auto"/>
      </w:divBdr>
    </w:div>
    <w:div w:id="1733846039">
      <w:bodyDiv w:val="1"/>
      <w:marLeft w:val="0"/>
      <w:marRight w:val="0"/>
      <w:marTop w:val="0"/>
      <w:marBottom w:val="0"/>
      <w:divBdr>
        <w:top w:val="none" w:sz="0" w:space="0" w:color="auto"/>
        <w:left w:val="none" w:sz="0" w:space="0" w:color="auto"/>
        <w:bottom w:val="none" w:sz="0" w:space="0" w:color="auto"/>
        <w:right w:val="none" w:sz="0" w:space="0" w:color="auto"/>
      </w:divBdr>
    </w:div>
    <w:div w:id="1741099624">
      <w:bodyDiv w:val="1"/>
      <w:marLeft w:val="0"/>
      <w:marRight w:val="0"/>
      <w:marTop w:val="0"/>
      <w:marBottom w:val="0"/>
      <w:divBdr>
        <w:top w:val="none" w:sz="0" w:space="0" w:color="auto"/>
        <w:left w:val="none" w:sz="0" w:space="0" w:color="auto"/>
        <w:bottom w:val="none" w:sz="0" w:space="0" w:color="auto"/>
        <w:right w:val="none" w:sz="0" w:space="0" w:color="auto"/>
      </w:divBdr>
    </w:div>
    <w:div w:id="1743065935">
      <w:bodyDiv w:val="1"/>
      <w:marLeft w:val="0"/>
      <w:marRight w:val="0"/>
      <w:marTop w:val="0"/>
      <w:marBottom w:val="0"/>
      <w:divBdr>
        <w:top w:val="none" w:sz="0" w:space="0" w:color="auto"/>
        <w:left w:val="none" w:sz="0" w:space="0" w:color="auto"/>
        <w:bottom w:val="none" w:sz="0" w:space="0" w:color="auto"/>
        <w:right w:val="none" w:sz="0" w:space="0" w:color="auto"/>
      </w:divBdr>
    </w:div>
    <w:div w:id="1855264951">
      <w:bodyDiv w:val="1"/>
      <w:marLeft w:val="0"/>
      <w:marRight w:val="0"/>
      <w:marTop w:val="0"/>
      <w:marBottom w:val="0"/>
      <w:divBdr>
        <w:top w:val="none" w:sz="0" w:space="0" w:color="auto"/>
        <w:left w:val="none" w:sz="0" w:space="0" w:color="auto"/>
        <w:bottom w:val="none" w:sz="0" w:space="0" w:color="auto"/>
        <w:right w:val="none" w:sz="0" w:space="0" w:color="auto"/>
      </w:divBdr>
    </w:div>
    <w:div w:id="1896696020">
      <w:bodyDiv w:val="1"/>
      <w:marLeft w:val="0"/>
      <w:marRight w:val="0"/>
      <w:marTop w:val="0"/>
      <w:marBottom w:val="0"/>
      <w:divBdr>
        <w:top w:val="none" w:sz="0" w:space="0" w:color="auto"/>
        <w:left w:val="none" w:sz="0" w:space="0" w:color="auto"/>
        <w:bottom w:val="none" w:sz="0" w:space="0" w:color="auto"/>
        <w:right w:val="none" w:sz="0" w:space="0" w:color="auto"/>
      </w:divBdr>
    </w:div>
    <w:div w:id="1904410698">
      <w:bodyDiv w:val="1"/>
      <w:marLeft w:val="0"/>
      <w:marRight w:val="0"/>
      <w:marTop w:val="0"/>
      <w:marBottom w:val="0"/>
      <w:divBdr>
        <w:top w:val="none" w:sz="0" w:space="0" w:color="auto"/>
        <w:left w:val="none" w:sz="0" w:space="0" w:color="auto"/>
        <w:bottom w:val="none" w:sz="0" w:space="0" w:color="auto"/>
        <w:right w:val="none" w:sz="0" w:space="0" w:color="auto"/>
      </w:divBdr>
      <w:divsChild>
        <w:div w:id="722386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681056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932929918">
      <w:bodyDiv w:val="1"/>
      <w:marLeft w:val="0"/>
      <w:marRight w:val="0"/>
      <w:marTop w:val="0"/>
      <w:marBottom w:val="0"/>
      <w:divBdr>
        <w:top w:val="none" w:sz="0" w:space="0" w:color="auto"/>
        <w:left w:val="none" w:sz="0" w:space="0" w:color="auto"/>
        <w:bottom w:val="none" w:sz="0" w:space="0" w:color="auto"/>
        <w:right w:val="none" w:sz="0" w:space="0" w:color="auto"/>
      </w:divBdr>
    </w:div>
    <w:div w:id="1933589669">
      <w:bodyDiv w:val="1"/>
      <w:marLeft w:val="0"/>
      <w:marRight w:val="0"/>
      <w:marTop w:val="0"/>
      <w:marBottom w:val="0"/>
      <w:divBdr>
        <w:top w:val="none" w:sz="0" w:space="0" w:color="auto"/>
        <w:left w:val="none" w:sz="0" w:space="0" w:color="auto"/>
        <w:bottom w:val="none" w:sz="0" w:space="0" w:color="auto"/>
        <w:right w:val="none" w:sz="0" w:space="0" w:color="auto"/>
      </w:divBdr>
      <w:divsChild>
        <w:div w:id="1508523959">
          <w:marLeft w:val="0"/>
          <w:marRight w:val="0"/>
          <w:marTop w:val="0"/>
          <w:marBottom w:val="0"/>
          <w:divBdr>
            <w:top w:val="none" w:sz="0" w:space="0" w:color="auto"/>
            <w:left w:val="none" w:sz="0" w:space="0" w:color="auto"/>
            <w:bottom w:val="none" w:sz="0" w:space="0" w:color="auto"/>
            <w:right w:val="none" w:sz="0" w:space="0" w:color="auto"/>
          </w:divBdr>
          <w:divsChild>
            <w:div w:id="1247690432">
              <w:marLeft w:val="0"/>
              <w:marRight w:val="0"/>
              <w:marTop w:val="0"/>
              <w:marBottom w:val="0"/>
              <w:divBdr>
                <w:top w:val="none" w:sz="0" w:space="0" w:color="auto"/>
                <w:left w:val="none" w:sz="0" w:space="0" w:color="auto"/>
                <w:bottom w:val="none" w:sz="0" w:space="0" w:color="auto"/>
                <w:right w:val="none" w:sz="0" w:space="0" w:color="auto"/>
              </w:divBdr>
              <w:divsChild>
                <w:div w:id="4145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2085">
      <w:bodyDiv w:val="1"/>
      <w:marLeft w:val="0"/>
      <w:marRight w:val="0"/>
      <w:marTop w:val="0"/>
      <w:marBottom w:val="0"/>
      <w:divBdr>
        <w:top w:val="none" w:sz="0" w:space="0" w:color="auto"/>
        <w:left w:val="none" w:sz="0" w:space="0" w:color="auto"/>
        <w:bottom w:val="none" w:sz="0" w:space="0" w:color="auto"/>
        <w:right w:val="none" w:sz="0" w:space="0" w:color="auto"/>
      </w:divBdr>
      <w:divsChild>
        <w:div w:id="755977468">
          <w:marLeft w:val="0"/>
          <w:marRight w:val="0"/>
          <w:marTop w:val="0"/>
          <w:marBottom w:val="0"/>
          <w:divBdr>
            <w:top w:val="none" w:sz="0" w:space="0" w:color="auto"/>
            <w:left w:val="none" w:sz="0" w:space="0" w:color="auto"/>
            <w:bottom w:val="none" w:sz="0" w:space="0" w:color="auto"/>
            <w:right w:val="none" w:sz="0" w:space="0" w:color="auto"/>
          </w:divBdr>
          <w:divsChild>
            <w:div w:id="1389760894">
              <w:marLeft w:val="0"/>
              <w:marRight w:val="0"/>
              <w:marTop w:val="0"/>
              <w:marBottom w:val="0"/>
              <w:divBdr>
                <w:top w:val="none" w:sz="0" w:space="0" w:color="auto"/>
                <w:left w:val="none" w:sz="0" w:space="0" w:color="auto"/>
                <w:bottom w:val="none" w:sz="0" w:space="0" w:color="auto"/>
                <w:right w:val="none" w:sz="0" w:space="0" w:color="auto"/>
              </w:divBdr>
              <w:divsChild>
                <w:div w:id="1243375589">
                  <w:marLeft w:val="0"/>
                  <w:marRight w:val="0"/>
                  <w:marTop w:val="0"/>
                  <w:marBottom w:val="0"/>
                  <w:divBdr>
                    <w:top w:val="none" w:sz="0" w:space="0" w:color="auto"/>
                    <w:left w:val="none" w:sz="0" w:space="0" w:color="auto"/>
                    <w:bottom w:val="none" w:sz="0" w:space="0" w:color="auto"/>
                    <w:right w:val="none" w:sz="0" w:space="0" w:color="auto"/>
                  </w:divBdr>
                  <w:divsChild>
                    <w:div w:id="12590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29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pdf/cop9/cop9_doc08_e.pdf" TargetMode="External"/><Relationship Id="rId13" Type="http://schemas.openxmlformats.org/officeDocument/2006/relationships/hyperlink" Target="https://medwet.org/2019/12/medwet-presence-at-the-barcelona-convention-cop-21/" TargetMode="External"/><Relationship Id="rId3" Type="http://schemas.openxmlformats.org/officeDocument/2006/relationships/hyperlink" Target="https://www.ramsar.org/sites/default/files/documents/pdf/cop9/cop9_doc08_e.pdf" TargetMode="External"/><Relationship Id="rId7" Type="http://schemas.openxmlformats.org/officeDocument/2006/relationships/hyperlink" Target="http://eaaflyway.net/documents/key/internal/EAAFP_Secretariat_ToR_as-adopted.pdf" TargetMode="External"/><Relationship Id="rId12" Type="http://schemas.openxmlformats.org/officeDocument/2006/relationships/hyperlink" Target="http://legal.un.org/ilc/texts/instruments/english/draft_articles/9_11_2011.pdf" TargetMode="External"/><Relationship Id="rId2" Type="http://schemas.openxmlformats.org/officeDocument/2006/relationships/hyperlink" Target="https://www.ramsar.org/sites/default/files/documents/library/ri_report2015_plan2016_centre_western_hemisphere.pdf" TargetMode="External"/><Relationship Id="rId1" Type="http://schemas.openxmlformats.org/officeDocument/2006/relationships/hyperlink" Target="https://www.ramsar.org/activity/ramsar-regional-initiatives" TargetMode="External"/><Relationship Id="rId6" Type="http://schemas.openxmlformats.org/officeDocument/2006/relationships/hyperlink" Target="https://medwet.org/wp-content/uploads/2018/05/EN-Terms-of-Reference-of-Mediterranean-Wetlands-Initiative.pdf" TargetMode="External"/><Relationship Id="rId11" Type="http://schemas.openxmlformats.org/officeDocument/2006/relationships/hyperlink" Target="https://dx.doi.org/10.2139/ssrn.2682444" TargetMode="External"/><Relationship Id="rId5" Type="http://schemas.openxmlformats.org/officeDocument/2006/relationships/hyperlink" Target="https://www.ramsar.org/sites/default/files/documents/pdf/sc/41/sc41_doc13_app06.pdf" TargetMode="External"/><Relationship Id="rId10" Type="http://schemas.openxmlformats.org/officeDocument/2006/relationships/hyperlink" Target="https://ssrn.com/abstract=2682444" TargetMode="External"/><Relationship Id="rId4" Type="http://schemas.openxmlformats.org/officeDocument/2006/relationships/hyperlink" Target="https://www.ramsar.org/sites/default/files/documents/pdf/cop9/cop9_doc08_e.pdf" TargetMode="External"/><Relationship Id="rId9" Type="http://schemas.openxmlformats.org/officeDocument/2006/relationships/hyperlink" Target="https://www.ramsar.org/sites/default/files/documents/library/ri_report2015_plan2016_centre_western_hemisphere.pdf" TargetMode="External"/><Relationship Id="rId14" Type="http://schemas.openxmlformats.org/officeDocument/2006/relationships/hyperlink" Target="http://wedocs.unep.org/bitstream/handle/20.500.11822/20737/Accreditation%20modalities%20%20Flyer2.pdf?sequence=1&amp;isAllowed=y"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C0BC38-4AD1-4A46-830C-D52D4014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9158</Words>
  <Characters>52206</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JENNINGS Edmund</cp:lastModifiedBy>
  <cp:revision>2</cp:revision>
  <dcterms:created xsi:type="dcterms:W3CDTF">2020-04-30T11:57:00Z</dcterms:created>
  <dcterms:modified xsi:type="dcterms:W3CDTF">2020-04-30T11:57:00Z</dcterms:modified>
</cp:coreProperties>
</file>