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C7E19" w14:textId="77777777" w:rsidR="00275F13" w:rsidRPr="00B227DA" w:rsidRDefault="00913F95" w:rsidP="003F3DD1">
      <w:pPr>
        <w:pBdr>
          <w:top w:val="single" w:sz="12" w:space="0" w:color="auto" w:shadow="1"/>
          <w:left w:val="single" w:sz="12" w:space="4" w:color="auto" w:shadow="1"/>
          <w:bottom w:val="single" w:sz="12" w:space="1" w:color="auto" w:shadow="1"/>
          <w:right w:val="single" w:sz="12" w:space="31" w:color="auto" w:shadow="1"/>
        </w:pBdr>
        <w:ind w:right="2790"/>
        <w:rPr>
          <w:bCs/>
          <w:sz w:val="24"/>
          <w:szCs w:val="24"/>
        </w:rPr>
      </w:pPr>
      <w:r w:rsidRPr="00B227DA">
        <w:rPr>
          <w:bCs/>
          <w:sz w:val="24"/>
          <w:szCs w:val="24"/>
        </w:rPr>
        <w:t xml:space="preserve">LA CONVENCIÓN SOBRE LOS HUMEDALES </w:t>
      </w:r>
    </w:p>
    <w:p w14:paraId="243E7853" w14:textId="72F05817" w:rsidR="00DF2386" w:rsidRPr="00B227DA" w:rsidRDefault="00B83EF9" w:rsidP="003F3DD1">
      <w:pPr>
        <w:pBdr>
          <w:top w:val="single" w:sz="12" w:space="0" w:color="auto" w:shadow="1"/>
          <w:left w:val="single" w:sz="12" w:space="4" w:color="auto" w:shadow="1"/>
          <w:bottom w:val="single" w:sz="12" w:space="1" w:color="auto" w:shadow="1"/>
          <w:right w:val="single" w:sz="12" w:space="31" w:color="auto" w:shadow="1"/>
        </w:pBdr>
        <w:ind w:right="2790"/>
        <w:rPr>
          <w:bCs/>
          <w:sz w:val="24"/>
          <w:szCs w:val="24"/>
        </w:rPr>
      </w:pPr>
      <w:r w:rsidRPr="00B227DA">
        <w:rPr>
          <w:bCs/>
          <w:sz w:val="24"/>
          <w:szCs w:val="24"/>
        </w:rPr>
        <w:t xml:space="preserve">58ª </w:t>
      </w:r>
      <w:r w:rsidR="00A92B90" w:rsidRPr="00B227DA">
        <w:rPr>
          <w:bCs/>
          <w:sz w:val="24"/>
          <w:szCs w:val="24"/>
        </w:rPr>
        <w:t>r</w:t>
      </w:r>
      <w:r w:rsidRPr="00B227DA">
        <w:rPr>
          <w:bCs/>
          <w:sz w:val="24"/>
          <w:szCs w:val="24"/>
        </w:rPr>
        <w:t>eunión del Comité Permanente</w:t>
      </w:r>
    </w:p>
    <w:p w14:paraId="0B9AC991" w14:textId="51999831" w:rsidR="00DF2386" w:rsidRPr="00B227DA" w:rsidRDefault="00A92B90" w:rsidP="00A8092E">
      <w:pPr>
        <w:pBdr>
          <w:top w:val="single" w:sz="12" w:space="0" w:color="auto" w:shadow="1"/>
          <w:left w:val="single" w:sz="12" w:space="4" w:color="auto" w:shadow="1"/>
          <w:bottom w:val="single" w:sz="12" w:space="1" w:color="auto" w:shadow="1"/>
          <w:right w:val="single" w:sz="12" w:space="31" w:color="auto" w:shadow="1"/>
        </w:pBdr>
        <w:ind w:left="0" w:right="2790" w:firstLine="0"/>
        <w:rPr>
          <w:bCs/>
          <w:sz w:val="24"/>
          <w:szCs w:val="24"/>
        </w:rPr>
      </w:pPr>
      <w:r w:rsidRPr="00B227DA">
        <w:rPr>
          <w:bCs/>
          <w:sz w:val="24"/>
          <w:szCs w:val="24"/>
        </w:rPr>
        <w:t xml:space="preserve">Para examen entre períodos de sesiones, </w:t>
      </w:r>
      <w:r w:rsidR="005727D2">
        <w:rPr>
          <w:bCs/>
          <w:sz w:val="24"/>
          <w:szCs w:val="24"/>
        </w:rPr>
        <w:t>marzo</w:t>
      </w:r>
      <w:r w:rsidR="005727D2" w:rsidRPr="00B227DA">
        <w:rPr>
          <w:bCs/>
          <w:sz w:val="24"/>
          <w:szCs w:val="24"/>
        </w:rPr>
        <w:t xml:space="preserve"> </w:t>
      </w:r>
      <w:r w:rsidR="002018DD" w:rsidRPr="00B227DA">
        <w:rPr>
          <w:bCs/>
          <w:sz w:val="24"/>
          <w:szCs w:val="24"/>
        </w:rPr>
        <w:t>de 202</w:t>
      </w:r>
      <w:r w:rsidR="00141F74" w:rsidRPr="00B227DA">
        <w:rPr>
          <w:bCs/>
          <w:sz w:val="24"/>
          <w:szCs w:val="24"/>
        </w:rPr>
        <w:t>1</w:t>
      </w:r>
    </w:p>
    <w:p w14:paraId="4C33891B" w14:textId="77777777" w:rsidR="00DF2386" w:rsidRPr="00B227DA" w:rsidRDefault="00DF2386" w:rsidP="00014168">
      <w:pPr>
        <w:outlineLvl w:val="0"/>
        <w:rPr>
          <w:b/>
        </w:rPr>
      </w:pPr>
    </w:p>
    <w:p w14:paraId="701FAAF2" w14:textId="1DF93CF7" w:rsidR="00DF2386" w:rsidRPr="00B227DA" w:rsidRDefault="00B83EF9" w:rsidP="00014168">
      <w:pPr>
        <w:jc w:val="right"/>
        <w:rPr>
          <w:rFonts w:cs="Arial"/>
          <w:sz w:val="28"/>
          <w:szCs w:val="28"/>
        </w:rPr>
      </w:pPr>
      <w:r w:rsidRPr="00B227DA">
        <w:rPr>
          <w:b/>
          <w:sz w:val="28"/>
          <w:szCs w:val="28"/>
        </w:rPr>
        <w:t xml:space="preserve">SC58 Doc.20.4 </w:t>
      </w:r>
      <w:r w:rsidR="00A92B90" w:rsidRPr="00B227DA">
        <w:rPr>
          <w:b/>
          <w:sz w:val="28"/>
          <w:szCs w:val="28"/>
        </w:rPr>
        <w:t>Rev.</w:t>
      </w:r>
      <w:r w:rsidR="005205AA">
        <w:rPr>
          <w:b/>
          <w:sz w:val="28"/>
          <w:szCs w:val="28"/>
        </w:rPr>
        <w:t>5</w:t>
      </w:r>
    </w:p>
    <w:p w14:paraId="09EDF376" w14:textId="77777777" w:rsidR="00DF2386" w:rsidRPr="00B227DA" w:rsidRDefault="00DF2386" w:rsidP="00014168">
      <w:pPr>
        <w:rPr>
          <w:rFonts w:cs="Arial"/>
          <w:b/>
          <w:sz w:val="28"/>
          <w:szCs w:val="28"/>
        </w:rPr>
      </w:pPr>
    </w:p>
    <w:p w14:paraId="08A1BEED" w14:textId="5F6687E5" w:rsidR="00DF2386" w:rsidRPr="00B227DA" w:rsidRDefault="00E77F2D" w:rsidP="00014168">
      <w:pPr>
        <w:jc w:val="center"/>
        <w:rPr>
          <w:rFonts w:cs="Arial"/>
          <w:b/>
          <w:sz w:val="28"/>
          <w:szCs w:val="28"/>
        </w:rPr>
      </w:pPr>
      <w:r w:rsidRPr="00B227DA">
        <w:rPr>
          <w:b/>
          <w:sz w:val="28"/>
          <w:szCs w:val="28"/>
        </w:rPr>
        <w:t>Procedimiento para la preparación</w:t>
      </w:r>
      <w:r w:rsidR="00A92B90" w:rsidRPr="00B227DA">
        <w:rPr>
          <w:b/>
          <w:sz w:val="28"/>
          <w:szCs w:val="28"/>
        </w:rPr>
        <w:t>, la presentación</w:t>
      </w:r>
      <w:r w:rsidRPr="00B227DA">
        <w:rPr>
          <w:b/>
          <w:sz w:val="28"/>
          <w:szCs w:val="28"/>
        </w:rPr>
        <w:t xml:space="preserve"> y el examen </w:t>
      </w:r>
      <w:r w:rsidR="005205AA">
        <w:rPr>
          <w:b/>
          <w:sz w:val="28"/>
          <w:szCs w:val="28"/>
        </w:rPr>
        <w:br/>
      </w:r>
      <w:r w:rsidRPr="00B227DA">
        <w:rPr>
          <w:b/>
          <w:sz w:val="28"/>
          <w:szCs w:val="28"/>
        </w:rPr>
        <w:t>de proyectos de resolución</w:t>
      </w:r>
    </w:p>
    <w:p w14:paraId="40264165" w14:textId="77777777" w:rsidR="00DF2386" w:rsidRPr="00B227DA" w:rsidRDefault="00DF2386" w:rsidP="00014168">
      <w:pPr>
        <w:rPr>
          <w:rFonts w:ascii="Garamond" w:hAnsi="Garamond" w:cs="Arial"/>
        </w:rPr>
      </w:pPr>
    </w:p>
    <w:p w14:paraId="16A79B7B" w14:textId="77777777" w:rsidR="000C2489" w:rsidRPr="00B227DA" w:rsidRDefault="000C2489" w:rsidP="00014168">
      <w:pPr>
        <w:autoSpaceDE w:val="0"/>
        <w:autoSpaceDN w:val="0"/>
        <w:adjustRightInd w:val="0"/>
        <w:rPr>
          <w:rFonts w:asciiTheme="minorHAnsi" w:eastAsiaTheme="minorHAnsi" w:hAnsiTheme="minorHAnsi" w:cs="Calibri-Bold"/>
          <w:b/>
          <w:bCs/>
        </w:rPr>
      </w:pPr>
      <w:r w:rsidRPr="00B227DA">
        <w:rPr>
          <w:noProof/>
          <w:lang w:val="en-GB" w:eastAsia="en-GB"/>
        </w:rPr>
        <mc:AlternateContent>
          <mc:Choice Requires="wps">
            <w:drawing>
              <wp:inline distT="0" distB="0" distL="0" distR="0" wp14:anchorId="719B9D86" wp14:editId="499FD961">
                <wp:extent cx="5731510" cy="3235910"/>
                <wp:effectExtent l="0" t="0" r="8890" b="158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235910"/>
                        </a:xfrm>
                        <a:prstGeom prst="rect">
                          <a:avLst/>
                        </a:prstGeom>
                        <a:solidFill>
                          <a:srgbClr val="FFFFFF"/>
                        </a:solidFill>
                        <a:ln w="9525">
                          <a:solidFill>
                            <a:srgbClr val="000000"/>
                          </a:solidFill>
                          <a:miter lim="800000"/>
                          <a:headEnd/>
                          <a:tailEnd/>
                        </a:ln>
                      </wps:spPr>
                      <wps:txbx>
                        <w:txbxContent>
                          <w:p w14:paraId="7ADD69AF" w14:textId="77777777" w:rsidR="008B52E0" w:rsidRDefault="008B52E0" w:rsidP="000C2489">
                            <w:pPr>
                              <w:rPr>
                                <w:b/>
                                <w:bCs/>
                              </w:rPr>
                            </w:pPr>
                            <w:r>
                              <w:rPr>
                                <w:b/>
                                <w:bCs/>
                              </w:rPr>
                              <w:t xml:space="preserve">Acciones solicitadas: </w:t>
                            </w:r>
                          </w:p>
                          <w:p w14:paraId="1B2C51D1" w14:textId="77777777" w:rsidR="008B52E0" w:rsidRDefault="008B52E0" w:rsidP="000C2489">
                            <w:pPr>
                              <w:pStyle w:val="ColorfulList-Accent11"/>
                              <w:ind w:left="0"/>
                            </w:pPr>
                          </w:p>
                          <w:p w14:paraId="0E4B807E" w14:textId="3932A093" w:rsidR="008B52E0" w:rsidRDefault="008B52E0" w:rsidP="00275F13">
                            <w:pPr>
                              <w:pStyle w:val="ColorfulList-Accent11"/>
                              <w:ind w:left="0" w:firstLine="0"/>
                              <w:rPr>
                                <w:rFonts w:cs="Calibri"/>
                              </w:rPr>
                            </w:pPr>
                            <w:r w:rsidRPr="00A8092E">
                              <w:t>Se invita al Comité Permanente a hacer lo siguiente</w:t>
                            </w:r>
                            <w:r w:rsidR="00965535" w:rsidRPr="00A8092E">
                              <w:t>:</w:t>
                            </w:r>
                          </w:p>
                          <w:p w14:paraId="018D12C8" w14:textId="77777777" w:rsidR="008B52E0" w:rsidRDefault="008B52E0" w:rsidP="006959B5">
                            <w:pPr>
                              <w:pStyle w:val="ColorfulList-Accent11"/>
                              <w:ind w:left="426"/>
                              <w:rPr>
                                <w:rFonts w:cs="Calibri"/>
                              </w:rPr>
                            </w:pPr>
                          </w:p>
                          <w:p w14:paraId="1C162E31" w14:textId="5FB9179D" w:rsidR="008B52E0" w:rsidRPr="003F3CB1" w:rsidRDefault="008B52E0" w:rsidP="006959B5">
                            <w:pPr>
                              <w:pStyle w:val="ColorfulList-Accent11"/>
                              <w:numPr>
                                <w:ilvl w:val="0"/>
                                <w:numId w:val="35"/>
                              </w:numPr>
                              <w:ind w:left="426" w:hanging="425"/>
                              <w:rPr>
                                <w:rFonts w:cs="Calibri"/>
                              </w:rPr>
                            </w:pPr>
                            <w:r>
                              <w:t xml:space="preserve">tomar nota del calendario orientativo de los eventos relacionados con la 14ª reunión de la Conferencia de las Partes Contratantes (COP14), que figura en el párrafo 3; </w:t>
                            </w:r>
                          </w:p>
                          <w:p w14:paraId="4811099B" w14:textId="77777777" w:rsidR="008B52E0" w:rsidRPr="003F3CB1" w:rsidRDefault="008B52E0" w:rsidP="006959B5">
                            <w:pPr>
                              <w:pStyle w:val="ColorfulList-Accent11"/>
                              <w:ind w:left="426"/>
                              <w:rPr>
                                <w:rFonts w:cs="Calibri"/>
                              </w:rPr>
                            </w:pPr>
                          </w:p>
                          <w:p w14:paraId="5D9A8A61" w14:textId="46A112A1" w:rsidR="008B52E0" w:rsidRPr="003F3CB1" w:rsidRDefault="008B52E0" w:rsidP="006959B5">
                            <w:pPr>
                              <w:pStyle w:val="ColorfulList-Accent11"/>
                              <w:numPr>
                                <w:ilvl w:val="0"/>
                                <w:numId w:val="35"/>
                              </w:numPr>
                              <w:ind w:left="426" w:hanging="425"/>
                            </w:pPr>
                            <w:r>
                              <w:t xml:space="preserve">tomar nota de las orientaciones sobre la preparación de los proyectos de resolución para la COP14, que se presentan en el </w:t>
                            </w:r>
                            <w:r w:rsidRPr="00965535">
                              <w:rPr>
                                <w:color w:val="000000" w:themeColor="text1"/>
                              </w:rPr>
                              <w:t xml:space="preserve">Anexo </w:t>
                            </w:r>
                            <w:r>
                              <w:t>1;</w:t>
                            </w:r>
                          </w:p>
                          <w:p w14:paraId="19F6D5BC" w14:textId="77777777" w:rsidR="008B52E0" w:rsidRPr="003F3CB1" w:rsidRDefault="008B52E0" w:rsidP="006959B5">
                            <w:pPr>
                              <w:pStyle w:val="ColorfulList-Accent11"/>
                              <w:ind w:left="426"/>
                            </w:pPr>
                          </w:p>
                          <w:p w14:paraId="2D725AA9" w14:textId="3558A4F9" w:rsidR="008B52E0" w:rsidRPr="003F3CB1" w:rsidRDefault="008B52E0" w:rsidP="006959B5">
                            <w:pPr>
                              <w:pStyle w:val="ColorfulList-Accent11"/>
                              <w:ind w:left="426"/>
                              <w:rPr>
                                <w:rFonts w:eastAsia="Times New Roman" w:cs="Calibri"/>
                                <w:color w:val="000000"/>
                              </w:rPr>
                            </w:pPr>
                            <w:r>
                              <w:t>iii.</w:t>
                            </w:r>
                            <w:r>
                              <w:tab/>
                            </w:r>
                            <w:r w:rsidR="002018DD">
                              <w:t>aprobar las orientaciones sobre la función de la Secretaría en materia d</w:t>
                            </w:r>
                            <w:r>
                              <w:t>e colaboración con las Partes Contratantes en la preparación de proyectos de resolución, y los procedimientos para hacerlo tanto antes como después de la 59ª reunión del Comité Permanente (SC59), como se indica en los párrafos 8 a 1</w:t>
                            </w:r>
                            <w:r w:rsidR="008A5567">
                              <w:t>2</w:t>
                            </w:r>
                            <w:r>
                              <w:t>; y</w:t>
                            </w:r>
                          </w:p>
                          <w:p w14:paraId="170CE0EC" w14:textId="77777777" w:rsidR="008B52E0" w:rsidRPr="003F3CB1" w:rsidRDefault="008B52E0" w:rsidP="006959B5">
                            <w:pPr>
                              <w:pStyle w:val="ColorfulList-Accent11"/>
                              <w:ind w:left="426"/>
                              <w:rPr>
                                <w:rFonts w:eastAsia="Times New Roman" w:cs="Calibri"/>
                                <w:color w:val="000000"/>
                                <w:lang w:eastAsia="en-GB"/>
                              </w:rPr>
                            </w:pPr>
                          </w:p>
                          <w:p w14:paraId="5A49308C" w14:textId="657A3D36" w:rsidR="008B52E0" w:rsidRPr="00A92B90" w:rsidRDefault="008B52E0" w:rsidP="00A92B90">
                            <w:pPr>
                              <w:pStyle w:val="ColorfulList-Accent11"/>
                              <w:ind w:left="426"/>
                              <w:rPr>
                                <w:rFonts w:eastAsia="Times New Roman" w:cs="Calibri"/>
                                <w:color w:val="000000"/>
                              </w:rPr>
                            </w:pPr>
                            <w:r>
                              <w:rPr>
                                <w:color w:val="000000"/>
                              </w:rPr>
                              <w:t>iv.</w:t>
                            </w:r>
                            <w:r>
                              <w:rPr>
                                <w:color w:val="000000"/>
                              </w:rPr>
                              <w:tab/>
                            </w:r>
                            <w:r w:rsidRPr="002018DD">
                              <w:t xml:space="preserve">encargar a la Secretaría que haga un seguimiento para la COP14 del procedimiento para el examen de los proyectos de resolución </w:t>
                            </w:r>
                            <w:r w:rsidR="00C24EC2">
                              <w:t>aplicado</w:t>
                            </w:r>
                            <w:r w:rsidRPr="002018DD">
                              <w:t xml:space="preserve"> en la COP13, </w:t>
                            </w:r>
                            <w:r w:rsidR="00C24EC2">
                              <w:t>realizando</w:t>
                            </w:r>
                            <w:r w:rsidRPr="002018DD">
                              <w:t xml:space="preserve"> </w:t>
                            </w:r>
                            <w:r w:rsidR="00965535" w:rsidRPr="002018DD">
                              <w:t xml:space="preserve">las </w:t>
                            </w:r>
                            <w:r w:rsidRPr="002018DD">
                              <w:t xml:space="preserve">mejoras logísticas </w:t>
                            </w:r>
                            <w:r w:rsidR="00965535" w:rsidRPr="002018DD">
                              <w:t>que</w:t>
                            </w:r>
                            <w:r w:rsidRPr="002018DD">
                              <w:t xml:space="preserve"> proceda</w:t>
                            </w:r>
                            <w:r w:rsidR="00965535" w:rsidRPr="002018DD">
                              <w:t>n</w:t>
                            </w:r>
                            <w:r w:rsidRPr="002018DD">
                              <w:t>.</w:t>
                            </w:r>
                          </w:p>
                          <w:p w14:paraId="44D85C00" w14:textId="77777777" w:rsidR="008B52E0" w:rsidRDefault="008B52E0" w:rsidP="00275F13">
                            <w:pPr>
                              <w:pStyle w:val="ColorfulList-Accent11"/>
                              <w:ind w:left="360" w:firstLine="0"/>
                            </w:pPr>
                          </w:p>
                        </w:txbxContent>
                      </wps:txbx>
                      <wps:bodyPr rot="0" vert="horz" wrap="square" lIns="91440" tIns="45720" rIns="91440" bIns="45720" anchor="t" anchorCtr="0" upright="1">
                        <a:noAutofit/>
                      </wps:bodyPr>
                    </wps:wsp>
                  </a:graphicData>
                </a:graphic>
              </wp:inline>
            </w:drawing>
          </mc:Choice>
          <mc:Fallback>
            <w:pict>
              <v:shapetype w14:anchorId="719B9D86" id="_x0000_t202" coordsize="21600,21600" o:spt="202" path="m,l,21600r21600,l21600,xe">
                <v:stroke joinstyle="miter"/>
                <v:path gradientshapeok="t" o:connecttype="rect"/>
              </v:shapetype>
              <v:shape id="Text Box 1" o:spid="_x0000_s1026" type="#_x0000_t202" style="width:451.3pt;height:25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">
                <v:textbox>
                  <w:txbxContent>
                    <w:p w14:paraId="7ADD69AF" w14:textId="77777777" w:rsidR="008B52E0" w:rsidRDefault="008B52E0" w:rsidP="000C2489">
                      <w:pPr>
                        <w:rPr>
                          <w:b/>
                          <w:bCs/>
                        </w:rPr>
                      </w:pPr>
                      <w:r>
                        <w:rPr>
                          <w:b/>
                          <w:bCs/>
                        </w:rPr>
                        <w:t xml:space="preserve">Acciones solicitadas: </w:t>
                      </w:r>
                    </w:p>
                    <w:p w14:paraId="1B2C51D1" w14:textId="77777777" w:rsidR="008B52E0" w:rsidRDefault="008B52E0" w:rsidP="000C2489">
                      <w:pPr>
                        <w:pStyle w:val="ColorfulList-Accent11"/>
                        <w:ind w:left="0"/>
                      </w:pPr>
                    </w:p>
                    <w:p w14:paraId="0E4B807E" w14:textId="3932A093" w:rsidR="008B52E0" w:rsidRDefault="008B52E0" w:rsidP="00275F13">
                      <w:pPr>
                        <w:pStyle w:val="ColorfulList-Accent11"/>
                        <w:ind w:left="0" w:firstLine="0"/>
                        <w:rPr>
                          <w:rFonts w:cs="Calibri"/>
                        </w:rPr>
                      </w:pPr>
                      <w:r w:rsidRPr="00A8092E">
                        <w:t>Se invita al Comité Permanente a hacer lo siguiente</w:t>
                      </w:r>
                      <w:r w:rsidR="00965535" w:rsidRPr="00A8092E">
                        <w:t>:</w:t>
                      </w:r>
                    </w:p>
                    <w:p w14:paraId="018D12C8" w14:textId="77777777" w:rsidR="008B52E0" w:rsidRDefault="008B52E0" w:rsidP="006959B5">
                      <w:pPr>
                        <w:pStyle w:val="ColorfulList-Accent11"/>
                        <w:ind w:left="426"/>
                        <w:rPr>
                          <w:rFonts w:cs="Calibri"/>
                        </w:rPr>
                      </w:pPr>
                    </w:p>
                    <w:p w14:paraId="1C162E31" w14:textId="5FB9179D" w:rsidR="008B52E0" w:rsidRPr="003F3CB1" w:rsidRDefault="008B52E0" w:rsidP="006959B5">
                      <w:pPr>
                        <w:pStyle w:val="ColorfulList-Accent11"/>
                        <w:numPr>
                          <w:ilvl w:val="0"/>
                          <w:numId w:val="35"/>
                        </w:numPr>
                        <w:ind w:left="426" w:hanging="425"/>
                        <w:rPr>
                          <w:rFonts w:cs="Calibri"/>
                        </w:rPr>
                      </w:pPr>
                      <w:r>
                        <w:t xml:space="preserve">tomar nota del calendario orientativo de los eventos relacionados con la 14ª reunión de la Conferencia de las Partes Contratantes (COP14), que figura en el párrafo 3; </w:t>
                      </w:r>
                    </w:p>
                    <w:p w14:paraId="4811099B" w14:textId="77777777" w:rsidR="008B52E0" w:rsidRPr="003F3CB1" w:rsidRDefault="008B52E0" w:rsidP="006959B5">
                      <w:pPr>
                        <w:pStyle w:val="ColorfulList-Accent11"/>
                        <w:ind w:left="426"/>
                        <w:rPr>
                          <w:rFonts w:cs="Calibri"/>
                        </w:rPr>
                      </w:pPr>
                    </w:p>
                    <w:p w14:paraId="5D9A8A61" w14:textId="46A112A1" w:rsidR="008B52E0" w:rsidRPr="003F3CB1" w:rsidRDefault="008B52E0" w:rsidP="006959B5">
                      <w:pPr>
                        <w:pStyle w:val="ColorfulList-Accent11"/>
                        <w:numPr>
                          <w:ilvl w:val="0"/>
                          <w:numId w:val="35"/>
                        </w:numPr>
                        <w:ind w:left="426" w:hanging="425"/>
                      </w:pPr>
                      <w:r>
                        <w:t xml:space="preserve">tomar nota de las orientaciones sobre la preparación de los proyectos de resolución para la COP14, que se presentan en el </w:t>
                      </w:r>
                      <w:r w:rsidRPr="00965535">
                        <w:rPr>
                          <w:color w:val="000000" w:themeColor="text1"/>
                        </w:rPr>
                        <w:t xml:space="preserve">Anexo </w:t>
                      </w:r>
                      <w:r>
                        <w:t>1;</w:t>
                      </w:r>
                    </w:p>
                    <w:p w14:paraId="19F6D5BC" w14:textId="77777777" w:rsidR="008B52E0" w:rsidRPr="003F3CB1" w:rsidRDefault="008B52E0" w:rsidP="006959B5">
                      <w:pPr>
                        <w:pStyle w:val="ColorfulList-Accent11"/>
                        <w:ind w:left="426"/>
                      </w:pPr>
                    </w:p>
                    <w:p w14:paraId="2D725AA9" w14:textId="3558A4F9" w:rsidR="008B52E0" w:rsidRPr="003F3CB1" w:rsidRDefault="008B52E0" w:rsidP="006959B5">
                      <w:pPr>
                        <w:pStyle w:val="ColorfulList-Accent11"/>
                        <w:ind w:left="426"/>
                        <w:rPr>
                          <w:rFonts w:eastAsia="Times New Roman" w:cs="Calibri"/>
                          <w:color w:val="000000"/>
                        </w:rPr>
                      </w:pPr>
                      <w:r>
                        <w:t>iii.</w:t>
                      </w:r>
                      <w:r>
                        <w:tab/>
                      </w:r>
                      <w:r w:rsidR="002018DD">
                        <w:t>aprobar las orientaciones sobre la función de la Secretaría en materia d</w:t>
                      </w:r>
                      <w:r>
                        <w:t>e colaboración con las Partes Contratantes en la preparación de proyectos de resolución, y los procedimientos para hacerlo tanto antes como después de la 59ª reunión del Comité Permanente (SC59), como se indica en los párrafos 8 a 1</w:t>
                      </w:r>
                      <w:r w:rsidR="008A5567">
                        <w:t>2</w:t>
                      </w:r>
                      <w:r>
                        <w:t>; y</w:t>
                      </w:r>
                    </w:p>
                    <w:p w14:paraId="170CE0EC" w14:textId="77777777" w:rsidR="008B52E0" w:rsidRPr="003F3CB1" w:rsidRDefault="008B52E0" w:rsidP="006959B5">
                      <w:pPr>
                        <w:pStyle w:val="ColorfulList-Accent11"/>
                        <w:ind w:left="426"/>
                        <w:rPr>
                          <w:rFonts w:eastAsia="Times New Roman" w:cs="Calibri"/>
                          <w:color w:val="000000"/>
                          <w:lang w:eastAsia="en-GB"/>
                        </w:rPr>
                      </w:pPr>
                    </w:p>
                    <w:p w14:paraId="5A49308C" w14:textId="657A3D36" w:rsidR="008B52E0" w:rsidRPr="00A92B90" w:rsidRDefault="008B52E0" w:rsidP="00A92B90">
                      <w:pPr>
                        <w:pStyle w:val="ColorfulList-Accent11"/>
                        <w:ind w:left="426"/>
                        <w:rPr>
                          <w:rFonts w:eastAsia="Times New Roman" w:cs="Calibri"/>
                          <w:color w:val="000000"/>
                        </w:rPr>
                      </w:pPr>
                      <w:r>
                        <w:rPr>
                          <w:color w:val="000000"/>
                        </w:rPr>
                        <w:t>iv.</w:t>
                      </w:r>
                      <w:r>
                        <w:rPr>
                          <w:color w:val="000000"/>
                        </w:rPr>
                        <w:tab/>
                      </w:r>
                      <w:r w:rsidRPr="002018DD">
                        <w:t xml:space="preserve">encargar a la Secretaría que haga un seguimiento para la COP14 del procedimiento para el examen de los proyectos de resolución </w:t>
                      </w:r>
                      <w:r w:rsidR="00C24EC2">
                        <w:t>aplicado</w:t>
                      </w:r>
                      <w:r w:rsidRPr="002018DD">
                        <w:t xml:space="preserve"> en la COP13, </w:t>
                      </w:r>
                      <w:r w:rsidR="00C24EC2">
                        <w:t>realizando</w:t>
                      </w:r>
                      <w:r w:rsidRPr="002018DD">
                        <w:t xml:space="preserve"> </w:t>
                      </w:r>
                      <w:r w:rsidR="00965535" w:rsidRPr="002018DD">
                        <w:t xml:space="preserve">las </w:t>
                      </w:r>
                      <w:r w:rsidRPr="002018DD">
                        <w:t xml:space="preserve">mejoras logísticas </w:t>
                      </w:r>
                      <w:r w:rsidR="00965535" w:rsidRPr="002018DD">
                        <w:t>que</w:t>
                      </w:r>
                      <w:r w:rsidRPr="002018DD">
                        <w:t xml:space="preserve"> proceda</w:t>
                      </w:r>
                      <w:r w:rsidR="00965535" w:rsidRPr="002018DD">
                        <w:t>n</w:t>
                      </w:r>
                      <w:r w:rsidRPr="002018DD">
                        <w:t>.</w:t>
                      </w:r>
                    </w:p>
                    <w:p w14:paraId="44D85C00" w14:textId="77777777" w:rsidR="008B52E0" w:rsidRDefault="008B52E0" w:rsidP="00275F13">
                      <w:pPr>
                        <w:pStyle w:val="ColorfulList-Accent11"/>
                        <w:ind w:left="360" w:firstLine="0"/>
                      </w:pPr>
                    </w:p>
                  </w:txbxContent>
                </v:textbox>
                <w10:anchorlock/>
              </v:shape>
            </w:pict>
          </mc:Fallback>
        </mc:AlternateContent>
      </w:r>
    </w:p>
    <w:p w14:paraId="370484B7" w14:textId="192DD02D" w:rsidR="009E0AE8" w:rsidRPr="00B227DA" w:rsidRDefault="009E0AE8" w:rsidP="00014168">
      <w:pPr>
        <w:rPr>
          <w:rFonts w:cs="Arial"/>
          <w:b/>
        </w:rPr>
      </w:pPr>
    </w:p>
    <w:p w14:paraId="0D97FD1B" w14:textId="77777777" w:rsidR="006959B5" w:rsidRPr="00B227DA" w:rsidRDefault="006959B5" w:rsidP="00014168">
      <w:pPr>
        <w:rPr>
          <w:rFonts w:cs="Arial"/>
          <w:b/>
        </w:rPr>
      </w:pPr>
    </w:p>
    <w:p w14:paraId="436441D0" w14:textId="77777777" w:rsidR="000C2489" w:rsidRPr="00B227DA" w:rsidRDefault="00E77F2D" w:rsidP="00014168">
      <w:pPr>
        <w:rPr>
          <w:rFonts w:cs="Arial"/>
          <w:b/>
        </w:rPr>
      </w:pPr>
      <w:r w:rsidRPr="00B227DA">
        <w:rPr>
          <w:b/>
        </w:rPr>
        <w:t>Introducción</w:t>
      </w:r>
    </w:p>
    <w:p w14:paraId="783DA086" w14:textId="77777777" w:rsidR="000C2489" w:rsidRPr="00B227DA" w:rsidRDefault="000C2489" w:rsidP="00014168">
      <w:pPr>
        <w:rPr>
          <w:rFonts w:ascii="Garamond" w:hAnsi="Garamond" w:cs="Arial"/>
        </w:rPr>
      </w:pPr>
    </w:p>
    <w:p w14:paraId="6F443E52" w14:textId="206317EB" w:rsidR="004E7217" w:rsidRPr="00B227DA" w:rsidRDefault="00E77F2D" w:rsidP="004E7217">
      <w:pPr>
        <w:pStyle w:val="NoSpacing"/>
      </w:pPr>
      <w:r w:rsidRPr="00B227DA">
        <w:t>1.</w:t>
      </w:r>
      <w:r w:rsidRPr="00B227DA">
        <w:tab/>
        <w:t xml:space="preserve">La Secretaría presenta este documento como base para el debate sobre la planificación de la </w:t>
      </w:r>
      <w:r w:rsidR="00A92B90" w:rsidRPr="00B227DA">
        <w:t>preparación y el examen de proyectos de resolución</w:t>
      </w:r>
      <w:r w:rsidRPr="00B227DA">
        <w:t xml:space="preserve"> para la 14</w:t>
      </w:r>
      <w:r w:rsidRPr="00B227DA">
        <w:rPr>
          <w:vertAlign w:val="superscript"/>
        </w:rPr>
        <w:t>a</w:t>
      </w:r>
      <w:r w:rsidRPr="00B227DA">
        <w:t xml:space="preserve"> reunión de la Conferencia de las Partes Contratantes (COP14). La Secretaría reconoce que es fundamental que las Partes Contratantes dispongan en tiempo oportuno de la documentación que necesitan para llegar a un acuerdo sobre las propuestas y </w:t>
      </w:r>
      <w:r w:rsidR="00C623F0" w:rsidRPr="00B227DA">
        <w:t>modificaciones</w:t>
      </w:r>
      <w:r w:rsidRPr="00B227DA">
        <w:t xml:space="preserve"> de conformidad con el </w:t>
      </w:r>
      <w:r w:rsidR="00965535" w:rsidRPr="00B227DA">
        <w:t>r</w:t>
      </w:r>
      <w:r w:rsidRPr="00B227DA">
        <w:t>eglamento.</w:t>
      </w:r>
    </w:p>
    <w:p w14:paraId="2817C38E" w14:textId="77777777" w:rsidR="00094D4A" w:rsidRPr="00B227DA" w:rsidRDefault="00094D4A" w:rsidP="004E7217">
      <w:pPr>
        <w:pStyle w:val="NoSpacing"/>
      </w:pPr>
    </w:p>
    <w:p w14:paraId="32B5EA7D" w14:textId="77777777" w:rsidR="00094D4A" w:rsidRPr="00B227DA" w:rsidRDefault="00094D4A" w:rsidP="004E7217">
      <w:pPr>
        <w:pStyle w:val="NoSpacing"/>
        <w:rPr>
          <w:b/>
          <w:bCs/>
        </w:rPr>
      </w:pPr>
      <w:r w:rsidRPr="00B227DA">
        <w:rPr>
          <w:b/>
          <w:bCs/>
        </w:rPr>
        <w:t>Calendario</w:t>
      </w:r>
    </w:p>
    <w:p w14:paraId="07F19754" w14:textId="77777777" w:rsidR="00094D4A" w:rsidRPr="00B227DA" w:rsidRDefault="00094D4A" w:rsidP="00533CD5">
      <w:pPr>
        <w:pStyle w:val="NoSpacing"/>
      </w:pPr>
    </w:p>
    <w:p w14:paraId="3FBDC54D" w14:textId="77269EAE" w:rsidR="00A92B90" w:rsidRPr="00B227DA" w:rsidRDefault="00E14626" w:rsidP="00533CD5">
      <w:r w:rsidRPr="00B227DA">
        <w:t>2.</w:t>
      </w:r>
      <w:r w:rsidRPr="00B227DA">
        <w:tab/>
      </w:r>
      <w:r w:rsidR="00D57D0E" w:rsidRPr="00B227DA">
        <w:t>Como parte de su decisión de cancelar su 58ª reunión (SC58), adoptada en septiembre de 2020, el Comité Permanente encargó a la Secretaría que editara</w:t>
      </w:r>
      <w:r w:rsidR="002018DD" w:rsidRPr="00B227DA">
        <w:t xml:space="preserve"> y </w:t>
      </w:r>
      <w:r w:rsidR="00D57D0E" w:rsidRPr="00B227DA">
        <w:t xml:space="preserve">finalizara una revisión del documento SC58 Doc.20.4 </w:t>
      </w:r>
      <w:r w:rsidR="002018DD" w:rsidRPr="00B227DA">
        <w:t>para su consideración c</w:t>
      </w:r>
      <w:r w:rsidR="00D57D0E" w:rsidRPr="00B227DA">
        <w:t xml:space="preserve">on revisiones que reflejaran </w:t>
      </w:r>
      <w:r w:rsidR="002018DD" w:rsidRPr="00B227DA">
        <w:t xml:space="preserve">los comentarios realizados por el grupo consultivo sobre el examen de las resoluciones y decisiones y teniendo en cuenta la Resolución XIII.4, </w:t>
      </w:r>
      <w:r w:rsidR="002018DD" w:rsidRPr="00B227DA">
        <w:rPr>
          <w:i/>
          <w:iCs/>
        </w:rPr>
        <w:t>Responsabilidades, funciones y composición del Comité Permanente y clasificación de los países por regiones en el marco de la Convención</w:t>
      </w:r>
      <w:r w:rsidR="002018DD" w:rsidRPr="00B227DA">
        <w:t xml:space="preserve">, </w:t>
      </w:r>
      <w:r w:rsidR="00851F8D" w:rsidRPr="00B227DA">
        <w:t xml:space="preserve">en cuyo </w:t>
      </w:r>
      <w:r w:rsidR="002018DD" w:rsidRPr="00B227DA">
        <w:t>párrafo 17 la Conferencia</w:t>
      </w:r>
      <w:r w:rsidR="00D57D0E" w:rsidRPr="00B227DA">
        <w:t>:</w:t>
      </w:r>
    </w:p>
    <w:p w14:paraId="1FA2651C" w14:textId="340DAC3A" w:rsidR="00851F8D" w:rsidRPr="00B227DA" w:rsidRDefault="00851F8D" w:rsidP="00533CD5"/>
    <w:p w14:paraId="0B950ABC" w14:textId="48390573" w:rsidR="00851F8D" w:rsidRPr="00B227DA" w:rsidRDefault="00851F8D" w:rsidP="003B0C70">
      <w:pPr>
        <w:suppressLineNumbers/>
        <w:suppressAutoHyphens/>
        <w:ind w:left="851" w:firstLine="0"/>
      </w:pPr>
      <w:r w:rsidRPr="00B227DA">
        <w:rPr>
          <w:rFonts w:asciiTheme="minorHAnsi" w:hAnsiTheme="minorHAnsi"/>
          <w:i/>
          <w:iCs/>
        </w:rPr>
        <w:lastRenderedPageBreak/>
        <w:t>ALIENTA a la Secretaría a volver a cooperar con las Partes, a petición de estas, en la preparación de los proyectos de resolución, para mejorar la calidad de las posibles decisiones que se presenten a examen</w:t>
      </w:r>
      <w:r w:rsidRPr="00B227DA">
        <w:rPr>
          <w:rFonts w:asciiTheme="minorHAnsi" w:hAnsiTheme="minorHAnsi"/>
        </w:rPr>
        <w:t>.</w:t>
      </w:r>
    </w:p>
    <w:p w14:paraId="1A4FA3E8" w14:textId="77777777" w:rsidR="00A43C2E" w:rsidRPr="00B227DA" w:rsidRDefault="00A43C2E" w:rsidP="003B0C70">
      <w:pPr>
        <w:suppressLineNumbers/>
        <w:suppressAutoHyphens/>
        <w:ind w:left="0" w:firstLine="0"/>
        <w:rPr>
          <w:rFonts w:asciiTheme="minorHAnsi" w:hAnsiTheme="minorHAnsi"/>
          <w:i/>
        </w:rPr>
      </w:pPr>
    </w:p>
    <w:p w14:paraId="7FF35A9D" w14:textId="2EAC8D9A" w:rsidR="00D57D0E" w:rsidRPr="00B227DA" w:rsidRDefault="00A43C2E" w:rsidP="00533CD5">
      <w:pPr>
        <w:rPr>
          <w:b/>
        </w:rPr>
      </w:pPr>
      <w:r w:rsidRPr="00B227DA">
        <w:rPr>
          <w:b/>
        </w:rPr>
        <w:t xml:space="preserve">Calendario </w:t>
      </w:r>
      <w:r w:rsidR="00EB58D7" w:rsidRPr="00B227DA">
        <w:rPr>
          <w:b/>
        </w:rPr>
        <w:t>orient</w:t>
      </w:r>
      <w:r w:rsidRPr="00B227DA">
        <w:rPr>
          <w:b/>
        </w:rPr>
        <w:t>ativo</w:t>
      </w:r>
    </w:p>
    <w:p w14:paraId="7E1D0024" w14:textId="77777777" w:rsidR="00A43C2E" w:rsidRPr="00B227DA" w:rsidRDefault="00A43C2E" w:rsidP="00533CD5"/>
    <w:p w14:paraId="1544013E" w14:textId="33949B61" w:rsidR="00533CD5" w:rsidRPr="00B227DA" w:rsidRDefault="00A43C2E">
      <w:r w:rsidRPr="00B227DA">
        <w:t>3.</w:t>
      </w:r>
      <w:r w:rsidRPr="00B227DA">
        <w:tab/>
        <w:t xml:space="preserve">En </w:t>
      </w:r>
      <w:r w:rsidR="00E14626" w:rsidRPr="00B227DA">
        <w:t>el momento de publicación de este documento</w:t>
      </w:r>
      <w:r w:rsidRPr="00B227DA">
        <w:t xml:space="preserve"> (</w:t>
      </w:r>
      <w:r w:rsidR="00E1063E">
        <w:t>16</w:t>
      </w:r>
      <w:r w:rsidR="005727D2">
        <w:t xml:space="preserve"> de marzo</w:t>
      </w:r>
      <w:r w:rsidR="00507EAD" w:rsidRPr="00B227DA">
        <w:rPr>
          <w:color w:val="000000"/>
        </w:rPr>
        <w:t xml:space="preserve"> de 202</w:t>
      </w:r>
      <w:r w:rsidR="00507EAD">
        <w:rPr>
          <w:color w:val="000000"/>
        </w:rPr>
        <w:t>1</w:t>
      </w:r>
      <w:r w:rsidR="003B0C70" w:rsidRPr="00B227DA">
        <w:t xml:space="preserve">), </w:t>
      </w:r>
      <w:r w:rsidR="00E14626" w:rsidRPr="00B227DA">
        <w:t>aún no se ha determinado una fecha para la COP14. El país anfitrión ha indicado que</w:t>
      </w:r>
      <w:r w:rsidR="003B0C70" w:rsidRPr="00B227DA">
        <w:t xml:space="preserve"> la COP14 tendrá lugar en el cuarto trimestre de 2021</w:t>
      </w:r>
      <w:r w:rsidR="00E14626" w:rsidRPr="00B227DA">
        <w:t xml:space="preserve">. A efectos de planificación, se ha utilizado como fecha </w:t>
      </w:r>
      <w:r w:rsidR="00DF7D1B" w:rsidRPr="00B227DA">
        <w:t>orientativa</w:t>
      </w:r>
      <w:r w:rsidR="00E14626" w:rsidRPr="00B227DA">
        <w:t xml:space="preserve"> noviembre de 2021. El calendario </w:t>
      </w:r>
      <w:r w:rsidR="00EB58D7" w:rsidRPr="00B227DA">
        <w:t xml:space="preserve">orientativo </w:t>
      </w:r>
      <w:r w:rsidR="00E14626" w:rsidRPr="00B227DA">
        <w:t xml:space="preserve">que figura en el </w:t>
      </w:r>
      <w:r w:rsidR="00776D27" w:rsidRPr="00B227DA">
        <w:t>C</w:t>
      </w:r>
      <w:r w:rsidR="00E14626" w:rsidRPr="00B227DA">
        <w:t>uadro 1, en el que se indican las fechas y los plazos pertinentes para la preparación de los proyectos de resolución, puede ajustarse en consecuencia una vez que el Comité Permanente haya aprobado las fechas para la COP14.</w:t>
      </w:r>
    </w:p>
    <w:p w14:paraId="6C7722CD" w14:textId="77777777" w:rsidR="00EB58D7" w:rsidRPr="00B227DA" w:rsidRDefault="00EB58D7">
      <w:pPr>
        <w:rPr>
          <w:rFonts w:cs="Arial"/>
          <w:i/>
        </w:rPr>
      </w:pPr>
    </w:p>
    <w:p w14:paraId="7634F803" w14:textId="7A0E64F5" w:rsidR="00E14626" w:rsidRPr="00B227DA" w:rsidRDefault="00E14626" w:rsidP="009F6830">
      <w:pPr>
        <w:keepNext/>
        <w:ind w:left="0" w:firstLine="0"/>
        <w:rPr>
          <w:rFonts w:cs="Arial"/>
          <w:i/>
        </w:rPr>
      </w:pPr>
      <w:r w:rsidRPr="00B227DA">
        <w:rPr>
          <w:i/>
        </w:rPr>
        <w:t xml:space="preserve">Cuadro 1: Calendario </w:t>
      </w:r>
      <w:r w:rsidRPr="00B227DA">
        <w:rPr>
          <w:b/>
          <w:i/>
        </w:rPr>
        <w:t>orientativo</w:t>
      </w:r>
      <w:r w:rsidRPr="00B227DA">
        <w:rPr>
          <w:i/>
        </w:rPr>
        <w:t xml:space="preserve"> de eventos relacionados con el examen de proyectos de resolución para la COP14</w:t>
      </w:r>
    </w:p>
    <w:tbl>
      <w:tblPr>
        <w:tblStyle w:val="TableGrid"/>
        <w:tblW w:w="9214" w:type="dxa"/>
        <w:tblInd w:w="-5" w:type="dxa"/>
        <w:tblLook w:val="04A0" w:firstRow="1" w:lastRow="0" w:firstColumn="1" w:lastColumn="0" w:noHBand="0" w:noVBand="1"/>
      </w:tblPr>
      <w:tblGrid>
        <w:gridCol w:w="2694"/>
        <w:gridCol w:w="6520"/>
      </w:tblGrid>
      <w:tr w:rsidR="00E14626" w:rsidRPr="00B227DA" w14:paraId="79011E07" w14:textId="77777777" w:rsidTr="009F6830">
        <w:tc>
          <w:tcPr>
            <w:tcW w:w="2694" w:type="dxa"/>
          </w:tcPr>
          <w:p w14:paraId="691B800D" w14:textId="77777777" w:rsidR="00E14626" w:rsidRPr="00B227DA" w:rsidRDefault="00BE5E9D" w:rsidP="003E35FA">
            <w:pPr>
              <w:keepNext/>
              <w:jc w:val="center"/>
              <w:rPr>
                <w:rFonts w:cs="Arial"/>
                <w:b/>
              </w:rPr>
            </w:pPr>
            <w:r w:rsidRPr="00B227DA">
              <w:rPr>
                <w:b/>
              </w:rPr>
              <w:t>Fecha</w:t>
            </w:r>
          </w:p>
        </w:tc>
        <w:tc>
          <w:tcPr>
            <w:tcW w:w="6520" w:type="dxa"/>
          </w:tcPr>
          <w:p w14:paraId="5F0C6164" w14:textId="77777777" w:rsidR="00E14626" w:rsidRPr="00B227DA" w:rsidRDefault="00BE5E9D" w:rsidP="008B52E0">
            <w:pPr>
              <w:jc w:val="center"/>
              <w:rPr>
                <w:rFonts w:cs="Arial"/>
                <w:b/>
              </w:rPr>
            </w:pPr>
            <w:r w:rsidRPr="00B227DA">
              <w:rPr>
                <w:b/>
              </w:rPr>
              <w:t>Evento</w:t>
            </w:r>
          </w:p>
        </w:tc>
      </w:tr>
      <w:tr w:rsidR="00687C9B" w:rsidRPr="00B227DA" w14:paraId="38D980B6" w14:textId="77777777" w:rsidTr="009F6830">
        <w:tc>
          <w:tcPr>
            <w:tcW w:w="2694" w:type="dxa"/>
          </w:tcPr>
          <w:p w14:paraId="3AE9F78B" w14:textId="77777777" w:rsidR="00687C9B" w:rsidRPr="00B227DA" w:rsidRDefault="00687C9B" w:rsidP="008B52E0">
            <w:pPr>
              <w:rPr>
                <w:rFonts w:cs="Arial"/>
              </w:rPr>
            </w:pPr>
            <w:r w:rsidRPr="00B227DA">
              <w:t>Noviembre de 2021</w:t>
            </w:r>
          </w:p>
        </w:tc>
        <w:tc>
          <w:tcPr>
            <w:tcW w:w="6520" w:type="dxa"/>
          </w:tcPr>
          <w:p w14:paraId="3CCA52DB" w14:textId="77777777" w:rsidR="00687C9B" w:rsidRPr="00B227DA" w:rsidRDefault="00C77B82" w:rsidP="008B52E0">
            <w:pPr>
              <w:rPr>
                <w:rFonts w:cs="Arial"/>
              </w:rPr>
            </w:pPr>
            <w:r w:rsidRPr="00B227DA">
              <w:t>14</w:t>
            </w:r>
            <w:r w:rsidRPr="00B227DA">
              <w:rPr>
                <w:vertAlign w:val="superscript"/>
              </w:rPr>
              <w:t>a</w:t>
            </w:r>
            <w:r w:rsidRPr="00B227DA">
              <w:t xml:space="preserve"> reunión de la Conferencia de las Partes Contratantes (</w:t>
            </w:r>
            <w:r w:rsidRPr="00B227DA">
              <w:rPr>
                <w:b/>
                <w:bCs/>
              </w:rPr>
              <w:t>COP14</w:t>
            </w:r>
            <w:r w:rsidRPr="00B227DA">
              <w:t>)</w:t>
            </w:r>
          </w:p>
        </w:tc>
      </w:tr>
      <w:tr w:rsidR="00687C9B" w:rsidRPr="00B227DA" w14:paraId="53398536" w14:textId="77777777" w:rsidTr="009F6830">
        <w:tc>
          <w:tcPr>
            <w:tcW w:w="2694" w:type="dxa"/>
          </w:tcPr>
          <w:p w14:paraId="0B2BA834" w14:textId="77777777" w:rsidR="00687C9B" w:rsidRPr="00B227DA" w:rsidRDefault="00687C9B" w:rsidP="008B52E0">
            <w:pPr>
              <w:keepNext/>
              <w:rPr>
                <w:rFonts w:cs="Arial"/>
              </w:rPr>
            </w:pPr>
            <w:r w:rsidRPr="00B227DA">
              <w:t>Agosto de 2021</w:t>
            </w:r>
          </w:p>
        </w:tc>
        <w:tc>
          <w:tcPr>
            <w:tcW w:w="6520" w:type="dxa"/>
          </w:tcPr>
          <w:p w14:paraId="24E07D74" w14:textId="1C2D5CBA" w:rsidR="00687C9B" w:rsidRPr="00B227DA" w:rsidRDefault="00EB58D7" w:rsidP="008B52E0">
            <w:pPr>
              <w:rPr>
                <w:rFonts w:cs="Arial"/>
              </w:rPr>
            </w:pPr>
            <w:r w:rsidRPr="00B227DA">
              <w:rPr>
                <w:rFonts w:asciiTheme="minorHAnsi" w:hAnsiTheme="minorHAnsi"/>
                <w:color w:val="000000"/>
              </w:rPr>
              <w:t>Publicación de l</w:t>
            </w:r>
            <w:r w:rsidR="00D442EA" w:rsidRPr="00B227DA">
              <w:rPr>
                <w:rFonts w:asciiTheme="minorHAnsi" w:hAnsiTheme="minorHAnsi"/>
                <w:color w:val="000000"/>
              </w:rPr>
              <w:t>os documentos de la COP14</w:t>
            </w:r>
          </w:p>
        </w:tc>
      </w:tr>
      <w:tr w:rsidR="00687C9B" w:rsidRPr="00B227DA" w14:paraId="47ADB688" w14:textId="77777777" w:rsidTr="009F6830">
        <w:tc>
          <w:tcPr>
            <w:tcW w:w="2694" w:type="dxa"/>
          </w:tcPr>
          <w:p w14:paraId="60B839B0" w14:textId="1397DBCD" w:rsidR="00687C9B" w:rsidRPr="00B227DA" w:rsidRDefault="008A5567" w:rsidP="008B52E0">
            <w:pPr>
              <w:keepNext/>
              <w:rPr>
                <w:rFonts w:cs="Arial"/>
              </w:rPr>
            </w:pPr>
            <w:r w:rsidRPr="00B227DA">
              <w:t>2</w:t>
            </w:r>
            <w:r w:rsidR="009D6E68">
              <w:t>1</w:t>
            </w:r>
            <w:r w:rsidRPr="00B227DA">
              <w:t xml:space="preserve"> a 25 de junio</w:t>
            </w:r>
            <w:r w:rsidR="00687C9B" w:rsidRPr="00B227DA">
              <w:t xml:space="preserve"> de 2021</w:t>
            </w:r>
          </w:p>
        </w:tc>
        <w:tc>
          <w:tcPr>
            <w:tcW w:w="6520" w:type="dxa"/>
          </w:tcPr>
          <w:p w14:paraId="168A034F" w14:textId="77777777" w:rsidR="00687C9B" w:rsidRPr="00B227DA" w:rsidRDefault="00687C9B" w:rsidP="008B52E0">
            <w:pPr>
              <w:rPr>
                <w:rFonts w:cs="Arial"/>
              </w:rPr>
            </w:pPr>
            <w:r w:rsidRPr="00B227DA">
              <w:t>59</w:t>
            </w:r>
            <w:r w:rsidRPr="00B227DA">
              <w:rPr>
                <w:vertAlign w:val="superscript"/>
              </w:rPr>
              <w:t>a</w:t>
            </w:r>
            <w:r w:rsidRPr="00B227DA">
              <w:t xml:space="preserve"> reunión del Comité Permanente (SC59)</w:t>
            </w:r>
          </w:p>
        </w:tc>
      </w:tr>
      <w:tr w:rsidR="00EB58D7" w:rsidRPr="00B227DA" w14:paraId="0E804CA6" w14:textId="77777777" w:rsidTr="009F6830">
        <w:tc>
          <w:tcPr>
            <w:tcW w:w="2694" w:type="dxa"/>
          </w:tcPr>
          <w:p w14:paraId="493F9495" w14:textId="7455903D" w:rsidR="00EB58D7" w:rsidRPr="00B227DA" w:rsidRDefault="003B0C70" w:rsidP="00EB58D7">
            <w:pPr>
              <w:keepNext/>
              <w:ind w:left="0" w:firstLine="0"/>
            </w:pPr>
            <w:r w:rsidRPr="00B227DA">
              <w:t>Mayo</w:t>
            </w:r>
            <w:r w:rsidR="00EB58D7" w:rsidRPr="00B227DA">
              <w:t xml:space="preserve"> de 2021 (aproximadamente 30 días después de publicar los proyectos de resolución)</w:t>
            </w:r>
          </w:p>
        </w:tc>
        <w:tc>
          <w:tcPr>
            <w:tcW w:w="6520" w:type="dxa"/>
          </w:tcPr>
          <w:p w14:paraId="2733EFB9" w14:textId="4878B79D" w:rsidR="00EB58D7" w:rsidRPr="00B227DA" w:rsidRDefault="00EB58D7" w:rsidP="008B52E0">
            <w:pPr>
              <w:rPr>
                <w:rFonts w:asciiTheme="minorHAnsi" w:hAnsiTheme="minorHAnsi"/>
                <w:color w:val="000000"/>
              </w:rPr>
            </w:pPr>
            <w:r w:rsidRPr="00B227DA">
              <w:rPr>
                <w:rFonts w:asciiTheme="minorHAnsi" w:hAnsiTheme="minorHAnsi"/>
                <w:color w:val="000000"/>
              </w:rPr>
              <w:t xml:space="preserve">Reuniones regionales </w:t>
            </w:r>
            <w:r w:rsidRPr="00B227DA">
              <w:rPr>
                <w:rFonts w:asciiTheme="minorHAnsi" w:hAnsiTheme="minorHAnsi"/>
              </w:rPr>
              <w:t xml:space="preserve">virtuales </w:t>
            </w:r>
            <w:r w:rsidRPr="00B227DA">
              <w:rPr>
                <w:rFonts w:asciiTheme="minorHAnsi" w:hAnsiTheme="minorHAnsi"/>
                <w:color w:val="000000"/>
              </w:rPr>
              <w:t>previas a la COP</w:t>
            </w:r>
          </w:p>
        </w:tc>
      </w:tr>
      <w:tr w:rsidR="00EB58D7" w:rsidRPr="00B227DA" w14:paraId="67431D78" w14:textId="77777777" w:rsidTr="009F6830">
        <w:tc>
          <w:tcPr>
            <w:tcW w:w="2694" w:type="dxa"/>
          </w:tcPr>
          <w:p w14:paraId="65B688C7" w14:textId="0696D03E" w:rsidR="00EB58D7" w:rsidRPr="00B227DA" w:rsidRDefault="008A5567" w:rsidP="00EB58D7">
            <w:pPr>
              <w:keepNext/>
              <w:ind w:left="0" w:firstLine="0"/>
            </w:pPr>
            <w:r w:rsidRPr="00B227DA">
              <w:t>22 de a</w:t>
            </w:r>
            <w:r w:rsidR="003B0C70" w:rsidRPr="00B227DA">
              <w:t>bril</w:t>
            </w:r>
            <w:r w:rsidR="00EB58D7" w:rsidRPr="00B227DA">
              <w:t xml:space="preserve"> de 2021 (60 días antes de la reunión SC59)</w:t>
            </w:r>
          </w:p>
        </w:tc>
        <w:tc>
          <w:tcPr>
            <w:tcW w:w="6520" w:type="dxa"/>
          </w:tcPr>
          <w:p w14:paraId="26AA1DBA" w14:textId="44EB4B65" w:rsidR="00EB58D7" w:rsidRPr="00B227DA" w:rsidRDefault="00EB58D7" w:rsidP="008B52E0">
            <w:pPr>
              <w:rPr>
                <w:rFonts w:asciiTheme="minorHAnsi" w:hAnsiTheme="minorHAnsi"/>
                <w:color w:val="000000"/>
              </w:rPr>
            </w:pPr>
            <w:r w:rsidRPr="00B227DA">
              <w:rPr>
                <w:rFonts w:asciiTheme="minorHAnsi" w:hAnsiTheme="minorHAnsi"/>
                <w:color w:val="000000"/>
              </w:rPr>
              <w:t>P</w:t>
            </w:r>
            <w:r w:rsidR="00776D27" w:rsidRPr="00B227DA">
              <w:rPr>
                <w:rFonts w:asciiTheme="minorHAnsi" w:hAnsiTheme="minorHAnsi"/>
                <w:color w:val="000000"/>
              </w:rPr>
              <w:t>r</w:t>
            </w:r>
            <w:r w:rsidRPr="00B227DA">
              <w:rPr>
                <w:rFonts w:asciiTheme="minorHAnsi" w:hAnsiTheme="minorHAnsi"/>
                <w:color w:val="000000"/>
              </w:rPr>
              <w:t>esentación de los proyectos de resolución</w:t>
            </w:r>
          </w:p>
        </w:tc>
      </w:tr>
      <w:tr w:rsidR="00E14626" w:rsidRPr="00B227DA" w14:paraId="63CFF911" w14:textId="77777777" w:rsidTr="009F6830">
        <w:tc>
          <w:tcPr>
            <w:tcW w:w="2694" w:type="dxa"/>
          </w:tcPr>
          <w:p w14:paraId="56238357" w14:textId="27131838" w:rsidR="00E14626" w:rsidRPr="00B227DA" w:rsidRDefault="008A5567" w:rsidP="008A5567">
            <w:pPr>
              <w:keepNext/>
              <w:ind w:left="0" w:firstLine="0"/>
              <w:rPr>
                <w:rFonts w:cs="Arial"/>
              </w:rPr>
            </w:pPr>
            <w:r w:rsidRPr="00B227DA">
              <w:t>23 de m</w:t>
            </w:r>
            <w:r w:rsidR="003B0C70" w:rsidRPr="00B227DA">
              <w:t>arzo</w:t>
            </w:r>
            <w:r w:rsidR="00BE5E9D" w:rsidRPr="00B227DA">
              <w:t xml:space="preserve"> de 2021</w:t>
            </w:r>
            <w:r w:rsidR="003B0C70" w:rsidRPr="00B227DA">
              <w:t xml:space="preserve"> (90</w:t>
            </w:r>
            <w:r w:rsidRPr="00B227DA">
              <w:t xml:space="preserve"> </w:t>
            </w:r>
            <w:r w:rsidR="003B0C70" w:rsidRPr="00B227DA">
              <w:t>días antes de la reunión SC59)</w:t>
            </w:r>
          </w:p>
        </w:tc>
        <w:tc>
          <w:tcPr>
            <w:tcW w:w="6520" w:type="dxa"/>
          </w:tcPr>
          <w:p w14:paraId="2B7287C9" w14:textId="28C84849" w:rsidR="00E14626" w:rsidRPr="00B227DA" w:rsidRDefault="00EB58D7" w:rsidP="00EB58D7">
            <w:pPr>
              <w:ind w:left="0" w:firstLine="0"/>
              <w:rPr>
                <w:rFonts w:cs="Arial"/>
              </w:rPr>
            </w:pPr>
            <w:r w:rsidRPr="00B227DA">
              <w:t>Publicación de l</w:t>
            </w:r>
            <w:r w:rsidR="00C77B82" w:rsidRPr="00B227DA">
              <w:t>os documentos de la reunión SC59</w:t>
            </w:r>
          </w:p>
        </w:tc>
      </w:tr>
    </w:tbl>
    <w:p w14:paraId="1DBBD42D" w14:textId="77777777" w:rsidR="00E14626" w:rsidRPr="00B227DA" w:rsidRDefault="00E14626" w:rsidP="00E14626">
      <w:pPr>
        <w:rPr>
          <w:rFonts w:cs="Arial"/>
          <w:i/>
        </w:rPr>
      </w:pPr>
    </w:p>
    <w:p w14:paraId="49C77539" w14:textId="77777777" w:rsidR="00094D4A" w:rsidRPr="00B227DA" w:rsidRDefault="00094D4A" w:rsidP="004E7217">
      <w:pPr>
        <w:pStyle w:val="NoSpacing"/>
      </w:pPr>
    </w:p>
    <w:p w14:paraId="72020414" w14:textId="633848EE" w:rsidR="009422E2" w:rsidRPr="00B227DA" w:rsidRDefault="002F25E5" w:rsidP="004E7217">
      <w:pPr>
        <w:pStyle w:val="NoSpacing"/>
      </w:pPr>
      <w:r w:rsidRPr="00B227DA">
        <w:t>4.</w:t>
      </w:r>
      <w:r w:rsidRPr="00B227DA">
        <w:tab/>
        <w:t xml:space="preserve">De acuerdo con el artículo 5.1 del </w:t>
      </w:r>
      <w:r w:rsidR="00776D27" w:rsidRPr="00B227DA">
        <w:t>r</w:t>
      </w:r>
      <w:r w:rsidRPr="00B227DA">
        <w:t>eglamento:</w:t>
      </w:r>
    </w:p>
    <w:p w14:paraId="5263598B" w14:textId="77777777" w:rsidR="009422E2" w:rsidRPr="00B227DA" w:rsidRDefault="009422E2" w:rsidP="004E7217">
      <w:pPr>
        <w:pStyle w:val="NoSpacing"/>
      </w:pPr>
    </w:p>
    <w:p w14:paraId="486F0116" w14:textId="77777777" w:rsidR="009422E2" w:rsidRPr="00B227DA" w:rsidRDefault="002F25E5" w:rsidP="009422E2">
      <w:pPr>
        <w:ind w:left="851" w:firstLine="0"/>
        <w:rPr>
          <w:rFonts w:asciiTheme="minorHAnsi" w:hAnsiTheme="minorHAnsi"/>
          <w:i/>
        </w:rPr>
      </w:pPr>
      <w:r w:rsidRPr="00B227DA">
        <w:rPr>
          <w:rFonts w:asciiTheme="minorHAnsi" w:hAnsiTheme="minorHAnsi"/>
          <w:i/>
        </w:rPr>
        <w:t>La Secretaría notificará las fechas, el lugar y el orden del día provisional de cualquier reunión ordinaria a todas las Partes Contratantes por lo menos 12 meses antes de la fecha en que la reunión deba comenzar. En la notificación se incluirá el proyecto de orden del día de la reunión y el plazo para que las Partes Contratantes presenten propuestas que, como norma, será de 60 días naturales antes de la apertura de la reunión del Comité Permanente en la que esté previsto formular recomendaciones sobre los documentos que examinarán las Partes Contratantes en la Conferencia de las Partes.</w:t>
      </w:r>
    </w:p>
    <w:p w14:paraId="65898FCB" w14:textId="77777777" w:rsidR="009422E2" w:rsidRPr="00B227DA" w:rsidRDefault="009422E2" w:rsidP="009422E2">
      <w:pPr>
        <w:pStyle w:val="NoSpacing"/>
        <w:ind w:firstLine="0"/>
      </w:pPr>
    </w:p>
    <w:p w14:paraId="695E40AD" w14:textId="45624A68" w:rsidR="002F25E5" w:rsidRPr="00B227DA" w:rsidRDefault="009422E2" w:rsidP="009422E2">
      <w:pPr>
        <w:pStyle w:val="NoSpacing"/>
        <w:ind w:firstLine="0"/>
      </w:pPr>
      <w:r w:rsidRPr="00B227DA">
        <w:t xml:space="preserve">En consecuencia, la Secretaría informará </w:t>
      </w:r>
      <w:r w:rsidR="00C563BA" w:rsidRPr="00B227DA">
        <w:t xml:space="preserve">a su debido tiempo </w:t>
      </w:r>
      <w:r w:rsidRPr="00B227DA">
        <w:t xml:space="preserve">a las Partes Contratantes del plazo para la presentación de </w:t>
      </w:r>
      <w:r w:rsidR="00EB58D7" w:rsidRPr="00B227DA">
        <w:t>proyectos de resolución</w:t>
      </w:r>
      <w:r w:rsidR="00C563BA" w:rsidRPr="00B227DA">
        <w:t xml:space="preserve"> en función de las </w:t>
      </w:r>
      <w:r w:rsidRPr="00B227DA">
        <w:t xml:space="preserve">fechas </w:t>
      </w:r>
      <w:r w:rsidR="00C563BA" w:rsidRPr="00B227DA">
        <w:t>de</w:t>
      </w:r>
      <w:r w:rsidRPr="00B227DA">
        <w:t xml:space="preserve"> la COP14 y la reunión SC59</w:t>
      </w:r>
      <w:r w:rsidR="00C563BA" w:rsidRPr="00B227DA">
        <w:t xml:space="preserve"> que haya aprobado el Comité Permanente</w:t>
      </w:r>
      <w:r w:rsidRPr="00B227DA">
        <w:t>.</w:t>
      </w:r>
    </w:p>
    <w:p w14:paraId="5FE41632" w14:textId="77777777" w:rsidR="004E7217" w:rsidRPr="00B227DA" w:rsidRDefault="004E7217" w:rsidP="004E7217">
      <w:pPr>
        <w:pStyle w:val="NoSpacing"/>
      </w:pPr>
    </w:p>
    <w:p w14:paraId="47D168BB" w14:textId="77777777" w:rsidR="00EB58D7" w:rsidRPr="00B227DA" w:rsidRDefault="00EB58D7" w:rsidP="00EB58D7">
      <w:pPr>
        <w:pStyle w:val="NoSpacing"/>
        <w:keepNext/>
        <w:rPr>
          <w:b/>
          <w:bCs/>
        </w:rPr>
      </w:pPr>
      <w:r w:rsidRPr="00B227DA">
        <w:rPr>
          <w:b/>
          <w:bCs/>
        </w:rPr>
        <w:t>Preparación y presentación de proyectos de resolución para la COP14</w:t>
      </w:r>
    </w:p>
    <w:p w14:paraId="47ABA17A" w14:textId="77777777" w:rsidR="00EB58D7" w:rsidRPr="00B227DA" w:rsidRDefault="00EB58D7" w:rsidP="00EB58D7">
      <w:pPr>
        <w:pStyle w:val="NoSpacing"/>
      </w:pPr>
    </w:p>
    <w:p w14:paraId="398296D7" w14:textId="1841F8DC" w:rsidR="00EB58D7" w:rsidRPr="00B227DA" w:rsidRDefault="00EB58D7" w:rsidP="00EB58D7">
      <w:pPr>
        <w:pStyle w:val="NoSpacing"/>
      </w:pPr>
      <w:r w:rsidRPr="00B227DA">
        <w:t>5.</w:t>
      </w:r>
      <w:r w:rsidRPr="00B227DA">
        <w:tab/>
        <w:t>La Secretaría ha preparado orientaciones destinadas a las Partes Contratantes sobre la preparación y presentación de proyectos de resolución y otros documentos para la COP14. Estas orientaciones, que figuran en el Anexo 1, están basadas en las orientaciones preparadas para la COP13, pero han sido actualizadas</w:t>
      </w:r>
      <w:r w:rsidR="00C563BA" w:rsidRPr="00B227DA">
        <w:t xml:space="preserve"> para reflejar los comentarios realizados por el grupo </w:t>
      </w:r>
      <w:r w:rsidR="00C563BA" w:rsidRPr="00B227DA">
        <w:lastRenderedPageBreak/>
        <w:t>consultivo sobre el examen de las resoluciones y decisiones</w:t>
      </w:r>
      <w:r w:rsidRPr="00B227DA">
        <w:t>. Se pide al Comité Permanente que tome nota de las orientaciones.</w:t>
      </w:r>
    </w:p>
    <w:p w14:paraId="54BC3AB6" w14:textId="77777777" w:rsidR="00EB58D7" w:rsidRPr="00B227DA" w:rsidRDefault="00EB58D7" w:rsidP="00EB58D7">
      <w:pPr>
        <w:pStyle w:val="NoSpacing"/>
      </w:pPr>
    </w:p>
    <w:p w14:paraId="4C3464D7" w14:textId="5C72C1D3" w:rsidR="00596B13" w:rsidRPr="00B227DA" w:rsidRDefault="00596B13" w:rsidP="00EB58D7">
      <w:pPr>
        <w:pStyle w:val="NoSpacing"/>
        <w:rPr>
          <w:i/>
          <w:iCs/>
        </w:rPr>
      </w:pPr>
      <w:r w:rsidRPr="00B227DA">
        <w:rPr>
          <w:i/>
          <w:iCs/>
        </w:rPr>
        <w:t>Función de la Secretaría en la preparación de proyectos de resolución</w:t>
      </w:r>
    </w:p>
    <w:p w14:paraId="110D5C6F" w14:textId="77777777" w:rsidR="00596B13" w:rsidRPr="00B227DA" w:rsidRDefault="00596B13" w:rsidP="004E7217">
      <w:pPr>
        <w:pStyle w:val="NoSpacing"/>
      </w:pPr>
    </w:p>
    <w:p w14:paraId="489FB703" w14:textId="350AC05B" w:rsidR="002275FA" w:rsidRPr="00B227DA" w:rsidRDefault="00EB58D7" w:rsidP="002275FA">
      <w:pPr>
        <w:pStyle w:val="NoSpacing"/>
        <w:rPr>
          <w:rFonts w:cs="Arial"/>
        </w:rPr>
      </w:pPr>
      <w:r w:rsidRPr="00B227DA">
        <w:t>6</w:t>
      </w:r>
      <w:r w:rsidR="00C41160" w:rsidRPr="00B227DA">
        <w:t>.</w:t>
      </w:r>
      <w:r w:rsidR="00C41160" w:rsidRPr="00B227DA">
        <w:tab/>
        <w:t xml:space="preserve">En </w:t>
      </w:r>
      <w:r w:rsidRPr="00B227DA">
        <w:t xml:space="preserve">la COP13, </w:t>
      </w:r>
      <w:r w:rsidR="00C41160" w:rsidRPr="00B227DA">
        <w:t xml:space="preserve">la Conferencia de las Partes </w:t>
      </w:r>
      <w:r w:rsidRPr="00B227DA">
        <w:t xml:space="preserve">Contratantes </w:t>
      </w:r>
      <w:r w:rsidR="00C41160" w:rsidRPr="00B227DA">
        <w:t xml:space="preserve">aprobó la Resolución XIII.4, </w:t>
      </w:r>
      <w:r w:rsidR="00C41160" w:rsidRPr="00B227DA">
        <w:rPr>
          <w:i/>
          <w:iCs/>
        </w:rPr>
        <w:t>Responsabilidades, funciones y composición del Comité Permanente y clasificación de los países por regiones en el marco de la Convención</w:t>
      </w:r>
      <w:r w:rsidR="00C41160" w:rsidRPr="00B227DA">
        <w:t xml:space="preserve">, en cuyo párrafo 17 la Conferencia:  </w:t>
      </w:r>
    </w:p>
    <w:p w14:paraId="323CB9C5" w14:textId="77777777" w:rsidR="002275FA" w:rsidRPr="00B227DA" w:rsidRDefault="002275FA" w:rsidP="002275FA">
      <w:pPr>
        <w:pStyle w:val="NoSpacing"/>
        <w:rPr>
          <w:rFonts w:cs="Arial"/>
        </w:rPr>
      </w:pPr>
    </w:p>
    <w:p w14:paraId="5EAF7F93" w14:textId="77777777" w:rsidR="002275FA" w:rsidRPr="00B227DA" w:rsidRDefault="002275FA" w:rsidP="009422E2">
      <w:pPr>
        <w:ind w:left="851" w:firstLine="0"/>
        <w:rPr>
          <w:rFonts w:asciiTheme="minorHAnsi" w:hAnsiTheme="minorHAnsi"/>
        </w:rPr>
      </w:pPr>
      <w:r w:rsidRPr="00B227DA">
        <w:rPr>
          <w:rFonts w:asciiTheme="minorHAnsi" w:hAnsiTheme="minorHAnsi"/>
          <w:i/>
          <w:iCs/>
        </w:rPr>
        <w:t>ALIENTA a la Secretaría a volver a cooperar con las Partes, a petición de estas, en la preparación de los proyectos de resolución, para mejorar la calidad de las posibles decisiones que se presenten a examen</w:t>
      </w:r>
      <w:r w:rsidRPr="00B227DA">
        <w:rPr>
          <w:rFonts w:asciiTheme="minorHAnsi" w:hAnsiTheme="minorHAnsi"/>
        </w:rPr>
        <w:t>;</w:t>
      </w:r>
    </w:p>
    <w:p w14:paraId="0DBE0F69" w14:textId="77777777" w:rsidR="002275FA" w:rsidRPr="00B227DA" w:rsidRDefault="002275FA" w:rsidP="002275FA">
      <w:pPr>
        <w:rPr>
          <w:rFonts w:cs="Arial"/>
        </w:rPr>
      </w:pPr>
    </w:p>
    <w:p w14:paraId="4F61DCED" w14:textId="78579F11" w:rsidR="0041385E" w:rsidRPr="00B227DA" w:rsidRDefault="00E9254C" w:rsidP="002275FA">
      <w:pPr>
        <w:rPr>
          <w:rFonts w:cs="Arial"/>
        </w:rPr>
      </w:pPr>
      <w:r w:rsidRPr="00B227DA">
        <w:t>7</w:t>
      </w:r>
      <w:r w:rsidR="00C41160" w:rsidRPr="00B227DA">
        <w:t>.</w:t>
      </w:r>
      <w:r w:rsidR="00C41160" w:rsidRPr="00B227DA">
        <w:tab/>
        <w:t>La Secretaría considera que esta solicitud es resultado de una menor participación de la Secretaría en la asistencia a las Partes Contratantes en la preparación de proyectos de resolución antes de la COP13. Este enfoque se adoptó a fin de asegurar la neutralidad de la Secretaría en cuestiones que no habían sido debatidas por la Conferencia de las Partes o el Comité Permanente. La Secretaría deseaba evitar alinearse con cualquier propuesta que pudiera no haber sido acordada por las Partes</w:t>
      </w:r>
      <w:r w:rsidRPr="00B227DA">
        <w:t xml:space="preserve"> Contratantes</w:t>
      </w:r>
      <w:r w:rsidR="00C41160" w:rsidRPr="00B227DA">
        <w:t xml:space="preserve">. </w:t>
      </w:r>
    </w:p>
    <w:p w14:paraId="78654942" w14:textId="77777777" w:rsidR="0041385E" w:rsidRPr="00B227DA" w:rsidRDefault="0041385E" w:rsidP="002275FA">
      <w:pPr>
        <w:rPr>
          <w:rFonts w:cs="Arial"/>
        </w:rPr>
      </w:pPr>
    </w:p>
    <w:p w14:paraId="60B86F06" w14:textId="1F37AF01" w:rsidR="002275FA" w:rsidRPr="00B227DA" w:rsidRDefault="00E9254C" w:rsidP="002275FA">
      <w:pPr>
        <w:rPr>
          <w:rFonts w:cs="Arial"/>
        </w:rPr>
      </w:pPr>
      <w:r w:rsidRPr="00B227DA">
        <w:t>8</w:t>
      </w:r>
      <w:r w:rsidR="00C41160" w:rsidRPr="00B227DA">
        <w:t>.</w:t>
      </w:r>
      <w:r w:rsidR="00C41160" w:rsidRPr="00B227DA">
        <w:tab/>
        <w:t xml:space="preserve">Sin embargo, la Secretaría sigue estando al servicio de las Partes </w:t>
      </w:r>
      <w:r w:rsidRPr="00B227DA">
        <w:t xml:space="preserve">Contratantes </w:t>
      </w:r>
      <w:r w:rsidR="00C41160" w:rsidRPr="00B227DA">
        <w:t>y responderá gustosamente a las solicitudes de asesoramiento para garantizar que en las propuestas de proyectos de resolución se tengan en cuenta las obligaciones en el marco</w:t>
      </w:r>
      <w:r w:rsidR="008A0358" w:rsidRPr="00B227DA">
        <w:t xml:space="preserve"> de</w:t>
      </w:r>
      <w:r w:rsidR="00C41160" w:rsidRPr="00B227DA">
        <w:t xml:space="preserve"> la Convención y las recomendaciones de la Conferencia de las Partes. </w:t>
      </w:r>
      <w:r w:rsidR="00CA24A6" w:rsidRPr="00B227DA">
        <w:t>En aras de</w:t>
      </w:r>
      <w:r w:rsidRPr="00B227DA">
        <w:t xml:space="preserve"> la </w:t>
      </w:r>
      <w:r w:rsidR="00CA24A6" w:rsidRPr="00B227DA">
        <w:t>equidad</w:t>
      </w:r>
      <w:r w:rsidRPr="00B227DA">
        <w:rPr>
          <w:color w:val="FF0000"/>
        </w:rPr>
        <w:t xml:space="preserve"> </w:t>
      </w:r>
      <w:r w:rsidRPr="00B227DA">
        <w:t>y transparencia, la Secretaría propone que este apoyo se brinde a través de seminarios web de creación de capacidad (uno en cada idioma oficial) para que puedan participar todas las Partes</w:t>
      </w:r>
      <w:r w:rsidR="00C563BA" w:rsidRPr="00B227DA">
        <w:t xml:space="preserve"> Contratantes</w:t>
      </w:r>
      <w:r w:rsidRPr="00B227DA">
        <w:t xml:space="preserve"> que estén planteándose redactar un proyecto de resolución.</w:t>
      </w:r>
    </w:p>
    <w:p w14:paraId="1E88115F" w14:textId="77777777" w:rsidR="004F2A84" w:rsidRPr="00B227DA" w:rsidRDefault="004F2A84" w:rsidP="002275FA">
      <w:pPr>
        <w:rPr>
          <w:rFonts w:cs="Arial"/>
        </w:rPr>
      </w:pPr>
    </w:p>
    <w:p w14:paraId="650F3B55" w14:textId="492FA0EA" w:rsidR="00DD5651" w:rsidRPr="00B227DA" w:rsidRDefault="00E9254C" w:rsidP="00DD5651">
      <w:pPr>
        <w:ind w:left="426" w:hanging="426"/>
        <w:rPr>
          <w:rFonts w:cs="Arial"/>
        </w:rPr>
      </w:pPr>
      <w:r w:rsidRPr="00B227DA">
        <w:t>9</w:t>
      </w:r>
      <w:r w:rsidR="00DD5651" w:rsidRPr="00B227DA">
        <w:t>.</w:t>
      </w:r>
      <w:r w:rsidR="00DD5651" w:rsidRPr="00B227DA">
        <w:tab/>
      </w:r>
      <w:r w:rsidRPr="00B227DA">
        <w:t xml:space="preserve">A petición del </w:t>
      </w:r>
      <w:r w:rsidR="008A0358" w:rsidRPr="00B227DA">
        <w:t xml:space="preserve">proponente </w:t>
      </w:r>
      <w:r w:rsidRPr="00B227DA">
        <w:t>o los proponentes de</w:t>
      </w:r>
      <w:r w:rsidR="00C563BA" w:rsidRPr="00B227DA">
        <w:t xml:space="preserve"> un</w:t>
      </w:r>
      <w:r w:rsidRPr="00B227DA">
        <w:t xml:space="preserve"> proyecto de resolución, la Secretaría también podrá </w:t>
      </w:r>
      <w:r w:rsidR="008A0358" w:rsidRPr="00B227DA">
        <w:t>brindar</w:t>
      </w:r>
      <w:r w:rsidRPr="00B227DA">
        <w:t xml:space="preserve"> un apoyo técnico limitado </w:t>
      </w:r>
      <w:r w:rsidR="00CA24A6" w:rsidRPr="00B227DA">
        <w:t>una vez que se haya presentado el borrador</w:t>
      </w:r>
      <w:r w:rsidRPr="00B227DA">
        <w:t xml:space="preserve">, por ejemplo para señalar incorrecciones en el formato, una redacción que pueda </w:t>
      </w:r>
      <w:r w:rsidR="00CA24A6" w:rsidRPr="00B227DA">
        <w:t>dar lugar a</w:t>
      </w:r>
      <w:r w:rsidRPr="00B227DA">
        <w:t xml:space="preserve"> malentendidos o un uso incorrecto de la terminología y proponer maneras sencillas de resolver estas cuestiones. </w:t>
      </w:r>
      <w:r w:rsidR="00DD5651" w:rsidRPr="00B227DA">
        <w:t>La Secretaría es consciente de que cualquier cambio en el texto debe ser mínimo y no debe modificar el sentido o el fondo de las propuestas presentadas al Comité Permanente. También es consciente de que, dado que las propuestas han pasado a menudo por muchas semanas o meses de preparación por las Partes</w:t>
      </w:r>
      <w:r w:rsidRPr="00B227DA">
        <w:t xml:space="preserve"> Contratantes</w:t>
      </w:r>
      <w:r w:rsidR="00DD5651" w:rsidRPr="00B227DA">
        <w:t xml:space="preserve">, y tal vez por varias consultas, el proponente tal vez no desee que la Secretaría modifique el texto. </w:t>
      </w:r>
      <w:r w:rsidRPr="00B227DA">
        <w:t>Por lo tanto, la Secretaría no incorporará los cambios que propone a no ser que el o los proponentes del proyecto de resolución confirmen por escrito en un plazo de dos semanas que están de acuerdo con dich</w:t>
      </w:r>
      <w:r w:rsidR="00CA24A6" w:rsidRPr="00B227DA">
        <w:t>os cambios</w:t>
      </w:r>
      <w:r w:rsidRPr="00B227DA">
        <w:t>.</w:t>
      </w:r>
    </w:p>
    <w:p w14:paraId="14641335" w14:textId="77777777" w:rsidR="00DD5651" w:rsidRPr="00B227DA" w:rsidRDefault="00DD5651" w:rsidP="00DD5651">
      <w:pPr>
        <w:ind w:left="0" w:firstLine="0"/>
        <w:rPr>
          <w:rFonts w:cs="Arial"/>
        </w:rPr>
      </w:pPr>
    </w:p>
    <w:p w14:paraId="65EB569B" w14:textId="67A3FB75" w:rsidR="008A5567" w:rsidRPr="00B227DA" w:rsidRDefault="008A5567" w:rsidP="002275FA">
      <w:r w:rsidRPr="00673DC6">
        <w:t>10</w:t>
      </w:r>
      <w:r w:rsidR="00C41160" w:rsidRPr="00673DC6">
        <w:t>.</w:t>
      </w:r>
      <w:r w:rsidR="00C41160" w:rsidRPr="00673DC6">
        <w:tab/>
      </w:r>
      <w:r w:rsidRPr="00673DC6">
        <w:t xml:space="preserve">La Secretaría </w:t>
      </w:r>
      <w:r w:rsidR="00206FFD" w:rsidRPr="00673DC6">
        <w:t xml:space="preserve">también preparará </w:t>
      </w:r>
      <w:r w:rsidRPr="00673DC6">
        <w:t xml:space="preserve">  notas que acompañan </w:t>
      </w:r>
      <w:r w:rsidR="001F7157" w:rsidRPr="00673DC6">
        <w:t xml:space="preserve">a </w:t>
      </w:r>
      <w:r w:rsidRPr="00673DC6">
        <w:t>cada proyecto de resolución</w:t>
      </w:r>
      <w:r w:rsidR="00206FFD" w:rsidRPr="00673DC6">
        <w:t xml:space="preserve">. Estas notas </w:t>
      </w:r>
      <w:r w:rsidR="00B44396" w:rsidRPr="00673DC6">
        <w:t xml:space="preserve">de presentación se publicarán junto con los proyectos de resolución cuando se publiquen e incluirán información sobre posible </w:t>
      </w:r>
      <w:r w:rsidRPr="00673DC6">
        <w:t>solapamiento con otros proyectos de resolución</w:t>
      </w:r>
      <w:r w:rsidR="00B44396" w:rsidRPr="00673DC6">
        <w:t>,</w:t>
      </w:r>
      <w:r w:rsidR="00B44396">
        <w:t xml:space="preserve"> </w:t>
      </w:r>
      <w:r w:rsidR="00B44396" w:rsidRPr="00B44396">
        <w:t>inco</w:t>
      </w:r>
      <w:r w:rsidR="00B44396">
        <w:t xml:space="preserve">nsistencias </w:t>
      </w:r>
      <w:r w:rsidR="00B44396" w:rsidRPr="00B44396">
        <w:t xml:space="preserve"> y errores técnicos que la Secretaría considera que deben señalarse a la atención de las Partes Contratantes</w:t>
      </w:r>
      <w:r w:rsidR="00E1063E">
        <w:t>.</w:t>
      </w:r>
    </w:p>
    <w:p w14:paraId="449A7D3D" w14:textId="77777777" w:rsidR="008A5567" w:rsidRPr="00B227DA" w:rsidRDefault="008A5567" w:rsidP="002275FA"/>
    <w:p w14:paraId="5E419E3C" w14:textId="3A0156BD" w:rsidR="00461085" w:rsidRPr="00B227DA" w:rsidRDefault="008A5567" w:rsidP="002275FA">
      <w:pPr>
        <w:rPr>
          <w:rFonts w:cs="Arial"/>
        </w:rPr>
      </w:pPr>
      <w:r w:rsidRPr="00B227DA">
        <w:t>11.</w:t>
      </w:r>
      <w:r w:rsidRPr="00B227DA">
        <w:tab/>
      </w:r>
      <w:r w:rsidR="00C41160" w:rsidRPr="00B227DA">
        <w:t>Es importante recordar que</w:t>
      </w:r>
      <w:r w:rsidR="000B1692" w:rsidRPr="00B227DA">
        <w:t xml:space="preserve">, </w:t>
      </w:r>
      <w:r w:rsidR="00E9254C" w:rsidRPr="00B227DA">
        <w:t xml:space="preserve">después de la reunión SC59, </w:t>
      </w:r>
      <w:r w:rsidR="00C41160" w:rsidRPr="00B227DA">
        <w:t xml:space="preserve">de conformidad con el artículo 34.3 del </w:t>
      </w:r>
      <w:r w:rsidR="000B1692" w:rsidRPr="00B227DA">
        <w:t>r</w:t>
      </w:r>
      <w:r w:rsidR="00C41160" w:rsidRPr="00B227DA">
        <w:t>eglamento de la Conferencia de las Partes Contratantes:</w:t>
      </w:r>
    </w:p>
    <w:p w14:paraId="166056AA" w14:textId="77777777" w:rsidR="00461085" w:rsidRPr="00B227DA" w:rsidRDefault="00461085" w:rsidP="002275FA">
      <w:pPr>
        <w:rPr>
          <w:rFonts w:cs="Arial"/>
        </w:rPr>
      </w:pPr>
    </w:p>
    <w:p w14:paraId="08E97CB2" w14:textId="77777777" w:rsidR="00461085" w:rsidRPr="00B227DA" w:rsidRDefault="00461085" w:rsidP="009422E2">
      <w:pPr>
        <w:ind w:left="851" w:firstLine="0"/>
        <w:rPr>
          <w:rFonts w:asciiTheme="minorHAnsi" w:hAnsiTheme="minorHAnsi"/>
          <w:i/>
          <w:iCs/>
        </w:rPr>
      </w:pPr>
      <w:r w:rsidRPr="00B227DA">
        <w:rPr>
          <w:rFonts w:asciiTheme="minorHAnsi" w:hAnsiTheme="minorHAnsi"/>
          <w:i/>
          <w:iCs/>
        </w:rPr>
        <w:lastRenderedPageBreak/>
        <w:t>La Secretaría revisará y finalizará las propuestas, a partir de las recomendaciones del Comité Permanente, para distribuirlas a las Partes Contratantes en los idiomas oficiales al menos tres meses antes de la apertura de la Conferencia de las Partes, según se establece en el artículo 10.</w:t>
      </w:r>
    </w:p>
    <w:p w14:paraId="00617057" w14:textId="77777777" w:rsidR="00596B13" w:rsidRPr="00B227DA" w:rsidRDefault="00596B13" w:rsidP="002275FA">
      <w:pPr>
        <w:rPr>
          <w:rFonts w:cs="Arial"/>
        </w:rPr>
      </w:pPr>
    </w:p>
    <w:p w14:paraId="351F6B82" w14:textId="45E590A8" w:rsidR="00DB7963" w:rsidRPr="00B227DA" w:rsidRDefault="00C41160" w:rsidP="002275FA">
      <w:pPr>
        <w:rPr>
          <w:rFonts w:asciiTheme="minorHAnsi" w:hAnsiTheme="minorHAnsi"/>
          <w:iCs/>
        </w:rPr>
      </w:pPr>
      <w:r w:rsidRPr="00B227DA">
        <w:t>1</w:t>
      </w:r>
      <w:r w:rsidR="008A5567" w:rsidRPr="00B227DA">
        <w:t>2</w:t>
      </w:r>
      <w:r w:rsidRPr="00B227DA">
        <w:t xml:space="preserve">. </w:t>
      </w:r>
      <w:r w:rsidRPr="00B227DA">
        <w:tab/>
        <w:t>Habida cuenta de las disposiciones del artículo 34.3, el Comité Permanente, en su reunión SC59, estará en condiciones de dar instrucciones específicas a la Secretaría sobre</w:t>
      </w:r>
      <w:r w:rsidR="00E9254C" w:rsidRPr="00B227DA">
        <w:t xml:space="preserve"> las revisiones de</w:t>
      </w:r>
      <w:r w:rsidRPr="00B227DA">
        <w:t xml:space="preserve"> cada proyecto de resolución que se vaya a presentar a la COP14, que pueden incluir la colaboración con la Parte </w:t>
      </w:r>
      <w:r w:rsidR="00E9254C" w:rsidRPr="00B227DA">
        <w:t xml:space="preserve">Contratante </w:t>
      </w:r>
      <w:r w:rsidRPr="00B227DA">
        <w:t>proponente.</w:t>
      </w:r>
    </w:p>
    <w:p w14:paraId="116C3305" w14:textId="77777777" w:rsidR="00461085" w:rsidRPr="00B227DA" w:rsidRDefault="00461085" w:rsidP="002275FA">
      <w:pPr>
        <w:rPr>
          <w:rFonts w:cs="Arial"/>
        </w:rPr>
      </w:pPr>
    </w:p>
    <w:p w14:paraId="7EEE120A" w14:textId="698D3963" w:rsidR="002275FA" w:rsidRPr="00B227DA" w:rsidRDefault="00C41160" w:rsidP="006620AF">
      <w:pPr>
        <w:rPr>
          <w:rFonts w:cs="Arial"/>
          <w:color w:val="000000" w:themeColor="text1"/>
        </w:rPr>
      </w:pPr>
      <w:r w:rsidRPr="00B227DA">
        <w:t>1</w:t>
      </w:r>
      <w:r w:rsidR="008A5567" w:rsidRPr="00B227DA">
        <w:t>3</w:t>
      </w:r>
      <w:r w:rsidRPr="00B227DA">
        <w:t xml:space="preserve">. </w:t>
      </w:r>
      <w:r w:rsidRPr="00B227DA">
        <w:tab/>
        <w:t>Teniendo en cuenta estas consideraciones, la Secretaría solicita orientaciones al Comité Permanente</w:t>
      </w:r>
      <w:r w:rsidR="00E9254C" w:rsidRPr="00B227DA">
        <w:t xml:space="preserve"> entre períodos de sesiones</w:t>
      </w:r>
      <w:r w:rsidRPr="00B227DA">
        <w:t xml:space="preserve"> en lo que respecta a su función de colaborar con las Partes </w:t>
      </w:r>
      <w:r w:rsidR="00E9254C" w:rsidRPr="00B227DA">
        <w:t xml:space="preserve">Contratantes </w:t>
      </w:r>
      <w:r w:rsidRPr="00B227DA">
        <w:t xml:space="preserve">en la preparación de proyectos de resolución, como se establece en la Resolución XIII.4, </w:t>
      </w:r>
      <w:r w:rsidR="00C563BA" w:rsidRPr="00B227DA">
        <w:rPr>
          <w:color w:val="000000" w:themeColor="text1"/>
        </w:rPr>
        <w:t>y presenta el enfoque definido en los párrafos anteriores para su examen y aprobación.</w:t>
      </w:r>
    </w:p>
    <w:p w14:paraId="0E3717ED" w14:textId="77777777" w:rsidR="008240B9" w:rsidRPr="00B227DA" w:rsidRDefault="008240B9" w:rsidP="006620AF">
      <w:pPr>
        <w:rPr>
          <w:rFonts w:cs="Arial"/>
        </w:rPr>
      </w:pPr>
    </w:p>
    <w:p w14:paraId="729D902C" w14:textId="77777777" w:rsidR="008240B9" w:rsidRPr="00B227DA" w:rsidRDefault="00D118C0" w:rsidP="008240B9">
      <w:pPr>
        <w:pStyle w:val="NoSpacing"/>
        <w:keepNext/>
        <w:rPr>
          <w:bCs/>
          <w:i/>
        </w:rPr>
      </w:pPr>
      <w:r w:rsidRPr="00B227DA">
        <w:rPr>
          <w:bCs/>
          <w:i/>
        </w:rPr>
        <w:t>Reuniones regionales previas a la COP</w:t>
      </w:r>
    </w:p>
    <w:p w14:paraId="21B0E737" w14:textId="77777777" w:rsidR="008240B9" w:rsidRPr="00B227DA" w:rsidRDefault="008240B9" w:rsidP="006620AF">
      <w:pPr>
        <w:rPr>
          <w:rFonts w:cs="Arial"/>
        </w:rPr>
      </w:pPr>
    </w:p>
    <w:p w14:paraId="1AA2ECF1" w14:textId="6C585945" w:rsidR="008240B9" w:rsidRPr="00B227DA" w:rsidRDefault="00C41160" w:rsidP="0028419A">
      <w:pPr>
        <w:rPr>
          <w:rFonts w:cs="Arial"/>
        </w:rPr>
      </w:pPr>
      <w:r w:rsidRPr="00B227DA">
        <w:t>1</w:t>
      </w:r>
      <w:r w:rsidR="008A5567" w:rsidRPr="00B227DA">
        <w:t>4</w:t>
      </w:r>
      <w:r w:rsidRPr="00B227DA">
        <w:t>.</w:t>
      </w:r>
      <w:r w:rsidRPr="00B227DA">
        <w:tab/>
      </w:r>
      <w:r w:rsidR="00E8324C" w:rsidRPr="00B227DA">
        <w:t>En trienios anteriores, l</w:t>
      </w:r>
      <w:r w:rsidRPr="00B227DA">
        <w:t xml:space="preserve">os proyectos de resolución </w:t>
      </w:r>
      <w:r w:rsidR="00E8324C" w:rsidRPr="00B227DA">
        <w:t>han sido</w:t>
      </w:r>
      <w:r w:rsidRPr="00B227DA">
        <w:t xml:space="preserve"> examinados </w:t>
      </w:r>
      <w:r w:rsidR="00E8324C" w:rsidRPr="00B227DA">
        <w:t xml:space="preserve">en las reuniones regionales previas a la COP de las Partes Contratantes y </w:t>
      </w:r>
      <w:r w:rsidRPr="00B227DA">
        <w:t xml:space="preserve">en una reunión del Comité Permanente </w:t>
      </w:r>
      <w:r w:rsidR="00D20478" w:rsidRPr="00B227DA">
        <w:t>antes de que</w:t>
      </w:r>
      <w:r w:rsidR="00773A08" w:rsidRPr="00B227DA">
        <w:t xml:space="preserve"> su</w:t>
      </w:r>
      <w:r w:rsidR="00D20478" w:rsidRPr="00B227DA">
        <w:t xml:space="preserve"> texto definitivo sea examinado </w:t>
      </w:r>
      <w:r w:rsidRPr="00B227DA">
        <w:t>en una reunión de la Conferencia de las Partes Contratantes.</w:t>
      </w:r>
      <w:r w:rsidR="00D20478" w:rsidRPr="00B227DA">
        <w:t xml:space="preserve"> Algunos </w:t>
      </w:r>
      <w:r w:rsidR="008A5567" w:rsidRPr="00B227DA">
        <w:t>son</w:t>
      </w:r>
      <w:r w:rsidR="00D20478" w:rsidRPr="00B227DA">
        <w:t xml:space="preserve"> examinados por el Grupo de Examen Científico y Técnico</w:t>
      </w:r>
      <w:r w:rsidR="008A5567" w:rsidRPr="00B227DA">
        <w:t xml:space="preserve">, según se contempla en </w:t>
      </w:r>
      <w:r w:rsidR="007847AC">
        <w:t>los</w:t>
      </w:r>
      <w:r w:rsidR="008A5567" w:rsidRPr="00B227DA">
        <w:t xml:space="preserve"> párrafo</w:t>
      </w:r>
      <w:r w:rsidR="007847AC">
        <w:t xml:space="preserve">s </w:t>
      </w:r>
      <w:r w:rsidR="007847AC" w:rsidRPr="007847AC">
        <w:t xml:space="preserve">12 (iii) </w:t>
      </w:r>
      <w:r w:rsidR="007847AC">
        <w:t>y</w:t>
      </w:r>
      <w:r w:rsidR="007847AC" w:rsidRPr="007847AC">
        <w:t xml:space="preserve"> 59</w:t>
      </w:r>
      <w:r w:rsidR="008A5567" w:rsidRPr="00B227DA">
        <w:t xml:space="preserve"> de la Resolución XII.5</w:t>
      </w:r>
      <w:r w:rsidRPr="00B227DA">
        <w:t xml:space="preserve">.   </w:t>
      </w:r>
    </w:p>
    <w:p w14:paraId="7768A9B9" w14:textId="77777777" w:rsidR="0028419A" w:rsidRPr="00B227DA" w:rsidRDefault="0028419A" w:rsidP="006620AF">
      <w:pPr>
        <w:rPr>
          <w:rFonts w:cs="Arial"/>
        </w:rPr>
      </w:pPr>
    </w:p>
    <w:p w14:paraId="2E793417" w14:textId="657FC793" w:rsidR="00B2498E" w:rsidRPr="00B227DA" w:rsidRDefault="00C41160" w:rsidP="006328CE">
      <w:pPr>
        <w:pStyle w:val="NoSpacing"/>
      </w:pPr>
      <w:r w:rsidRPr="00B227DA">
        <w:t>1</w:t>
      </w:r>
      <w:r w:rsidR="008A5567" w:rsidRPr="00B227DA">
        <w:t>5</w:t>
      </w:r>
      <w:r w:rsidRPr="00B227DA">
        <w:t>.</w:t>
      </w:r>
      <w:r w:rsidRPr="00B227DA">
        <w:tab/>
      </w:r>
      <w:r w:rsidR="00D20478" w:rsidRPr="00B227DA">
        <w:t>De conformidad con la Decisión SC58-</w:t>
      </w:r>
      <w:r w:rsidR="006706FB" w:rsidRPr="00B227DA">
        <w:t>10</w:t>
      </w:r>
      <w:r w:rsidR="00D20478" w:rsidRPr="00B227DA">
        <w:t xml:space="preserve">, </w:t>
      </w:r>
      <w:r w:rsidR="00B2498E" w:rsidRPr="00B227DA">
        <w:t>la Secretaría facilitará la preparación y celebración de reuniones regionales virtuales con el apoyo y asesoramiento de las Partes Contratantes representantes regionales en el Comité Permanente para examinar los proyectos de resolución</w:t>
      </w:r>
      <w:r w:rsidR="00D20478" w:rsidRPr="00B227DA">
        <w:t>.</w:t>
      </w:r>
    </w:p>
    <w:p w14:paraId="7B4679D5" w14:textId="77777777" w:rsidR="004E7217" w:rsidRPr="00B227DA" w:rsidRDefault="004E7217" w:rsidP="004E7217">
      <w:pPr>
        <w:pStyle w:val="NoSpacing"/>
      </w:pPr>
    </w:p>
    <w:p w14:paraId="59BCCDEC" w14:textId="77777777" w:rsidR="007855D7" w:rsidRPr="00B227DA" w:rsidRDefault="007855D7" w:rsidP="007855D7">
      <w:pPr>
        <w:pStyle w:val="NoSpacing"/>
        <w:keepNext/>
        <w:rPr>
          <w:b/>
          <w:bCs/>
        </w:rPr>
      </w:pPr>
      <w:r w:rsidRPr="00B227DA">
        <w:rPr>
          <w:b/>
          <w:bCs/>
        </w:rPr>
        <w:t>Examen de los proyectos de resolución y otros documentos en la COP14</w:t>
      </w:r>
    </w:p>
    <w:p w14:paraId="3B34C627" w14:textId="77777777" w:rsidR="007855D7" w:rsidRPr="00B227DA" w:rsidRDefault="007855D7" w:rsidP="004E7217">
      <w:pPr>
        <w:pStyle w:val="NoSpacing"/>
      </w:pPr>
    </w:p>
    <w:p w14:paraId="72A2A3D3" w14:textId="292BC13C" w:rsidR="00574960" w:rsidRPr="00B227DA" w:rsidRDefault="00C41160" w:rsidP="004E7217">
      <w:pPr>
        <w:pStyle w:val="NoSpacing"/>
      </w:pPr>
      <w:r w:rsidRPr="00B227DA">
        <w:t>1</w:t>
      </w:r>
      <w:r w:rsidR="008A5567" w:rsidRPr="00B227DA">
        <w:t>6</w:t>
      </w:r>
      <w:r w:rsidRPr="00B227DA">
        <w:t>.</w:t>
      </w:r>
      <w:r w:rsidRPr="00B227DA">
        <w:tab/>
        <w:t>En la reunión SC54</w:t>
      </w:r>
      <w:r w:rsidR="00D20478" w:rsidRPr="00B227DA">
        <w:t>,</w:t>
      </w:r>
      <w:r w:rsidRPr="00B227DA">
        <w:t xml:space="preserve"> el Comité Permanente tomó nota del documento SC54-18.3</w:t>
      </w:r>
      <w:r w:rsidR="00773A08" w:rsidRPr="00B227DA">
        <w:t>,</w:t>
      </w:r>
      <w:r w:rsidRPr="00B227DA">
        <w:rPr>
          <w:color w:val="FF0000"/>
        </w:rPr>
        <w:t xml:space="preserve"> </w:t>
      </w:r>
      <w:r w:rsidRPr="00B227DA">
        <w:rPr>
          <w:i/>
          <w:iCs/>
        </w:rPr>
        <w:t>Preparación de la 13ª reunión de la Conferencia de las Partes: Procedimiento de examen de los proyectos de resolución</w:t>
      </w:r>
      <w:r w:rsidRPr="00B227DA">
        <w:t xml:space="preserve"> (véase </w:t>
      </w:r>
      <w:hyperlink r:id="rId8" w:history="1">
        <w:r w:rsidR="009F6830" w:rsidRPr="00B227DA">
          <w:rPr>
            <w:rStyle w:val="Hyperlink"/>
          </w:rPr>
          <w:t>https://www.ramsar.org/es/documento/sc54-183-preparacion-de-la-13a-reunion-de-la-conferencia-de-las-partes-procedimiento-de</w:t>
        </w:r>
      </w:hyperlink>
      <w:r w:rsidRPr="00B227DA">
        <w:t>) e invitó a las Partes</w:t>
      </w:r>
      <w:r w:rsidR="00D20478" w:rsidRPr="00B227DA">
        <w:t xml:space="preserve"> Contratantes</w:t>
      </w:r>
      <w:r w:rsidRPr="00B227DA">
        <w:t xml:space="preserve"> a formular observaciones y a examinar una versión revisada en la reunión SC55, inmediatamente antes de la COP13, donde la Secretaría presentó el documento SC55 Doc.4.2</w:t>
      </w:r>
      <w:r w:rsidR="00773A08" w:rsidRPr="00B227DA">
        <w:t xml:space="preserve">, </w:t>
      </w:r>
      <w:r w:rsidRPr="00B227DA">
        <w:rPr>
          <w:i/>
          <w:iCs/>
        </w:rPr>
        <w:t>Procedimiento para el examen de los proyectos de resolución</w:t>
      </w:r>
      <w:r w:rsidRPr="00B227DA">
        <w:t xml:space="preserve"> (véase </w:t>
      </w:r>
      <w:hyperlink r:id="rId9" w:history="1">
        <w:r w:rsidR="009F6830" w:rsidRPr="00B227DA">
          <w:rPr>
            <w:rStyle w:val="Hyperlink"/>
          </w:rPr>
          <w:t>https://www.ramsar.org/es/documento/sc55-doc42-preparativos-para-la-cop13-procedimiento-para-el-examen-de-los-proyectos-de</w:t>
        </w:r>
      </w:hyperlink>
      <w:r w:rsidRPr="00B227DA">
        <w:t>)</w:t>
      </w:r>
      <w:r w:rsidR="00D20478" w:rsidRPr="00B227DA">
        <w:t>.</w:t>
      </w:r>
    </w:p>
    <w:p w14:paraId="5926A89D" w14:textId="6C4D4F50" w:rsidR="008853E0" w:rsidRPr="00B227DA" w:rsidRDefault="008853E0" w:rsidP="004E7217">
      <w:pPr>
        <w:pStyle w:val="NoSpacing"/>
      </w:pPr>
    </w:p>
    <w:p w14:paraId="170B100B" w14:textId="4C048EDB" w:rsidR="000C2C3B" w:rsidRPr="00B227DA" w:rsidRDefault="00C41160" w:rsidP="004E7217">
      <w:pPr>
        <w:pStyle w:val="NoSpacing"/>
      </w:pPr>
      <w:r w:rsidRPr="00B227DA">
        <w:t>1</w:t>
      </w:r>
      <w:r w:rsidR="008A5567" w:rsidRPr="00B227DA">
        <w:t>7</w:t>
      </w:r>
      <w:r w:rsidRPr="00B227DA">
        <w:t>.</w:t>
      </w:r>
      <w:r w:rsidRPr="00B227DA">
        <w:tab/>
        <w:t>Este procedimiento fue puesto en práctica eficazmente en la COP13. La Secretaría propone que se siga este mismo procedimiento para la COP14</w:t>
      </w:r>
      <w:r w:rsidR="00334E1D" w:rsidRPr="00B227DA">
        <w:t>, aplicando las mejoras logís</w:t>
      </w:r>
      <w:r w:rsidR="00A85468" w:rsidRPr="00B227DA">
        <w:t>ti</w:t>
      </w:r>
      <w:r w:rsidR="00334E1D" w:rsidRPr="00B227DA">
        <w:t>cas que procedan</w:t>
      </w:r>
      <w:r w:rsidRPr="00B227DA">
        <w:t xml:space="preserve">. </w:t>
      </w:r>
    </w:p>
    <w:p w14:paraId="1E73334A" w14:textId="77777777" w:rsidR="00397753" w:rsidRPr="00B227DA" w:rsidRDefault="00397753" w:rsidP="004E7217">
      <w:pPr>
        <w:pStyle w:val="NoSpacing"/>
      </w:pPr>
    </w:p>
    <w:p w14:paraId="448367B0" w14:textId="25DBFBAB" w:rsidR="001F6249" w:rsidRPr="00B227DA" w:rsidRDefault="001F6249">
      <w:pPr>
        <w:rPr>
          <w:rFonts w:cs="Arial"/>
        </w:rPr>
      </w:pPr>
      <w:r w:rsidRPr="00B227DA">
        <w:br w:type="page"/>
      </w:r>
    </w:p>
    <w:p w14:paraId="5D4FF07C" w14:textId="77777777" w:rsidR="001F6249" w:rsidRPr="00B227DA" w:rsidRDefault="001F6249" w:rsidP="001F6249">
      <w:pPr>
        <w:ind w:left="0" w:firstLine="0"/>
        <w:rPr>
          <w:b/>
          <w:sz w:val="24"/>
        </w:rPr>
      </w:pPr>
      <w:r w:rsidRPr="00B227DA">
        <w:rPr>
          <w:b/>
          <w:sz w:val="24"/>
        </w:rPr>
        <w:lastRenderedPageBreak/>
        <w:t>Anexo 1</w:t>
      </w:r>
    </w:p>
    <w:p w14:paraId="5EC99AC3" w14:textId="35A020DE" w:rsidR="001F6249" w:rsidRPr="00B227DA" w:rsidRDefault="001F6249" w:rsidP="001F6249">
      <w:pPr>
        <w:ind w:left="0" w:firstLine="0"/>
        <w:rPr>
          <w:b/>
          <w:sz w:val="24"/>
        </w:rPr>
      </w:pPr>
      <w:r w:rsidRPr="00B227DA">
        <w:rPr>
          <w:b/>
          <w:sz w:val="24"/>
        </w:rPr>
        <w:t>Nota orientativa sobre la preparación de proyectos de resolución</w:t>
      </w:r>
    </w:p>
    <w:p w14:paraId="65AC241E" w14:textId="77777777" w:rsidR="001F6249" w:rsidRPr="00B227DA" w:rsidRDefault="001F6249" w:rsidP="001F6249">
      <w:pPr>
        <w:ind w:left="0" w:firstLine="0"/>
        <w:rPr>
          <w:rFonts w:cs="Arial"/>
        </w:rPr>
      </w:pPr>
    </w:p>
    <w:p w14:paraId="17F27309" w14:textId="77777777" w:rsidR="001F6249" w:rsidRPr="00B227DA" w:rsidRDefault="001F6249" w:rsidP="001F6249">
      <w:pPr>
        <w:ind w:left="0" w:firstLine="0"/>
        <w:rPr>
          <w:rFonts w:cs="Arial"/>
          <w:b/>
        </w:rPr>
      </w:pPr>
      <w:r w:rsidRPr="00B227DA">
        <w:rPr>
          <w:b/>
        </w:rPr>
        <w:t>Procedimiento y calendario</w:t>
      </w:r>
    </w:p>
    <w:p w14:paraId="4B33D578" w14:textId="77777777" w:rsidR="001F6249" w:rsidRPr="00B227DA" w:rsidRDefault="001F6249" w:rsidP="001F6249">
      <w:pPr>
        <w:ind w:left="0" w:firstLine="0"/>
        <w:rPr>
          <w:rFonts w:cs="Arial"/>
        </w:rPr>
      </w:pPr>
    </w:p>
    <w:p w14:paraId="1E913516" w14:textId="3258E6CC" w:rsidR="001F6249" w:rsidRPr="00B227DA" w:rsidRDefault="001F6249" w:rsidP="001F6249">
      <w:pPr>
        <w:rPr>
          <w:color w:val="000000"/>
        </w:rPr>
      </w:pPr>
      <w:r w:rsidRPr="00B227DA">
        <w:rPr>
          <w:color w:val="000000"/>
        </w:rPr>
        <w:t>1.</w:t>
      </w:r>
      <w:r w:rsidRPr="00B227DA">
        <w:rPr>
          <w:color w:val="000000"/>
        </w:rPr>
        <w:tab/>
        <w:t>La 14</w:t>
      </w:r>
      <w:r w:rsidRPr="00B227DA">
        <w:rPr>
          <w:color w:val="000000"/>
          <w:vertAlign w:val="superscript"/>
        </w:rPr>
        <w:t>a</w:t>
      </w:r>
      <w:r w:rsidRPr="00B227DA">
        <w:rPr>
          <w:color w:val="000000"/>
        </w:rPr>
        <w:t xml:space="preserve"> reunión de la Conferencia de las Partes Contratantes en la Convención de Ramsar sobre los Humedales (COP14) tendrá lugar en 2021 en Wuhan</w:t>
      </w:r>
      <w:r w:rsidR="008719EA" w:rsidRPr="00B227DA">
        <w:rPr>
          <w:color w:val="000000"/>
        </w:rPr>
        <w:t xml:space="preserve"> </w:t>
      </w:r>
      <w:r w:rsidR="008719EA" w:rsidRPr="00B227DA">
        <w:t>(</w:t>
      </w:r>
      <w:r w:rsidRPr="00B227DA">
        <w:t xml:space="preserve">República Popular </w:t>
      </w:r>
      <w:r w:rsidRPr="00B227DA">
        <w:rPr>
          <w:color w:val="000000"/>
        </w:rPr>
        <w:t>China</w:t>
      </w:r>
      <w:r w:rsidR="008719EA" w:rsidRPr="00B227DA">
        <w:rPr>
          <w:color w:val="000000"/>
        </w:rPr>
        <w:t>)</w:t>
      </w:r>
      <w:r w:rsidRPr="00B227DA">
        <w:rPr>
          <w:color w:val="000000"/>
        </w:rPr>
        <w:t xml:space="preserve">. </w:t>
      </w:r>
      <w:r w:rsidR="00334E1D" w:rsidRPr="00B227DA">
        <w:rPr>
          <w:color w:val="000000"/>
        </w:rPr>
        <w:t xml:space="preserve">A fecha de </w:t>
      </w:r>
      <w:r w:rsidR="006328CE" w:rsidRPr="00B227DA">
        <w:rPr>
          <w:color w:val="000000"/>
        </w:rPr>
        <w:t>1</w:t>
      </w:r>
      <w:r w:rsidR="007847AC">
        <w:rPr>
          <w:color w:val="000000"/>
        </w:rPr>
        <w:t>8</w:t>
      </w:r>
      <w:r w:rsidR="006328CE" w:rsidRPr="00B227DA">
        <w:rPr>
          <w:color w:val="000000"/>
        </w:rPr>
        <w:t xml:space="preserve"> de </w:t>
      </w:r>
      <w:r w:rsidR="007847AC">
        <w:rPr>
          <w:color w:val="000000"/>
        </w:rPr>
        <w:t>febrero</w:t>
      </w:r>
      <w:r w:rsidR="006328CE" w:rsidRPr="00B227DA">
        <w:rPr>
          <w:color w:val="000000"/>
        </w:rPr>
        <w:t xml:space="preserve"> de 202</w:t>
      </w:r>
      <w:r w:rsidR="007847AC">
        <w:rPr>
          <w:color w:val="000000"/>
        </w:rPr>
        <w:t>1</w:t>
      </w:r>
      <w:r w:rsidR="004956B4" w:rsidRPr="00B227DA">
        <w:t>, las</w:t>
      </w:r>
      <w:r w:rsidRPr="00B227DA">
        <w:t xml:space="preserve"> </w:t>
      </w:r>
      <w:r w:rsidRPr="00B227DA">
        <w:rPr>
          <w:color w:val="000000"/>
        </w:rPr>
        <w:t xml:space="preserve">fechas de la COP14 </w:t>
      </w:r>
      <w:r w:rsidR="00235D03" w:rsidRPr="00B227DA">
        <w:rPr>
          <w:color w:val="000000"/>
        </w:rPr>
        <w:t xml:space="preserve">aún </w:t>
      </w:r>
      <w:r w:rsidRPr="00B227DA">
        <w:rPr>
          <w:color w:val="000000"/>
        </w:rPr>
        <w:t xml:space="preserve">no han sido propuestas por el país anfitrión para su aprobación por el Comité Permanente.  </w:t>
      </w:r>
    </w:p>
    <w:p w14:paraId="43AE5453" w14:textId="77777777" w:rsidR="001F6249" w:rsidRPr="00B227DA" w:rsidRDefault="001F6249" w:rsidP="001F6249">
      <w:pPr>
        <w:rPr>
          <w:color w:val="000000"/>
        </w:rPr>
      </w:pPr>
    </w:p>
    <w:p w14:paraId="11E5CAFF" w14:textId="32CEC0D2" w:rsidR="001F6249" w:rsidRPr="00B227DA" w:rsidRDefault="001F6249" w:rsidP="001F6249">
      <w:r w:rsidRPr="00B227DA">
        <w:rPr>
          <w:color w:val="000000"/>
        </w:rPr>
        <w:t>2.</w:t>
      </w:r>
      <w:r w:rsidRPr="00B227DA">
        <w:rPr>
          <w:color w:val="000000"/>
        </w:rPr>
        <w:tab/>
      </w:r>
      <w:r w:rsidRPr="00B227DA">
        <w:t xml:space="preserve">De conformidad con el artículo 5.1 del </w:t>
      </w:r>
      <w:r w:rsidR="008719EA" w:rsidRPr="00B227DA">
        <w:t>r</w:t>
      </w:r>
      <w:r w:rsidRPr="00B227DA">
        <w:t>eglamento de la Conferencia de las Partes Contratantes, el plazo límite para presentar proyectos de resolución es de 60 días antes de la reunión del Comité Permanente en la que esté previsto formular recomendaciones sobre los documentos que examinarán las Partes Contratantes en la COP.</w:t>
      </w:r>
      <w:r w:rsidRPr="00B227DA">
        <w:rPr>
          <w:color w:val="000000"/>
        </w:rPr>
        <w:t xml:space="preserve"> </w:t>
      </w:r>
      <w:r w:rsidR="008A5567" w:rsidRPr="00B227DA">
        <w:rPr>
          <w:color w:val="000000"/>
        </w:rPr>
        <w:t xml:space="preserve">Dado que el Comité Permanente ha confirmado que su 59ª reunión (SC59) tendrá lugar del 21 al 25 de junio </w:t>
      </w:r>
      <w:r w:rsidR="008A5567" w:rsidRPr="00B227DA">
        <w:t>de 2021</w:t>
      </w:r>
      <w:r w:rsidRPr="00B227DA">
        <w:t xml:space="preserve">, </w:t>
      </w:r>
      <w:r w:rsidR="001F7157" w:rsidRPr="00B227DA">
        <w:t>la fecha</w:t>
      </w:r>
      <w:r w:rsidRPr="00B227DA">
        <w:t xml:space="preserve"> </w:t>
      </w:r>
      <w:r w:rsidR="008A5567" w:rsidRPr="00B227DA">
        <w:t>límite para presentar</w:t>
      </w:r>
      <w:r w:rsidRPr="00B227DA">
        <w:t xml:space="preserve"> proyectos de resolución</w:t>
      </w:r>
      <w:r w:rsidR="000854A4" w:rsidRPr="00B227DA">
        <w:t xml:space="preserve"> </w:t>
      </w:r>
      <w:r w:rsidR="008A5567" w:rsidRPr="00B227DA">
        <w:t>es el 22 de abril</w:t>
      </w:r>
      <w:r w:rsidRPr="00B227DA">
        <w:t xml:space="preserve">. </w:t>
      </w:r>
    </w:p>
    <w:p w14:paraId="37A9601F" w14:textId="77777777" w:rsidR="001F6249" w:rsidRPr="00B227DA" w:rsidRDefault="001F6249" w:rsidP="001F6249">
      <w:pPr>
        <w:rPr>
          <w:color w:val="000000"/>
        </w:rPr>
      </w:pPr>
    </w:p>
    <w:p w14:paraId="77D943AD" w14:textId="5D86DCC2" w:rsidR="001F6249" w:rsidRPr="00B227DA" w:rsidRDefault="001F6249" w:rsidP="001F6249">
      <w:r w:rsidRPr="00B227DA">
        <w:rPr>
          <w:color w:val="000000"/>
        </w:rPr>
        <w:t>3.</w:t>
      </w:r>
      <w:r w:rsidRPr="00B227DA">
        <w:rPr>
          <w:color w:val="000000"/>
        </w:rPr>
        <w:tab/>
        <w:t xml:space="preserve">La Secretaría alienta a las Partes Contratantes a presentar los proyectos de resolución con la mayor antelación posible respecto del plazo </w:t>
      </w:r>
      <w:r w:rsidRPr="00B227DA">
        <w:t>establecido,</w:t>
      </w:r>
      <w:r w:rsidR="000854A4" w:rsidRPr="00B227DA">
        <w:t xml:space="preserve"> </w:t>
      </w:r>
      <w:r w:rsidRPr="00B227DA">
        <w:t>de modo que puedan publicarse en los idiomas oficiales de la Convención tres meses antes de la reunión SC59</w:t>
      </w:r>
      <w:r w:rsidR="000854A4" w:rsidRPr="00B227DA">
        <w:t xml:space="preserve"> </w:t>
      </w:r>
      <w:r w:rsidR="008719EA" w:rsidRPr="00B227DA">
        <w:t>en la medida de lo</w:t>
      </w:r>
      <w:r w:rsidR="000854A4" w:rsidRPr="00B227DA">
        <w:t xml:space="preserve"> posible</w:t>
      </w:r>
      <w:r w:rsidRPr="00B227DA">
        <w:t xml:space="preserve">, junto con los demás documentos para dicha reunión. </w:t>
      </w:r>
    </w:p>
    <w:p w14:paraId="65062973" w14:textId="77777777" w:rsidR="001F6249" w:rsidRPr="00B227DA" w:rsidRDefault="001F6249" w:rsidP="001F6249">
      <w:pPr>
        <w:rPr>
          <w:color w:val="000000"/>
        </w:rPr>
      </w:pPr>
    </w:p>
    <w:p w14:paraId="3871064E" w14:textId="501D1D46" w:rsidR="001F6249" w:rsidRPr="00B227DA" w:rsidRDefault="001F6249" w:rsidP="001F6249">
      <w:pPr>
        <w:rPr>
          <w:color w:val="000000"/>
        </w:rPr>
      </w:pPr>
      <w:r w:rsidRPr="00B227DA">
        <w:rPr>
          <w:color w:val="000000"/>
        </w:rPr>
        <w:t>4.</w:t>
      </w:r>
      <w:r w:rsidRPr="00B227DA">
        <w:rPr>
          <w:color w:val="000000"/>
        </w:rPr>
        <w:tab/>
        <w:t xml:space="preserve">La presentación temprana de los proyectos de resolución garantizará que las Partes Contratantes dispongan de tiempo suficiente para examinarlos antes de la reunión SC59. Una presentación temprana también permitirá que el Comité de Examen Científico y Técnico de la Convención pueda analizar </w:t>
      </w:r>
      <w:r w:rsidR="008F3FC0" w:rsidRPr="00B227DA">
        <w:t>cualquier</w:t>
      </w:r>
      <w:r w:rsidRPr="00B227DA">
        <w:t xml:space="preserve"> </w:t>
      </w:r>
      <w:r w:rsidRPr="00B227DA">
        <w:rPr>
          <w:color w:val="000000"/>
        </w:rPr>
        <w:t>proyecto de resolución, si así se le solicita, durante su 24</w:t>
      </w:r>
      <w:r w:rsidRPr="00B227DA">
        <w:rPr>
          <w:color w:val="000000"/>
          <w:vertAlign w:val="superscript"/>
        </w:rPr>
        <w:t>a</w:t>
      </w:r>
      <w:r w:rsidRPr="00B227DA">
        <w:rPr>
          <w:color w:val="000000"/>
        </w:rPr>
        <w:t xml:space="preserve"> reunión, prevista provisionalmente para el primer trimestre de 2021, a fin de hacer aportaciones técnicas cuando proceda antes de la reunión SC59.</w:t>
      </w:r>
    </w:p>
    <w:p w14:paraId="630BBCE5" w14:textId="77777777" w:rsidR="001F6249" w:rsidRPr="00B227DA" w:rsidRDefault="001F6249" w:rsidP="001F6249">
      <w:pPr>
        <w:rPr>
          <w:rFonts w:cs="Arial"/>
        </w:rPr>
      </w:pPr>
    </w:p>
    <w:p w14:paraId="545A7FDF" w14:textId="6F85CA46" w:rsidR="001F6249" w:rsidRPr="00B227DA" w:rsidRDefault="001F6249" w:rsidP="001F6249">
      <w:pPr>
        <w:rPr>
          <w:color w:val="000000"/>
        </w:rPr>
      </w:pPr>
      <w:r w:rsidRPr="00B227DA">
        <w:rPr>
          <w:color w:val="000000"/>
        </w:rPr>
        <w:t>5.</w:t>
      </w:r>
      <w:r w:rsidRPr="00B227DA">
        <w:rPr>
          <w:color w:val="000000"/>
        </w:rPr>
        <w:tab/>
      </w:r>
      <w:r w:rsidRPr="00B227DA">
        <w:t xml:space="preserve">Los proyectos de resolución deberán enviarse por correo electrónico al Oficial de Documentación a la siguiente dirección: </w:t>
      </w:r>
      <w:hyperlink r:id="rId10" w:history="1">
        <w:r w:rsidRPr="00B227DA">
          <w:rPr>
            <w:rStyle w:val="Hyperlink"/>
          </w:rPr>
          <w:t>documents@ramsar.org</w:t>
        </w:r>
      </w:hyperlink>
      <w:r w:rsidRPr="00B227DA">
        <w:t>.</w:t>
      </w:r>
      <w:r w:rsidRPr="00B227DA">
        <w:rPr>
          <w:color w:val="000000"/>
        </w:rPr>
        <w:t xml:space="preserve"> Cualquier pregunta relativa al procedimiento o al contenido de los proyectos de resolución deberá enviarse a la misma dirección.</w:t>
      </w:r>
    </w:p>
    <w:p w14:paraId="2EE87052" w14:textId="77777777" w:rsidR="001F6249" w:rsidRPr="00B227DA" w:rsidRDefault="001F6249" w:rsidP="001F6249">
      <w:pPr>
        <w:ind w:left="0" w:firstLine="0"/>
        <w:rPr>
          <w:rFonts w:cs="Arial"/>
        </w:rPr>
      </w:pPr>
    </w:p>
    <w:p w14:paraId="29B4C6AF" w14:textId="55A96B24" w:rsidR="001F6249" w:rsidRPr="00B227DA" w:rsidRDefault="001F6249" w:rsidP="001F6249">
      <w:pPr>
        <w:ind w:left="0" w:firstLine="0"/>
        <w:rPr>
          <w:rFonts w:cs="Arial"/>
          <w:b/>
        </w:rPr>
      </w:pPr>
      <w:r w:rsidRPr="00B227DA">
        <w:rPr>
          <w:b/>
        </w:rPr>
        <w:t>Contenido de los proyectos de resolución que se presenten al Comité Permanente</w:t>
      </w:r>
    </w:p>
    <w:p w14:paraId="1736F9C6" w14:textId="77777777" w:rsidR="001F6249" w:rsidRPr="00B227DA" w:rsidRDefault="001F6249" w:rsidP="001F6249">
      <w:pPr>
        <w:ind w:left="0" w:firstLine="0"/>
        <w:rPr>
          <w:rFonts w:cs="Arial"/>
        </w:rPr>
      </w:pPr>
    </w:p>
    <w:p w14:paraId="3318DE5F" w14:textId="77777777" w:rsidR="001F6249" w:rsidRPr="00B227DA" w:rsidRDefault="001F6249" w:rsidP="001F6249">
      <w:pPr>
        <w:rPr>
          <w:color w:val="000000"/>
        </w:rPr>
      </w:pPr>
      <w:r w:rsidRPr="00B227DA">
        <w:rPr>
          <w:color w:val="000000"/>
        </w:rPr>
        <w:t>6.</w:t>
      </w:r>
      <w:r w:rsidRPr="00B227DA">
        <w:rPr>
          <w:color w:val="000000"/>
        </w:rPr>
        <w:tab/>
        <w:t>Los proyectos de resolución que se presenten al Comité Permanente para su examen deberán incluir los siguientes elementos:</w:t>
      </w:r>
    </w:p>
    <w:p w14:paraId="5C17BA40" w14:textId="77777777" w:rsidR="001F6249" w:rsidRPr="00B227DA" w:rsidRDefault="001F6249" w:rsidP="001F6249">
      <w:pPr>
        <w:rPr>
          <w:rFonts w:cs="Arial"/>
        </w:rPr>
      </w:pPr>
    </w:p>
    <w:p w14:paraId="15511DFE" w14:textId="68C777E1" w:rsidR="001F6249" w:rsidRPr="00B227DA" w:rsidRDefault="001F6249" w:rsidP="001F6249">
      <w:pPr>
        <w:ind w:left="850"/>
        <w:contextualSpacing/>
        <w:rPr>
          <w:rFonts w:cs="Arial"/>
        </w:rPr>
      </w:pPr>
      <w:r w:rsidRPr="00B227DA">
        <w:t>i)</w:t>
      </w:r>
      <w:r w:rsidRPr="00B227DA">
        <w:tab/>
        <w:t>Una</w:t>
      </w:r>
      <w:r w:rsidR="00AC536D" w:rsidRPr="00B227DA">
        <w:t xml:space="preserve"> breve</w:t>
      </w:r>
      <w:r w:rsidRPr="00B227DA">
        <w:t xml:space="preserve"> introducción para el Comité Permanente que contenga </w:t>
      </w:r>
      <w:r w:rsidR="00AC536D" w:rsidRPr="00B227DA">
        <w:t xml:space="preserve">una estimación de </w:t>
      </w:r>
      <w:r w:rsidRPr="00B227DA">
        <w:t xml:space="preserve">las posibles repercusiones de la aplicación de la resolución en cuestión </w:t>
      </w:r>
      <w:r w:rsidR="00AC536D" w:rsidRPr="00B227DA">
        <w:t>sobre</w:t>
      </w:r>
      <w:r w:rsidRPr="00B227DA">
        <w:t xml:space="preserve"> </w:t>
      </w:r>
      <w:r w:rsidR="008F3FC0" w:rsidRPr="00B227DA">
        <w:t xml:space="preserve">la carga de trabajo de la Secretaría y </w:t>
      </w:r>
      <w:r w:rsidR="00AC536D" w:rsidRPr="00B227DA">
        <w:t xml:space="preserve">de </w:t>
      </w:r>
      <w:r w:rsidR="008F3FC0" w:rsidRPr="00B227DA">
        <w:t>la financiación con cargo al presupuesto básico de la Convención que sería necesaria para la aplicación de la resolución</w:t>
      </w:r>
      <w:r w:rsidRPr="00B227DA">
        <w:t>;</w:t>
      </w:r>
    </w:p>
    <w:p w14:paraId="63F84C99" w14:textId="77777777" w:rsidR="001F6249" w:rsidRPr="00B227DA" w:rsidRDefault="001F6249" w:rsidP="001F6249">
      <w:pPr>
        <w:ind w:left="850"/>
        <w:contextualSpacing/>
        <w:rPr>
          <w:rFonts w:cs="Arial"/>
        </w:rPr>
      </w:pPr>
    </w:p>
    <w:p w14:paraId="479F73AE" w14:textId="0D23F213" w:rsidR="001F6249" w:rsidRPr="00B227DA" w:rsidRDefault="001F6249" w:rsidP="001F6249">
      <w:pPr>
        <w:ind w:left="850"/>
        <w:contextualSpacing/>
        <w:rPr>
          <w:rFonts w:cs="Arial"/>
        </w:rPr>
      </w:pPr>
      <w:r w:rsidRPr="00B227DA">
        <w:t>ii)</w:t>
      </w:r>
      <w:r w:rsidRPr="00B227DA">
        <w:tab/>
        <w:t>El texto del proyecto</w:t>
      </w:r>
      <w:r w:rsidR="008F3FC0" w:rsidRPr="00B227DA">
        <w:t xml:space="preserve"> de resolución</w:t>
      </w:r>
      <w:r w:rsidRPr="00B227DA">
        <w:t>; y</w:t>
      </w:r>
    </w:p>
    <w:p w14:paraId="4B25BBD8" w14:textId="77777777" w:rsidR="001F6249" w:rsidRPr="00B227DA" w:rsidRDefault="001F6249" w:rsidP="001F6249">
      <w:pPr>
        <w:pStyle w:val="ListParagraph"/>
        <w:ind w:left="850"/>
        <w:rPr>
          <w:rFonts w:cs="Arial"/>
        </w:rPr>
      </w:pPr>
    </w:p>
    <w:p w14:paraId="01A41AF3" w14:textId="38B2E49B" w:rsidR="001F6249" w:rsidRPr="00B227DA" w:rsidRDefault="001F6249" w:rsidP="001F6249">
      <w:pPr>
        <w:ind w:left="850"/>
        <w:contextualSpacing/>
      </w:pPr>
      <w:r w:rsidRPr="00B227DA">
        <w:t>iii)</w:t>
      </w:r>
      <w:r w:rsidRPr="00B227DA">
        <w:tab/>
        <w:t>Cualquier posible orientación</w:t>
      </w:r>
      <w:r w:rsidR="008F3FC0" w:rsidRPr="00B227DA">
        <w:t>, cuadro</w:t>
      </w:r>
      <w:r w:rsidRPr="00B227DA">
        <w:t xml:space="preserve"> o texto anexo que</w:t>
      </w:r>
      <w:r w:rsidR="008F3FC0" w:rsidRPr="00B227DA">
        <w:t xml:space="preserve"> pueda ser necesario para aportar información sobre el contexto</w:t>
      </w:r>
      <w:r w:rsidR="00AC536D" w:rsidRPr="00B227DA">
        <w:t xml:space="preserve"> evolutivo</w:t>
      </w:r>
      <w:r w:rsidR="008F3FC0" w:rsidRPr="00B227DA">
        <w:t xml:space="preserve">, orientaciones o información crucial adicional y que se incluiría en la resolución definitiva </w:t>
      </w:r>
      <w:r w:rsidR="00AC536D" w:rsidRPr="00B227DA">
        <w:t>en caso de ser aprobada por la</w:t>
      </w:r>
      <w:r w:rsidRPr="00B227DA">
        <w:t xml:space="preserve"> Conferencia de las Partes</w:t>
      </w:r>
      <w:r w:rsidR="00AC536D" w:rsidRPr="00B227DA">
        <w:t>.</w:t>
      </w:r>
    </w:p>
    <w:p w14:paraId="71D27B80" w14:textId="71213AB8" w:rsidR="008A5567" w:rsidRPr="00B227DA" w:rsidRDefault="008A5567" w:rsidP="001F6249">
      <w:pPr>
        <w:ind w:left="850"/>
        <w:contextualSpacing/>
      </w:pPr>
    </w:p>
    <w:p w14:paraId="22D6A559" w14:textId="1E8B23BE" w:rsidR="008A5567" w:rsidRPr="00B227DA" w:rsidRDefault="008A5567" w:rsidP="008A5567">
      <w:pPr>
        <w:ind w:left="426" w:hanging="1"/>
        <w:contextualSpacing/>
        <w:rPr>
          <w:rFonts w:cs="Arial"/>
        </w:rPr>
      </w:pPr>
      <w:r w:rsidRPr="00B227DA">
        <w:lastRenderedPageBreak/>
        <w:t xml:space="preserve">Se ofrecen orientaciones </w:t>
      </w:r>
      <w:r w:rsidR="003A3207" w:rsidRPr="00B227DA">
        <w:t>adicionales</w:t>
      </w:r>
      <w:r w:rsidR="001F7157" w:rsidRPr="00B227DA">
        <w:t xml:space="preserve"> </w:t>
      </w:r>
      <w:r w:rsidRPr="00B227DA">
        <w:t>sobre cada uno de estos elementos en las secciones siguientes.</w:t>
      </w:r>
    </w:p>
    <w:p w14:paraId="0FAA88B7" w14:textId="77777777" w:rsidR="001F6249" w:rsidRPr="00B227DA" w:rsidRDefault="001F6249" w:rsidP="001F6249">
      <w:pPr>
        <w:contextualSpacing/>
        <w:rPr>
          <w:color w:val="000000"/>
        </w:rPr>
      </w:pPr>
    </w:p>
    <w:p w14:paraId="1C4B7CF2" w14:textId="3E7511EA" w:rsidR="001F6249" w:rsidRPr="00B227DA" w:rsidRDefault="001F6249" w:rsidP="001F6249">
      <w:pPr>
        <w:rPr>
          <w:color w:val="000000"/>
        </w:rPr>
      </w:pPr>
      <w:r w:rsidRPr="00B227DA">
        <w:rPr>
          <w:color w:val="000000"/>
        </w:rPr>
        <w:t>7.</w:t>
      </w:r>
      <w:r w:rsidRPr="00B227DA">
        <w:rPr>
          <w:color w:val="000000"/>
        </w:rPr>
        <w:tab/>
      </w:r>
      <w:r w:rsidRPr="00B227DA">
        <w:t xml:space="preserve">Las resoluciones existentes, que pueden ser modelos útiles, se encuentran en el sitio web de Ramsar en la </w:t>
      </w:r>
      <w:hyperlink r:id="rId11" w:history="1">
        <w:r w:rsidRPr="00B227DA">
          <w:rPr>
            <w:color w:val="000000"/>
          </w:rPr>
          <w:t>dirección</w:t>
        </w:r>
      </w:hyperlink>
      <w:r w:rsidRPr="00B227DA">
        <w:rPr>
          <w:color w:val="000000"/>
        </w:rPr>
        <w:t xml:space="preserve">: </w:t>
      </w:r>
      <w:hyperlink r:id="rId12" w:history="1">
        <w:r w:rsidR="00512AD7" w:rsidRPr="00B227DA">
          <w:rPr>
            <w:rStyle w:val="Hyperlink"/>
          </w:rPr>
          <w:t>https://www.ramsar.org/es/search?sort=field_sort_date&amp;order=desc&amp;f%5B0%5D=field_document_type%3A530&amp;search_api_views_fulltext=</w:t>
        </w:r>
      </w:hyperlink>
      <w:r w:rsidRPr="00B227DA">
        <w:rPr>
          <w:color w:val="000000"/>
        </w:rPr>
        <w:t>.</w:t>
      </w:r>
    </w:p>
    <w:p w14:paraId="17051231" w14:textId="77777777" w:rsidR="001F6249" w:rsidRPr="00B227DA" w:rsidRDefault="001F6249" w:rsidP="001F6249">
      <w:pPr>
        <w:contextualSpacing/>
        <w:rPr>
          <w:rFonts w:cs="Arial"/>
        </w:rPr>
      </w:pPr>
    </w:p>
    <w:p w14:paraId="2B33BBCC" w14:textId="5F4DEBA2" w:rsidR="001F6249" w:rsidRPr="00B227DA" w:rsidRDefault="001F6249" w:rsidP="0054341B">
      <w:pPr>
        <w:keepNext/>
        <w:contextualSpacing/>
        <w:rPr>
          <w:rFonts w:cs="Arial"/>
          <w:b/>
        </w:rPr>
      </w:pPr>
      <w:r w:rsidRPr="00B227DA">
        <w:rPr>
          <w:b/>
        </w:rPr>
        <w:t xml:space="preserve">Orientaciones sobre </w:t>
      </w:r>
      <w:r w:rsidR="008F3FC0" w:rsidRPr="00B227DA">
        <w:rPr>
          <w:b/>
        </w:rPr>
        <w:t>la redacción</w:t>
      </w:r>
    </w:p>
    <w:p w14:paraId="0B60E6A7" w14:textId="77777777" w:rsidR="001F6249" w:rsidRPr="00B227DA" w:rsidRDefault="001F6249" w:rsidP="0054341B">
      <w:pPr>
        <w:keepNext/>
        <w:contextualSpacing/>
        <w:rPr>
          <w:b/>
        </w:rPr>
      </w:pPr>
    </w:p>
    <w:p w14:paraId="1F7D5BA1" w14:textId="53894DDF" w:rsidR="001F6249" w:rsidRPr="00B227DA" w:rsidRDefault="008F3FC0" w:rsidP="0054341B">
      <w:pPr>
        <w:keepNext/>
        <w:ind w:left="0" w:firstLine="0"/>
        <w:contextualSpacing/>
        <w:rPr>
          <w:i/>
        </w:rPr>
      </w:pPr>
      <w:r w:rsidRPr="00B227DA">
        <w:rPr>
          <w:i/>
        </w:rPr>
        <w:t>Longitud propuesta</w:t>
      </w:r>
    </w:p>
    <w:p w14:paraId="557D468B" w14:textId="420816DE" w:rsidR="008F3FC0" w:rsidRPr="00B227DA" w:rsidRDefault="008F3FC0" w:rsidP="0054341B">
      <w:pPr>
        <w:keepNext/>
        <w:ind w:left="0" w:firstLine="0"/>
        <w:contextualSpacing/>
        <w:rPr>
          <w:rFonts w:cs="Arial"/>
          <w:i/>
        </w:rPr>
      </w:pPr>
    </w:p>
    <w:p w14:paraId="0B341862" w14:textId="6552C789" w:rsidR="008F3FC0" w:rsidRPr="00B227DA" w:rsidRDefault="008F3FC0" w:rsidP="008F3FC0">
      <w:pPr>
        <w:suppressLineNumbers/>
        <w:suppressAutoHyphens/>
      </w:pPr>
      <w:r w:rsidRPr="00B227DA">
        <w:t>8.</w:t>
      </w:r>
      <w:r w:rsidRPr="00B227DA">
        <w:tab/>
      </w:r>
      <w:r w:rsidR="009E3963" w:rsidRPr="00B227DA">
        <w:t xml:space="preserve">Se </w:t>
      </w:r>
      <w:r w:rsidR="00AC536D" w:rsidRPr="00B227DA">
        <w:t xml:space="preserve">recomienda </w:t>
      </w:r>
      <w:r w:rsidR="009E3963" w:rsidRPr="00B227DA">
        <w:t>que los proyectos de resolución</w:t>
      </w:r>
      <w:r w:rsidR="00AC536D" w:rsidRPr="00B227DA">
        <w:t xml:space="preserve"> contengan un </w:t>
      </w:r>
      <w:r w:rsidR="009E3963" w:rsidRPr="00B227DA">
        <w:t>máximo de diez páginas, incluid</w:t>
      </w:r>
      <w:r w:rsidR="00807DDC" w:rsidRPr="00B227DA">
        <w:t>os</w:t>
      </w:r>
      <w:r w:rsidR="009E3963" w:rsidRPr="00B227DA">
        <w:t xml:space="preserve"> la introducción, el texto del proy</w:t>
      </w:r>
      <w:r w:rsidR="00807DDC" w:rsidRPr="00B227DA">
        <w:t>e</w:t>
      </w:r>
      <w:r w:rsidR="009E3963" w:rsidRPr="00B227DA">
        <w:t xml:space="preserve">cto de resolución y </w:t>
      </w:r>
      <w:r w:rsidR="00807DDC" w:rsidRPr="00B227DA">
        <w:t>los posibles</w:t>
      </w:r>
      <w:r w:rsidR="009E3963" w:rsidRPr="00B227DA">
        <w:t xml:space="preserve"> anexo</w:t>
      </w:r>
      <w:r w:rsidR="00807DDC" w:rsidRPr="00B227DA">
        <w:t>s</w:t>
      </w:r>
      <w:r w:rsidR="009E3963" w:rsidRPr="00B227DA">
        <w:t>. Se agradecen los documentos más cortos.</w:t>
      </w:r>
    </w:p>
    <w:p w14:paraId="68981A7A" w14:textId="77777777" w:rsidR="008F3FC0" w:rsidRPr="00B227DA" w:rsidRDefault="008F3FC0" w:rsidP="008F3FC0">
      <w:pPr>
        <w:suppressLineNumbers/>
        <w:suppressAutoHyphens/>
      </w:pPr>
    </w:p>
    <w:p w14:paraId="2E3CA0F9" w14:textId="0B6F0FA3" w:rsidR="008F3FC0" w:rsidRPr="00B227DA" w:rsidRDefault="008F3FC0" w:rsidP="008F3FC0">
      <w:pPr>
        <w:suppressLineNumbers/>
        <w:suppressAutoHyphens/>
      </w:pPr>
      <w:r w:rsidRPr="00B227DA">
        <w:t>9.</w:t>
      </w:r>
      <w:r w:rsidRPr="00B227DA">
        <w:tab/>
      </w:r>
      <w:r w:rsidR="009E3963" w:rsidRPr="00B227DA">
        <w:t xml:space="preserve">Este límite </w:t>
      </w:r>
      <w:r w:rsidR="003211E4" w:rsidRPr="00B227DA">
        <w:t>permitirá</w:t>
      </w:r>
      <w:r w:rsidR="009E3963" w:rsidRPr="00B227DA">
        <w:t xml:space="preserve"> lo siguiente:</w:t>
      </w:r>
    </w:p>
    <w:p w14:paraId="66F84473" w14:textId="77777777" w:rsidR="008F3FC0" w:rsidRPr="00B227DA" w:rsidRDefault="008F3FC0" w:rsidP="008F3FC0">
      <w:pPr>
        <w:suppressLineNumbers/>
        <w:suppressAutoHyphens/>
        <w:ind w:left="0" w:firstLine="0"/>
      </w:pPr>
    </w:p>
    <w:p w14:paraId="5D66E15E" w14:textId="35EAB5B1" w:rsidR="008F3FC0" w:rsidRPr="00B227DA" w:rsidRDefault="008F3FC0" w:rsidP="008F3FC0">
      <w:pPr>
        <w:suppressLineNumbers/>
        <w:suppressAutoHyphens/>
        <w:ind w:left="850"/>
        <w:contextualSpacing/>
        <w:rPr>
          <w:rFonts w:cs="Arial"/>
        </w:rPr>
      </w:pPr>
      <w:r w:rsidRPr="00B227DA">
        <w:rPr>
          <w:rFonts w:cs="Arial"/>
        </w:rPr>
        <w:t>i)</w:t>
      </w:r>
      <w:r w:rsidRPr="00B227DA">
        <w:rPr>
          <w:rFonts w:cs="Arial"/>
        </w:rPr>
        <w:tab/>
      </w:r>
      <w:r w:rsidR="00C26CE6" w:rsidRPr="00B227DA">
        <w:rPr>
          <w:rFonts w:cs="Arial"/>
        </w:rPr>
        <w:t xml:space="preserve">que los miembros del Comité Permanente y otros interesados </w:t>
      </w:r>
      <w:r w:rsidR="003211E4" w:rsidRPr="00B227DA">
        <w:rPr>
          <w:rFonts w:cs="Arial"/>
        </w:rPr>
        <w:t>lean</w:t>
      </w:r>
      <w:r w:rsidR="00C26CE6" w:rsidRPr="00B227DA">
        <w:rPr>
          <w:rFonts w:cs="Arial"/>
        </w:rPr>
        <w:t xml:space="preserve"> todos los do</w:t>
      </w:r>
      <w:r w:rsidR="003211E4" w:rsidRPr="00B227DA">
        <w:rPr>
          <w:rFonts w:cs="Arial"/>
        </w:rPr>
        <w:t>c</w:t>
      </w:r>
      <w:r w:rsidR="00C26CE6" w:rsidRPr="00B227DA">
        <w:rPr>
          <w:rFonts w:cs="Arial"/>
        </w:rPr>
        <w:t>u</w:t>
      </w:r>
      <w:r w:rsidR="003211E4" w:rsidRPr="00B227DA">
        <w:rPr>
          <w:rFonts w:cs="Arial"/>
        </w:rPr>
        <w:t>m</w:t>
      </w:r>
      <w:r w:rsidR="00C26CE6" w:rsidRPr="00B227DA">
        <w:rPr>
          <w:rFonts w:cs="Arial"/>
        </w:rPr>
        <w:t xml:space="preserve">entos y </w:t>
      </w:r>
      <w:r w:rsidR="003211E4" w:rsidRPr="00B227DA">
        <w:rPr>
          <w:rFonts w:cs="Arial"/>
        </w:rPr>
        <w:t xml:space="preserve">comprendan </w:t>
      </w:r>
      <w:r w:rsidR="00C26CE6" w:rsidRPr="00B227DA">
        <w:rPr>
          <w:rFonts w:cs="Arial"/>
        </w:rPr>
        <w:t>las cuestiones con antelación</w:t>
      </w:r>
      <w:r w:rsidR="003211E4" w:rsidRPr="00B227DA">
        <w:rPr>
          <w:rFonts w:cs="Arial"/>
        </w:rPr>
        <w:t xml:space="preserve"> a las reuniones</w:t>
      </w:r>
      <w:r w:rsidRPr="00B227DA">
        <w:rPr>
          <w:rFonts w:cs="Arial"/>
        </w:rPr>
        <w:t>;</w:t>
      </w:r>
    </w:p>
    <w:p w14:paraId="4EE0BB13" w14:textId="77777777" w:rsidR="008F3FC0" w:rsidRPr="00B227DA" w:rsidRDefault="008F3FC0" w:rsidP="008F3FC0">
      <w:pPr>
        <w:suppressLineNumbers/>
        <w:suppressAutoHyphens/>
        <w:ind w:left="850"/>
        <w:contextualSpacing/>
        <w:rPr>
          <w:rFonts w:cs="Arial"/>
        </w:rPr>
      </w:pPr>
    </w:p>
    <w:p w14:paraId="1E759F45" w14:textId="0881EB16" w:rsidR="008F3FC0" w:rsidRPr="00B227DA" w:rsidRDefault="008F3FC0" w:rsidP="008F3FC0">
      <w:pPr>
        <w:suppressLineNumbers/>
        <w:suppressAutoHyphens/>
        <w:ind w:left="850"/>
        <w:contextualSpacing/>
        <w:rPr>
          <w:rFonts w:cs="Arial"/>
        </w:rPr>
      </w:pPr>
      <w:r w:rsidRPr="00B227DA">
        <w:rPr>
          <w:rFonts w:cs="Arial"/>
        </w:rPr>
        <w:t>ii)</w:t>
      </w:r>
      <w:r w:rsidRPr="00B227DA">
        <w:rPr>
          <w:rFonts w:cs="Arial"/>
        </w:rPr>
        <w:tab/>
      </w:r>
      <w:r w:rsidR="003211E4" w:rsidRPr="00B227DA">
        <w:t xml:space="preserve">que la atención se centre en las cuestiones más importantes, evitando debatir </w:t>
      </w:r>
      <w:r w:rsidR="006A32A4" w:rsidRPr="00B227DA">
        <w:t xml:space="preserve">sobre </w:t>
      </w:r>
      <w:r w:rsidR="003211E4" w:rsidRPr="00B227DA">
        <w:t>detalles innecesarios en un nutrido orden del día</w:t>
      </w:r>
      <w:r w:rsidRPr="00B227DA">
        <w:rPr>
          <w:rFonts w:cs="Arial"/>
        </w:rPr>
        <w:t>;</w:t>
      </w:r>
    </w:p>
    <w:p w14:paraId="216BEBF7" w14:textId="77777777" w:rsidR="008F3FC0" w:rsidRPr="00B227DA" w:rsidRDefault="008F3FC0" w:rsidP="008F3FC0">
      <w:pPr>
        <w:suppressLineNumbers/>
        <w:suppressAutoHyphens/>
        <w:ind w:left="850"/>
        <w:contextualSpacing/>
        <w:rPr>
          <w:rFonts w:cs="Arial"/>
        </w:rPr>
      </w:pPr>
    </w:p>
    <w:p w14:paraId="44482AA9" w14:textId="3101B1BC" w:rsidR="008F3FC0" w:rsidRPr="00B227DA" w:rsidRDefault="008F3FC0" w:rsidP="008F3FC0">
      <w:pPr>
        <w:suppressLineNumbers/>
        <w:suppressAutoHyphens/>
        <w:ind w:left="850"/>
        <w:contextualSpacing/>
        <w:rPr>
          <w:rFonts w:cs="Arial"/>
        </w:rPr>
      </w:pPr>
      <w:r w:rsidRPr="00B227DA">
        <w:rPr>
          <w:rFonts w:cs="Arial"/>
        </w:rPr>
        <w:t>iii)</w:t>
      </w:r>
      <w:r w:rsidRPr="00B227DA">
        <w:rPr>
          <w:rFonts w:cs="Arial"/>
        </w:rPr>
        <w:tab/>
      </w:r>
      <w:r w:rsidR="003211E4" w:rsidRPr="00B227DA">
        <w:t>ayudar a la Secretaría a publicar a tiempo los documentos conexos, tales como el resumen de los costos de la aplicación de los proyectos de resolución propuestos</w:t>
      </w:r>
      <w:r w:rsidRPr="00B227DA">
        <w:rPr>
          <w:rFonts w:cs="Arial"/>
        </w:rPr>
        <w:t xml:space="preserve">; </w:t>
      </w:r>
      <w:r w:rsidR="00C26CE6" w:rsidRPr="00B227DA">
        <w:rPr>
          <w:rFonts w:cs="Arial"/>
        </w:rPr>
        <w:t>y</w:t>
      </w:r>
    </w:p>
    <w:p w14:paraId="1F997D9F" w14:textId="77777777" w:rsidR="008F3FC0" w:rsidRPr="00B227DA" w:rsidRDefault="008F3FC0" w:rsidP="008F3FC0">
      <w:pPr>
        <w:suppressLineNumbers/>
        <w:suppressAutoHyphens/>
        <w:ind w:left="850"/>
        <w:contextualSpacing/>
        <w:rPr>
          <w:rFonts w:cs="Arial"/>
        </w:rPr>
      </w:pPr>
    </w:p>
    <w:p w14:paraId="5E7509A3" w14:textId="23FFA2E1" w:rsidR="008F3FC0" w:rsidRPr="00B227DA" w:rsidRDefault="008F3FC0" w:rsidP="008F3FC0">
      <w:pPr>
        <w:suppressLineNumbers/>
        <w:suppressAutoHyphens/>
        <w:ind w:left="850"/>
        <w:contextualSpacing/>
        <w:rPr>
          <w:rFonts w:cs="Arial"/>
        </w:rPr>
      </w:pPr>
      <w:r w:rsidRPr="00B227DA">
        <w:rPr>
          <w:rFonts w:cs="Arial"/>
        </w:rPr>
        <w:t>iv)</w:t>
      </w:r>
      <w:r w:rsidRPr="00B227DA">
        <w:rPr>
          <w:rFonts w:cs="Arial"/>
        </w:rPr>
        <w:tab/>
      </w:r>
      <w:r w:rsidR="00C26CE6" w:rsidRPr="00B227DA">
        <w:rPr>
          <w:rFonts w:cs="Arial"/>
        </w:rPr>
        <w:t>ahorrar tiempo</w:t>
      </w:r>
      <w:r w:rsidR="003211E4" w:rsidRPr="00B227DA">
        <w:rPr>
          <w:rFonts w:cs="Arial"/>
        </w:rPr>
        <w:t xml:space="preserve"> y costos </w:t>
      </w:r>
      <w:r w:rsidR="00C26CE6" w:rsidRPr="00B227DA">
        <w:rPr>
          <w:rFonts w:cs="Arial"/>
        </w:rPr>
        <w:t>de traducción</w:t>
      </w:r>
      <w:r w:rsidRPr="00B227DA">
        <w:rPr>
          <w:rFonts w:cs="Arial"/>
        </w:rPr>
        <w:t>.</w:t>
      </w:r>
    </w:p>
    <w:p w14:paraId="4AFF99FD" w14:textId="77777777" w:rsidR="008F3FC0" w:rsidRPr="00B227DA" w:rsidRDefault="008F3FC0" w:rsidP="008F3FC0">
      <w:pPr>
        <w:keepNext/>
        <w:suppressLineNumbers/>
        <w:suppressAutoHyphens/>
        <w:contextualSpacing/>
        <w:rPr>
          <w:b/>
        </w:rPr>
      </w:pPr>
    </w:p>
    <w:p w14:paraId="6F922D96" w14:textId="15DFC867" w:rsidR="008F3FC0" w:rsidRPr="00B227DA" w:rsidRDefault="00C26CE6" w:rsidP="008F3FC0">
      <w:pPr>
        <w:keepNext/>
        <w:suppressLineNumbers/>
        <w:suppressAutoHyphens/>
        <w:contextualSpacing/>
        <w:rPr>
          <w:i/>
        </w:rPr>
      </w:pPr>
      <w:r w:rsidRPr="00B227DA">
        <w:rPr>
          <w:i/>
        </w:rPr>
        <w:t>Redacción</w:t>
      </w:r>
    </w:p>
    <w:p w14:paraId="55EBC2C2" w14:textId="77777777" w:rsidR="008F3FC0" w:rsidRPr="00B227DA" w:rsidRDefault="008F3FC0" w:rsidP="008F3FC0">
      <w:pPr>
        <w:keepNext/>
        <w:suppressLineNumbers/>
        <w:suppressAutoHyphens/>
        <w:contextualSpacing/>
        <w:rPr>
          <w:b/>
          <w:color w:val="548DD4" w:themeColor="text2" w:themeTint="99"/>
        </w:rPr>
      </w:pPr>
    </w:p>
    <w:p w14:paraId="509B82A3" w14:textId="173C5A79" w:rsidR="008F3FC0" w:rsidRPr="00B227DA" w:rsidRDefault="003211E4" w:rsidP="008F3FC0">
      <w:pPr>
        <w:pStyle w:val="ListParagraph"/>
        <w:numPr>
          <w:ilvl w:val="0"/>
          <w:numId w:val="36"/>
        </w:numPr>
        <w:suppressLineNumbers/>
        <w:suppressAutoHyphens/>
        <w:ind w:left="426" w:hanging="426"/>
        <w:rPr>
          <w:b/>
        </w:rPr>
      </w:pPr>
      <w:r w:rsidRPr="00B227DA">
        <w:t>Ut</w:t>
      </w:r>
      <w:r w:rsidR="00DA28FF" w:rsidRPr="00B227DA">
        <w:t>ilizar frases cortas y un</w:t>
      </w:r>
      <w:r w:rsidRPr="00B227DA">
        <w:t xml:space="preserve"> lenguaje </w:t>
      </w:r>
      <w:r w:rsidR="00DA28FF" w:rsidRPr="00B227DA">
        <w:t>sencill</w:t>
      </w:r>
      <w:r w:rsidRPr="00B227DA">
        <w:t>o</w:t>
      </w:r>
      <w:r w:rsidR="00DA28FF" w:rsidRPr="00B227DA">
        <w:t xml:space="preserve"> para lograr </w:t>
      </w:r>
      <w:r w:rsidR="006A32A4" w:rsidRPr="00B227DA">
        <w:t>una</w:t>
      </w:r>
      <w:r w:rsidR="00DA28FF" w:rsidRPr="00B227DA">
        <w:t xml:space="preserve"> mayor comprensión</w:t>
      </w:r>
      <w:r w:rsidR="008F3FC0" w:rsidRPr="00B227DA">
        <w:t xml:space="preserve">. </w:t>
      </w:r>
      <w:r w:rsidR="008F3FC0" w:rsidRPr="00B227DA">
        <w:br/>
      </w:r>
    </w:p>
    <w:p w14:paraId="78EF9236" w14:textId="047CE0CB" w:rsidR="008F3FC0" w:rsidRPr="00B227DA" w:rsidRDefault="008F3FC0" w:rsidP="008F3FC0">
      <w:pPr>
        <w:pStyle w:val="ListParagraph"/>
        <w:numPr>
          <w:ilvl w:val="0"/>
          <w:numId w:val="36"/>
        </w:numPr>
        <w:suppressLineNumbers/>
        <w:suppressAutoHyphens/>
        <w:ind w:left="426" w:hanging="426"/>
        <w:rPr>
          <w:b/>
        </w:rPr>
      </w:pPr>
      <w:r w:rsidRPr="00B227DA">
        <w:t>U</w:t>
      </w:r>
      <w:r w:rsidR="00DA28FF" w:rsidRPr="00B227DA">
        <w:t xml:space="preserve">tilizar un lenguaje y </w:t>
      </w:r>
      <w:r w:rsidR="000D7956" w:rsidRPr="00B227DA">
        <w:t>expresiones</w:t>
      </w:r>
      <w:r w:rsidR="00DA28FF" w:rsidRPr="00B227DA">
        <w:t xml:space="preserve"> que sigan siendo relevantes mucho tiempo después de la COP en la que se a</w:t>
      </w:r>
      <w:r w:rsidR="003211E4" w:rsidRPr="00B227DA">
        <w:t>probaron</w:t>
      </w:r>
      <w:r w:rsidR="00DA28FF" w:rsidRPr="00B227DA">
        <w:t xml:space="preserve">, por ejemplo, evitando detalles sobre </w:t>
      </w:r>
      <w:r w:rsidR="003211E4" w:rsidRPr="00B227DA">
        <w:t xml:space="preserve">formatos, </w:t>
      </w:r>
      <w:r w:rsidR="00DA28FF" w:rsidRPr="00B227DA">
        <w:t>herramientas técnicas</w:t>
      </w:r>
      <w:r w:rsidR="003211E4" w:rsidRPr="00B227DA">
        <w:t xml:space="preserve"> o métodos concretos.</w:t>
      </w:r>
    </w:p>
    <w:p w14:paraId="5D60B8BD" w14:textId="77777777" w:rsidR="00DA28FF" w:rsidRPr="00B227DA" w:rsidRDefault="00DA28FF" w:rsidP="00DA28FF">
      <w:pPr>
        <w:pStyle w:val="ListParagraph"/>
        <w:suppressLineNumbers/>
        <w:suppressAutoHyphens/>
        <w:ind w:left="426" w:firstLine="0"/>
        <w:rPr>
          <w:b/>
        </w:rPr>
      </w:pPr>
    </w:p>
    <w:p w14:paraId="19C90A25" w14:textId="7D2174FA" w:rsidR="008F3FC0" w:rsidRPr="00B227DA" w:rsidRDefault="00DA28FF" w:rsidP="008F3FC0">
      <w:pPr>
        <w:pStyle w:val="ListParagraph"/>
        <w:numPr>
          <w:ilvl w:val="0"/>
          <w:numId w:val="36"/>
        </w:numPr>
        <w:suppressLineNumbers/>
        <w:suppressAutoHyphens/>
        <w:ind w:left="426" w:hanging="426"/>
      </w:pPr>
      <w:r w:rsidRPr="00B227DA">
        <w:t xml:space="preserve">Utilizar descripciones específicas </w:t>
      </w:r>
      <w:r w:rsidR="003211E4" w:rsidRPr="00B227DA">
        <w:t>del tiempo</w:t>
      </w:r>
      <w:r w:rsidRPr="00B227DA">
        <w:t xml:space="preserve">, por ejemplo, fechas o años </w:t>
      </w:r>
      <w:r w:rsidR="003211E4" w:rsidRPr="00B227DA">
        <w:t>concretos</w:t>
      </w:r>
      <w:r w:rsidRPr="00B227DA">
        <w:t xml:space="preserve"> o un calendario que haga referencia a reuniones concretas de </w:t>
      </w:r>
      <w:r w:rsidR="006328CE" w:rsidRPr="00B227DA">
        <w:t>la Convención sobre los Humedales</w:t>
      </w:r>
      <w:r w:rsidRPr="00B227DA">
        <w:t>.</w:t>
      </w:r>
    </w:p>
    <w:p w14:paraId="5096EFE7" w14:textId="7666271C" w:rsidR="008F3FC0" w:rsidRPr="00B227DA" w:rsidRDefault="008F3FC0" w:rsidP="008F3FC0">
      <w:pPr>
        <w:suppressLineNumbers/>
        <w:suppressAutoHyphens/>
        <w:ind w:left="0" w:firstLine="0"/>
        <w:rPr>
          <w:color w:val="548DD4" w:themeColor="text2" w:themeTint="99"/>
        </w:rPr>
      </w:pPr>
    </w:p>
    <w:p w14:paraId="497E4F2D" w14:textId="5F01D1E9" w:rsidR="008F3FC0" w:rsidRPr="00B227DA" w:rsidRDefault="00DA28FF" w:rsidP="005727D2">
      <w:pPr>
        <w:pStyle w:val="ListParagraph"/>
        <w:numPr>
          <w:ilvl w:val="0"/>
          <w:numId w:val="40"/>
        </w:numPr>
        <w:ind w:left="426" w:hanging="426"/>
      </w:pPr>
      <w:r w:rsidRPr="005727D2">
        <w:rPr>
          <w:i/>
        </w:rPr>
        <w:t>Tener en cuenta el posible solapamiento con decisiones anteriores de la Convención</w:t>
      </w:r>
      <w:r w:rsidR="008F3FC0" w:rsidRPr="00B227DA">
        <w:t xml:space="preserve">: </w:t>
      </w:r>
      <w:r w:rsidRPr="00B227DA">
        <w:t>las Partes Contratantes deber</w:t>
      </w:r>
      <w:r w:rsidR="00D01EBF" w:rsidRPr="00B227DA">
        <w:t>á</w:t>
      </w:r>
      <w:r w:rsidRPr="00B227DA">
        <w:t xml:space="preserve">n examinar </w:t>
      </w:r>
      <w:r w:rsidR="003211E4" w:rsidRPr="00B227DA">
        <w:t xml:space="preserve">minuciosamente </w:t>
      </w:r>
      <w:r w:rsidRPr="00B227DA">
        <w:t xml:space="preserve">las resoluciones anteriores y asegurarse de que la temática y el </w:t>
      </w:r>
      <w:r w:rsidR="001600E3" w:rsidRPr="00B227DA">
        <w:t>contenido</w:t>
      </w:r>
      <w:r w:rsidRPr="00B227DA">
        <w:t xml:space="preserve"> de su </w:t>
      </w:r>
      <w:r w:rsidR="001600E3" w:rsidRPr="00B227DA">
        <w:t>proyecto</w:t>
      </w:r>
      <w:r w:rsidRPr="00B227DA">
        <w:t xml:space="preserve"> de resolución reflej</w:t>
      </w:r>
      <w:r w:rsidR="00B676D1" w:rsidRPr="00B227DA">
        <w:t xml:space="preserve">an </w:t>
      </w:r>
      <w:r w:rsidRPr="00B227DA">
        <w:t xml:space="preserve">información o ideas </w:t>
      </w:r>
      <w:r w:rsidR="00B676D1" w:rsidRPr="00B227DA">
        <w:t xml:space="preserve">verdaderamente </w:t>
      </w:r>
      <w:r w:rsidRPr="00B227DA">
        <w:t xml:space="preserve">nuevas y </w:t>
      </w:r>
      <w:r w:rsidR="001600E3" w:rsidRPr="00B227DA">
        <w:t xml:space="preserve">de </w:t>
      </w:r>
      <w:r w:rsidRPr="00B227DA">
        <w:t xml:space="preserve">que no se hayan incluido ya en las resoluciones </w:t>
      </w:r>
      <w:r w:rsidR="001600E3" w:rsidRPr="00B227DA">
        <w:t>existentes</w:t>
      </w:r>
      <w:r w:rsidRPr="00B227DA">
        <w:t xml:space="preserve">. En los casos en los que </w:t>
      </w:r>
      <w:r w:rsidR="00B676D1" w:rsidRPr="00B227DA">
        <w:t xml:space="preserve">la temática ya se haya abordado en las resoluciones </w:t>
      </w:r>
      <w:r w:rsidR="001600E3" w:rsidRPr="00B227DA">
        <w:t>existentes</w:t>
      </w:r>
      <w:r w:rsidRPr="00B227DA">
        <w:t xml:space="preserve">, las Partes Contratantes </w:t>
      </w:r>
      <w:r w:rsidR="00D01EBF" w:rsidRPr="00B227DA">
        <w:t>deberá</w:t>
      </w:r>
      <w:r w:rsidRPr="00B227DA">
        <w:t xml:space="preserve">n solicitar en su proyecto de resolución </w:t>
      </w:r>
      <w:r w:rsidR="001600E3" w:rsidRPr="00B227DA">
        <w:t>la retirada de</w:t>
      </w:r>
      <w:r w:rsidRPr="00B227DA">
        <w:t xml:space="preserve"> la </w:t>
      </w:r>
      <w:r w:rsidR="001600E3" w:rsidRPr="00B227DA">
        <w:t>resolución</w:t>
      </w:r>
      <w:r w:rsidRPr="00B227DA">
        <w:t xml:space="preserve"> o </w:t>
      </w:r>
      <w:r w:rsidR="00B676D1" w:rsidRPr="00B227DA">
        <w:t xml:space="preserve">las </w:t>
      </w:r>
      <w:r w:rsidR="001600E3" w:rsidRPr="00B227DA">
        <w:t>resoluciones</w:t>
      </w:r>
      <w:r w:rsidRPr="00B227DA">
        <w:t xml:space="preserve"> anteriores sobre </w:t>
      </w:r>
      <w:r w:rsidR="001600E3" w:rsidRPr="00B227DA">
        <w:t>la</w:t>
      </w:r>
      <w:r w:rsidRPr="00B227DA">
        <w:t xml:space="preserve"> cuestión e incorporar </w:t>
      </w:r>
      <w:r w:rsidR="001600E3" w:rsidRPr="00B227DA">
        <w:t xml:space="preserve">en el nuevo texto </w:t>
      </w:r>
      <w:r w:rsidRPr="00B227DA">
        <w:t>las partes que aún sigan siendo relevantes</w:t>
      </w:r>
      <w:r w:rsidR="00B676D1" w:rsidRPr="00B227DA">
        <w:t>, si las hay.</w:t>
      </w:r>
      <w:r w:rsidR="008A5567" w:rsidRPr="00B227DA">
        <w:t xml:space="preserve"> Se incluye una propuesta de texto en el párrafo 15 del </w:t>
      </w:r>
      <w:r w:rsidR="003A3207" w:rsidRPr="00B227DA">
        <w:t>modelo para la presentación de proyectos de resolución que figura como</w:t>
      </w:r>
      <w:r w:rsidR="003A3207" w:rsidRPr="005727D2">
        <w:rPr>
          <w:b/>
          <w:sz w:val="24"/>
          <w:szCs w:val="24"/>
        </w:rPr>
        <w:t xml:space="preserve"> </w:t>
      </w:r>
      <w:r w:rsidR="008A5567" w:rsidRPr="00B227DA">
        <w:t>anexo, en la página 1</w:t>
      </w:r>
      <w:r w:rsidR="00D123B1">
        <w:t>1</w:t>
      </w:r>
      <w:r w:rsidR="008A5567" w:rsidRPr="00B227DA">
        <w:t xml:space="preserve"> del presente documento.</w:t>
      </w:r>
    </w:p>
    <w:p w14:paraId="79CCDEB1" w14:textId="77777777" w:rsidR="001600E3" w:rsidRPr="00B227DA" w:rsidRDefault="001600E3" w:rsidP="001600E3">
      <w:pPr>
        <w:pStyle w:val="ListParagraph"/>
      </w:pPr>
    </w:p>
    <w:p w14:paraId="0DB05E86" w14:textId="3053E68B" w:rsidR="008F3FC0" w:rsidRPr="00B227DA" w:rsidRDefault="00DA28FF" w:rsidP="008F3FC0">
      <w:pPr>
        <w:keepNext/>
        <w:suppressLineNumbers/>
        <w:suppressAutoHyphens/>
        <w:ind w:left="0" w:firstLine="0"/>
        <w:rPr>
          <w:i/>
        </w:rPr>
      </w:pPr>
      <w:r w:rsidRPr="00B227DA">
        <w:rPr>
          <w:i/>
        </w:rPr>
        <w:lastRenderedPageBreak/>
        <w:t>Introducción para el Comité Permanente</w:t>
      </w:r>
    </w:p>
    <w:p w14:paraId="2730E37E" w14:textId="77777777" w:rsidR="001F6249" w:rsidRPr="00B227DA" w:rsidRDefault="001F6249" w:rsidP="0054341B">
      <w:pPr>
        <w:keepNext/>
        <w:ind w:left="0" w:firstLine="0"/>
        <w:contextualSpacing/>
        <w:rPr>
          <w:rFonts w:cs="Arial"/>
          <w:i/>
        </w:rPr>
      </w:pPr>
    </w:p>
    <w:p w14:paraId="19940E80" w14:textId="14BF085A" w:rsidR="001F6249" w:rsidRPr="00B227DA" w:rsidRDefault="00DA28FF" w:rsidP="001F6249">
      <w:r w:rsidRPr="00B227DA">
        <w:t>10.</w:t>
      </w:r>
      <w:r w:rsidR="001F6249" w:rsidRPr="00B227DA">
        <w:tab/>
        <w:t>La introducción deberá contener una invitación al Comité Permanente para que este examine y apruebe el proyecto de resolución a fin de que sea examinado en la COP14</w:t>
      </w:r>
      <w:r w:rsidRPr="00B227DA">
        <w:t xml:space="preserve"> </w:t>
      </w:r>
      <w:r w:rsidR="001600E3" w:rsidRPr="00B227DA">
        <w:t>como parte del conjunto de los proyectos de resolución que esté previsto presentar a la COP</w:t>
      </w:r>
      <w:r w:rsidR="001F6249" w:rsidRPr="00B227DA">
        <w:t>.</w:t>
      </w:r>
    </w:p>
    <w:p w14:paraId="5FFD010A" w14:textId="77777777" w:rsidR="001F6249" w:rsidRPr="00B227DA" w:rsidRDefault="001F6249" w:rsidP="001F6249">
      <w:pPr>
        <w:ind w:left="0" w:firstLine="0"/>
        <w:rPr>
          <w:color w:val="000000"/>
        </w:rPr>
      </w:pPr>
    </w:p>
    <w:p w14:paraId="081DD3D9" w14:textId="718A4286" w:rsidR="001F6249" w:rsidRPr="00B227DA" w:rsidRDefault="008934D9" w:rsidP="001F6249">
      <w:r w:rsidRPr="00B227DA">
        <w:t>11</w:t>
      </w:r>
      <w:r w:rsidR="001F6249" w:rsidRPr="00B227DA">
        <w:t>.</w:t>
      </w:r>
      <w:r w:rsidR="001F6249" w:rsidRPr="00B227DA">
        <w:tab/>
        <w:t>Además, podrá incluir información</w:t>
      </w:r>
      <w:r w:rsidR="001600E3" w:rsidRPr="00B227DA">
        <w:t xml:space="preserve"> adicional</w:t>
      </w:r>
      <w:r w:rsidR="001F6249" w:rsidRPr="00B227DA">
        <w:t xml:space="preserve"> </w:t>
      </w:r>
      <w:r w:rsidR="001600E3" w:rsidRPr="00B227DA">
        <w:t xml:space="preserve">de antecedentes </w:t>
      </w:r>
      <w:r w:rsidR="008B52E0" w:rsidRPr="00B227DA">
        <w:t xml:space="preserve">para </w:t>
      </w:r>
      <w:r w:rsidR="001600E3" w:rsidRPr="00B227DA">
        <w:t>explicar</w:t>
      </w:r>
      <w:r w:rsidR="008B52E0" w:rsidRPr="00B227DA">
        <w:t xml:space="preserve"> </w:t>
      </w:r>
      <w:r w:rsidR="001600E3" w:rsidRPr="00B227DA">
        <w:t>el</w:t>
      </w:r>
      <w:r w:rsidR="001F6249" w:rsidRPr="00B227DA">
        <w:t xml:space="preserve"> contexto </w:t>
      </w:r>
      <w:r w:rsidR="008B52E0" w:rsidRPr="00B227DA">
        <w:t xml:space="preserve">y ayudar a fundamentar la decisión del </w:t>
      </w:r>
      <w:r w:rsidR="001F6249" w:rsidRPr="00B227DA">
        <w:t>Comité Permanente</w:t>
      </w:r>
      <w:r w:rsidR="008B52E0" w:rsidRPr="00B227DA">
        <w:t xml:space="preserve">, pero </w:t>
      </w:r>
      <w:r w:rsidR="001600E3" w:rsidRPr="00B227DA">
        <w:t>dicha información n</w:t>
      </w:r>
      <w:r w:rsidR="008B52E0" w:rsidRPr="00B227DA">
        <w:t>o s</w:t>
      </w:r>
      <w:r w:rsidRPr="00B227DA">
        <w:t xml:space="preserve">ería modificada por las Partes </w:t>
      </w:r>
      <w:r w:rsidR="001600E3" w:rsidRPr="00B227DA">
        <w:t>Contratantes</w:t>
      </w:r>
      <w:r w:rsidRPr="00B227DA">
        <w:t xml:space="preserve"> ni tampoco </w:t>
      </w:r>
      <w:r w:rsidR="001600E3" w:rsidRPr="00B227DA">
        <w:t>sería</w:t>
      </w:r>
      <w:r w:rsidRPr="00B227DA">
        <w:t xml:space="preserve"> presentad</w:t>
      </w:r>
      <w:r w:rsidR="001600E3" w:rsidRPr="00B227DA">
        <w:t>a</w:t>
      </w:r>
      <w:r w:rsidRPr="00B227DA">
        <w:t xml:space="preserve"> a la COP como parte del texto del proyecto de resolución. </w:t>
      </w:r>
      <w:r w:rsidR="001F6249" w:rsidRPr="00B227DA">
        <w:t>La justificación de</w:t>
      </w:r>
      <w:r w:rsidR="00E12090" w:rsidRPr="00B227DA">
        <w:t>l</w:t>
      </w:r>
      <w:r w:rsidR="001F6249" w:rsidRPr="00B227DA">
        <w:t xml:space="preserve"> proyecto de resolución propuesto </w:t>
      </w:r>
      <w:r w:rsidR="00D01EBF" w:rsidRPr="00B227DA">
        <w:t>deberá</w:t>
      </w:r>
      <w:r w:rsidR="001F6249" w:rsidRPr="00B227DA">
        <w:t xml:space="preserve"> hacerse explícita en los párrafos del preámbulo</w:t>
      </w:r>
      <w:r w:rsidR="008A5567" w:rsidRPr="00B227DA">
        <w:t xml:space="preserve"> del </w:t>
      </w:r>
      <w:r w:rsidR="003A3207" w:rsidRPr="00B227DA">
        <w:t xml:space="preserve">propio </w:t>
      </w:r>
      <w:r w:rsidR="008A5567" w:rsidRPr="00B227DA">
        <w:t>proyecto de resolución</w:t>
      </w:r>
      <w:r w:rsidR="001F6249" w:rsidRPr="00B227DA">
        <w:t>.</w:t>
      </w:r>
    </w:p>
    <w:p w14:paraId="7B54DEEE" w14:textId="77777777" w:rsidR="001F6249" w:rsidRPr="00B227DA" w:rsidRDefault="001F6249" w:rsidP="001F6249">
      <w:pPr>
        <w:ind w:left="0" w:firstLine="0"/>
        <w:rPr>
          <w:color w:val="000000"/>
        </w:rPr>
      </w:pPr>
    </w:p>
    <w:p w14:paraId="01F94C06" w14:textId="3EF545BB" w:rsidR="001F6249" w:rsidRPr="00B227DA" w:rsidRDefault="001F6249" w:rsidP="001F6249">
      <w:r w:rsidRPr="00B227DA">
        <w:t>1</w:t>
      </w:r>
      <w:r w:rsidR="008934D9" w:rsidRPr="00B227DA">
        <w:t>2</w:t>
      </w:r>
      <w:r w:rsidRPr="00B227DA">
        <w:t>.</w:t>
      </w:r>
      <w:r w:rsidRPr="00B227DA">
        <w:tab/>
      </w:r>
      <w:r w:rsidR="008934D9" w:rsidRPr="00B227DA">
        <w:t>Para ser conforme al artículo 14 del reglamento, l</w:t>
      </w:r>
      <w:r w:rsidRPr="00B227DA">
        <w:t xml:space="preserve">a introducción deberá contener un cuadro en el que se indiquen las posibles repercusiones sobre </w:t>
      </w:r>
      <w:r w:rsidR="008934D9" w:rsidRPr="00B227DA">
        <w:t xml:space="preserve">la carga de trabajo de la Secretaría y </w:t>
      </w:r>
      <w:r w:rsidRPr="00B227DA">
        <w:t xml:space="preserve">los presupuestos básico o no básico de la </w:t>
      </w:r>
      <w:r w:rsidR="008934D9" w:rsidRPr="00B227DA">
        <w:t>Convención</w:t>
      </w:r>
      <w:r w:rsidRPr="00B227DA">
        <w:t xml:space="preserve"> de cada acción incluida en los párrafos de la parte dispositiva. En </w:t>
      </w:r>
      <w:r w:rsidR="00E12090" w:rsidRPr="00B227DA">
        <w:t>el cuadro</w:t>
      </w:r>
      <w:r w:rsidRPr="00B227DA">
        <w:t xml:space="preserve"> </w:t>
      </w:r>
      <w:r w:rsidR="00E12090" w:rsidRPr="00B227DA">
        <w:t xml:space="preserve">se </w:t>
      </w:r>
      <w:r w:rsidR="00D01EBF" w:rsidRPr="00B227DA">
        <w:t>deberá</w:t>
      </w:r>
      <w:r w:rsidR="00E12090" w:rsidRPr="00B227DA">
        <w:t xml:space="preserve">n </w:t>
      </w:r>
      <w:r w:rsidRPr="00B227DA">
        <w:t>describir la</w:t>
      </w:r>
      <w:r w:rsidR="008934D9" w:rsidRPr="00B227DA">
        <w:t>s</w:t>
      </w:r>
      <w:r w:rsidRPr="00B227DA">
        <w:t xml:space="preserve"> acci</w:t>
      </w:r>
      <w:r w:rsidR="008934D9" w:rsidRPr="00B227DA">
        <w:t>o</w:t>
      </w:r>
      <w:r w:rsidRPr="00B227DA">
        <w:t>n</w:t>
      </w:r>
      <w:r w:rsidR="008934D9" w:rsidRPr="00B227DA">
        <w:t>es</w:t>
      </w:r>
      <w:r w:rsidRPr="00B227DA">
        <w:t xml:space="preserve"> y el costo en francos suizos (CHF). Se </w:t>
      </w:r>
      <w:r w:rsidR="00D01EBF" w:rsidRPr="00B227DA">
        <w:t>deberá</w:t>
      </w:r>
      <w:r w:rsidRPr="00B227DA">
        <w:t xml:space="preserve"> indicar claramente cualquier costo recurrente. La Secretaría podrá determinar </w:t>
      </w:r>
      <w:r w:rsidR="008934D9" w:rsidRPr="00B227DA">
        <w:t>la posible carga de trabajo y el</w:t>
      </w:r>
      <w:r w:rsidRPr="00B227DA">
        <w:t xml:space="preserve"> monto necesario</w:t>
      </w:r>
      <w:r w:rsidR="008934D9" w:rsidRPr="00B227DA">
        <w:t xml:space="preserve"> para apoyar la acción</w:t>
      </w:r>
      <w:r w:rsidRPr="00B227DA">
        <w:t xml:space="preserve"> si la Parte en cuestión enumera las acciones </w:t>
      </w:r>
      <w:r w:rsidR="008934D9" w:rsidRPr="00B227DA">
        <w:t>concretas</w:t>
      </w:r>
      <w:r w:rsidRPr="00B227DA">
        <w:t xml:space="preserve">, según se indica en el </w:t>
      </w:r>
      <w:r w:rsidR="00E12090" w:rsidRPr="00B227DA">
        <w:t>C</w:t>
      </w:r>
      <w:r w:rsidRPr="00B227DA">
        <w:t>uadro 1 a continuación.</w:t>
      </w:r>
    </w:p>
    <w:p w14:paraId="53E62386" w14:textId="77777777" w:rsidR="001F6249" w:rsidRPr="00B227DA" w:rsidRDefault="001F6249" w:rsidP="001F6249">
      <w:pPr>
        <w:ind w:left="0" w:firstLine="0"/>
        <w:contextualSpacing/>
        <w:rPr>
          <w:rFonts w:cs="Arial"/>
        </w:rPr>
      </w:pPr>
    </w:p>
    <w:p w14:paraId="3EED9F01" w14:textId="77777777" w:rsidR="001F6249" w:rsidRPr="00B227DA" w:rsidRDefault="001F6249" w:rsidP="00BD0F78">
      <w:pPr>
        <w:ind w:left="0" w:firstLine="0"/>
        <w:contextualSpacing/>
        <w:rPr>
          <w:rFonts w:cs="Arial"/>
          <w:i/>
        </w:rPr>
      </w:pPr>
      <w:r w:rsidRPr="00B227DA">
        <w:rPr>
          <w:i/>
        </w:rPr>
        <w:t>Cuadro 1: Ejemplo de información sobre las repercusiones financieras de la aplicación de los proyectos de resolución</w:t>
      </w:r>
    </w:p>
    <w:tbl>
      <w:tblPr>
        <w:tblStyle w:val="TableGrid"/>
        <w:tblW w:w="0" w:type="auto"/>
        <w:tblInd w:w="108" w:type="dxa"/>
        <w:tblLook w:val="04A0" w:firstRow="1" w:lastRow="0" w:firstColumn="1" w:lastColumn="0" w:noHBand="0" w:noVBand="1"/>
      </w:tblPr>
      <w:tblGrid>
        <w:gridCol w:w="2642"/>
        <w:gridCol w:w="3839"/>
        <w:gridCol w:w="2427"/>
      </w:tblGrid>
      <w:tr w:rsidR="001F6249" w:rsidRPr="00B227DA" w14:paraId="3CEBF06D" w14:textId="77777777" w:rsidTr="008B52E0">
        <w:tc>
          <w:tcPr>
            <w:tcW w:w="2700" w:type="dxa"/>
          </w:tcPr>
          <w:p w14:paraId="3CF9B33E" w14:textId="77777777" w:rsidR="001F6249" w:rsidRPr="00B227DA" w:rsidRDefault="001F6249" w:rsidP="008B52E0">
            <w:pPr>
              <w:contextualSpacing/>
              <w:rPr>
                <w:rFonts w:cs="Arial"/>
              </w:rPr>
            </w:pPr>
            <w:r w:rsidRPr="00B227DA">
              <w:t>Párrafo</w:t>
            </w:r>
          </w:p>
        </w:tc>
        <w:tc>
          <w:tcPr>
            <w:tcW w:w="3960" w:type="dxa"/>
          </w:tcPr>
          <w:p w14:paraId="525E2F1C" w14:textId="77777777" w:rsidR="001F6249" w:rsidRPr="00B227DA" w:rsidRDefault="001F6249" w:rsidP="008B52E0">
            <w:pPr>
              <w:contextualSpacing/>
              <w:rPr>
                <w:rFonts w:cs="Arial"/>
              </w:rPr>
            </w:pPr>
            <w:r w:rsidRPr="00B227DA">
              <w:t xml:space="preserve">Acción </w:t>
            </w:r>
          </w:p>
        </w:tc>
        <w:tc>
          <w:tcPr>
            <w:tcW w:w="2474" w:type="dxa"/>
          </w:tcPr>
          <w:p w14:paraId="024219FF" w14:textId="77777777" w:rsidR="001F6249" w:rsidRPr="00B227DA" w:rsidRDefault="001F6249" w:rsidP="008B52E0">
            <w:pPr>
              <w:contextualSpacing/>
              <w:rPr>
                <w:rFonts w:cs="Arial"/>
              </w:rPr>
            </w:pPr>
            <w:r w:rsidRPr="00B227DA">
              <w:t>Costo (francos suizos)</w:t>
            </w:r>
          </w:p>
        </w:tc>
      </w:tr>
      <w:tr w:rsidR="001F6249" w:rsidRPr="00B227DA" w14:paraId="2610587C" w14:textId="77777777" w:rsidTr="008B52E0">
        <w:tc>
          <w:tcPr>
            <w:tcW w:w="2700" w:type="dxa"/>
          </w:tcPr>
          <w:p w14:paraId="4273668F" w14:textId="3AB1E41F" w:rsidR="001F6249" w:rsidRPr="00B227DA" w:rsidRDefault="001F6249" w:rsidP="008B52E0">
            <w:pPr>
              <w:ind w:left="0" w:firstLine="0"/>
              <w:contextualSpacing/>
              <w:rPr>
                <w:rFonts w:cs="Arial"/>
              </w:rPr>
            </w:pPr>
            <w:r w:rsidRPr="00B227DA">
              <w:t>20.</w:t>
            </w:r>
            <w:r w:rsidR="00984EEA" w:rsidRPr="00B227DA">
              <w:t xml:space="preserve"> </w:t>
            </w:r>
            <w:r w:rsidRPr="00B227DA">
              <w:t>PIDE al Comité Permanente que prepare un informe resumido…</w:t>
            </w:r>
          </w:p>
        </w:tc>
        <w:tc>
          <w:tcPr>
            <w:tcW w:w="3960" w:type="dxa"/>
          </w:tcPr>
          <w:p w14:paraId="60324813" w14:textId="39EF77DE" w:rsidR="001F6249" w:rsidRPr="00B227DA" w:rsidRDefault="001F6249" w:rsidP="008B52E0">
            <w:pPr>
              <w:ind w:left="0" w:firstLine="0"/>
              <w:contextualSpacing/>
              <w:rPr>
                <w:rFonts w:cs="Arial"/>
              </w:rPr>
            </w:pPr>
            <w:r w:rsidRPr="00B227DA">
              <w:t>La Secretaría coordina la redacción del proyecto, el consultor redacta el informe (10 días)</w:t>
            </w:r>
          </w:p>
        </w:tc>
        <w:tc>
          <w:tcPr>
            <w:tcW w:w="2474" w:type="dxa"/>
          </w:tcPr>
          <w:p w14:paraId="0403EFBA" w14:textId="77777777" w:rsidR="001F6249" w:rsidRPr="00B227DA" w:rsidRDefault="001F6249" w:rsidP="008B52E0">
            <w:pPr>
              <w:ind w:left="0" w:firstLine="0"/>
              <w:contextualSpacing/>
              <w:rPr>
                <w:rFonts w:cs="Arial"/>
              </w:rPr>
            </w:pPr>
            <w:r w:rsidRPr="00B227DA">
              <w:t>5 000 CHF (costo único)</w:t>
            </w:r>
          </w:p>
        </w:tc>
      </w:tr>
    </w:tbl>
    <w:p w14:paraId="5C1F6370" w14:textId="77777777" w:rsidR="001F6249" w:rsidRPr="00B227DA" w:rsidRDefault="001F6249" w:rsidP="001F6249">
      <w:pPr>
        <w:contextualSpacing/>
        <w:rPr>
          <w:rFonts w:cs="Arial"/>
        </w:rPr>
      </w:pPr>
    </w:p>
    <w:p w14:paraId="3B36AA16" w14:textId="77777777" w:rsidR="001F6249" w:rsidRPr="00B227DA" w:rsidRDefault="001F6249" w:rsidP="001F6249">
      <w:pPr>
        <w:contextualSpacing/>
        <w:rPr>
          <w:rFonts w:cs="Arial"/>
        </w:rPr>
      </w:pPr>
    </w:p>
    <w:p w14:paraId="3B27E522" w14:textId="6C6F5F1C" w:rsidR="001F6249" w:rsidRPr="00B227DA" w:rsidRDefault="00E12090" w:rsidP="001F6249">
      <w:pPr>
        <w:contextualSpacing/>
        <w:rPr>
          <w:rFonts w:cs="Arial"/>
          <w:i/>
        </w:rPr>
      </w:pPr>
      <w:r w:rsidRPr="00B227DA">
        <w:rPr>
          <w:i/>
        </w:rPr>
        <w:t>T</w:t>
      </w:r>
      <w:r w:rsidR="001F6249" w:rsidRPr="00B227DA">
        <w:rPr>
          <w:i/>
        </w:rPr>
        <w:t>exto de</w:t>
      </w:r>
      <w:r w:rsidR="008934D9" w:rsidRPr="00B227DA">
        <w:rPr>
          <w:i/>
        </w:rPr>
        <w:t>l proyecto de</w:t>
      </w:r>
      <w:r w:rsidR="001F6249" w:rsidRPr="00B227DA">
        <w:rPr>
          <w:i/>
        </w:rPr>
        <w:t xml:space="preserve"> resolución </w:t>
      </w:r>
      <w:r w:rsidR="008934D9" w:rsidRPr="00B227DA">
        <w:rPr>
          <w:i/>
        </w:rPr>
        <w:t>propuesto</w:t>
      </w:r>
    </w:p>
    <w:p w14:paraId="048E2CB6" w14:textId="77777777" w:rsidR="001F6249" w:rsidRPr="00B227DA" w:rsidRDefault="001F6249" w:rsidP="001F6249">
      <w:pPr>
        <w:contextualSpacing/>
        <w:rPr>
          <w:rFonts w:cs="Arial"/>
          <w:i/>
        </w:rPr>
      </w:pPr>
    </w:p>
    <w:p w14:paraId="5D55F00C" w14:textId="711F9049" w:rsidR="001F6249" w:rsidRPr="00B227DA" w:rsidRDefault="001F6249" w:rsidP="001F6249">
      <w:r w:rsidRPr="00B227DA">
        <w:t>1</w:t>
      </w:r>
      <w:r w:rsidR="008934D9" w:rsidRPr="00B227DA">
        <w:t>3</w:t>
      </w:r>
      <w:r w:rsidRPr="00B227DA">
        <w:t>.</w:t>
      </w:r>
      <w:r w:rsidRPr="00B227DA">
        <w:tab/>
        <w:t>Todos los párrafos de un proyecto de resolución, incluidos los párrafos del preámbulo y de la parte dispositiva, deberán numerarse de forma consecutiva (1, 2, 3, etc.), comenzando por el primer párrafo del preámbulo. Los subpárrafos deberán numerarse de esta forma: i), ii), iii), etc.</w:t>
      </w:r>
      <w:r w:rsidR="008934D9" w:rsidRPr="00B227DA">
        <w:t xml:space="preserve"> Se alienta a las Partes Contratantes a procurar que la estructura de su texto sea sencilla y a mantener la coherencia en todo el documento.</w:t>
      </w:r>
      <w:r w:rsidRPr="00B227DA">
        <w:t xml:space="preserve"> </w:t>
      </w:r>
    </w:p>
    <w:p w14:paraId="44E6E376" w14:textId="77777777" w:rsidR="001F6249" w:rsidRPr="00B227DA" w:rsidRDefault="001F6249" w:rsidP="001F6249">
      <w:pPr>
        <w:ind w:left="0" w:firstLine="0"/>
        <w:rPr>
          <w:color w:val="000000"/>
        </w:rPr>
      </w:pPr>
    </w:p>
    <w:p w14:paraId="68B0FD4E" w14:textId="3BAD525B" w:rsidR="001F6249" w:rsidRPr="00B227DA" w:rsidRDefault="001F6249" w:rsidP="001F6249">
      <w:r w:rsidRPr="00B227DA">
        <w:t>1</w:t>
      </w:r>
      <w:r w:rsidR="00E747B8" w:rsidRPr="00B227DA">
        <w:t>4</w:t>
      </w:r>
      <w:r w:rsidRPr="00B227DA">
        <w:t>.</w:t>
      </w:r>
      <w:r w:rsidRPr="00B227DA">
        <w:tab/>
      </w:r>
      <w:r w:rsidR="00E12090" w:rsidRPr="00B227DA">
        <w:t>En l</w:t>
      </w:r>
      <w:r w:rsidRPr="00B227DA">
        <w:t xml:space="preserve">os párrafos del preámbulo </w:t>
      </w:r>
      <w:r w:rsidR="00E12090" w:rsidRPr="00B227DA">
        <w:t>se deben p</w:t>
      </w:r>
      <w:r w:rsidRPr="00B227DA">
        <w:t>resenta</w:t>
      </w:r>
      <w:r w:rsidR="008934D9" w:rsidRPr="00B227DA">
        <w:t>r brevemente</w:t>
      </w:r>
      <w:r w:rsidR="00E747B8" w:rsidRPr="00B227DA">
        <w:t xml:space="preserve"> los antecedentes necesarios para contextualizar </w:t>
      </w:r>
      <w:r w:rsidRPr="00B227DA">
        <w:t xml:space="preserve">las acciones propuestas para su aprobación por las Partes Contratantes en la parte dispositiva. </w:t>
      </w:r>
      <w:r w:rsidR="00E747B8" w:rsidRPr="00B227DA">
        <w:t>No es necesario justificar cada párrafo de la parte dispositiva en el preámbulo sino solo el contenido de la parte dispositiva en general. Estos párrafos d</w:t>
      </w:r>
      <w:r w:rsidRPr="00B227DA">
        <w:t>eberán empezar con un verbo en gerundio simple o compuesto o un adjetivo (p. ej., “Reconociendo”, “Habiendo examinado”, “Preocupada”, etc.)</w:t>
      </w:r>
      <w:r w:rsidR="00E747B8" w:rsidRPr="00B227DA">
        <w:t>: véanse los ejemplos enumerados en el Anexo A.</w:t>
      </w:r>
    </w:p>
    <w:p w14:paraId="68F29890" w14:textId="77777777" w:rsidR="001F6249" w:rsidRPr="00B227DA" w:rsidRDefault="001F6249" w:rsidP="001F6249"/>
    <w:p w14:paraId="4EB9D900" w14:textId="08BB2A2F" w:rsidR="00CC7607" w:rsidRPr="00B227DA" w:rsidRDefault="001F6249" w:rsidP="00E747B8">
      <w:pPr>
        <w:suppressLineNumbers/>
        <w:suppressAutoHyphens/>
        <w:rPr>
          <w:color w:val="000000" w:themeColor="text1"/>
        </w:rPr>
      </w:pPr>
      <w:r w:rsidRPr="00B227DA">
        <w:t>1</w:t>
      </w:r>
      <w:r w:rsidR="00E747B8" w:rsidRPr="00B227DA">
        <w:t>5</w:t>
      </w:r>
      <w:r w:rsidRPr="00B227DA">
        <w:t>.</w:t>
      </w:r>
      <w:r w:rsidRPr="00B227DA">
        <w:tab/>
      </w:r>
      <w:r w:rsidR="00E12090" w:rsidRPr="00B227DA">
        <w:rPr>
          <w:color w:val="000000" w:themeColor="text1"/>
        </w:rPr>
        <w:t xml:space="preserve">Toda </w:t>
      </w:r>
      <w:r w:rsidR="00C07F48" w:rsidRPr="00B227DA">
        <w:rPr>
          <w:color w:val="000000" w:themeColor="text1"/>
        </w:rPr>
        <w:t>resolución o recomendación de Ramsar anterior que haya que citar deberá combinarse en un único párrafo del preámbulo en el que simplemente se enumeren las resoluciones en orden cronológico o numérico y se incluya el título de la resolución entre paréntesis</w:t>
      </w:r>
      <w:r w:rsidR="00CC7607" w:rsidRPr="00B227DA">
        <w:rPr>
          <w:color w:val="000000" w:themeColor="text1"/>
        </w:rPr>
        <w:t>, p. ej.:</w:t>
      </w:r>
    </w:p>
    <w:p w14:paraId="62025A34" w14:textId="77777777" w:rsidR="00CC7607" w:rsidRPr="00B227DA" w:rsidRDefault="00CC7607" w:rsidP="00CC7607">
      <w:pPr>
        <w:suppressLineNumbers/>
        <w:suppressAutoHyphens/>
        <w:ind w:left="0" w:firstLine="0"/>
        <w:rPr>
          <w:color w:val="000000" w:themeColor="text1"/>
        </w:rPr>
      </w:pPr>
    </w:p>
    <w:p w14:paraId="377A98AC" w14:textId="49E7F081" w:rsidR="00E747B8" w:rsidRPr="00B227DA" w:rsidRDefault="00C07F48" w:rsidP="00CC7607">
      <w:pPr>
        <w:suppressLineNumbers/>
        <w:suppressAutoHyphens/>
        <w:ind w:left="851" w:firstLine="0"/>
        <w:rPr>
          <w:i/>
          <w:iCs/>
          <w:color w:val="000000" w:themeColor="text1"/>
        </w:rPr>
      </w:pPr>
      <w:r w:rsidRPr="00B227DA">
        <w:rPr>
          <w:i/>
          <w:iCs/>
          <w:color w:val="000000" w:themeColor="text1"/>
        </w:rPr>
        <w:t xml:space="preserve">“1. Recordando las resoluciones </w:t>
      </w:r>
      <w:r w:rsidR="00E747B8" w:rsidRPr="00B227DA">
        <w:rPr>
          <w:i/>
          <w:iCs/>
          <w:color w:val="000000" w:themeColor="text1"/>
        </w:rPr>
        <w:t xml:space="preserve">IX.4 </w:t>
      </w:r>
      <w:r w:rsidRPr="00B227DA">
        <w:rPr>
          <w:i/>
          <w:iCs/>
          <w:color w:val="000000" w:themeColor="text1"/>
        </w:rPr>
        <w:t>(La Convención d</w:t>
      </w:r>
      <w:r w:rsidR="00E12090" w:rsidRPr="00B227DA">
        <w:rPr>
          <w:i/>
          <w:iCs/>
          <w:color w:val="000000" w:themeColor="text1"/>
        </w:rPr>
        <w:t>e</w:t>
      </w:r>
      <w:r w:rsidRPr="00B227DA">
        <w:rPr>
          <w:i/>
          <w:iCs/>
          <w:color w:val="000000" w:themeColor="text1"/>
        </w:rPr>
        <w:t xml:space="preserve"> Ramsar y la conservación, producción y uso sostenible de los recursos pesqueros)</w:t>
      </w:r>
      <w:r w:rsidR="00E747B8" w:rsidRPr="00B227DA">
        <w:rPr>
          <w:i/>
          <w:iCs/>
          <w:color w:val="000000" w:themeColor="text1"/>
        </w:rPr>
        <w:t>, IX.21 (T</w:t>
      </w:r>
      <w:r w:rsidRPr="00B227DA">
        <w:rPr>
          <w:i/>
          <w:iCs/>
          <w:color w:val="000000" w:themeColor="text1"/>
        </w:rPr>
        <w:t>omar en cuenta los valores culturales de los humedales)</w:t>
      </w:r>
      <w:r w:rsidR="00E747B8" w:rsidRPr="00B227DA">
        <w:rPr>
          <w:i/>
          <w:iCs/>
          <w:color w:val="000000" w:themeColor="text1"/>
        </w:rPr>
        <w:t>, X.13 (</w:t>
      </w:r>
      <w:r w:rsidRPr="00B227DA">
        <w:rPr>
          <w:i/>
          <w:iCs/>
          <w:color w:val="000000" w:themeColor="text1"/>
        </w:rPr>
        <w:t>El estado de los sitios en la Lista Ramsar de Humedales de Importancia Internacional</w:t>
      </w:r>
      <w:r w:rsidR="00E747B8" w:rsidRPr="00B227DA">
        <w:rPr>
          <w:i/>
          <w:iCs/>
          <w:color w:val="000000" w:themeColor="text1"/>
        </w:rPr>
        <w:t>), XII.15 (</w:t>
      </w:r>
      <w:r w:rsidRPr="00B227DA">
        <w:rPr>
          <w:i/>
          <w:iCs/>
          <w:color w:val="000000" w:themeColor="text1"/>
        </w:rPr>
        <w:t xml:space="preserve">Evaluación de la efectividad del manejo y la </w:t>
      </w:r>
      <w:r w:rsidRPr="00B227DA">
        <w:rPr>
          <w:i/>
          <w:iCs/>
          <w:color w:val="000000" w:themeColor="text1"/>
        </w:rPr>
        <w:lastRenderedPageBreak/>
        <w:t xml:space="preserve">conservación de los sitios Ramsar) y </w:t>
      </w:r>
      <w:r w:rsidR="00E747B8" w:rsidRPr="00B227DA">
        <w:rPr>
          <w:i/>
          <w:iCs/>
          <w:color w:val="000000" w:themeColor="text1"/>
        </w:rPr>
        <w:t>XIII.5 (</w:t>
      </w:r>
      <w:r w:rsidRPr="00B227DA">
        <w:rPr>
          <w:i/>
          <w:iCs/>
          <w:color w:val="000000" w:themeColor="text1"/>
        </w:rPr>
        <w:t xml:space="preserve">Examen del Cuarto Plan Estratégico de la Convención de Ramsar)). Esto contribuye a </w:t>
      </w:r>
      <w:r w:rsidR="00E12090" w:rsidRPr="00B227DA">
        <w:rPr>
          <w:i/>
          <w:iCs/>
          <w:color w:val="000000" w:themeColor="text1"/>
        </w:rPr>
        <w:t xml:space="preserve">simplificar </w:t>
      </w:r>
      <w:r w:rsidRPr="00B227DA">
        <w:rPr>
          <w:i/>
          <w:iCs/>
          <w:color w:val="000000" w:themeColor="text1"/>
        </w:rPr>
        <w:t xml:space="preserve">el texto y también </w:t>
      </w:r>
      <w:r w:rsidR="00E12090" w:rsidRPr="00B227DA">
        <w:rPr>
          <w:i/>
          <w:iCs/>
          <w:color w:val="000000" w:themeColor="text1"/>
        </w:rPr>
        <w:t>mantiene la neutralidad</w:t>
      </w:r>
      <w:r w:rsidR="005640EB" w:rsidRPr="00B227DA">
        <w:rPr>
          <w:i/>
          <w:iCs/>
          <w:color w:val="000000" w:themeColor="text1"/>
        </w:rPr>
        <w:t xml:space="preserve"> acerca de la </w:t>
      </w:r>
      <w:r w:rsidR="00E12090" w:rsidRPr="00B227DA">
        <w:rPr>
          <w:i/>
          <w:iCs/>
          <w:color w:val="000000" w:themeColor="text1"/>
        </w:rPr>
        <w:t>caracterización</w:t>
      </w:r>
      <w:r w:rsidR="005640EB" w:rsidRPr="00B227DA">
        <w:rPr>
          <w:i/>
          <w:iCs/>
          <w:color w:val="000000" w:themeColor="text1"/>
        </w:rPr>
        <w:t xml:space="preserve"> de los contenidos de la resolución, que podría causar </w:t>
      </w:r>
      <w:r w:rsidR="00E12090" w:rsidRPr="00B227DA">
        <w:rPr>
          <w:i/>
          <w:iCs/>
          <w:color w:val="000000" w:themeColor="text1"/>
        </w:rPr>
        <w:t>controversia</w:t>
      </w:r>
      <w:r w:rsidR="005640EB" w:rsidRPr="00B227DA">
        <w:rPr>
          <w:i/>
          <w:iCs/>
          <w:color w:val="000000" w:themeColor="text1"/>
        </w:rPr>
        <w:t xml:space="preserve"> y </w:t>
      </w:r>
      <w:r w:rsidR="00E12090" w:rsidRPr="00B227DA">
        <w:rPr>
          <w:i/>
          <w:iCs/>
          <w:color w:val="000000" w:themeColor="text1"/>
        </w:rPr>
        <w:t>prolongar</w:t>
      </w:r>
      <w:r w:rsidR="005640EB" w:rsidRPr="00B227DA">
        <w:rPr>
          <w:i/>
          <w:iCs/>
          <w:color w:val="000000" w:themeColor="text1"/>
        </w:rPr>
        <w:t xml:space="preserve"> el d</w:t>
      </w:r>
      <w:r w:rsidR="00E12090" w:rsidRPr="00B227DA">
        <w:rPr>
          <w:i/>
          <w:iCs/>
          <w:color w:val="000000" w:themeColor="text1"/>
        </w:rPr>
        <w:t>e</w:t>
      </w:r>
      <w:r w:rsidR="005640EB" w:rsidRPr="00B227DA">
        <w:rPr>
          <w:i/>
          <w:iCs/>
          <w:color w:val="000000" w:themeColor="text1"/>
        </w:rPr>
        <w:t>bate innecesariamente entre las Partes Contratantes</w:t>
      </w:r>
      <w:r w:rsidR="00E747B8" w:rsidRPr="00B227DA">
        <w:rPr>
          <w:i/>
          <w:iCs/>
          <w:color w:val="000000" w:themeColor="text1"/>
        </w:rPr>
        <w:t xml:space="preserve">. </w:t>
      </w:r>
    </w:p>
    <w:p w14:paraId="753FC583" w14:textId="77777777" w:rsidR="00E747B8" w:rsidRPr="00B227DA" w:rsidRDefault="00E747B8" w:rsidP="00E747B8">
      <w:pPr>
        <w:suppressLineNumbers/>
        <w:suppressAutoHyphens/>
        <w:rPr>
          <w:color w:val="548DD4" w:themeColor="text2" w:themeTint="99"/>
        </w:rPr>
      </w:pPr>
    </w:p>
    <w:p w14:paraId="2A893A49" w14:textId="300A3C47" w:rsidR="00E747B8" w:rsidRPr="00B227DA" w:rsidRDefault="00E747B8" w:rsidP="00E747B8">
      <w:pPr>
        <w:suppressLineNumbers/>
        <w:suppressAutoHyphens/>
        <w:rPr>
          <w:color w:val="000000" w:themeColor="text1"/>
        </w:rPr>
      </w:pPr>
      <w:r w:rsidRPr="00B227DA">
        <w:t>16.</w:t>
      </w:r>
      <w:r w:rsidRPr="00B227DA">
        <w:tab/>
      </w:r>
      <w:r w:rsidR="005640EB" w:rsidRPr="00B227DA">
        <w:rPr>
          <w:color w:val="000000" w:themeColor="text1"/>
        </w:rPr>
        <w:t xml:space="preserve">Cuando </w:t>
      </w:r>
      <w:r w:rsidRPr="00B227DA">
        <w:rPr>
          <w:color w:val="000000" w:themeColor="text1"/>
        </w:rPr>
        <w:t>pro</w:t>
      </w:r>
      <w:r w:rsidR="005640EB" w:rsidRPr="00B227DA">
        <w:rPr>
          <w:color w:val="000000" w:themeColor="text1"/>
        </w:rPr>
        <w:t>ceda, se puede utilizar un segundo párrafo para hacer referencia a decisiones o resoluciones de otras convenciones</w:t>
      </w:r>
      <w:r w:rsidR="00E12090" w:rsidRPr="00B227DA">
        <w:rPr>
          <w:color w:val="000000" w:themeColor="text1"/>
        </w:rPr>
        <w:t xml:space="preserve">; </w:t>
      </w:r>
      <w:r w:rsidR="005640EB" w:rsidRPr="00B227DA">
        <w:rPr>
          <w:color w:val="000000" w:themeColor="text1"/>
        </w:rPr>
        <w:t xml:space="preserve">estas no se introducen </w:t>
      </w:r>
      <w:r w:rsidR="00E12090" w:rsidRPr="00B227DA">
        <w:rPr>
          <w:color w:val="000000" w:themeColor="text1"/>
        </w:rPr>
        <w:t>con</w:t>
      </w:r>
      <w:r w:rsidR="005640EB" w:rsidRPr="00B227DA">
        <w:rPr>
          <w:color w:val="000000" w:themeColor="text1"/>
        </w:rPr>
        <w:t xml:space="preserve"> “Recordando” sino con “Reconociendo”</w:t>
      </w:r>
      <w:r w:rsidR="007D6B41" w:rsidRPr="00B227DA">
        <w:rPr>
          <w:color w:val="000000" w:themeColor="text1"/>
        </w:rPr>
        <w:t>,</w:t>
      </w:r>
      <w:r w:rsidR="005640EB" w:rsidRPr="00B227DA">
        <w:rPr>
          <w:color w:val="000000" w:themeColor="text1"/>
        </w:rPr>
        <w:t xml:space="preserve"> “</w:t>
      </w:r>
      <w:r w:rsidR="007D6B41" w:rsidRPr="00B227DA">
        <w:rPr>
          <w:color w:val="000000" w:themeColor="text1"/>
        </w:rPr>
        <w:t>Observando”, “Tomando nota</w:t>
      </w:r>
      <w:r w:rsidR="0088187D" w:rsidRPr="00B227DA">
        <w:rPr>
          <w:color w:val="000000" w:themeColor="text1"/>
        </w:rPr>
        <w:t>”,</w:t>
      </w:r>
      <w:r w:rsidR="007D6B41" w:rsidRPr="00B227DA">
        <w:rPr>
          <w:color w:val="000000" w:themeColor="text1"/>
        </w:rPr>
        <w:t xml:space="preserve"> “Acogiendo con beneplácito”</w:t>
      </w:r>
      <w:r w:rsidR="005640EB" w:rsidRPr="00B227DA">
        <w:rPr>
          <w:color w:val="000000" w:themeColor="text1"/>
        </w:rPr>
        <w:t>,</w:t>
      </w:r>
      <w:r w:rsidR="0088187D" w:rsidRPr="00B227DA">
        <w:rPr>
          <w:color w:val="000000" w:themeColor="text1"/>
        </w:rPr>
        <w:t xml:space="preserve"> etc.,</w:t>
      </w:r>
      <w:r w:rsidR="005640EB" w:rsidRPr="00B227DA">
        <w:rPr>
          <w:color w:val="000000" w:themeColor="text1"/>
        </w:rPr>
        <w:t xml:space="preserve"> ya que no constituyen ningún texto que haya sido examinado y aprobado por Ramsar. Todas las citaciones de otras decisiones o resoluciones de otras convenciones deben combinarse en un solo párrafo, indica</w:t>
      </w:r>
      <w:r w:rsidR="007D6B41" w:rsidRPr="00B227DA">
        <w:rPr>
          <w:color w:val="000000" w:themeColor="text1"/>
        </w:rPr>
        <w:t>ndo</w:t>
      </w:r>
      <w:r w:rsidR="005640EB" w:rsidRPr="00B227DA">
        <w:rPr>
          <w:color w:val="000000" w:themeColor="text1"/>
        </w:rPr>
        <w:t xml:space="preserve"> de qué </w:t>
      </w:r>
      <w:r w:rsidR="007D6B41" w:rsidRPr="00B227DA">
        <w:rPr>
          <w:color w:val="000000" w:themeColor="text1"/>
        </w:rPr>
        <w:t>convención</w:t>
      </w:r>
      <w:r w:rsidR="005640EB" w:rsidRPr="00B227DA">
        <w:rPr>
          <w:color w:val="000000" w:themeColor="text1"/>
        </w:rPr>
        <w:t xml:space="preserve"> se trata</w:t>
      </w:r>
      <w:r w:rsidR="007D6B41" w:rsidRPr="00B227DA">
        <w:rPr>
          <w:color w:val="000000" w:themeColor="text1"/>
        </w:rPr>
        <w:t>,</w:t>
      </w:r>
      <w:r w:rsidR="005640EB" w:rsidRPr="00B227DA">
        <w:rPr>
          <w:color w:val="000000" w:themeColor="text1"/>
        </w:rPr>
        <w:t xml:space="preserve"> el número de la decisión o resolución</w:t>
      </w:r>
      <w:r w:rsidR="007D6B41" w:rsidRPr="00B227DA">
        <w:rPr>
          <w:color w:val="000000" w:themeColor="text1"/>
        </w:rPr>
        <w:t xml:space="preserve"> y</w:t>
      </w:r>
      <w:r w:rsidR="005640EB" w:rsidRPr="00B227DA">
        <w:rPr>
          <w:color w:val="000000" w:themeColor="text1"/>
        </w:rPr>
        <w:t xml:space="preserve"> </w:t>
      </w:r>
      <w:r w:rsidR="007D6B41" w:rsidRPr="00B227DA">
        <w:rPr>
          <w:color w:val="000000" w:themeColor="text1"/>
        </w:rPr>
        <w:t xml:space="preserve">su </w:t>
      </w:r>
      <w:r w:rsidR="005640EB" w:rsidRPr="00B227DA">
        <w:rPr>
          <w:color w:val="000000" w:themeColor="text1"/>
        </w:rPr>
        <w:t xml:space="preserve">título entre </w:t>
      </w:r>
      <w:r w:rsidR="007D6B41" w:rsidRPr="00B227DA">
        <w:rPr>
          <w:color w:val="000000" w:themeColor="text1"/>
        </w:rPr>
        <w:t>paréntesis</w:t>
      </w:r>
      <w:r w:rsidR="005640EB" w:rsidRPr="00B227DA">
        <w:rPr>
          <w:color w:val="000000" w:themeColor="text1"/>
        </w:rPr>
        <w:t xml:space="preserve"> y enumer</w:t>
      </w:r>
      <w:r w:rsidR="007D6B41" w:rsidRPr="00B227DA">
        <w:rPr>
          <w:color w:val="000000" w:themeColor="text1"/>
        </w:rPr>
        <w:t>ándolas</w:t>
      </w:r>
      <w:r w:rsidR="005640EB" w:rsidRPr="00B227DA">
        <w:rPr>
          <w:color w:val="000000" w:themeColor="text1"/>
        </w:rPr>
        <w:t xml:space="preserve"> </w:t>
      </w:r>
      <w:r w:rsidR="007D6B41" w:rsidRPr="00B227DA">
        <w:rPr>
          <w:color w:val="000000" w:themeColor="text1"/>
        </w:rPr>
        <w:t>en orden cronológico</w:t>
      </w:r>
      <w:r w:rsidR="005640EB" w:rsidRPr="00B227DA">
        <w:rPr>
          <w:color w:val="000000" w:themeColor="text1"/>
        </w:rPr>
        <w:t>.</w:t>
      </w:r>
    </w:p>
    <w:p w14:paraId="6D8DDA8F" w14:textId="77777777" w:rsidR="00E747B8" w:rsidRPr="00B227DA" w:rsidRDefault="00E747B8" w:rsidP="00E747B8">
      <w:pPr>
        <w:suppressLineNumbers/>
        <w:suppressAutoHyphens/>
        <w:rPr>
          <w:color w:val="548DD4" w:themeColor="text2" w:themeTint="99"/>
        </w:rPr>
      </w:pPr>
    </w:p>
    <w:p w14:paraId="76068A32" w14:textId="5859B515" w:rsidR="00E747B8" w:rsidRPr="00B227DA" w:rsidRDefault="00E747B8" w:rsidP="00E747B8">
      <w:pPr>
        <w:suppressLineNumbers/>
        <w:suppressAutoHyphens/>
        <w:rPr>
          <w:color w:val="000000" w:themeColor="text1"/>
        </w:rPr>
      </w:pPr>
      <w:r w:rsidRPr="00B227DA">
        <w:rPr>
          <w:color w:val="000000" w:themeColor="text1"/>
        </w:rPr>
        <w:t xml:space="preserve">17. </w:t>
      </w:r>
      <w:r w:rsidRPr="00B227DA">
        <w:rPr>
          <w:color w:val="000000" w:themeColor="text1"/>
        </w:rPr>
        <w:tab/>
      </w:r>
      <w:r w:rsidR="007D6B41" w:rsidRPr="00B227DA">
        <w:rPr>
          <w:color w:val="000000" w:themeColor="text1"/>
        </w:rPr>
        <w:t>Es posible</w:t>
      </w:r>
      <w:r w:rsidR="005640EB" w:rsidRPr="00B227DA">
        <w:rPr>
          <w:color w:val="000000" w:themeColor="text1"/>
        </w:rPr>
        <w:t xml:space="preserve"> incluir </w:t>
      </w:r>
      <w:r w:rsidR="007D6B41" w:rsidRPr="00B227DA">
        <w:rPr>
          <w:color w:val="000000" w:themeColor="text1"/>
        </w:rPr>
        <w:t>información</w:t>
      </w:r>
      <w:r w:rsidR="005640EB" w:rsidRPr="00B227DA">
        <w:rPr>
          <w:color w:val="000000" w:themeColor="text1"/>
        </w:rPr>
        <w:t xml:space="preserve"> de otras fuentes en otro párrafo, asegurándose de que las referencias sean precisas y </w:t>
      </w:r>
      <w:r w:rsidR="007D6B41" w:rsidRPr="00B227DA">
        <w:rPr>
          <w:color w:val="000000" w:themeColor="text1"/>
        </w:rPr>
        <w:t xml:space="preserve">de seguir el mismo estilo, a saber, </w:t>
      </w:r>
      <w:r w:rsidR="005640EB" w:rsidRPr="00B227DA">
        <w:rPr>
          <w:color w:val="000000" w:themeColor="text1"/>
        </w:rPr>
        <w:t xml:space="preserve">hacer referencia al documento mediante su título a fin de evitar </w:t>
      </w:r>
      <w:r w:rsidR="007D6B41" w:rsidRPr="00B227DA">
        <w:rPr>
          <w:color w:val="000000" w:themeColor="text1"/>
        </w:rPr>
        <w:t>cualquier</w:t>
      </w:r>
      <w:r w:rsidR="005640EB" w:rsidRPr="00B227DA">
        <w:rPr>
          <w:color w:val="000000" w:themeColor="text1"/>
        </w:rPr>
        <w:t xml:space="preserve"> </w:t>
      </w:r>
      <w:r w:rsidR="007D6B41" w:rsidRPr="00B227DA">
        <w:rPr>
          <w:color w:val="000000" w:themeColor="text1"/>
        </w:rPr>
        <w:t xml:space="preserve">ambigüedad </w:t>
      </w:r>
      <w:r w:rsidR="005640EB" w:rsidRPr="00B227DA">
        <w:rPr>
          <w:color w:val="000000" w:themeColor="text1"/>
        </w:rPr>
        <w:t xml:space="preserve">presente o futura (p. ej., </w:t>
      </w:r>
      <w:r w:rsidRPr="00B227DA">
        <w:rPr>
          <w:color w:val="000000" w:themeColor="text1"/>
        </w:rPr>
        <w:t>“</w:t>
      </w:r>
      <w:r w:rsidR="007D6B41" w:rsidRPr="00B227DA">
        <w:rPr>
          <w:color w:val="000000" w:themeColor="text1"/>
        </w:rPr>
        <w:t xml:space="preserve">Tomando nota del Informe de síntesis publicado en </w:t>
      </w:r>
      <w:r w:rsidRPr="00B227DA">
        <w:rPr>
          <w:color w:val="000000" w:themeColor="text1"/>
        </w:rPr>
        <w:t xml:space="preserve">2014 </w:t>
      </w:r>
      <w:r w:rsidR="007D6B41" w:rsidRPr="00B227DA">
        <w:rPr>
          <w:color w:val="000000" w:themeColor="text1"/>
        </w:rPr>
        <w:t>del Quinto Informe de Evaluación del IPCC</w:t>
      </w:r>
      <w:r w:rsidRPr="00B227DA">
        <w:rPr>
          <w:color w:val="000000" w:themeColor="text1"/>
        </w:rPr>
        <w:t xml:space="preserve"> (AR5)” </w:t>
      </w:r>
      <w:r w:rsidR="007D6B41" w:rsidRPr="00B227DA">
        <w:rPr>
          <w:color w:val="000000" w:themeColor="text1"/>
        </w:rPr>
        <w:t xml:space="preserve">en vez de “el último Informe de Evaluación del IPCC”). Al igual que ocurre con las referencias a la </w:t>
      </w:r>
      <w:r w:rsidR="005640EB" w:rsidRPr="00B227DA">
        <w:rPr>
          <w:color w:val="000000" w:themeColor="text1"/>
        </w:rPr>
        <w:t xml:space="preserve">labor de otras convenciones, estas no se </w:t>
      </w:r>
      <w:r w:rsidR="007D6B41" w:rsidRPr="00B227DA">
        <w:rPr>
          <w:color w:val="000000" w:themeColor="text1"/>
        </w:rPr>
        <w:t>introducen con “Recordando” sino con “Reconociendo”, “Observando”, “Tomando nota”, “Acogiendo con beneplácito”, etc</w:t>
      </w:r>
      <w:r w:rsidRPr="00B227DA">
        <w:rPr>
          <w:color w:val="000000" w:themeColor="text1"/>
        </w:rPr>
        <w:t>.</w:t>
      </w:r>
    </w:p>
    <w:p w14:paraId="39B6DE4A" w14:textId="77777777" w:rsidR="00E747B8" w:rsidRPr="00B227DA" w:rsidRDefault="00E747B8" w:rsidP="001F6249"/>
    <w:p w14:paraId="3DD3B67D" w14:textId="3870BEEF" w:rsidR="001F6249" w:rsidRPr="00B227DA" w:rsidRDefault="00E747B8" w:rsidP="001F6249">
      <w:r w:rsidRPr="00B227DA">
        <w:t>18.</w:t>
      </w:r>
      <w:r w:rsidRPr="00B227DA">
        <w:tab/>
      </w:r>
      <w:r w:rsidR="001F6249" w:rsidRPr="00B227DA">
        <w:t>Los párrafos de la parte dispositiva contienen las medidas que las Partes Contratantes recomiendan o acuerdan adoptar. Estos párrafos empiezan con un verbo de acción en tercera persona del singular (p. ej., “Aprueba”, “Exhorta”, “Destaca”, “Invita”, “Toma nota”, “Recomienda”, “Pide” o “Insta”).</w:t>
      </w:r>
    </w:p>
    <w:p w14:paraId="7E0C9BA5" w14:textId="77777777" w:rsidR="001F6249" w:rsidRPr="00B227DA" w:rsidRDefault="001F6249" w:rsidP="001F6249"/>
    <w:p w14:paraId="44BBF8A9" w14:textId="24C8ECD1" w:rsidR="001F6249" w:rsidRPr="00B227DA" w:rsidRDefault="00BD0F78" w:rsidP="001F6249">
      <w:pPr>
        <w:rPr>
          <w:color w:val="000000" w:themeColor="text1"/>
        </w:rPr>
      </w:pPr>
      <w:r w:rsidRPr="00B227DA">
        <w:t>1</w:t>
      </w:r>
      <w:r w:rsidR="00461633" w:rsidRPr="00B227DA">
        <w:t>9</w:t>
      </w:r>
      <w:r w:rsidR="001F6249" w:rsidRPr="00B227DA">
        <w:t>.</w:t>
      </w:r>
      <w:r w:rsidR="001F6249" w:rsidRPr="00B227DA">
        <w:tab/>
        <w:t xml:space="preserve">El verbo utilizado deberá corresponder a la función del organismo al que se pide que realice la acción. Por ejemplo, es adecuado </w:t>
      </w:r>
      <w:r w:rsidR="001F6249" w:rsidRPr="00B227DA">
        <w:rPr>
          <w:u w:val="single"/>
        </w:rPr>
        <w:t>alentar</w:t>
      </w:r>
      <w:r w:rsidR="001F6249" w:rsidRPr="00B227DA">
        <w:t xml:space="preserve">, </w:t>
      </w:r>
      <w:r w:rsidR="001F6249" w:rsidRPr="00B227DA">
        <w:rPr>
          <w:u w:val="single"/>
        </w:rPr>
        <w:t>exhortar</w:t>
      </w:r>
      <w:r w:rsidR="001F6249" w:rsidRPr="00B227DA">
        <w:t xml:space="preserve"> o </w:t>
      </w:r>
      <w:r w:rsidR="001F6249" w:rsidRPr="00B227DA">
        <w:rPr>
          <w:u w:val="single"/>
        </w:rPr>
        <w:t>instar</w:t>
      </w:r>
      <w:r w:rsidR="001F6249" w:rsidRPr="00B227DA">
        <w:t xml:space="preserve"> a las Partes Contratantes a que tomen una medida, </w:t>
      </w:r>
      <w:r w:rsidR="001F6249" w:rsidRPr="00B227DA">
        <w:rPr>
          <w:u w:val="single"/>
        </w:rPr>
        <w:t>pedir</w:t>
      </w:r>
      <w:r w:rsidR="001F6249" w:rsidRPr="00B227DA">
        <w:t xml:space="preserve"> al Grupo de Examen Científico y Técnico (GECT) que realice una acción y </w:t>
      </w:r>
      <w:r w:rsidR="001F6249" w:rsidRPr="00B227DA">
        <w:rPr>
          <w:u w:val="single"/>
        </w:rPr>
        <w:t>encargar</w:t>
      </w:r>
      <w:r w:rsidR="001F6249" w:rsidRPr="00B227DA">
        <w:t xml:space="preserve"> a la Secretaría que haga algo.</w:t>
      </w:r>
      <w:r w:rsidR="00461633" w:rsidRPr="00B227DA">
        <w:t xml:space="preserve"> Los redactores también deberán tener en cuenta que, en el caso de las entidades que no </w:t>
      </w:r>
      <w:r w:rsidR="00930DA2" w:rsidRPr="00B227DA">
        <w:t>son competencia de la Convención</w:t>
      </w:r>
      <w:r w:rsidR="00461633" w:rsidRPr="00B227DA">
        <w:rPr>
          <w:color w:val="000000" w:themeColor="text1"/>
        </w:rPr>
        <w:t xml:space="preserve">, tales como las Organizaciones Internacionales Asociadas (OIA), el sector privado y otros interesados, solo se les puede invitar a hacer algo; no es adecuado utilizar </w:t>
      </w:r>
      <w:r w:rsidR="00930DA2" w:rsidRPr="00B227DA">
        <w:rPr>
          <w:color w:val="000000" w:themeColor="text1"/>
        </w:rPr>
        <w:t>ningún</w:t>
      </w:r>
      <w:r w:rsidR="00461633" w:rsidRPr="00B227DA">
        <w:rPr>
          <w:color w:val="000000" w:themeColor="text1"/>
        </w:rPr>
        <w:t xml:space="preserve"> otro verbo en esos casos ya que estas entidades no responden ante la COP.</w:t>
      </w:r>
    </w:p>
    <w:p w14:paraId="7A3F3EA3" w14:textId="77777777" w:rsidR="001F6249" w:rsidRPr="00B227DA" w:rsidRDefault="001F6249" w:rsidP="001F6249">
      <w:pPr>
        <w:contextualSpacing/>
      </w:pPr>
    </w:p>
    <w:p w14:paraId="6752EBD9" w14:textId="77777777" w:rsidR="001F6249" w:rsidRPr="00B227DA" w:rsidRDefault="001F6249" w:rsidP="001F6249">
      <w:pPr>
        <w:keepNext/>
        <w:contextualSpacing/>
        <w:rPr>
          <w:rFonts w:cs="Arial"/>
          <w:i/>
        </w:rPr>
      </w:pPr>
      <w:r w:rsidRPr="00B227DA">
        <w:rPr>
          <w:i/>
        </w:rPr>
        <w:t>Anexos</w:t>
      </w:r>
    </w:p>
    <w:p w14:paraId="732ECEC0" w14:textId="77777777" w:rsidR="001F6249" w:rsidRPr="00B227DA" w:rsidRDefault="001F6249" w:rsidP="001F6249">
      <w:pPr>
        <w:rPr>
          <w:rFonts w:cs="Arial"/>
        </w:rPr>
      </w:pPr>
    </w:p>
    <w:p w14:paraId="02385318" w14:textId="675CDA1B" w:rsidR="00461633" w:rsidRPr="00B227DA" w:rsidRDefault="00461633" w:rsidP="001F6249">
      <w:pPr>
        <w:rPr>
          <w:color w:val="000000" w:themeColor="text1"/>
        </w:rPr>
      </w:pPr>
      <w:r w:rsidRPr="00B227DA">
        <w:t>20</w:t>
      </w:r>
      <w:r w:rsidR="001F6249" w:rsidRPr="00B227DA">
        <w:t>.</w:t>
      </w:r>
      <w:r w:rsidR="001F6249" w:rsidRPr="00B227DA">
        <w:tab/>
      </w:r>
      <w:r w:rsidR="00C87D68" w:rsidRPr="00B227DA">
        <w:rPr>
          <w:color w:val="000000" w:themeColor="text1"/>
        </w:rPr>
        <w:t xml:space="preserve">Un anexo puede aportar información necesaria para entender lo que se está acordando en la resolución, por ejemplo, cuadros presupuestarios, </w:t>
      </w:r>
      <w:r w:rsidR="00170DB9" w:rsidRPr="00B227DA">
        <w:rPr>
          <w:color w:val="000000" w:themeColor="text1"/>
        </w:rPr>
        <w:t>términos</w:t>
      </w:r>
      <w:r w:rsidR="00C87D68" w:rsidRPr="00B227DA">
        <w:rPr>
          <w:color w:val="000000" w:themeColor="text1"/>
        </w:rPr>
        <w:t xml:space="preserve"> de referencia, listas de países o, en algunos casos, buenas </w:t>
      </w:r>
      <w:r w:rsidR="00170DB9" w:rsidRPr="00B227DA">
        <w:rPr>
          <w:color w:val="000000" w:themeColor="text1"/>
        </w:rPr>
        <w:t>prácticas</w:t>
      </w:r>
      <w:r w:rsidR="00C87D68" w:rsidRPr="00B227DA">
        <w:rPr>
          <w:color w:val="000000" w:themeColor="text1"/>
        </w:rPr>
        <w:t xml:space="preserve"> u otra información técnica que no sea posible o </w:t>
      </w:r>
      <w:r w:rsidR="00170DB9" w:rsidRPr="00B227DA">
        <w:rPr>
          <w:color w:val="000000" w:themeColor="text1"/>
        </w:rPr>
        <w:t>adecuado</w:t>
      </w:r>
      <w:r w:rsidR="00C87D68" w:rsidRPr="00B227DA">
        <w:rPr>
          <w:color w:val="000000" w:themeColor="text1"/>
        </w:rPr>
        <w:t xml:space="preserve"> </w:t>
      </w:r>
      <w:r w:rsidR="00170DB9" w:rsidRPr="00B227DA">
        <w:rPr>
          <w:color w:val="000000" w:themeColor="text1"/>
        </w:rPr>
        <w:t xml:space="preserve">reflejar en el texto de la propia resolución. La utilización de anexos se debe sopesar minuciosamente: estos se deben utilizar solo en los casos necesarios y han de contener información que sea importante para fines de referencia futura. En caso necesario, los anexos pueden contener enlaces a </w:t>
      </w:r>
      <w:r w:rsidR="000B4B13" w:rsidRPr="00B227DA">
        <w:rPr>
          <w:color w:val="000000" w:themeColor="text1"/>
        </w:rPr>
        <w:t>más</w:t>
      </w:r>
      <w:r w:rsidR="00170DB9" w:rsidRPr="00B227DA">
        <w:rPr>
          <w:color w:val="000000" w:themeColor="text1"/>
        </w:rPr>
        <w:t xml:space="preserve"> información de antecedentes</w:t>
      </w:r>
      <w:r w:rsidRPr="00B227DA">
        <w:rPr>
          <w:color w:val="000000" w:themeColor="text1"/>
        </w:rPr>
        <w:t>.</w:t>
      </w:r>
    </w:p>
    <w:p w14:paraId="671A0008" w14:textId="0DC6CB2F" w:rsidR="001F6249" w:rsidRPr="00B227DA" w:rsidRDefault="001F6249" w:rsidP="00A32A0F">
      <w:pPr>
        <w:ind w:left="0" w:firstLine="0"/>
      </w:pPr>
    </w:p>
    <w:p w14:paraId="6B801463" w14:textId="5FCFAF7E" w:rsidR="001F6249" w:rsidRPr="00B227DA" w:rsidRDefault="00461633" w:rsidP="001F6249">
      <w:r w:rsidRPr="00B227DA">
        <w:t>21</w:t>
      </w:r>
      <w:r w:rsidR="001F6249" w:rsidRPr="00B227DA">
        <w:t>.</w:t>
      </w:r>
      <w:r w:rsidR="001F6249" w:rsidRPr="00B227DA">
        <w:tab/>
        <w:t>Los anexos deberán numerarse de la siguiente forma: Anexo 1, Anexo 2, etc., siguiendo el orden en el que se haga referencia a ellos en el proyecto de resolución. Cada anexo deberá empezar en una página nueva.</w:t>
      </w:r>
    </w:p>
    <w:p w14:paraId="2B9AFFDE" w14:textId="77777777" w:rsidR="001F6249" w:rsidRPr="00B227DA" w:rsidRDefault="001F6249" w:rsidP="001F6249">
      <w:pPr>
        <w:ind w:left="0" w:firstLine="0"/>
        <w:contextualSpacing/>
        <w:rPr>
          <w:color w:val="000000"/>
        </w:rPr>
      </w:pPr>
    </w:p>
    <w:p w14:paraId="7456C2AF" w14:textId="77656640" w:rsidR="001F6249" w:rsidRPr="00B227DA" w:rsidRDefault="00461633" w:rsidP="001F6249">
      <w:r w:rsidRPr="00B227DA">
        <w:t>22</w:t>
      </w:r>
      <w:r w:rsidR="001F6249" w:rsidRPr="00B227DA">
        <w:t>.</w:t>
      </w:r>
      <w:r w:rsidR="001F6249" w:rsidRPr="00B227DA">
        <w:tab/>
        <w:t xml:space="preserve">Los párrafos deberán numerarse de forma consecutiva con los números 1, 2, 3, etc. Los subpárrafos deberán numerarse así: i), ii), iii), etc. Aunque se pueden utilizar viñetas o puntos </w:t>
      </w:r>
      <w:r w:rsidR="001F6249" w:rsidRPr="00B227DA">
        <w:lastRenderedPageBreak/>
        <w:t xml:space="preserve">para las listas, se recomienda utilizar la numeración en la medida de lo posible ya que es más clara. </w:t>
      </w:r>
    </w:p>
    <w:p w14:paraId="3F77A803" w14:textId="77777777" w:rsidR="001F6249" w:rsidRPr="00B227DA" w:rsidRDefault="001F6249" w:rsidP="001F6249"/>
    <w:p w14:paraId="3928010A" w14:textId="06AF2255" w:rsidR="001F6249" w:rsidRPr="00B227DA" w:rsidRDefault="00461633" w:rsidP="001F6249">
      <w:r w:rsidRPr="00B227DA">
        <w:t>23</w:t>
      </w:r>
      <w:r w:rsidR="001F6249" w:rsidRPr="00B227DA">
        <w:t>.</w:t>
      </w:r>
      <w:r w:rsidR="001F6249" w:rsidRPr="00B227DA">
        <w:tab/>
        <w:t xml:space="preserve">Los cuadros o las figuras deberán ser titulados como tales y numerados de forma consecutiva, </w:t>
      </w:r>
      <w:bookmarkStart w:id="0" w:name="_GoBack"/>
      <w:r w:rsidR="001F6249" w:rsidRPr="00B227DA">
        <w:t xml:space="preserve">p. ej., </w:t>
      </w:r>
      <w:r w:rsidR="001F6249" w:rsidRPr="00B227DA">
        <w:rPr>
          <w:i/>
          <w:iCs/>
        </w:rPr>
        <w:t>Figura 2: Procedimiento para identificar los principales servicios de los ecosistemas</w:t>
      </w:r>
      <w:r w:rsidR="001F6249" w:rsidRPr="00B227DA">
        <w:t>.</w:t>
      </w:r>
    </w:p>
    <w:p w14:paraId="6DECB60A" w14:textId="77777777" w:rsidR="005727D2" w:rsidRDefault="005727D2" w:rsidP="005727D2">
      <w:pPr>
        <w:ind w:left="0" w:firstLine="0"/>
        <w:rPr>
          <w:b/>
          <w:color w:val="000000" w:themeColor="text1"/>
          <w:sz w:val="24"/>
          <w:szCs w:val="24"/>
        </w:rPr>
      </w:pPr>
    </w:p>
    <w:p w14:paraId="233F55ED" w14:textId="79530DA9" w:rsidR="005727D2" w:rsidRPr="005727D2" w:rsidRDefault="005727D2" w:rsidP="005727D2">
      <w:r>
        <w:t>24.</w:t>
      </w:r>
      <w:r>
        <w:tab/>
      </w:r>
      <w:r w:rsidRPr="005727D2">
        <w:t>Si se incluyen tablas o cuadros en los anexos, se ruega tener en cuenta el diseño. Un buen diseño puede mejorar las posibilidades de que el lector obtenga rápidamente una visión general del contenido y lo entienda bien, reducir los desplazamientos innecesarios por el documento al leerlo y minimizar el número de páginas si se imprime el proyecto de resolución.</w:t>
      </w:r>
    </w:p>
    <w:p w14:paraId="4FD037AB" w14:textId="31611F26" w:rsidR="005727D2" w:rsidRPr="005727D2" w:rsidRDefault="005727D2" w:rsidP="005727D2"/>
    <w:p w14:paraId="01F47B68" w14:textId="77777777" w:rsidR="005727D2" w:rsidRPr="005727D2" w:rsidRDefault="005727D2" w:rsidP="005727D2">
      <w:pPr>
        <w:ind w:firstLine="0"/>
      </w:pPr>
      <w:r w:rsidRPr="005727D2">
        <w:t>A continuación se presentan varios métodos que puede ser útil tener en cuenta:</w:t>
      </w:r>
    </w:p>
    <w:p w14:paraId="1B2F07EB" w14:textId="56D31A08" w:rsidR="005727D2" w:rsidRPr="005727D2" w:rsidRDefault="005727D2" w:rsidP="005727D2">
      <w:pPr>
        <w:pStyle w:val="yiv5243853583msonormal"/>
        <w:numPr>
          <w:ilvl w:val="0"/>
          <w:numId w:val="39"/>
        </w:numPr>
        <w:shd w:val="clear" w:color="auto" w:fill="FFFFFF"/>
        <w:spacing w:before="0" w:beforeAutospacing="0" w:after="0" w:afterAutospacing="0"/>
        <w:ind w:left="851" w:hanging="425"/>
        <w:rPr>
          <w:rFonts w:ascii="Calibri" w:eastAsia="Calibri" w:hAnsi="Calibri"/>
          <w:sz w:val="22"/>
          <w:szCs w:val="22"/>
          <w:lang w:val="fr-FR" w:eastAsia="en-US"/>
        </w:rPr>
      </w:pPr>
      <w:r w:rsidRPr="005727D2">
        <w:rPr>
          <w:rFonts w:ascii="Calibri" w:eastAsia="Calibri" w:hAnsi="Calibri"/>
          <w:sz w:val="22"/>
          <w:szCs w:val="22"/>
          <w:lang w:val="fr-FR" w:eastAsia="en-US"/>
        </w:rPr>
        <w:t>Utilizar una orientación horizontal si se van a presentar muchas columnas.</w:t>
      </w:r>
    </w:p>
    <w:p w14:paraId="764F929E" w14:textId="5101F601" w:rsidR="005727D2" w:rsidRPr="005727D2" w:rsidRDefault="005727D2" w:rsidP="005727D2">
      <w:pPr>
        <w:pStyle w:val="yiv5243853583msonormal"/>
        <w:numPr>
          <w:ilvl w:val="0"/>
          <w:numId w:val="39"/>
        </w:numPr>
        <w:shd w:val="clear" w:color="auto" w:fill="FFFFFF"/>
        <w:spacing w:before="0" w:beforeAutospacing="0" w:after="0" w:afterAutospacing="0"/>
        <w:ind w:left="851" w:hanging="425"/>
        <w:rPr>
          <w:rFonts w:ascii="Calibri" w:eastAsia="Calibri" w:hAnsi="Calibri"/>
          <w:sz w:val="22"/>
          <w:szCs w:val="22"/>
          <w:lang w:val="fr-FR" w:eastAsia="en-US"/>
        </w:rPr>
      </w:pPr>
      <w:r w:rsidRPr="005727D2">
        <w:rPr>
          <w:rFonts w:ascii="Calibri" w:eastAsia="Calibri" w:hAnsi="Calibri"/>
          <w:sz w:val="22"/>
          <w:szCs w:val="22"/>
          <w:lang w:val="fr-FR" w:eastAsia="en-US"/>
        </w:rPr>
        <w:t>Utilizar márgenes estrechos cuando las tablas son anchas.</w:t>
      </w:r>
    </w:p>
    <w:p w14:paraId="65B8BCD8" w14:textId="53475DC0" w:rsidR="005727D2" w:rsidRPr="005727D2" w:rsidRDefault="005727D2" w:rsidP="005727D2">
      <w:pPr>
        <w:pStyle w:val="yiv5243853583msonormal"/>
        <w:numPr>
          <w:ilvl w:val="0"/>
          <w:numId w:val="39"/>
        </w:numPr>
        <w:shd w:val="clear" w:color="auto" w:fill="FFFFFF"/>
        <w:spacing w:before="0" w:beforeAutospacing="0" w:after="0" w:afterAutospacing="0"/>
        <w:ind w:left="851" w:hanging="425"/>
        <w:rPr>
          <w:rFonts w:ascii="Calibri" w:eastAsia="Calibri" w:hAnsi="Calibri"/>
          <w:sz w:val="22"/>
          <w:szCs w:val="22"/>
          <w:lang w:val="fr-FR" w:eastAsia="en-US"/>
        </w:rPr>
      </w:pPr>
      <w:r w:rsidRPr="005727D2">
        <w:rPr>
          <w:rFonts w:ascii="Calibri" w:eastAsia="Calibri" w:hAnsi="Calibri"/>
          <w:sz w:val="22"/>
          <w:szCs w:val="22"/>
          <w:lang w:val="fr-FR" w:eastAsia="en-US"/>
        </w:rPr>
        <w:t>No añadir muchas filas adicionales para tener más espacio en la tabla.</w:t>
      </w:r>
    </w:p>
    <w:p w14:paraId="7B3197A3" w14:textId="73E48356" w:rsidR="005727D2" w:rsidRPr="005727D2" w:rsidRDefault="005727D2" w:rsidP="005727D2">
      <w:pPr>
        <w:pStyle w:val="yiv5243853583msonormal"/>
        <w:numPr>
          <w:ilvl w:val="0"/>
          <w:numId w:val="39"/>
        </w:numPr>
        <w:shd w:val="clear" w:color="auto" w:fill="FFFFFF"/>
        <w:spacing w:before="0" w:beforeAutospacing="0" w:after="0" w:afterAutospacing="0"/>
        <w:ind w:left="851" w:hanging="425"/>
        <w:rPr>
          <w:rFonts w:ascii="Calibri" w:eastAsia="Calibri" w:hAnsi="Calibri"/>
          <w:sz w:val="22"/>
          <w:szCs w:val="22"/>
          <w:lang w:val="fr-FR" w:eastAsia="en-US"/>
        </w:rPr>
      </w:pPr>
      <w:r w:rsidRPr="005727D2">
        <w:rPr>
          <w:rFonts w:ascii="Calibri" w:eastAsia="Calibri" w:hAnsi="Calibri"/>
          <w:sz w:val="22"/>
          <w:szCs w:val="22"/>
          <w:lang w:val="fr-FR" w:eastAsia="en-US"/>
        </w:rPr>
        <w:t>Se pueden utilizar viñetas en lugar de filas en blanco entre partes con textos cortos en las columnas.</w:t>
      </w:r>
    </w:p>
    <w:p w14:paraId="38933B01" w14:textId="208F6C5C" w:rsidR="005727D2" w:rsidRPr="005727D2" w:rsidRDefault="005727D2" w:rsidP="005727D2">
      <w:pPr>
        <w:pStyle w:val="yiv5243853583msonormal"/>
        <w:numPr>
          <w:ilvl w:val="0"/>
          <w:numId w:val="39"/>
        </w:numPr>
        <w:shd w:val="clear" w:color="auto" w:fill="FFFFFF"/>
        <w:spacing w:before="0" w:beforeAutospacing="0" w:after="0" w:afterAutospacing="0"/>
        <w:ind w:left="851" w:hanging="425"/>
        <w:rPr>
          <w:rFonts w:ascii="Calibri" w:eastAsia="Calibri" w:hAnsi="Calibri"/>
          <w:sz w:val="22"/>
          <w:szCs w:val="22"/>
          <w:lang w:val="fr-FR" w:eastAsia="en-US"/>
        </w:rPr>
      </w:pPr>
      <w:r w:rsidRPr="005727D2">
        <w:rPr>
          <w:rFonts w:ascii="Calibri" w:eastAsia="Calibri" w:hAnsi="Calibri"/>
          <w:sz w:val="22"/>
          <w:szCs w:val="22"/>
          <w:lang w:val="fr-FR" w:eastAsia="en-US"/>
        </w:rPr>
        <w:t>Es la longitud del texto (y no la longitud del título) la que debe determinar el ancho de la columna. En vez de utilizar títulos largos en las columnas, se puede utilizar más de un renglón o acortar los títulos incluyendo una explicación a proximidad de la tabla.</w:t>
      </w:r>
    </w:p>
    <w:p w14:paraId="034B79B2" w14:textId="393CD17A" w:rsidR="005727D2" w:rsidRPr="005727D2" w:rsidRDefault="005727D2" w:rsidP="005727D2">
      <w:pPr>
        <w:pStyle w:val="yiv5243853583msonormal"/>
        <w:numPr>
          <w:ilvl w:val="0"/>
          <w:numId w:val="39"/>
        </w:numPr>
        <w:shd w:val="clear" w:color="auto" w:fill="FFFFFF"/>
        <w:spacing w:before="0" w:beforeAutospacing="0" w:after="0" w:afterAutospacing="0"/>
        <w:ind w:left="851" w:hanging="425"/>
        <w:rPr>
          <w:rFonts w:ascii="Calibri" w:eastAsia="Calibri" w:hAnsi="Calibri"/>
          <w:sz w:val="22"/>
          <w:szCs w:val="22"/>
          <w:lang w:val="fr-FR" w:eastAsia="en-US"/>
        </w:rPr>
      </w:pPr>
      <w:r w:rsidRPr="005727D2">
        <w:rPr>
          <w:rFonts w:ascii="Calibri" w:eastAsia="Calibri" w:hAnsi="Calibri"/>
          <w:sz w:val="22"/>
          <w:szCs w:val="22"/>
          <w:lang w:val="fr-FR" w:eastAsia="en-US"/>
        </w:rPr>
        <w:t>Utilizar acrónimos conocidos en vez de palabras o expresiones largas.</w:t>
      </w:r>
    </w:p>
    <w:p w14:paraId="01885D76" w14:textId="3F845787" w:rsidR="005727D2" w:rsidRPr="005727D2" w:rsidRDefault="005727D2" w:rsidP="005727D2">
      <w:pPr>
        <w:pStyle w:val="yiv5243853583msonormal"/>
        <w:numPr>
          <w:ilvl w:val="0"/>
          <w:numId w:val="39"/>
        </w:numPr>
        <w:shd w:val="clear" w:color="auto" w:fill="FFFFFF"/>
        <w:spacing w:before="0" w:beforeAutospacing="0" w:after="0" w:afterAutospacing="0"/>
        <w:ind w:left="851" w:hanging="425"/>
        <w:rPr>
          <w:rFonts w:ascii="Calibri" w:eastAsia="Calibri" w:hAnsi="Calibri"/>
          <w:sz w:val="22"/>
          <w:szCs w:val="22"/>
          <w:lang w:val="fr-FR" w:eastAsia="en-US"/>
        </w:rPr>
      </w:pPr>
      <w:r w:rsidRPr="005727D2">
        <w:rPr>
          <w:rFonts w:ascii="Calibri" w:eastAsia="Calibri" w:hAnsi="Calibri"/>
          <w:sz w:val="22"/>
          <w:szCs w:val="22"/>
          <w:lang w:val="fr-FR" w:eastAsia="en-US"/>
        </w:rPr>
        <w:t>En ocasiones se puede unir el contenido de dos columnas si una de ellas solo contiene información limitada y esta se puede escribir en negrita o cursiva para distinguirla de la otra información incluida en la nueva columna común.</w:t>
      </w:r>
    </w:p>
    <w:bookmarkEnd w:id="0"/>
    <w:p w14:paraId="52157928" w14:textId="363A1963" w:rsidR="007F766D" w:rsidRPr="005727D2" w:rsidRDefault="007F766D" w:rsidP="005727D2">
      <w:pPr>
        <w:pStyle w:val="yiv5243853583msonormal"/>
        <w:shd w:val="clear" w:color="auto" w:fill="FFFFFF"/>
        <w:spacing w:before="0" w:beforeAutospacing="0" w:after="0" w:afterAutospacing="0"/>
        <w:ind w:left="851" w:hanging="425"/>
        <w:rPr>
          <w:rFonts w:ascii="Calibri" w:eastAsia="Calibri" w:hAnsi="Calibri"/>
          <w:sz w:val="22"/>
          <w:szCs w:val="22"/>
          <w:lang w:val="fr-FR" w:eastAsia="en-US"/>
        </w:rPr>
      </w:pPr>
      <w:r w:rsidRPr="005727D2">
        <w:rPr>
          <w:rFonts w:ascii="Calibri" w:eastAsia="Calibri" w:hAnsi="Calibri"/>
          <w:sz w:val="22"/>
          <w:szCs w:val="22"/>
          <w:lang w:val="fr-FR" w:eastAsia="en-US"/>
        </w:rPr>
        <w:br w:type="page"/>
      </w:r>
    </w:p>
    <w:p w14:paraId="06CB535C" w14:textId="0D355549" w:rsidR="00461633" w:rsidRPr="00B227DA" w:rsidRDefault="00461633" w:rsidP="00461633">
      <w:pPr>
        <w:rPr>
          <w:b/>
          <w:color w:val="000000" w:themeColor="text1"/>
          <w:sz w:val="24"/>
          <w:szCs w:val="24"/>
        </w:rPr>
      </w:pPr>
      <w:r w:rsidRPr="00B227DA">
        <w:rPr>
          <w:b/>
          <w:color w:val="000000" w:themeColor="text1"/>
          <w:sz w:val="24"/>
          <w:szCs w:val="24"/>
        </w:rPr>
        <w:lastRenderedPageBreak/>
        <w:t>Anexo A</w:t>
      </w:r>
    </w:p>
    <w:p w14:paraId="28795A6C" w14:textId="36698BE2" w:rsidR="001F6249" w:rsidRPr="00B227DA" w:rsidRDefault="001F6249" w:rsidP="00461633">
      <w:pPr>
        <w:rPr>
          <w:rFonts w:cs="Arial"/>
          <w:b/>
          <w:sz w:val="24"/>
          <w:szCs w:val="24"/>
        </w:rPr>
      </w:pPr>
      <w:r w:rsidRPr="00B227DA">
        <w:rPr>
          <w:b/>
          <w:color w:val="000000" w:themeColor="text1"/>
          <w:sz w:val="24"/>
          <w:szCs w:val="24"/>
        </w:rPr>
        <w:t xml:space="preserve">Modelo para la presentación de proyectos de resolución al Comité </w:t>
      </w:r>
      <w:r w:rsidRPr="00B227DA">
        <w:rPr>
          <w:b/>
          <w:sz w:val="24"/>
          <w:szCs w:val="24"/>
        </w:rPr>
        <w:t>Permanente</w:t>
      </w:r>
    </w:p>
    <w:p w14:paraId="528EAF02" w14:textId="77777777" w:rsidR="001F6249" w:rsidRPr="00B227DA" w:rsidRDefault="001F6249" w:rsidP="001F6249">
      <w:pPr>
        <w:rPr>
          <w:rFonts w:cs="Arial"/>
          <w:b/>
        </w:rPr>
      </w:pPr>
    </w:p>
    <w:p w14:paraId="46DCCE65" w14:textId="77777777" w:rsidR="001F6249" w:rsidRPr="00B227DA" w:rsidRDefault="001F6249" w:rsidP="001F6249">
      <w:pPr>
        <w:ind w:left="0" w:firstLine="0"/>
      </w:pPr>
      <w:r w:rsidRPr="00B227DA">
        <w:t xml:space="preserve">El presente modelo constituye la base de la introducción y el texto del proyecto de resolución propuesto. </w:t>
      </w:r>
    </w:p>
    <w:p w14:paraId="1FE6DD66" w14:textId="77777777" w:rsidR="001F6249" w:rsidRPr="00B227DA" w:rsidRDefault="001F6249" w:rsidP="001F6249">
      <w:pPr>
        <w:rPr>
          <w:rFonts w:cs="Arial"/>
          <w:b/>
        </w:rPr>
      </w:pPr>
    </w:p>
    <w:p w14:paraId="76C84A53" w14:textId="77777777" w:rsidR="001F6249" w:rsidRPr="00B227DA" w:rsidRDefault="001F6249" w:rsidP="001F6249">
      <w:pPr>
        <w:pBdr>
          <w:bottom w:val="single" w:sz="6" w:space="1" w:color="auto"/>
        </w:pBdr>
        <w:rPr>
          <w:rFonts w:cs="Arial"/>
        </w:rPr>
      </w:pPr>
    </w:p>
    <w:p w14:paraId="7CD83BCC" w14:textId="77777777" w:rsidR="001F6249" w:rsidRPr="00B227DA" w:rsidRDefault="001F6249" w:rsidP="001F6249">
      <w:pPr>
        <w:rPr>
          <w:rFonts w:cs="Arial"/>
        </w:rPr>
      </w:pPr>
    </w:p>
    <w:p w14:paraId="0E7B05D0" w14:textId="77777777" w:rsidR="001F6249" w:rsidRPr="00B227DA" w:rsidRDefault="001F6249" w:rsidP="001F6249">
      <w:pPr>
        <w:rPr>
          <w:rFonts w:cs="Arial"/>
        </w:rPr>
      </w:pPr>
    </w:p>
    <w:p w14:paraId="209AA40D" w14:textId="77777777" w:rsidR="001F6249" w:rsidRPr="00B227DA" w:rsidRDefault="001F6249" w:rsidP="001F6249">
      <w:pPr>
        <w:rPr>
          <w:rFonts w:cs="Arial"/>
        </w:rPr>
      </w:pPr>
    </w:p>
    <w:p w14:paraId="679455FF" w14:textId="7468ADF6" w:rsidR="001F6249" w:rsidRPr="00B227DA" w:rsidRDefault="00A02061" w:rsidP="001F6249">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color w:val="000000" w:themeColor="text1"/>
          <w:szCs w:val="20"/>
        </w:rPr>
      </w:pPr>
      <w:r w:rsidRPr="00B227DA">
        <w:rPr>
          <w:rFonts w:asciiTheme="minorHAnsi" w:hAnsiTheme="minorHAnsi"/>
          <w:bCs/>
          <w:color w:val="000000" w:themeColor="text1"/>
          <w:szCs w:val="20"/>
        </w:rPr>
        <w:t xml:space="preserve">LA </w:t>
      </w:r>
      <w:r w:rsidR="001F6249" w:rsidRPr="00B227DA">
        <w:rPr>
          <w:rFonts w:asciiTheme="minorHAnsi" w:hAnsiTheme="minorHAnsi"/>
          <w:bCs/>
          <w:color w:val="000000" w:themeColor="text1"/>
          <w:szCs w:val="20"/>
        </w:rPr>
        <w:t>CONVENCIÓN SOBRE LOS HUMEDALES</w:t>
      </w:r>
    </w:p>
    <w:p w14:paraId="40B3F838" w14:textId="21B22AE9" w:rsidR="001F6249" w:rsidRPr="00B227DA" w:rsidRDefault="001072C1" w:rsidP="001F6249">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color w:val="000000" w:themeColor="text1"/>
          <w:szCs w:val="20"/>
        </w:rPr>
      </w:pPr>
      <w:r w:rsidRPr="00B227DA">
        <w:rPr>
          <w:rFonts w:asciiTheme="minorHAnsi" w:hAnsiTheme="minorHAnsi"/>
          <w:bCs/>
          <w:color w:val="000000" w:themeColor="text1"/>
          <w:szCs w:val="20"/>
        </w:rPr>
        <w:t>59</w:t>
      </w:r>
      <w:r w:rsidRPr="00B227DA">
        <w:rPr>
          <w:rFonts w:asciiTheme="minorHAnsi" w:hAnsiTheme="minorHAnsi"/>
          <w:bCs/>
          <w:color w:val="000000" w:themeColor="text1"/>
          <w:szCs w:val="20"/>
          <w:vertAlign w:val="superscript"/>
        </w:rPr>
        <w:t>a</w:t>
      </w:r>
      <w:r w:rsidRPr="00B227DA">
        <w:rPr>
          <w:rFonts w:asciiTheme="minorHAnsi" w:hAnsiTheme="minorHAnsi"/>
          <w:bCs/>
          <w:color w:val="000000" w:themeColor="text1"/>
          <w:szCs w:val="20"/>
        </w:rPr>
        <w:t xml:space="preserve"> </w:t>
      </w:r>
      <w:r w:rsidR="00A02061" w:rsidRPr="00B227DA">
        <w:rPr>
          <w:rFonts w:asciiTheme="minorHAnsi" w:hAnsiTheme="minorHAnsi"/>
          <w:bCs/>
          <w:color w:val="000000" w:themeColor="text1"/>
          <w:szCs w:val="20"/>
        </w:rPr>
        <w:t>R</w:t>
      </w:r>
      <w:r w:rsidRPr="00B227DA">
        <w:rPr>
          <w:rFonts w:asciiTheme="minorHAnsi" w:hAnsiTheme="minorHAnsi"/>
          <w:bCs/>
          <w:color w:val="000000" w:themeColor="text1"/>
          <w:szCs w:val="20"/>
        </w:rPr>
        <w:t>eunión del Comité Permanente</w:t>
      </w:r>
    </w:p>
    <w:p w14:paraId="53465B5A" w14:textId="1D82EB61" w:rsidR="001F6249" w:rsidRPr="00B227DA" w:rsidRDefault="001072C1" w:rsidP="001F6249">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color w:val="000000" w:themeColor="text1"/>
          <w:szCs w:val="20"/>
        </w:rPr>
      </w:pPr>
      <w:r w:rsidRPr="00B227DA">
        <w:rPr>
          <w:rFonts w:asciiTheme="minorHAnsi" w:hAnsiTheme="minorHAnsi"/>
          <w:bCs/>
          <w:color w:val="000000" w:themeColor="text1"/>
          <w:szCs w:val="20"/>
        </w:rPr>
        <w:t xml:space="preserve">Gland, Suiza, </w:t>
      </w:r>
      <w:r w:rsidR="00CC7607" w:rsidRPr="00B227DA">
        <w:rPr>
          <w:rFonts w:asciiTheme="minorHAnsi" w:hAnsiTheme="minorHAnsi"/>
          <w:bCs/>
          <w:iCs/>
          <w:color w:val="000000" w:themeColor="text1"/>
          <w:szCs w:val="20"/>
        </w:rPr>
        <w:t>21 a 25 de junio</w:t>
      </w:r>
      <w:r w:rsidRPr="00B227DA">
        <w:rPr>
          <w:rFonts w:asciiTheme="minorHAnsi" w:hAnsiTheme="minorHAnsi"/>
          <w:bCs/>
          <w:color w:val="000000" w:themeColor="text1"/>
          <w:szCs w:val="20"/>
        </w:rPr>
        <w:t xml:space="preserve"> de 2021</w:t>
      </w:r>
    </w:p>
    <w:p w14:paraId="4D2B71D2" w14:textId="77777777" w:rsidR="001F6249" w:rsidRPr="00B227DA" w:rsidRDefault="001F6249" w:rsidP="001F6249">
      <w:pPr>
        <w:rPr>
          <w:rFonts w:asciiTheme="minorHAnsi" w:hAnsiTheme="minorHAnsi"/>
          <w:sz w:val="28"/>
        </w:rPr>
      </w:pPr>
    </w:p>
    <w:p w14:paraId="16BA753C" w14:textId="34F5A242" w:rsidR="001F6249" w:rsidRPr="00B227DA" w:rsidRDefault="001F6249" w:rsidP="001F6249">
      <w:pPr>
        <w:jc w:val="right"/>
        <w:rPr>
          <w:rFonts w:asciiTheme="minorHAnsi" w:hAnsiTheme="minorHAnsi" w:cstheme="minorHAnsi"/>
          <w:b/>
          <w:sz w:val="28"/>
          <w:szCs w:val="28"/>
        </w:rPr>
      </w:pPr>
      <w:r w:rsidRPr="00B227DA">
        <w:rPr>
          <w:rFonts w:asciiTheme="minorHAnsi" w:hAnsiTheme="minorHAnsi"/>
          <w:b/>
          <w:sz w:val="28"/>
          <w:szCs w:val="28"/>
        </w:rPr>
        <w:t>SC59-xx</w:t>
      </w:r>
    </w:p>
    <w:p w14:paraId="0A304083" w14:textId="77777777" w:rsidR="001F6249" w:rsidRPr="00B227DA" w:rsidRDefault="001F6249" w:rsidP="001F6249">
      <w:pPr>
        <w:rPr>
          <w:rFonts w:asciiTheme="minorHAnsi" w:hAnsiTheme="minorHAnsi"/>
          <w:b/>
          <w:sz w:val="28"/>
          <w:szCs w:val="28"/>
        </w:rPr>
      </w:pPr>
    </w:p>
    <w:p w14:paraId="7827A087" w14:textId="3DC3734B" w:rsidR="001F6249" w:rsidRPr="00B227DA" w:rsidRDefault="001F6249" w:rsidP="001F6249">
      <w:pPr>
        <w:ind w:right="16"/>
        <w:jc w:val="center"/>
        <w:rPr>
          <w:rFonts w:asciiTheme="minorHAnsi" w:eastAsia="Times New Roman" w:hAnsiTheme="minorHAnsi"/>
          <w:sz w:val="28"/>
          <w:szCs w:val="28"/>
        </w:rPr>
      </w:pPr>
      <w:r w:rsidRPr="00B227DA">
        <w:rPr>
          <w:rFonts w:asciiTheme="minorHAnsi" w:hAnsiTheme="minorHAnsi"/>
          <w:b/>
          <w:bCs/>
          <w:sz w:val="28"/>
          <w:szCs w:val="28"/>
        </w:rPr>
        <w:t xml:space="preserve">Proyecto de resolución </w:t>
      </w:r>
      <w:r w:rsidR="00A02061" w:rsidRPr="00B227DA">
        <w:rPr>
          <w:rFonts w:asciiTheme="minorHAnsi" w:hAnsiTheme="minorHAnsi"/>
          <w:b/>
          <w:bCs/>
          <w:color w:val="000000" w:themeColor="text1"/>
          <w:sz w:val="28"/>
          <w:szCs w:val="28"/>
        </w:rPr>
        <w:t xml:space="preserve">propuesto </w:t>
      </w:r>
      <w:r w:rsidRPr="00B227DA">
        <w:rPr>
          <w:rFonts w:asciiTheme="minorHAnsi" w:hAnsiTheme="minorHAnsi"/>
          <w:b/>
          <w:bCs/>
          <w:sz w:val="28"/>
          <w:szCs w:val="28"/>
        </w:rPr>
        <w:t>sobre [</w:t>
      </w:r>
      <w:r w:rsidRPr="00B227DA">
        <w:rPr>
          <w:rFonts w:asciiTheme="minorHAnsi" w:hAnsiTheme="minorHAnsi"/>
          <w:b/>
          <w:bCs/>
          <w:color w:val="000000" w:themeColor="text1"/>
          <w:sz w:val="28"/>
          <w:szCs w:val="28"/>
          <w:u w:val="single"/>
        </w:rPr>
        <w:t>insertar tema</w:t>
      </w:r>
      <w:r w:rsidRPr="00B227DA">
        <w:rPr>
          <w:rFonts w:asciiTheme="minorHAnsi" w:hAnsiTheme="minorHAnsi"/>
          <w:b/>
          <w:bCs/>
          <w:sz w:val="28"/>
          <w:szCs w:val="28"/>
        </w:rPr>
        <w:t>]</w:t>
      </w:r>
    </w:p>
    <w:p w14:paraId="23464B10" w14:textId="77777777" w:rsidR="001F6249" w:rsidRPr="00B227DA" w:rsidRDefault="001F6249" w:rsidP="001F6249">
      <w:pPr>
        <w:jc w:val="right"/>
        <w:rPr>
          <w:rFonts w:asciiTheme="minorHAnsi" w:eastAsia="Times New Roman" w:hAnsiTheme="minorHAnsi"/>
          <w:b/>
          <w:sz w:val="28"/>
          <w:szCs w:val="28"/>
        </w:rPr>
      </w:pPr>
    </w:p>
    <w:p w14:paraId="5ABA6D91" w14:textId="77777777" w:rsidR="001F6249" w:rsidRPr="00B227DA" w:rsidRDefault="001F6249" w:rsidP="001F6249">
      <w:pPr>
        <w:ind w:right="16"/>
        <w:rPr>
          <w:rFonts w:asciiTheme="minorHAnsi" w:eastAsia="Times New Roman" w:hAnsiTheme="minorHAnsi"/>
          <w:i/>
        </w:rPr>
      </w:pPr>
      <w:r w:rsidRPr="00B227DA">
        <w:rPr>
          <w:rFonts w:asciiTheme="minorHAnsi" w:hAnsiTheme="minorHAnsi"/>
          <w:i/>
        </w:rPr>
        <w:t xml:space="preserve">Presentado por </w:t>
      </w:r>
      <w:r w:rsidRPr="00B227DA">
        <w:rPr>
          <w:rFonts w:asciiTheme="minorHAnsi" w:hAnsiTheme="minorHAnsi"/>
          <w:i/>
          <w:color w:val="000000" w:themeColor="text1"/>
        </w:rPr>
        <w:t>[</w:t>
      </w:r>
      <w:r w:rsidRPr="00B227DA">
        <w:rPr>
          <w:rFonts w:asciiTheme="minorHAnsi" w:hAnsiTheme="minorHAnsi"/>
          <w:i/>
          <w:color w:val="000000" w:themeColor="text1"/>
          <w:u w:val="single"/>
        </w:rPr>
        <w:t>insertar el nombre de la Parte Contratante</w:t>
      </w:r>
      <w:r w:rsidRPr="00B227DA">
        <w:rPr>
          <w:rFonts w:asciiTheme="minorHAnsi" w:hAnsiTheme="minorHAnsi"/>
          <w:i/>
        </w:rPr>
        <w:t>]</w:t>
      </w:r>
    </w:p>
    <w:p w14:paraId="3D0A3BD4" w14:textId="77777777" w:rsidR="001F6249" w:rsidRPr="00B227DA" w:rsidRDefault="001F6249" w:rsidP="001F6249">
      <w:pPr>
        <w:jc w:val="right"/>
        <w:rPr>
          <w:rFonts w:asciiTheme="minorHAnsi" w:eastAsia="Times New Roman" w:hAnsiTheme="minorHAnsi"/>
          <w:b/>
          <w:sz w:val="28"/>
          <w:szCs w:val="28"/>
        </w:rPr>
      </w:pPr>
    </w:p>
    <w:p w14:paraId="4CA5F9EC" w14:textId="77777777" w:rsidR="001F6249" w:rsidRPr="00B227DA" w:rsidRDefault="001F6249" w:rsidP="001F6249"/>
    <w:p w14:paraId="1671BEA2" w14:textId="77777777" w:rsidR="001F6249" w:rsidRPr="00B227DA" w:rsidRDefault="001F6249" w:rsidP="001F6249">
      <w:pPr>
        <w:jc w:val="both"/>
        <w:rPr>
          <w:rFonts w:asciiTheme="minorHAnsi" w:hAnsiTheme="minorHAnsi"/>
        </w:rPr>
      </w:pPr>
      <w:r w:rsidRPr="00B227DA">
        <w:rPr>
          <w:rFonts w:asciiTheme="minorHAnsi" w:hAnsiTheme="minorHAnsi"/>
          <w:noProof/>
          <w:lang w:val="en-GB" w:eastAsia="en-GB"/>
        </w:rPr>
        <mc:AlternateContent>
          <mc:Choice Requires="wps">
            <w:drawing>
              <wp:inline distT="0" distB="0" distL="0" distR="0" wp14:anchorId="1BB842E9" wp14:editId="06EBB4D2">
                <wp:extent cx="5820674" cy="991590"/>
                <wp:effectExtent l="0" t="0" r="2794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91590"/>
                        </a:xfrm>
                        <a:prstGeom prst="rect">
                          <a:avLst/>
                        </a:prstGeom>
                        <a:solidFill>
                          <a:srgbClr val="FFFFFF"/>
                        </a:solidFill>
                        <a:ln w="9525">
                          <a:solidFill>
                            <a:srgbClr val="000000"/>
                          </a:solidFill>
                          <a:miter lim="800000"/>
                          <a:headEnd/>
                          <a:tailEnd/>
                        </a:ln>
                      </wps:spPr>
                      <wps:txbx>
                        <w:txbxContent>
                          <w:p w14:paraId="37E39144" w14:textId="77777777" w:rsidR="008B52E0" w:rsidRPr="004D2D2D" w:rsidRDefault="008B52E0" w:rsidP="001F6249">
                            <w:pPr>
                              <w:rPr>
                                <w:rFonts w:asciiTheme="minorHAnsi" w:hAnsiTheme="minorHAnsi" w:cs="Calibri"/>
                                <w:b/>
                              </w:rPr>
                            </w:pPr>
                            <w:r>
                              <w:rPr>
                                <w:rFonts w:asciiTheme="minorHAnsi" w:hAnsiTheme="minorHAnsi"/>
                                <w:b/>
                              </w:rPr>
                              <w:t>Acción solicitada:</w:t>
                            </w:r>
                          </w:p>
                          <w:p w14:paraId="3048AACE" w14:textId="44138EDC" w:rsidR="008B52E0" w:rsidRPr="00170DB9" w:rsidRDefault="008B52E0" w:rsidP="001F6249">
                            <w:pPr>
                              <w:widowControl w:val="0"/>
                              <w:numPr>
                                <w:ilvl w:val="0"/>
                                <w:numId w:val="33"/>
                              </w:numPr>
                              <w:ind w:left="426" w:hanging="426"/>
                              <w:rPr>
                                <w:rFonts w:asciiTheme="minorHAnsi" w:hAnsiTheme="minorHAnsi"/>
                              </w:rPr>
                            </w:pPr>
                            <w:r w:rsidRPr="00170DB9">
                              <w:rPr>
                                <w:rFonts w:asciiTheme="minorHAnsi" w:hAnsiTheme="minorHAnsi"/>
                              </w:rPr>
                              <w:t>Se invita al Comité Permanente a examinar y aprobar el proyecto de resolución adjunto para su examen por la 14</w:t>
                            </w:r>
                            <w:r w:rsidRPr="00170DB9">
                              <w:rPr>
                                <w:rFonts w:asciiTheme="minorHAnsi" w:hAnsiTheme="minorHAnsi"/>
                                <w:vertAlign w:val="superscript"/>
                              </w:rPr>
                              <w:t>a</w:t>
                            </w:r>
                            <w:r w:rsidRPr="00170DB9">
                              <w:rPr>
                                <w:rFonts w:asciiTheme="minorHAnsi" w:hAnsiTheme="minorHAnsi"/>
                              </w:rPr>
                              <w:t xml:space="preserve"> reunión de la Conferencia de las Partes.</w:t>
                            </w:r>
                          </w:p>
                          <w:p w14:paraId="6ECD7727" w14:textId="77777777" w:rsidR="008B52E0" w:rsidRPr="00170DB9" w:rsidRDefault="008B52E0" w:rsidP="001F6249">
                            <w:pPr>
                              <w:widowControl w:val="0"/>
                              <w:ind w:left="426"/>
                              <w:rPr>
                                <w:rFonts w:asciiTheme="minorHAnsi" w:hAnsiTheme="minorHAnsi"/>
                              </w:rPr>
                            </w:pPr>
                          </w:p>
                          <w:p w14:paraId="5B60F699" w14:textId="77777777" w:rsidR="008B52E0" w:rsidRPr="00170DB9" w:rsidRDefault="008B52E0" w:rsidP="00A02061">
                            <w:pPr>
                              <w:widowControl w:val="0"/>
                              <w:rPr>
                                <w:rFonts w:asciiTheme="minorHAnsi" w:hAnsiTheme="minorHAnsi"/>
                              </w:rPr>
                            </w:pPr>
                            <w:r w:rsidRPr="00170DB9">
                              <w:rPr>
                                <w:rFonts w:asciiTheme="minorHAnsi" w:hAnsiTheme="minorHAnsi"/>
                              </w:rPr>
                              <w:t>[Insertar cualquier otra acción solicitada al Comité Permanente]</w:t>
                            </w:r>
                          </w:p>
                        </w:txbxContent>
                      </wps:txbx>
                      <wps:bodyPr rot="0" vert="horz" wrap="square" lIns="91440" tIns="45720" rIns="91440" bIns="45720" anchor="t" anchorCtr="0" upright="1">
                        <a:noAutofit/>
                      </wps:bodyPr>
                    </wps:wsp>
                  </a:graphicData>
                </a:graphic>
              </wp:inline>
            </w:drawing>
          </mc:Choice>
          <mc:Fallback>
            <w:pict>
              <v:shape w14:anchorId="1BB842E9" id="Text Box 2" o:spid="_x0000_s1027" type="#_x0000_t202" style="width:458.3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">
                <v:textbox>
                  <w:txbxContent>
                    <w:p w14:paraId="37E39144" w14:textId="77777777" w:rsidR="008B52E0" w:rsidRPr="004D2D2D" w:rsidRDefault="008B52E0" w:rsidP="001F6249">
                      <w:pPr>
                        <w:rPr>
                          <w:rFonts w:asciiTheme="minorHAnsi" w:hAnsiTheme="minorHAnsi" w:cs="Calibri"/>
                          <w:b/>
                        </w:rPr>
                      </w:pPr>
                      <w:r>
                        <w:rPr>
                          <w:rFonts w:asciiTheme="minorHAnsi" w:hAnsiTheme="minorHAnsi"/>
                          <w:b/>
                        </w:rPr>
                        <w:t>Acción solicitada:</w:t>
                      </w:r>
                    </w:p>
                    <w:p w14:paraId="3048AACE" w14:textId="44138EDC" w:rsidR="008B52E0" w:rsidRPr="00170DB9" w:rsidRDefault="008B52E0" w:rsidP="001F6249">
                      <w:pPr>
                        <w:widowControl w:val="0"/>
                        <w:numPr>
                          <w:ilvl w:val="0"/>
                          <w:numId w:val="33"/>
                        </w:numPr>
                        <w:ind w:left="426" w:hanging="426"/>
                        <w:rPr>
                          <w:rFonts w:asciiTheme="minorHAnsi" w:hAnsiTheme="minorHAnsi"/>
                        </w:rPr>
                      </w:pPr>
                      <w:r w:rsidRPr="00170DB9">
                        <w:rPr>
                          <w:rFonts w:asciiTheme="minorHAnsi" w:hAnsiTheme="minorHAnsi"/>
                        </w:rPr>
                        <w:t>Se invita al Comité Permanente a examinar y aprobar el proyecto de resolución adjunto para su examen por la 14</w:t>
                      </w:r>
                      <w:r w:rsidRPr="00170DB9">
                        <w:rPr>
                          <w:rFonts w:asciiTheme="minorHAnsi" w:hAnsiTheme="minorHAnsi"/>
                          <w:vertAlign w:val="superscript"/>
                        </w:rPr>
                        <w:t>a</w:t>
                      </w:r>
                      <w:r w:rsidRPr="00170DB9">
                        <w:rPr>
                          <w:rFonts w:asciiTheme="minorHAnsi" w:hAnsiTheme="minorHAnsi"/>
                        </w:rPr>
                        <w:t xml:space="preserve"> reunión de la Conferencia de las Partes.</w:t>
                      </w:r>
                    </w:p>
                    <w:p w14:paraId="6ECD7727" w14:textId="77777777" w:rsidR="008B52E0" w:rsidRPr="00170DB9" w:rsidRDefault="008B52E0" w:rsidP="001F6249">
                      <w:pPr>
                        <w:widowControl w:val="0"/>
                        <w:ind w:left="426"/>
                        <w:rPr>
                          <w:rFonts w:asciiTheme="minorHAnsi" w:hAnsiTheme="minorHAnsi"/>
                        </w:rPr>
                      </w:pPr>
                    </w:p>
                    <w:p w14:paraId="5B60F699" w14:textId="77777777" w:rsidR="008B52E0" w:rsidRPr="00170DB9" w:rsidRDefault="008B52E0" w:rsidP="00A02061">
                      <w:pPr>
                        <w:widowControl w:val="0"/>
                        <w:rPr>
                          <w:rFonts w:asciiTheme="minorHAnsi" w:hAnsiTheme="minorHAnsi"/>
                        </w:rPr>
                      </w:pPr>
                      <w:r w:rsidRPr="00170DB9">
                        <w:rPr>
                          <w:rFonts w:asciiTheme="minorHAnsi" w:hAnsiTheme="minorHAnsi"/>
                        </w:rPr>
                        <w:t>[Insertar cualquier otra acción solicitada al Comité Permanente]</w:t>
                      </w:r>
                    </w:p>
                  </w:txbxContent>
                </v:textbox>
                <w10:anchorlock/>
              </v:shape>
            </w:pict>
          </mc:Fallback>
        </mc:AlternateContent>
      </w:r>
    </w:p>
    <w:p w14:paraId="24AB15E9" w14:textId="77777777" w:rsidR="001F6249" w:rsidRPr="00B227DA" w:rsidRDefault="001F6249" w:rsidP="001F6249">
      <w:pPr>
        <w:rPr>
          <w:rFonts w:cs="Arial"/>
        </w:rPr>
      </w:pPr>
    </w:p>
    <w:p w14:paraId="527442F1" w14:textId="77777777" w:rsidR="001F6249" w:rsidRPr="00B227DA" w:rsidRDefault="001F6249" w:rsidP="001F6249">
      <w:pPr>
        <w:rPr>
          <w:rFonts w:cs="Arial"/>
          <w:b/>
        </w:rPr>
      </w:pPr>
    </w:p>
    <w:p w14:paraId="5138F356" w14:textId="77777777" w:rsidR="001F6249" w:rsidRPr="00B227DA" w:rsidRDefault="001F6249" w:rsidP="001F6249">
      <w:pPr>
        <w:rPr>
          <w:rFonts w:cs="Arial"/>
          <w:b/>
        </w:rPr>
      </w:pPr>
      <w:r w:rsidRPr="00B227DA">
        <w:rPr>
          <w:b/>
        </w:rPr>
        <w:t>Introducción</w:t>
      </w:r>
    </w:p>
    <w:p w14:paraId="10DC17A4" w14:textId="77777777" w:rsidR="001F6249" w:rsidRPr="00B227DA" w:rsidRDefault="001F6249" w:rsidP="001F6249">
      <w:pPr>
        <w:rPr>
          <w:rFonts w:cs="Arial"/>
        </w:rPr>
      </w:pPr>
    </w:p>
    <w:p w14:paraId="6683A98B" w14:textId="7E35F257" w:rsidR="001F6249" w:rsidRPr="00B227DA" w:rsidRDefault="00170DB9" w:rsidP="001F6249">
      <w:pPr>
        <w:rPr>
          <w:rFonts w:cs="Arial"/>
          <w:i/>
        </w:rPr>
      </w:pPr>
      <w:r w:rsidRPr="00B227DA">
        <w:rPr>
          <w:i/>
          <w:color w:val="000000" w:themeColor="text1"/>
        </w:rPr>
        <w:t>Breve i</w:t>
      </w:r>
      <w:r w:rsidR="001F6249" w:rsidRPr="00B227DA">
        <w:rPr>
          <w:i/>
          <w:color w:val="000000" w:themeColor="text1"/>
        </w:rPr>
        <w:t xml:space="preserve">nformación </w:t>
      </w:r>
      <w:r w:rsidR="00A02061" w:rsidRPr="00B227DA">
        <w:rPr>
          <w:i/>
          <w:color w:val="000000" w:themeColor="text1"/>
        </w:rPr>
        <w:t xml:space="preserve">de antecedentes o de contexto </w:t>
      </w:r>
      <w:r w:rsidRPr="00B227DA">
        <w:rPr>
          <w:i/>
          <w:color w:val="000000" w:themeColor="text1"/>
        </w:rPr>
        <w:t>para el C</w:t>
      </w:r>
      <w:r w:rsidR="001F6249" w:rsidRPr="00B227DA">
        <w:rPr>
          <w:i/>
        </w:rPr>
        <w:t xml:space="preserve">omité Permanente </w:t>
      </w:r>
    </w:p>
    <w:p w14:paraId="30B3AA27" w14:textId="77777777" w:rsidR="001F6249" w:rsidRPr="00B227DA" w:rsidRDefault="001F6249" w:rsidP="001F6249">
      <w:pPr>
        <w:rPr>
          <w:rFonts w:cs="Arial"/>
        </w:rPr>
      </w:pPr>
    </w:p>
    <w:p w14:paraId="77935F06" w14:textId="77777777" w:rsidR="001F6249" w:rsidRPr="00B227DA" w:rsidRDefault="001F6249" w:rsidP="001F6249">
      <w:pPr>
        <w:rPr>
          <w:rFonts w:cs="Arial"/>
          <w:i/>
        </w:rPr>
      </w:pPr>
      <w:r w:rsidRPr="00B227DA">
        <w:rPr>
          <w:i/>
        </w:rPr>
        <w:t>Repercusiones financieras de la aplicación</w:t>
      </w:r>
    </w:p>
    <w:p w14:paraId="6BB1669B" w14:textId="77777777" w:rsidR="001F6249" w:rsidRPr="00B227DA" w:rsidRDefault="001F6249" w:rsidP="001F6249">
      <w:pPr>
        <w:rPr>
          <w:rFonts w:cs="Arial"/>
        </w:rPr>
      </w:pPr>
    </w:p>
    <w:tbl>
      <w:tblPr>
        <w:tblStyle w:val="TableGrid"/>
        <w:tblW w:w="0" w:type="auto"/>
        <w:tblLook w:val="04A0" w:firstRow="1" w:lastRow="0" w:firstColumn="1" w:lastColumn="0" w:noHBand="0" w:noVBand="1"/>
      </w:tblPr>
      <w:tblGrid>
        <w:gridCol w:w="2580"/>
        <w:gridCol w:w="4352"/>
        <w:gridCol w:w="2084"/>
      </w:tblGrid>
      <w:tr w:rsidR="001F6249" w:rsidRPr="00B227DA" w14:paraId="7A71AF7F" w14:textId="77777777" w:rsidTr="008B52E0">
        <w:tc>
          <w:tcPr>
            <w:tcW w:w="2628" w:type="dxa"/>
          </w:tcPr>
          <w:p w14:paraId="0FBA4B36" w14:textId="77777777" w:rsidR="001F6249" w:rsidRPr="00B227DA" w:rsidRDefault="001F6249" w:rsidP="008B52E0">
            <w:pPr>
              <w:contextualSpacing/>
              <w:rPr>
                <w:rFonts w:cs="Arial"/>
              </w:rPr>
            </w:pPr>
            <w:r w:rsidRPr="00B227DA">
              <w:t>Párrafo (número y parte principal del texto)</w:t>
            </w:r>
          </w:p>
        </w:tc>
        <w:tc>
          <w:tcPr>
            <w:tcW w:w="4500" w:type="dxa"/>
          </w:tcPr>
          <w:p w14:paraId="78E416AD" w14:textId="77777777" w:rsidR="001F6249" w:rsidRPr="00B227DA" w:rsidRDefault="001F6249" w:rsidP="008B52E0">
            <w:pPr>
              <w:contextualSpacing/>
              <w:rPr>
                <w:rFonts w:cs="Arial"/>
              </w:rPr>
            </w:pPr>
            <w:r w:rsidRPr="00B227DA">
              <w:t xml:space="preserve">Acción </w:t>
            </w:r>
          </w:p>
        </w:tc>
        <w:tc>
          <w:tcPr>
            <w:tcW w:w="2114" w:type="dxa"/>
          </w:tcPr>
          <w:p w14:paraId="6146F6AA" w14:textId="77777777" w:rsidR="001F6249" w:rsidRPr="00B227DA" w:rsidRDefault="001F6249" w:rsidP="008B52E0">
            <w:pPr>
              <w:contextualSpacing/>
              <w:rPr>
                <w:rFonts w:cs="Arial"/>
              </w:rPr>
            </w:pPr>
            <w:r w:rsidRPr="00B227DA">
              <w:t>Costo (francos suizos)</w:t>
            </w:r>
          </w:p>
        </w:tc>
      </w:tr>
      <w:tr w:rsidR="001F6249" w:rsidRPr="00B227DA" w14:paraId="503300ED" w14:textId="77777777" w:rsidTr="008B52E0">
        <w:tc>
          <w:tcPr>
            <w:tcW w:w="2628" w:type="dxa"/>
          </w:tcPr>
          <w:p w14:paraId="76668FDF" w14:textId="77777777" w:rsidR="001F6249" w:rsidRPr="00B227DA" w:rsidRDefault="001F6249" w:rsidP="008B52E0">
            <w:pPr>
              <w:contextualSpacing/>
              <w:rPr>
                <w:rFonts w:cs="Arial"/>
              </w:rPr>
            </w:pPr>
          </w:p>
        </w:tc>
        <w:tc>
          <w:tcPr>
            <w:tcW w:w="4500" w:type="dxa"/>
          </w:tcPr>
          <w:p w14:paraId="57AA5E37" w14:textId="77777777" w:rsidR="001F6249" w:rsidRPr="00B227DA" w:rsidRDefault="001F6249" w:rsidP="008B52E0">
            <w:pPr>
              <w:contextualSpacing/>
              <w:rPr>
                <w:rFonts w:cs="Arial"/>
              </w:rPr>
            </w:pPr>
          </w:p>
        </w:tc>
        <w:tc>
          <w:tcPr>
            <w:tcW w:w="2114" w:type="dxa"/>
          </w:tcPr>
          <w:p w14:paraId="3DED35BA" w14:textId="77777777" w:rsidR="001F6249" w:rsidRPr="00B227DA" w:rsidRDefault="001F6249" w:rsidP="008B52E0">
            <w:pPr>
              <w:contextualSpacing/>
              <w:rPr>
                <w:rFonts w:cs="Arial"/>
              </w:rPr>
            </w:pPr>
          </w:p>
        </w:tc>
      </w:tr>
      <w:tr w:rsidR="001F6249" w:rsidRPr="00B227DA" w14:paraId="36FC2E86" w14:textId="77777777" w:rsidTr="008B52E0">
        <w:tc>
          <w:tcPr>
            <w:tcW w:w="2628" w:type="dxa"/>
          </w:tcPr>
          <w:p w14:paraId="4FB77490" w14:textId="77777777" w:rsidR="001F6249" w:rsidRPr="00B227DA" w:rsidRDefault="001F6249" w:rsidP="008B52E0">
            <w:pPr>
              <w:contextualSpacing/>
              <w:rPr>
                <w:rFonts w:cs="Arial"/>
              </w:rPr>
            </w:pPr>
          </w:p>
        </w:tc>
        <w:tc>
          <w:tcPr>
            <w:tcW w:w="4500" w:type="dxa"/>
          </w:tcPr>
          <w:p w14:paraId="4BFFAACD" w14:textId="77777777" w:rsidR="001F6249" w:rsidRPr="00B227DA" w:rsidRDefault="001F6249" w:rsidP="008B52E0">
            <w:pPr>
              <w:contextualSpacing/>
              <w:rPr>
                <w:rFonts w:cs="Arial"/>
              </w:rPr>
            </w:pPr>
          </w:p>
        </w:tc>
        <w:tc>
          <w:tcPr>
            <w:tcW w:w="2114" w:type="dxa"/>
          </w:tcPr>
          <w:p w14:paraId="2A48694B" w14:textId="77777777" w:rsidR="001F6249" w:rsidRPr="00B227DA" w:rsidRDefault="001F6249" w:rsidP="008B52E0">
            <w:pPr>
              <w:contextualSpacing/>
              <w:rPr>
                <w:rFonts w:cs="Arial"/>
              </w:rPr>
            </w:pPr>
          </w:p>
        </w:tc>
      </w:tr>
      <w:tr w:rsidR="001F6249" w:rsidRPr="00B227DA" w14:paraId="6E75F0DE" w14:textId="77777777" w:rsidTr="008B52E0">
        <w:tc>
          <w:tcPr>
            <w:tcW w:w="2628" w:type="dxa"/>
          </w:tcPr>
          <w:p w14:paraId="0391A113" w14:textId="77777777" w:rsidR="001F6249" w:rsidRPr="00B227DA" w:rsidRDefault="001F6249" w:rsidP="008B52E0">
            <w:pPr>
              <w:contextualSpacing/>
              <w:rPr>
                <w:rFonts w:cs="Arial"/>
              </w:rPr>
            </w:pPr>
          </w:p>
        </w:tc>
        <w:tc>
          <w:tcPr>
            <w:tcW w:w="4500" w:type="dxa"/>
          </w:tcPr>
          <w:p w14:paraId="04DD19F1" w14:textId="77777777" w:rsidR="001F6249" w:rsidRPr="00B227DA" w:rsidRDefault="001F6249" w:rsidP="008B52E0">
            <w:pPr>
              <w:contextualSpacing/>
              <w:rPr>
                <w:rFonts w:cs="Arial"/>
              </w:rPr>
            </w:pPr>
          </w:p>
        </w:tc>
        <w:tc>
          <w:tcPr>
            <w:tcW w:w="2114" w:type="dxa"/>
          </w:tcPr>
          <w:p w14:paraId="3138E355" w14:textId="77777777" w:rsidR="001F6249" w:rsidRPr="00B227DA" w:rsidRDefault="001F6249" w:rsidP="008B52E0">
            <w:pPr>
              <w:contextualSpacing/>
              <w:rPr>
                <w:rFonts w:cs="Arial"/>
              </w:rPr>
            </w:pPr>
          </w:p>
        </w:tc>
      </w:tr>
      <w:tr w:rsidR="001F6249" w:rsidRPr="00B227DA" w14:paraId="179D0EBF" w14:textId="77777777" w:rsidTr="008B52E0">
        <w:tc>
          <w:tcPr>
            <w:tcW w:w="2628" w:type="dxa"/>
          </w:tcPr>
          <w:p w14:paraId="3DA66F4E" w14:textId="77777777" w:rsidR="001F6249" w:rsidRPr="00B227DA" w:rsidRDefault="001F6249" w:rsidP="008B52E0">
            <w:pPr>
              <w:contextualSpacing/>
              <w:rPr>
                <w:rFonts w:cs="Arial"/>
              </w:rPr>
            </w:pPr>
          </w:p>
        </w:tc>
        <w:tc>
          <w:tcPr>
            <w:tcW w:w="4500" w:type="dxa"/>
          </w:tcPr>
          <w:p w14:paraId="3508EA83" w14:textId="77777777" w:rsidR="001F6249" w:rsidRPr="00B227DA" w:rsidRDefault="001F6249" w:rsidP="008B52E0">
            <w:pPr>
              <w:contextualSpacing/>
              <w:rPr>
                <w:rFonts w:cs="Arial"/>
              </w:rPr>
            </w:pPr>
          </w:p>
        </w:tc>
        <w:tc>
          <w:tcPr>
            <w:tcW w:w="2114" w:type="dxa"/>
          </w:tcPr>
          <w:p w14:paraId="32198200" w14:textId="77777777" w:rsidR="001F6249" w:rsidRPr="00B227DA" w:rsidRDefault="001F6249" w:rsidP="008B52E0">
            <w:pPr>
              <w:contextualSpacing/>
              <w:rPr>
                <w:rFonts w:cs="Arial"/>
              </w:rPr>
            </w:pPr>
          </w:p>
        </w:tc>
      </w:tr>
    </w:tbl>
    <w:p w14:paraId="7F4B7991" w14:textId="77777777" w:rsidR="001F6249" w:rsidRPr="00B227DA" w:rsidRDefault="001F6249" w:rsidP="001F6249">
      <w:pPr>
        <w:rPr>
          <w:rFonts w:cs="Arial"/>
        </w:rPr>
      </w:pPr>
    </w:p>
    <w:p w14:paraId="0D83BB1F" w14:textId="77777777" w:rsidR="001F6249" w:rsidRPr="00B227DA" w:rsidRDefault="001F6249" w:rsidP="001F6249">
      <w:pPr>
        <w:rPr>
          <w:rFonts w:cs="Arial"/>
        </w:rPr>
      </w:pPr>
    </w:p>
    <w:p w14:paraId="11AE4917" w14:textId="3AEDD657" w:rsidR="001F6249" w:rsidRPr="00B227DA" w:rsidRDefault="001F6249" w:rsidP="001F6249">
      <w:pPr>
        <w:ind w:right="16"/>
        <w:rPr>
          <w:rFonts w:asciiTheme="minorHAnsi" w:eastAsia="Times New Roman" w:hAnsiTheme="minorHAnsi"/>
          <w:b/>
          <w:bCs/>
        </w:rPr>
      </w:pPr>
      <w:r w:rsidRPr="00B227DA">
        <w:rPr>
          <w:rFonts w:asciiTheme="minorHAnsi" w:hAnsiTheme="minorHAnsi"/>
          <w:b/>
          <w:bCs/>
        </w:rPr>
        <w:t xml:space="preserve">Proyecto de </w:t>
      </w:r>
      <w:r w:rsidRPr="00B227DA">
        <w:rPr>
          <w:rFonts w:asciiTheme="minorHAnsi" w:hAnsiTheme="minorHAnsi"/>
          <w:b/>
          <w:bCs/>
          <w:color w:val="000000" w:themeColor="text1"/>
        </w:rPr>
        <w:t xml:space="preserve">resolución </w:t>
      </w:r>
      <w:r w:rsidRPr="00B227DA">
        <w:rPr>
          <w:rFonts w:asciiTheme="minorHAnsi" w:hAnsiTheme="minorHAnsi"/>
          <w:b/>
          <w:bCs/>
        </w:rPr>
        <w:t>XIV.xx</w:t>
      </w:r>
    </w:p>
    <w:p w14:paraId="6636AD01" w14:textId="77777777" w:rsidR="001F6249" w:rsidRPr="00B227DA" w:rsidRDefault="001F6249" w:rsidP="001F6249">
      <w:pPr>
        <w:ind w:right="16"/>
        <w:rPr>
          <w:rFonts w:asciiTheme="minorHAnsi" w:eastAsia="Times New Roman" w:hAnsiTheme="minorHAnsi"/>
          <w:b/>
          <w:bCs/>
        </w:rPr>
      </w:pPr>
    </w:p>
    <w:p w14:paraId="5A97DB4D" w14:textId="77777777" w:rsidR="001F6249" w:rsidRPr="00B227DA" w:rsidRDefault="001F6249" w:rsidP="001F6249">
      <w:pPr>
        <w:ind w:right="16"/>
        <w:rPr>
          <w:rFonts w:asciiTheme="minorHAnsi" w:eastAsia="Times New Roman" w:hAnsiTheme="minorHAnsi"/>
          <w:b/>
          <w:bCs/>
        </w:rPr>
      </w:pPr>
      <w:r w:rsidRPr="00B227DA">
        <w:rPr>
          <w:rFonts w:asciiTheme="minorHAnsi" w:hAnsiTheme="minorHAnsi"/>
          <w:b/>
          <w:bCs/>
        </w:rPr>
        <w:t>[insertar tema]</w:t>
      </w:r>
    </w:p>
    <w:p w14:paraId="0EC4EDF2" w14:textId="77777777" w:rsidR="001F6249" w:rsidRPr="00B227DA" w:rsidRDefault="001F6249" w:rsidP="001F6249">
      <w:pPr>
        <w:ind w:right="16"/>
        <w:rPr>
          <w:rFonts w:asciiTheme="minorHAnsi" w:hAnsiTheme="minorHAnsi"/>
        </w:rPr>
      </w:pPr>
      <w:r w:rsidRPr="00B227DA">
        <w:rPr>
          <w:rFonts w:asciiTheme="minorHAnsi" w:hAnsiTheme="minorHAnsi"/>
        </w:rPr>
        <w:t xml:space="preserve"> </w:t>
      </w:r>
    </w:p>
    <w:p w14:paraId="33E90FA4" w14:textId="34C926C8" w:rsidR="001F6249" w:rsidRPr="00B227DA" w:rsidRDefault="001F6249" w:rsidP="001F6249">
      <w:r w:rsidRPr="00B227DA">
        <w:t>1.</w:t>
      </w:r>
      <w:r w:rsidRPr="00B227DA">
        <w:tab/>
        <w:t>RECORDANDO…;</w:t>
      </w:r>
      <w:r w:rsidR="00A02061" w:rsidRPr="00B227DA">
        <w:t xml:space="preserve"> [</w:t>
      </w:r>
      <w:r w:rsidR="00170DB9" w:rsidRPr="00B227DA">
        <w:t xml:space="preserve">con arreglo al </w:t>
      </w:r>
      <w:r w:rsidR="00A02061" w:rsidRPr="00B227DA">
        <w:rPr>
          <w:u w:val="single"/>
        </w:rPr>
        <w:t>párrafo 15</w:t>
      </w:r>
      <w:r w:rsidR="00A02061" w:rsidRPr="00B227DA">
        <w:t xml:space="preserve"> del Anexo 1]</w:t>
      </w:r>
    </w:p>
    <w:p w14:paraId="0F09DF4C" w14:textId="77777777" w:rsidR="001F6249" w:rsidRPr="00B227DA" w:rsidRDefault="001F6249" w:rsidP="001F6249"/>
    <w:p w14:paraId="08C81C7D" w14:textId="07918D3D" w:rsidR="001F6249" w:rsidRPr="00B227DA" w:rsidRDefault="001F6249" w:rsidP="001F6249">
      <w:r w:rsidRPr="00B227DA">
        <w:lastRenderedPageBreak/>
        <w:t>2.</w:t>
      </w:r>
      <w:r w:rsidRPr="00B227DA">
        <w:tab/>
        <w:t>RECO</w:t>
      </w:r>
      <w:r w:rsidR="00A02061" w:rsidRPr="00B227DA">
        <w:t>NOCIENDO/</w:t>
      </w:r>
      <w:r w:rsidR="00A02061" w:rsidRPr="00B227DA">
        <w:rPr>
          <w:color w:val="000000" w:themeColor="text1"/>
        </w:rPr>
        <w:t>OBSERVANDO/</w:t>
      </w:r>
      <w:r w:rsidR="00170DB9" w:rsidRPr="00B227DA">
        <w:rPr>
          <w:color w:val="000000" w:themeColor="text1"/>
        </w:rPr>
        <w:t>ACOGIENDO CON BENEPLÁCITO</w:t>
      </w:r>
      <w:r w:rsidR="00A02061" w:rsidRPr="00B227DA">
        <w:rPr>
          <w:color w:val="000000" w:themeColor="text1"/>
        </w:rPr>
        <w:t xml:space="preserve">/CONSCIENTE </w:t>
      </w:r>
      <w:r w:rsidR="00A02061" w:rsidRPr="00B227DA">
        <w:t>DE etc. …; (suprimir esta sección si no procede</w:t>
      </w:r>
      <w:r w:rsidR="006328CE" w:rsidRPr="00B227DA">
        <w:t>)</w:t>
      </w:r>
      <w:r w:rsidR="00A02061" w:rsidRPr="00B227DA">
        <w:t xml:space="preserve"> [con arreglo al </w:t>
      </w:r>
      <w:r w:rsidR="00A02061" w:rsidRPr="00B227DA">
        <w:rPr>
          <w:u w:val="single"/>
        </w:rPr>
        <w:t>párrafo 16</w:t>
      </w:r>
      <w:r w:rsidR="00A02061" w:rsidRPr="00B227DA">
        <w:t xml:space="preserve"> del Anexo 1]</w:t>
      </w:r>
    </w:p>
    <w:p w14:paraId="7FF98B86" w14:textId="77777777" w:rsidR="001F6249" w:rsidRPr="00B227DA" w:rsidRDefault="001F6249" w:rsidP="001F6249"/>
    <w:p w14:paraId="3EDA67B0" w14:textId="5A80B773" w:rsidR="00A02061" w:rsidRPr="00B227DA" w:rsidRDefault="001F6249" w:rsidP="00A02061">
      <w:r w:rsidRPr="00B227DA">
        <w:t>3.</w:t>
      </w:r>
      <w:r w:rsidRPr="00B227DA">
        <w:tab/>
      </w:r>
      <w:r w:rsidR="00A02061" w:rsidRPr="00B227DA">
        <w:t>RECONOCIENDO/OBSERVANDO/</w:t>
      </w:r>
      <w:r w:rsidR="000D7956" w:rsidRPr="00B227DA">
        <w:rPr>
          <w:color w:val="000000" w:themeColor="text1"/>
        </w:rPr>
        <w:t>ACOGIENDO CON BENEPLÁCITO</w:t>
      </w:r>
      <w:r w:rsidR="00A02061" w:rsidRPr="00B227DA">
        <w:t xml:space="preserve">/CONSCIENTE DE </w:t>
      </w:r>
      <w:r w:rsidR="000D7956" w:rsidRPr="00B227DA">
        <w:t xml:space="preserve">etc. </w:t>
      </w:r>
      <w:r w:rsidRPr="00B227DA">
        <w:t>…;</w:t>
      </w:r>
      <w:r w:rsidR="00A02061" w:rsidRPr="00B227DA">
        <w:t xml:space="preserve"> (suprimir esta sección si no procede</w:t>
      </w:r>
      <w:r w:rsidR="006328CE" w:rsidRPr="00B227DA">
        <w:t xml:space="preserve">) </w:t>
      </w:r>
      <w:r w:rsidR="00A02061" w:rsidRPr="00B227DA">
        <w:t xml:space="preserve">[con arreglo al </w:t>
      </w:r>
      <w:r w:rsidR="00A02061" w:rsidRPr="00B227DA">
        <w:rPr>
          <w:u w:val="single"/>
        </w:rPr>
        <w:t>párrafo 17</w:t>
      </w:r>
      <w:r w:rsidR="00A02061" w:rsidRPr="00B227DA">
        <w:t xml:space="preserve"> del Anexo 1]</w:t>
      </w:r>
    </w:p>
    <w:p w14:paraId="236A82A7" w14:textId="79DB3149" w:rsidR="001F6249" w:rsidRPr="00B227DA" w:rsidRDefault="001F6249" w:rsidP="001F6249"/>
    <w:p w14:paraId="4822F498" w14:textId="77777777" w:rsidR="001F6249" w:rsidRPr="00B227DA" w:rsidRDefault="001F6249" w:rsidP="001F6249">
      <w:pPr>
        <w:rPr>
          <w:highlight w:val="yellow"/>
        </w:rPr>
      </w:pPr>
    </w:p>
    <w:p w14:paraId="000E4057" w14:textId="77777777" w:rsidR="001F6249" w:rsidRPr="00B227DA" w:rsidRDefault="001F6249" w:rsidP="001F6249">
      <w:r w:rsidRPr="00B227DA">
        <w:t>4.</w:t>
      </w:r>
      <w:r w:rsidRPr="00B227DA">
        <w:tab/>
        <w:t>CONSCIENTE DE…:</w:t>
      </w:r>
    </w:p>
    <w:p w14:paraId="3DC70A45" w14:textId="77777777" w:rsidR="001F6249" w:rsidRPr="00B227DA" w:rsidRDefault="001F6249" w:rsidP="001F6249">
      <w:pPr>
        <w:pStyle w:val="ListParagraph"/>
        <w:ind w:left="360" w:firstLine="0"/>
        <w:rPr>
          <w:rFonts w:asciiTheme="minorHAnsi" w:eastAsia="Times New Roman" w:hAnsiTheme="minorHAnsi" w:cs="Calibri"/>
          <w:color w:val="000000"/>
        </w:rPr>
      </w:pPr>
    </w:p>
    <w:p w14:paraId="17E1C98B" w14:textId="77777777" w:rsidR="001F6249" w:rsidRPr="00B227DA" w:rsidRDefault="001F6249" w:rsidP="001F6249">
      <w:pPr>
        <w:ind w:left="850"/>
        <w:contextualSpacing/>
        <w:rPr>
          <w:rFonts w:cs="Arial"/>
        </w:rPr>
      </w:pPr>
      <w:r w:rsidRPr="00B227DA">
        <w:t>i.</w:t>
      </w:r>
      <w:r w:rsidRPr="00B227DA">
        <w:tab/>
        <w:t>Esto…;</w:t>
      </w:r>
    </w:p>
    <w:p w14:paraId="4BFD9DC1" w14:textId="77777777" w:rsidR="001F6249" w:rsidRPr="00B227DA" w:rsidRDefault="001F6249" w:rsidP="001F6249">
      <w:pPr>
        <w:ind w:left="850"/>
        <w:contextualSpacing/>
        <w:rPr>
          <w:rFonts w:cs="Arial"/>
        </w:rPr>
      </w:pPr>
    </w:p>
    <w:p w14:paraId="5B99E129" w14:textId="77777777" w:rsidR="001F6249" w:rsidRPr="00B227DA" w:rsidRDefault="001F6249" w:rsidP="001F6249">
      <w:pPr>
        <w:ind w:left="850"/>
        <w:contextualSpacing/>
        <w:rPr>
          <w:rFonts w:cs="Arial"/>
        </w:rPr>
      </w:pPr>
      <w:r w:rsidRPr="00B227DA">
        <w:t>ii.</w:t>
      </w:r>
      <w:r w:rsidRPr="00B227DA">
        <w:tab/>
        <w:t>Eso…; y</w:t>
      </w:r>
    </w:p>
    <w:p w14:paraId="395FB8E3" w14:textId="77777777" w:rsidR="001F6249" w:rsidRPr="00B227DA" w:rsidRDefault="001F6249" w:rsidP="001F6249">
      <w:pPr>
        <w:ind w:left="850"/>
        <w:contextualSpacing/>
        <w:rPr>
          <w:rFonts w:cs="Arial"/>
        </w:rPr>
      </w:pPr>
    </w:p>
    <w:p w14:paraId="2844B1E3" w14:textId="77777777" w:rsidR="001F6249" w:rsidRPr="00B227DA" w:rsidRDefault="001F6249" w:rsidP="001F6249">
      <w:pPr>
        <w:ind w:left="850"/>
        <w:contextualSpacing/>
        <w:rPr>
          <w:rFonts w:cs="Arial"/>
        </w:rPr>
      </w:pPr>
      <w:r w:rsidRPr="00B227DA">
        <w:t>iii.</w:t>
      </w:r>
      <w:r w:rsidRPr="00B227DA">
        <w:tab/>
        <w:t>Aquello…:</w:t>
      </w:r>
    </w:p>
    <w:p w14:paraId="6E6907A3" w14:textId="77777777" w:rsidR="001F6249" w:rsidRPr="00B227DA" w:rsidRDefault="001F6249" w:rsidP="001F6249">
      <w:pPr>
        <w:ind w:left="426" w:hanging="426"/>
        <w:rPr>
          <w:rFonts w:asciiTheme="minorHAnsi" w:eastAsia="Times New Roman" w:hAnsiTheme="minorHAnsi" w:cs="Calibri"/>
          <w:color w:val="000000"/>
        </w:rPr>
      </w:pPr>
    </w:p>
    <w:p w14:paraId="4E56DE91" w14:textId="77777777" w:rsidR="001F6249" w:rsidRPr="00B227DA" w:rsidRDefault="001F6249" w:rsidP="001F6249">
      <w:r w:rsidRPr="00B227DA">
        <w:t>5.</w:t>
      </w:r>
      <w:r w:rsidRPr="00B227DA">
        <w:tab/>
        <w:t>RECONOCIENDO…; y</w:t>
      </w:r>
    </w:p>
    <w:p w14:paraId="75A53F4F" w14:textId="77777777" w:rsidR="001F6249" w:rsidRPr="00B227DA" w:rsidRDefault="001F6249" w:rsidP="001F6249"/>
    <w:p w14:paraId="5F7AA359" w14:textId="77777777" w:rsidR="001F6249" w:rsidRPr="00B227DA" w:rsidRDefault="001F6249" w:rsidP="001F6249">
      <w:r w:rsidRPr="00B227DA">
        <w:t>6.</w:t>
      </w:r>
      <w:r w:rsidRPr="00B227DA">
        <w:tab/>
        <w:t>PREOCUPADA porque…;</w:t>
      </w:r>
    </w:p>
    <w:p w14:paraId="7ED96BAA" w14:textId="77777777" w:rsidR="001F6249" w:rsidRPr="00B227DA" w:rsidRDefault="001F6249" w:rsidP="001F6249">
      <w:pPr>
        <w:ind w:left="426" w:right="16" w:hanging="426"/>
        <w:rPr>
          <w:rFonts w:asciiTheme="minorHAnsi" w:hAnsiTheme="minorHAnsi"/>
        </w:rPr>
      </w:pPr>
    </w:p>
    <w:p w14:paraId="76044CE5" w14:textId="77777777" w:rsidR="001F6249" w:rsidRPr="00B227DA" w:rsidRDefault="001F6249" w:rsidP="001F6249">
      <w:pPr>
        <w:ind w:left="426" w:right="16" w:hanging="426"/>
        <w:jc w:val="center"/>
        <w:rPr>
          <w:rFonts w:asciiTheme="minorHAnsi" w:eastAsia="Times New Roman" w:hAnsiTheme="minorHAnsi"/>
        </w:rPr>
      </w:pPr>
      <w:r w:rsidRPr="00B227DA">
        <w:rPr>
          <w:rFonts w:asciiTheme="minorHAnsi" w:hAnsiTheme="minorHAnsi"/>
        </w:rPr>
        <w:t>LA CONFERENCIA DE LAS PARTES CONTRATANTES</w:t>
      </w:r>
    </w:p>
    <w:p w14:paraId="1E06DC03" w14:textId="77777777" w:rsidR="001F6249" w:rsidRPr="00B227DA" w:rsidRDefault="001F6249" w:rsidP="001F6249">
      <w:pPr>
        <w:ind w:left="426" w:right="16" w:hanging="426"/>
        <w:rPr>
          <w:rFonts w:asciiTheme="minorHAnsi" w:hAnsiTheme="minorHAnsi"/>
        </w:rPr>
      </w:pPr>
    </w:p>
    <w:p w14:paraId="08332B72" w14:textId="77777777" w:rsidR="001F6249" w:rsidRPr="00B227DA" w:rsidRDefault="001F6249" w:rsidP="001F6249">
      <w:r w:rsidRPr="00B227DA">
        <w:t>7.</w:t>
      </w:r>
      <w:r w:rsidRPr="00B227DA">
        <w:tab/>
        <w:t>AFIRMA…;</w:t>
      </w:r>
    </w:p>
    <w:p w14:paraId="2E166B6A" w14:textId="77777777" w:rsidR="001F6249" w:rsidRPr="00B227DA" w:rsidRDefault="001F6249" w:rsidP="001F6249">
      <w:pPr>
        <w:rPr>
          <w:highlight w:val="yellow"/>
        </w:rPr>
      </w:pPr>
    </w:p>
    <w:p w14:paraId="2D23816C" w14:textId="77777777" w:rsidR="001F6249" w:rsidRPr="00B227DA" w:rsidRDefault="001F6249" w:rsidP="001F6249">
      <w:r w:rsidRPr="00B227DA">
        <w:t>8.</w:t>
      </w:r>
      <w:r w:rsidRPr="00B227DA">
        <w:tab/>
        <w:t xml:space="preserve">PIDE…; </w:t>
      </w:r>
    </w:p>
    <w:p w14:paraId="4628E3C0" w14:textId="77777777" w:rsidR="001F6249" w:rsidRPr="00B227DA" w:rsidRDefault="001F6249" w:rsidP="001F6249"/>
    <w:p w14:paraId="29B61C96" w14:textId="77777777" w:rsidR="001F6249" w:rsidRPr="00B227DA" w:rsidRDefault="001F6249" w:rsidP="001F6249">
      <w:r w:rsidRPr="00B227DA">
        <w:t>9.</w:t>
      </w:r>
      <w:r w:rsidRPr="00B227DA">
        <w:tab/>
        <w:t>ALIENTA…;</w:t>
      </w:r>
    </w:p>
    <w:p w14:paraId="4A73662E" w14:textId="77777777" w:rsidR="001F6249" w:rsidRPr="00B227DA" w:rsidRDefault="001F6249" w:rsidP="001F6249"/>
    <w:p w14:paraId="4823DBAF" w14:textId="77777777" w:rsidR="001F6249" w:rsidRPr="00B227DA" w:rsidRDefault="001F6249" w:rsidP="001F6249">
      <w:r w:rsidRPr="00B227DA">
        <w:t>10.</w:t>
      </w:r>
      <w:r w:rsidRPr="00B227DA">
        <w:tab/>
        <w:t xml:space="preserve">ALIENTA TAMBIÉN…; </w:t>
      </w:r>
    </w:p>
    <w:p w14:paraId="22AFB4C6" w14:textId="77777777" w:rsidR="001F6249" w:rsidRPr="00B227DA" w:rsidRDefault="001F6249" w:rsidP="001F6249"/>
    <w:p w14:paraId="49B6CE7F" w14:textId="77777777" w:rsidR="001F6249" w:rsidRPr="00B227DA" w:rsidRDefault="001F6249" w:rsidP="001F6249">
      <w:r w:rsidRPr="00B227DA">
        <w:t>11.</w:t>
      </w:r>
      <w:r w:rsidRPr="00B227DA">
        <w:tab/>
        <w:t>INSTA …; y</w:t>
      </w:r>
    </w:p>
    <w:p w14:paraId="051CAB51" w14:textId="77777777" w:rsidR="001F6249" w:rsidRPr="00B227DA" w:rsidRDefault="001F6249" w:rsidP="001F6249"/>
    <w:p w14:paraId="57C71F4A" w14:textId="19192CF7" w:rsidR="00C15D60" w:rsidRPr="00B227DA" w:rsidRDefault="001F6249" w:rsidP="007D3CA3">
      <w:r w:rsidRPr="00B227DA">
        <w:t>12.</w:t>
      </w:r>
      <w:r w:rsidR="006A13D4" w:rsidRPr="00B227DA">
        <w:tab/>
      </w:r>
      <w:r w:rsidRPr="00B227DA">
        <w:t>EXHORTA…</w:t>
      </w:r>
      <w:r w:rsidR="000D7956" w:rsidRPr="00B227DA">
        <w:t xml:space="preserve"> .</w:t>
      </w:r>
    </w:p>
    <w:p w14:paraId="549DEAE4" w14:textId="49491354" w:rsidR="00A02061" w:rsidRPr="00B227DA" w:rsidRDefault="00A02061" w:rsidP="007D3CA3"/>
    <w:p w14:paraId="137769F1" w14:textId="6511147B" w:rsidR="00A02061" w:rsidRPr="00B227DA" w:rsidRDefault="00A02061" w:rsidP="007D3CA3">
      <w:r w:rsidRPr="00B227DA">
        <w:t>13.</w:t>
      </w:r>
      <w:r w:rsidR="006A13D4" w:rsidRPr="00B227DA">
        <w:tab/>
      </w:r>
      <w:r w:rsidRPr="00B227DA">
        <w:t>INVITA a las Organizaciones Internacionales Asociadas a…</w:t>
      </w:r>
    </w:p>
    <w:p w14:paraId="4CB579F9" w14:textId="69152716" w:rsidR="00A02061" w:rsidRPr="00B227DA" w:rsidRDefault="00A02061" w:rsidP="007D3CA3"/>
    <w:p w14:paraId="6B896AD4" w14:textId="428C98CB" w:rsidR="00A02061" w:rsidRPr="00B227DA" w:rsidRDefault="00A02061" w:rsidP="007D3CA3">
      <w:r w:rsidRPr="00B227DA">
        <w:t>14.</w:t>
      </w:r>
      <w:r w:rsidR="006A13D4" w:rsidRPr="00B227DA">
        <w:tab/>
      </w:r>
      <w:r w:rsidRPr="00B227DA">
        <w:t>ENCARGA a la Secretaría que…</w:t>
      </w:r>
    </w:p>
    <w:p w14:paraId="26CE7233" w14:textId="58FFC8D2" w:rsidR="00CC7607" w:rsidRPr="00B227DA" w:rsidRDefault="00CC7607" w:rsidP="007D3CA3"/>
    <w:p w14:paraId="67C80644" w14:textId="01D2EA82" w:rsidR="00CC7607" w:rsidRPr="00B227DA" w:rsidRDefault="00CC7607" w:rsidP="007D3CA3">
      <w:r w:rsidRPr="00B227DA">
        <w:t xml:space="preserve">15. </w:t>
      </w:r>
      <w:r w:rsidRPr="00B227DA">
        <w:tab/>
        <w:t xml:space="preserve">CONFIRMA que la presente resolución </w:t>
      </w:r>
      <w:r w:rsidR="003A3207" w:rsidRPr="00B227DA">
        <w:t>reemplaza</w:t>
      </w:r>
      <w:r w:rsidRPr="00B227DA">
        <w:t xml:space="preserve"> [</w:t>
      </w:r>
      <w:r w:rsidR="003A3207" w:rsidRPr="00B227DA">
        <w:t>al</w:t>
      </w:r>
      <w:r w:rsidRPr="00B227DA">
        <w:t xml:space="preserve"> párrafo x de]</w:t>
      </w:r>
      <w:r w:rsidR="00B227DA" w:rsidRPr="00B227DA">
        <w:t>[a]</w:t>
      </w:r>
      <w:r w:rsidRPr="00B227DA">
        <w:t xml:space="preserve"> la Resolución XX.yy, que queda retirad</w:t>
      </w:r>
      <w:r w:rsidR="00B227DA" w:rsidRPr="00B227DA">
        <w:t>a [retirado]</w:t>
      </w:r>
      <w:r w:rsidRPr="00B227DA">
        <w:t>.</w:t>
      </w:r>
    </w:p>
    <w:p w14:paraId="3C6CD7B6" w14:textId="166D5C78" w:rsidR="00CC7607" w:rsidRPr="00B227DA" w:rsidRDefault="00CC7607" w:rsidP="00CC7607">
      <w:r w:rsidRPr="00B227DA">
        <w:t>o</w:t>
      </w:r>
    </w:p>
    <w:p w14:paraId="16487D59" w14:textId="18037BBE" w:rsidR="00CC7607" w:rsidRPr="00B227DA" w:rsidRDefault="00CC7607" w:rsidP="00CC7607">
      <w:r w:rsidRPr="00B227DA">
        <w:tab/>
        <w:t xml:space="preserve">CONFIRMA que el presente texto actualizado y sus anexos </w:t>
      </w:r>
      <w:r w:rsidR="00B227DA" w:rsidRPr="00B227DA">
        <w:t xml:space="preserve">sustituyen a </w:t>
      </w:r>
      <w:r w:rsidRPr="00B227DA">
        <w:t xml:space="preserve">los que fueron adoptados </w:t>
      </w:r>
      <w:r w:rsidR="00B227DA" w:rsidRPr="00B227DA">
        <w:t>como</w:t>
      </w:r>
      <w:r w:rsidRPr="00B227DA">
        <w:t xml:space="preserve"> Resolución XX.yy, </w:t>
      </w:r>
      <w:r w:rsidR="00B227DA" w:rsidRPr="00B227DA">
        <w:t xml:space="preserve">que es reemplazada </w:t>
      </w:r>
      <w:r w:rsidRPr="00B227DA">
        <w:t>por la presente resolución.</w:t>
      </w:r>
    </w:p>
    <w:p w14:paraId="2534B9E4" w14:textId="62869853" w:rsidR="00CC7607" w:rsidRPr="00B227DA" w:rsidRDefault="00CC7607" w:rsidP="00CC7607">
      <w:r w:rsidRPr="00B227DA">
        <w:t>o</w:t>
      </w:r>
    </w:p>
    <w:p w14:paraId="608EA31C" w14:textId="7FA0E871" w:rsidR="00CC7607" w:rsidRPr="00B227DA" w:rsidRDefault="00CC7607" w:rsidP="00CC7607">
      <w:r w:rsidRPr="00B227DA">
        <w:tab/>
        <w:t xml:space="preserve">CONFIRMA que las orientaciones anexas a la presente resolución </w:t>
      </w:r>
      <w:r w:rsidR="00B227DA" w:rsidRPr="00B227DA">
        <w:t xml:space="preserve">reemplazan </w:t>
      </w:r>
      <w:r w:rsidRPr="00B227DA">
        <w:t>a las orientaciones anteriores sobre esta cuestión, adoptadas como Anexo x de la Resolución XX.yy.</w:t>
      </w:r>
    </w:p>
    <w:p w14:paraId="4F35EB09" w14:textId="77777777" w:rsidR="00CC7607" w:rsidRPr="00B227DA" w:rsidRDefault="00CC7607" w:rsidP="00CC7607"/>
    <w:sectPr w:rsidR="00CC7607" w:rsidRPr="00B227DA" w:rsidSect="002137E0">
      <w:headerReference w:type="default" r:id="rId13"/>
      <w:footerReference w:type="defaul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AF8C5" w14:textId="77777777" w:rsidR="00F64A1F" w:rsidRDefault="00F64A1F" w:rsidP="00DF2386">
      <w:r>
        <w:separator/>
      </w:r>
    </w:p>
  </w:endnote>
  <w:endnote w:type="continuationSeparator" w:id="0">
    <w:p w14:paraId="6B84F037" w14:textId="77777777" w:rsidR="00F64A1F" w:rsidRDefault="00F64A1F"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6E41" w14:textId="0BFB2C9B" w:rsidR="008B52E0" w:rsidRDefault="008B52E0" w:rsidP="002137E0">
    <w:pPr>
      <w:pStyle w:val="Header"/>
      <w:rPr>
        <w:noProof/>
      </w:rPr>
    </w:pPr>
    <w:r>
      <w:rPr>
        <w:sz w:val="20"/>
        <w:szCs w:val="20"/>
      </w:rPr>
      <w:t>SC58 Doc.20.4 Rev.</w:t>
    </w:r>
    <w:r w:rsidR="005205AA">
      <w:rPr>
        <w:sz w:val="20"/>
        <w:szCs w:val="20"/>
      </w:rPr>
      <w:t>5</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5205AA">
          <w:rPr>
            <w:noProof/>
            <w:sz w:val="20"/>
            <w:szCs w:val="20"/>
          </w:rPr>
          <w:t>11</w:t>
        </w:r>
        <w:r w:rsidRPr="00F344DE">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15C24" w14:textId="77777777" w:rsidR="00F64A1F" w:rsidRDefault="00F64A1F" w:rsidP="00DF2386">
      <w:r>
        <w:separator/>
      </w:r>
    </w:p>
  </w:footnote>
  <w:footnote w:type="continuationSeparator" w:id="0">
    <w:p w14:paraId="452DABF3" w14:textId="77777777" w:rsidR="00F64A1F" w:rsidRDefault="00F64A1F"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797C" w14:textId="77777777" w:rsidR="008B52E0" w:rsidRDefault="008B52E0">
    <w:pPr>
      <w:pStyle w:val="Header"/>
    </w:pPr>
  </w:p>
  <w:p w14:paraId="1F5852A8" w14:textId="77777777" w:rsidR="008B52E0" w:rsidRDefault="008B5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5528F"/>
    <w:multiLevelType w:val="hybridMultilevel"/>
    <w:tmpl w:val="69624B2C"/>
    <w:lvl w:ilvl="0" w:tplc="0ADAB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A8C1BBB"/>
    <w:multiLevelType w:val="hybridMultilevel"/>
    <w:tmpl w:val="3F88C478"/>
    <w:lvl w:ilvl="0" w:tplc="0DAE333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701980"/>
    <w:multiLevelType w:val="hybridMultilevel"/>
    <w:tmpl w:val="D6F892B2"/>
    <w:lvl w:ilvl="0" w:tplc="08090001">
      <w:start w:val="1"/>
      <w:numFmt w:val="bullet"/>
      <w:lvlText w:val=""/>
      <w:lvlJc w:val="left"/>
      <w:pPr>
        <w:ind w:left="1146" w:hanging="360"/>
      </w:pPr>
      <w:rPr>
        <w:rFonts w:ascii="Symbol" w:hAnsi="Symbol"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4"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5"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FB7491"/>
    <w:multiLevelType w:val="hybridMultilevel"/>
    <w:tmpl w:val="7278DC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A851F7F"/>
    <w:multiLevelType w:val="hybridMultilevel"/>
    <w:tmpl w:val="09E8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246408"/>
    <w:multiLevelType w:val="hybridMultilevel"/>
    <w:tmpl w:val="C2C0DC38"/>
    <w:lvl w:ilvl="0" w:tplc="2BBC53A8">
      <w:start w:val="15"/>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9"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1"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4"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E3C47"/>
    <w:multiLevelType w:val="hybridMultilevel"/>
    <w:tmpl w:val="52C8425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7B996FF6"/>
    <w:multiLevelType w:val="hybridMultilevel"/>
    <w:tmpl w:val="3758835A"/>
    <w:lvl w:ilvl="0" w:tplc="C9E03504">
      <w:numFmt w:val="bullet"/>
      <w:lvlText w:val="-"/>
      <w:lvlJc w:val="left"/>
      <w:pPr>
        <w:ind w:left="786" w:hanging="360"/>
      </w:pPr>
      <w:rPr>
        <w:rFonts w:ascii="Calibri" w:eastAsia="Calibr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2"/>
  </w:num>
  <w:num w:numId="7">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6"/>
  </w:num>
  <w:num w:numId="13">
    <w:abstractNumId w:val="22"/>
  </w:num>
  <w:num w:numId="14">
    <w:abstractNumId w:val="15"/>
  </w:num>
  <w:num w:numId="15">
    <w:abstractNumId w:val="2"/>
  </w:num>
  <w:num w:numId="16">
    <w:abstractNumId w:val="18"/>
  </w:num>
  <w:num w:numId="17">
    <w:abstractNumId w:val="25"/>
  </w:num>
  <w:num w:numId="18">
    <w:abstractNumId w:val="37"/>
  </w:num>
  <w:num w:numId="19">
    <w:abstractNumId w:val="34"/>
  </w:num>
  <w:num w:numId="20">
    <w:abstractNumId w:val="28"/>
  </w:num>
  <w:num w:numId="21">
    <w:abstractNumId w:val="30"/>
  </w:num>
  <w:num w:numId="22">
    <w:abstractNumId w:val="20"/>
  </w:num>
  <w:num w:numId="23">
    <w:abstractNumId w:val="27"/>
  </w:num>
  <w:num w:numId="24">
    <w:abstractNumId w:val="23"/>
  </w:num>
  <w:num w:numId="25">
    <w:abstractNumId w:val="33"/>
  </w:num>
  <w:num w:numId="26">
    <w:abstractNumId w:val="12"/>
  </w:num>
  <w:num w:numId="27">
    <w:abstractNumId w:val="0"/>
  </w:num>
  <w:num w:numId="28">
    <w:abstractNumId w:val="14"/>
  </w:num>
  <w:num w:numId="29">
    <w:abstractNumId w:val="4"/>
  </w:num>
  <w:num w:numId="30">
    <w:abstractNumId w:val="8"/>
  </w:num>
  <w:num w:numId="31">
    <w:abstractNumId w:val="16"/>
  </w:num>
  <w:num w:numId="32">
    <w:abstractNumId w:val="31"/>
  </w:num>
  <w:num w:numId="33">
    <w:abstractNumId w:val="19"/>
  </w:num>
  <w:num w:numId="34">
    <w:abstractNumId w:val="3"/>
  </w:num>
  <w:num w:numId="35">
    <w:abstractNumId w:val="5"/>
  </w:num>
  <w:num w:numId="36">
    <w:abstractNumId w:val="26"/>
  </w:num>
  <w:num w:numId="37">
    <w:abstractNumId w:val="35"/>
  </w:num>
  <w:num w:numId="38">
    <w:abstractNumId w:val="36"/>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ES" w:vendorID="64" w:dllVersion="4096" w:nlCheck="1" w:checkStyle="0"/>
  <w:activeWritingStyle w:appName="MSWord" w:lang="es-ES" w:vendorID="64" w:dllVersion="131078" w:nlCheck="1" w:checkStyle="0"/>
  <w:activeWritingStyle w:appName="MSWord" w:lang="fr-FR" w:vendorID="64" w:dllVersion="131078" w:nlCheck="1" w:checkStyle="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6F0"/>
    <w:rsid w:val="00014168"/>
    <w:rsid w:val="00017A16"/>
    <w:rsid w:val="000219A4"/>
    <w:rsid w:val="00026E09"/>
    <w:rsid w:val="00037CE0"/>
    <w:rsid w:val="00053929"/>
    <w:rsid w:val="00066E05"/>
    <w:rsid w:val="00074A85"/>
    <w:rsid w:val="00074DE8"/>
    <w:rsid w:val="000834D3"/>
    <w:rsid w:val="000854A4"/>
    <w:rsid w:val="00087347"/>
    <w:rsid w:val="00094D4A"/>
    <w:rsid w:val="00095EB9"/>
    <w:rsid w:val="000A3E3E"/>
    <w:rsid w:val="000A7C72"/>
    <w:rsid w:val="000B1692"/>
    <w:rsid w:val="000B47B5"/>
    <w:rsid w:val="000B4B13"/>
    <w:rsid w:val="000B5DAA"/>
    <w:rsid w:val="000C2489"/>
    <w:rsid w:val="000C2C3B"/>
    <w:rsid w:val="000C66D4"/>
    <w:rsid w:val="000D5C76"/>
    <w:rsid w:val="000D7956"/>
    <w:rsid w:val="000E2FA0"/>
    <w:rsid w:val="000E47E9"/>
    <w:rsid w:val="000F3F21"/>
    <w:rsid w:val="000F5108"/>
    <w:rsid w:val="001072C1"/>
    <w:rsid w:val="00115781"/>
    <w:rsid w:val="0012096C"/>
    <w:rsid w:val="00127828"/>
    <w:rsid w:val="00131D05"/>
    <w:rsid w:val="0013643D"/>
    <w:rsid w:val="00137224"/>
    <w:rsid w:val="00141F74"/>
    <w:rsid w:val="00147B25"/>
    <w:rsid w:val="001600E3"/>
    <w:rsid w:val="00161BDA"/>
    <w:rsid w:val="00170DB9"/>
    <w:rsid w:val="00171618"/>
    <w:rsid w:val="001819B1"/>
    <w:rsid w:val="00197318"/>
    <w:rsid w:val="001A2D10"/>
    <w:rsid w:val="001B357E"/>
    <w:rsid w:val="001C52C5"/>
    <w:rsid w:val="001C5E41"/>
    <w:rsid w:val="001C77BC"/>
    <w:rsid w:val="001C79EF"/>
    <w:rsid w:val="001D48BB"/>
    <w:rsid w:val="001E00E3"/>
    <w:rsid w:val="001F2349"/>
    <w:rsid w:val="001F2988"/>
    <w:rsid w:val="001F6249"/>
    <w:rsid w:val="001F7157"/>
    <w:rsid w:val="002005D2"/>
    <w:rsid w:val="002018DD"/>
    <w:rsid w:val="0020298B"/>
    <w:rsid w:val="00206111"/>
    <w:rsid w:val="00206FFD"/>
    <w:rsid w:val="002131A4"/>
    <w:rsid w:val="002137E0"/>
    <w:rsid w:val="00220C57"/>
    <w:rsid w:val="00225C6E"/>
    <w:rsid w:val="002275FA"/>
    <w:rsid w:val="00235D03"/>
    <w:rsid w:val="00241828"/>
    <w:rsid w:val="00250318"/>
    <w:rsid w:val="002741AC"/>
    <w:rsid w:val="00275F13"/>
    <w:rsid w:val="002819C0"/>
    <w:rsid w:val="002829A1"/>
    <w:rsid w:val="0028419A"/>
    <w:rsid w:val="0029196F"/>
    <w:rsid w:val="0029412F"/>
    <w:rsid w:val="00295556"/>
    <w:rsid w:val="00295BB5"/>
    <w:rsid w:val="002A5A4D"/>
    <w:rsid w:val="002A7953"/>
    <w:rsid w:val="002B4262"/>
    <w:rsid w:val="002C4AA3"/>
    <w:rsid w:val="002D5A4D"/>
    <w:rsid w:val="002E22AF"/>
    <w:rsid w:val="002E79B7"/>
    <w:rsid w:val="002F25E5"/>
    <w:rsid w:val="002F5B48"/>
    <w:rsid w:val="002F6155"/>
    <w:rsid w:val="002F7464"/>
    <w:rsid w:val="003211E4"/>
    <w:rsid w:val="00321F39"/>
    <w:rsid w:val="00324398"/>
    <w:rsid w:val="00325A5A"/>
    <w:rsid w:val="00326E60"/>
    <w:rsid w:val="00334E1D"/>
    <w:rsid w:val="00341D30"/>
    <w:rsid w:val="00375810"/>
    <w:rsid w:val="00384FC3"/>
    <w:rsid w:val="003952AA"/>
    <w:rsid w:val="0039671C"/>
    <w:rsid w:val="00397753"/>
    <w:rsid w:val="003A0FBE"/>
    <w:rsid w:val="003A3207"/>
    <w:rsid w:val="003A330A"/>
    <w:rsid w:val="003A3804"/>
    <w:rsid w:val="003A52BE"/>
    <w:rsid w:val="003A5866"/>
    <w:rsid w:val="003A6E9F"/>
    <w:rsid w:val="003B0C70"/>
    <w:rsid w:val="003B6D56"/>
    <w:rsid w:val="003C2D9F"/>
    <w:rsid w:val="003D4CD6"/>
    <w:rsid w:val="003E35FA"/>
    <w:rsid w:val="003E7B64"/>
    <w:rsid w:val="003F0678"/>
    <w:rsid w:val="003F3CB1"/>
    <w:rsid w:val="003F3DD1"/>
    <w:rsid w:val="00407ACE"/>
    <w:rsid w:val="00410D21"/>
    <w:rsid w:val="0041385E"/>
    <w:rsid w:val="004228C7"/>
    <w:rsid w:val="0042798B"/>
    <w:rsid w:val="00430ED5"/>
    <w:rsid w:val="00432CD7"/>
    <w:rsid w:val="00434913"/>
    <w:rsid w:val="0044349B"/>
    <w:rsid w:val="004474F8"/>
    <w:rsid w:val="00461085"/>
    <w:rsid w:val="00461633"/>
    <w:rsid w:val="00471AF8"/>
    <w:rsid w:val="004753CF"/>
    <w:rsid w:val="00475B14"/>
    <w:rsid w:val="00477550"/>
    <w:rsid w:val="00480DC6"/>
    <w:rsid w:val="004844A8"/>
    <w:rsid w:val="004956B4"/>
    <w:rsid w:val="00496803"/>
    <w:rsid w:val="004B0D37"/>
    <w:rsid w:val="004B300D"/>
    <w:rsid w:val="004B6688"/>
    <w:rsid w:val="004C228F"/>
    <w:rsid w:val="004D3DD0"/>
    <w:rsid w:val="004D535D"/>
    <w:rsid w:val="004E0DA4"/>
    <w:rsid w:val="004E2DCD"/>
    <w:rsid w:val="004E7217"/>
    <w:rsid w:val="004F2A84"/>
    <w:rsid w:val="00507EAD"/>
    <w:rsid w:val="00512AD7"/>
    <w:rsid w:val="005173B2"/>
    <w:rsid w:val="005205AA"/>
    <w:rsid w:val="005244A4"/>
    <w:rsid w:val="00527783"/>
    <w:rsid w:val="00533CD5"/>
    <w:rsid w:val="00533D52"/>
    <w:rsid w:val="00534144"/>
    <w:rsid w:val="00535047"/>
    <w:rsid w:val="0054341B"/>
    <w:rsid w:val="00545887"/>
    <w:rsid w:val="005556FF"/>
    <w:rsid w:val="005640EB"/>
    <w:rsid w:val="005727D2"/>
    <w:rsid w:val="00574960"/>
    <w:rsid w:val="005814B5"/>
    <w:rsid w:val="00596B13"/>
    <w:rsid w:val="00597A2F"/>
    <w:rsid w:val="005C2E0E"/>
    <w:rsid w:val="005D0276"/>
    <w:rsid w:val="005D3E9D"/>
    <w:rsid w:val="005D753D"/>
    <w:rsid w:val="005F740A"/>
    <w:rsid w:val="005F75AF"/>
    <w:rsid w:val="00617C40"/>
    <w:rsid w:val="006243DF"/>
    <w:rsid w:val="006256D3"/>
    <w:rsid w:val="00626E02"/>
    <w:rsid w:val="00627BB7"/>
    <w:rsid w:val="00630CD8"/>
    <w:rsid w:val="006328CE"/>
    <w:rsid w:val="00644A13"/>
    <w:rsid w:val="0065136E"/>
    <w:rsid w:val="006620AF"/>
    <w:rsid w:val="006706FB"/>
    <w:rsid w:val="00670D71"/>
    <w:rsid w:val="00673DC6"/>
    <w:rsid w:val="00676010"/>
    <w:rsid w:val="00687C9B"/>
    <w:rsid w:val="006959B5"/>
    <w:rsid w:val="006A13D4"/>
    <w:rsid w:val="006A32A4"/>
    <w:rsid w:val="006E5586"/>
    <w:rsid w:val="006E7DCE"/>
    <w:rsid w:val="006F0085"/>
    <w:rsid w:val="006F6364"/>
    <w:rsid w:val="00704E3E"/>
    <w:rsid w:val="007050FF"/>
    <w:rsid w:val="00737A15"/>
    <w:rsid w:val="00752764"/>
    <w:rsid w:val="00757369"/>
    <w:rsid w:val="00766962"/>
    <w:rsid w:val="00773A08"/>
    <w:rsid w:val="00775287"/>
    <w:rsid w:val="00776D27"/>
    <w:rsid w:val="00780A3C"/>
    <w:rsid w:val="007847AC"/>
    <w:rsid w:val="007855D7"/>
    <w:rsid w:val="00785C32"/>
    <w:rsid w:val="00797806"/>
    <w:rsid w:val="007B0D31"/>
    <w:rsid w:val="007B5E8D"/>
    <w:rsid w:val="007C1611"/>
    <w:rsid w:val="007D2B31"/>
    <w:rsid w:val="007D33F4"/>
    <w:rsid w:val="007D3CA3"/>
    <w:rsid w:val="007D6B41"/>
    <w:rsid w:val="007D6C78"/>
    <w:rsid w:val="007D7B15"/>
    <w:rsid w:val="007F3ABE"/>
    <w:rsid w:val="007F62C6"/>
    <w:rsid w:val="007F766D"/>
    <w:rsid w:val="00801C8C"/>
    <w:rsid w:val="00807DDC"/>
    <w:rsid w:val="008240B9"/>
    <w:rsid w:val="008269EB"/>
    <w:rsid w:val="0083271B"/>
    <w:rsid w:val="008328E9"/>
    <w:rsid w:val="00835BCB"/>
    <w:rsid w:val="00835CDC"/>
    <w:rsid w:val="00846CA6"/>
    <w:rsid w:val="00850B09"/>
    <w:rsid w:val="00851F8D"/>
    <w:rsid w:val="00855F57"/>
    <w:rsid w:val="00863B9D"/>
    <w:rsid w:val="00863BE6"/>
    <w:rsid w:val="008719EA"/>
    <w:rsid w:val="00871BA3"/>
    <w:rsid w:val="00872AE1"/>
    <w:rsid w:val="008775BC"/>
    <w:rsid w:val="0088122A"/>
    <w:rsid w:val="0088187D"/>
    <w:rsid w:val="0088298F"/>
    <w:rsid w:val="00882F1B"/>
    <w:rsid w:val="00884DE3"/>
    <w:rsid w:val="008853E0"/>
    <w:rsid w:val="00890D42"/>
    <w:rsid w:val="008934D9"/>
    <w:rsid w:val="008A0358"/>
    <w:rsid w:val="008A16B5"/>
    <w:rsid w:val="008A5567"/>
    <w:rsid w:val="008A70CE"/>
    <w:rsid w:val="008B52E0"/>
    <w:rsid w:val="008B585C"/>
    <w:rsid w:val="008C25E4"/>
    <w:rsid w:val="008C2DAE"/>
    <w:rsid w:val="008F3FC0"/>
    <w:rsid w:val="009059A9"/>
    <w:rsid w:val="00910546"/>
    <w:rsid w:val="00913F95"/>
    <w:rsid w:val="00915420"/>
    <w:rsid w:val="0092515E"/>
    <w:rsid w:val="00930DA2"/>
    <w:rsid w:val="00931865"/>
    <w:rsid w:val="009357F2"/>
    <w:rsid w:val="00937F43"/>
    <w:rsid w:val="009422E2"/>
    <w:rsid w:val="00942FBD"/>
    <w:rsid w:val="0094770B"/>
    <w:rsid w:val="00964F2E"/>
    <w:rsid w:val="00965535"/>
    <w:rsid w:val="009658BB"/>
    <w:rsid w:val="00970E35"/>
    <w:rsid w:val="00973518"/>
    <w:rsid w:val="009750D5"/>
    <w:rsid w:val="00984EEA"/>
    <w:rsid w:val="00991617"/>
    <w:rsid w:val="00997108"/>
    <w:rsid w:val="009A25A8"/>
    <w:rsid w:val="009B2267"/>
    <w:rsid w:val="009C5222"/>
    <w:rsid w:val="009D3FCE"/>
    <w:rsid w:val="009D6E68"/>
    <w:rsid w:val="009E0AE8"/>
    <w:rsid w:val="009E3963"/>
    <w:rsid w:val="009E533B"/>
    <w:rsid w:val="009E5374"/>
    <w:rsid w:val="009E6257"/>
    <w:rsid w:val="009F2D4B"/>
    <w:rsid w:val="009F345D"/>
    <w:rsid w:val="009F6830"/>
    <w:rsid w:val="00A02061"/>
    <w:rsid w:val="00A02675"/>
    <w:rsid w:val="00A10D43"/>
    <w:rsid w:val="00A13218"/>
    <w:rsid w:val="00A161D4"/>
    <w:rsid w:val="00A227A3"/>
    <w:rsid w:val="00A24441"/>
    <w:rsid w:val="00A32A0F"/>
    <w:rsid w:val="00A43C2E"/>
    <w:rsid w:val="00A43FAF"/>
    <w:rsid w:val="00A60B73"/>
    <w:rsid w:val="00A63CF4"/>
    <w:rsid w:val="00A76A03"/>
    <w:rsid w:val="00A80080"/>
    <w:rsid w:val="00A8092E"/>
    <w:rsid w:val="00A85468"/>
    <w:rsid w:val="00A92B90"/>
    <w:rsid w:val="00AA6B32"/>
    <w:rsid w:val="00AB4951"/>
    <w:rsid w:val="00AB53C4"/>
    <w:rsid w:val="00AC41DB"/>
    <w:rsid w:val="00AC536D"/>
    <w:rsid w:val="00AE0329"/>
    <w:rsid w:val="00B07386"/>
    <w:rsid w:val="00B11BF4"/>
    <w:rsid w:val="00B1281C"/>
    <w:rsid w:val="00B227DA"/>
    <w:rsid w:val="00B2498E"/>
    <w:rsid w:val="00B266DA"/>
    <w:rsid w:val="00B315A0"/>
    <w:rsid w:val="00B3301A"/>
    <w:rsid w:val="00B34A18"/>
    <w:rsid w:val="00B44396"/>
    <w:rsid w:val="00B468CE"/>
    <w:rsid w:val="00B52D18"/>
    <w:rsid w:val="00B542A7"/>
    <w:rsid w:val="00B579CB"/>
    <w:rsid w:val="00B626CD"/>
    <w:rsid w:val="00B65434"/>
    <w:rsid w:val="00B6743B"/>
    <w:rsid w:val="00B675B5"/>
    <w:rsid w:val="00B676D1"/>
    <w:rsid w:val="00B70083"/>
    <w:rsid w:val="00B728D7"/>
    <w:rsid w:val="00B83EF9"/>
    <w:rsid w:val="00B863A5"/>
    <w:rsid w:val="00BB28F6"/>
    <w:rsid w:val="00BB683E"/>
    <w:rsid w:val="00BC2609"/>
    <w:rsid w:val="00BC6BA7"/>
    <w:rsid w:val="00BD0F78"/>
    <w:rsid w:val="00BE1727"/>
    <w:rsid w:val="00BE5E9D"/>
    <w:rsid w:val="00BF1CF7"/>
    <w:rsid w:val="00BF2C17"/>
    <w:rsid w:val="00BF3C25"/>
    <w:rsid w:val="00C00883"/>
    <w:rsid w:val="00C0528F"/>
    <w:rsid w:val="00C07D75"/>
    <w:rsid w:val="00C07F48"/>
    <w:rsid w:val="00C13145"/>
    <w:rsid w:val="00C13381"/>
    <w:rsid w:val="00C15D60"/>
    <w:rsid w:val="00C249BE"/>
    <w:rsid w:val="00C24EC2"/>
    <w:rsid w:val="00C26CE6"/>
    <w:rsid w:val="00C33CC2"/>
    <w:rsid w:val="00C41160"/>
    <w:rsid w:val="00C4699C"/>
    <w:rsid w:val="00C563BA"/>
    <w:rsid w:val="00C577DA"/>
    <w:rsid w:val="00C623F0"/>
    <w:rsid w:val="00C73786"/>
    <w:rsid w:val="00C73A2F"/>
    <w:rsid w:val="00C7776B"/>
    <w:rsid w:val="00C77B82"/>
    <w:rsid w:val="00C85023"/>
    <w:rsid w:val="00C87BEE"/>
    <w:rsid w:val="00C87D68"/>
    <w:rsid w:val="00C94923"/>
    <w:rsid w:val="00C94E07"/>
    <w:rsid w:val="00C95830"/>
    <w:rsid w:val="00CA00DF"/>
    <w:rsid w:val="00CA24A6"/>
    <w:rsid w:val="00CB6E56"/>
    <w:rsid w:val="00CC7607"/>
    <w:rsid w:val="00CD07F7"/>
    <w:rsid w:val="00CE750F"/>
    <w:rsid w:val="00CF3CDC"/>
    <w:rsid w:val="00D01EBF"/>
    <w:rsid w:val="00D02ABF"/>
    <w:rsid w:val="00D118C0"/>
    <w:rsid w:val="00D123B1"/>
    <w:rsid w:val="00D160CB"/>
    <w:rsid w:val="00D20478"/>
    <w:rsid w:val="00D21055"/>
    <w:rsid w:val="00D21993"/>
    <w:rsid w:val="00D245A1"/>
    <w:rsid w:val="00D3265C"/>
    <w:rsid w:val="00D407F3"/>
    <w:rsid w:val="00D412CE"/>
    <w:rsid w:val="00D415E2"/>
    <w:rsid w:val="00D42055"/>
    <w:rsid w:val="00D442EA"/>
    <w:rsid w:val="00D44FAA"/>
    <w:rsid w:val="00D57D0E"/>
    <w:rsid w:val="00D647C3"/>
    <w:rsid w:val="00D6577A"/>
    <w:rsid w:val="00D75D55"/>
    <w:rsid w:val="00D80D00"/>
    <w:rsid w:val="00D844D3"/>
    <w:rsid w:val="00D9633A"/>
    <w:rsid w:val="00DA28FF"/>
    <w:rsid w:val="00DA43F0"/>
    <w:rsid w:val="00DB7963"/>
    <w:rsid w:val="00DD5651"/>
    <w:rsid w:val="00DD6128"/>
    <w:rsid w:val="00DE5383"/>
    <w:rsid w:val="00DF2386"/>
    <w:rsid w:val="00DF7D1B"/>
    <w:rsid w:val="00DF7FE7"/>
    <w:rsid w:val="00E01053"/>
    <w:rsid w:val="00E1063E"/>
    <w:rsid w:val="00E12090"/>
    <w:rsid w:val="00E14626"/>
    <w:rsid w:val="00E14D9C"/>
    <w:rsid w:val="00E4264F"/>
    <w:rsid w:val="00E46367"/>
    <w:rsid w:val="00E508E6"/>
    <w:rsid w:val="00E51BA9"/>
    <w:rsid w:val="00E56BC4"/>
    <w:rsid w:val="00E6394C"/>
    <w:rsid w:val="00E63F0B"/>
    <w:rsid w:val="00E72539"/>
    <w:rsid w:val="00E747B8"/>
    <w:rsid w:val="00E77F2D"/>
    <w:rsid w:val="00E8200E"/>
    <w:rsid w:val="00E8324C"/>
    <w:rsid w:val="00E9076E"/>
    <w:rsid w:val="00E9254C"/>
    <w:rsid w:val="00EA3A7F"/>
    <w:rsid w:val="00EA6BD2"/>
    <w:rsid w:val="00EB3479"/>
    <w:rsid w:val="00EB44AD"/>
    <w:rsid w:val="00EB58D7"/>
    <w:rsid w:val="00EB6477"/>
    <w:rsid w:val="00EB77E1"/>
    <w:rsid w:val="00EC39C2"/>
    <w:rsid w:val="00EC7D03"/>
    <w:rsid w:val="00EE5590"/>
    <w:rsid w:val="00F078F1"/>
    <w:rsid w:val="00F1492E"/>
    <w:rsid w:val="00F32D03"/>
    <w:rsid w:val="00F344DE"/>
    <w:rsid w:val="00F3524E"/>
    <w:rsid w:val="00F64A1F"/>
    <w:rsid w:val="00F73E71"/>
    <w:rsid w:val="00F75AE3"/>
    <w:rsid w:val="00F8218A"/>
    <w:rsid w:val="00F9085F"/>
    <w:rsid w:val="00F97A0A"/>
    <w:rsid w:val="00FA0203"/>
    <w:rsid w:val="00FB52AD"/>
    <w:rsid w:val="00FD73E7"/>
    <w:rsid w:val="00FE6D5F"/>
    <w:rsid w:val="00FF14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E0D98"/>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paragraph" w:styleId="NormalWeb">
    <w:name w:val="Normal (Web)"/>
    <w:basedOn w:val="Normal"/>
    <w:uiPriority w:val="99"/>
    <w:semiHidden/>
    <w:unhideWhenUsed/>
    <w:rsid w:val="00B2498E"/>
    <w:pPr>
      <w:spacing w:before="100" w:beforeAutospacing="1" w:after="100" w:afterAutospacing="1"/>
      <w:ind w:left="0" w:firstLine="0"/>
    </w:pPr>
    <w:rPr>
      <w:rFonts w:ascii="Times New Roman" w:eastAsia="Times New Roman" w:hAnsi="Times New Roman"/>
      <w:sz w:val="24"/>
      <w:szCs w:val="24"/>
      <w:lang w:eastAsia="es-ES_tradnl"/>
    </w:rPr>
  </w:style>
  <w:style w:type="paragraph" w:customStyle="1" w:styleId="yiv5243853583msonormal">
    <w:name w:val="yiv5243853583msonormal"/>
    <w:basedOn w:val="Normal"/>
    <w:rsid w:val="005727D2"/>
    <w:pPr>
      <w:spacing w:before="100" w:beforeAutospacing="1" w:after="100" w:afterAutospacing="1"/>
      <w:ind w:left="0" w:firstLine="0"/>
    </w:pPr>
    <w:rPr>
      <w:rFonts w:ascii="Times New Roman" w:eastAsia="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1366976727">
      <w:bodyDiv w:val="1"/>
      <w:marLeft w:val="0"/>
      <w:marRight w:val="0"/>
      <w:marTop w:val="0"/>
      <w:marBottom w:val="0"/>
      <w:divBdr>
        <w:top w:val="none" w:sz="0" w:space="0" w:color="auto"/>
        <w:left w:val="none" w:sz="0" w:space="0" w:color="auto"/>
        <w:bottom w:val="none" w:sz="0" w:space="0" w:color="auto"/>
        <w:right w:val="none" w:sz="0" w:space="0" w:color="auto"/>
      </w:divBdr>
      <w:divsChild>
        <w:div w:id="1717972133">
          <w:marLeft w:val="0"/>
          <w:marRight w:val="0"/>
          <w:marTop w:val="0"/>
          <w:marBottom w:val="0"/>
          <w:divBdr>
            <w:top w:val="none" w:sz="0" w:space="0" w:color="auto"/>
            <w:left w:val="none" w:sz="0" w:space="0" w:color="auto"/>
            <w:bottom w:val="none" w:sz="0" w:space="0" w:color="auto"/>
            <w:right w:val="none" w:sz="0" w:space="0" w:color="auto"/>
          </w:divBdr>
          <w:divsChild>
            <w:div w:id="37360627">
              <w:marLeft w:val="0"/>
              <w:marRight w:val="0"/>
              <w:marTop w:val="0"/>
              <w:marBottom w:val="0"/>
              <w:divBdr>
                <w:top w:val="none" w:sz="0" w:space="0" w:color="auto"/>
                <w:left w:val="none" w:sz="0" w:space="0" w:color="auto"/>
                <w:bottom w:val="none" w:sz="0" w:space="0" w:color="auto"/>
                <w:right w:val="none" w:sz="0" w:space="0" w:color="auto"/>
              </w:divBdr>
              <w:divsChild>
                <w:div w:id="18119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es/documento/sc54-183-preparacion-de-la-13a-reunion-de-la-conferencia-de-las-partes-procedimiento-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sar.org/es/search?sort=field_sort_date&amp;order=desc&amp;f%5B0%5D=field_document_type%3A530&amp;search_api_views_fulltex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sar.org/search?sort=field_sort_date&amp;order=desc&amp;f%5b0%5d=field_document_type:530&amp;search_api_views_fulltex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nnings@ramsar.org" TargetMode="External"/><Relationship Id="rId4" Type="http://schemas.openxmlformats.org/officeDocument/2006/relationships/settings" Target="settings.xml"/><Relationship Id="rId9" Type="http://schemas.openxmlformats.org/officeDocument/2006/relationships/hyperlink" Target="https://www.ramsar.org/es/documento/sc55-doc42-preparativos-para-la-cop13-procedimiento-para-el-examen-de-los-proyectos-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256CF-B8BD-49A1-9FDB-CB96D0FF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3998</Words>
  <Characters>22794</Characters>
  <Application>Microsoft Office Word</Application>
  <DocSecurity>0</DocSecurity>
  <Lines>189</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Ramsar Secretariat</Company>
  <LinksUpToDate>false</LinksUpToDate>
  <CharactersWithSpaces>26739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Secretariat</cp:lastModifiedBy>
  <cp:revision>2</cp:revision>
  <cp:lastPrinted>2016-10-06T13:08:00Z</cp:lastPrinted>
  <dcterms:created xsi:type="dcterms:W3CDTF">2021-03-29T12:49:00Z</dcterms:created>
  <dcterms:modified xsi:type="dcterms:W3CDTF">2021-03-29T12:49:00Z</dcterms:modified>
  <cp:category/>
</cp:coreProperties>
</file>