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4E4A4" w14:textId="65C0C92A" w:rsidR="00275F13" w:rsidRPr="003736E0" w:rsidRDefault="00BE49B0" w:rsidP="00781C79">
      <w:pPr>
        <w:pBdr>
          <w:top w:val="single" w:sz="12" w:space="0" w:color="auto" w:shadow="1"/>
          <w:left w:val="single" w:sz="12" w:space="4" w:color="auto" w:shadow="1"/>
          <w:bottom w:val="single" w:sz="12" w:space="1" w:color="auto" w:shadow="1"/>
          <w:right w:val="single" w:sz="12" w:space="7" w:color="auto" w:shadow="1"/>
        </w:pBdr>
        <w:ind w:right="2790"/>
        <w:rPr>
          <w:bCs/>
        </w:rPr>
      </w:pPr>
      <w:r w:rsidRPr="003736E0">
        <w:rPr>
          <w:bCs/>
        </w:rPr>
        <w:t xml:space="preserve">LA CONVENCIÓN SOBRE LOS HUMEDALES </w:t>
      </w:r>
    </w:p>
    <w:p w14:paraId="29243701" w14:textId="77777777" w:rsidR="00DF2386" w:rsidRPr="003736E0" w:rsidRDefault="00B83EF9" w:rsidP="00781C79">
      <w:pPr>
        <w:pBdr>
          <w:top w:val="single" w:sz="12" w:space="0" w:color="auto" w:shadow="1"/>
          <w:left w:val="single" w:sz="12" w:space="4" w:color="auto" w:shadow="1"/>
          <w:bottom w:val="single" w:sz="12" w:space="1" w:color="auto" w:shadow="1"/>
          <w:right w:val="single" w:sz="12" w:space="7" w:color="auto" w:shadow="1"/>
        </w:pBdr>
        <w:ind w:right="2790"/>
        <w:rPr>
          <w:bCs/>
        </w:rPr>
      </w:pPr>
      <w:r w:rsidRPr="003736E0">
        <w:rPr>
          <w:bCs/>
        </w:rPr>
        <w:t>58ª Reunión del Comité Permanente</w:t>
      </w:r>
    </w:p>
    <w:p w14:paraId="6D5EE984" w14:textId="6CF295DA" w:rsidR="00DF2386" w:rsidRPr="003736E0" w:rsidRDefault="00DF2386" w:rsidP="00781C79">
      <w:pPr>
        <w:pBdr>
          <w:top w:val="single" w:sz="12" w:space="0" w:color="auto" w:shadow="1"/>
          <w:left w:val="single" w:sz="12" w:space="4" w:color="auto" w:shadow="1"/>
          <w:bottom w:val="single" w:sz="12" w:space="1" w:color="auto" w:shadow="1"/>
          <w:right w:val="single" w:sz="12" w:space="7" w:color="auto" w:shadow="1"/>
        </w:pBdr>
        <w:ind w:right="2790"/>
        <w:rPr>
          <w:bCs/>
        </w:rPr>
      </w:pPr>
      <w:r w:rsidRPr="003736E0">
        <w:rPr>
          <w:bCs/>
        </w:rPr>
        <w:t xml:space="preserve">Gland, Suiza, </w:t>
      </w:r>
      <w:r w:rsidR="003736E0" w:rsidRPr="003736E0">
        <w:rPr>
          <w:bCs/>
        </w:rPr>
        <w:t>26 a 30 de octubre</w:t>
      </w:r>
      <w:r w:rsidR="003736E0">
        <w:rPr>
          <w:bCs/>
        </w:rPr>
        <w:t xml:space="preserve"> </w:t>
      </w:r>
      <w:bookmarkStart w:id="0" w:name="_GoBack"/>
      <w:bookmarkEnd w:id="0"/>
      <w:r w:rsidRPr="003736E0">
        <w:rPr>
          <w:bCs/>
        </w:rPr>
        <w:t>de 2020</w:t>
      </w:r>
    </w:p>
    <w:p w14:paraId="6D316A15" w14:textId="77777777" w:rsidR="00DF2386" w:rsidRPr="00555075" w:rsidRDefault="00DF2386" w:rsidP="00781C79">
      <w:pPr>
        <w:outlineLvl w:val="0"/>
        <w:rPr>
          <w:b/>
        </w:rPr>
      </w:pPr>
    </w:p>
    <w:p w14:paraId="1BBF8EA8" w14:textId="30800DDD" w:rsidR="00DF2386" w:rsidRPr="00555075" w:rsidRDefault="00B83EF9" w:rsidP="00781C79">
      <w:pPr>
        <w:jc w:val="right"/>
        <w:rPr>
          <w:rFonts w:cs="Arial"/>
          <w:sz w:val="28"/>
          <w:szCs w:val="28"/>
        </w:rPr>
      </w:pPr>
      <w:r w:rsidRPr="00555075">
        <w:rPr>
          <w:b/>
          <w:sz w:val="28"/>
          <w:szCs w:val="28"/>
        </w:rPr>
        <w:t>SC58</w:t>
      </w:r>
      <w:r w:rsidR="00B8722D">
        <w:rPr>
          <w:b/>
          <w:sz w:val="28"/>
          <w:szCs w:val="28"/>
        </w:rPr>
        <w:t xml:space="preserve"> Doc.</w:t>
      </w:r>
      <w:r w:rsidRPr="00555075">
        <w:rPr>
          <w:b/>
          <w:sz w:val="28"/>
          <w:szCs w:val="28"/>
        </w:rPr>
        <w:t xml:space="preserve">10 </w:t>
      </w:r>
    </w:p>
    <w:p w14:paraId="1ED09395" w14:textId="77777777" w:rsidR="00DF2386" w:rsidRPr="00555075" w:rsidRDefault="00DF2386" w:rsidP="00781C79">
      <w:pPr>
        <w:rPr>
          <w:rFonts w:cs="Arial"/>
          <w:b/>
          <w:sz w:val="28"/>
          <w:szCs w:val="28"/>
        </w:rPr>
      </w:pPr>
    </w:p>
    <w:p w14:paraId="51BF4AEC" w14:textId="7CA69385" w:rsidR="00B43841" w:rsidRPr="00555075" w:rsidRDefault="00B43841" w:rsidP="00781C79">
      <w:pPr>
        <w:jc w:val="center"/>
        <w:rPr>
          <w:rFonts w:cs="Arial"/>
          <w:b/>
          <w:sz w:val="28"/>
          <w:szCs w:val="28"/>
        </w:rPr>
      </w:pPr>
      <w:r w:rsidRPr="00555075">
        <w:rPr>
          <w:b/>
          <w:sz w:val="28"/>
          <w:szCs w:val="28"/>
        </w:rPr>
        <w:t xml:space="preserve">Informe del Grupo de trabajo sobre el examen del Plan Estratégico de la Convención de Ramsar </w:t>
      </w:r>
    </w:p>
    <w:p w14:paraId="06B61086" w14:textId="77777777" w:rsidR="00DF2386" w:rsidRPr="00555075" w:rsidRDefault="00DF2386" w:rsidP="00781C79">
      <w:pPr>
        <w:rPr>
          <w:rFonts w:ascii="Garamond" w:hAnsi="Garamond" w:cs="Arial"/>
        </w:rPr>
      </w:pPr>
    </w:p>
    <w:p w14:paraId="11A4AAD1" w14:textId="77777777" w:rsidR="000C2489" w:rsidRPr="00555075" w:rsidRDefault="000C2489" w:rsidP="00781C79">
      <w:pPr>
        <w:autoSpaceDE w:val="0"/>
        <w:autoSpaceDN w:val="0"/>
        <w:adjustRightInd w:val="0"/>
        <w:rPr>
          <w:rFonts w:asciiTheme="minorHAnsi" w:eastAsiaTheme="minorHAnsi" w:hAnsiTheme="minorHAnsi" w:cs="Calibri-Bold"/>
          <w:b/>
          <w:bCs/>
        </w:rPr>
      </w:pPr>
      <w:r w:rsidRPr="00555075">
        <w:rPr>
          <w:noProof/>
          <w:lang w:val="en-GB" w:eastAsia="en-GB"/>
        </w:rPr>
        <mc:AlternateContent>
          <mc:Choice Requires="wps">
            <w:drawing>
              <wp:inline distT="0" distB="0" distL="0" distR="0" wp14:anchorId="78C670CB" wp14:editId="18B117CC">
                <wp:extent cx="5731510" cy="178117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81175"/>
                        </a:xfrm>
                        <a:prstGeom prst="rect">
                          <a:avLst/>
                        </a:prstGeom>
                        <a:solidFill>
                          <a:srgbClr val="FFFFFF"/>
                        </a:solidFill>
                        <a:ln w="9525">
                          <a:solidFill>
                            <a:srgbClr val="000000"/>
                          </a:solidFill>
                          <a:miter lim="800000"/>
                          <a:headEnd/>
                          <a:tailEnd/>
                        </a:ln>
                      </wps:spPr>
                      <wps:txbx>
                        <w:txbxContent>
                          <w:p w14:paraId="25C6ED61" w14:textId="77777777" w:rsidR="000C2489" w:rsidRDefault="000C2489" w:rsidP="000C2489">
                            <w:pPr>
                              <w:rPr>
                                <w:b/>
                                <w:bCs/>
                              </w:rPr>
                            </w:pPr>
                            <w:r>
                              <w:rPr>
                                <w:b/>
                                <w:bCs/>
                              </w:rPr>
                              <w:t xml:space="preserve">Acciones solicitadas: </w:t>
                            </w:r>
                          </w:p>
                          <w:p w14:paraId="5B8D72C9" w14:textId="77777777" w:rsidR="000C2489" w:rsidRDefault="000C2489" w:rsidP="000C2489">
                            <w:pPr>
                              <w:pStyle w:val="ColorfulList-Accent11"/>
                              <w:ind w:left="0"/>
                            </w:pPr>
                          </w:p>
                          <w:p w14:paraId="5C796CF9" w14:textId="77777777" w:rsidR="000C2489" w:rsidRDefault="000C2489" w:rsidP="00275F13">
                            <w:pPr>
                              <w:pStyle w:val="ColorfulList-Accent11"/>
                              <w:ind w:left="0" w:firstLine="0"/>
                              <w:rPr>
                                <w:rFonts w:cs="Calibri"/>
                              </w:rPr>
                            </w:pPr>
                            <w:r>
                              <w:t>Se invita al Comité Permanente a hacer lo siguiente:</w:t>
                            </w:r>
                          </w:p>
                          <w:p w14:paraId="39567223" w14:textId="77777777" w:rsidR="000C2489" w:rsidRDefault="000C2489" w:rsidP="000C2489">
                            <w:pPr>
                              <w:pStyle w:val="ColorfulList-Accent11"/>
                              <w:ind w:left="0"/>
                              <w:rPr>
                                <w:rFonts w:cs="Calibri"/>
                              </w:rPr>
                            </w:pPr>
                          </w:p>
                          <w:p w14:paraId="44656ED9" w14:textId="22A18CE2" w:rsidR="000C2489" w:rsidRPr="00F32D03" w:rsidRDefault="00275F13" w:rsidP="002C261A">
                            <w:pPr>
                              <w:pStyle w:val="ColorfulList-Accent11"/>
                              <w:ind w:left="709" w:hanging="283"/>
                            </w:pPr>
                            <w:r>
                              <w:t>i.</w:t>
                            </w:r>
                            <w:r>
                              <w:tab/>
                              <w:t>tomar nota del presente informe sobre los avances en la labor del Grupo de Trabajo sobre el Plan Estratégico; y</w:t>
                            </w:r>
                          </w:p>
                          <w:p w14:paraId="025A5546" w14:textId="77777777" w:rsidR="000C2489" w:rsidRPr="00F32D03" w:rsidRDefault="000C2489" w:rsidP="002C261A">
                            <w:pPr>
                              <w:pStyle w:val="ColorfulList-Accent11"/>
                              <w:ind w:left="709" w:hanging="283"/>
                            </w:pPr>
                          </w:p>
                          <w:p w14:paraId="5E861B1F" w14:textId="2AA69212" w:rsidR="002C261A" w:rsidRPr="00F32D03" w:rsidRDefault="00275F13" w:rsidP="002C261A">
                            <w:pPr>
                              <w:pStyle w:val="ColorfulList-Accent11"/>
                              <w:ind w:left="709" w:hanging="283"/>
                            </w:pPr>
                            <w:r>
                              <w:t>ii.</w:t>
                            </w:r>
                            <w:r>
                              <w:tab/>
                              <w:t>tomar nota de que el Grupo de trabajo se reunirá el 22 de junio de 2020 e informará sobre los nuevos avances y las tareas futuras a la reunión SC58.</w:t>
                            </w:r>
                          </w:p>
                          <w:p w14:paraId="59CB530C" w14:textId="77777777" w:rsidR="000C2489" w:rsidRDefault="000C2489" w:rsidP="002C261A">
                            <w:pPr>
                              <w:pStyle w:val="ColorfulList-Accent11"/>
                            </w:pPr>
                          </w:p>
                        </w:txbxContent>
                      </wps:txbx>
                      <wps:bodyPr rot="0" vert="horz" wrap="square" lIns="91440" tIns="45720" rIns="91440" bIns="45720" anchor="t" anchorCtr="0" upright="1">
                        <a:noAutofit/>
                      </wps:bodyPr>
                    </wps:wsp>
                  </a:graphicData>
                </a:graphic>
              </wp:inline>
            </w:drawing>
          </mc:Choice>
          <mc:Fallback>
            <w:pict>
              <v:shapetype w14:anchorId="78C670CB" id="_x0000_t202" coordsize="21600,21600" o:spt="202" path="m,l,21600r21600,l21600,xe">
                <v:stroke joinstyle="miter"/>
                <v:path gradientshapeok="t" o:connecttype="rect"/>
              </v:shapetype>
              <v:shape id="Text Box 1" o:spid="_x0000_s1026" type="#_x0000_t202" style="width:451.3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YiKgIAAFEEAAAOAAAAZHJzL2Uyb0RvYy54bWysVNuO0zAQfUfiHyy/0zSlpd2o6WrpUoS0&#10;XKRdPsBxnMTC9hjbbVK+nrHTLRHwhMiD5fGMj8+cmcn2dtCKnITzEkxJ89mcEmE41NK0Jf36dHi1&#10;ocQHZmqmwIiSnoWnt7uXL7a9LcQCOlC1cARBjC96W9IuBFtkmeed0MzPwAqDzgacZgFN12a1Yz2i&#10;a5Ut5vM3WQ+utg648B5P70cn3SX8phE8fG4aLwJRJUVuIa0urVVcs92WFa1jtpP8QoP9AwvNpMFH&#10;r1D3LDBydPIPKC25Aw9NmHHQGTSN5CLlgNnk89+yeeyYFSkXFMfbq0z+/8HyT6cvjsgaa0eJYRpL&#10;9CSGQN7CQPKoTm99gUGPFsPCgMcxMmbq7QPwb54Y2HfMtOLOOeg7wWpkl25mk6sjjo8gVf8RanyG&#10;HQMkoKFxOgKiGATRsUrna2UiFY6Hq/XrfJWji6MvX2/yfL2K7DJWPF+3zof3AjSJm5I6LH2CZ6cH&#10;H8bQ55BEH5SsD1KpZLi22itHTgzb5JC+C7qfhilD+pLerBarUYGpz08h5un7G4SWAftdSV3SzTWI&#10;FVG3d6ZO3RiYVOMes1MGk4xCRu1GFcNQDZfCVFCfUVIHY1/jHOKmA/eDkh57uqT++5E5QYn6YLAs&#10;N/lyGYcgGcvVeoGGm3qqqYcZjlAlDZSM230YB+donWw7fGlsBAN3WMpGJpEj1ZHVhTf2bSrTZcbi&#10;YEztFPXrT7D7CQAA//8DAFBLAwQUAAYACAAAACEAE4o8vt0AAAAFAQAADwAAAGRycy9kb3ducmV2&#10;LnhtbEyPwU7DMBBE70j8g7VIXBC1CTSkaZwKIYHgBgXRqxtvkwh7HWw3DX+P4UIvK41mNPO2Wk3W&#10;sBF96B1JuJoJYEiN0z21Et7fHi4LYCEq0so4QgnfGGBVn55UqtTuQK84rmPLUgmFUknoYhxKzkPT&#10;oVVh5gak5O2ctyom6VuuvTqkcmt4JkTOreopLXRqwPsOm8/13koobp7GTXi+fvlo8p1ZxIvb8fHL&#10;S3l+Nt0tgUWc4n8YfvETOtSJaev2pAMzEtIj8e8mbyGyHNhWQlaIOfC64sf09Q8AAAD//wMAUEsB&#10;Ai0AFAAGAAgAAAAhALaDOJL+AAAA4QEAABMAAAAAAAAAAAAAAAAAAAAAAFtDb250ZW50X1R5cGVz&#10;XS54bWxQSwECLQAUAAYACAAAACEAOP0h/9YAAACUAQAACwAAAAAAAAAAAAAAAAAvAQAAX3JlbHMv&#10;LnJlbHNQSwECLQAUAAYACAAAACEAZdJmIioCAABRBAAADgAAAAAAAAAAAAAAAAAuAgAAZHJzL2Uy&#10;b0RvYy54bWxQSwECLQAUAAYACAAAACEAE4o8vt0AAAAFAQAADwAAAAAAAAAAAAAAAACEBAAAZHJz&#10;L2Rvd25yZXYueG1sUEsFBgAAAAAEAAQA8wAAAI4FAAAAAA==&#10;">
                <v:textbox>
                  <w:txbxContent>
                    <w:p w14:paraId="25C6ED61" w14:textId="77777777" w:rsidR="000C2489" w:rsidRDefault="000C2489" w:rsidP="000C2489">
                      <w:pPr>
                        <w:rPr>
                          <w:b/>
                          <w:bCs/>
                        </w:rPr>
                      </w:pPr>
                      <w:r>
                        <w:rPr>
                          <w:b/>
                          <w:bCs/>
                        </w:rPr>
                        <w:t xml:space="preserve">Acciones solicitadas: </w:t>
                      </w:r>
                    </w:p>
                    <w:p w14:paraId="5B8D72C9" w14:textId="77777777" w:rsidR="000C2489" w:rsidRDefault="000C2489" w:rsidP="000C2489">
                      <w:pPr>
                        <w:pStyle w:val="ColorfulList-Accent11"/>
                        <w:ind w:left="0"/>
                      </w:pPr>
                    </w:p>
                    <w:p w14:paraId="5C796CF9" w14:textId="77777777" w:rsidR="000C2489" w:rsidRDefault="000C2489" w:rsidP="00275F13">
                      <w:pPr>
                        <w:pStyle w:val="ColorfulList-Accent11"/>
                        <w:ind w:left="0" w:firstLine="0"/>
                        <w:rPr>
                          <w:rFonts w:cs="Calibri"/>
                        </w:rPr>
                      </w:pPr>
                      <w:r>
                        <w:t>Se invita al Comité Permanente a hacer lo siguiente:</w:t>
                      </w:r>
                    </w:p>
                    <w:p w14:paraId="39567223" w14:textId="77777777" w:rsidR="000C2489" w:rsidRDefault="000C2489" w:rsidP="000C2489">
                      <w:pPr>
                        <w:pStyle w:val="ColorfulList-Accent11"/>
                        <w:ind w:left="0"/>
                        <w:rPr>
                          <w:rFonts w:cs="Calibri"/>
                        </w:rPr>
                      </w:pPr>
                    </w:p>
                    <w:p w14:paraId="44656ED9" w14:textId="22A18CE2" w:rsidR="000C2489" w:rsidRPr="00F32D03" w:rsidRDefault="00275F13" w:rsidP="002C261A">
                      <w:pPr>
                        <w:pStyle w:val="ColorfulList-Accent11"/>
                        <w:ind w:left="709" w:hanging="283"/>
                      </w:pPr>
                      <w:r>
                        <w:t>i.</w:t>
                      </w:r>
                      <w:r>
                        <w:tab/>
                        <w:t>tomar nota del presente informe sobre los avances en la labor del Grupo de Trabajo sobre el Plan Estratégico; y</w:t>
                      </w:r>
                    </w:p>
                    <w:p w14:paraId="025A5546" w14:textId="77777777" w:rsidR="000C2489" w:rsidRPr="00F32D03" w:rsidRDefault="000C2489" w:rsidP="002C261A">
                      <w:pPr>
                        <w:pStyle w:val="ColorfulList-Accent11"/>
                        <w:ind w:left="709" w:hanging="283"/>
                      </w:pPr>
                    </w:p>
                    <w:p w14:paraId="5E861B1F" w14:textId="2AA69212" w:rsidR="002C261A" w:rsidRPr="00F32D03" w:rsidRDefault="00275F13" w:rsidP="002C261A">
                      <w:pPr>
                        <w:pStyle w:val="ColorfulList-Accent11"/>
                        <w:ind w:left="709" w:hanging="283"/>
                      </w:pPr>
                      <w:r>
                        <w:t>ii.</w:t>
                      </w:r>
                      <w:r>
                        <w:tab/>
                        <w:t>tomar nota de que el Grupo de trabajo se reunirá el 22 de junio de 2020 e informará sobre los nuevos avances y las tareas futuras a la reunión SC58.</w:t>
                      </w:r>
                    </w:p>
                    <w:p w14:paraId="59CB530C" w14:textId="77777777" w:rsidR="000C2489" w:rsidRDefault="000C2489" w:rsidP="002C261A">
                      <w:pPr>
                        <w:pStyle w:val="ColorfulList-Accent11"/>
                      </w:pPr>
                    </w:p>
                  </w:txbxContent>
                </v:textbox>
                <w10:anchorlock/>
              </v:shape>
            </w:pict>
          </mc:Fallback>
        </mc:AlternateContent>
      </w:r>
    </w:p>
    <w:p w14:paraId="7539C7FF" w14:textId="77777777" w:rsidR="009E0AE8" w:rsidRPr="00555075" w:rsidRDefault="009E0AE8" w:rsidP="00781C79">
      <w:pPr>
        <w:rPr>
          <w:rFonts w:cs="Arial"/>
          <w:b/>
        </w:rPr>
      </w:pPr>
    </w:p>
    <w:p w14:paraId="44BA8B0E" w14:textId="77777777" w:rsidR="009E0AE8" w:rsidRPr="00555075" w:rsidRDefault="009E0AE8" w:rsidP="00781C79">
      <w:pPr>
        <w:rPr>
          <w:rFonts w:cs="Arial"/>
          <w:b/>
        </w:rPr>
      </w:pPr>
    </w:p>
    <w:p w14:paraId="43757705" w14:textId="2DD74E17" w:rsidR="000C2489" w:rsidRPr="00555075" w:rsidRDefault="00C817CB" w:rsidP="00781C79">
      <w:pPr>
        <w:rPr>
          <w:rFonts w:cs="Arial"/>
          <w:b/>
        </w:rPr>
      </w:pPr>
      <w:r w:rsidRPr="00555075">
        <w:rPr>
          <w:b/>
        </w:rPr>
        <w:t xml:space="preserve">Informe sobre los avances y las tareas futuras </w:t>
      </w:r>
    </w:p>
    <w:p w14:paraId="0C63D9FB" w14:textId="77777777" w:rsidR="000C2489" w:rsidRPr="00555075" w:rsidRDefault="000C2489" w:rsidP="00781C79">
      <w:pPr>
        <w:rPr>
          <w:rFonts w:asciiTheme="minorHAnsi" w:hAnsiTheme="minorHAnsi" w:cstheme="minorHAnsi"/>
        </w:rPr>
      </w:pPr>
    </w:p>
    <w:p w14:paraId="6DAE1985" w14:textId="05ABBF68" w:rsidR="00CF15EA" w:rsidRPr="00555075" w:rsidRDefault="00B67FE1" w:rsidP="00B67FE1">
      <w:pPr>
        <w:rPr>
          <w:rFonts w:asciiTheme="minorHAnsi" w:hAnsiTheme="minorHAnsi" w:cstheme="minorHAnsi"/>
        </w:rPr>
      </w:pPr>
      <w:r w:rsidRPr="00555075">
        <w:rPr>
          <w:rFonts w:asciiTheme="minorHAnsi" w:hAnsiTheme="minorHAnsi"/>
        </w:rPr>
        <w:t>1.</w:t>
      </w:r>
      <w:r w:rsidRPr="00555075">
        <w:rPr>
          <w:rFonts w:asciiTheme="minorHAnsi" w:hAnsiTheme="minorHAnsi"/>
        </w:rPr>
        <w:tab/>
        <w:t xml:space="preserve">En la Resolución XIII.5, </w:t>
      </w:r>
      <w:r w:rsidRPr="00555075">
        <w:rPr>
          <w:rFonts w:asciiTheme="minorHAnsi" w:hAnsiTheme="minorHAnsi"/>
          <w:i/>
        </w:rPr>
        <w:t>Examen del Cuarto Plan Estratégico de la Convención de Ramsar</w:t>
      </w:r>
      <w:r w:rsidRPr="00555075">
        <w:rPr>
          <w:rFonts w:asciiTheme="minorHAnsi" w:hAnsiTheme="minorHAnsi"/>
        </w:rPr>
        <w:t>, se aprobó un proceso para examinar el Cuarto Plan Estratégico de la Convención de Ramsar para 2016-2024 (Cuarto Plan Estratégico) y se pidió al Comité Permanente que “establezca en su 56ª reunión (SC56) un Grupo de Trabajo sobre el Plan Estratégico para llevar a cabo el examen del Cuarto Plan Estratégico” (párrafo 20). El proceso de examen, su alcance y modalidades se esbozan en el Anexo 1 de la Resolución.</w:t>
      </w:r>
    </w:p>
    <w:p w14:paraId="4B15EB04" w14:textId="77777777" w:rsidR="00CF15EA" w:rsidRPr="00555075" w:rsidRDefault="00CF15EA" w:rsidP="00B67FE1">
      <w:pPr>
        <w:pStyle w:val="ListParagraph"/>
        <w:ind w:left="425"/>
        <w:rPr>
          <w:rFonts w:asciiTheme="minorHAnsi" w:hAnsiTheme="minorHAnsi" w:cstheme="minorHAnsi"/>
        </w:rPr>
      </w:pPr>
    </w:p>
    <w:p w14:paraId="4CBACB07" w14:textId="58129C5E" w:rsidR="004824BB" w:rsidRPr="00555075" w:rsidRDefault="00B67FE1" w:rsidP="00B67FE1">
      <w:pPr>
        <w:rPr>
          <w:rFonts w:asciiTheme="minorHAnsi" w:hAnsiTheme="minorHAnsi" w:cstheme="minorHAnsi"/>
        </w:rPr>
      </w:pPr>
      <w:r w:rsidRPr="00555075">
        <w:rPr>
          <w:rFonts w:asciiTheme="minorHAnsi" w:hAnsiTheme="minorHAnsi"/>
        </w:rPr>
        <w:t>2.</w:t>
      </w:r>
      <w:r w:rsidRPr="00555075">
        <w:rPr>
          <w:rFonts w:asciiTheme="minorHAnsi" w:hAnsiTheme="minorHAnsi"/>
        </w:rPr>
        <w:tab/>
        <w:t xml:space="preserve">El Comité Permanente, en su 56ª reunión (SC56, octubre de 2018), estableció el Grupo de Trabajo sobre el Plan Estratégico. Sus miembros son: Argelia, Armenia, Australia, Benin, Bhután, Estados Unidos de América, Omán, República Dominicana, Senegal, Sudáfrica, Suiza y Uganda. </w:t>
      </w:r>
    </w:p>
    <w:p w14:paraId="1B1452F7" w14:textId="77777777" w:rsidR="004824BB" w:rsidRPr="00555075" w:rsidRDefault="004824BB" w:rsidP="00B67FE1">
      <w:pPr>
        <w:pStyle w:val="ListParagraph"/>
        <w:ind w:left="425"/>
        <w:rPr>
          <w:rFonts w:asciiTheme="minorHAnsi" w:hAnsiTheme="minorHAnsi" w:cstheme="minorHAnsi"/>
        </w:rPr>
      </w:pPr>
    </w:p>
    <w:p w14:paraId="3B554E32" w14:textId="25D0C626" w:rsidR="004824BB" w:rsidRPr="00555075" w:rsidRDefault="00B67FE1" w:rsidP="00B67FE1">
      <w:pPr>
        <w:rPr>
          <w:rFonts w:asciiTheme="minorHAnsi" w:hAnsiTheme="minorHAnsi" w:cstheme="minorHAnsi"/>
        </w:rPr>
      </w:pPr>
      <w:r w:rsidRPr="00555075">
        <w:rPr>
          <w:rFonts w:asciiTheme="minorHAnsi" w:hAnsiTheme="minorHAnsi"/>
        </w:rPr>
        <w:t>3.</w:t>
      </w:r>
      <w:r w:rsidRPr="00555075">
        <w:rPr>
          <w:rFonts w:asciiTheme="minorHAnsi" w:hAnsiTheme="minorHAnsi"/>
        </w:rPr>
        <w:tab/>
        <w:t>El Grupo de trabajo proporcionó información actualizada sobre los avances realizados a la reunión SC57 en el documento SC57 Doc.9, en el que se destacaba la descripción de lo siguiente:</w:t>
      </w:r>
    </w:p>
    <w:p w14:paraId="6319247C" w14:textId="77777777" w:rsidR="002978F0" w:rsidRPr="00555075" w:rsidRDefault="002978F0" w:rsidP="002978F0">
      <w:pPr>
        <w:ind w:left="0" w:firstLine="0"/>
        <w:rPr>
          <w:rFonts w:asciiTheme="minorHAnsi" w:hAnsiTheme="minorHAnsi" w:cstheme="minorHAnsi"/>
        </w:rPr>
      </w:pPr>
    </w:p>
    <w:p w14:paraId="4417065D" w14:textId="32FA864F" w:rsidR="00C8780E" w:rsidRPr="00555075" w:rsidRDefault="00C8780E" w:rsidP="00763056">
      <w:pPr>
        <w:pStyle w:val="ListParagraph"/>
        <w:numPr>
          <w:ilvl w:val="0"/>
          <w:numId w:val="36"/>
        </w:numPr>
        <w:ind w:left="850" w:hanging="425"/>
        <w:rPr>
          <w:rFonts w:asciiTheme="minorHAnsi" w:hAnsiTheme="minorHAnsi" w:cstheme="minorHAnsi"/>
        </w:rPr>
      </w:pPr>
      <w:r w:rsidRPr="00555075">
        <w:rPr>
          <w:rFonts w:asciiTheme="minorHAnsi" w:hAnsiTheme="minorHAnsi"/>
        </w:rPr>
        <w:t>La elaboración de un modelo para que las Partes Contratantes “evalúen sus esfuerzos en relación con la aplicación del Cuarto Plan Estratégico de Ramsar para 2016-2024” (párrafo 8 del Anexo 1 de la Res. XIII.5). El modelo se envió a todas las Partes el 11 de abril de 2019. Se recibieron respuestas de 26 Partes a tiempo para la reunión SC57.</w:t>
      </w:r>
    </w:p>
    <w:p w14:paraId="4A6672A2" w14:textId="77777777" w:rsidR="002978F0" w:rsidRPr="00555075" w:rsidRDefault="002978F0" w:rsidP="00763056">
      <w:pPr>
        <w:ind w:left="0" w:firstLine="0"/>
        <w:rPr>
          <w:rFonts w:asciiTheme="minorHAnsi" w:hAnsiTheme="minorHAnsi" w:cstheme="minorHAnsi"/>
        </w:rPr>
      </w:pPr>
    </w:p>
    <w:p w14:paraId="2F6BFC8F" w14:textId="3FB3D13F" w:rsidR="00781C79" w:rsidRPr="00555075" w:rsidRDefault="00B67FE1" w:rsidP="00763056">
      <w:pPr>
        <w:pStyle w:val="ListParagraph"/>
        <w:numPr>
          <w:ilvl w:val="0"/>
          <w:numId w:val="36"/>
        </w:numPr>
        <w:ind w:left="850" w:hanging="425"/>
        <w:rPr>
          <w:rFonts w:asciiTheme="minorHAnsi" w:hAnsiTheme="minorHAnsi" w:cstheme="minorHAnsi"/>
        </w:rPr>
      </w:pPr>
      <w:r w:rsidRPr="00555075">
        <w:rPr>
          <w:rFonts w:asciiTheme="minorHAnsi" w:hAnsiTheme="minorHAnsi"/>
        </w:rPr>
        <w:t>La elaboración de un mandato para que la Secretaría contrate a un consultor para ayudar en el proceso de examen (párrafo 11 del Anexo 1 de la Resolución XIII.5).</w:t>
      </w:r>
    </w:p>
    <w:p w14:paraId="218294C9" w14:textId="77777777" w:rsidR="008465FE" w:rsidRPr="00555075" w:rsidRDefault="008465FE" w:rsidP="00781C79">
      <w:pPr>
        <w:pStyle w:val="ListParagraph"/>
        <w:ind w:left="425"/>
        <w:rPr>
          <w:rFonts w:asciiTheme="minorHAnsi" w:hAnsiTheme="minorHAnsi" w:cstheme="minorHAnsi"/>
        </w:rPr>
      </w:pPr>
    </w:p>
    <w:p w14:paraId="23A2C85E" w14:textId="706F3D1E" w:rsidR="00F63609" w:rsidRPr="00555075" w:rsidRDefault="00B67FE1" w:rsidP="00B67FE1">
      <w:pPr>
        <w:rPr>
          <w:rFonts w:asciiTheme="minorHAnsi" w:hAnsiTheme="minorHAnsi" w:cstheme="minorHAnsi"/>
        </w:rPr>
      </w:pPr>
      <w:r w:rsidRPr="00555075">
        <w:rPr>
          <w:rFonts w:asciiTheme="minorHAnsi" w:hAnsiTheme="minorHAnsi"/>
        </w:rPr>
        <w:t>4.</w:t>
      </w:r>
      <w:r w:rsidRPr="00555075">
        <w:rPr>
          <w:rFonts w:asciiTheme="minorHAnsi" w:hAnsiTheme="minorHAnsi"/>
        </w:rPr>
        <w:tab/>
        <w:t xml:space="preserve">El Grupo de trabajo se reunió el 24 de junio de 2019, antes de la apertura de la SC57, y presentó un informe adicional al Comité Permanente sobre los resultados de esa reunión (SC57 Com.4), </w:t>
      </w:r>
      <w:r w:rsidRPr="00555075">
        <w:rPr>
          <w:rFonts w:asciiTheme="minorHAnsi" w:hAnsiTheme="minorHAnsi"/>
        </w:rPr>
        <w:lastRenderedPageBreak/>
        <w:t xml:space="preserve">en el que se señalaba la elección de Uganda como Presidencia del Grupo de trabajo y se formulaban varias recomendaciones. </w:t>
      </w:r>
    </w:p>
    <w:p w14:paraId="2EFC557A" w14:textId="77777777" w:rsidR="00F63609" w:rsidRPr="00555075" w:rsidRDefault="00F63609" w:rsidP="00B67FE1">
      <w:pPr>
        <w:pStyle w:val="ListParagraph"/>
        <w:ind w:left="425"/>
        <w:rPr>
          <w:rFonts w:asciiTheme="minorHAnsi" w:hAnsiTheme="minorHAnsi" w:cstheme="minorHAnsi"/>
        </w:rPr>
      </w:pPr>
    </w:p>
    <w:p w14:paraId="18C97CE9" w14:textId="4FFF4117" w:rsidR="00781C79" w:rsidRPr="00555075" w:rsidRDefault="00B67FE1" w:rsidP="00B67FE1">
      <w:pPr>
        <w:rPr>
          <w:rFonts w:asciiTheme="minorHAnsi" w:hAnsiTheme="minorHAnsi" w:cstheme="minorHAnsi"/>
        </w:rPr>
      </w:pPr>
      <w:r w:rsidRPr="00555075">
        <w:rPr>
          <w:rFonts w:asciiTheme="minorHAnsi" w:hAnsiTheme="minorHAnsi"/>
        </w:rPr>
        <w:t>5.</w:t>
      </w:r>
      <w:r w:rsidRPr="00555075">
        <w:rPr>
          <w:rFonts w:asciiTheme="minorHAnsi" w:hAnsiTheme="minorHAnsi"/>
        </w:rPr>
        <w:tab/>
        <w:t>Basándose en las recomendaciones del Grupo de trabajo, el Comité Permanente aprobó las decisiones siguientes:</w:t>
      </w:r>
    </w:p>
    <w:p w14:paraId="098A9DE2" w14:textId="77777777" w:rsidR="00CA32AC" w:rsidRPr="00555075" w:rsidRDefault="00CA32AC" w:rsidP="00CA32AC">
      <w:pPr>
        <w:pStyle w:val="ListParagraph"/>
        <w:ind w:left="426" w:hanging="11"/>
        <w:rPr>
          <w:rFonts w:asciiTheme="minorHAnsi" w:hAnsiTheme="minorHAnsi" w:cstheme="minorHAnsi"/>
        </w:rPr>
      </w:pPr>
    </w:p>
    <w:p w14:paraId="04C9B9C9" w14:textId="50F6AAB6" w:rsidR="00781C79" w:rsidRPr="00555075" w:rsidRDefault="00380D31" w:rsidP="00E75F82">
      <w:pPr>
        <w:pStyle w:val="ListParagraph"/>
        <w:ind w:left="851" w:hanging="11"/>
        <w:rPr>
          <w:rFonts w:asciiTheme="minorHAnsi" w:hAnsiTheme="minorHAnsi" w:cstheme="minorHAnsi"/>
        </w:rPr>
      </w:pPr>
      <w:r w:rsidRPr="00555075">
        <w:rPr>
          <w:rFonts w:asciiTheme="minorHAnsi" w:hAnsiTheme="minorHAnsi"/>
        </w:rPr>
        <w:t>Decisión SC57-06: El Comité Permanente encargó a la Secretaría que difundiera entre los miembros del grupo la evaluación de la lista de candidatos preseleccionados, y que incluyera a la Presidencia del grupo de trabajo en las entrevistas con los candidatos preseleccionados para la consultoría.</w:t>
      </w:r>
    </w:p>
    <w:p w14:paraId="15CF6E97" w14:textId="77777777" w:rsidR="00CA32AC" w:rsidRPr="00555075" w:rsidRDefault="00CA32AC" w:rsidP="00E75F82">
      <w:pPr>
        <w:pStyle w:val="ListParagraph"/>
        <w:ind w:left="851" w:hanging="11"/>
        <w:rPr>
          <w:rFonts w:asciiTheme="minorHAnsi" w:hAnsiTheme="minorHAnsi" w:cstheme="minorHAnsi"/>
        </w:rPr>
      </w:pPr>
    </w:p>
    <w:p w14:paraId="23D83A3F" w14:textId="6881FCE6" w:rsidR="00380D31" w:rsidRPr="00555075" w:rsidRDefault="00380D31" w:rsidP="00E75F82">
      <w:pPr>
        <w:pStyle w:val="ListParagraph"/>
        <w:ind w:left="851" w:hanging="11"/>
        <w:rPr>
          <w:rFonts w:asciiTheme="minorHAnsi" w:hAnsiTheme="minorHAnsi" w:cstheme="minorHAnsi"/>
        </w:rPr>
      </w:pPr>
      <w:r w:rsidRPr="00555075">
        <w:rPr>
          <w:rFonts w:asciiTheme="minorHAnsi" w:hAnsiTheme="minorHAnsi"/>
        </w:rPr>
        <w:t>Decisión SC57-07: El Comité Permanente encargó a la Secretaría que progresara rápidamente con la designación del consultor y la elaboración del plan de trabajo del proyecto, para que pudiera estar muy avanzado antes de finales de 2019, para permitir la presentación de un borrador avanzado de informe a la reunión SC58 en 2020.</w:t>
      </w:r>
    </w:p>
    <w:p w14:paraId="2CCA7027" w14:textId="77777777" w:rsidR="00CA32AC" w:rsidRPr="00555075" w:rsidRDefault="00CA32AC" w:rsidP="00E75F82">
      <w:pPr>
        <w:pStyle w:val="ListParagraph"/>
        <w:ind w:left="851" w:hanging="11"/>
        <w:rPr>
          <w:rFonts w:asciiTheme="minorHAnsi" w:hAnsiTheme="minorHAnsi" w:cstheme="minorHAnsi"/>
        </w:rPr>
      </w:pPr>
    </w:p>
    <w:p w14:paraId="4610E1EB" w14:textId="02548A41" w:rsidR="00380D31" w:rsidRPr="00555075" w:rsidRDefault="00380D31" w:rsidP="00E75F82">
      <w:pPr>
        <w:pStyle w:val="ListParagraph"/>
        <w:ind w:left="851" w:hanging="11"/>
        <w:rPr>
          <w:rFonts w:asciiTheme="minorHAnsi" w:hAnsiTheme="minorHAnsi" w:cstheme="minorHAnsi"/>
        </w:rPr>
      </w:pPr>
      <w:r w:rsidRPr="00555075">
        <w:rPr>
          <w:rFonts w:asciiTheme="minorHAnsi" w:hAnsiTheme="minorHAnsi"/>
        </w:rPr>
        <w:t>Decisión SC57-08: El Comité Permanente encargó a la Secretaría que organizara una reunión inicial con el consultor seleccionado a continuación de su designación para definir plazos y productos detallados, teniendo en cuenta procesos existentes como la Conferencia de las Partes en el Convenio sobre la Diversidad Biológica (COP15 del CBD) en octubre de 2020 y el marco mundial para la diversidad biológica posterior a 2020.</w:t>
      </w:r>
    </w:p>
    <w:p w14:paraId="08F75F92" w14:textId="77777777" w:rsidR="00CA32AC" w:rsidRPr="00555075" w:rsidRDefault="00CA32AC" w:rsidP="00E75F82">
      <w:pPr>
        <w:pStyle w:val="ListParagraph"/>
        <w:ind w:left="851" w:hanging="11"/>
        <w:rPr>
          <w:rFonts w:asciiTheme="minorHAnsi" w:hAnsiTheme="minorHAnsi" w:cstheme="minorHAnsi"/>
        </w:rPr>
      </w:pPr>
    </w:p>
    <w:p w14:paraId="46B61ED0" w14:textId="326C8A03" w:rsidR="00380D31" w:rsidRPr="00555075" w:rsidRDefault="00380D31" w:rsidP="00E75F82">
      <w:pPr>
        <w:pStyle w:val="ListParagraph"/>
        <w:ind w:left="851" w:hanging="11"/>
        <w:rPr>
          <w:rFonts w:asciiTheme="minorHAnsi" w:hAnsiTheme="minorHAnsi" w:cstheme="minorHAnsi"/>
        </w:rPr>
      </w:pPr>
      <w:r w:rsidRPr="00555075">
        <w:rPr>
          <w:rFonts w:asciiTheme="minorHAnsi" w:hAnsiTheme="minorHAnsi"/>
        </w:rPr>
        <w:t>Decisión SC57-09: El Comité Permanente encargó a la Secretaría que tratara de obtener de las Partes Contratantes otras respuestas a la encuesta sobre la aplicación del Plan Estratégico actual y que invitara a los representantes regionales del Comité Permanente a exhortar a las Partes de sus respectivas regiones a que respondan.</w:t>
      </w:r>
    </w:p>
    <w:p w14:paraId="5C77479C" w14:textId="77777777" w:rsidR="00380D31" w:rsidRPr="00555075" w:rsidRDefault="00380D31" w:rsidP="00781C79">
      <w:pPr>
        <w:pStyle w:val="ListParagraph"/>
        <w:rPr>
          <w:rFonts w:asciiTheme="minorHAnsi" w:hAnsiTheme="minorHAnsi" w:cstheme="minorHAnsi"/>
        </w:rPr>
      </w:pPr>
    </w:p>
    <w:p w14:paraId="22E5E148" w14:textId="3B9CC49C" w:rsidR="00CF15EA" w:rsidRPr="00555075" w:rsidRDefault="00081070" w:rsidP="00081070">
      <w:pPr>
        <w:rPr>
          <w:rFonts w:asciiTheme="minorHAnsi" w:hAnsiTheme="minorHAnsi" w:cstheme="minorHAnsi"/>
        </w:rPr>
      </w:pPr>
      <w:r w:rsidRPr="00555075">
        <w:rPr>
          <w:rFonts w:asciiTheme="minorHAnsi" w:hAnsiTheme="minorHAnsi"/>
        </w:rPr>
        <w:t>6.</w:t>
      </w:r>
      <w:r w:rsidRPr="00555075">
        <w:rPr>
          <w:rFonts w:asciiTheme="minorHAnsi" w:hAnsiTheme="minorHAnsi"/>
        </w:rPr>
        <w:tab/>
        <w:t>El Grupo de trabajo finalizó la elaboración de su plan de trabajo, que se incluye en el Anexo 1 del presente documento, el 24 de julio de 2019 y designó a un consultor (Wolf Group) el 12 de agosto de 2019 para que le ayudara en el examen.</w:t>
      </w:r>
    </w:p>
    <w:p w14:paraId="12C3D6A3" w14:textId="77777777" w:rsidR="00F63609" w:rsidRPr="00555075" w:rsidRDefault="00F63609" w:rsidP="00763056">
      <w:pPr>
        <w:rPr>
          <w:rFonts w:asciiTheme="minorHAnsi" w:hAnsiTheme="minorHAnsi" w:cstheme="minorHAnsi"/>
        </w:rPr>
      </w:pPr>
    </w:p>
    <w:p w14:paraId="5FCD00CB" w14:textId="2726011E" w:rsidR="00A268B2" w:rsidRPr="00555075" w:rsidRDefault="00081070" w:rsidP="00081070">
      <w:pPr>
        <w:rPr>
          <w:rFonts w:asciiTheme="minorHAnsi" w:hAnsiTheme="minorHAnsi" w:cstheme="minorHAnsi"/>
        </w:rPr>
      </w:pPr>
      <w:r w:rsidRPr="00555075">
        <w:rPr>
          <w:rFonts w:asciiTheme="minorHAnsi" w:hAnsiTheme="minorHAnsi"/>
        </w:rPr>
        <w:t>7.</w:t>
      </w:r>
      <w:r w:rsidRPr="00555075">
        <w:rPr>
          <w:rFonts w:asciiTheme="minorHAnsi" w:hAnsiTheme="minorHAnsi"/>
        </w:rPr>
        <w:tab/>
        <w:t xml:space="preserve">Tras haber solicitado otras respuestas de las Partes Contratantes, finalmente 44 Partes respondieron la encuesta. Además, la encuesta se envió a los miembros y expertos del Grupo de Examen Científico y Técnico (GECT), las Organizaciones Internacionales Asociadas (OIA) y las organizaciones asociadas a las que se había invitado a participar en la preparación del Cuarto Plan Estratégico. No se recibieron respuestas de estos grupos. El consultor pudo mantener consultas telefónicas iniciales con la presidencia del GECT, los autores principales de la </w:t>
      </w:r>
      <w:r w:rsidRPr="00555075">
        <w:rPr>
          <w:rFonts w:asciiTheme="minorHAnsi" w:hAnsiTheme="minorHAnsi"/>
          <w:i/>
          <w:iCs/>
        </w:rPr>
        <w:t>Perspectiva Mundial sobre los Humedales</w:t>
      </w:r>
      <w:r w:rsidRPr="00555075">
        <w:rPr>
          <w:rFonts w:asciiTheme="minorHAnsi" w:hAnsiTheme="minorHAnsi"/>
        </w:rPr>
        <w:t xml:space="preserve"> y dos de las seis OIA.</w:t>
      </w:r>
    </w:p>
    <w:p w14:paraId="766B5899" w14:textId="77777777" w:rsidR="00A268B2" w:rsidRPr="00555075" w:rsidRDefault="00A268B2" w:rsidP="00081070">
      <w:pPr>
        <w:rPr>
          <w:rFonts w:asciiTheme="minorHAnsi" w:hAnsiTheme="minorHAnsi" w:cstheme="minorHAnsi"/>
        </w:rPr>
      </w:pPr>
    </w:p>
    <w:p w14:paraId="78ADB021" w14:textId="2D3A6C07" w:rsidR="00A268B2" w:rsidRPr="00555075" w:rsidRDefault="00081070" w:rsidP="00081070">
      <w:pPr>
        <w:rPr>
          <w:rFonts w:asciiTheme="minorHAnsi" w:hAnsiTheme="minorHAnsi" w:cstheme="minorHAnsi"/>
        </w:rPr>
      </w:pPr>
      <w:r w:rsidRPr="00555075">
        <w:rPr>
          <w:rFonts w:asciiTheme="minorHAnsi" w:hAnsiTheme="minorHAnsi"/>
        </w:rPr>
        <w:t>8.</w:t>
      </w:r>
      <w:r w:rsidRPr="00555075">
        <w:rPr>
          <w:rFonts w:asciiTheme="minorHAnsi" w:hAnsiTheme="minorHAnsi"/>
        </w:rPr>
        <w:tab/>
        <w:t xml:space="preserve">El Grupo de trabajo mantuvo intercambios por correo electrónico y celebró dos teleconferencias: el 9 de diciembre de 2019 y el 16 de marzo de 2020. Como resultado, se dieron instrucciones al consultor para que preparara un panorama combinado de las respuestas a la encuesta y la información presentada por las Partes Contratantes en sus informes nacionales a la COP13, teniendo en cuenta también los elementos enumerados en el párrafo 9 a) del Anexo 1 de la Resolución XIII.5. </w:t>
      </w:r>
    </w:p>
    <w:p w14:paraId="77A0C8C2" w14:textId="77777777" w:rsidR="00A268B2" w:rsidRPr="00555075" w:rsidRDefault="00A268B2" w:rsidP="00763056">
      <w:pPr>
        <w:rPr>
          <w:rFonts w:asciiTheme="minorHAnsi" w:hAnsiTheme="minorHAnsi" w:cstheme="minorHAnsi"/>
        </w:rPr>
      </w:pPr>
    </w:p>
    <w:p w14:paraId="58455B5F" w14:textId="16AFF9AD" w:rsidR="003F4793" w:rsidRPr="00555075" w:rsidRDefault="00081070" w:rsidP="00081070">
      <w:pPr>
        <w:rPr>
          <w:rFonts w:asciiTheme="minorHAnsi" w:hAnsiTheme="minorHAnsi" w:cstheme="minorHAnsi"/>
        </w:rPr>
      </w:pPr>
      <w:r w:rsidRPr="00555075">
        <w:rPr>
          <w:rFonts w:asciiTheme="minorHAnsi" w:hAnsiTheme="minorHAnsi"/>
        </w:rPr>
        <w:t>9.</w:t>
      </w:r>
      <w:r w:rsidRPr="00555075">
        <w:rPr>
          <w:rFonts w:asciiTheme="minorHAnsi" w:hAnsiTheme="minorHAnsi"/>
        </w:rPr>
        <w:tab/>
        <w:t xml:space="preserve">Durante abril de 2020, el consultor preparará, con orientación adicional del Grupo de trabajo, un panorama analítico combinado utilizando los 44 resultados de la encuesta y los informes nacionales presentados por las Partes antes de la COP13 para obtener una visión más detallada de la aplicación por las Partes y de las cuestiones relacionadas con el Plan Estratégico. Esto permitirá al Grupo de trabajo comprender si existen similitudes en las respuestas y cuestiones </w:t>
      </w:r>
      <w:r w:rsidRPr="00555075">
        <w:rPr>
          <w:rFonts w:asciiTheme="minorHAnsi" w:hAnsiTheme="minorHAnsi"/>
        </w:rPr>
        <w:lastRenderedPageBreak/>
        <w:t xml:space="preserve">entre las regiones, los niveles de desarrollo económico, la capacidad de los países, etc. El consultor también está revisando y actualizando su análisis de las posibles brechas entre el Plan Estratégico y la </w:t>
      </w:r>
      <w:r w:rsidRPr="00555075">
        <w:rPr>
          <w:rFonts w:asciiTheme="minorHAnsi" w:hAnsiTheme="minorHAnsi"/>
          <w:i/>
          <w:iCs/>
        </w:rPr>
        <w:t>Perspectiva Mundial sobre los Humedales</w:t>
      </w:r>
      <w:r w:rsidRPr="00555075">
        <w:rPr>
          <w:rFonts w:asciiTheme="minorHAnsi" w:hAnsiTheme="minorHAnsi"/>
        </w:rPr>
        <w:t xml:space="preserve">, </w:t>
      </w:r>
      <w:r w:rsidR="00B8722D" w:rsidRPr="00555075">
        <w:rPr>
          <w:rFonts w:asciiTheme="minorHAnsi" w:hAnsiTheme="minorHAnsi"/>
        </w:rPr>
        <w:t>la evaluación realizada por el GECT en 2018 acerca del estado de los humedales del mundo y sus servicios de los ecosistemas</w:t>
      </w:r>
      <w:r w:rsidR="00B8722D">
        <w:rPr>
          <w:rFonts w:asciiTheme="minorHAnsi" w:hAnsiTheme="minorHAnsi"/>
        </w:rPr>
        <w:t>,</w:t>
      </w:r>
      <w:r w:rsidR="00B8722D" w:rsidRPr="00555075">
        <w:rPr>
          <w:rFonts w:asciiTheme="minorHAnsi" w:hAnsiTheme="minorHAnsi"/>
        </w:rPr>
        <w:t xml:space="preserve"> </w:t>
      </w:r>
      <w:r w:rsidRPr="00555075">
        <w:rPr>
          <w:rFonts w:asciiTheme="minorHAnsi" w:hAnsiTheme="minorHAnsi"/>
        </w:rPr>
        <w:t xml:space="preserve">así como los informes y evaluaciones pertinentes de la Plataforma Intergubernamental Científico-normativa sobre Diversidad Biológica y Servicios de los Ecosistemas (IPBES).  </w:t>
      </w:r>
    </w:p>
    <w:p w14:paraId="4C297FDA" w14:textId="0FD14217" w:rsidR="00A268B2" w:rsidRPr="00555075" w:rsidRDefault="00A268B2" w:rsidP="00763056">
      <w:pPr>
        <w:ind w:left="0" w:firstLine="0"/>
        <w:rPr>
          <w:rFonts w:asciiTheme="minorHAnsi" w:hAnsiTheme="minorHAnsi" w:cstheme="minorHAnsi"/>
        </w:rPr>
      </w:pPr>
    </w:p>
    <w:p w14:paraId="5384B78A" w14:textId="1AE144D8" w:rsidR="00B7121F" w:rsidRPr="00555075" w:rsidRDefault="00081070" w:rsidP="00081070">
      <w:pPr>
        <w:rPr>
          <w:rFonts w:asciiTheme="minorHAnsi" w:hAnsiTheme="minorHAnsi" w:cstheme="minorHAnsi"/>
        </w:rPr>
      </w:pPr>
      <w:r w:rsidRPr="00555075">
        <w:rPr>
          <w:rFonts w:asciiTheme="minorHAnsi" w:hAnsiTheme="minorHAnsi"/>
        </w:rPr>
        <w:t>10.</w:t>
      </w:r>
      <w:r w:rsidRPr="00555075">
        <w:rPr>
          <w:rFonts w:asciiTheme="minorHAnsi" w:hAnsiTheme="minorHAnsi"/>
        </w:rPr>
        <w:tab/>
        <w:t>En la Resolución XIII.5 también se aborda la necesidad de elaborar un nuevo enfoque de asesoramiento y apoyo a las actividades de CECoP en la Convención que, entre otras cosas, complemente el trabajo del Grupo de Trabajo sobre el Plan Estratégico (párrafo 26). El Grupo de supervisión de las actividades de CECoP de la Convención ha publicado los resultados de una encuesta entre las Partes y sus recomendaciones a la reunión SC58 para un nuevo enfoque (SC58 Doc.15.1). El Grupo de Trabajo sobre el Plan Estratégico se comunicará con el Grupo de supervisión de las actividades de CECoP a fin de identificar oportunidades para incluir actividades de CECoP en el Plan Estratégico. Con arreglo a la decisión y las orientaciones que se formulen en la SC58, esto podría traducirse en una colaboración específica con el Grupo de supervisión de las actividades de CECoP.</w:t>
      </w:r>
    </w:p>
    <w:p w14:paraId="77CF2F50" w14:textId="77777777" w:rsidR="003F4793" w:rsidRPr="00555075" w:rsidRDefault="003F4793" w:rsidP="00081070">
      <w:pPr>
        <w:rPr>
          <w:rFonts w:asciiTheme="minorHAnsi" w:hAnsiTheme="minorHAnsi" w:cstheme="minorHAnsi"/>
        </w:rPr>
      </w:pPr>
    </w:p>
    <w:p w14:paraId="16A331D2" w14:textId="34776E96" w:rsidR="004D1625" w:rsidRPr="00555075" w:rsidRDefault="00081070" w:rsidP="00081070">
      <w:pPr>
        <w:rPr>
          <w:rFonts w:asciiTheme="minorHAnsi" w:hAnsiTheme="minorHAnsi" w:cstheme="minorHAnsi"/>
        </w:rPr>
      </w:pPr>
      <w:r w:rsidRPr="00555075">
        <w:rPr>
          <w:rFonts w:asciiTheme="minorHAnsi" w:hAnsiTheme="minorHAnsi"/>
        </w:rPr>
        <w:t>11.</w:t>
      </w:r>
      <w:r w:rsidRPr="00555075">
        <w:rPr>
          <w:rFonts w:asciiTheme="minorHAnsi" w:hAnsiTheme="minorHAnsi"/>
        </w:rPr>
        <w:tab/>
        <w:t xml:space="preserve">El Grupo de trabajo mantendrá otra reunión presencial el 22 de junio de 2020, antes de la apertura de la reunión SC58, para examinar el análisis de la información que está preparando actualmente el consultor, con miras a considerar qué se requiere para concluir la consultoría y qué se requiere para completar el plan de trabajo del Grupo de trabajo, incluidas mejoras propuestas para el Cuarto Plan Estratégico, sus metas e indicadores, y una propuesta de marco y elementos clave para el Quinto Plan Estratégico con posterioridad a 2024. </w:t>
      </w:r>
    </w:p>
    <w:p w14:paraId="7C64979D" w14:textId="61515BFA" w:rsidR="00776612" w:rsidRPr="00555075" w:rsidRDefault="00776612" w:rsidP="00763056">
      <w:pPr>
        <w:rPr>
          <w:rFonts w:asciiTheme="minorHAnsi" w:hAnsiTheme="minorHAnsi" w:cstheme="minorHAnsi"/>
        </w:rPr>
      </w:pPr>
    </w:p>
    <w:p w14:paraId="2A6E9308" w14:textId="64DA399F" w:rsidR="00CF15EA" w:rsidRPr="00555075" w:rsidRDefault="00081070" w:rsidP="00081070">
      <w:pPr>
        <w:rPr>
          <w:rFonts w:asciiTheme="minorHAnsi" w:hAnsiTheme="minorHAnsi"/>
        </w:rPr>
      </w:pPr>
      <w:r w:rsidRPr="00555075">
        <w:rPr>
          <w:rFonts w:asciiTheme="minorHAnsi" w:hAnsiTheme="minorHAnsi"/>
        </w:rPr>
        <w:t>12.</w:t>
      </w:r>
      <w:r w:rsidRPr="00555075">
        <w:rPr>
          <w:rFonts w:asciiTheme="minorHAnsi" w:hAnsiTheme="minorHAnsi"/>
        </w:rPr>
        <w:tab/>
        <w:t xml:space="preserve">El Presidente del Grupo de trabajo informará a la SC58 sobre el resultado de la reunión celebrada el 22 de junio de 2020 por medio de un documento del período de sesiones. </w:t>
      </w:r>
    </w:p>
    <w:p w14:paraId="065FBF2D" w14:textId="77777777" w:rsidR="00695D91" w:rsidRPr="00555075" w:rsidRDefault="00695D91" w:rsidP="007472B2">
      <w:pPr>
        <w:pStyle w:val="ListParagraph"/>
      </w:pPr>
    </w:p>
    <w:p w14:paraId="4EBFF89F" w14:textId="77777777" w:rsidR="00ED1FA0" w:rsidRPr="00555075" w:rsidRDefault="00ED1FA0">
      <w:pPr>
        <w:rPr>
          <w:rFonts w:eastAsia="Times New Roman" w:cs="Garamond"/>
          <w:b/>
        </w:rPr>
      </w:pPr>
      <w:r w:rsidRPr="00555075">
        <w:br w:type="page"/>
      </w:r>
    </w:p>
    <w:p w14:paraId="0DDE428E" w14:textId="331E9A06" w:rsidR="0096430E" w:rsidRPr="00555075" w:rsidRDefault="0096430E" w:rsidP="004D1625">
      <w:pPr>
        <w:ind w:left="0" w:firstLine="0"/>
        <w:rPr>
          <w:rFonts w:eastAsia="Times New Roman" w:cs="Garamond"/>
          <w:b/>
          <w:sz w:val="24"/>
          <w:szCs w:val="24"/>
        </w:rPr>
      </w:pPr>
      <w:r w:rsidRPr="00555075">
        <w:rPr>
          <w:b/>
          <w:sz w:val="24"/>
          <w:szCs w:val="24"/>
        </w:rPr>
        <w:lastRenderedPageBreak/>
        <w:t>Anexo 1</w:t>
      </w:r>
    </w:p>
    <w:p w14:paraId="6FAF0E7D" w14:textId="4F83C9B7" w:rsidR="004D1625" w:rsidRPr="00555075" w:rsidRDefault="004D1625" w:rsidP="004D1625">
      <w:pPr>
        <w:ind w:left="0" w:firstLine="0"/>
        <w:rPr>
          <w:rFonts w:eastAsia="Times New Roman" w:cs="Garamond"/>
          <w:b/>
          <w:sz w:val="24"/>
          <w:szCs w:val="24"/>
        </w:rPr>
      </w:pPr>
      <w:r w:rsidRPr="00555075">
        <w:rPr>
          <w:b/>
          <w:sz w:val="24"/>
          <w:szCs w:val="24"/>
        </w:rPr>
        <w:t xml:space="preserve">Plan de trabajo del Grupo de Trabajo sobre el Plan Estratégico </w:t>
      </w:r>
    </w:p>
    <w:p w14:paraId="347CEA63" w14:textId="5EB035D7" w:rsidR="004D1625" w:rsidRPr="00555075" w:rsidRDefault="004D1625" w:rsidP="004D1625">
      <w:pPr>
        <w:ind w:left="0" w:firstLine="0"/>
        <w:rPr>
          <w:rFonts w:eastAsia="Times New Roman" w:cs="Garamond"/>
          <w:b/>
          <w:lang w:eastAsia="en-GB"/>
        </w:rPr>
      </w:pPr>
    </w:p>
    <w:p w14:paraId="290E4FB9" w14:textId="77777777" w:rsidR="00ED1FA0" w:rsidRPr="00555075" w:rsidRDefault="00ED1FA0" w:rsidP="004D1625">
      <w:pPr>
        <w:ind w:left="0" w:firstLine="0"/>
        <w:rPr>
          <w:rFonts w:eastAsia="Times New Roman" w:cs="Garamond"/>
          <w:b/>
          <w:sz w:val="20"/>
          <w:szCs w:val="20"/>
          <w:lang w:eastAsia="en-GB"/>
        </w:rPr>
      </w:pPr>
    </w:p>
    <w:p w14:paraId="3738AFEE" w14:textId="77777777" w:rsidR="004D1625" w:rsidRPr="00555075" w:rsidRDefault="004D1625" w:rsidP="004D1625">
      <w:pPr>
        <w:ind w:left="0" w:firstLine="0"/>
        <w:rPr>
          <w:rFonts w:eastAsia="Times New Roman" w:cs="Garamond"/>
          <w:b/>
        </w:rPr>
      </w:pPr>
      <w:r w:rsidRPr="00555075">
        <w:rPr>
          <w:b/>
        </w:rPr>
        <w:t>Calendario, actividades principales y resultados previstos</w:t>
      </w:r>
    </w:p>
    <w:p w14:paraId="14C220BE" w14:textId="77777777" w:rsidR="004D1625" w:rsidRPr="00555075" w:rsidRDefault="004D1625" w:rsidP="004D1625">
      <w:pPr>
        <w:ind w:left="0" w:firstLine="0"/>
        <w:rPr>
          <w:rFonts w:eastAsia="Times New Roman" w:cs="Garamond"/>
          <w:b/>
          <w:sz w:val="18"/>
          <w:szCs w:val="18"/>
          <w:lang w:eastAsia="en-GB"/>
        </w:rPr>
      </w:pPr>
    </w:p>
    <w:tbl>
      <w:tblPr>
        <w:tblStyle w:val="TableGrid1"/>
        <w:tblW w:w="9072" w:type="dxa"/>
        <w:tblLayout w:type="fixed"/>
        <w:tblCellMar>
          <w:top w:w="113" w:type="dxa"/>
          <w:left w:w="85" w:type="dxa"/>
          <w:bottom w:w="113" w:type="dxa"/>
          <w:right w:w="85" w:type="dxa"/>
        </w:tblCellMar>
        <w:tblLook w:val="04A0" w:firstRow="1" w:lastRow="0" w:firstColumn="1" w:lastColumn="0" w:noHBand="0" w:noVBand="1"/>
      </w:tblPr>
      <w:tblGrid>
        <w:gridCol w:w="709"/>
        <w:gridCol w:w="1276"/>
        <w:gridCol w:w="7087"/>
      </w:tblGrid>
      <w:tr w:rsidR="00ED1FA0" w:rsidRPr="00555075" w14:paraId="35762FED" w14:textId="77777777" w:rsidTr="00763056">
        <w:trPr>
          <w:tblHeader/>
        </w:trPr>
        <w:tc>
          <w:tcPr>
            <w:tcW w:w="709" w:type="dxa"/>
            <w:tcBorders>
              <w:top w:val="nil"/>
              <w:left w:val="nil"/>
              <w:bottom w:val="nil"/>
              <w:right w:val="nil"/>
            </w:tcBorders>
            <w:shd w:val="clear" w:color="auto" w:fill="BFBFBF"/>
          </w:tcPr>
          <w:p w14:paraId="766EE659" w14:textId="77777777" w:rsidR="004D1625" w:rsidRPr="00555075" w:rsidRDefault="004D1625" w:rsidP="00763056">
            <w:pPr>
              <w:jc w:val="center"/>
              <w:rPr>
                <w:rFonts w:eastAsia="Times New Roman" w:cs="Garamond"/>
                <w:b/>
                <w:i/>
                <w:lang w:eastAsia="en-GB"/>
              </w:rPr>
            </w:pPr>
          </w:p>
        </w:tc>
        <w:tc>
          <w:tcPr>
            <w:tcW w:w="1276" w:type="dxa"/>
            <w:tcBorders>
              <w:top w:val="nil"/>
              <w:left w:val="nil"/>
              <w:bottom w:val="nil"/>
              <w:right w:val="nil"/>
            </w:tcBorders>
            <w:shd w:val="clear" w:color="auto" w:fill="BFBFBF"/>
          </w:tcPr>
          <w:p w14:paraId="1787CF8F" w14:textId="77777777" w:rsidR="004D1625" w:rsidRPr="00555075" w:rsidRDefault="004D1625" w:rsidP="0063739A">
            <w:pPr>
              <w:rPr>
                <w:rFonts w:eastAsia="Times New Roman" w:cs="Calibri"/>
                <w:i/>
              </w:rPr>
            </w:pPr>
            <w:r w:rsidRPr="00555075">
              <w:rPr>
                <w:i/>
              </w:rPr>
              <w:t>Fecha</w:t>
            </w:r>
          </w:p>
        </w:tc>
        <w:tc>
          <w:tcPr>
            <w:tcW w:w="7087" w:type="dxa"/>
            <w:tcBorders>
              <w:top w:val="nil"/>
              <w:left w:val="nil"/>
              <w:bottom w:val="nil"/>
              <w:right w:val="nil"/>
            </w:tcBorders>
            <w:shd w:val="clear" w:color="auto" w:fill="BFBFBF"/>
          </w:tcPr>
          <w:p w14:paraId="503251BA" w14:textId="77777777" w:rsidR="004D1625" w:rsidRPr="00555075" w:rsidRDefault="004D1625" w:rsidP="00763056">
            <w:pPr>
              <w:jc w:val="center"/>
              <w:rPr>
                <w:rFonts w:eastAsia="Times New Roman" w:cs="Calibri"/>
                <w:i/>
              </w:rPr>
            </w:pPr>
            <w:r w:rsidRPr="00555075">
              <w:rPr>
                <w:i/>
              </w:rPr>
              <w:t>Productos previstos</w:t>
            </w:r>
          </w:p>
        </w:tc>
      </w:tr>
      <w:tr w:rsidR="004D1625" w:rsidRPr="00555075" w14:paraId="5EE9D8A3" w14:textId="77777777" w:rsidTr="00763056">
        <w:tc>
          <w:tcPr>
            <w:tcW w:w="709" w:type="dxa"/>
            <w:tcBorders>
              <w:top w:val="nil"/>
              <w:left w:val="single" w:sz="4" w:space="0" w:color="auto"/>
              <w:bottom w:val="single" w:sz="4" w:space="0" w:color="auto"/>
              <w:right w:val="nil"/>
            </w:tcBorders>
          </w:tcPr>
          <w:p w14:paraId="7439C26D" w14:textId="77777777" w:rsidR="004D1625" w:rsidRPr="00555075" w:rsidRDefault="004D1625" w:rsidP="004D1625">
            <w:pPr>
              <w:rPr>
                <w:rFonts w:eastAsia="Times New Roman" w:cs="Garamond"/>
                <w:b/>
              </w:rPr>
            </w:pPr>
            <w:r w:rsidRPr="00555075">
              <w:rPr>
                <w:b/>
              </w:rPr>
              <w:t>2019</w:t>
            </w:r>
          </w:p>
        </w:tc>
        <w:tc>
          <w:tcPr>
            <w:tcW w:w="1276" w:type="dxa"/>
            <w:tcBorders>
              <w:top w:val="nil"/>
              <w:left w:val="nil"/>
              <w:right w:val="nil"/>
            </w:tcBorders>
          </w:tcPr>
          <w:p w14:paraId="72A8C15B" w14:textId="6492A23F" w:rsidR="004D1625" w:rsidRPr="00555075" w:rsidRDefault="004D1625" w:rsidP="004D1625">
            <w:pPr>
              <w:rPr>
                <w:rFonts w:eastAsia="Times New Roman" w:cs="Calibri"/>
              </w:rPr>
            </w:pPr>
            <w:r w:rsidRPr="00555075">
              <w:t>Julio</w:t>
            </w:r>
          </w:p>
          <w:p w14:paraId="4F0EB133" w14:textId="77777777" w:rsidR="004D1625" w:rsidRPr="00555075" w:rsidRDefault="004D1625" w:rsidP="004D1625">
            <w:pPr>
              <w:rPr>
                <w:rFonts w:eastAsia="Times New Roman" w:cs="Calibri"/>
              </w:rPr>
            </w:pPr>
            <w:r w:rsidRPr="00555075">
              <w:t>Agosto</w:t>
            </w:r>
          </w:p>
        </w:tc>
        <w:tc>
          <w:tcPr>
            <w:tcW w:w="7087" w:type="dxa"/>
            <w:tcBorders>
              <w:top w:val="nil"/>
            </w:tcBorders>
          </w:tcPr>
          <w:p w14:paraId="48862FF0" w14:textId="22E16D64" w:rsidR="004D1625" w:rsidRPr="00555075" w:rsidRDefault="004D1625" w:rsidP="004D1625">
            <w:pPr>
              <w:contextualSpacing/>
              <w:rPr>
                <w:rFonts w:eastAsia="Times New Roman" w:cs="Calibri"/>
              </w:rPr>
            </w:pPr>
            <w:r w:rsidRPr="00555075">
              <w:t xml:space="preserve">La </w:t>
            </w:r>
            <w:r w:rsidRPr="00555075">
              <w:rPr>
                <w:i/>
              </w:rPr>
              <w:t>Secretaría</w:t>
            </w:r>
            <w:r w:rsidRPr="00555075">
              <w:t xml:space="preserve"> pide a las Partes restantes, las OIA, las ONG observadoras y el GECT que hagan aportaciones sobre su aplicación del Cuarto Plan Estratégico y contrata al consultor.</w:t>
            </w:r>
          </w:p>
        </w:tc>
      </w:tr>
      <w:tr w:rsidR="004D1625" w:rsidRPr="00555075" w14:paraId="61B51E68" w14:textId="77777777" w:rsidTr="00763056">
        <w:tc>
          <w:tcPr>
            <w:tcW w:w="709" w:type="dxa"/>
            <w:tcBorders>
              <w:top w:val="single" w:sz="4" w:space="0" w:color="auto"/>
              <w:left w:val="single" w:sz="4" w:space="0" w:color="auto"/>
              <w:bottom w:val="single" w:sz="4" w:space="0" w:color="auto"/>
              <w:right w:val="nil"/>
            </w:tcBorders>
          </w:tcPr>
          <w:p w14:paraId="4C28C5DF" w14:textId="77777777" w:rsidR="004D1625" w:rsidRPr="00555075" w:rsidRDefault="004D1625" w:rsidP="004D1625">
            <w:pPr>
              <w:rPr>
                <w:rFonts w:eastAsia="Times New Roman" w:cs="Garamond"/>
                <w:b/>
                <w:lang w:eastAsia="en-GB"/>
              </w:rPr>
            </w:pPr>
          </w:p>
        </w:tc>
        <w:tc>
          <w:tcPr>
            <w:tcW w:w="1276" w:type="dxa"/>
            <w:tcBorders>
              <w:left w:val="nil"/>
              <w:right w:val="nil"/>
            </w:tcBorders>
          </w:tcPr>
          <w:p w14:paraId="3B5988EB" w14:textId="77777777" w:rsidR="004D1625" w:rsidRPr="00555075" w:rsidRDefault="004D1625" w:rsidP="004D1625">
            <w:pPr>
              <w:rPr>
                <w:rFonts w:eastAsia="Times New Roman" w:cs="Calibri"/>
              </w:rPr>
            </w:pPr>
            <w:r w:rsidRPr="00555075">
              <w:t>Agosto</w:t>
            </w:r>
          </w:p>
        </w:tc>
        <w:tc>
          <w:tcPr>
            <w:tcW w:w="7087" w:type="dxa"/>
          </w:tcPr>
          <w:p w14:paraId="7140E599" w14:textId="3D2E6CFF" w:rsidR="004D1625" w:rsidRPr="00555075" w:rsidRDefault="004D1625" w:rsidP="00763056">
            <w:pPr>
              <w:contextualSpacing/>
              <w:rPr>
                <w:rFonts w:eastAsia="Times New Roman" w:cs="Calibri"/>
              </w:rPr>
            </w:pPr>
            <w:r w:rsidRPr="00555075">
              <w:t xml:space="preserve">La </w:t>
            </w:r>
            <w:r w:rsidRPr="00555075">
              <w:rPr>
                <w:i/>
              </w:rPr>
              <w:t>Secretaría</w:t>
            </w:r>
            <w:r w:rsidRPr="00555075">
              <w:t xml:space="preserve"> comparte con el Grupo de trabajo el informe del comité de selección del consultor y el presente Plan de trabajo para el Grupo de trabajo, incluidos el consultor y la Secretaría.</w:t>
            </w:r>
          </w:p>
        </w:tc>
      </w:tr>
      <w:tr w:rsidR="004D1625" w:rsidRPr="00555075" w14:paraId="381D2CA8" w14:textId="77777777" w:rsidTr="00763056">
        <w:tc>
          <w:tcPr>
            <w:tcW w:w="709" w:type="dxa"/>
            <w:tcBorders>
              <w:top w:val="single" w:sz="4" w:space="0" w:color="auto"/>
              <w:left w:val="single" w:sz="4" w:space="0" w:color="auto"/>
              <w:bottom w:val="single" w:sz="4" w:space="0" w:color="auto"/>
              <w:right w:val="nil"/>
            </w:tcBorders>
          </w:tcPr>
          <w:p w14:paraId="7C5C777C" w14:textId="77777777" w:rsidR="004D1625" w:rsidRPr="00555075" w:rsidRDefault="004D1625" w:rsidP="004D1625">
            <w:pPr>
              <w:rPr>
                <w:rFonts w:eastAsia="Times New Roman" w:cs="Garamond"/>
                <w:b/>
                <w:lang w:eastAsia="en-GB"/>
              </w:rPr>
            </w:pPr>
          </w:p>
        </w:tc>
        <w:tc>
          <w:tcPr>
            <w:tcW w:w="1276" w:type="dxa"/>
            <w:tcBorders>
              <w:left w:val="nil"/>
              <w:right w:val="nil"/>
            </w:tcBorders>
          </w:tcPr>
          <w:p w14:paraId="567E2071" w14:textId="77777777" w:rsidR="004D1625" w:rsidRPr="00555075" w:rsidRDefault="004D1625" w:rsidP="004D1625">
            <w:pPr>
              <w:rPr>
                <w:rFonts w:eastAsia="Times New Roman" w:cs="Calibri"/>
              </w:rPr>
            </w:pPr>
            <w:r w:rsidRPr="00555075">
              <w:t>Septiembre/Octubre</w:t>
            </w:r>
          </w:p>
        </w:tc>
        <w:tc>
          <w:tcPr>
            <w:tcW w:w="7087" w:type="dxa"/>
          </w:tcPr>
          <w:p w14:paraId="4A125C14" w14:textId="77777777" w:rsidR="004D1625" w:rsidRPr="00555075" w:rsidRDefault="004D1625" w:rsidP="004D1625">
            <w:pPr>
              <w:rPr>
                <w:rFonts w:eastAsia="Times New Roman" w:cs="Calibri"/>
              </w:rPr>
            </w:pPr>
            <w:r w:rsidRPr="00555075">
              <w:t xml:space="preserve">El </w:t>
            </w:r>
            <w:r w:rsidRPr="00555075">
              <w:rPr>
                <w:i/>
              </w:rPr>
              <w:t xml:space="preserve">consultor </w:t>
            </w:r>
            <w:r w:rsidRPr="00555075">
              <w:t xml:space="preserve">evalúa, de acuerdo con los indicadores del Cuarto Plan Estratégico (cf. </w:t>
            </w:r>
            <w:r w:rsidRPr="00555075">
              <w:rPr>
                <w:i/>
              </w:rPr>
              <w:t>Mandato, Res</w:t>
            </w:r>
            <w:r w:rsidRPr="00555075">
              <w:t>.</w:t>
            </w:r>
            <w:r w:rsidRPr="00555075">
              <w:rPr>
                <w:i/>
              </w:rPr>
              <w:t xml:space="preserve"> XIII.5</w:t>
            </w:r>
            <w:r w:rsidRPr="00555075">
              <w:t>):</w:t>
            </w:r>
          </w:p>
          <w:p w14:paraId="3D63379E" w14:textId="77777777" w:rsidR="004D1625" w:rsidRPr="00555075" w:rsidRDefault="004D1625" w:rsidP="004D1625">
            <w:pPr>
              <w:numPr>
                <w:ilvl w:val="0"/>
                <w:numId w:val="33"/>
              </w:numPr>
              <w:contextualSpacing/>
              <w:rPr>
                <w:rFonts w:eastAsia="Times New Roman" w:cs="Calibri"/>
              </w:rPr>
            </w:pPr>
            <w:r w:rsidRPr="00555075">
              <w:t xml:space="preserve">las aportaciones de las Partes sobre su aplicación del Cuarto Plan Estratégico, </w:t>
            </w:r>
          </w:p>
          <w:p w14:paraId="225985C3" w14:textId="77777777" w:rsidR="004D1625" w:rsidRPr="00555075" w:rsidRDefault="004D1625" w:rsidP="004D1625">
            <w:pPr>
              <w:numPr>
                <w:ilvl w:val="0"/>
                <w:numId w:val="33"/>
              </w:numPr>
              <w:contextualSpacing/>
              <w:rPr>
                <w:rFonts w:eastAsia="Times New Roman" w:cs="Calibri"/>
              </w:rPr>
            </w:pPr>
            <w:r w:rsidRPr="00555075">
              <w:t>el informe de aplicación de la Secretaria General (COP13 Doc. 11.1),</w:t>
            </w:r>
          </w:p>
          <w:p w14:paraId="5F6D49C1" w14:textId="77777777" w:rsidR="004D1625" w:rsidRPr="00555075" w:rsidRDefault="004D1625" w:rsidP="004D1625">
            <w:pPr>
              <w:numPr>
                <w:ilvl w:val="0"/>
                <w:numId w:val="33"/>
              </w:numPr>
              <w:contextualSpacing/>
              <w:rPr>
                <w:rFonts w:eastAsia="Times New Roman" w:cs="Calibri"/>
              </w:rPr>
            </w:pPr>
            <w:r w:rsidRPr="00555075">
              <w:t>las aportaciones recibidas de las OIA, las ONG observadoras y el GECT,</w:t>
            </w:r>
          </w:p>
          <w:p w14:paraId="7EB348A0" w14:textId="77777777" w:rsidR="004D1625" w:rsidRPr="00555075" w:rsidRDefault="004D1625" w:rsidP="004D1625">
            <w:pPr>
              <w:numPr>
                <w:ilvl w:val="0"/>
                <w:numId w:val="33"/>
              </w:numPr>
              <w:contextualSpacing/>
              <w:rPr>
                <w:rFonts w:eastAsia="Times New Roman" w:cs="Calibri"/>
              </w:rPr>
            </w:pPr>
            <w:r w:rsidRPr="00555075">
              <w:t>las conclusiones de la Perspectiva Mundial sobre los Humedales,</w:t>
            </w:r>
          </w:p>
          <w:p w14:paraId="3EF62852" w14:textId="77777777" w:rsidR="004D1625" w:rsidRPr="00555075" w:rsidRDefault="004D1625" w:rsidP="004D1625">
            <w:pPr>
              <w:numPr>
                <w:ilvl w:val="0"/>
                <w:numId w:val="33"/>
              </w:numPr>
              <w:contextualSpacing/>
              <w:rPr>
                <w:rFonts w:eastAsia="Times New Roman" w:cs="Calibri"/>
              </w:rPr>
            </w:pPr>
            <w:r w:rsidRPr="00555075">
              <w:t>las deficiencias en las prioridades del Cuarto Plan Estratégico y las debilidades de sus indicadores,</w:t>
            </w:r>
          </w:p>
          <w:p w14:paraId="0475B7EC" w14:textId="77777777" w:rsidR="004D1625" w:rsidRPr="00555075" w:rsidRDefault="004D1625" w:rsidP="004D1625">
            <w:pPr>
              <w:numPr>
                <w:ilvl w:val="0"/>
                <w:numId w:val="33"/>
              </w:numPr>
              <w:contextualSpacing/>
              <w:rPr>
                <w:rFonts w:eastAsia="Times New Roman" w:cs="Calibri"/>
              </w:rPr>
            </w:pPr>
            <w:r w:rsidRPr="00555075">
              <w:t>informes pertinentes de la IPBES, la Agenda 2030, el marco mundial para la diversidad biológica posterior a 2020 que se adoptará, las mejoras propuestas para los indicadores por el grupo de expertos en 2015, la elaboración de indicadores pertinentes por parte de otros AMMA y foros pertinentes, e</w:t>
            </w:r>
          </w:p>
          <w:p w14:paraId="331D7BF4" w14:textId="77777777" w:rsidR="004D1625" w:rsidRPr="00555075" w:rsidRDefault="004D1625" w:rsidP="004D1625">
            <w:pPr>
              <w:numPr>
                <w:ilvl w:val="0"/>
                <w:numId w:val="33"/>
              </w:numPr>
              <w:contextualSpacing/>
              <w:rPr>
                <w:rFonts w:eastAsia="Times New Roman" w:cs="Calibri"/>
              </w:rPr>
            </w:pPr>
            <w:r w:rsidRPr="00555075">
              <w:rPr>
                <w:i/>
              </w:rPr>
              <w:t>identifica</w:t>
            </w:r>
            <w:r w:rsidRPr="00555075">
              <w:t xml:space="preserve"> las brechas entre el alcance de los informes nacionales y el Cuarto Plan Estratégico, y</w:t>
            </w:r>
          </w:p>
          <w:p w14:paraId="7925BEFF" w14:textId="39183A0B" w:rsidR="004D1625" w:rsidRPr="00555075" w:rsidRDefault="004D1625" w:rsidP="00763056">
            <w:pPr>
              <w:numPr>
                <w:ilvl w:val="0"/>
                <w:numId w:val="33"/>
              </w:numPr>
              <w:contextualSpacing/>
              <w:rPr>
                <w:rFonts w:eastAsia="Times New Roman" w:cs="Calibri"/>
              </w:rPr>
            </w:pPr>
            <w:r w:rsidRPr="00555075">
              <w:rPr>
                <w:i/>
              </w:rPr>
              <w:t>oportunidades</w:t>
            </w:r>
            <w:r w:rsidRPr="00555075">
              <w:t xml:space="preserve"> para centrar más estrechamente el examen del Cuarto Plan Estratégico en un conjunto de prioridades clave y para incluir actividades de CECoP en el Cuarto Plan Estratégico.</w:t>
            </w:r>
          </w:p>
        </w:tc>
      </w:tr>
      <w:tr w:rsidR="004D1625" w:rsidRPr="00555075" w14:paraId="7A775CCE" w14:textId="77777777" w:rsidTr="00763056">
        <w:tc>
          <w:tcPr>
            <w:tcW w:w="709" w:type="dxa"/>
            <w:tcBorders>
              <w:top w:val="single" w:sz="4" w:space="0" w:color="auto"/>
              <w:left w:val="single" w:sz="4" w:space="0" w:color="auto"/>
              <w:bottom w:val="single" w:sz="4" w:space="0" w:color="auto"/>
              <w:right w:val="nil"/>
            </w:tcBorders>
          </w:tcPr>
          <w:p w14:paraId="5246F1C9" w14:textId="77777777" w:rsidR="004D1625" w:rsidRPr="00555075" w:rsidRDefault="004D1625" w:rsidP="004D1625">
            <w:pPr>
              <w:rPr>
                <w:rFonts w:eastAsia="Times New Roman" w:cs="Garamond"/>
                <w:b/>
                <w:lang w:eastAsia="en-GB"/>
              </w:rPr>
            </w:pPr>
          </w:p>
        </w:tc>
        <w:tc>
          <w:tcPr>
            <w:tcW w:w="1276" w:type="dxa"/>
            <w:tcBorders>
              <w:left w:val="nil"/>
              <w:right w:val="nil"/>
            </w:tcBorders>
          </w:tcPr>
          <w:p w14:paraId="255F21E5" w14:textId="77777777" w:rsidR="004D1625" w:rsidRPr="00555075" w:rsidRDefault="004D1625" w:rsidP="004D1625">
            <w:pPr>
              <w:rPr>
                <w:rFonts w:eastAsia="Times New Roman" w:cs="Calibri"/>
              </w:rPr>
            </w:pPr>
            <w:r w:rsidRPr="00555075">
              <w:t>Noviembre</w:t>
            </w:r>
          </w:p>
        </w:tc>
        <w:tc>
          <w:tcPr>
            <w:tcW w:w="7087" w:type="dxa"/>
          </w:tcPr>
          <w:p w14:paraId="46B3CAC9" w14:textId="5CF3DB27" w:rsidR="004D1625" w:rsidRPr="00555075" w:rsidRDefault="004D1625" w:rsidP="004D1625">
            <w:pPr>
              <w:rPr>
                <w:rFonts w:eastAsia="Times New Roman" w:cs="Calibri"/>
              </w:rPr>
            </w:pPr>
            <w:r w:rsidRPr="00555075">
              <w:rPr>
                <w:b/>
                <w:i/>
              </w:rPr>
              <w:t>Reunión virtual</w:t>
            </w:r>
            <w:r w:rsidRPr="00555075">
              <w:rPr>
                <w:b/>
              </w:rPr>
              <w:t xml:space="preserve"> del Grupo de trabajo </w:t>
            </w:r>
            <w:r w:rsidRPr="00555075">
              <w:t>para evaluar los avances, con el consultor y la Secretaría, presentando al Grupo de trabajo las conclusiones iniciales y las solicitudes de orientación estratégica sobre la base de las conclusiones iniciales y sus consecuencias.</w:t>
            </w:r>
          </w:p>
        </w:tc>
      </w:tr>
      <w:tr w:rsidR="004D1625" w:rsidRPr="00555075" w14:paraId="50FBF35E" w14:textId="77777777" w:rsidTr="00763056">
        <w:tc>
          <w:tcPr>
            <w:tcW w:w="709" w:type="dxa"/>
            <w:tcBorders>
              <w:top w:val="single" w:sz="4" w:space="0" w:color="auto"/>
              <w:left w:val="single" w:sz="4" w:space="0" w:color="auto"/>
              <w:bottom w:val="single" w:sz="4" w:space="0" w:color="auto"/>
              <w:right w:val="nil"/>
            </w:tcBorders>
          </w:tcPr>
          <w:p w14:paraId="64EA10C3" w14:textId="77777777" w:rsidR="004D1625" w:rsidRPr="00555075" w:rsidRDefault="004D1625" w:rsidP="004D1625">
            <w:pPr>
              <w:rPr>
                <w:rFonts w:eastAsia="Times New Roman" w:cs="Garamond"/>
                <w:b/>
              </w:rPr>
            </w:pPr>
            <w:r w:rsidRPr="00555075">
              <w:rPr>
                <w:b/>
              </w:rPr>
              <w:t>2020</w:t>
            </w:r>
          </w:p>
        </w:tc>
        <w:tc>
          <w:tcPr>
            <w:tcW w:w="1276" w:type="dxa"/>
            <w:tcBorders>
              <w:left w:val="nil"/>
              <w:right w:val="nil"/>
            </w:tcBorders>
          </w:tcPr>
          <w:p w14:paraId="3729DFE7" w14:textId="77777777" w:rsidR="004D1625" w:rsidRPr="00555075" w:rsidRDefault="004D1625" w:rsidP="004D1625">
            <w:pPr>
              <w:rPr>
                <w:rFonts w:eastAsia="Times New Roman" w:cs="Calibri"/>
              </w:rPr>
            </w:pPr>
            <w:r w:rsidRPr="00555075">
              <w:t xml:space="preserve">Febrero </w:t>
            </w:r>
          </w:p>
        </w:tc>
        <w:tc>
          <w:tcPr>
            <w:tcW w:w="7087" w:type="dxa"/>
          </w:tcPr>
          <w:p w14:paraId="1FB542C0" w14:textId="122B4355" w:rsidR="004D1625" w:rsidRPr="00555075" w:rsidRDefault="004D1625" w:rsidP="004D1625">
            <w:pPr>
              <w:rPr>
                <w:rFonts w:eastAsia="Times New Roman" w:cs="Calibri"/>
              </w:rPr>
            </w:pPr>
            <w:r w:rsidRPr="00555075">
              <w:rPr>
                <w:b/>
                <w:i/>
              </w:rPr>
              <w:t xml:space="preserve">Documento de la SC58 </w:t>
            </w:r>
            <w:r w:rsidRPr="00555075">
              <w:t>con un borrador avanzado del informe sobre tres elementos:</w:t>
            </w:r>
          </w:p>
          <w:p w14:paraId="07CE8DC1" w14:textId="77777777" w:rsidR="004D1625" w:rsidRPr="00555075" w:rsidRDefault="004D1625" w:rsidP="004D1625">
            <w:pPr>
              <w:numPr>
                <w:ilvl w:val="0"/>
                <w:numId w:val="32"/>
              </w:numPr>
              <w:contextualSpacing/>
              <w:rPr>
                <w:rFonts w:eastAsia="Times New Roman" w:cs="Calibri"/>
              </w:rPr>
            </w:pPr>
            <w:r w:rsidRPr="00555075">
              <w:t>Informe sobre los avances en la aplicación del Cuarto Plan Estratégico (2016-2020),</w:t>
            </w:r>
          </w:p>
          <w:p w14:paraId="1A20DBF7" w14:textId="77777777" w:rsidR="004D1625" w:rsidRPr="00555075" w:rsidRDefault="004D1625" w:rsidP="004D1625">
            <w:pPr>
              <w:numPr>
                <w:ilvl w:val="0"/>
                <w:numId w:val="32"/>
              </w:numPr>
              <w:contextualSpacing/>
              <w:rPr>
                <w:rFonts w:eastAsia="Times New Roman" w:cs="Calibri"/>
              </w:rPr>
            </w:pPr>
            <w:r w:rsidRPr="00555075">
              <w:t>Marco propuesto y elementos clave para el Quinto Plan Estratégico (posterior a 2024),</w:t>
            </w:r>
          </w:p>
          <w:p w14:paraId="79A344B4" w14:textId="77777777" w:rsidR="004D1625" w:rsidRPr="00555075" w:rsidRDefault="004D1625" w:rsidP="004D1625">
            <w:pPr>
              <w:numPr>
                <w:ilvl w:val="0"/>
                <w:numId w:val="32"/>
              </w:numPr>
              <w:contextualSpacing/>
              <w:rPr>
                <w:rFonts w:eastAsia="Times New Roman" w:cs="Calibri"/>
              </w:rPr>
            </w:pPr>
            <w:r w:rsidRPr="00555075">
              <w:t>Mejoras propuestas para el Cuarto Plan Estratégico, sus metas e indicadores.</w:t>
            </w:r>
          </w:p>
          <w:p w14:paraId="078FB384" w14:textId="77777777" w:rsidR="004D1625" w:rsidRPr="00555075" w:rsidRDefault="004D1625" w:rsidP="004D1625">
            <w:pPr>
              <w:rPr>
                <w:rFonts w:eastAsia="Times New Roman" w:cs="Calibri"/>
                <w:lang w:eastAsia="en-GB"/>
              </w:rPr>
            </w:pPr>
          </w:p>
          <w:p w14:paraId="5CF57E52" w14:textId="13BAE990" w:rsidR="004D1625" w:rsidRPr="00555075" w:rsidRDefault="004D1625" w:rsidP="00763056">
            <w:pPr>
              <w:rPr>
                <w:rFonts w:eastAsia="Times New Roman" w:cs="Calibri"/>
              </w:rPr>
            </w:pPr>
            <w:r w:rsidRPr="00555075">
              <w:rPr>
                <w:b/>
                <w:i/>
              </w:rPr>
              <w:lastRenderedPageBreak/>
              <w:t>Reunión virtual</w:t>
            </w:r>
            <w:r w:rsidRPr="00555075">
              <w:rPr>
                <w:b/>
              </w:rPr>
              <w:t xml:space="preserve"> del Grupo de trabajo</w:t>
            </w:r>
            <w:r w:rsidRPr="00555075">
              <w:t xml:space="preserve"> con el consultor y la Secretaría para formular observaciones sobre el borrador avanzado antes de su presentación.</w:t>
            </w:r>
          </w:p>
        </w:tc>
      </w:tr>
      <w:tr w:rsidR="004D1625" w:rsidRPr="00555075" w14:paraId="7D3C2647" w14:textId="77777777" w:rsidTr="00763056">
        <w:tc>
          <w:tcPr>
            <w:tcW w:w="709" w:type="dxa"/>
            <w:tcBorders>
              <w:top w:val="single" w:sz="4" w:space="0" w:color="auto"/>
              <w:left w:val="single" w:sz="4" w:space="0" w:color="auto"/>
              <w:bottom w:val="single" w:sz="4" w:space="0" w:color="auto"/>
              <w:right w:val="nil"/>
            </w:tcBorders>
          </w:tcPr>
          <w:p w14:paraId="6CB44658" w14:textId="77777777" w:rsidR="004D1625" w:rsidRPr="00555075" w:rsidRDefault="004D1625" w:rsidP="004D1625">
            <w:pPr>
              <w:rPr>
                <w:rFonts w:eastAsia="Times New Roman" w:cs="Garamond"/>
                <w:b/>
                <w:lang w:eastAsia="en-GB"/>
              </w:rPr>
            </w:pPr>
          </w:p>
        </w:tc>
        <w:tc>
          <w:tcPr>
            <w:tcW w:w="1276" w:type="dxa"/>
            <w:tcBorders>
              <w:left w:val="nil"/>
              <w:right w:val="nil"/>
            </w:tcBorders>
          </w:tcPr>
          <w:p w14:paraId="02124E2F" w14:textId="77777777" w:rsidR="004D1625" w:rsidRPr="00555075" w:rsidRDefault="004D1625" w:rsidP="004D1625">
            <w:pPr>
              <w:rPr>
                <w:rFonts w:eastAsia="Times New Roman" w:cs="Calibri"/>
              </w:rPr>
            </w:pPr>
            <w:r w:rsidRPr="00555075">
              <w:t>Marzo</w:t>
            </w:r>
          </w:p>
        </w:tc>
        <w:tc>
          <w:tcPr>
            <w:tcW w:w="7087" w:type="dxa"/>
          </w:tcPr>
          <w:p w14:paraId="72BAA440" w14:textId="049EF82E" w:rsidR="004D1625" w:rsidRPr="00555075" w:rsidRDefault="004D1625" w:rsidP="004D1625">
            <w:r w:rsidRPr="00555075">
              <w:t>Presentación de un documento de la SC58 que integre las observaciones del Grupo de trabajo.</w:t>
            </w:r>
          </w:p>
        </w:tc>
      </w:tr>
      <w:tr w:rsidR="004D1625" w:rsidRPr="00555075" w14:paraId="1D0A2255" w14:textId="77777777" w:rsidTr="00763056">
        <w:tc>
          <w:tcPr>
            <w:tcW w:w="709" w:type="dxa"/>
            <w:tcBorders>
              <w:top w:val="single" w:sz="4" w:space="0" w:color="auto"/>
              <w:left w:val="single" w:sz="4" w:space="0" w:color="auto"/>
              <w:bottom w:val="single" w:sz="4" w:space="0" w:color="auto"/>
              <w:right w:val="nil"/>
            </w:tcBorders>
          </w:tcPr>
          <w:p w14:paraId="07957BE4" w14:textId="77777777" w:rsidR="004D1625" w:rsidRPr="00555075" w:rsidRDefault="004D1625" w:rsidP="004D1625">
            <w:pPr>
              <w:rPr>
                <w:rFonts w:eastAsia="Times New Roman" w:cs="Garamond"/>
                <w:b/>
                <w:lang w:eastAsia="en-GB"/>
              </w:rPr>
            </w:pPr>
          </w:p>
        </w:tc>
        <w:tc>
          <w:tcPr>
            <w:tcW w:w="1276" w:type="dxa"/>
            <w:tcBorders>
              <w:left w:val="nil"/>
              <w:right w:val="nil"/>
            </w:tcBorders>
          </w:tcPr>
          <w:p w14:paraId="03E6CA88" w14:textId="61A3BF65" w:rsidR="004D1625" w:rsidRPr="00555075" w:rsidRDefault="004D1625" w:rsidP="0063739A">
            <w:pPr>
              <w:rPr>
                <w:rFonts w:eastAsia="Times New Roman" w:cs="Calibri"/>
              </w:rPr>
            </w:pPr>
            <w:r w:rsidRPr="00555075">
              <w:t>22 de junio</w:t>
            </w:r>
          </w:p>
        </w:tc>
        <w:tc>
          <w:tcPr>
            <w:tcW w:w="7087" w:type="dxa"/>
          </w:tcPr>
          <w:p w14:paraId="07CF55CC" w14:textId="77777777" w:rsidR="004D1625" w:rsidRPr="00555075" w:rsidRDefault="004D1625" w:rsidP="004D1625">
            <w:pPr>
              <w:rPr>
                <w:rFonts w:eastAsia="Times New Roman" w:cs="Calibri"/>
              </w:rPr>
            </w:pPr>
            <w:r w:rsidRPr="00555075">
              <w:rPr>
                <w:b/>
                <w:i/>
              </w:rPr>
              <w:t>Reunión presencial</w:t>
            </w:r>
            <w:r w:rsidRPr="00555075">
              <w:rPr>
                <w:b/>
              </w:rPr>
              <w:t xml:space="preserve"> del Grupo de trabajo</w:t>
            </w:r>
            <w:r w:rsidRPr="00555075">
              <w:t xml:space="preserve"> con el consultor y la Secretaría: </w:t>
            </w:r>
          </w:p>
          <w:p w14:paraId="029EB172" w14:textId="61F278DB" w:rsidR="004D1625" w:rsidRPr="00555075" w:rsidRDefault="004D1625" w:rsidP="00763056">
            <w:pPr>
              <w:numPr>
                <w:ilvl w:val="0"/>
                <w:numId w:val="32"/>
              </w:numPr>
              <w:contextualSpacing/>
              <w:rPr>
                <w:rFonts w:eastAsia="Times New Roman" w:cs="Calibri"/>
              </w:rPr>
            </w:pPr>
            <w:r w:rsidRPr="00555075">
              <w:t>actualiza el documento de la SC58 y sus recomendaciones a la SC58</w:t>
            </w:r>
          </w:p>
        </w:tc>
      </w:tr>
      <w:tr w:rsidR="00ED1FA0" w:rsidRPr="00555075" w14:paraId="4084C490" w14:textId="77777777" w:rsidTr="00763056">
        <w:tc>
          <w:tcPr>
            <w:tcW w:w="709" w:type="dxa"/>
            <w:tcBorders>
              <w:top w:val="single" w:sz="4" w:space="0" w:color="auto"/>
              <w:left w:val="single" w:sz="4" w:space="0" w:color="auto"/>
              <w:bottom w:val="single" w:sz="4" w:space="0" w:color="auto"/>
              <w:right w:val="nil"/>
            </w:tcBorders>
            <w:shd w:val="clear" w:color="auto" w:fill="BFBFBF"/>
          </w:tcPr>
          <w:p w14:paraId="5FADD1BE" w14:textId="77777777" w:rsidR="004D1625" w:rsidRPr="00555075" w:rsidRDefault="004D1625" w:rsidP="004D1625">
            <w:pPr>
              <w:rPr>
                <w:rFonts w:eastAsia="Times New Roman" w:cs="Garamond"/>
                <w:b/>
                <w:lang w:eastAsia="en-GB"/>
              </w:rPr>
            </w:pPr>
          </w:p>
        </w:tc>
        <w:tc>
          <w:tcPr>
            <w:tcW w:w="1276" w:type="dxa"/>
            <w:tcBorders>
              <w:left w:val="nil"/>
              <w:right w:val="nil"/>
            </w:tcBorders>
            <w:shd w:val="clear" w:color="auto" w:fill="BFBFBF"/>
          </w:tcPr>
          <w:p w14:paraId="7D9B8D86" w14:textId="77777777" w:rsidR="004D1625" w:rsidRPr="00555075" w:rsidRDefault="004D1625" w:rsidP="004D1625">
            <w:pPr>
              <w:rPr>
                <w:rFonts w:eastAsia="Times New Roman" w:cs="Calibri"/>
              </w:rPr>
            </w:pPr>
            <w:r w:rsidRPr="00555075">
              <w:t>22 a 26 de junio</w:t>
            </w:r>
          </w:p>
        </w:tc>
        <w:tc>
          <w:tcPr>
            <w:tcW w:w="7087" w:type="dxa"/>
            <w:shd w:val="clear" w:color="auto" w:fill="BFBFBF"/>
          </w:tcPr>
          <w:p w14:paraId="4D54927E" w14:textId="2E134A5E" w:rsidR="004D1625" w:rsidRPr="00555075" w:rsidRDefault="004D1625" w:rsidP="004D1625">
            <w:pPr>
              <w:rPr>
                <w:b/>
              </w:rPr>
            </w:pPr>
            <w:r w:rsidRPr="00555075">
              <w:rPr>
                <w:b/>
              </w:rPr>
              <w:t xml:space="preserve">La </w:t>
            </w:r>
            <w:r w:rsidRPr="00555075">
              <w:rPr>
                <w:b/>
                <w:i/>
              </w:rPr>
              <w:t xml:space="preserve">SC58 </w:t>
            </w:r>
            <w:r w:rsidRPr="00555075">
              <w:rPr>
                <w:b/>
              </w:rPr>
              <w:t>considera las recomendaciones y la información actualizada presentadas por el Grupo de trabajo.</w:t>
            </w:r>
          </w:p>
        </w:tc>
      </w:tr>
      <w:tr w:rsidR="004D1625" w:rsidRPr="00555075" w14:paraId="7709A1BA" w14:textId="77777777" w:rsidTr="00763056">
        <w:tc>
          <w:tcPr>
            <w:tcW w:w="709" w:type="dxa"/>
            <w:tcBorders>
              <w:top w:val="single" w:sz="4" w:space="0" w:color="auto"/>
              <w:left w:val="single" w:sz="4" w:space="0" w:color="auto"/>
              <w:bottom w:val="single" w:sz="4" w:space="0" w:color="auto"/>
              <w:right w:val="nil"/>
            </w:tcBorders>
          </w:tcPr>
          <w:p w14:paraId="7D41D3AC" w14:textId="77777777" w:rsidR="004D1625" w:rsidRPr="00555075" w:rsidRDefault="004D1625" w:rsidP="004D1625">
            <w:pPr>
              <w:rPr>
                <w:rFonts w:eastAsia="Times New Roman" w:cs="Garamond"/>
                <w:b/>
              </w:rPr>
            </w:pPr>
            <w:r w:rsidRPr="00555075">
              <w:rPr>
                <w:b/>
              </w:rPr>
              <w:t>2020</w:t>
            </w:r>
          </w:p>
        </w:tc>
        <w:tc>
          <w:tcPr>
            <w:tcW w:w="1276" w:type="dxa"/>
            <w:tcBorders>
              <w:left w:val="nil"/>
              <w:right w:val="nil"/>
            </w:tcBorders>
          </w:tcPr>
          <w:p w14:paraId="159007DC" w14:textId="77777777" w:rsidR="004D1625" w:rsidRPr="00555075" w:rsidRDefault="004D1625" w:rsidP="004D1625">
            <w:pPr>
              <w:rPr>
                <w:rFonts w:eastAsia="Times New Roman" w:cs="Calibri"/>
              </w:rPr>
            </w:pPr>
            <w:r w:rsidRPr="00555075">
              <w:t xml:space="preserve">Septiembre </w:t>
            </w:r>
          </w:p>
        </w:tc>
        <w:tc>
          <w:tcPr>
            <w:tcW w:w="7087" w:type="dxa"/>
          </w:tcPr>
          <w:p w14:paraId="7D0D01C3" w14:textId="3518C5B3" w:rsidR="004D1625" w:rsidRPr="00555075" w:rsidRDefault="004D1625" w:rsidP="004D1625">
            <w:pPr>
              <w:rPr>
                <w:rFonts w:eastAsia="Times New Roman" w:cs="Calibri"/>
              </w:rPr>
            </w:pPr>
            <w:r w:rsidRPr="00555075">
              <w:t>Presentación de los informes nacionales nueve meses antes de la COP14 (probablemente en junio de 2021).</w:t>
            </w:r>
          </w:p>
        </w:tc>
      </w:tr>
      <w:tr w:rsidR="004D1625" w:rsidRPr="00555075" w14:paraId="5C8F445F" w14:textId="77777777" w:rsidTr="00763056">
        <w:tc>
          <w:tcPr>
            <w:tcW w:w="709" w:type="dxa"/>
            <w:tcBorders>
              <w:top w:val="single" w:sz="4" w:space="0" w:color="auto"/>
              <w:left w:val="single" w:sz="4" w:space="0" w:color="auto"/>
              <w:bottom w:val="single" w:sz="4" w:space="0" w:color="auto"/>
              <w:right w:val="nil"/>
            </w:tcBorders>
          </w:tcPr>
          <w:p w14:paraId="478E6191" w14:textId="77777777" w:rsidR="004D1625" w:rsidRPr="00555075" w:rsidRDefault="004D1625" w:rsidP="004D1625">
            <w:pPr>
              <w:rPr>
                <w:rFonts w:eastAsia="Times New Roman" w:cs="Garamond"/>
                <w:b/>
                <w:lang w:eastAsia="en-GB"/>
              </w:rPr>
            </w:pPr>
          </w:p>
        </w:tc>
        <w:tc>
          <w:tcPr>
            <w:tcW w:w="1276" w:type="dxa"/>
            <w:tcBorders>
              <w:left w:val="nil"/>
              <w:right w:val="nil"/>
            </w:tcBorders>
          </w:tcPr>
          <w:p w14:paraId="4670EB35" w14:textId="77777777" w:rsidR="004D1625" w:rsidRPr="00555075" w:rsidRDefault="004D1625" w:rsidP="004D1625">
            <w:pPr>
              <w:rPr>
                <w:rFonts w:eastAsia="Times New Roman" w:cs="Calibri"/>
              </w:rPr>
            </w:pPr>
            <w:r w:rsidRPr="00555075">
              <w:t xml:space="preserve">Octubre </w:t>
            </w:r>
          </w:p>
        </w:tc>
        <w:tc>
          <w:tcPr>
            <w:tcW w:w="7087" w:type="dxa"/>
          </w:tcPr>
          <w:p w14:paraId="1D0ED1B1" w14:textId="51005F73" w:rsidR="004D1625" w:rsidRPr="00555075" w:rsidRDefault="004D1625" w:rsidP="0096430E">
            <w:pPr>
              <w:rPr>
                <w:rFonts w:eastAsia="Times New Roman" w:cs="Calibri"/>
              </w:rPr>
            </w:pPr>
            <w:r w:rsidRPr="00555075">
              <w:t>Adopción del marco para la diversidad biológica posterior a 2020 por la COP15 del CDB.</w:t>
            </w:r>
          </w:p>
        </w:tc>
      </w:tr>
      <w:tr w:rsidR="004D1625" w:rsidRPr="00555075" w14:paraId="3255955B" w14:textId="77777777" w:rsidTr="00763056">
        <w:tc>
          <w:tcPr>
            <w:tcW w:w="709" w:type="dxa"/>
            <w:tcBorders>
              <w:top w:val="single" w:sz="4" w:space="0" w:color="auto"/>
              <w:left w:val="single" w:sz="4" w:space="0" w:color="auto"/>
              <w:bottom w:val="single" w:sz="4" w:space="0" w:color="auto"/>
              <w:right w:val="nil"/>
            </w:tcBorders>
          </w:tcPr>
          <w:p w14:paraId="7F3EDEE1" w14:textId="77777777" w:rsidR="004D1625" w:rsidRPr="00555075" w:rsidRDefault="004D1625" w:rsidP="004D1625">
            <w:pPr>
              <w:rPr>
                <w:rFonts w:eastAsia="Times New Roman" w:cs="Garamond"/>
                <w:b/>
                <w:lang w:eastAsia="en-GB"/>
              </w:rPr>
            </w:pPr>
          </w:p>
        </w:tc>
        <w:tc>
          <w:tcPr>
            <w:tcW w:w="1276" w:type="dxa"/>
            <w:tcBorders>
              <w:left w:val="nil"/>
              <w:right w:val="nil"/>
            </w:tcBorders>
          </w:tcPr>
          <w:p w14:paraId="5C093594" w14:textId="77777777" w:rsidR="004D1625" w:rsidRPr="00555075" w:rsidRDefault="004D1625" w:rsidP="004D1625">
            <w:pPr>
              <w:rPr>
                <w:rFonts w:eastAsia="Times New Roman" w:cs="Calibri"/>
              </w:rPr>
            </w:pPr>
            <w:r w:rsidRPr="00555075">
              <w:t xml:space="preserve">Oct./Nov. </w:t>
            </w:r>
          </w:p>
        </w:tc>
        <w:tc>
          <w:tcPr>
            <w:tcW w:w="7087" w:type="dxa"/>
          </w:tcPr>
          <w:p w14:paraId="27B6FEB1" w14:textId="165A9C4A" w:rsidR="004D1625" w:rsidRPr="00555075" w:rsidRDefault="004D1625" w:rsidP="004D1625">
            <w:pPr>
              <w:rPr>
                <w:rFonts w:eastAsia="Times New Roman" w:cs="Calibri"/>
              </w:rPr>
            </w:pPr>
            <w:r w:rsidRPr="00555075">
              <w:t>Evaluación por la Secretaría de los informes nacionales para la COP14.</w:t>
            </w:r>
          </w:p>
        </w:tc>
      </w:tr>
      <w:tr w:rsidR="004D1625" w:rsidRPr="00555075" w14:paraId="374EAFD6" w14:textId="77777777" w:rsidTr="00763056">
        <w:tc>
          <w:tcPr>
            <w:tcW w:w="709" w:type="dxa"/>
            <w:tcBorders>
              <w:top w:val="single" w:sz="4" w:space="0" w:color="auto"/>
              <w:left w:val="single" w:sz="4" w:space="0" w:color="auto"/>
              <w:bottom w:val="single" w:sz="4" w:space="0" w:color="auto"/>
              <w:right w:val="nil"/>
            </w:tcBorders>
          </w:tcPr>
          <w:p w14:paraId="184FA1B9" w14:textId="77777777" w:rsidR="004D1625" w:rsidRPr="00555075" w:rsidRDefault="004D1625" w:rsidP="004D1625">
            <w:pPr>
              <w:rPr>
                <w:rFonts w:eastAsia="Times New Roman" w:cs="Garamond"/>
                <w:b/>
                <w:lang w:eastAsia="en-GB"/>
              </w:rPr>
            </w:pPr>
          </w:p>
        </w:tc>
        <w:tc>
          <w:tcPr>
            <w:tcW w:w="1276" w:type="dxa"/>
            <w:tcBorders>
              <w:left w:val="nil"/>
              <w:right w:val="nil"/>
            </w:tcBorders>
          </w:tcPr>
          <w:p w14:paraId="17DCFB70" w14:textId="2D2A90BC" w:rsidR="004D1625" w:rsidRPr="00555075" w:rsidRDefault="004D1625" w:rsidP="004D1625">
            <w:pPr>
              <w:rPr>
                <w:rFonts w:eastAsia="Times New Roman" w:cs="Calibri"/>
              </w:rPr>
            </w:pPr>
            <w:r w:rsidRPr="00555075">
              <w:t>Noviembre</w:t>
            </w:r>
          </w:p>
        </w:tc>
        <w:tc>
          <w:tcPr>
            <w:tcW w:w="7087" w:type="dxa"/>
          </w:tcPr>
          <w:p w14:paraId="7BBC3F08" w14:textId="20C2D764" w:rsidR="004D1625" w:rsidRPr="00555075" w:rsidRDefault="004D1625" w:rsidP="004D1625">
            <w:pPr>
              <w:rPr>
                <w:rFonts w:eastAsia="Times New Roman" w:cs="Calibri"/>
              </w:rPr>
            </w:pPr>
            <w:r w:rsidRPr="00555075">
              <w:rPr>
                <w:b/>
                <w:i/>
              </w:rPr>
              <w:t xml:space="preserve">Documento de la SC59 </w:t>
            </w:r>
            <w:r w:rsidRPr="00555075">
              <w:t>con un borrador avanzado de informe con tres elementos que se presentarán a la COP14:</w:t>
            </w:r>
          </w:p>
          <w:p w14:paraId="7FCB0579" w14:textId="54FF4B92" w:rsidR="004D1625" w:rsidRPr="00555075" w:rsidRDefault="004D1625" w:rsidP="004D1625">
            <w:pPr>
              <w:numPr>
                <w:ilvl w:val="0"/>
                <w:numId w:val="31"/>
              </w:numPr>
              <w:contextualSpacing/>
              <w:rPr>
                <w:rFonts w:eastAsia="Times New Roman" w:cs="Calibri"/>
              </w:rPr>
            </w:pPr>
            <w:r w:rsidRPr="00555075">
              <w:t>Informe sobre los avances en la aplicación del Cuarto Plan Estratégico (2016-2020),</w:t>
            </w:r>
          </w:p>
          <w:p w14:paraId="0572A115" w14:textId="3B930A36" w:rsidR="004D1625" w:rsidRPr="00555075" w:rsidRDefault="004D1625" w:rsidP="00E44AB1">
            <w:pPr>
              <w:numPr>
                <w:ilvl w:val="0"/>
                <w:numId w:val="31"/>
              </w:numPr>
              <w:contextualSpacing/>
              <w:rPr>
                <w:rFonts w:eastAsia="Times New Roman" w:cs="Calibri"/>
              </w:rPr>
            </w:pPr>
            <w:r w:rsidRPr="00555075">
              <w:t>Elementos básicos para la preparación de una propuesta de marco para el Quinto Plan Estratégico (posterior a 2024), en la que se indiquen los elementos clave para su consideración en la COP14,</w:t>
            </w:r>
          </w:p>
          <w:p w14:paraId="199A46E6" w14:textId="6103009F" w:rsidR="004D1625" w:rsidRPr="00555075" w:rsidRDefault="004D1625" w:rsidP="004D1625">
            <w:pPr>
              <w:numPr>
                <w:ilvl w:val="0"/>
                <w:numId w:val="31"/>
              </w:numPr>
              <w:contextualSpacing/>
              <w:rPr>
                <w:rFonts w:eastAsia="Times New Roman" w:cs="Calibri"/>
              </w:rPr>
            </w:pPr>
            <w:r w:rsidRPr="00555075">
              <w:t>Proyecto de resolución con mejoras propuestas para el Cuarto Plan Estratégico, sus metas e indicadores, para su aplicación durante el período 2021-2024.</w:t>
            </w:r>
          </w:p>
          <w:p w14:paraId="4E9E95BC" w14:textId="77777777" w:rsidR="004D1625" w:rsidRPr="00555075" w:rsidRDefault="004D1625" w:rsidP="004D1625">
            <w:pPr>
              <w:rPr>
                <w:rFonts w:eastAsia="Times New Roman" w:cs="Calibri"/>
                <w:b/>
                <w:lang w:eastAsia="en-GB"/>
              </w:rPr>
            </w:pPr>
          </w:p>
          <w:p w14:paraId="083368F8" w14:textId="4B3BB2C5" w:rsidR="004D1625" w:rsidRPr="00555075" w:rsidRDefault="004D1625" w:rsidP="004D1625">
            <w:r w:rsidRPr="00555075">
              <w:rPr>
                <w:b/>
                <w:i/>
              </w:rPr>
              <w:t>Reunión virtual</w:t>
            </w:r>
            <w:r w:rsidRPr="00555075">
              <w:rPr>
                <w:b/>
              </w:rPr>
              <w:t xml:space="preserve"> del Grupo de trabajo</w:t>
            </w:r>
            <w:r w:rsidRPr="00555075">
              <w:t xml:space="preserve"> con el consultor y la Secretaría para formular observaciones acerca del borrador avanzado antes de su presentación, garantizando que se hayan integrado los elementos más recientes (SC58, Informes Nacionales, COP15 del CDB, otros elementos).</w:t>
            </w:r>
          </w:p>
        </w:tc>
      </w:tr>
      <w:tr w:rsidR="004D1625" w:rsidRPr="00555075" w14:paraId="7EDF5AD8" w14:textId="77777777" w:rsidTr="00763056">
        <w:tc>
          <w:tcPr>
            <w:tcW w:w="709" w:type="dxa"/>
            <w:tcBorders>
              <w:top w:val="single" w:sz="4" w:space="0" w:color="auto"/>
              <w:left w:val="single" w:sz="4" w:space="0" w:color="auto"/>
              <w:bottom w:val="single" w:sz="4" w:space="0" w:color="auto"/>
              <w:right w:val="nil"/>
            </w:tcBorders>
          </w:tcPr>
          <w:p w14:paraId="60BC71FE" w14:textId="77777777" w:rsidR="004D1625" w:rsidRPr="00555075" w:rsidRDefault="004D1625" w:rsidP="004D1625">
            <w:pPr>
              <w:rPr>
                <w:rFonts w:eastAsia="Times New Roman" w:cs="Garamond"/>
                <w:b/>
                <w:lang w:eastAsia="en-GB"/>
              </w:rPr>
            </w:pPr>
          </w:p>
        </w:tc>
        <w:tc>
          <w:tcPr>
            <w:tcW w:w="1276" w:type="dxa"/>
            <w:tcBorders>
              <w:left w:val="nil"/>
              <w:right w:val="nil"/>
            </w:tcBorders>
          </w:tcPr>
          <w:p w14:paraId="237A7A73" w14:textId="37BB173F" w:rsidR="004D1625" w:rsidRPr="00555075" w:rsidRDefault="004D1625" w:rsidP="004D1625">
            <w:pPr>
              <w:rPr>
                <w:rFonts w:eastAsia="Times New Roman" w:cs="Calibri"/>
              </w:rPr>
            </w:pPr>
            <w:r w:rsidRPr="00555075">
              <w:t>Noviembre</w:t>
            </w:r>
          </w:p>
        </w:tc>
        <w:tc>
          <w:tcPr>
            <w:tcW w:w="7087" w:type="dxa"/>
          </w:tcPr>
          <w:p w14:paraId="33FCA8AA" w14:textId="77777777" w:rsidR="004D1625" w:rsidRPr="00555075" w:rsidRDefault="004D1625" w:rsidP="004D1625">
            <w:r w:rsidRPr="00555075">
              <w:rPr>
                <w:i/>
                <w:iCs/>
              </w:rPr>
              <w:t>Presentación</w:t>
            </w:r>
            <w:r w:rsidRPr="00555075">
              <w:t xml:space="preserve"> de un documento de la SC59 que integre las observaciones del Grupo de trabajo.</w:t>
            </w:r>
          </w:p>
        </w:tc>
      </w:tr>
      <w:tr w:rsidR="00ED1FA0" w:rsidRPr="00555075" w14:paraId="195C7DAC" w14:textId="77777777" w:rsidTr="00763056">
        <w:tc>
          <w:tcPr>
            <w:tcW w:w="709" w:type="dxa"/>
            <w:tcBorders>
              <w:top w:val="single" w:sz="4" w:space="0" w:color="auto"/>
              <w:left w:val="single" w:sz="4" w:space="0" w:color="auto"/>
              <w:bottom w:val="single" w:sz="4" w:space="0" w:color="auto"/>
              <w:right w:val="nil"/>
            </w:tcBorders>
            <w:shd w:val="clear" w:color="auto" w:fill="BFBFBF"/>
          </w:tcPr>
          <w:p w14:paraId="5F3A4A18" w14:textId="77777777" w:rsidR="004D1625" w:rsidRPr="00555075" w:rsidRDefault="004D1625" w:rsidP="004D1625">
            <w:pPr>
              <w:rPr>
                <w:rFonts w:eastAsia="Times New Roman" w:cs="Garamond"/>
                <w:b/>
              </w:rPr>
            </w:pPr>
            <w:r w:rsidRPr="00555075">
              <w:rPr>
                <w:b/>
              </w:rPr>
              <w:t>2021</w:t>
            </w:r>
          </w:p>
        </w:tc>
        <w:tc>
          <w:tcPr>
            <w:tcW w:w="1276" w:type="dxa"/>
            <w:tcBorders>
              <w:left w:val="nil"/>
              <w:right w:val="nil"/>
            </w:tcBorders>
            <w:shd w:val="clear" w:color="auto" w:fill="BFBFBF"/>
          </w:tcPr>
          <w:p w14:paraId="67E03BEA" w14:textId="1F778D9A" w:rsidR="004D1625" w:rsidRPr="00555075" w:rsidRDefault="004D1625" w:rsidP="0063739A">
            <w:pPr>
              <w:rPr>
                <w:rFonts w:eastAsia="Times New Roman" w:cs="Calibri"/>
              </w:rPr>
            </w:pPr>
            <w:r w:rsidRPr="00555075">
              <w:t>Febrero</w:t>
            </w:r>
          </w:p>
        </w:tc>
        <w:tc>
          <w:tcPr>
            <w:tcW w:w="7087" w:type="dxa"/>
            <w:shd w:val="clear" w:color="auto" w:fill="BFBFBF"/>
          </w:tcPr>
          <w:p w14:paraId="0E6A26BB" w14:textId="48800BE3" w:rsidR="004D1625" w:rsidRPr="00555075" w:rsidRDefault="004D1625" w:rsidP="004D1625">
            <w:pPr>
              <w:rPr>
                <w:b/>
              </w:rPr>
            </w:pPr>
            <w:r w:rsidRPr="00555075">
              <w:rPr>
                <w:b/>
                <w:iCs/>
              </w:rPr>
              <w:t xml:space="preserve">La </w:t>
            </w:r>
            <w:r w:rsidRPr="00555075">
              <w:rPr>
                <w:b/>
                <w:i/>
              </w:rPr>
              <w:t xml:space="preserve">SC59 </w:t>
            </w:r>
            <w:r w:rsidRPr="00555075">
              <w:rPr>
                <w:b/>
              </w:rPr>
              <w:t>aprueba los documentos mencionados para su consideración en la COP14.</w:t>
            </w:r>
          </w:p>
        </w:tc>
      </w:tr>
      <w:tr w:rsidR="00ED1FA0" w:rsidRPr="00555075" w14:paraId="522149E8" w14:textId="77777777" w:rsidTr="00763056">
        <w:tc>
          <w:tcPr>
            <w:tcW w:w="709" w:type="dxa"/>
            <w:tcBorders>
              <w:top w:val="single" w:sz="4" w:space="0" w:color="auto"/>
              <w:left w:val="single" w:sz="4" w:space="0" w:color="auto"/>
              <w:bottom w:val="single" w:sz="4" w:space="0" w:color="auto"/>
              <w:right w:val="nil"/>
            </w:tcBorders>
            <w:shd w:val="clear" w:color="auto" w:fill="BFBFBF"/>
          </w:tcPr>
          <w:p w14:paraId="0C4DE9A2" w14:textId="77777777" w:rsidR="004D1625" w:rsidRPr="00555075" w:rsidRDefault="004D1625" w:rsidP="004D1625">
            <w:pPr>
              <w:rPr>
                <w:rFonts w:eastAsia="Times New Roman" w:cs="Garamond"/>
                <w:b/>
                <w:lang w:eastAsia="en-GB"/>
              </w:rPr>
            </w:pPr>
          </w:p>
        </w:tc>
        <w:tc>
          <w:tcPr>
            <w:tcW w:w="1276" w:type="dxa"/>
            <w:tcBorders>
              <w:left w:val="nil"/>
              <w:right w:val="nil"/>
            </w:tcBorders>
            <w:shd w:val="clear" w:color="auto" w:fill="BFBFBF"/>
          </w:tcPr>
          <w:p w14:paraId="79902E4A" w14:textId="7354CD1E" w:rsidR="004D1625" w:rsidRPr="00555075" w:rsidRDefault="004D1625" w:rsidP="0063739A">
            <w:pPr>
              <w:rPr>
                <w:rFonts w:eastAsia="Times New Roman" w:cs="Calibri"/>
              </w:rPr>
            </w:pPr>
            <w:r w:rsidRPr="00555075">
              <w:t>Junio</w:t>
            </w:r>
          </w:p>
        </w:tc>
        <w:tc>
          <w:tcPr>
            <w:tcW w:w="7087" w:type="dxa"/>
            <w:shd w:val="clear" w:color="auto" w:fill="BFBFBF"/>
          </w:tcPr>
          <w:p w14:paraId="58E7DD4A" w14:textId="174DE6F2" w:rsidR="004D1625" w:rsidRPr="00555075" w:rsidRDefault="004D1625" w:rsidP="004D1625">
            <w:pPr>
              <w:rPr>
                <w:b/>
              </w:rPr>
            </w:pPr>
            <w:r w:rsidRPr="00555075">
              <w:rPr>
                <w:b/>
              </w:rPr>
              <w:t xml:space="preserve">La </w:t>
            </w:r>
            <w:r w:rsidRPr="00555075">
              <w:rPr>
                <w:b/>
                <w:i/>
              </w:rPr>
              <w:t xml:space="preserve">COP14 </w:t>
            </w:r>
            <w:r w:rsidRPr="00555075">
              <w:rPr>
                <w:b/>
              </w:rPr>
              <w:t>considera los informes y adopta una resolución sobre las mejoras al Cuarto Plan Estratégico.</w:t>
            </w:r>
          </w:p>
        </w:tc>
      </w:tr>
    </w:tbl>
    <w:p w14:paraId="1E1FC700" w14:textId="4B46F64A" w:rsidR="0070596A" w:rsidRPr="00555075" w:rsidRDefault="0070596A" w:rsidP="00763056">
      <w:pPr>
        <w:ind w:left="0" w:firstLine="0"/>
        <w:rPr>
          <w:rFonts w:eastAsia="Times New Roman" w:cs="Garamond"/>
          <w:b/>
          <w:lang w:eastAsia="en-GB"/>
        </w:rPr>
      </w:pPr>
    </w:p>
    <w:sectPr w:rsidR="0070596A" w:rsidRPr="00555075" w:rsidSect="002137E0">
      <w:headerReference w:type="default" r:id="rId13"/>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EAFA" w14:textId="77777777" w:rsidR="00F614AA" w:rsidRDefault="00F614AA" w:rsidP="00DF2386">
      <w:r>
        <w:separator/>
      </w:r>
    </w:p>
  </w:endnote>
  <w:endnote w:type="continuationSeparator" w:id="0">
    <w:p w14:paraId="491C9B26" w14:textId="77777777" w:rsidR="00F614AA" w:rsidRDefault="00F614AA" w:rsidP="00DF2386">
      <w:r>
        <w:continuationSeparator/>
      </w:r>
    </w:p>
  </w:endnote>
  <w:endnote w:type="continuationNotice" w:id="1">
    <w:p w14:paraId="5EF82020" w14:textId="77777777" w:rsidR="00F614AA" w:rsidRDefault="00F61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BE40" w14:textId="3FC3E61D" w:rsidR="00F73E71" w:rsidRDefault="007472B2" w:rsidP="002137E0">
    <w:pPr>
      <w:pStyle w:val="Header"/>
      <w:rPr>
        <w:noProof/>
      </w:rPr>
    </w:pPr>
    <w:r>
      <w:rPr>
        <w:sz w:val="20"/>
        <w:szCs w:val="20"/>
      </w:rPr>
      <w:t>SC58 Doc.10</w:t>
    </w:r>
    <w:r>
      <w:tab/>
    </w:r>
    <w:r>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3736E0">
          <w:rPr>
            <w:noProof/>
            <w:sz w:val="20"/>
            <w:szCs w:val="20"/>
          </w:rPr>
          <w:t>5</w:t>
        </w:r>
        <w:r w:rsidR="00F73E71" w:rsidRPr="00F344DE">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1E0B5" w14:textId="77777777" w:rsidR="00F614AA" w:rsidRDefault="00F614AA" w:rsidP="00DF2386">
      <w:r>
        <w:separator/>
      </w:r>
    </w:p>
  </w:footnote>
  <w:footnote w:type="continuationSeparator" w:id="0">
    <w:p w14:paraId="69BB1A61" w14:textId="77777777" w:rsidR="00F614AA" w:rsidRDefault="00F614AA" w:rsidP="00DF2386">
      <w:r>
        <w:continuationSeparator/>
      </w:r>
    </w:p>
  </w:footnote>
  <w:footnote w:type="continuationNotice" w:id="1">
    <w:p w14:paraId="12313202" w14:textId="77777777" w:rsidR="00F614AA" w:rsidRDefault="00F614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7BBB" w14:textId="77777777" w:rsidR="00F73E71" w:rsidRDefault="00F73E71">
    <w:pPr>
      <w:pStyle w:val="Header"/>
    </w:pPr>
  </w:p>
  <w:p w14:paraId="2AE5869B"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B5279"/>
    <w:multiLevelType w:val="hybridMultilevel"/>
    <w:tmpl w:val="EF1A53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C8544DA"/>
    <w:multiLevelType w:val="hybridMultilevel"/>
    <w:tmpl w:val="C01446C4"/>
    <w:lvl w:ilvl="0" w:tplc="7B109A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22F39"/>
    <w:multiLevelType w:val="hybridMultilevel"/>
    <w:tmpl w:val="E2D82200"/>
    <w:lvl w:ilvl="0" w:tplc="56D20D3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3" w15:restartNumberingAfterBreak="0">
    <w:nsid w:val="258649C6"/>
    <w:multiLevelType w:val="hybridMultilevel"/>
    <w:tmpl w:val="4692A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DB400CC"/>
    <w:multiLevelType w:val="hybridMultilevel"/>
    <w:tmpl w:val="87EAC4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0"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206D4F"/>
    <w:multiLevelType w:val="hybridMultilevel"/>
    <w:tmpl w:val="7D68A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4642E3"/>
    <w:multiLevelType w:val="hybridMultilevel"/>
    <w:tmpl w:val="14E0168E"/>
    <w:lvl w:ilvl="0" w:tplc="3E525B8A">
      <w:start w:val="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9E6442"/>
    <w:multiLevelType w:val="hybridMultilevel"/>
    <w:tmpl w:val="28BC12D2"/>
    <w:lvl w:ilvl="0" w:tplc="1EBC5340">
      <w:start w:val="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8"/>
  </w:num>
  <w:num w:numId="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5"/>
  </w:num>
  <w:num w:numId="13">
    <w:abstractNumId w:val="20"/>
  </w:num>
  <w:num w:numId="14">
    <w:abstractNumId w:val="15"/>
  </w:num>
  <w:num w:numId="15">
    <w:abstractNumId w:val="2"/>
  </w:num>
  <w:num w:numId="16">
    <w:abstractNumId w:val="17"/>
  </w:num>
  <w:num w:numId="17">
    <w:abstractNumId w:val="22"/>
  </w:num>
  <w:num w:numId="18">
    <w:abstractNumId w:val="34"/>
  </w:num>
  <w:num w:numId="19">
    <w:abstractNumId w:val="30"/>
  </w:num>
  <w:num w:numId="20">
    <w:abstractNumId w:val="24"/>
  </w:num>
  <w:num w:numId="21">
    <w:abstractNumId w:val="26"/>
  </w:num>
  <w:num w:numId="22">
    <w:abstractNumId w:val="18"/>
  </w:num>
  <w:num w:numId="23">
    <w:abstractNumId w:val="23"/>
  </w:num>
  <w:num w:numId="24">
    <w:abstractNumId w:val="21"/>
  </w:num>
  <w:num w:numId="25">
    <w:abstractNumId w:val="29"/>
  </w:num>
  <w:num w:numId="26">
    <w:abstractNumId w:val="11"/>
  </w:num>
  <w:num w:numId="27">
    <w:abstractNumId w:val="0"/>
  </w:num>
  <w:num w:numId="28">
    <w:abstractNumId w:val="14"/>
  </w:num>
  <w:num w:numId="29">
    <w:abstractNumId w:val="3"/>
  </w:num>
  <w:num w:numId="30">
    <w:abstractNumId w:val="13"/>
  </w:num>
  <w:num w:numId="31">
    <w:abstractNumId w:val="7"/>
  </w:num>
  <w:num w:numId="32">
    <w:abstractNumId w:val="8"/>
  </w:num>
  <w:num w:numId="33">
    <w:abstractNumId w:val="32"/>
  </w:num>
  <w:num w:numId="34">
    <w:abstractNumId w:val="27"/>
  </w:num>
  <w:num w:numId="35">
    <w:abstractNumId w:val="31"/>
  </w:num>
  <w:num w:numId="36">
    <w:abstractNumId w:val="3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1E7A"/>
    <w:rsid w:val="00014168"/>
    <w:rsid w:val="00017A16"/>
    <w:rsid w:val="00026E09"/>
    <w:rsid w:val="000354DD"/>
    <w:rsid w:val="00037CE0"/>
    <w:rsid w:val="00053929"/>
    <w:rsid w:val="000749F6"/>
    <w:rsid w:val="00074DE8"/>
    <w:rsid w:val="00081070"/>
    <w:rsid w:val="00081179"/>
    <w:rsid w:val="000A3E3E"/>
    <w:rsid w:val="000C2489"/>
    <w:rsid w:val="000C4A48"/>
    <w:rsid w:val="000D5C76"/>
    <w:rsid w:val="000E161E"/>
    <w:rsid w:val="000E2FA0"/>
    <w:rsid w:val="000E3816"/>
    <w:rsid w:val="000E47E9"/>
    <w:rsid w:val="000F310B"/>
    <w:rsid w:val="0012096C"/>
    <w:rsid w:val="00123AFC"/>
    <w:rsid w:val="00127828"/>
    <w:rsid w:val="00161BDA"/>
    <w:rsid w:val="00171618"/>
    <w:rsid w:val="00174DF2"/>
    <w:rsid w:val="001819B1"/>
    <w:rsid w:val="001A2D10"/>
    <w:rsid w:val="001C5E41"/>
    <w:rsid w:val="001C77BC"/>
    <w:rsid w:val="001D48BB"/>
    <w:rsid w:val="001E00E3"/>
    <w:rsid w:val="001F2349"/>
    <w:rsid w:val="001F5ECA"/>
    <w:rsid w:val="002005D2"/>
    <w:rsid w:val="0020298B"/>
    <w:rsid w:val="00206111"/>
    <w:rsid w:val="002137E0"/>
    <w:rsid w:val="0021566A"/>
    <w:rsid w:val="002347F6"/>
    <w:rsid w:val="00247AE7"/>
    <w:rsid w:val="002741AC"/>
    <w:rsid w:val="00275F13"/>
    <w:rsid w:val="00280714"/>
    <w:rsid w:val="002819C0"/>
    <w:rsid w:val="00291F0A"/>
    <w:rsid w:val="00293919"/>
    <w:rsid w:val="002942F9"/>
    <w:rsid w:val="00295556"/>
    <w:rsid w:val="00295BB5"/>
    <w:rsid w:val="002978F0"/>
    <w:rsid w:val="002A5A4D"/>
    <w:rsid w:val="002B4262"/>
    <w:rsid w:val="002B6506"/>
    <w:rsid w:val="002C261A"/>
    <w:rsid w:val="002C7689"/>
    <w:rsid w:val="002D211D"/>
    <w:rsid w:val="002D5A4D"/>
    <w:rsid w:val="002E22AF"/>
    <w:rsid w:val="002E6A2F"/>
    <w:rsid w:val="002F6155"/>
    <w:rsid w:val="003022C6"/>
    <w:rsid w:val="00324398"/>
    <w:rsid w:val="00335864"/>
    <w:rsid w:val="0035473A"/>
    <w:rsid w:val="003736E0"/>
    <w:rsid w:val="00380D31"/>
    <w:rsid w:val="00384FC3"/>
    <w:rsid w:val="003914D9"/>
    <w:rsid w:val="003A3804"/>
    <w:rsid w:val="003A52BE"/>
    <w:rsid w:val="003A5866"/>
    <w:rsid w:val="003A6E9F"/>
    <w:rsid w:val="003C2D9F"/>
    <w:rsid w:val="003D4CD6"/>
    <w:rsid w:val="003F4276"/>
    <w:rsid w:val="003F4793"/>
    <w:rsid w:val="00400F34"/>
    <w:rsid w:val="0040748D"/>
    <w:rsid w:val="00415C75"/>
    <w:rsid w:val="004228C7"/>
    <w:rsid w:val="00422942"/>
    <w:rsid w:val="0042798B"/>
    <w:rsid w:val="00434913"/>
    <w:rsid w:val="004474F8"/>
    <w:rsid w:val="00463E9C"/>
    <w:rsid w:val="00477550"/>
    <w:rsid w:val="004824BB"/>
    <w:rsid w:val="004844A8"/>
    <w:rsid w:val="00491BEF"/>
    <w:rsid w:val="00496803"/>
    <w:rsid w:val="004B6688"/>
    <w:rsid w:val="004B74FA"/>
    <w:rsid w:val="004B7FA1"/>
    <w:rsid w:val="004D1625"/>
    <w:rsid w:val="00511D20"/>
    <w:rsid w:val="00522BC7"/>
    <w:rsid w:val="005244A4"/>
    <w:rsid w:val="00527783"/>
    <w:rsid w:val="0054257B"/>
    <w:rsid w:val="00555075"/>
    <w:rsid w:val="0057405B"/>
    <w:rsid w:val="005814B5"/>
    <w:rsid w:val="005A291A"/>
    <w:rsid w:val="005D343D"/>
    <w:rsid w:val="005D3E9D"/>
    <w:rsid w:val="005D5D95"/>
    <w:rsid w:val="005E01EC"/>
    <w:rsid w:val="005E0D93"/>
    <w:rsid w:val="00603A46"/>
    <w:rsid w:val="00607547"/>
    <w:rsid w:val="006256D3"/>
    <w:rsid w:val="00627BB7"/>
    <w:rsid w:val="0063739A"/>
    <w:rsid w:val="00644A13"/>
    <w:rsid w:val="006471FA"/>
    <w:rsid w:val="0065136E"/>
    <w:rsid w:val="0066479C"/>
    <w:rsid w:val="00670D71"/>
    <w:rsid w:val="00695D91"/>
    <w:rsid w:val="00695F3C"/>
    <w:rsid w:val="00697C1D"/>
    <w:rsid w:val="006E7DCE"/>
    <w:rsid w:val="007050FF"/>
    <w:rsid w:val="0070596A"/>
    <w:rsid w:val="00726751"/>
    <w:rsid w:val="00746EC1"/>
    <w:rsid w:val="007472B2"/>
    <w:rsid w:val="00752764"/>
    <w:rsid w:val="00762F77"/>
    <w:rsid w:val="00763056"/>
    <w:rsid w:val="00766962"/>
    <w:rsid w:val="00775287"/>
    <w:rsid w:val="00776612"/>
    <w:rsid w:val="00781C79"/>
    <w:rsid w:val="007D33F4"/>
    <w:rsid w:val="007E133B"/>
    <w:rsid w:val="007E25B1"/>
    <w:rsid w:val="007F3ABE"/>
    <w:rsid w:val="00806991"/>
    <w:rsid w:val="0081553D"/>
    <w:rsid w:val="00825E19"/>
    <w:rsid w:val="00831A2F"/>
    <w:rsid w:val="008328E9"/>
    <w:rsid w:val="00835BCB"/>
    <w:rsid w:val="00835CDC"/>
    <w:rsid w:val="008465FE"/>
    <w:rsid w:val="00850B09"/>
    <w:rsid w:val="00857746"/>
    <w:rsid w:val="00863B9D"/>
    <w:rsid w:val="00863BE6"/>
    <w:rsid w:val="008775BC"/>
    <w:rsid w:val="00881917"/>
    <w:rsid w:val="00882F1B"/>
    <w:rsid w:val="00883A54"/>
    <w:rsid w:val="008977E5"/>
    <w:rsid w:val="008A70CE"/>
    <w:rsid w:val="008C25E4"/>
    <w:rsid w:val="008C2DAE"/>
    <w:rsid w:val="008C59EB"/>
    <w:rsid w:val="008F6687"/>
    <w:rsid w:val="008F6A50"/>
    <w:rsid w:val="009059A9"/>
    <w:rsid w:val="00913505"/>
    <w:rsid w:val="009226AC"/>
    <w:rsid w:val="0092515E"/>
    <w:rsid w:val="00941723"/>
    <w:rsid w:val="00942FBD"/>
    <w:rsid w:val="0094770B"/>
    <w:rsid w:val="0095590A"/>
    <w:rsid w:val="00963DA4"/>
    <w:rsid w:val="0096430E"/>
    <w:rsid w:val="00973739"/>
    <w:rsid w:val="00977B6A"/>
    <w:rsid w:val="009837E7"/>
    <w:rsid w:val="00986AE6"/>
    <w:rsid w:val="009A1374"/>
    <w:rsid w:val="009B2267"/>
    <w:rsid w:val="009C721C"/>
    <w:rsid w:val="009C79BE"/>
    <w:rsid w:val="009E0AE8"/>
    <w:rsid w:val="009E5374"/>
    <w:rsid w:val="009F22AD"/>
    <w:rsid w:val="009F345D"/>
    <w:rsid w:val="00A13218"/>
    <w:rsid w:val="00A17151"/>
    <w:rsid w:val="00A227A3"/>
    <w:rsid w:val="00A22ED9"/>
    <w:rsid w:val="00A268B2"/>
    <w:rsid w:val="00A31448"/>
    <w:rsid w:val="00A35666"/>
    <w:rsid w:val="00A37D4F"/>
    <w:rsid w:val="00A603F3"/>
    <w:rsid w:val="00A60B73"/>
    <w:rsid w:val="00A637B6"/>
    <w:rsid w:val="00A80080"/>
    <w:rsid w:val="00A85614"/>
    <w:rsid w:val="00AA02D4"/>
    <w:rsid w:val="00AA03C2"/>
    <w:rsid w:val="00AB24A9"/>
    <w:rsid w:val="00AB4951"/>
    <w:rsid w:val="00AC2554"/>
    <w:rsid w:val="00AE7CFF"/>
    <w:rsid w:val="00B059E2"/>
    <w:rsid w:val="00B315A0"/>
    <w:rsid w:val="00B34A18"/>
    <w:rsid w:val="00B34AF2"/>
    <w:rsid w:val="00B43841"/>
    <w:rsid w:val="00B468CE"/>
    <w:rsid w:val="00B52CE4"/>
    <w:rsid w:val="00B579CB"/>
    <w:rsid w:val="00B626CD"/>
    <w:rsid w:val="00B67FE1"/>
    <w:rsid w:val="00B70083"/>
    <w:rsid w:val="00B7121F"/>
    <w:rsid w:val="00B83EF9"/>
    <w:rsid w:val="00B8722D"/>
    <w:rsid w:val="00B947D5"/>
    <w:rsid w:val="00BA66E2"/>
    <w:rsid w:val="00BB28F6"/>
    <w:rsid w:val="00BB6F8F"/>
    <w:rsid w:val="00BC2609"/>
    <w:rsid w:val="00BD4DA4"/>
    <w:rsid w:val="00BE49B0"/>
    <w:rsid w:val="00C0528F"/>
    <w:rsid w:val="00C13145"/>
    <w:rsid w:val="00C20858"/>
    <w:rsid w:val="00C3561B"/>
    <w:rsid w:val="00C54056"/>
    <w:rsid w:val="00C54833"/>
    <w:rsid w:val="00C54848"/>
    <w:rsid w:val="00C5793E"/>
    <w:rsid w:val="00C817CB"/>
    <w:rsid w:val="00C8780E"/>
    <w:rsid w:val="00CA32AC"/>
    <w:rsid w:val="00CD002B"/>
    <w:rsid w:val="00CE750F"/>
    <w:rsid w:val="00CF06B6"/>
    <w:rsid w:val="00CF15EA"/>
    <w:rsid w:val="00D03679"/>
    <w:rsid w:val="00D05019"/>
    <w:rsid w:val="00D058F6"/>
    <w:rsid w:val="00D154CC"/>
    <w:rsid w:val="00D160CB"/>
    <w:rsid w:val="00D20182"/>
    <w:rsid w:val="00D245A1"/>
    <w:rsid w:val="00D267BD"/>
    <w:rsid w:val="00D3271B"/>
    <w:rsid w:val="00D415E2"/>
    <w:rsid w:val="00D42055"/>
    <w:rsid w:val="00D61885"/>
    <w:rsid w:val="00D647C3"/>
    <w:rsid w:val="00D9633A"/>
    <w:rsid w:val="00D965BC"/>
    <w:rsid w:val="00DA633A"/>
    <w:rsid w:val="00DA7E51"/>
    <w:rsid w:val="00DD4889"/>
    <w:rsid w:val="00DE3825"/>
    <w:rsid w:val="00DF02FE"/>
    <w:rsid w:val="00DF2386"/>
    <w:rsid w:val="00DF7FE7"/>
    <w:rsid w:val="00E30CBA"/>
    <w:rsid w:val="00E46367"/>
    <w:rsid w:val="00E63F0B"/>
    <w:rsid w:val="00E75F82"/>
    <w:rsid w:val="00E82D0D"/>
    <w:rsid w:val="00E92301"/>
    <w:rsid w:val="00E96D3E"/>
    <w:rsid w:val="00E9702A"/>
    <w:rsid w:val="00EA3A7F"/>
    <w:rsid w:val="00EA5DAF"/>
    <w:rsid w:val="00ED1FA0"/>
    <w:rsid w:val="00F0280E"/>
    <w:rsid w:val="00F078F1"/>
    <w:rsid w:val="00F32D03"/>
    <w:rsid w:val="00F344DE"/>
    <w:rsid w:val="00F36CA5"/>
    <w:rsid w:val="00F45DD5"/>
    <w:rsid w:val="00F5495B"/>
    <w:rsid w:val="00F614AA"/>
    <w:rsid w:val="00F63609"/>
    <w:rsid w:val="00F73E71"/>
    <w:rsid w:val="00F95970"/>
    <w:rsid w:val="00FA7462"/>
    <w:rsid w:val="00FC63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73C8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763056"/>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39"/>
    <w:rsid w:val="004D162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5514147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81">
          <w:marLeft w:val="0"/>
          <w:marRight w:val="0"/>
          <w:marTop w:val="0"/>
          <w:marBottom w:val="0"/>
          <w:divBdr>
            <w:top w:val="none" w:sz="0" w:space="0" w:color="auto"/>
            <w:left w:val="none" w:sz="0" w:space="0" w:color="auto"/>
            <w:bottom w:val="none" w:sz="0" w:space="0" w:color="auto"/>
            <w:right w:val="none" w:sz="0" w:space="0" w:color="auto"/>
          </w:divBdr>
          <w:divsChild>
            <w:div w:id="87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PIRE Document" ma:contentTypeID="0x010100DB29C2AB6EB75541991FB3E24043BFB600582F7F37840F594BBCB087811BB6529F" ma:contentTypeVersion="24" ma:contentTypeDescription="SPIRE Document" ma:contentTypeScope="" ma:versionID="45a9d200ca0bc6cd93f3542b9e74c4e2">
  <xsd:schema xmlns:xsd="http://www.w3.org/2001/XMLSchema" xmlns:xs="http://www.w3.org/2001/XMLSchema" xmlns:p="http://schemas.microsoft.com/office/2006/metadata/properties" xmlns:ns2="5af92df4-ae3d-4772-abff-92e7cba13994" xmlns:ns3="http://schemas.microsoft.com/sharepoint/v4" targetNamespace="http://schemas.microsoft.com/office/2006/metadata/properties" ma:root="true" ma:fieldsID="ad856c9fd6ce3e2418f8237cf12b7dcb" ns2:_="" ns3:_="">
    <xsd:import namespace="5af92df4-ae3d-4772-abff-92e7cba1399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 xsi:nil="true"/>
    <IconOverlay xmlns="http://schemas.microsoft.com/sharepoint/v4" xsi:nil="true"/>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D6A4-A5C7-49F5-822C-909B25E79499}">
  <ds:schemaRefs>
    <ds:schemaRef ds:uri="http://schemas.microsoft.com/office/2006/metadata/customXsn"/>
  </ds:schemaRefs>
</ds:datastoreItem>
</file>

<file path=customXml/itemProps2.xml><?xml version="1.0" encoding="utf-8"?>
<ds:datastoreItem xmlns:ds="http://schemas.openxmlformats.org/officeDocument/2006/customXml" ds:itemID="{E0AA399B-199E-4E8E-B45E-437F95D59F06}">
  <ds:schemaRefs>
    <ds:schemaRef ds:uri="http://schemas.microsoft.com/sharepoint/events"/>
  </ds:schemaRefs>
</ds:datastoreItem>
</file>

<file path=customXml/itemProps3.xml><?xml version="1.0" encoding="utf-8"?>
<ds:datastoreItem xmlns:ds="http://schemas.openxmlformats.org/officeDocument/2006/customXml" ds:itemID="{9EB98732-12CD-4FDB-8294-CBBF47525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9DE30D-9469-4031-ACF5-3BEB5D720E26}">
  <ds:schemaRefs>
    <ds:schemaRef ds:uri="http://purl.org/dc/terms/"/>
    <ds:schemaRef ds:uri="http://purl.org/dc/elements/1.1/"/>
    <ds:schemaRef ds:uri="5af92df4-ae3d-4772-abff-92e7cba13994"/>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s>
</ds:datastoreItem>
</file>

<file path=customXml/itemProps5.xml><?xml version="1.0" encoding="utf-8"?>
<ds:datastoreItem xmlns:ds="http://schemas.openxmlformats.org/officeDocument/2006/customXml" ds:itemID="{D3B545D4-7A6D-4782-A897-B7531D604AB8}">
  <ds:schemaRefs>
    <ds:schemaRef ds:uri="http://schemas.microsoft.com/sharepoint/v3/contenttype/forms"/>
  </ds:schemaRefs>
</ds:datastoreItem>
</file>

<file path=customXml/itemProps6.xml><?xml version="1.0" encoding="utf-8"?>
<ds:datastoreItem xmlns:ds="http://schemas.openxmlformats.org/officeDocument/2006/customXml" ds:itemID="{9DC41701-29D3-4B41-8BFC-E008231D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10016</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3</cp:revision>
  <cp:lastPrinted>2016-10-06T13:08:00Z</cp:lastPrinted>
  <dcterms:created xsi:type="dcterms:W3CDTF">2020-04-06T13:51:00Z</dcterms:created>
  <dcterms:modified xsi:type="dcterms:W3CDTF">2020-04-30T16:21:00Z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0x010100DB29C2AB6EB75541991FB3E24043BFB600582F7F37840F594BBCB087811BB6529F</vt:lpwstr>
  </property>
  <property fmtid="{D5CDD505-2E9C-101B-9397-08002B2CF9AE}" pid="3" name="RecordPoint_ActiveItemUniqueId">
    <vt:lpwstr>{086ae4ea-fc5f-4716-a749-55eafd89fd66}</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