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464" w14:textId="52ED2E18" w:rsidR="00E344E3" w:rsidRPr="00263800" w:rsidRDefault="00263800"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CH"/>
        </w:rPr>
      </w:pPr>
      <w:r w:rsidRPr="009177A6">
        <w:rPr>
          <w:rFonts w:asciiTheme="minorHAnsi" w:hAnsiTheme="minorHAnsi" w:cstheme="minorHAnsi"/>
          <w:bCs/>
          <w:sz w:val="22"/>
          <w:szCs w:val="22"/>
          <w:lang w:val="fr-CH"/>
        </w:rPr>
        <w:t>CONVENTION SUR LES ZONES HUMIDES</w:t>
      </w:r>
    </w:p>
    <w:p w14:paraId="0772A928" w14:textId="7F9B61AB" w:rsidR="00E344E3" w:rsidRPr="00263800" w:rsidRDefault="00E344E3"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CH"/>
        </w:rPr>
      </w:pPr>
      <w:r w:rsidRPr="00263800">
        <w:rPr>
          <w:rFonts w:asciiTheme="minorHAnsi" w:hAnsiTheme="minorHAnsi" w:cstheme="minorHAnsi"/>
          <w:bCs/>
          <w:sz w:val="22"/>
          <w:szCs w:val="22"/>
          <w:lang w:val="fr-CH"/>
        </w:rPr>
        <w:t>58</w:t>
      </w:r>
      <w:r w:rsidR="00263800" w:rsidRPr="00263800">
        <w:rPr>
          <w:rFonts w:asciiTheme="minorHAnsi" w:hAnsiTheme="minorHAnsi" w:cstheme="minorHAnsi"/>
          <w:bCs/>
          <w:sz w:val="22"/>
          <w:szCs w:val="22"/>
          <w:vertAlign w:val="superscript"/>
          <w:lang w:val="fr-CH"/>
        </w:rPr>
        <w:t>e</w:t>
      </w:r>
      <w:r w:rsidR="00E44529" w:rsidRPr="00263800">
        <w:rPr>
          <w:rFonts w:asciiTheme="minorHAnsi" w:hAnsiTheme="minorHAnsi" w:cstheme="minorHAnsi"/>
          <w:bCs/>
          <w:sz w:val="22"/>
          <w:szCs w:val="22"/>
          <w:vertAlign w:val="superscript"/>
          <w:lang w:val="fr-CH"/>
        </w:rPr>
        <w:t xml:space="preserve"> </w:t>
      </w:r>
      <w:r w:rsidR="00263800">
        <w:rPr>
          <w:rFonts w:asciiTheme="minorHAnsi" w:hAnsiTheme="minorHAnsi" w:cstheme="minorHAnsi"/>
          <w:bCs/>
          <w:sz w:val="22"/>
          <w:szCs w:val="22"/>
          <w:lang w:val="fr-CH"/>
        </w:rPr>
        <w:t>Réunion du Comité permanent</w:t>
      </w:r>
    </w:p>
    <w:p w14:paraId="54D01B6D" w14:textId="7C540E11" w:rsidR="00E344E3" w:rsidRPr="00263800" w:rsidRDefault="00E344E3" w:rsidP="007344CB">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sz w:val="22"/>
          <w:szCs w:val="22"/>
          <w:lang w:val="fr-CH"/>
        </w:rPr>
      </w:pPr>
      <w:r w:rsidRPr="00263800">
        <w:rPr>
          <w:rFonts w:asciiTheme="minorHAnsi" w:hAnsiTheme="minorHAnsi" w:cstheme="minorHAnsi"/>
          <w:bCs/>
          <w:sz w:val="22"/>
          <w:szCs w:val="22"/>
          <w:lang w:val="fr-CH"/>
        </w:rPr>
        <w:t xml:space="preserve">Gland, </w:t>
      </w:r>
      <w:r w:rsidR="00263800">
        <w:rPr>
          <w:rFonts w:asciiTheme="minorHAnsi" w:hAnsiTheme="minorHAnsi" w:cstheme="minorHAnsi"/>
          <w:bCs/>
          <w:sz w:val="22"/>
          <w:szCs w:val="22"/>
          <w:lang w:val="fr-CH"/>
        </w:rPr>
        <w:t>Suisse</w:t>
      </w:r>
      <w:r w:rsidRPr="00263800">
        <w:rPr>
          <w:rFonts w:asciiTheme="minorHAnsi" w:hAnsiTheme="minorHAnsi" w:cstheme="minorHAnsi"/>
          <w:bCs/>
          <w:sz w:val="22"/>
          <w:szCs w:val="22"/>
          <w:lang w:val="fr-CH"/>
        </w:rPr>
        <w:t xml:space="preserve">, </w:t>
      </w:r>
      <w:r w:rsidR="00F1215A" w:rsidRPr="00F1215A">
        <w:rPr>
          <w:rFonts w:asciiTheme="minorHAnsi" w:hAnsiTheme="minorHAnsi" w:cstheme="minorHAnsi"/>
          <w:bCs/>
          <w:sz w:val="22"/>
          <w:szCs w:val="22"/>
          <w:lang w:val="fr-CH"/>
        </w:rPr>
        <w:t xml:space="preserve">26 au 30 octobre </w:t>
      </w:r>
      <w:bookmarkStart w:id="0" w:name="_GoBack"/>
      <w:bookmarkEnd w:id="0"/>
      <w:r w:rsidRPr="00263800">
        <w:rPr>
          <w:rFonts w:asciiTheme="minorHAnsi" w:hAnsiTheme="minorHAnsi" w:cstheme="minorHAnsi"/>
          <w:bCs/>
          <w:sz w:val="22"/>
          <w:szCs w:val="22"/>
          <w:lang w:val="fr-CH"/>
        </w:rPr>
        <w:t>2</w:t>
      </w:r>
      <w:r w:rsidR="007344CB" w:rsidRPr="00263800">
        <w:rPr>
          <w:rFonts w:asciiTheme="minorHAnsi" w:hAnsiTheme="minorHAnsi" w:cstheme="minorHAnsi"/>
          <w:bCs/>
          <w:sz w:val="22"/>
          <w:szCs w:val="22"/>
          <w:lang w:val="fr-CH"/>
        </w:rPr>
        <w:t>020</w:t>
      </w:r>
    </w:p>
    <w:p w14:paraId="4EB911C5" w14:textId="77777777" w:rsidR="00E414F9" w:rsidRPr="00AA551A" w:rsidRDefault="00E414F9" w:rsidP="00307B7E">
      <w:pPr>
        <w:rPr>
          <w:lang w:val="de-CH"/>
        </w:rPr>
      </w:pPr>
    </w:p>
    <w:p w14:paraId="2CEB7EFF" w14:textId="77777777" w:rsidR="007344CB" w:rsidRPr="00AA551A" w:rsidRDefault="007344CB" w:rsidP="00307B7E">
      <w:pPr>
        <w:rPr>
          <w:lang w:val="de-CH"/>
        </w:rPr>
      </w:pPr>
    </w:p>
    <w:p w14:paraId="6173BA9A" w14:textId="77777777" w:rsidR="007344CB" w:rsidRPr="00263800" w:rsidRDefault="007344CB" w:rsidP="007344CB">
      <w:pPr>
        <w:jc w:val="right"/>
        <w:rPr>
          <w:rFonts w:asciiTheme="minorHAnsi" w:hAnsiTheme="minorHAnsi" w:cstheme="minorHAnsi"/>
          <w:b/>
          <w:sz w:val="28"/>
          <w:szCs w:val="28"/>
          <w:lang w:val="fr-CH"/>
        </w:rPr>
      </w:pPr>
      <w:r w:rsidRPr="00263800">
        <w:rPr>
          <w:rFonts w:asciiTheme="minorHAnsi" w:hAnsiTheme="minorHAnsi" w:cstheme="minorHAnsi"/>
          <w:b/>
          <w:sz w:val="28"/>
          <w:szCs w:val="28"/>
          <w:lang w:val="fr-CH"/>
        </w:rPr>
        <w:t>SC58 Doc.</w:t>
      </w:r>
      <w:r w:rsidR="00A01051" w:rsidRPr="00263800">
        <w:rPr>
          <w:rFonts w:asciiTheme="minorHAnsi" w:hAnsiTheme="minorHAnsi" w:cstheme="minorHAnsi"/>
          <w:b/>
          <w:sz w:val="28"/>
          <w:szCs w:val="28"/>
          <w:lang w:val="fr-CH"/>
        </w:rPr>
        <w:t>9</w:t>
      </w:r>
    </w:p>
    <w:p w14:paraId="2FCA881A" w14:textId="77777777" w:rsidR="007344CB" w:rsidRPr="00263800" w:rsidRDefault="007344CB" w:rsidP="007344CB">
      <w:pPr>
        <w:rPr>
          <w:rFonts w:asciiTheme="minorHAnsi" w:hAnsiTheme="minorHAnsi"/>
          <w:b/>
          <w:sz w:val="28"/>
          <w:szCs w:val="28"/>
          <w:lang w:val="fr-CH"/>
        </w:rPr>
      </w:pPr>
    </w:p>
    <w:p w14:paraId="07D42557" w14:textId="66A3DF62" w:rsidR="00536607" w:rsidRPr="00263800" w:rsidRDefault="00263800" w:rsidP="00FA343C">
      <w:pPr>
        <w:pStyle w:val="Default"/>
        <w:ind w:left="0" w:firstLine="0"/>
        <w:jc w:val="center"/>
        <w:rPr>
          <w:rFonts w:asciiTheme="minorHAnsi" w:hAnsiTheme="minorHAnsi" w:cstheme="minorHAnsi"/>
          <w:b/>
          <w:bCs/>
          <w:sz w:val="28"/>
          <w:szCs w:val="28"/>
          <w:lang w:val="fr-CH"/>
        </w:rPr>
      </w:pPr>
      <w:r>
        <w:rPr>
          <w:rFonts w:asciiTheme="minorHAnsi" w:hAnsiTheme="minorHAnsi" w:cstheme="minorHAnsi"/>
          <w:b/>
          <w:bCs/>
          <w:sz w:val="28"/>
          <w:szCs w:val="28"/>
          <w:lang w:val="fr-CH"/>
        </w:rPr>
        <w:t xml:space="preserve">Problèmes urgents </w:t>
      </w:r>
      <w:r w:rsidR="009177A6">
        <w:rPr>
          <w:rFonts w:asciiTheme="minorHAnsi" w:hAnsiTheme="minorHAnsi" w:cstheme="minorHAnsi"/>
          <w:b/>
          <w:bCs/>
          <w:sz w:val="28"/>
          <w:szCs w:val="28"/>
          <w:lang w:val="fr-CH"/>
        </w:rPr>
        <w:t>en matière d</w:t>
      </w:r>
      <w:r>
        <w:rPr>
          <w:rFonts w:asciiTheme="minorHAnsi" w:hAnsiTheme="minorHAnsi" w:cstheme="minorHAnsi"/>
          <w:b/>
          <w:bCs/>
          <w:sz w:val="28"/>
          <w:szCs w:val="28"/>
          <w:lang w:val="fr-CH"/>
        </w:rPr>
        <w:t xml:space="preserve">’utilisation rationnelle des zones humides devant recevoir une attention accrue : </w:t>
      </w:r>
      <w:r w:rsidR="0068093C">
        <w:rPr>
          <w:rFonts w:asciiTheme="minorHAnsi" w:hAnsiTheme="minorHAnsi" w:cstheme="minorHAnsi"/>
          <w:b/>
          <w:bCs/>
          <w:sz w:val="28"/>
          <w:szCs w:val="28"/>
          <w:lang w:val="fr-CH"/>
        </w:rPr>
        <w:t>m</w:t>
      </w:r>
      <w:r>
        <w:rPr>
          <w:rFonts w:asciiTheme="minorHAnsi" w:hAnsiTheme="minorHAnsi" w:cstheme="minorHAnsi"/>
          <w:b/>
          <w:bCs/>
          <w:sz w:val="28"/>
          <w:szCs w:val="28"/>
          <w:lang w:val="fr-CH"/>
        </w:rPr>
        <w:t xml:space="preserve">eilleures pratiques </w:t>
      </w:r>
      <w:r w:rsidR="003F12C0">
        <w:rPr>
          <w:rFonts w:asciiTheme="minorHAnsi" w:hAnsiTheme="minorHAnsi" w:cstheme="minorHAnsi"/>
          <w:b/>
          <w:bCs/>
          <w:sz w:val="28"/>
          <w:szCs w:val="28"/>
          <w:lang w:val="fr-CH"/>
        </w:rPr>
        <w:t>pour l</w:t>
      </w:r>
      <w:r>
        <w:rPr>
          <w:rFonts w:asciiTheme="minorHAnsi" w:hAnsiTheme="minorHAnsi" w:cstheme="minorHAnsi"/>
          <w:b/>
          <w:bCs/>
          <w:sz w:val="28"/>
          <w:szCs w:val="28"/>
          <w:lang w:val="fr-CH"/>
        </w:rPr>
        <w:t>’élaboration d’</w:t>
      </w:r>
      <w:r w:rsidR="009177A6">
        <w:rPr>
          <w:rFonts w:asciiTheme="minorHAnsi" w:hAnsiTheme="minorHAnsi" w:cstheme="minorHAnsi"/>
          <w:b/>
          <w:bCs/>
          <w:sz w:val="28"/>
          <w:szCs w:val="28"/>
          <w:lang w:val="fr-CH"/>
        </w:rPr>
        <w:t>un I</w:t>
      </w:r>
      <w:r>
        <w:rPr>
          <w:rFonts w:asciiTheme="minorHAnsi" w:hAnsiTheme="minorHAnsi" w:cstheme="minorHAnsi"/>
          <w:b/>
          <w:bCs/>
          <w:sz w:val="28"/>
          <w:szCs w:val="28"/>
          <w:lang w:val="fr-CH"/>
        </w:rPr>
        <w:t xml:space="preserve">nventaire </w:t>
      </w:r>
      <w:r w:rsidR="00F405CD">
        <w:rPr>
          <w:rFonts w:asciiTheme="minorHAnsi" w:hAnsiTheme="minorHAnsi" w:cstheme="minorHAnsi"/>
          <w:b/>
          <w:bCs/>
          <w:sz w:val="28"/>
          <w:szCs w:val="28"/>
          <w:lang w:val="fr-CH"/>
        </w:rPr>
        <w:t xml:space="preserve">national </w:t>
      </w:r>
      <w:r>
        <w:rPr>
          <w:rFonts w:asciiTheme="minorHAnsi" w:hAnsiTheme="minorHAnsi" w:cstheme="minorHAnsi"/>
          <w:b/>
          <w:bCs/>
          <w:sz w:val="28"/>
          <w:szCs w:val="28"/>
          <w:lang w:val="fr-CH"/>
        </w:rPr>
        <w:t xml:space="preserve">des zones humides </w:t>
      </w:r>
    </w:p>
    <w:p w14:paraId="70A9308D" w14:textId="70850E08" w:rsidR="007344CB" w:rsidRPr="009177A6" w:rsidRDefault="00354B3E" w:rsidP="007344CB">
      <w:pPr>
        <w:pStyle w:val="Default"/>
        <w:jc w:val="center"/>
        <w:rPr>
          <w:rFonts w:ascii="Calibri" w:hAnsi="Calibri" w:cs="Calibri"/>
          <w:b/>
          <w:bCs/>
          <w:sz w:val="28"/>
          <w:szCs w:val="28"/>
          <w:lang w:val="fr-FR"/>
        </w:rPr>
      </w:pPr>
      <w:r w:rsidRPr="009177A6">
        <w:rPr>
          <w:rFonts w:asciiTheme="minorHAnsi" w:hAnsiTheme="minorHAnsi" w:cstheme="minorHAnsi"/>
          <w:b/>
          <w:bCs/>
          <w:sz w:val="28"/>
          <w:szCs w:val="28"/>
          <w:lang w:val="fr-FR"/>
        </w:rPr>
        <w:t xml:space="preserve"> </w:t>
      </w:r>
    </w:p>
    <w:p w14:paraId="25B88909" w14:textId="77777777" w:rsidR="00B109B4" w:rsidRDefault="00521FB9" w:rsidP="00536607">
      <w:pPr>
        <w:pStyle w:val="Default"/>
        <w:ind w:left="0" w:firstLine="0"/>
        <w:jc w:val="center"/>
        <w:rPr>
          <w:rFonts w:ascii="Calibri" w:hAnsi="Calibri" w:cs="Calibri"/>
          <w:b/>
          <w:bCs/>
          <w:sz w:val="28"/>
          <w:szCs w:val="28"/>
        </w:rPr>
      </w:pPr>
      <w:r w:rsidRPr="007C3C42">
        <w:rPr>
          <w:rFonts w:ascii="Calibri" w:hAnsi="Calibri" w:cs="Calibri"/>
          <w:b/>
          <w:bCs/>
          <w:noProof/>
          <w:sz w:val="28"/>
          <w:szCs w:val="28"/>
          <w:lang w:eastAsia="en-GB"/>
        </w:rPr>
        <mc:AlternateContent>
          <mc:Choice Requires="wps">
            <w:drawing>
              <wp:inline distT="0" distB="0" distL="0" distR="0" wp14:anchorId="640C8ECD" wp14:editId="17408B39">
                <wp:extent cx="5731510" cy="2901950"/>
                <wp:effectExtent l="0" t="0" r="2159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01950"/>
                        </a:xfrm>
                        <a:prstGeom prst="rect">
                          <a:avLst/>
                        </a:prstGeom>
                        <a:solidFill>
                          <a:srgbClr val="FFFFFF"/>
                        </a:solidFill>
                        <a:ln w="9525">
                          <a:solidFill>
                            <a:srgbClr val="000000"/>
                          </a:solidFill>
                          <a:miter lim="800000"/>
                          <a:headEnd/>
                          <a:tailEnd/>
                        </a:ln>
                      </wps:spPr>
                      <wps:txbx>
                        <w:txbxContent>
                          <w:p w14:paraId="2147EEF3" w14:textId="3ED941C0" w:rsidR="00B2201D" w:rsidRPr="00263800" w:rsidRDefault="00B2201D" w:rsidP="00536607">
                            <w:pPr>
                              <w:jc w:val="left"/>
                              <w:rPr>
                                <w:rFonts w:asciiTheme="minorHAnsi" w:hAnsiTheme="minorHAnsi" w:cstheme="minorHAnsi"/>
                                <w:sz w:val="22"/>
                                <w:szCs w:val="22"/>
                                <w:lang w:val="fr-CH"/>
                              </w:rPr>
                            </w:pPr>
                            <w:r>
                              <w:rPr>
                                <w:rFonts w:asciiTheme="minorHAnsi" w:hAnsiTheme="minorHAnsi" w:cstheme="minorHAnsi"/>
                                <w:sz w:val="22"/>
                                <w:szCs w:val="22"/>
                                <w:lang w:val="fr-CH"/>
                              </w:rPr>
                              <w:t>Le Comité permanent est invité à :</w:t>
                            </w:r>
                          </w:p>
                          <w:p w14:paraId="5FA69BD8" w14:textId="77777777" w:rsidR="00B2201D" w:rsidRPr="00263800" w:rsidRDefault="00B2201D" w:rsidP="00536607">
                            <w:pPr>
                              <w:jc w:val="left"/>
                              <w:rPr>
                                <w:rFonts w:asciiTheme="minorHAnsi" w:hAnsiTheme="minorHAnsi" w:cstheme="minorHAnsi"/>
                                <w:sz w:val="22"/>
                                <w:szCs w:val="22"/>
                                <w:lang w:val="fr-CH"/>
                              </w:rPr>
                            </w:pPr>
                          </w:p>
                          <w:p w14:paraId="15B596D2" w14:textId="211D0341" w:rsidR="00B2201D" w:rsidRPr="00263800" w:rsidRDefault="00B2201D" w:rsidP="00536607">
                            <w:pPr>
                              <w:ind w:left="425" w:hanging="425"/>
                              <w:jc w:val="left"/>
                              <w:rPr>
                                <w:rFonts w:asciiTheme="minorHAnsi" w:hAnsiTheme="minorHAnsi" w:cstheme="minorHAnsi"/>
                                <w:sz w:val="22"/>
                                <w:szCs w:val="22"/>
                                <w:lang w:val="fr-CH"/>
                              </w:rPr>
                            </w:pPr>
                            <w:r w:rsidRPr="00263800">
                              <w:rPr>
                                <w:rFonts w:asciiTheme="minorHAnsi" w:hAnsiTheme="minorHAnsi" w:cstheme="minorHAnsi"/>
                                <w:sz w:val="22"/>
                                <w:szCs w:val="22"/>
                                <w:lang w:val="fr-CH"/>
                              </w:rPr>
                              <w:t>i</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 xml:space="preserve">prendre </w:t>
                            </w:r>
                            <w:r w:rsidRPr="00263800">
                              <w:rPr>
                                <w:rFonts w:asciiTheme="minorHAnsi" w:hAnsiTheme="minorHAnsi" w:cstheme="minorHAnsi"/>
                                <w:sz w:val="22"/>
                                <w:szCs w:val="22"/>
                                <w:lang w:val="fr-CH"/>
                              </w:rPr>
                              <w:t xml:space="preserve">note </w:t>
                            </w:r>
                            <w:r>
                              <w:rPr>
                                <w:rFonts w:asciiTheme="minorHAnsi" w:hAnsiTheme="minorHAnsi" w:cstheme="minorHAnsi"/>
                                <w:sz w:val="22"/>
                                <w:szCs w:val="22"/>
                                <w:lang w:val="fr-CH"/>
                              </w:rPr>
                              <w:t>des progrès de réalisation d</w:t>
                            </w:r>
                            <w:r w:rsidR="003F12C0">
                              <w:rPr>
                                <w:rFonts w:asciiTheme="minorHAnsi" w:hAnsiTheme="minorHAnsi" w:cstheme="minorHAnsi"/>
                                <w:sz w:val="22"/>
                                <w:szCs w:val="22"/>
                                <w:lang w:val="fr-CH"/>
                              </w:rPr>
                              <w:t xml:space="preserve">es </w:t>
                            </w:r>
                            <w:r>
                              <w:rPr>
                                <w:rFonts w:asciiTheme="minorHAnsi" w:hAnsiTheme="minorHAnsi" w:cstheme="minorHAnsi"/>
                                <w:sz w:val="22"/>
                                <w:szCs w:val="22"/>
                                <w:lang w:val="fr-CH"/>
                              </w:rPr>
                              <w:t xml:space="preserve">inventaires nationaux des zones humides </w:t>
                            </w:r>
                            <w:r w:rsidR="003F12C0">
                              <w:rPr>
                                <w:rFonts w:asciiTheme="minorHAnsi" w:hAnsiTheme="minorHAnsi" w:cstheme="minorHAnsi"/>
                                <w:sz w:val="22"/>
                                <w:szCs w:val="22"/>
                                <w:lang w:val="fr-CH"/>
                              </w:rPr>
                              <w:t xml:space="preserve">accomplis par les Parties contractantes </w:t>
                            </w:r>
                            <w:r>
                              <w:rPr>
                                <w:rFonts w:asciiTheme="minorHAnsi" w:hAnsiTheme="minorHAnsi" w:cstheme="minorHAnsi"/>
                                <w:sz w:val="22"/>
                                <w:szCs w:val="22"/>
                                <w:lang w:val="fr-CH"/>
                              </w:rPr>
                              <w:t>et des enseignements acquis ;</w:t>
                            </w:r>
                          </w:p>
                          <w:p w14:paraId="7267B899" w14:textId="77777777" w:rsidR="00B2201D" w:rsidRPr="00263800" w:rsidRDefault="00B2201D" w:rsidP="00536607">
                            <w:pPr>
                              <w:ind w:left="425" w:hanging="425"/>
                              <w:jc w:val="left"/>
                              <w:rPr>
                                <w:rFonts w:asciiTheme="minorHAnsi" w:hAnsiTheme="minorHAnsi" w:cstheme="minorHAnsi"/>
                                <w:sz w:val="22"/>
                                <w:szCs w:val="22"/>
                                <w:lang w:val="fr-CH"/>
                              </w:rPr>
                            </w:pPr>
                          </w:p>
                          <w:p w14:paraId="1021BC46" w14:textId="20DBC80A" w:rsidR="00B2201D" w:rsidRPr="00263800" w:rsidRDefault="00B2201D" w:rsidP="00536607">
                            <w:pPr>
                              <w:ind w:left="425" w:hanging="425"/>
                              <w:jc w:val="left"/>
                              <w:rPr>
                                <w:rFonts w:asciiTheme="minorHAnsi" w:hAnsiTheme="minorHAnsi" w:cstheme="minorHAnsi"/>
                                <w:sz w:val="22"/>
                                <w:szCs w:val="22"/>
                                <w:lang w:val="fr-CH"/>
                              </w:rPr>
                            </w:pPr>
                            <w:r w:rsidRPr="00263800">
                              <w:rPr>
                                <w:rFonts w:asciiTheme="minorHAnsi" w:hAnsiTheme="minorHAnsi" w:cstheme="minorHAnsi"/>
                                <w:sz w:val="22"/>
                                <w:szCs w:val="22"/>
                                <w:lang w:val="fr-CH"/>
                              </w:rPr>
                              <w:t>ii</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 xml:space="preserve">prendre </w:t>
                            </w:r>
                            <w:r w:rsidRPr="00263800">
                              <w:rPr>
                                <w:rFonts w:asciiTheme="minorHAnsi" w:hAnsiTheme="minorHAnsi" w:cstheme="minorHAnsi"/>
                                <w:sz w:val="22"/>
                                <w:szCs w:val="22"/>
                                <w:lang w:val="fr-CH"/>
                              </w:rPr>
                              <w:t xml:space="preserve">note </w:t>
                            </w:r>
                            <w:r>
                              <w:rPr>
                                <w:rFonts w:asciiTheme="minorHAnsi" w:hAnsiTheme="minorHAnsi" w:cstheme="minorHAnsi"/>
                                <w:sz w:val="22"/>
                                <w:szCs w:val="22"/>
                                <w:lang w:val="fr-CH"/>
                              </w:rPr>
                              <w:t>des progrès d</w:t>
                            </w:r>
                            <w:r w:rsidR="003F12C0">
                              <w:rPr>
                                <w:rFonts w:asciiTheme="minorHAnsi" w:hAnsiTheme="minorHAnsi" w:cstheme="minorHAnsi"/>
                                <w:sz w:val="22"/>
                                <w:szCs w:val="22"/>
                                <w:lang w:val="fr-CH"/>
                              </w:rPr>
                              <w:t>e</w:t>
                            </w:r>
                            <w:r>
                              <w:rPr>
                                <w:rFonts w:asciiTheme="minorHAnsi" w:hAnsiTheme="minorHAnsi" w:cstheme="minorHAnsi"/>
                                <w:sz w:val="22"/>
                                <w:szCs w:val="22"/>
                                <w:lang w:val="fr-CH"/>
                              </w:rPr>
                              <w:t xml:space="preserve"> l’appui fourni par le Secrétariat aux Parties contractantes pour les aider à réaliser leur </w:t>
                            </w:r>
                            <w:r w:rsidR="00050C11">
                              <w:rPr>
                                <w:rFonts w:asciiTheme="minorHAnsi" w:hAnsiTheme="minorHAnsi" w:cstheme="minorHAnsi"/>
                                <w:sz w:val="22"/>
                                <w:szCs w:val="22"/>
                                <w:lang w:val="fr-CH"/>
                              </w:rPr>
                              <w:t>I</w:t>
                            </w:r>
                            <w:r>
                              <w:rPr>
                                <w:rFonts w:asciiTheme="minorHAnsi" w:hAnsiTheme="minorHAnsi" w:cstheme="minorHAnsi"/>
                                <w:sz w:val="22"/>
                                <w:szCs w:val="22"/>
                                <w:lang w:val="fr-CH"/>
                              </w:rPr>
                              <w:t>nventaire nationa</w:t>
                            </w:r>
                            <w:r w:rsidR="00050C11">
                              <w:rPr>
                                <w:rFonts w:asciiTheme="minorHAnsi" w:hAnsiTheme="minorHAnsi" w:cstheme="minorHAnsi"/>
                                <w:sz w:val="22"/>
                                <w:szCs w:val="22"/>
                                <w:lang w:val="fr-CH"/>
                              </w:rPr>
                              <w:t>l</w:t>
                            </w:r>
                            <w:r>
                              <w:rPr>
                                <w:rFonts w:asciiTheme="minorHAnsi" w:hAnsiTheme="minorHAnsi" w:cstheme="minorHAnsi"/>
                                <w:sz w:val="22"/>
                                <w:szCs w:val="22"/>
                                <w:lang w:val="fr-CH"/>
                              </w:rPr>
                              <w:t xml:space="preserve"> des zones humides ;</w:t>
                            </w:r>
                          </w:p>
                          <w:p w14:paraId="7940721D" w14:textId="77777777" w:rsidR="00B2201D" w:rsidRPr="00263800" w:rsidRDefault="00B2201D" w:rsidP="00536607">
                            <w:pPr>
                              <w:ind w:left="425" w:hanging="425"/>
                              <w:jc w:val="left"/>
                              <w:rPr>
                                <w:rFonts w:asciiTheme="minorHAnsi" w:hAnsiTheme="minorHAnsi" w:cstheme="minorHAnsi"/>
                                <w:sz w:val="22"/>
                                <w:szCs w:val="22"/>
                                <w:lang w:val="fr-CH"/>
                              </w:rPr>
                            </w:pPr>
                          </w:p>
                          <w:p w14:paraId="3866B494" w14:textId="1BECF1CB" w:rsidR="00B2201D" w:rsidRPr="00263800" w:rsidRDefault="00B2201D" w:rsidP="00536607">
                            <w:pPr>
                              <w:ind w:left="425" w:hanging="425"/>
                              <w:jc w:val="left"/>
                              <w:rPr>
                                <w:rFonts w:asciiTheme="minorHAnsi" w:hAnsiTheme="minorHAnsi" w:cstheme="minorHAnsi"/>
                                <w:sz w:val="22"/>
                                <w:szCs w:val="22"/>
                                <w:lang w:val="fr-CH"/>
                              </w:rPr>
                            </w:pPr>
                            <w:r w:rsidRPr="00263800">
                              <w:rPr>
                                <w:rFonts w:asciiTheme="minorHAnsi" w:hAnsiTheme="minorHAnsi" w:cstheme="minorHAnsi"/>
                                <w:sz w:val="22"/>
                                <w:szCs w:val="22"/>
                                <w:lang w:val="fr-CH"/>
                              </w:rPr>
                              <w:t>iii</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 xml:space="preserve">donner instruction au Secrétariat de continuer de travailler avec les Parties contractantes à la réalisation d’inventaires nationaux des zones humides et </w:t>
                            </w:r>
                            <w:r w:rsidR="003F12C0">
                              <w:rPr>
                                <w:rFonts w:asciiTheme="minorHAnsi" w:hAnsiTheme="minorHAnsi" w:cstheme="minorHAnsi"/>
                                <w:sz w:val="22"/>
                                <w:szCs w:val="22"/>
                                <w:lang w:val="fr-CH"/>
                              </w:rPr>
                              <w:t xml:space="preserve">au relevé </w:t>
                            </w:r>
                            <w:r>
                              <w:rPr>
                                <w:rFonts w:asciiTheme="minorHAnsi" w:hAnsiTheme="minorHAnsi" w:cstheme="minorHAnsi"/>
                                <w:sz w:val="22"/>
                                <w:szCs w:val="22"/>
                                <w:lang w:val="fr-CH"/>
                              </w:rPr>
                              <w:t>de l’étendue des zones humides, à faire rapport sur l’Indicateur 6.6.1 de</w:t>
                            </w:r>
                            <w:r w:rsidR="003F12C0">
                              <w:rPr>
                                <w:rFonts w:asciiTheme="minorHAnsi" w:hAnsiTheme="minorHAnsi" w:cstheme="minorHAnsi"/>
                                <w:sz w:val="22"/>
                                <w:szCs w:val="22"/>
                                <w:lang w:val="fr-CH"/>
                              </w:rPr>
                              <w:t xml:space="preserve"> l’</w:t>
                            </w:r>
                            <w:r>
                              <w:rPr>
                                <w:rFonts w:asciiTheme="minorHAnsi" w:hAnsiTheme="minorHAnsi" w:cstheme="minorHAnsi"/>
                                <w:sz w:val="22"/>
                                <w:szCs w:val="22"/>
                                <w:lang w:val="fr-CH"/>
                              </w:rPr>
                              <w:t>ODD</w:t>
                            </w:r>
                            <w:r w:rsidR="003F12C0">
                              <w:rPr>
                                <w:rFonts w:asciiTheme="minorHAnsi" w:hAnsiTheme="minorHAnsi" w:cstheme="minorHAnsi"/>
                                <w:sz w:val="22"/>
                                <w:szCs w:val="22"/>
                                <w:lang w:val="fr-CH"/>
                              </w:rPr>
                              <w:t>6</w:t>
                            </w:r>
                            <w:r>
                              <w:rPr>
                                <w:rFonts w:asciiTheme="minorHAnsi" w:hAnsiTheme="minorHAnsi" w:cstheme="minorHAnsi"/>
                                <w:sz w:val="22"/>
                                <w:szCs w:val="22"/>
                                <w:lang w:val="fr-CH"/>
                              </w:rPr>
                              <w:t xml:space="preserve"> </w:t>
                            </w:r>
                            <w:r w:rsidRPr="00263800">
                              <w:rPr>
                                <w:rFonts w:asciiTheme="minorHAnsi" w:hAnsiTheme="minorHAnsi" w:cstheme="minorHAnsi"/>
                                <w:sz w:val="22"/>
                                <w:szCs w:val="22"/>
                                <w:lang w:val="fr-CH"/>
                              </w:rPr>
                              <w:t>(Résolution</w:t>
                            </w:r>
                            <w:r>
                              <w:rPr>
                                <w:rFonts w:asciiTheme="minorHAnsi" w:hAnsiTheme="minorHAnsi" w:cstheme="minorHAnsi"/>
                                <w:sz w:val="22"/>
                                <w:szCs w:val="22"/>
                                <w:lang w:val="fr-CH"/>
                              </w:rPr>
                              <w:t> </w:t>
                            </w:r>
                            <w:r w:rsidRPr="00263800">
                              <w:rPr>
                                <w:rFonts w:asciiTheme="minorHAnsi" w:hAnsiTheme="minorHAnsi" w:cstheme="minorHAnsi"/>
                                <w:sz w:val="22"/>
                                <w:szCs w:val="22"/>
                                <w:lang w:val="fr-CH"/>
                              </w:rPr>
                              <w:t xml:space="preserve">XIII.7) </w:t>
                            </w:r>
                            <w:r>
                              <w:rPr>
                                <w:rFonts w:asciiTheme="minorHAnsi" w:hAnsiTheme="minorHAnsi" w:cstheme="minorHAnsi"/>
                                <w:sz w:val="22"/>
                                <w:szCs w:val="22"/>
                                <w:lang w:val="fr-CH"/>
                              </w:rPr>
                              <w:t xml:space="preserve">et sur la préparation des rapports à la </w:t>
                            </w:r>
                            <w:r w:rsidRPr="00263800">
                              <w:rPr>
                                <w:rFonts w:asciiTheme="minorHAnsi" w:hAnsiTheme="minorHAnsi" w:cstheme="minorHAnsi"/>
                                <w:sz w:val="22"/>
                                <w:szCs w:val="22"/>
                                <w:lang w:val="fr-CH"/>
                              </w:rPr>
                              <w:t>COP14</w:t>
                            </w:r>
                            <w:r>
                              <w:rPr>
                                <w:rFonts w:asciiTheme="minorHAnsi" w:hAnsiTheme="minorHAnsi" w:cstheme="minorHAnsi"/>
                                <w:sz w:val="22"/>
                                <w:szCs w:val="22"/>
                                <w:lang w:val="fr-CH"/>
                              </w:rPr>
                              <w:t> </w:t>
                            </w:r>
                            <w:r w:rsidRPr="00263800">
                              <w:rPr>
                                <w:rFonts w:asciiTheme="minorHAnsi" w:hAnsiTheme="minorHAnsi" w:cstheme="minorHAnsi"/>
                                <w:sz w:val="22"/>
                                <w:szCs w:val="22"/>
                                <w:lang w:val="fr-CH"/>
                              </w:rPr>
                              <w:t xml:space="preserve">; </w:t>
                            </w:r>
                            <w:r>
                              <w:rPr>
                                <w:rFonts w:asciiTheme="minorHAnsi" w:hAnsiTheme="minorHAnsi" w:cstheme="minorHAnsi"/>
                                <w:sz w:val="22"/>
                                <w:szCs w:val="22"/>
                                <w:lang w:val="fr-CH"/>
                              </w:rPr>
                              <w:t>et</w:t>
                            </w:r>
                          </w:p>
                          <w:p w14:paraId="572A56EC" w14:textId="77777777" w:rsidR="00B2201D" w:rsidRPr="00263800" w:rsidRDefault="00B2201D" w:rsidP="00536607">
                            <w:pPr>
                              <w:ind w:left="425" w:hanging="425"/>
                              <w:jc w:val="left"/>
                              <w:rPr>
                                <w:rFonts w:asciiTheme="minorHAnsi" w:hAnsiTheme="minorHAnsi" w:cstheme="minorHAnsi"/>
                                <w:sz w:val="22"/>
                                <w:szCs w:val="22"/>
                                <w:lang w:val="fr-CH"/>
                              </w:rPr>
                            </w:pPr>
                          </w:p>
                          <w:p w14:paraId="0E558EAD" w14:textId="0CBE33CE" w:rsidR="00B2201D" w:rsidRPr="00263800" w:rsidRDefault="00B2201D" w:rsidP="00536607">
                            <w:pPr>
                              <w:ind w:left="425" w:hanging="425"/>
                              <w:jc w:val="left"/>
                              <w:rPr>
                                <w:lang w:val="fr-CH"/>
                              </w:rPr>
                            </w:pPr>
                            <w:r w:rsidRPr="00263800">
                              <w:rPr>
                                <w:rFonts w:asciiTheme="minorHAnsi" w:hAnsiTheme="minorHAnsi" w:cstheme="minorHAnsi"/>
                                <w:sz w:val="22"/>
                                <w:szCs w:val="22"/>
                                <w:lang w:val="fr-CH"/>
                              </w:rPr>
                              <w:t>iv</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fournir des commentaires au Secrétariat sur le projet de proposition d’appel</w:t>
                            </w:r>
                            <w:r w:rsidR="00D45CF7">
                              <w:rPr>
                                <w:rFonts w:asciiTheme="minorHAnsi" w:hAnsiTheme="minorHAnsi" w:cstheme="minorHAnsi"/>
                                <w:sz w:val="22"/>
                                <w:szCs w:val="22"/>
                                <w:lang w:val="fr-CH"/>
                              </w:rPr>
                              <w:t>s</w:t>
                            </w:r>
                            <w:r>
                              <w:rPr>
                                <w:rFonts w:asciiTheme="minorHAnsi" w:hAnsiTheme="minorHAnsi" w:cstheme="minorHAnsi"/>
                                <w:sz w:val="22"/>
                                <w:szCs w:val="22"/>
                                <w:lang w:val="fr-CH"/>
                              </w:rPr>
                              <w:t xml:space="preserve"> de fonds en vue de renforcer les capacités des Parties contractantes à entreprendre</w:t>
                            </w:r>
                            <w:r w:rsidRPr="00263800">
                              <w:rPr>
                                <w:rFonts w:asciiTheme="minorHAnsi" w:hAnsiTheme="minorHAnsi" w:cstheme="minorHAnsi"/>
                                <w:sz w:val="22"/>
                                <w:lang w:val="fr-CH"/>
                              </w:rPr>
                              <w:t xml:space="preserve">, </w:t>
                            </w:r>
                            <w:r>
                              <w:rPr>
                                <w:rFonts w:asciiTheme="minorHAnsi" w:hAnsiTheme="minorHAnsi" w:cstheme="minorHAnsi"/>
                                <w:sz w:val="22"/>
                                <w:lang w:val="fr-CH"/>
                              </w:rPr>
                              <w:t xml:space="preserve">terminer et mettre à jour leur </w:t>
                            </w:r>
                            <w:r w:rsidR="00050C11">
                              <w:rPr>
                                <w:rFonts w:asciiTheme="minorHAnsi" w:hAnsiTheme="minorHAnsi" w:cstheme="minorHAnsi"/>
                                <w:sz w:val="22"/>
                                <w:lang w:val="fr-CH"/>
                              </w:rPr>
                              <w:t>I</w:t>
                            </w:r>
                            <w:r>
                              <w:rPr>
                                <w:rFonts w:asciiTheme="minorHAnsi" w:hAnsiTheme="minorHAnsi" w:cstheme="minorHAnsi"/>
                                <w:sz w:val="22"/>
                                <w:lang w:val="fr-CH"/>
                              </w:rPr>
                              <w:t xml:space="preserve">nventaire </w:t>
                            </w:r>
                            <w:r w:rsidR="00050C11">
                              <w:rPr>
                                <w:rFonts w:asciiTheme="minorHAnsi" w:hAnsiTheme="minorHAnsi" w:cstheme="minorHAnsi"/>
                                <w:sz w:val="22"/>
                                <w:lang w:val="fr-CH"/>
                              </w:rPr>
                              <w:t>n</w:t>
                            </w:r>
                            <w:r>
                              <w:rPr>
                                <w:rFonts w:asciiTheme="minorHAnsi" w:hAnsiTheme="minorHAnsi" w:cstheme="minorHAnsi"/>
                                <w:sz w:val="22"/>
                                <w:lang w:val="fr-CH"/>
                              </w:rPr>
                              <w:t>ationa</w:t>
                            </w:r>
                            <w:r w:rsidR="00050C11">
                              <w:rPr>
                                <w:rFonts w:asciiTheme="minorHAnsi" w:hAnsiTheme="minorHAnsi" w:cstheme="minorHAnsi"/>
                                <w:sz w:val="22"/>
                                <w:lang w:val="fr-CH"/>
                              </w:rPr>
                              <w:t>l</w:t>
                            </w:r>
                            <w:r>
                              <w:rPr>
                                <w:rFonts w:asciiTheme="minorHAnsi" w:hAnsiTheme="minorHAnsi" w:cstheme="minorHAnsi"/>
                                <w:sz w:val="22"/>
                                <w:lang w:val="fr-CH"/>
                              </w:rPr>
                              <w:t xml:space="preserve"> des zones humides.</w:t>
                            </w:r>
                            <w:r w:rsidRPr="00263800">
                              <w:rPr>
                                <w:rFonts w:asciiTheme="minorHAnsi" w:hAnsiTheme="minorHAnsi" w:cstheme="minorHAnsi"/>
                                <w:sz w:val="22"/>
                                <w:lang w:val="fr-CH"/>
                              </w:rPr>
                              <w:t xml:space="preserve"> </w:t>
                            </w:r>
                          </w:p>
                        </w:txbxContent>
                      </wps:txbx>
                      <wps:bodyPr rot="0" vert="horz" wrap="square" lIns="91440" tIns="45720" rIns="91440" bIns="45720" anchor="t" anchorCtr="0">
                        <a:noAutofit/>
                      </wps:bodyPr>
                    </wps:wsp>
                  </a:graphicData>
                </a:graphic>
              </wp:inline>
            </w:drawing>
          </mc:Choice>
          <mc:Fallback>
            <w:pict>
              <v:shapetype w14:anchorId="640C8ECD" id="_x0000_t202" coordsize="21600,21600" o:spt="202" path="m,l,21600r21600,l21600,xe">
                <v:stroke joinstyle="miter"/>
                <v:path gradientshapeok="t" o:connecttype="rect"/>
              </v:shapetype>
              <v:shape id="Text Box 2" o:spid="_x0000_s1026" type="#_x0000_t202" style="width:451.3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gl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Lq5eF4sCXRx95TIvloukXsaqp+fW+fBegCbxUFOH4id4&#10;drj3IabDqqeQ+JsHJdutVCoZbtdslCMHho2yTStV8CxMGTLUdLkoFxMDf4XI0/oThJYBO15JXdPr&#10;cxCrIm/vTJv6MTCppjOmrMyJyMjdxGIYm/EkTAPtESl1MHU2TiIeenA/KBmwq2vqv++ZE5SoDwZl&#10;WRbzeRyDZMwXVyUa7tLTXHqY4QhV00DJdNyENDqRMAO3KF8nE7FR5ymTU67YrYnv02TFcbi0U9Sv&#10;+V//BAAA//8DAFBLAwQUAAYACAAAACEA6XXSu90AAAAFAQAADwAAAGRycy9kb3ducmV2LnhtbEyP&#10;zU7DMBCE70i8g7VIXBC16U/ahjgVQiqCG7QVXN14m0TY62C7aXh7DBd6WWk0o5lvi9VgDevRh9aR&#10;hLuRAIZUOd1SLWG3Xd8ugIWoSCvjCCV8Y4BVeXlRqFy7E71hv4k1SyUUciWhibHLOQ9Vg1aFkeuQ&#10;kndw3qqYpK+59uqUyq3hYyEyblVLaaFRHT42WH1ujlbCYvrcf4SXyet7lR3MMt7M+6cvL+X11fBw&#10;DyziEP/D8Iuf0KFMTHt3JB2YkZAeiX83eUsxzoDtJUxncwG8LPg5ffkDAAD//wMAUEsBAi0AFAAG&#10;AAgAAAAhALaDOJL+AAAA4QEAABMAAAAAAAAAAAAAAAAAAAAAAFtDb250ZW50X1R5cGVzXS54bWxQ&#10;SwECLQAUAAYACAAAACEAOP0h/9YAAACUAQAACwAAAAAAAAAAAAAAAAAvAQAAX3JlbHMvLnJlbHNQ&#10;SwECLQAUAAYACAAAACEAAGi4JSQCAABHBAAADgAAAAAAAAAAAAAAAAAuAgAAZHJzL2Uyb0RvYy54&#10;bWxQSwECLQAUAAYACAAAACEA6XXSu90AAAAFAQAADwAAAAAAAAAAAAAAAAB+BAAAZHJzL2Rvd25y&#10;ZXYueG1sUEsFBgAAAAAEAAQA8wAAAIgFAAAAAA==&#10;">
                <v:textbox>
                  <w:txbxContent>
                    <w:p w14:paraId="2147EEF3" w14:textId="3ED941C0" w:rsidR="00B2201D" w:rsidRPr="00263800" w:rsidRDefault="00B2201D" w:rsidP="00536607">
                      <w:pPr>
                        <w:jc w:val="left"/>
                        <w:rPr>
                          <w:rFonts w:asciiTheme="minorHAnsi" w:hAnsiTheme="minorHAnsi" w:cstheme="minorHAnsi"/>
                          <w:sz w:val="22"/>
                          <w:szCs w:val="22"/>
                          <w:lang w:val="fr-CH"/>
                        </w:rPr>
                      </w:pPr>
                      <w:r>
                        <w:rPr>
                          <w:rFonts w:asciiTheme="minorHAnsi" w:hAnsiTheme="minorHAnsi" w:cstheme="minorHAnsi"/>
                          <w:sz w:val="22"/>
                          <w:szCs w:val="22"/>
                          <w:lang w:val="fr-CH"/>
                        </w:rPr>
                        <w:t>Le Comité permanent est invité à :</w:t>
                      </w:r>
                    </w:p>
                    <w:p w14:paraId="5FA69BD8" w14:textId="77777777" w:rsidR="00B2201D" w:rsidRPr="00263800" w:rsidRDefault="00B2201D" w:rsidP="00536607">
                      <w:pPr>
                        <w:jc w:val="left"/>
                        <w:rPr>
                          <w:rFonts w:asciiTheme="minorHAnsi" w:hAnsiTheme="minorHAnsi" w:cstheme="minorHAnsi"/>
                          <w:sz w:val="22"/>
                          <w:szCs w:val="22"/>
                          <w:lang w:val="fr-CH"/>
                        </w:rPr>
                      </w:pPr>
                    </w:p>
                    <w:p w14:paraId="15B596D2" w14:textId="211D0341" w:rsidR="00B2201D" w:rsidRPr="00263800" w:rsidRDefault="00B2201D" w:rsidP="00536607">
                      <w:pPr>
                        <w:ind w:left="425" w:hanging="425"/>
                        <w:jc w:val="left"/>
                        <w:rPr>
                          <w:rFonts w:asciiTheme="minorHAnsi" w:hAnsiTheme="minorHAnsi" w:cstheme="minorHAnsi"/>
                          <w:sz w:val="22"/>
                          <w:szCs w:val="22"/>
                          <w:lang w:val="fr-CH"/>
                        </w:rPr>
                      </w:pPr>
                      <w:r w:rsidRPr="00263800">
                        <w:rPr>
                          <w:rFonts w:asciiTheme="minorHAnsi" w:hAnsiTheme="minorHAnsi" w:cstheme="minorHAnsi"/>
                          <w:sz w:val="22"/>
                          <w:szCs w:val="22"/>
                          <w:lang w:val="fr-CH"/>
                        </w:rPr>
                        <w:t>i</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 xml:space="preserve">prendre </w:t>
                      </w:r>
                      <w:r w:rsidRPr="00263800">
                        <w:rPr>
                          <w:rFonts w:asciiTheme="minorHAnsi" w:hAnsiTheme="minorHAnsi" w:cstheme="minorHAnsi"/>
                          <w:sz w:val="22"/>
                          <w:szCs w:val="22"/>
                          <w:lang w:val="fr-CH"/>
                        </w:rPr>
                        <w:t xml:space="preserve">note </w:t>
                      </w:r>
                      <w:r>
                        <w:rPr>
                          <w:rFonts w:asciiTheme="minorHAnsi" w:hAnsiTheme="minorHAnsi" w:cstheme="minorHAnsi"/>
                          <w:sz w:val="22"/>
                          <w:szCs w:val="22"/>
                          <w:lang w:val="fr-CH"/>
                        </w:rPr>
                        <w:t>des progrès de réalisation d</w:t>
                      </w:r>
                      <w:r w:rsidR="003F12C0">
                        <w:rPr>
                          <w:rFonts w:asciiTheme="minorHAnsi" w:hAnsiTheme="minorHAnsi" w:cstheme="minorHAnsi"/>
                          <w:sz w:val="22"/>
                          <w:szCs w:val="22"/>
                          <w:lang w:val="fr-CH"/>
                        </w:rPr>
                        <w:t xml:space="preserve">es </w:t>
                      </w:r>
                      <w:r>
                        <w:rPr>
                          <w:rFonts w:asciiTheme="minorHAnsi" w:hAnsiTheme="minorHAnsi" w:cstheme="minorHAnsi"/>
                          <w:sz w:val="22"/>
                          <w:szCs w:val="22"/>
                          <w:lang w:val="fr-CH"/>
                        </w:rPr>
                        <w:t xml:space="preserve">inventaires nationaux des zones humides </w:t>
                      </w:r>
                      <w:r w:rsidR="003F12C0">
                        <w:rPr>
                          <w:rFonts w:asciiTheme="minorHAnsi" w:hAnsiTheme="minorHAnsi" w:cstheme="minorHAnsi"/>
                          <w:sz w:val="22"/>
                          <w:szCs w:val="22"/>
                          <w:lang w:val="fr-CH"/>
                        </w:rPr>
                        <w:t xml:space="preserve">accomplis par les Parties contractantes </w:t>
                      </w:r>
                      <w:r>
                        <w:rPr>
                          <w:rFonts w:asciiTheme="minorHAnsi" w:hAnsiTheme="minorHAnsi" w:cstheme="minorHAnsi"/>
                          <w:sz w:val="22"/>
                          <w:szCs w:val="22"/>
                          <w:lang w:val="fr-CH"/>
                        </w:rPr>
                        <w:t>et des enseignements acquis ;</w:t>
                      </w:r>
                    </w:p>
                    <w:p w14:paraId="7267B899" w14:textId="77777777" w:rsidR="00B2201D" w:rsidRPr="00263800" w:rsidRDefault="00B2201D" w:rsidP="00536607">
                      <w:pPr>
                        <w:ind w:left="425" w:hanging="425"/>
                        <w:jc w:val="left"/>
                        <w:rPr>
                          <w:rFonts w:asciiTheme="minorHAnsi" w:hAnsiTheme="minorHAnsi" w:cstheme="minorHAnsi"/>
                          <w:sz w:val="22"/>
                          <w:szCs w:val="22"/>
                          <w:lang w:val="fr-CH"/>
                        </w:rPr>
                      </w:pPr>
                    </w:p>
                    <w:p w14:paraId="1021BC46" w14:textId="20DBC80A" w:rsidR="00B2201D" w:rsidRPr="00263800" w:rsidRDefault="00B2201D" w:rsidP="00536607">
                      <w:pPr>
                        <w:ind w:left="425" w:hanging="425"/>
                        <w:jc w:val="left"/>
                        <w:rPr>
                          <w:rFonts w:asciiTheme="minorHAnsi" w:hAnsiTheme="minorHAnsi" w:cstheme="minorHAnsi"/>
                          <w:sz w:val="22"/>
                          <w:szCs w:val="22"/>
                          <w:lang w:val="fr-CH"/>
                        </w:rPr>
                      </w:pPr>
                      <w:r w:rsidRPr="00263800">
                        <w:rPr>
                          <w:rFonts w:asciiTheme="minorHAnsi" w:hAnsiTheme="minorHAnsi" w:cstheme="minorHAnsi"/>
                          <w:sz w:val="22"/>
                          <w:szCs w:val="22"/>
                          <w:lang w:val="fr-CH"/>
                        </w:rPr>
                        <w:t>ii</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 xml:space="preserve">prendre </w:t>
                      </w:r>
                      <w:r w:rsidRPr="00263800">
                        <w:rPr>
                          <w:rFonts w:asciiTheme="minorHAnsi" w:hAnsiTheme="minorHAnsi" w:cstheme="minorHAnsi"/>
                          <w:sz w:val="22"/>
                          <w:szCs w:val="22"/>
                          <w:lang w:val="fr-CH"/>
                        </w:rPr>
                        <w:t xml:space="preserve">note </w:t>
                      </w:r>
                      <w:r>
                        <w:rPr>
                          <w:rFonts w:asciiTheme="minorHAnsi" w:hAnsiTheme="minorHAnsi" w:cstheme="minorHAnsi"/>
                          <w:sz w:val="22"/>
                          <w:szCs w:val="22"/>
                          <w:lang w:val="fr-CH"/>
                        </w:rPr>
                        <w:t>des progrès d</w:t>
                      </w:r>
                      <w:r w:rsidR="003F12C0">
                        <w:rPr>
                          <w:rFonts w:asciiTheme="minorHAnsi" w:hAnsiTheme="minorHAnsi" w:cstheme="minorHAnsi"/>
                          <w:sz w:val="22"/>
                          <w:szCs w:val="22"/>
                          <w:lang w:val="fr-CH"/>
                        </w:rPr>
                        <w:t>e</w:t>
                      </w:r>
                      <w:r>
                        <w:rPr>
                          <w:rFonts w:asciiTheme="minorHAnsi" w:hAnsiTheme="minorHAnsi" w:cstheme="minorHAnsi"/>
                          <w:sz w:val="22"/>
                          <w:szCs w:val="22"/>
                          <w:lang w:val="fr-CH"/>
                        </w:rPr>
                        <w:t xml:space="preserve"> l’appui fourni par le Secrétariat aux Parties contractantes pour les aider à réaliser leur </w:t>
                      </w:r>
                      <w:r w:rsidR="00050C11">
                        <w:rPr>
                          <w:rFonts w:asciiTheme="minorHAnsi" w:hAnsiTheme="minorHAnsi" w:cstheme="minorHAnsi"/>
                          <w:sz w:val="22"/>
                          <w:szCs w:val="22"/>
                          <w:lang w:val="fr-CH"/>
                        </w:rPr>
                        <w:t>I</w:t>
                      </w:r>
                      <w:r>
                        <w:rPr>
                          <w:rFonts w:asciiTheme="minorHAnsi" w:hAnsiTheme="minorHAnsi" w:cstheme="minorHAnsi"/>
                          <w:sz w:val="22"/>
                          <w:szCs w:val="22"/>
                          <w:lang w:val="fr-CH"/>
                        </w:rPr>
                        <w:t>nventaire nationa</w:t>
                      </w:r>
                      <w:r w:rsidR="00050C11">
                        <w:rPr>
                          <w:rFonts w:asciiTheme="minorHAnsi" w:hAnsiTheme="minorHAnsi" w:cstheme="minorHAnsi"/>
                          <w:sz w:val="22"/>
                          <w:szCs w:val="22"/>
                          <w:lang w:val="fr-CH"/>
                        </w:rPr>
                        <w:t>l</w:t>
                      </w:r>
                      <w:r>
                        <w:rPr>
                          <w:rFonts w:asciiTheme="minorHAnsi" w:hAnsiTheme="minorHAnsi" w:cstheme="minorHAnsi"/>
                          <w:sz w:val="22"/>
                          <w:szCs w:val="22"/>
                          <w:lang w:val="fr-CH"/>
                        </w:rPr>
                        <w:t xml:space="preserve"> des zones humides ;</w:t>
                      </w:r>
                    </w:p>
                    <w:p w14:paraId="7940721D" w14:textId="77777777" w:rsidR="00B2201D" w:rsidRPr="00263800" w:rsidRDefault="00B2201D" w:rsidP="00536607">
                      <w:pPr>
                        <w:ind w:left="425" w:hanging="425"/>
                        <w:jc w:val="left"/>
                        <w:rPr>
                          <w:rFonts w:asciiTheme="minorHAnsi" w:hAnsiTheme="minorHAnsi" w:cstheme="minorHAnsi"/>
                          <w:sz w:val="22"/>
                          <w:szCs w:val="22"/>
                          <w:lang w:val="fr-CH"/>
                        </w:rPr>
                      </w:pPr>
                    </w:p>
                    <w:p w14:paraId="3866B494" w14:textId="1BECF1CB" w:rsidR="00B2201D" w:rsidRPr="00263800" w:rsidRDefault="00B2201D" w:rsidP="00536607">
                      <w:pPr>
                        <w:ind w:left="425" w:hanging="425"/>
                        <w:jc w:val="left"/>
                        <w:rPr>
                          <w:rFonts w:asciiTheme="minorHAnsi" w:hAnsiTheme="minorHAnsi" w:cstheme="minorHAnsi"/>
                          <w:sz w:val="22"/>
                          <w:szCs w:val="22"/>
                          <w:lang w:val="fr-CH"/>
                        </w:rPr>
                      </w:pPr>
                      <w:r w:rsidRPr="00263800">
                        <w:rPr>
                          <w:rFonts w:asciiTheme="minorHAnsi" w:hAnsiTheme="minorHAnsi" w:cstheme="minorHAnsi"/>
                          <w:sz w:val="22"/>
                          <w:szCs w:val="22"/>
                          <w:lang w:val="fr-CH"/>
                        </w:rPr>
                        <w:t>iii</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 xml:space="preserve">donner instruction au Secrétariat de continuer de travailler avec les Parties contractantes à la réalisation d’inventaires nationaux des zones humides et </w:t>
                      </w:r>
                      <w:r w:rsidR="003F12C0">
                        <w:rPr>
                          <w:rFonts w:asciiTheme="minorHAnsi" w:hAnsiTheme="minorHAnsi" w:cstheme="minorHAnsi"/>
                          <w:sz w:val="22"/>
                          <w:szCs w:val="22"/>
                          <w:lang w:val="fr-CH"/>
                        </w:rPr>
                        <w:t xml:space="preserve">au relevé </w:t>
                      </w:r>
                      <w:r>
                        <w:rPr>
                          <w:rFonts w:asciiTheme="minorHAnsi" w:hAnsiTheme="minorHAnsi" w:cstheme="minorHAnsi"/>
                          <w:sz w:val="22"/>
                          <w:szCs w:val="22"/>
                          <w:lang w:val="fr-CH"/>
                        </w:rPr>
                        <w:t>de l’étendue des zones humides, à faire rapport sur l’Indicateur 6.6.1 de</w:t>
                      </w:r>
                      <w:r w:rsidR="003F12C0">
                        <w:rPr>
                          <w:rFonts w:asciiTheme="minorHAnsi" w:hAnsiTheme="minorHAnsi" w:cstheme="minorHAnsi"/>
                          <w:sz w:val="22"/>
                          <w:szCs w:val="22"/>
                          <w:lang w:val="fr-CH"/>
                        </w:rPr>
                        <w:t xml:space="preserve"> l’</w:t>
                      </w:r>
                      <w:r>
                        <w:rPr>
                          <w:rFonts w:asciiTheme="minorHAnsi" w:hAnsiTheme="minorHAnsi" w:cstheme="minorHAnsi"/>
                          <w:sz w:val="22"/>
                          <w:szCs w:val="22"/>
                          <w:lang w:val="fr-CH"/>
                        </w:rPr>
                        <w:t>ODD</w:t>
                      </w:r>
                      <w:r w:rsidR="003F12C0">
                        <w:rPr>
                          <w:rFonts w:asciiTheme="minorHAnsi" w:hAnsiTheme="minorHAnsi" w:cstheme="minorHAnsi"/>
                          <w:sz w:val="22"/>
                          <w:szCs w:val="22"/>
                          <w:lang w:val="fr-CH"/>
                        </w:rPr>
                        <w:t>6</w:t>
                      </w:r>
                      <w:r>
                        <w:rPr>
                          <w:rFonts w:asciiTheme="minorHAnsi" w:hAnsiTheme="minorHAnsi" w:cstheme="minorHAnsi"/>
                          <w:sz w:val="22"/>
                          <w:szCs w:val="22"/>
                          <w:lang w:val="fr-CH"/>
                        </w:rPr>
                        <w:t xml:space="preserve"> </w:t>
                      </w:r>
                      <w:r w:rsidRPr="00263800">
                        <w:rPr>
                          <w:rFonts w:asciiTheme="minorHAnsi" w:hAnsiTheme="minorHAnsi" w:cstheme="minorHAnsi"/>
                          <w:sz w:val="22"/>
                          <w:szCs w:val="22"/>
                          <w:lang w:val="fr-CH"/>
                        </w:rPr>
                        <w:t>(Résolution</w:t>
                      </w:r>
                      <w:r>
                        <w:rPr>
                          <w:rFonts w:asciiTheme="minorHAnsi" w:hAnsiTheme="minorHAnsi" w:cstheme="minorHAnsi"/>
                          <w:sz w:val="22"/>
                          <w:szCs w:val="22"/>
                          <w:lang w:val="fr-CH"/>
                        </w:rPr>
                        <w:t> </w:t>
                      </w:r>
                      <w:r w:rsidRPr="00263800">
                        <w:rPr>
                          <w:rFonts w:asciiTheme="minorHAnsi" w:hAnsiTheme="minorHAnsi" w:cstheme="minorHAnsi"/>
                          <w:sz w:val="22"/>
                          <w:szCs w:val="22"/>
                          <w:lang w:val="fr-CH"/>
                        </w:rPr>
                        <w:t xml:space="preserve">XIII.7) </w:t>
                      </w:r>
                      <w:r>
                        <w:rPr>
                          <w:rFonts w:asciiTheme="minorHAnsi" w:hAnsiTheme="minorHAnsi" w:cstheme="minorHAnsi"/>
                          <w:sz w:val="22"/>
                          <w:szCs w:val="22"/>
                          <w:lang w:val="fr-CH"/>
                        </w:rPr>
                        <w:t xml:space="preserve">et sur la préparation des rapports à la </w:t>
                      </w:r>
                      <w:r w:rsidRPr="00263800">
                        <w:rPr>
                          <w:rFonts w:asciiTheme="minorHAnsi" w:hAnsiTheme="minorHAnsi" w:cstheme="minorHAnsi"/>
                          <w:sz w:val="22"/>
                          <w:szCs w:val="22"/>
                          <w:lang w:val="fr-CH"/>
                        </w:rPr>
                        <w:t>COP14</w:t>
                      </w:r>
                      <w:r>
                        <w:rPr>
                          <w:rFonts w:asciiTheme="minorHAnsi" w:hAnsiTheme="minorHAnsi" w:cstheme="minorHAnsi"/>
                          <w:sz w:val="22"/>
                          <w:szCs w:val="22"/>
                          <w:lang w:val="fr-CH"/>
                        </w:rPr>
                        <w:t> </w:t>
                      </w:r>
                      <w:r w:rsidRPr="00263800">
                        <w:rPr>
                          <w:rFonts w:asciiTheme="minorHAnsi" w:hAnsiTheme="minorHAnsi" w:cstheme="minorHAnsi"/>
                          <w:sz w:val="22"/>
                          <w:szCs w:val="22"/>
                          <w:lang w:val="fr-CH"/>
                        </w:rPr>
                        <w:t xml:space="preserve">; </w:t>
                      </w:r>
                      <w:r>
                        <w:rPr>
                          <w:rFonts w:asciiTheme="minorHAnsi" w:hAnsiTheme="minorHAnsi" w:cstheme="minorHAnsi"/>
                          <w:sz w:val="22"/>
                          <w:szCs w:val="22"/>
                          <w:lang w:val="fr-CH"/>
                        </w:rPr>
                        <w:t>et</w:t>
                      </w:r>
                    </w:p>
                    <w:p w14:paraId="572A56EC" w14:textId="77777777" w:rsidR="00B2201D" w:rsidRPr="00263800" w:rsidRDefault="00B2201D" w:rsidP="00536607">
                      <w:pPr>
                        <w:ind w:left="425" w:hanging="425"/>
                        <w:jc w:val="left"/>
                        <w:rPr>
                          <w:rFonts w:asciiTheme="minorHAnsi" w:hAnsiTheme="minorHAnsi" w:cstheme="minorHAnsi"/>
                          <w:sz w:val="22"/>
                          <w:szCs w:val="22"/>
                          <w:lang w:val="fr-CH"/>
                        </w:rPr>
                      </w:pPr>
                    </w:p>
                    <w:p w14:paraId="0E558EAD" w14:textId="0CBE33CE" w:rsidR="00B2201D" w:rsidRPr="00263800" w:rsidRDefault="00B2201D" w:rsidP="00536607">
                      <w:pPr>
                        <w:ind w:left="425" w:hanging="425"/>
                        <w:jc w:val="left"/>
                        <w:rPr>
                          <w:lang w:val="fr-CH"/>
                        </w:rPr>
                      </w:pPr>
                      <w:r w:rsidRPr="00263800">
                        <w:rPr>
                          <w:rFonts w:asciiTheme="minorHAnsi" w:hAnsiTheme="minorHAnsi" w:cstheme="minorHAnsi"/>
                          <w:sz w:val="22"/>
                          <w:szCs w:val="22"/>
                          <w:lang w:val="fr-CH"/>
                        </w:rPr>
                        <w:t>iv</w:t>
                      </w:r>
                      <w:r>
                        <w:rPr>
                          <w:rFonts w:asciiTheme="minorHAnsi" w:hAnsiTheme="minorHAnsi" w:cstheme="minorHAnsi"/>
                          <w:sz w:val="22"/>
                          <w:szCs w:val="22"/>
                          <w:lang w:val="fr-CH"/>
                        </w:rPr>
                        <w:t>)</w:t>
                      </w:r>
                      <w:r w:rsidRPr="00263800">
                        <w:rPr>
                          <w:rFonts w:asciiTheme="minorHAnsi" w:hAnsiTheme="minorHAnsi" w:cstheme="minorHAnsi"/>
                          <w:sz w:val="22"/>
                          <w:szCs w:val="22"/>
                          <w:lang w:val="fr-CH"/>
                        </w:rPr>
                        <w:tab/>
                      </w:r>
                      <w:r>
                        <w:rPr>
                          <w:rFonts w:asciiTheme="minorHAnsi" w:hAnsiTheme="minorHAnsi" w:cstheme="minorHAnsi"/>
                          <w:sz w:val="22"/>
                          <w:szCs w:val="22"/>
                          <w:lang w:val="fr-CH"/>
                        </w:rPr>
                        <w:t>fournir des commentaires au Secrétariat sur le projet de proposition d’appel</w:t>
                      </w:r>
                      <w:r w:rsidR="00D45CF7">
                        <w:rPr>
                          <w:rFonts w:asciiTheme="minorHAnsi" w:hAnsiTheme="minorHAnsi" w:cstheme="minorHAnsi"/>
                          <w:sz w:val="22"/>
                          <w:szCs w:val="22"/>
                          <w:lang w:val="fr-CH"/>
                        </w:rPr>
                        <w:t>s</w:t>
                      </w:r>
                      <w:r>
                        <w:rPr>
                          <w:rFonts w:asciiTheme="minorHAnsi" w:hAnsiTheme="minorHAnsi" w:cstheme="minorHAnsi"/>
                          <w:sz w:val="22"/>
                          <w:szCs w:val="22"/>
                          <w:lang w:val="fr-CH"/>
                        </w:rPr>
                        <w:t xml:space="preserve"> de fonds en vue de renforcer les capacités des Parties contractantes à entreprendre</w:t>
                      </w:r>
                      <w:r w:rsidRPr="00263800">
                        <w:rPr>
                          <w:rFonts w:asciiTheme="minorHAnsi" w:hAnsiTheme="minorHAnsi" w:cstheme="minorHAnsi"/>
                          <w:sz w:val="22"/>
                          <w:lang w:val="fr-CH"/>
                        </w:rPr>
                        <w:t xml:space="preserve">, </w:t>
                      </w:r>
                      <w:r>
                        <w:rPr>
                          <w:rFonts w:asciiTheme="minorHAnsi" w:hAnsiTheme="minorHAnsi" w:cstheme="minorHAnsi"/>
                          <w:sz w:val="22"/>
                          <w:lang w:val="fr-CH"/>
                        </w:rPr>
                        <w:t xml:space="preserve">terminer et mettre à jour leur </w:t>
                      </w:r>
                      <w:r w:rsidR="00050C11">
                        <w:rPr>
                          <w:rFonts w:asciiTheme="minorHAnsi" w:hAnsiTheme="minorHAnsi" w:cstheme="minorHAnsi"/>
                          <w:sz w:val="22"/>
                          <w:lang w:val="fr-CH"/>
                        </w:rPr>
                        <w:t>I</w:t>
                      </w:r>
                      <w:r>
                        <w:rPr>
                          <w:rFonts w:asciiTheme="minorHAnsi" w:hAnsiTheme="minorHAnsi" w:cstheme="minorHAnsi"/>
                          <w:sz w:val="22"/>
                          <w:lang w:val="fr-CH"/>
                        </w:rPr>
                        <w:t xml:space="preserve">nventaire </w:t>
                      </w:r>
                      <w:r w:rsidR="00050C11">
                        <w:rPr>
                          <w:rFonts w:asciiTheme="minorHAnsi" w:hAnsiTheme="minorHAnsi" w:cstheme="minorHAnsi"/>
                          <w:sz w:val="22"/>
                          <w:lang w:val="fr-CH"/>
                        </w:rPr>
                        <w:t>n</w:t>
                      </w:r>
                      <w:r>
                        <w:rPr>
                          <w:rFonts w:asciiTheme="minorHAnsi" w:hAnsiTheme="minorHAnsi" w:cstheme="minorHAnsi"/>
                          <w:sz w:val="22"/>
                          <w:lang w:val="fr-CH"/>
                        </w:rPr>
                        <w:t>ationa</w:t>
                      </w:r>
                      <w:r w:rsidR="00050C11">
                        <w:rPr>
                          <w:rFonts w:asciiTheme="minorHAnsi" w:hAnsiTheme="minorHAnsi" w:cstheme="minorHAnsi"/>
                          <w:sz w:val="22"/>
                          <w:lang w:val="fr-CH"/>
                        </w:rPr>
                        <w:t>l</w:t>
                      </w:r>
                      <w:r>
                        <w:rPr>
                          <w:rFonts w:asciiTheme="minorHAnsi" w:hAnsiTheme="minorHAnsi" w:cstheme="minorHAnsi"/>
                          <w:sz w:val="22"/>
                          <w:lang w:val="fr-CH"/>
                        </w:rPr>
                        <w:t xml:space="preserve"> des zones humides.</w:t>
                      </w:r>
                      <w:r w:rsidRPr="00263800">
                        <w:rPr>
                          <w:rFonts w:asciiTheme="minorHAnsi" w:hAnsiTheme="minorHAnsi" w:cstheme="minorHAnsi"/>
                          <w:sz w:val="22"/>
                          <w:lang w:val="fr-CH"/>
                        </w:rPr>
                        <w:t xml:space="preserve"> </w:t>
                      </w:r>
                    </w:p>
                  </w:txbxContent>
                </v:textbox>
                <w10:anchorlock/>
              </v:shape>
            </w:pict>
          </mc:Fallback>
        </mc:AlternateContent>
      </w:r>
    </w:p>
    <w:p w14:paraId="336DE2D4" w14:textId="77777777" w:rsidR="005429E5" w:rsidRDefault="005429E5" w:rsidP="00930605">
      <w:pPr>
        <w:pStyle w:val="Default"/>
        <w:rPr>
          <w:rFonts w:asciiTheme="minorHAnsi" w:hAnsiTheme="minorHAnsi" w:cstheme="minorHAnsi"/>
          <w:sz w:val="22"/>
          <w:szCs w:val="22"/>
        </w:rPr>
      </w:pPr>
    </w:p>
    <w:p w14:paraId="19A3C093" w14:textId="77777777" w:rsidR="00536607" w:rsidRDefault="00536607" w:rsidP="00930605">
      <w:pPr>
        <w:pStyle w:val="Default"/>
        <w:rPr>
          <w:rFonts w:asciiTheme="minorHAnsi" w:hAnsiTheme="minorHAnsi" w:cstheme="minorHAnsi"/>
          <w:sz w:val="22"/>
          <w:szCs w:val="22"/>
        </w:rPr>
      </w:pPr>
    </w:p>
    <w:p w14:paraId="3A1F8DE9" w14:textId="4018F0DF" w:rsidR="007344CB" w:rsidRPr="00263800" w:rsidRDefault="00263800" w:rsidP="00536607">
      <w:pPr>
        <w:pStyle w:val="Default"/>
        <w:jc w:val="left"/>
        <w:rPr>
          <w:rFonts w:asciiTheme="minorHAnsi" w:hAnsiTheme="minorHAnsi" w:cstheme="minorHAnsi"/>
          <w:b/>
          <w:bCs/>
          <w:sz w:val="22"/>
          <w:szCs w:val="22"/>
          <w:lang w:val="fr-CH"/>
        </w:rPr>
      </w:pPr>
      <w:r>
        <w:rPr>
          <w:rFonts w:asciiTheme="minorHAnsi" w:hAnsiTheme="minorHAnsi" w:cstheme="minorHAnsi"/>
          <w:b/>
          <w:bCs/>
          <w:sz w:val="22"/>
          <w:szCs w:val="22"/>
          <w:lang w:val="fr-CH"/>
        </w:rPr>
        <w:t>Contexte</w:t>
      </w:r>
    </w:p>
    <w:p w14:paraId="6793FA8F" w14:textId="77777777" w:rsidR="00383801" w:rsidRPr="00263800" w:rsidRDefault="00383801" w:rsidP="00536607">
      <w:pPr>
        <w:pStyle w:val="Default"/>
        <w:jc w:val="left"/>
        <w:rPr>
          <w:rFonts w:asciiTheme="minorHAnsi" w:hAnsiTheme="minorHAnsi" w:cstheme="minorHAnsi"/>
          <w:b/>
          <w:bCs/>
          <w:sz w:val="22"/>
          <w:szCs w:val="22"/>
          <w:lang w:val="fr-CH"/>
        </w:rPr>
      </w:pPr>
    </w:p>
    <w:p w14:paraId="330034C3" w14:textId="3A91989E" w:rsidR="00475560" w:rsidRPr="00263800" w:rsidRDefault="00536607" w:rsidP="00536607">
      <w:pPr>
        <w:ind w:left="425" w:hanging="425"/>
        <w:jc w:val="left"/>
        <w:rPr>
          <w:rFonts w:asciiTheme="minorHAnsi" w:hAnsiTheme="minorHAnsi" w:cstheme="minorHAnsi"/>
          <w:sz w:val="22"/>
          <w:szCs w:val="22"/>
          <w:lang w:val="fr-CH"/>
        </w:rPr>
      </w:pPr>
      <w:r w:rsidRPr="00263800">
        <w:rPr>
          <w:rFonts w:asciiTheme="minorHAnsi" w:hAnsiTheme="minorHAnsi" w:cstheme="minorHAnsi"/>
          <w:color w:val="000000"/>
          <w:sz w:val="22"/>
          <w:szCs w:val="22"/>
          <w:lang w:val="fr-CH"/>
        </w:rPr>
        <w:t>1.</w:t>
      </w:r>
      <w:r w:rsidRPr="00263800">
        <w:rPr>
          <w:rFonts w:asciiTheme="minorHAnsi" w:hAnsiTheme="minorHAnsi" w:cstheme="minorHAnsi"/>
          <w:color w:val="000000"/>
          <w:sz w:val="22"/>
          <w:szCs w:val="22"/>
          <w:lang w:val="fr-CH"/>
        </w:rPr>
        <w:tab/>
      </w:r>
      <w:r w:rsidR="00764A82">
        <w:rPr>
          <w:rFonts w:asciiTheme="minorHAnsi" w:hAnsiTheme="minorHAnsi" w:cstheme="minorHAnsi"/>
          <w:color w:val="000000"/>
          <w:sz w:val="22"/>
          <w:szCs w:val="22"/>
          <w:lang w:val="fr-CH"/>
        </w:rPr>
        <w:t>Pour l</w:t>
      </w:r>
      <w:r w:rsidR="00697F36">
        <w:rPr>
          <w:rFonts w:asciiTheme="minorHAnsi" w:hAnsiTheme="minorHAnsi" w:cstheme="minorHAnsi"/>
          <w:color w:val="000000"/>
          <w:sz w:val="22"/>
          <w:szCs w:val="22"/>
          <w:lang w:val="fr-CH"/>
        </w:rPr>
        <w:t xml:space="preserve">a </w:t>
      </w:r>
      <w:r w:rsidR="004438ED" w:rsidRPr="00263800">
        <w:rPr>
          <w:rFonts w:asciiTheme="minorHAnsi" w:hAnsiTheme="minorHAnsi" w:cstheme="minorHAnsi"/>
          <w:color w:val="000000"/>
          <w:sz w:val="22"/>
          <w:szCs w:val="22"/>
          <w:lang w:val="fr-CH"/>
        </w:rPr>
        <w:t xml:space="preserve">Convention </w:t>
      </w:r>
      <w:r w:rsidR="00697F36">
        <w:rPr>
          <w:rFonts w:asciiTheme="minorHAnsi" w:hAnsiTheme="minorHAnsi" w:cstheme="minorHAnsi"/>
          <w:color w:val="000000"/>
          <w:sz w:val="22"/>
          <w:szCs w:val="22"/>
          <w:lang w:val="fr-CH"/>
        </w:rPr>
        <w:t>sur les zones humides</w:t>
      </w:r>
      <w:r w:rsidR="00764A82">
        <w:rPr>
          <w:rFonts w:asciiTheme="minorHAnsi" w:hAnsiTheme="minorHAnsi" w:cstheme="minorHAnsi"/>
          <w:color w:val="000000"/>
          <w:sz w:val="22"/>
          <w:szCs w:val="22"/>
          <w:lang w:val="fr-CH"/>
        </w:rPr>
        <w:t>,</w:t>
      </w:r>
      <w:r w:rsidR="00697F36">
        <w:rPr>
          <w:rFonts w:asciiTheme="minorHAnsi" w:hAnsiTheme="minorHAnsi" w:cstheme="minorHAnsi"/>
          <w:color w:val="000000"/>
          <w:sz w:val="22"/>
          <w:szCs w:val="22"/>
          <w:lang w:val="fr-CH"/>
        </w:rPr>
        <w:t xml:space="preserve"> l’</w:t>
      </w:r>
      <w:r w:rsidR="0068093C">
        <w:rPr>
          <w:rFonts w:asciiTheme="minorHAnsi" w:hAnsiTheme="minorHAnsi" w:cstheme="minorHAnsi"/>
          <w:color w:val="000000"/>
          <w:sz w:val="22"/>
          <w:szCs w:val="22"/>
          <w:lang w:val="fr-CH"/>
        </w:rPr>
        <w:t>I</w:t>
      </w:r>
      <w:r w:rsidR="00697F36">
        <w:rPr>
          <w:rFonts w:asciiTheme="minorHAnsi" w:hAnsiTheme="minorHAnsi" w:cstheme="minorHAnsi"/>
          <w:color w:val="000000"/>
          <w:sz w:val="22"/>
          <w:szCs w:val="22"/>
          <w:lang w:val="fr-CH"/>
        </w:rPr>
        <w:t xml:space="preserve">nventaire national des zones humides (INZH) </w:t>
      </w:r>
      <w:r w:rsidR="00764A82">
        <w:rPr>
          <w:rFonts w:asciiTheme="minorHAnsi" w:hAnsiTheme="minorHAnsi" w:cstheme="minorHAnsi"/>
          <w:color w:val="000000"/>
          <w:sz w:val="22"/>
          <w:szCs w:val="22"/>
          <w:lang w:val="fr-CH"/>
        </w:rPr>
        <w:t xml:space="preserve">a toujours été un </w:t>
      </w:r>
      <w:r w:rsidR="00697F36">
        <w:rPr>
          <w:rFonts w:asciiTheme="minorHAnsi" w:hAnsiTheme="minorHAnsi" w:cstheme="minorHAnsi"/>
          <w:color w:val="000000"/>
          <w:sz w:val="22"/>
          <w:szCs w:val="22"/>
          <w:lang w:val="fr-CH"/>
        </w:rPr>
        <w:t xml:space="preserve">outil essentiel </w:t>
      </w:r>
      <w:r w:rsidR="00764A82">
        <w:rPr>
          <w:rFonts w:asciiTheme="minorHAnsi" w:hAnsiTheme="minorHAnsi" w:cstheme="minorHAnsi"/>
          <w:color w:val="000000"/>
          <w:sz w:val="22"/>
          <w:szCs w:val="22"/>
          <w:lang w:val="fr-CH"/>
        </w:rPr>
        <w:t>soutenant les</w:t>
      </w:r>
      <w:r w:rsidR="00697F36">
        <w:rPr>
          <w:rFonts w:asciiTheme="minorHAnsi" w:hAnsiTheme="minorHAnsi" w:cstheme="minorHAnsi"/>
          <w:color w:val="000000"/>
          <w:sz w:val="22"/>
          <w:szCs w:val="22"/>
          <w:lang w:val="fr-CH"/>
        </w:rPr>
        <w:t xml:space="preserve"> politiques nationales et d’autres mesures </w:t>
      </w:r>
      <w:r w:rsidR="00764A82">
        <w:rPr>
          <w:rFonts w:asciiTheme="minorHAnsi" w:hAnsiTheme="minorHAnsi" w:cstheme="minorHAnsi"/>
          <w:color w:val="000000"/>
          <w:sz w:val="22"/>
          <w:szCs w:val="22"/>
          <w:lang w:val="fr-CH"/>
        </w:rPr>
        <w:t>de</w:t>
      </w:r>
      <w:r w:rsidR="00697F36">
        <w:rPr>
          <w:rFonts w:asciiTheme="minorHAnsi" w:hAnsiTheme="minorHAnsi" w:cstheme="minorHAnsi"/>
          <w:color w:val="000000"/>
          <w:sz w:val="22"/>
          <w:szCs w:val="22"/>
          <w:lang w:val="fr-CH"/>
        </w:rPr>
        <w:t xml:space="preserve"> conservation et </w:t>
      </w:r>
      <w:r w:rsidR="00764A82">
        <w:rPr>
          <w:rFonts w:asciiTheme="minorHAnsi" w:hAnsiTheme="minorHAnsi" w:cstheme="minorHAnsi"/>
          <w:color w:val="000000"/>
          <w:sz w:val="22"/>
          <w:szCs w:val="22"/>
          <w:lang w:val="fr-CH"/>
        </w:rPr>
        <w:t>d</w:t>
      </w:r>
      <w:r w:rsidR="00697F36">
        <w:rPr>
          <w:rFonts w:asciiTheme="minorHAnsi" w:hAnsiTheme="minorHAnsi" w:cstheme="minorHAnsi"/>
          <w:color w:val="000000"/>
          <w:sz w:val="22"/>
          <w:szCs w:val="22"/>
          <w:lang w:val="fr-CH"/>
        </w:rPr>
        <w:t>’utilisation rationnelle des zones humides. Dès la 1</w:t>
      </w:r>
      <w:r w:rsidR="00697F36" w:rsidRPr="00697F36">
        <w:rPr>
          <w:rFonts w:asciiTheme="minorHAnsi" w:hAnsiTheme="minorHAnsi" w:cstheme="minorHAnsi"/>
          <w:color w:val="000000"/>
          <w:sz w:val="22"/>
          <w:szCs w:val="22"/>
          <w:vertAlign w:val="superscript"/>
          <w:lang w:val="fr-CH"/>
        </w:rPr>
        <w:t>re</w:t>
      </w:r>
      <w:r w:rsidR="00697F36">
        <w:rPr>
          <w:rFonts w:asciiTheme="minorHAnsi" w:hAnsiTheme="minorHAnsi" w:cstheme="minorHAnsi"/>
          <w:color w:val="000000"/>
          <w:sz w:val="22"/>
          <w:szCs w:val="22"/>
          <w:lang w:val="fr-CH"/>
        </w:rPr>
        <w:t xml:space="preserve"> Session de la Conférence des Parties contractantes (COP1, </w:t>
      </w:r>
      <w:r w:rsidR="004438ED" w:rsidRPr="00263800">
        <w:rPr>
          <w:rFonts w:asciiTheme="minorHAnsi" w:hAnsiTheme="minorHAnsi" w:cstheme="minorHAnsi"/>
          <w:color w:val="000000"/>
          <w:sz w:val="22"/>
          <w:szCs w:val="22"/>
          <w:lang w:val="fr-CH"/>
        </w:rPr>
        <w:t xml:space="preserve">Cagliari, 1980), </w:t>
      </w:r>
      <w:r w:rsidR="00697F36">
        <w:rPr>
          <w:rFonts w:asciiTheme="minorHAnsi" w:hAnsiTheme="minorHAnsi" w:cstheme="minorHAnsi"/>
          <w:color w:val="000000"/>
          <w:sz w:val="22"/>
          <w:szCs w:val="22"/>
          <w:lang w:val="fr-CH"/>
        </w:rPr>
        <w:t xml:space="preserve">les Parties contractantes ont reconnu que les politiques nationales pour les zones humides devaient </w:t>
      </w:r>
      <w:r w:rsidR="00B70BBE">
        <w:rPr>
          <w:rFonts w:asciiTheme="minorHAnsi" w:hAnsiTheme="minorHAnsi" w:cstheme="minorHAnsi"/>
          <w:color w:val="000000"/>
          <w:sz w:val="22"/>
          <w:szCs w:val="22"/>
          <w:lang w:val="fr-CH"/>
        </w:rPr>
        <w:t>prendre appui</w:t>
      </w:r>
      <w:r w:rsidR="00697F36">
        <w:rPr>
          <w:rFonts w:asciiTheme="minorHAnsi" w:hAnsiTheme="minorHAnsi" w:cstheme="minorHAnsi"/>
          <w:color w:val="000000"/>
          <w:sz w:val="22"/>
          <w:szCs w:val="22"/>
          <w:lang w:val="fr-CH"/>
        </w:rPr>
        <w:t xml:space="preserve"> sur un inventaire des zones humides et de leurs ressources à l’échelon national </w:t>
      </w:r>
      <w:r w:rsidR="004438ED" w:rsidRPr="00263800">
        <w:rPr>
          <w:rFonts w:asciiTheme="minorHAnsi" w:hAnsiTheme="minorHAnsi" w:cstheme="minorHAnsi"/>
          <w:color w:val="000000"/>
          <w:sz w:val="22"/>
          <w:szCs w:val="22"/>
          <w:lang w:val="fr-CH"/>
        </w:rPr>
        <w:t>(</w:t>
      </w:r>
      <w:r w:rsidR="00697F36" w:rsidRPr="00263800">
        <w:rPr>
          <w:rFonts w:asciiTheme="minorHAnsi" w:hAnsiTheme="minorHAnsi" w:cstheme="minorHAnsi"/>
          <w:color w:val="000000"/>
          <w:sz w:val="22"/>
          <w:szCs w:val="22"/>
          <w:lang w:val="fr-CH"/>
        </w:rPr>
        <w:t>Recommandation</w:t>
      </w:r>
      <w:r w:rsidR="00697F36">
        <w:rPr>
          <w:rFonts w:asciiTheme="minorHAnsi" w:hAnsiTheme="minorHAnsi" w:cstheme="minorHAnsi"/>
          <w:color w:val="000000"/>
          <w:sz w:val="22"/>
          <w:szCs w:val="22"/>
          <w:lang w:val="fr-CH"/>
        </w:rPr>
        <w:t> </w:t>
      </w:r>
      <w:r w:rsidR="004438ED" w:rsidRPr="00263800">
        <w:rPr>
          <w:rFonts w:asciiTheme="minorHAnsi" w:hAnsiTheme="minorHAnsi" w:cstheme="minorHAnsi"/>
          <w:color w:val="000000"/>
          <w:sz w:val="22"/>
          <w:szCs w:val="22"/>
          <w:lang w:val="fr-CH"/>
        </w:rPr>
        <w:t xml:space="preserve">1.5). </w:t>
      </w:r>
      <w:r w:rsidR="00697F36">
        <w:rPr>
          <w:rFonts w:asciiTheme="minorHAnsi" w:hAnsiTheme="minorHAnsi" w:cstheme="minorHAnsi"/>
          <w:color w:val="000000"/>
          <w:sz w:val="22"/>
          <w:szCs w:val="22"/>
          <w:lang w:val="fr-CH"/>
        </w:rPr>
        <w:t xml:space="preserve">Cette reconnaissance de la valeur des INZH a été réitérée par des COP successives, notamment dans la </w:t>
      </w:r>
      <w:r w:rsidR="00697F36" w:rsidRPr="00263800">
        <w:rPr>
          <w:rFonts w:asciiTheme="minorHAnsi" w:hAnsiTheme="minorHAnsi" w:cstheme="minorHAnsi"/>
          <w:color w:val="000000"/>
          <w:sz w:val="22"/>
          <w:szCs w:val="22"/>
          <w:lang w:val="fr-CH"/>
        </w:rPr>
        <w:t>Recommandation</w:t>
      </w:r>
      <w:r w:rsidR="00697F36">
        <w:rPr>
          <w:rFonts w:asciiTheme="minorHAnsi" w:hAnsiTheme="minorHAnsi" w:cstheme="minorHAnsi"/>
          <w:color w:val="000000"/>
          <w:sz w:val="22"/>
          <w:szCs w:val="22"/>
          <w:lang w:val="fr-CH"/>
        </w:rPr>
        <w:t> </w:t>
      </w:r>
      <w:r w:rsidR="004438ED" w:rsidRPr="00263800">
        <w:rPr>
          <w:rFonts w:asciiTheme="minorHAnsi" w:hAnsiTheme="minorHAnsi" w:cstheme="minorHAnsi"/>
          <w:color w:val="000000"/>
          <w:sz w:val="22"/>
          <w:szCs w:val="22"/>
          <w:lang w:val="fr-CH"/>
        </w:rPr>
        <w:t xml:space="preserve">2.3 (COP2, </w:t>
      </w:r>
      <w:r w:rsidR="00603647" w:rsidRPr="00263800">
        <w:rPr>
          <w:rFonts w:asciiTheme="minorHAnsi" w:hAnsiTheme="minorHAnsi" w:cstheme="minorHAnsi"/>
          <w:color w:val="000000"/>
          <w:sz w:val="22"/>
          <w:szCs w:val="22"/>
          <w:lang w:val="fr-CH"/>
        </w:rPr>
        <w:t>1</w:t>
      </w:r>
      <w:r w:rsidR="004438ED" w:rsidRPr="00263800">
        <w:rPr>
          <w:rFonts w:asciiTheme="minorHAnsi" w:hAnsiTheme="minorHAnsi" w:cstheme="minorHAnsi"/>
          <w:color w:val="000000"/>
          <w:sz w:val="22"/>
          <w:szCs w:val="22"/>
          <w:lang w:val="fr-CH"/>
        </w:rPr>
        <w:t xml:space="preserve">984), </w:t>
      </w:r>
      <w:r w:rsidR="00697F36">
        <w:rPr>
          <w:rFonts w:asciiTheme="minorHAnsi" w:hAnsiTheme="minorHAnsi" w:cstheme="minorHAnsi"/>
          <w:color w:val="000000"/>
          <w:sz w:val="22"/>
          <w:szCs w:val="22"/>
          <w:lang w:val="fr-CH"/>
        </w:rPr>
        <w:t xml:space="preserve">la </w:t>
      </w:r>
      <w:r w:rsidR="00697F36" w:rsidRPr="00263800">
        <w:rPr>
          <w:rFonts w:asciiTheme="minorHAnsi" w:hAnsiTheme="minorHAnsi" w:cstheme="minorHAnsi"/>
          <w:color w:val="000000"/>
          <w:sz w:val="22"/>
          <w:szCs w:val="22"/>
          <w:lang w:val="fr-CH"/>
        </w:rPr>
        <w:t>Recommandation</w:t>
      </w:r>
      <w:r w:rsidR="00697F36">
        <w:rPr>
          <w:rFonts w:asciiTheme="minorHAnsi" w:hAnsiTheme="minorHAnsi" w:cstheme="minorHAnsi"/>
          <w:color w:val="000000"/>
          <w:sz w:val="22"/>
          <w:szCs w:val="22"/>
          <w:lang w:val="fr-CH"/>
        </w:rPr>
        <w:t> </w:t>
      </w:r>
      <w:r w:rsidR="004438ED" w:rsidRPr="00263800">
        <w:rPr>
          <w:rFonts w:asciiTheme="minorHAnsi" w:hAnsiTheme="minorHAnsi" w:cstheme="minorHAnsi"/>
          <w:color w:val="000000"/>
          <w:sz w:val="22"/>
          <w:szCs w:val="22"/>
          <w:lang w:val="fr-CH"/>
        </w:rPr>
        <w:t xml:space="preserve">4.6 (COP4, 1990), </w:t>
      </w:r>
      <w:r w:rsidR="00697F36">
        <w:rPr>
          <w:rFonts w:asciiTheme="minorHAnsi" w:hAnsiTheme="minorHAnsi" w:cstheme="minorHAnsi"/>
          <w:color w:val="000000"/>
          <w:sz w:val="22"/>
          <w:szCs w:val="22"/>
          <w:lang w:val="fr-CH"/>
        </w:rPr>
        <w:t xml:space="preserve">la </w:t>
      </w:r>
      <w:r w:rsidR="00697F36" w:rsidRPr="00263800">
        <w:rPr>
          <w:rFonts w:asciiTheme="minorHAnsi" w:hAnsiTheme="minorHAnsi" w:cstheme="minorHAnsi"/>
          <w:color w:val="000000"/>
          <w:sz w:val="22"/>
          <w:szCs w:val="22"/>
          <w:lang w:val="fr-CH"/>
        </w:rPr>
        <w:t>Résolution</w:t>
      </w:r>
      <w:r w:rsidR="00697F36">
        <w:rPr>
          <w:rFonts w:asciiTheme="minorHAnsi" w:hAnsiTheme="minorHAnsi" w:cstheme="minorHAnsi"/>
          <w:color w:val="000000"/>
          <w:sz w:val="22"/>
          <w:szCs w:val="22"/>
          <w:lang w:val="fr-CH"/>
        </w:rPr>
        <w:t> </w:t>
      </w:r>
      <w:r w:rsidR="004438ED" w:rsidRPr="00263800">
        <w:rPr>
          <w:rFonts w:asciiTheme="minorHAnsi" w:hAnsiTheme="minorHAnsi" w:cstheme="minorHAnsi"/>
          <w:color w:val="000000"/>
          <w:sz w:val="22"/>
          <w:szCs w:val="22"/>
          <w:lang w:val="fr-CH"/>
        </w:rPr>
        <w:t xml:space="preserve">5.3 (COP5, 1993), </w:t>
      </w:r>
      <w:r w:rsidR="00697F36">
        <w:rPr>
          <w:rFonts w:asciiTheme="minorHAnsi" w:hAnsiTheme="minorHAnsi" w:cstheme="minorHAnsi"/>
          <w:color w:val="000000"/>
          <w:sz w:val="22"/>
          <w:szCs w:val="22"/>
          <w:lang w:val="fr-CH"/>
        </w:rPr>
        <w:t xml:space="preserve">la </w:t>
      </w:r>
      <w:r w:rsidR="00697F36" w:rsidRPr="00263800">
        <w:rPr>
          <w:rFonts w:asciiTheme="minorHAnsi" w:hAnsiTheme="minorHAnsi" w:cstheme="minorHAnsi"/>
          <w:color w:val="000000"/>
          <w:sz w:val="22"/>
          <w:szCs w:val="22"/>
          <w:lang w:val="fr-CH"/>
        </w:rPr>
        <w:t>Résolution</w:t>
      </w:r>
      <w:r w:rsidR="00697F36">
        <w:rPr>
          <w:rFonts w:asciiTheme="minorHAnsi" w:hAnsiTheme="minorHAnsi" w:cstheme="minorHAnsi"/>
          <w:color w:val="000000"/>
          <w:sz w:val="22"/>
          <w:szCs w:val="22"/>
          <w:lang w:val="fr-CH"/>
        </w:rPr>
        <w:t> </w:t>
      </w:r>
      <w:r w:rsidR="004438ED" w:rsidRPr="00263800">
        <w:rPr>
          <w:rFonts w:asciiTheme="minorHAnsi" w:hAnsiTheme="minorHAnsi" w:cstheme="minorHAnsi"/>
          <w:color w:val="000000"/>
          <w:sz w:val="22"/>
          <w:szCs w:val="22"/>
          <w:lang w:val="fr-CH"/>
        </w:rPr>
        <w:t>VI.12 (COP6,</w:t>
      </w:r>
      <w:r w:rsidR="00697F36">
        <w:rPr>
          <w:rFonts w:asciiTheme="minorHAnsi" w:hAnsiTheme="minorHAnsi" w:cstheme="minorHAnsi"/>
          <w:color w:val="000000"/>
          <w:sz w:val="22"/>
          <w:szCs w:val="22"/>
          <w:lang w:val="fr-CH"/>
        </w:rPr>
        <w:t> </w:t>
      </w:r>
      <w:r w:rsidR="004438ED" w:rsidRPr="00263800">
        <w:rPr>
          <w:rFonts w:asciiTheme="minorHAnsi" w:hAnsiTheme="minorHAnsi" w:cstheme="minorHAnsi"/>
          <w:color w:val="000000"/>
          <w:sz w:val="22"/>
          <w:szCs w:val="22"/>
          <w:lang w:val="fr-CH"/>
        </w:rPr>
        <w:t xml:space="preserve">1996), </w:t>
      </w:r>
      <w:r w:rsidR="00697F36">
        <w:rPr>
          <w:rFonts w:asciiTheme="minorHAnsi" w:hAnsiTheme="minorHAnsi" w:cstheme="minorHAnsi"/>
          <w:color w:val="000000"/>
          <w:sz w:val="22"/>
          <w:szCs w:val="22"/>
          <w:lang w:val="fr-CH"/>
        </w:rPr>
        <w:t xml:space="preserve">la </w:t>
      </w:r>
      <w:r w:rsidR="00697F36" w:rsidRPr="00263800">
        <w:rPr>
          <w:rFonts w:asciiTheme="minorHAnsi" w:hAnsiTheme="minorHAnsi" w:cstheme="minorHAnsi"/>
          <w:color w:val="000000"/>
          <w:sz w:val="22"/>
          <w:szCs w:val="22"/>
          <w:lang w:val="fr-CH"/>
        </w:rPr>
        <w:t>Résolution</w:t>
      </w:r>
      <w:r w:rsidR="00697F36">
        <w:rPr>
          <w:rFonts w:asciiTheme="minorHAnsi" w:hAnsiTheme="minorHAnsi" w:cstheme="minorHAnsi"/>
          <w:color w:val="000000"/>
          <w:sz w:val="22"/>
          <w:szCs w:val="22"/>
          <w:lang w:val="fr-CH"/>
        </w:rPr>
        <w:t> </w:t>
      </w:r>
      <w:r w:rsidR="004438ED" w:rsidRPr="00263800">
        <w:rPr>
          <w:rFonts w:asciiTheme="minorHAnsi" w:hAnsiTheme="minorHAnsi" w:cstheme="minorHAnsi"/>
          <w:color w:val="000000"/>
          <w:sz w:val="22"/>
          <w:szCs w:val="22"/>
          <w:lang w:val="fr-CH"/>
        </w:rPr>
        <w:t>VII.20</w:t>
      </w:r>
      <w:r w:rsidR="00603647" w:rsidRPr="00263800">
        <w:rPr>
          <w:rFonts w:asciiTheme="minorHAnsi" w:hAnsiTheme="minorHAnsi" w:cstheme="minorHAnsi"/>
          <w:color w:val="000000"/>
          <w:sz w:val="22"/>
          <w:szCs w:val="22"/>
          <w:lang w:val="fr-CH"/>
        </w:rPr>
        <w:t xml:space="preserve"> (COP7, 1999), </w:t>
      </w:r>
      <w:r w:rsidR="00697F36">
        <w:rPr>
          <w:rFonts w:asciiTheme="minorHAnsi" w:hAnsiTheme="minorHAnsi" w:cstheme="minorHAnsi"/>
          <w:color w:val="000000"/>
          <w:sz w:val="22"/>
          <w:szCs w:val="22"/>
          <w:lang w:val="fr-CH"/>
        </w:rPr>
        <w:t xml:space="preserve">la </w:t>
      </w:r>
      <w:r w:rsidR="00697F36" w:rsidRPr="00263800">
        <w:rPr>
          <w:rFonts w:asciiTheme="minorHAnsi" w:hAnsiTheme="minorHAnsi" w:cstheme="minorHAnsi"/>
          <w:color w:val="000000"/>
          <w:sz w:val="22"/>
          <w:szCs w:val="22"/>
          <w:lang w:val="fr-CH"/>
        </w:rPr>
        <w:t>Résolution</w:t>
      </w:r>
      <w:r w:rsidR="00697F36">
        <w:rPr>
          <w:rFonts w:asciiTheme="minorHAnsi" w:hAnsiTheme="minorHAnsi" w:cstheme="minorHAnsi"/>
          <w:color w:val="000000"/>
          <w:sz w:val="22"/>
          <w:szCs w:val="22"/>
          <w:lang w:val="fr-CH"/>
        </w:rPr>
        <w:t> </w:t>
      </w:r>
      <w:r w:rsidR="00603647" w:rsidRPr="00263800">
        <w:rPr>
          <w:rFonts w:asciiTheme="minorHAnsi" w:hAnsiTheme="minorHAnsi" w:cstheme="minorHAnsi"/>
          <w:color w:val="000000"/>
          <w:sz w:val="22"/>
          <w:szCs w:val="22"/>
          <w:lang w:val="fr-CH"/>
        </w:rPr>
        <w:t xml:space="preserve">VIII.6 (COP8, 2002), </w:t>
      </w:r>
      <w:r w:rsidR="00697F36">
        <w:rPr>
          <w:rFonts w:asciiTheme="minorHAnsi" w:hAnsiTheme="minorHAnsi" w:cstheme="minorHAnsi"/>
          <w:color w:val="000000"/>
          <w:sz w:val="22"/>
          <w:szCs w:val="22"/>
          <w:lang w:val="fr-CH"/>
        </w:rPr>
        <w:t xml:space="preserve">la </w:t>
      </w:r>
      <w:r w:rsidR="00697F36" w:rsidRPr="00263800">
        <w:rPr>
          <w:rFonts w:asciiTheme="minorHAnsi" w:hAnsiTheme="minorHAnsi" w:cstheme="minorHAnsi"/>
          <w:color w:val="000000"/>
          <w:sz w:val="22"/>
          <w:szCs w:val="22"/>
          <w:lang w:val="fr-CH"/>
        </w:rPr>
        <w:t>Résolution</w:t>
      </w:r>
      <w:r w:rsidR="00697F36">
        <w:rPr>
          <w:rFonts w:asciiTheme="minorHAnsi" w:hAnsiTheme="minorHAnsi" w:cstheme="minorHAnsi"/>
          <w:color w:val="000000"/>
          <w:sz w:val="22"/>
          <w:szCs w:val="22"/>
          <w:lang w:val="fr-CH"/>
        </w:rPr>
        <w:t> </w:t>
      </w:r>
      <w:r w:rsidR="00603647" w:rsidRPr="00263800">
        <w:rPr>
          <w:rFonts w:asciiTheme="minorHAnsi" w:hAnsiTheme="minorHAnsi" w:cstheme="minorHAnsi"/>
          <w:color w:val="000000"/>
          <w:sz w:val="22"/>
          <w:szCs w:val="22"/>
          <w:lang w:val="fr-CH"/>
        </w:rPr>
        <w:t xml:space="preserve">IX.1 (COP9, 2005) </w:t>
      </w:r>
      <w:r w:rsidR="00697F36">
        <w:rPr>
          <w:rFonts w:asciiTheme="minorHAnsi" w:hAnsiTheme="minorHAnsi" w:cstheme="minorHAnsi"/>
          <w:color w:val="000000"/>
          <w:sz w:val="22"/>
          <w:szCs w:val="22"/>
          <w:lang w:val="fr-CH"/>
        </w:rPr>
        <w:t xml:space="preserve">et la </w:t>
      </w:r>
      <w:r w:rsidR="00697F36" w:rsidRPr="00263800">
        <w:rPr>
          <w:rFonts w:asciiTheme="minorHAnsi" w:hAnsiTheme="minorHAnsi" w:cstheme="minorHAnsi"/>
          <w:color w:val="000000"/>
          <w:sz w:val="22"/>
          <w:szCs w:val="22"/>
          <w:lang w:val="fr-CH"/>
        </w:rPr>
        <w:t>Résolution</w:t>
      </w:r>
      <w:r w:rsidR="00697F36">
        <w:rPr>
          <w:rFonts w:asciiTheme="minorHAnsi" w:hAnsiTheme="minorHAnsi" w:cstheme="minorHAnsi"/>
          <w:color w:val="000000"/>
          <w:sz w:val="22"/>
          <w:szCs w:val="22"/>
          <w:lang w:val="fr-CH"/>
        </w:rPr>
        <w:t> </w:t>
      </w:r>
      <w:r w:rsidR="00603647" w:rsidRPr="00263800">
        <w:rPr>
          <w:rFonts w:asciiTheme="minorHAnsi" w:hAnsiTheme="minorHAnsi" w:cstheme="minorHAnsi"/>
          <w:color w:val="000000"/>
          <w:sz w:val="22"/>
          <w:szCs w:val="22"/>
          <w:lang w:val="fr-CH"/>
        </w:rPr>
        <w:t>X.15 (COP</w:t>
      </w:r>
      <w:r w:rsidR="000A7659" w:rsidRPr="00263800">
        <w:rPr>
          <w:rFonts w:asciiTheme="minorHAnsi" w:hAnsiTheme="minorHAnsi" w:cstheme="minorHAnsi"/>
          <w:color w:val="000000"/>
          <w:sz w:val="22"/>
          <w:szCs w:val="22"/>
          <w:lang w:val="fr-CH"/>
        </w:rPr>
        <w:t>10</w:t>
      </w:r>
      <w:r w:rsidR="004A48BF" w:rsidRPr="00263800">
        <w:rPr>
          <w:rFonts w:asciiTheme="minorHAnsi" w:hAnsiTheme="minorHAnsi" w:cstheme="minorHAnsi"/>
          <w:color w:val="000000"/>
          <w:sz w:val="22"/>
          <w:szCs w:val="22"/>
          <w:lang w:val="fr-CH"/>
        </w:rPr>
        <w:t>, 2008)</w:t>
      </w:r>
      <w:r w:rsidR="004438ED" w:rsidRPr="00263800">
        <w:rPr>
          <w:rFonts w:asciiTheme="minorHAnsi" w:hAnsiTheme="minorHAnsi" w:cstheme="minorHAnsi"/>
          <w:color w:val="000000"/>
          <w:sz w:val="22"/>
          <w:szCs w:val="22"/>
          <w:lang w:val="fr-CH"/>
        </w:rPr>
        <w:t xml:space="preserve">. </w:t>
      </w:r>
      <w:r w:rsidR="00697F36">
        <w:rPr>
          <w:rFonts w:asciiTheme="minorHAnsi" w:hAnsiTheme="minorHAnsi" w:cstheme="minorHAnsi"/>
          <w:color w:val="000000"/>
          <w:sz w:val="22"/>
          <w:szCs w:val="22"/>
          <w:lang w:val="fr-CH"/>
        </w:rPr>
        <w:t xml:space="preserve">Les Parties contractantes se sont engagées à réaliser </w:t>
      </w:r>
      <w:r w:rsidR="00746FA9">
        <w:rPr>
          <w:rFonts w:asciiTheme="minorHAnsi" w:hAnsiTheme="minorHAnsi" w:cstheme="minorHAnsi"/>
          <w:color w:val="000000"/>
          <w:sz w:val="22"/>
          <w:szCs w:val="22"/>
          <w:lang w:val="fr-CH"/>
        </w:rPr>
        <w:t>un</w:t>
      </w:r>
      <w:r w:rsidR="00697F36">
        <w:rPr>
          <w:rFonts w:asciiTheme="minorHAnsi" w:hAnsiTheme="minorHAnsi" w:cstheme="minorHAnsi"/>
          <w:color w:val="000000"/>
          <w:sz w:val="22"/>
          <w:szCs w:val="22"/>
          <w:lang w:val="fr-CH"/>
        </w:rPr>
        <w:t xml:space="preserve"> INZH et au fil des ans</w:t>
      </w:r>
      <w:r w:rsidR="00746FA9">
        <w:rPr>
          <w:rFonts w:asciiTheme="minorHAnsi" w:hAnsiTheme="minorHAnsi" w:cstheme="minorHAnsi"/>
          <w:color w:val="000000"/>
          <w:sz w:val="22"/>
          <w:szCs w:val="22"/>
          <w:lang w:val="fr-CH"/>
        </w:rPr>
        <w:t>,</w:t>
      </w:r>
      <w:r w:rsidR="00697F36">
        <w:rPr>
          <w:rFonts w:asciiTheme="minorHAnsi" w:hAnsiTheme="minorHAnsi" w:cstheme="minorHAnsi"/>
          <w:color w:val="000000"/>
          <w:sz w:val="22"/>
          <w:szCs w:val="22"/>
          <w:lang w:val="fr-CH"/>
        </w:rPr>
        <w:t xml:space="preserve"> </w:t>
      </w:r>
      <w:r w:rsidR="00746FA9">
        <w:rPr>
          <w:rFonts w:asciiTheme="minorHAnsi" w:hAnsiTheme="minorHAnsi" w:cstheme="minorHAnsi"/>
          <w:color w:val="000000"/>
          <w:sz w:val="22"/>
          <w:szCs w:val="22"/>
          <w:lang w:val="fr-CH"/>
        </w:rPr>
        <w:t>des progrès importants ont été constatés</w:t>
      </w:r>
      <w:r w:rsidR="00697F36">
        <w:rPr>
          <w:rFonts w:asciiTheme="minorHAnsi" w:hAnsiTheme="minorHAnsi" w:cstheme="minorHAnsi"/>
          <w:color w:val="000000"/>
          <w:sz w:val="22"/>
          <w:szCs w:val="22"/>
          <w:lang w:val="fr-CH"/>
        </w:rPr>
        <w:t xml:space="preserve"> </w:t>
      </w:r>
      <w:r w:rsidR="00746FA9">
        <w:rPr>
          <w:rFonts w:asciiTheme="minorHAnsi" w:hAnsiTheme="minorHAnsi" w:cstheme="minorHAnsi"/>
          <w:color w:val="000000"/>
          <w:sz w:val="22"/>
          <w:szCs w:val="22"/>
          <w:lang w:val="fr-CH"/>
        </w:rPr>
        <w:t>et le nombre de</w:t>
      </w:r>
      <w:r w:rsidR="00697F36">
        <w:rPr>
          <w:rFonts w:asciiTheme="minorHAnsi" w:hAnsiTheme="minorHAnsi" w:cstheme="minorHAnsi"/>
          <w:color w:val="000000"/>
          <w:sz w:val="22"/>
          <w:szCs w:val="22"/>
          <w:lang w:val="fr-CH"/>
        </w:rPr>
        <w:t xml:space="preserve"> Parties </w:t>
      </w:r>
      <w:r w:rsidR="00746FA9">
        <w:rPr>
          <w:rFonts w:asciiTheme="minorHAnsi" w:hAnsiTheme="minorHAnsi" w:cstheme="minorHAnsi"/>
          <w:color w:val="000000"/>
          <w:sz w:val="22"/>
          <w:szCs w:val="22"/>
          <w:lang w:val="fr-CH"/>
        </w:rPr>
        <w:t xml:space="preserve">contractantes dotées d’un </w:t>
      </w:r>
      <w:r w:rsidR="0068093C">
        <w:rPr>
          <w:rFonts w:asciiTheme="minorHAnsi" w:hAnsiTheme="minorHAnsi" w:cstheme="minorHAnsi"/>
          <w:color w:val="000000"/>
          <w:sz w:val="22"/>
          <w:szCs w:val="22"/>
          <w:lang w:val="fr-CH"/>
        </w:rPr>
        <w:t>I</w:t>
      </w:r>
      <w:r w:rsidR="00746FA9">
        <w:rPr>
          <w:rFonts w:asciiTheme="minorHAnsi" w:hAnsiTheme="minorHAnsi" w:cstheme="minorHAnsi"/>
          <w:color w:val="000000"/>
          <w:sz w:val="22"/>
          <w:szCs w:val="22"/>
          <w:lang w:val="fr-CH"/>
        </w:rPr>
        <w:t>nventaire national des zones humides n’a cessé d’augmenter</w:t>
      </w:r>
      <w:r w:rsidR="00697F36">
        <w:rPr>
          <w:rFonts w:asciiTheme="minorHAnsi" w:hAnsiTheme="minorHAnsi" w:cstheme="minorHAnsi"/>
          <w:color w:val="000000"/>
          <w:sz w:val="22"/>
          <w:szCs w:val="22"/>
          <w:lang w:val="fr-CH"/>
        </w:rPr>
        <w:t>.</w:t>
      </w:r>
    </w:p>
    <w:p w14:paraId="29F4FD80" w14:textId="77777777" w:rsidR="00475560" w:rsidRPr="00263800" w:rsidRDefault="00475560" w:rsidP="00536607">
      <w:pPr>
        <w:ind w:left="0" w:firstLine="0"/>
        <w:jc w:val="left"/>
        <w:rPr>
          <w:sz w:val="22"/>
          <w:szCs w:val="22"/>
          <w:lang w:val="fr-CH"/>
        </w:rPr>
      </w:pPr>
    </w:p>
    <w:p w14:paraId="36ADD71D" w14:textId="453B0AA4" w:rsidR="00287021" w:rsidRPr="00263800" w:rsidRDefault="00536607" w:rsidP="00536607">
      <w:pPr>
        <w:ind w:left="425" w:hanging="425"/>
        <w:jc w:val="left"/>
        <w:rPr>
          <w:rFonts w:asciiTheme="minorHAnsi" w:hAnsiTheme="minorHAnsi" w:cstheme="minorHAnsi"/>
          <w:color w:val="000000"/>
          <w:sz w:val="22"/>
          <w:szCs w:val="22"/>
          <w:lang w:val="fr-CH"/>
        </w:rPr>
      </w:pPr>
      <w:r w:rsidRPr="00263800">
        <w:rPr>
          <w:rFonts w:asciiTheme="minorHAnsi" w:hAnsiTheme="minorHAnsi" w:cstheme="minorHAnsi"/>
          <w:color w:val="000000"/>
          <w:sz w:val="22"/>
          <w:szCs w:val="22"/>
          <w:lang w:val="fr-CH"/>
        </w:rPr>
        <w:t>2.</w:t>
      </w:r>
      <w:r w:rsidRPr="00263800">
        <w:rPr>
          <w:rFonts w:asciiTheme="minorHAnsi" w:hAnsiTheme="minorHAnsi" w:cstheme="minorHAnsi"/>
          <w:color w:val="000000"/>
          <w:sz w:val="22"/>
          <w:szCs w:val="22"/>
          <w:lang w:val="fr-CH"/>
        </w:rPr>
        <w:tab/>
      </w:r>
      <w:r w:rsidR="00697F36">
        <w:rPr>
          <w:rFonts w:asciiTheme="minorHAnsi" w:hAnsiTheme="minorHAnsi" w:cstheme="minorHAnsi"/>
          <w:color w:val="000000"/>
          <w:sz w:val="22"/>
          <w:szCs w:val="22"/>
          <w:lang w:val="fr-CH"/>
        </w:rPr>
        <w:t>Dans le contexte du Programme de développement durable à l’horizon 2030, l’Assemblée générale des Nations Unies a approuvé les Objectifs de développement durable (ODD) dans sa Résolution </w:t>
      </w:r>
      <w:r w:rsidR="000A7659" w:rsidRPr="00263800">
        <w:rPr>
          <w:rFonts w:asciiTheme="minorHAnsi" w:hAnsiTheme="minorHAnsi" w:cstheme="minorHAnsi"/>
          <w:color w:val="000000"/>
          <w:sz w:val="22"/>
          <w:szCs w:val="22"/>
          <w:lang w:val="fr-CH"/>
        </w:rPr>
        <w:t>70/1</w:t>
      </w:r>
      <w:r w:rsidR="006E7F38" w:rsidRPr="00263800">
        <w:rPr>
          <w:rFonts w:asciiTheme="minorHAnsi" w:hAnsiTheme="minorHAnsi" w:cstheme="minorHAnsi"/>
          <w:color w:val="000000"/>
          <w:sz w:val="22"/>
          <w:szCs w:val="22"/>
          <w:lang w:val="fr-CH"/>
        </w:rPr>
        <w:t xml:space="preserve"> (A/RES/70/1)</w:t>
      </w:r>
      <w:r w:rsidR="004700A1" w:rsidRPr="00263800">
        <w:rPr>
          <w:rFonts w:asciiTheme="minorHAnsi" w:hAnsiTheme="minorHAnsi" w:cstheme="minorHAnsi"/>
          <w:color w:val="000000"/>
          <w:sz w:val="22"/>
          <w:szCs w:val="22"/>
          <w:lang w:val="fr-CH"/>
        </w:rPr>
        <w:t>.</w:t>
      </w:r>
      <w:r w:rsidR="00D8657A" w:rsidRPr="00263800">
        <w:rPr>
          <w:rFonts w:asciiTheme="minorHAnsi" w:hAnsiTheme="minorHAnsi" w:cstheme="minorHAnsi"/>
          <w:color w:val="000000"/>
          <w:sz w:val="22"/>
          <w:szCs w:val="22"/>
          <w:lang w:val="fr-CH"/>
        </w:rPr>
        <w:t xml:space="preserve"> </w:t>
      </w:r>
      <w:r w:rsidR="00697F36">
        <w:rPr>
          <w:rFonts w:asciiTheme="minorHAnsi" w:hAnsiTheme="minorHAnsi" w:cstheme="minorHAnsi"/>
          <w:color w:val="000000"/>
          <w:sz w:val="22"/>
          <w:szCs w:val="22"/>
          <w:lang w:val="fr-CH"/>
        </w:rPr>
        <w:t>À la 52</w:t>
      </w:r>
      <w:r w:rsidR="00697F36" w:rsidRPr="00697F36">
        <w:rPr>
          <w:rFonts w:asciiTheme="minorHAnsi" w:hAnsiTheme="minorHAnsi" w:cstheme="minorHAnsi"/>
          <w:color w:val="000000"/>
          <w:sz w:val="22"/>
          <w:szCs w:val="22"/>
          <w:vertAlign w:val="superscript"/>
          <w:lang w:val="fr-CH"/>
        </w:rPr>
        <w:t>e</w:t>
      </w:r>
      <w:r w:rsidR="00697F36">
        <w:rPr>
          <w:rFonts w:asciiTheme="minorHAnsi" w:hAnsiTheme="minorHAnsi" w:cstheme="minorHAnsi"/>
          <w:color w:val="000000"/>
          <w:sz w:val="22"/>
          <w:szCs w:val="22"/>
          <w:lang w:val="fr-CH"/>
        </w:rPr>
        <w:t xml:space="preserve"> Réunion du Comité permanent, en 2016, les Parties </w:t>
      </w:r>
      <w:r w:rsidR="00697F36">
        <w:rPr>
          <w:rFonts w:asciiTheme="minorHAnsi" w:hAnsiTheme="minorHAnsi" w:cstheme="minorHAnsi"/>
          <w:color w:val="000000"/>
          <w:sz w:val="22"/>
          <w:szCs w:val="22"/>
          <w:lang w:val="fr-CH"/>
        </w:rPr>
        <w:lastRenderedPageBreak/>
        <w:t xml:space="preserve">contractantes à la Convention sur les zones humides ont décidé d’inclure un indicateur sur l’étendue des zones humides dans le Rapport national à la </w:t>
      </w:r>
      <w:r w:rsidR="00287021" w:rsidRPr="00263800">
        <w:rPr>
          <w:rFonts w:asciiTheme="minorHAnsi" w:hAnsiTheme="minorHAnsi" w:cstheme="minorHAnsi"/>
          <w:color w:val="000000"/>
          <w:sz w:val="22"/>
          <w:szCs w:val="22"/>
          <w:lang w:val="fr-CH"/>
        </w:rPr>
        <w:t>COP13</w:t>
      </w:r>
      <w:r w:rsidR="00EC0818" w:rsidRPr="00263800">
        <w:rPr>
          <w:rFonts w:asciiTheme="minorHAnsi" w:hAnsiTheme="minorHAnsi" w:cstheme="minorHAnsi"/>
          <w:color w:val="000000"/>
          <w:sz w:val="22"/>
          <w:szCs w:val="22"/>
          <w:lang w:val="fr-CH"/>
        </w:rPr>
        <w:t xml:space="preserve">. </w:t>
      </w:r>
      <w:r w:rsidR="00A16484">
        <w:rPr>
          <w:rFonts w:asciiTheme="minorHAnsi" w:hAnsiTheme="minorHAnsi" w:cstheme="minorHAnsi"/>
          <w:color w:val="000000"/>
          <w:sz w:val="22"/>
          <w:szCs w:val="22"/>
          <w:lang w:val="fr-CH"/>
        </w:rPr>
        <w:t xml:space="preserve">Par la suite, l’Assemblée générale des Nations Unies a adopté, en juillet 2017, le cadre mondial d’indicateurs </w:t>
      </w:r>
      <w:r w:rsidR="00CB28E5" w:rsidRPr="00263800">
        <w:rPr>
          <w:rFonts w:asciiTheme="minorHAnsi" w:hAnsiTheme="minorHAnsi" w:cstheme="minorHAnsi"/>
          <w:color w:val="000000"/>
          <w:sz w:val="22"/>
          <w:szCs w:val="22"/>
          <w:lang w:val="fr-CH"/>
        </w:rPr>
        <w:t xml:space="preserve">(A/RES/71/313) </w:t>
      </w:r>
      <w:r w:rsidR="00A16484">
        <w:rPr>
          <w:rFonts w:asciiTheme="minorHAnsi" w:hAnsiTheme="minorHAnsi" w:cstheme="minorHAnsi"/>
          <w:color w:val="000000"/>
          <w:sz w:val="22"/>
          <w:szCs w:val="22"/>
          <w:lang w:val="fr-CH"/>
        </w:rPr>
        <w:t>qui comprend l’Indicateur </w:t>
      </w:r>
      <w:r w:rsidR="00EC0818" w:rsidRPr="00263800">
        <w:rPr>
          <w:rFonts w:asciiTheme="minorHAnsi" w:hAnsiTheme="minorHAnsi" w:cstheme="minorHAnsi"/>
          <w:color w:val="000000"/>
          <w:sz w:val="22"/>
          <w:szCs w:val="22"/>
          <w:lang w:val="fr-CH"/>
        </w:rPr>
        <w:t xml:space="preserve">6.6.1 </w:t>
      </w:r>
      <w:r w:rsidR="00A16484">
        <w:rPr>
          <w:rFonts w:asciiTheme="minorHAnsi" w:hAnsiTheme="minorHAnsi" w:cstheme="minorHAnsi"/>
          <w:color w:val="000000"/>
          <w:sz w:val="22"/>
          <w:szCs w:val="22"/>
          <w:lang w:val="fr-CH"/>
        </w:rPr>
        <w:t xml:space="preserve">sur </w:t>
      </w:r>
      <w:r w:rsidR="00A52182">
        <w:rPr>
          <w:rFonts w:asciiTheme="minorHAnsi" w:hAnsiTheme="minorHAnsi" w:cstheme="minorHAnsi"/>
          <w:color w:val="000000"/>
          <w:sz w:val="22"/>
          <w:szCs w:val="22"/>
          <w:lang w:val="fr-CH"/>
        </w:rPr>
        <w:t>la</w:t>
      </w:r>
      <w:r w:rsidR="00A16484">
        <w:rPr>
          <w:rFonts w:asciiTheme="minorHAnsi" w:hAnsiTheme="minorHAnsi" w:cstheme="minorHAnsi"/>
          <w:color w:val="000000"/>
          <w:sz w:val="22"/>
          <w:szCs w:val="22"/>
          <w:lang w:val="fr-CH"/>
        </w:rPr>
        <w:t xml:space="preserve"> </w:t>
      </w:r>
      <w:r w:rsidR="00A52182">
        <w:rPr>
          <w:rFonts w:asciiTheme="minorHAnsi" w:hAnsiTheme="minorHAnsi" w:cstheme="minorHAnsi"/>
          <w:color w:val="000000"/>
          <w:sz w:val="22"/>
          <w:szCs w:val="22"/>
          <w:lang w:val="fr-CH"/>
        </w:rPr>
        <w:t>v</w:t>
      </w:r>
      <w:r w:rsidR="00A52182" w:rsidRPr="00A52182">
        <w:rPr>
          <w:rFonts w:asciiTheme="minorHAnsi" w:hAnsiTheme="minorHAnsi" w:cstheme="minorHAnsi"/>
          <w:color w:val="000000"/>
          <w:sz w:val="22"/>
          <w:szCs w:val="22"/>
          <w:lang w:val="fr-CH"/>
        </w:rPr>
        <w:t>ariation de l'étendue des écosystèmes tributaires de l'eau</w:t>
      </w:r>
      <w:r w:rsidR="00A16484">
        <w:rPr>
          <w:rFonts w:asciiTheme="minorHAnsi" w:hAnsiTheme="minorHAnsi" w:cstheme="minorHAnsi"/>
          <w:color w:val="000000"/>
          <w:sz w:val="22"/>
          <w:szCs w:val="22"/>
          <w:lang w:val="fr-CH"/>
        </w:rPr>
        <w:t xml:space="preserve">. Sachant que les Parties contractantes faisaient rapport sur l’étendue </w:t>
      </w:r>
      <w:r w:rsidR="00A52182">
        <w:rPr>
          <w:rFonts w:asciiTheme="minorHAnsi" w:hAnsiTheme="minorHAnsi" w:cstheme="minorHAnsi"/>
          <w:color w:val="000000"/>
          <w:sz w:val="22"/>
          <w:szCs w:val="22"/>
          <w:lang w:val="fr-CH"/>
        </w:rPr>
        <w:t xml:space="preserve">des zones humides, </w:t>
      </w:r>
      <w:r w:rsidR="00A16484">
        <w:rPr>
          <w:rFonts w:asciiTheme="minorHAnsi" w:hAnsiTheme="minorHAnsi" w:cstheme="minorHAnsi"/>
          <w:color w:val="000000"/>
          <w:sz w:val="22"/>
          <w:szCs w:val="22"/>
          <w:lang w:val="fr-CH"/>
        </w:rPr>
        <w:t>dans le cadre de leurs Rapports nationaux, le Groupe d’experts interagences sur les ODD a nommé la Convention, en 2017, co</w:t>
      </w:r>
      <w:r w:rsidR="00A52182">
        <w:rPr>
          <w:rFonts w:asciiTheme="minorHAnsi" w:hAnsiTheme="minorHAnsi" w:cstheme="minorHAnsi"/>
          <w:color w:val="000000"/>
          <w:sz w:val="22"/>
          <w:szCs w:val="22"/>
          <w:lang w:val="fr-CH"/>
        </w:rPr>
        <w:t>responsable</w:t>
      </w:r>
      <w:r w:rsidR="00A16484">
        <w:rPr>
          <w:rFonts w:asciiTheme="minorHAnsi" w:hAnsiTheme="minorHAnsi" w:cstheme="minorHAnsi"/>
          <w:color w:val="000000"/>
          <w:sz w:val="22"/>
          <w:szCs w:val="22"/>
          <w:lang w:val="fr-CH"/>
        </w:rPr>
        <w:t xml:space="preserve"> de l’Indicateur 6.6.1, utilisant les données issues des Rapports nationaux </w:t>
      </w:r>
      <w:r w:rsidR="00953716">
        <w:rPr>
          <w:rFonts w:asciiTheme="minorHAnsi" w:hAnsiTheme="minorHAnsi" w:cstheme="minorHAnsi"/>
          <w:color w:val="000000"/>
          <w:sz w:val="22"/>
          <w:szCs w:val="22"/>
          <w:lang w:val="fr-CH"/>
        </w:rPr>
        <w:t>dont la source principale</w:t>
      </w:r>
      <w:r w:rsidR="00A16484">
        <w:rPr>
          <w:rFonts w:asciiTheme="minorHAnsi" w:hAnsiTheme="minorHAnsi" w:cstheme="minorHAnsi"/>
          <w:color w:val="000000"/>
          <w:sz w:val="22"/>
          <w:szCs w:val="22"/>
          <w:lang w:val="fr-CH"/>
        </w:rPr>
        <w:t xml:space="preserve"> </w:t>
      </w:r>
      <w:r w:rsidR="00953716">
        <w:rPr>
          <w:rFonts w:asciiTheme="minorHAnsi" w:hAnsiTheme="minorHAnsi" w:cstheme="minorHAnsi"/>
          <w:color w:val="000000"/>
          <w:sz w:val="22"/>
          <w:szCs w:val="22"/>
          <w:lang w:val="fr-CH"/>
        </w:rPr>
        <w:t>est l’In</w:t>
      </w:r>
      <w:r w:rsidR="00A16484">
        <w:rPr>
          <w:rFonts w:asciiTheme="minorHAnsi" w:hAnsiTheme="minorHAnsi" w:cstheme="minorHAnsi"/>
          <w:color w:val="000000"/>
          <w:sz w:val="22"/>
          <w:szCs w:val="22"/>
          <w:lang w:val="fr-CH"/>
        </w:rPr>
        <w:t>ventaire des zones humides.</w:t>
      </w:r>
      <w:r w:rsidR="00354B3E" w:rsidRPr="00263800">
        <w:rPr>
          <w:rFonts w:asciiTheme="minorHAnsi" w:hAnsiTheme="minorHAnsi" w:cstheme="minorHAnsi"/>
          <w:color w:val="000000"/>
          <w:sz w:val="22"/>
          <w:szCs w:val="22"/>
          <w:lang w:val="fr-CH"/>
        </w:rPr>
        <w:t xml:space="preserve"> </w:t>
      </w:r>
    </w:p>
    <w:p w14:paraId="4622558B" w14:textId="77777777" w:rsidR="00287021" w:rsidRPr="00263800" w:rsidRDefault="00287021" w:rsidP="00536607">
      <w:pPr>
        <w:ind w:left="0" w:firstLine="0"/>
        <w:jc w:val="left"/>
        <w:rPr>
          <w:sz w:val="22"/>
          <w:szCs w:val="22"/>
          <w:lang w:val="fr-CH"/>
        </w:rPr>
      </w:pPr>
    </w:p>
    <w:p w14:paraId="2E387F74" w14:textId="6DD4821F" w:rsidR="00383801" w:rsidRPr="00B61CAA" w:rsidRDefault="00536607" w:rsidP="00536607">
      <w:pPr>
        <w:ind w:left="425" w:hanging="425"/>
        <w:jc w:val="left"/>
        <w:rPr>
          <w:rFonts w:asciiTheme="minorHAnsi" w:hAnsiTheme="minorHAnsi" w:cstheme="minorHAnsi"/>
          <w:color w:val="000000"/>
          <w:sz w:val="22"/>
          <w:szCs w:val="22"/>
          <w:lang w:val="fr-CH"/>
        </w:rPr>
      </w:pPr>
      <w:r w:rsidRPr="00263800">
        <w:rPr>
          <w:rFonts w:asciiTheme="minorHAnsi" w:hAnsiTheme="minorHAnsi" w:cstheme="minorHAnsi"/>
          <w:color w:val="000000"/>
          <w:sz w:val="22"/>
          <w:szCs w:val="22"/>
          <w:lang w:val="fr-CH"/>
        </w:rPr>
        <w:t>3.</w:t>
      </w:r>
      <w:r w:rsidRPr="00263800">
        <w:rPr>
          <w:rFonts w:asciiTheme="minorHAnsi" w:hAnsiTheme="minorHAnsi" w:cstheme="minorHAnsi"/>
          <w:color w:val="000000"/>
          <w:sz w:val="22"/>
          <w:szCs w:val="22"/>
          <w:lang w:val="fr-CH"/>
        </w:rPr>
        <w:tab/>
      </w:r>
      <w:r w:rsidR="008A0748">
        <w:rPr>
          <w:rFonts w:asciiTheme="minorHAnsi" w:hAnsiTheme="minorHAnsi" w:cstheme="minorHAnsi"/>
          <w:color w:val="000000"/>
          <w:sz w:val="22"/>
          <w:szCs w:val="22"/>
          <w:lang w:val="fr-CH"/>
        </w:rPr>
        <w:t>Comme indiqué dans la</w:t>
      </w:r>
      <w:r w:rsidR="00383801" w:rsidRPr="00263800">
        <w:rPr>
          <w:rFonts w:asciiTheme="minorHAnsi" w:hAnsiTheme="minorHAnsi" w:cstheme="minorHAnsi"/>
          <w:color w:val="000000"/>
          <w:sz w:val="22"/>
          <w:szCs w:val="22"/>
          <w:lang w:val="fr-CH"/>
        </w:rPr>
        <w:t xml:space="preserve"> </w:t>
      </w:r>
      <w:r w:rsidR="008A0748" w:rsidRPr="00263800">
        <w:rPr>
          <w:rFonts w:asciiTheme="minorHAnsi" w:hAnsiTheme="minorHAnsi" w:cstheme="minorHAnsi"/>
          <w:color w:val="000000"/>
          <w:sz w:val="22"/>
          <w:szCs w:val="22"/>
          <w:lang w:val="fr-CH"/>
        </w:rPr>
        <w:t>Résolution</w:t>
      </w:r>
      <w:r w:rsidR="00383801" w:rsidRPr="00263800">
        <w:rPr>
          <w:rFonts w:asciiTheme="minorHAnsi" w:hAnsiTheme="minorHAnsi" w:cstheme="minorHAnsi"/>
          <w:color w:val="000000"/>
          <w:sz w:val="22"/>
          <w:szCs w:val="22"/>
          <w:lang w:val="fr-CH"/>
        </w:rPr>
        <w:t xml:space="preserve"> XIII.7 </w:t>
      </w:r>
      <w:r w:rsidR="008A0748" w:rsidRPr="00B61CAA">
        <w:rPr>
          <w:rFonts w:asciiTheme="minorHAnsi" w:hAnsiTheme="minorHAnsi" w:cstheme="minorHAnsi"/>
          <w:i/>
          <w:color w:val="000000"/>
          <w:sz w:val="22"/>
          <w:szCs w:val="22"/>
          <w:lang w:val="fr-CH"/>
        </w:rPr>
        <w:t>Renforcer la visibilité de la Convention et les synergies avec d'autres accords multilatéraux sur l'environnement et institutions internationales</w:t>
      </w:r>
      <w:r w:rsidR="00383801" w:rsidRPr="00B61CAA">
        <w:rPr>
          <w:rFonts w:asciiTheme="minorHAnsi" w:hAnsiTheme="minorHAnsi" w:cstheme="minorHAnsi"/>
          <w:color w:val="000000"/>
          <w:sz w:val="22"/>
          <w:szCs w:val="22"/>
          <w:lang w:val="fr-CH"/>
        </w:rPr>
        <w:t xml:space="preserve">, </w:t>
      </w:r>
      <w:r w:rsidR="008A0748" w:rsidRPr="00B61CAA">
        <w:rPr>
          <w:rFonts w:asciiTheme="minorHAnsi" w:hAnsiTheme="minorHAnsi" w:cstheme="minorHAnsi"/>
          <w:color w:val="000000"/>
          <w:sz w:val="22"/>
          <w:szCs w:val="22"/>
          <w:lang w:val="fr-CH"/>
        </w:rPr>
        <w:t>la Convention sur les zones humides est co</w:t>
      </w:r>
      <w:r w:rsidR="00953716" w:rsidRPr="00B61CAA">
        <w:rPr>
          <w:rFonts w:asciiTheme="minorHAnsi" w:hAnsiTheme="minorHAnsi" w:cstheme="minorHAnsi"/>
          <w:color w:val="000000"/>
          <w:sz w:val="22"/>
          <w:szCs w:val="22"/>
          <w:lang w:val="fr-CH"/>
        </w:rPr>
        <w:t>responsable</w:t>
      </w:r>
      <w:r w:rsidR="008A0748" w:rsidRPr="00B61CAA">
        <w:rPr>
          <w:rFonts w:asciiTheme="minorHAnsi" w:hAnsiTheme="minorHAnsi" w:cstheme="minorHAnsi"/>
          <w:color w:val="000000"/>
          <w:sz w:val="22"/>
          <w:szCs w:val="22"/>
          <w:lang w:val="fr-CH"/>
        </w:rPr>
        <w:t xml:space="preserve"> avec le PNUE de l’Indicateur </w:t>
      </w:r>
      <w:r w:rsidR="00383801" w:rsidRPr="00B61CAA">
        <w:rPr>
          <w:rFonts w:asciiTheme="minorHAnsi" w:hAnsiTheme="minorHAnsi" w:cstheme="minorHAnsi"/>
          <w:color w:val="000000"/>
          <w:sz w:val="22"/>
          <w:szCs w:val="22"/>
          <w:lang w:val="fr-CH"/>
        </w:rPr>
        <w:t>6.6.1</w:t>
      </w:r>
      <w:r w:rsidR="008A0748" w:rsidRPr="00B61CAA">
        <w:rPr>
          <w:rFonts w:asciiTheme="minorHAnsi" w:hAnsiTheme="minorHAnsi" w:cstheme="minorHAnsi"/>
          <w:color w:val="000000"/>
          <w:sz w:val="22"/>
          <w:szCs w:val="22"/>
          <w:lang w:val="fr-CH"/>
        </w:rPr>
        <w:t xml:space="preserve"> de l’ODD</w:t>
      </w:r>
      <w:r w:rsidR="00664376" w:rsidRPr="00B61CAA">
        <w:rPr>
          <w:rFonts w:asciiTheme="minorHAnsi" w:hAnsiTheme="minorHAnsi" w:cstheme="minorHAnsi"/>
          <w:color w:val="000000"/>
          <w:sz w:val="22"/>
          <w:szCs w:val="22"/>
          <w:lang w:val="fr-CH"/>
        </w:rPr>
        <w:t> </w:t>
      </w:r>
      <w:r w:rsidR="008A0748" w:rsidRPr="00B61CAA">
        <w:rPr>
          <w:rFonts w:asciiTheme="minorHAnsi" w:hAnsiTheme="minorHAnsi" w:cstheme="minorHAnsi"/>
          <w:color w:val="000000"/>
          <w:sz w:val="22"/>
          <w:szCs w:val="22"/>
          <w:lang w:val="fr-CH"/>
        </w:rPr>
        <w:t>6</w:t>
      </w:r>
      <w:r w:rsidR="002F7A66" w:rsidRPr="00B61CAA">
        <w:rPr>
          <w:rFonts w:asciiTheme="minorHAnsi" w:hAnsiTheme="minorHAnsi" w:cstheme="minorHAnsi"/>
          <w:color w:val="000000"/>
          <w:sz w:val="22"/>
          <w:szCs w:val="22"/>
          <w:lang w:val="fr-CH"/>
        </w:rPr>
        <w:t>.</w:t>
      </w:r>
      <w:r w:rsidR="00383801" w:rsidRPr="00B61CAA">
        <w:rPr>
          <w:rFonts w:asciiTheme="minorHAnsi" w:hAnsiTheme="minorHAnsi" w:cstheme="minorHAnsi"/>
          <w:color w:val="000000"/>
          <w:sz w:val="22"/>
          <w:szCs w:val="22"/>
          <w:lang w:val="fr-CH"/>
        </w:rPr>
        <w:t xml:space="preserve"> </w:t>
      </w:r>
      <w:r w:rsidR="008A0748" w:rsidRPr="00B61CAA">
        <w:rPr>
          <w:rFonts w:asciiTheme="minorHAnsi" w:hAnsiTheme="minorHAnsi" w:cstheme="minorHAnsi"/>
          <w:color w:val="000000"/>
          <w:sz w:val="22"/>
          <w:szCs w:val="22"/>
          <w:lang w:val="fr-CH"/>
        </w:rPr>
        <w:t>La</w:t>
      </w:r>
      <w:r w:rsidR="00383801" w:rsidRPr="00B61CAA">
        <w:rPr>
          <w:rFonts w:asciiTheme="minorHAnsi" w:hAnsiTheme="minorHAnsi" w:cstheme="minorHAnsi"/>
          <w:color w:val="000000"/>
          <w:sz w:val="22"/>
          <w:szCs w:val="22"/>
          <w:lang w:val="fr-CH"/>
        </w:rPr>
        <w:t xml:space="preserve"> Convention contribu</w:t>
      </w:r>
      <w:r w:rsidR="008A0748" w:rsidRPr="00B61CAA">
        <w:rPr>
          <w:rFonts w:asciiTheme="minorHAnsi" w:hAnsiTheme="minorHAnsi" w:cstheme="minorHAnsi"/>
          <w:color w:val="000000"/>
          <w:sz w:val="22"/>
          <w:szCs w:val="22"/>
          <w:lang w:val="fr-CH"/>
        </w:rPr>
        <w:t xml:space="preserve">e au suivi </w:t>
      </w:r>
      <w:r w:rsidR="00B61CAA" w:rsidRPr="00B61CAA">
        <w:rPr>
          <w:rFonts w:asciiTheme="minorHAnsi" w:hAnsiTheme="minorHAnsi" w:cstheme="minorHAnsi"/>
          <w:color w:val="000000"/>
          <w:sz w:val="22"/>
          <w:szCs w:val="22"/>
          <w:lang w:val="fr-CH"/>
        </w:rPr>
        <w:t>des progrès en s’appuyant sur les</w:t>
      </w:r>
      <w:r w:rsidR="008A0748" w:rsidRPr="00B61CAA">
        <w:rPr>
          <w:rFonts w:asciiTheme="minorHAnsi" w:hAnsiTheme="minorHAnsi" w:cstheme="minorHAnsi"/>
          <w:color w:val="000000"/>
          <w:sz w:val="22"/>
          <w:szCs w:val="22"/>
          <w:lang w:val="fr-CH"/>
        </w:rPr>
        <w:t xml:space="preserve"> données issues des Rapports nationaux </w:t>
      </w:r>
      <w:r w:rsidR="00B61CAA" w:rsidRPr="00B61CAA">
        <w:rPr>
          <w:rFonts w:asciiTheme="minorHAnsi" w:hAnsiTheme="minorHAnsi" w:cstheme="minorHAnsi"/>
          <w:color w:val="000000"/>
          <w:sz w:val="22"/>
          <w:szCs w:val="22"/>
          <w:lang w:val="fr-CH"/>
        </w:rPr>
        <w:t>relatives à</w:t>
      </w:r>
      <w:r w:rsidR="008A0748" w:rsidRPr="00B61CAA">
        <w:rPr>
          <w:rFonts w:asciiTheme="minorHAnsi" w:hAnsiTheme="minorHAnsi" w:cstheme="minorHAnsi"/>
          <w:color w:val="000000"/>
          <w:sz w:val="22"/>
          <w:szCs w:val="22"/>
          <w:lang w:val="fr-CH"/>
        </w:rPr>
        <w:t xml:space="preserve"> l’étendue des zones humides, </w:t>
      </w:r>
      <w:r w:rsidR="00B61CAA" w:rsidRPr="00B61CAA">
        <w:rPr>
          <w:rFonts w:asciiTheme="minorHAnsi" w:hAnsiTheme="minorHAnsi" w:cstheme="minorHAnsi"/>
          <w:color w:val="000000"/>
          <w:sz w:val="22"/>
          <w:szCs w:val="22"/>
          <w:lang w:val="fr-CH"/>
        </w:rPr>
        <w:t>selon</w:t>
      </w:r>
      <w:r w:rsidR="008A0748" w:rsidRPr="00B61CAA">
        <w:rPr>
          <w:rFonts w:asciiTheme="minorHAnsi" w:hAnsiTheme="minorHAnsi" w:cstheme="minorHAnsi"/>
          <w:color w:val="000000"/>
          <w:sz w:val="22"/>
          <w:szCs w:val="22"/>
          <w:lang w:val="fr-CH"/>
        </w:rPr>
        <w:t xml:space="preserve"> les définitions</w:t>
      </w:r>
      <w:r w:rsidR="00B61CAA" w:rsidRPr="00B61CAA">
        <w:rPr>
          <w:rFonts w:asciiTheme="minorHAnsi" w:hAnsiTheme="minorHAnsi" w:cstheme="minorHAnsi"/>
          <w:color w:val="000000"/>
          <w:sz w:val="22"/>
          <w:szCs w:val="22"/>
          <w:lang w:val="fr-CH"/>
        </w:rPr>
        <w:t xml:space="preserve"> et les obligations de rapport énoncées par la</w:t>
      </w:r>
      <w:r w:rsidR="008A0748" w:rsidRPr="00B61CAA">
        <w:rPr>
          <w:rFonts w:asciiTheme="minorHAnsi" w:hAnsiTheme="minorHAnsi" w:cstheme="minorHAnsi"/>
          <w:color w:val="000000"/>
          <w:sz w:val="22"/>
          <w:szCs w:val="22"/>
          <w:lang w:val="fr-CH"/>
        </w:rPr>
        <w:t xml:space="preserve"> Convention.</w:t>
      </w:r>
      <w:r w:rsidR="00383801" w:rsidRPr="00B61CAA">
        <w:rPr>
          <w:rFonts w:asciiTheme="minorHAnsi" w:hAnsiTheme="minorHAnsi" w:cstheme="minorHAnsi"/>
          <w:color w:val="000000"/>
          <w:sz w:val="22"/>
          <w:szCs w:val="22"/>
          <w:lang w:val="fr-CH"/>
        </w:rPr>
        <w:t xml:space="preserve"> </w:t>
      </w:r>
    </w:p>
    <w:p w14:paraId="487E4355" w14:textId="77777777" w:rsidR="00383801" w:rsidRPr="00B61CAA" w:rsidRDefault="00383801" w:rsidP="00536607">
      <w:pPr>
        <w:ind w:left="425" w:hanging="425"/>
        <w:jc w:val="left"/>
        <w:rPr>
          <w:rFonts w:asciiTheme="minorHAnsi" w:hAnsiTheme="minorHAnsi" w:cstheme="minorHAnsi"/>
          <w:color w:val="000000"/>
          <w:sz w:val="22"/>
          <w:szCs w:val="22"/>
          <w:lang w:val="fr-CH"/>
        </w:rPr>
      </w:pPr>
    </w:p>
    <w:p w14:paraId="2EE9E494" w14:textId="6DD1EFDD" w:rsidR="00383801" w:rsidRPr="00263800" w:rsidRDefault="00536607" w:rsidP="00536607">
      <w:pPr>
        <w:ind w:left="425" w:hanging="425"/>
        <w:jc w:val="left"/>
        <w:rPr>
          <w:rFonts w:asciiTheme="minorHAnsi" w:hAnsiTheme="minorHAnsi" w:cstheme="minorHAnsi"/>
          <w:color w:val="000000"/>
          <w:sz w:val="22"/>
          <w:szCs w:val="22"/>
          <w:lang w:val="fr-CH"/>
        </w:rPr>
      </w:pPr>
      <w:r w:rsidRPr="00B61CAA">
        <w:rPr>
          <w:rFonts w:asciiTheme="minorHAnsi" w:hAnsiTheme="minorHAnsi" w:cstheme="minorHAnsi"/>
          <w:color w:val="000000"/>
          <w:sz w:val="22"/>
          <w:szCs w:val="22"/>
          <w:lang w:val="fr-CH"/>
        </w:rPr>
        <w:t>4.</w:t>
      </w:r>
      <w:r w:rsidRPr="00B61CAA">
        <w:rPr>
          <w:rFonts w:asciiTheme="minorHAnsi" w:hAnsiTheme="minorHAnsi" w:cstheme="minorHAnsi"/>
          <w:color w:val="000000"/>
          <w:sz w:val="22"/>
          <w:szCs w:val="22"/>
          <w:lang w:val="fr-CH"/>
        </w:rPr>
        <w:tab/>
      </w:r>
      <w:r w:rsidR="005D3DB9" w:rsidRPr="00B61CAA">
        <w:rPr>
          <w:rFonts w:asciiTheme="minorHAnsi" w:hAnsiTheme="minorHAnsi" w:cstheme="minorHAnsi"/>
          <w:color w:val="000000"/>
          <w:sz w:val="22"/>
          <w:szCs w:val="22"/>
          <w:lang w:val="fr-CH"/>
        </w:rPr>
        <w:t>Le p</w:t>
      </w:r>
      <w:r w:rsidR="00C700DC" w:rsidRPr="00B61CAA">
        <w:rPr>
          <w:rFonts w:asciiTheme="minorHAnsi" w:hAnsiTheme="minorHAnsi" w:cstheme="minorHAnsi"/>
          <w:color w:val="000000"/>
          <w:sz w:val="22"/>
          <w:szCs w:val="22"/>
          <w:lang w:val="fr-CH"/>
        </w:rPr>
        <w:t>aragraph</w:t>
      </w:r>
      <w:r w:rsidR="005D3DB9" w:rsidRPr="00B61CAA">
        <w:rPr>
          <w:rFonts w:asciiTheme="minorHAnsi" w:hAnsiTheme="minorHAnsi" w:cstheme="minorHAnsi"/>
          <w:color w:val="000000"/>
          <w:sz w:val="22"/>
          <w:szCs w:val="22"/>
          <w:lang w:val="fr-CH"/>
        </w:rPr>
        <w:t>e </w:t>
      </w:r>
      <w:r w:rsidR="00C700DC" w:rsidRPr="00B61CAA">
        <w:rPr>
          <w:rFonts w:asciiTheme="minorHAnsi" w:hAnsiTheme="minorHAnsi" w:cstheme="minorHAnsi"/>
          <w:color w:val="000000"/>
          <w:sz w:val="22"/>
          <w:szCs w:val="22"/>
          <w:lang w:val="fr-CH"/>
        </w:rPr>
        <w:t xml:space="preserve">40 </w:t>
      </w:r>
      <w:r w:rsidR="005D3DB9" w:rsidRPr="00B61CAA">
        <w:rPr>
          <w:rFonts w:asciiTheme="minorHAnsi" w:hAnsiTheme="minorHAnsi" w:cstheme="minorHAnsi"/>
          <w:color w:val="000000"/>
          <w:sz w:val="22"/>
          <w:szCs w:val="22"/>
          <w:lang w:val="fr-CH"/>
        </w:rPr>
        <w:t>de la</w:t>
      </w:r>
      <w:r w:rsidR="00C700DC" w:rsidRPr="00B61CAA">
        <w:rPr>
          <w:rFonts w:asciiTheme="minorHAnsi" w:hAnsiTheme="minorHAnsi" w:cstheme="minorHAnsi"/>
          <w:color w:val="000000"/>
          <w:sz w:val="22"/>
          <w:szCs w:val="22"/>
          <w:lang w:val="fr-CH"/>
        </w:rPr>
        <w:t xml:space="preserve"> </w:t>
      </w:r>
      <w:r w:rsidR="005D3DB9" w:rsidRPr="00B61CAA">
        <w:rPr>
          <w:rFonts w:asciiTheme="minorHAnsi" w:hAnsiTheme="minorHAnsi" w:cstheme="minorHAnsi"/>
          <w:color w:val="000000"/>
          <w:sz w:val="22"/>
          <w:szCs w:val="22"/>
          <w:lang w:val="fr-CH"/>
        </w:rPr>
        <w:t>Résolution </w:t>
      </w:r>
      <w:r w:rsidR="00383801" w:rsidRPr="00B61CAA">
        <w:rPr>
          <w:rFonts w:asciiTheme="minorHAnsi" w:hAnsiTheme="minorHAnsi" w:cstheme="minorHAnsi"/>
          <w:color w:val="000000"/>
          <w:sz w:val="22"/>
          <w:szCs w:val="22"/>
          <w:lang w:val="fr-CH"/>
        </w:rPr>
        <w:t xml:space="preserve">XIII.7 </w:t>
      </w:r>
      <w:r w:rsidR="005D3DB9" w:rsidRPr="00B61CAA">
        <w:rPr>
          <w:rFonts w:asciiTheme="minorHAnsi" w:hAnsiTheme="minorHAnsi" w:cstheme="minorHAnsi"/>
          <w:color w:val="000000"/>
          <w:sz w:val="22"/>
          <w:szCs w:val="22"/>
          <w:lang w:val="fr-CH"/>
        </w:rPr>
        <w:t>« demande en outre au Secrétariat de continuer de collaborer avec les Parties contractantes à la réalisation des inventaires nationaux des zones humides et de l’étendue des zones humides pour faire rapport sur l’indicateur 6.6.1 des ODD ».</w:t>
      </w:r>
      <w:r w:rsidR="005D3DB9">
        <w:rPr>
          <w:rFonts w:asciiTheme="minorHAnsi" w:hAnsiTheme="minorHAnsi" w:cstheme="minorHAnsi"/>
          <w:color w:val="000000"/>
          <w:sz w:val="22"/>
          <w:szCs w:val="22"/>
          <w:lang w:val="fr-CH"/>
        </w:rPr>
        <w:t xml:space="preserve"> </w:t>
      </w:r>
    </w:p>
    <w:p w14:paraId="5DF2CD4B" w14:textId="77777777" w:rsidR="00383801" w:rsidRPr="00263800" w:rsidRDefault="00383801" w:rsidP="00536607">
      <w:pPr>
        <w:ind w:left="425" w:hanging="425"/>
        <w:jc w:val="left"/>
        <w:rPr>
          <w:rFonts w:asciiTheme="minorHAnsi" w:hAnsiTheme="minorHAnsi" w:cstheme="minorHAnsi"/>
          <w:color w:val="000000"/>
          <w:sz w:val="22"/>
          <w:szCs w:val="22"/>
          <w:lang w:val="fr-CH"/>
        </w:rPr>
      </w:pPr>
      <w:r w:rsidRPr="00263800">
        <w:rPr>
          <w:rFonts w:asciiTheme="minorHAnsi" w:hAnsiTheme="minorHAnsi" w:cstheme="minorHAnsi"/>
          <w:color w:val="000000"/>
          <w:sz w:val="22"/>
          <w:szCs w:val="22"/>
          <w:lang w:val="fr-CH"/>
        </w:rPr>
        <w:t> </w:t>
      </w:r>
    </w:p>
    <w:p w14:paraId="46BA93AE" w14:textId="4B990F3C" w:rsidR="00554FF4" w:rsidRPr="00263800" w:rsidRDefault="00536607" w:rsidP="00536607">
      <w:pPr>
        <w:ind w:left="425" w:hanging="425"/>
        <w:jc w:val="left"/>
        <w:rPr>
          <w:rFonts w:asciiTheme="minorHAnsi" w:hAnsiTheme="minorHAnsi" w:cstheme="minorHAnsi"/>
          <w:color w:val="000000"/>
          <w:sz w:val="22"/>
          <w:szCs w:val="22"/>
          <w:lang w:val="fr-CH"/>
        </w:rPr>
      </w:pPr>
      <w:r w:rsidRPr="00263800">
        <w:rPr>
          <w:rFonts w:asciiTheme="minorHAnsi" w:hAnsiTheme="minorHAnsi" w:cstheme="minorHAnsi"/>
          <w:color w:val="000000"/>
          <w:sz w:val="22"/>
          <w:szCs w:val="22"/>
          <w:lang w:val="fr-CH"/>
        </w:rPr>
        <w:t>5.</w:t>
      </w:r>
      <w:r w:rsidRPr="00263800">
        <w:rPr>
          <w:rFonts w:asciiTheme="minorHAnsi" w:hAnsiTheme="minorHAnsi" w:cstheme="minorHAnsi"/>
          <w:color w:val="000000"/>
          <w:sz w:val="22"/>
          <w:szCs w:val="22"/>
          <w:lang w:val="fr-CH"/>
        </w:rPr>
        <w:tab/>
      </w:r>
      <w:r w:rsidR="005D3DB9">
        <w:rPr>
          <w:rFonts w:asciiTheme="minorHAnsi" w:hAnsiTheme="minorHAnsi" w:cstheme="minorHAnsi"/>
          <w:color w:val="000000"/>
          <w:sz w:val="22"/>
          <w:szCs w:val="22"/>
          <w:lang w:val="fr-CH"/>
        </w:rPr>
        <w:t>À sa 54</w:t>
      </w:r>
      <w:r w:rsidR="005D3DB9" w:rsidRPr="005D3DB9">
        <w:rPr>
          <w:rFonts w:asciiTheme="minorHAnsi" w:hAnsiTheme="minorHAnsi" w:cstheme="minorHAnsi"/>
          <w:color w:val="000000"/>
          <w:sz w:val="22"/>
          <w:szCs w:val="22"/>
          <w:vertAlign w:val="superscript"/>
          <w:lang w:val="fr-CH"/>
        </w:rPr>
        <w:t>e</w:t>
      </w:r>
      <w:r w:rsidR="005D3DB9">
        <w:rPr>
          <w:rFonts w:asciiTheme="minorHAnsi" w:hAnsiTheme="minorHAnsi" w:cstheme="minorHAnsi"/>
          <w:color w:val="000000"/>
          <w:sz w:val="22"/>
          <w:szCs w:val="22"/>
          <w:lang w:val="fr-CH"/>
        </w:rPr>
        <w:t xml:space="preserve"> et à sa 57</w:t>
      </w:r>
      <w:r w:rsidR="005D3DB9" w:rsidRPr="005D3DB9">
        <w:rPr>
          <w:rFonts w:asciiTheme="minorHAnsi" w:hAnsiTheme="minorHAnsi" w:cstheme="minorHAnsi"/>
          <w:color w:val="000000"/>
          <w:sz w:val="22"/>
          <w:szCs w:val="22"/>
          <w:vertAlign w:val="superscript"/>
          <w:lang w:val="fr-CH"/>
        </w:rPr>
        <w:t>e</w:t>
      </w:r>
      <w:r w:rsidR="005D3DB9">
        <w:rPr>
          <w:rFonts w:asciiTheme="minorHAnsi" w:hAnsiTheme="minorHAnsi" w:cstheme="minorHAnsi"/>
          <w:color w:val="000000"/>
          <w:sz w:val="22"/>
          <w:szCs w:val="22"/>
          <w:lang w:val="fr-CH"/>
        </w:rPr>
        <w:t xml:space="preserve"> Réunion, le Comité permanent, dans les Décisions </w:t>
      </w:r>
      <w:r w:rsidR="00D949AA" w:rsidRPr="00263800">
        <w:rPr>
          <w:rFonts w:asciiTheme="minorHAnsi" w:hAnsiTheme="minorHAnsi" w:cstheme="minorHAnsi"/>
          <w:color w:val="000000"/>
          <w:sz w:val="22"/>
          <w:szCs w:val="22"/>
          <w:lang w:val="fr-CH"/>
        </w:rPr>
        <w:t>S</w:t>
      </w:r>
      <w:r w:rsidR="005D3DB9">
        <w:rPr>
          <w:rFonts w:asciiTheme="minorHAnsi" w:hAnsiTheme="minorHAnsi" w:cstheme="minorHAnsi"/>
          <w:color w:val="000000"/>
          <w:sz w:val="22"/>
          <w:szCs w:val="22"/>
          <w:lang w:val="fr-CH"/>
        </w:rPr>
        <w:t>C54</w:t>
      </w:r>
      <w:r w:rsidR="005D3DB9">
        <w:rPr>
          <w:rFonts w:asciiTheme="minorHAnsi" w:hAnsiTheme="minorHAnsi" w:cstheme="minorHAnsi"/>
          <w:color w:val="000000"/>
          <w:sz w:val="22"/>
          <w:szCs w:val="22"/>
          <w:lang w:val="fr-CH"/>
        </w:rPr>
        <w:noBreakHyphen/>
      </w:r>
      <w:r w:rsidR="00BE6D45" w:rsidRPr="00263800">
        <w:rPr>
          <w:rFonts w:asciiTheme="minorHAnsi" w:hAnsiTheme="minorHAnsi" w:cstheme="minorHAnsi"/>
          <w:color w:val="000000"/>
          <w:sz w:val="22"/>
          <w:szCs w:val="22"/>
          <w:lang w:val="fr-CH"/>
        </w:rPr>
        <w:t>26</w:t>
      </w:r>
      <w:r w:rsidR="00554FF4" w:rsidRPr="00263800">
        <w:rPr>
          <w:rFonts w:asciiTheme="minorHAnsi" w:hAnsiTheme="minorHAnsi" w:cstheme="minorHAnsi"/>
          <w:color w:val="000000"/>
          <w:sz w:val="22"/>
          <w:szCs w:val="22"/>
          <w:lang w:val="fr-CH"/>
        </w:rPr>
        <w:t xml:space="preserve"> </w:t>
      </w:r>
      <w:r w:rsidR="005D3DB9">
        <w:rPr>
          <w:rFonts w:asciiTheme="minorHAnsi" w:hAnsiTheme="minorHAnsi" w:cstheme="minorHAnsi"/>
          <w:color w:val="000000"/>
          <w:sz w:val="22"/>
          <w:szCs w:val="22"/>
          <w:lang w:val="fr-CH"/>
        </w:rPr>
        <w:t>et SC57</w:t>
      </w:r>
      <w:r w:rsidR="005D3DB9">
        <w:rPr>
          <w:rFonts w:asciiTheme="minorHAnsi" w:hAnsiTheme="minorHAnsi" w:cstheme="minorHAnsi"/>
          <w:color w:val="000000"/>
          <w:sz w:val="22"/>
          <w:szCs w:val="22"/>
          <w:lang w:val="fr-CH"/>
        </w:rPr>
        <w:noBreakHyphen/>
      </w:r>
      <w:r w:rsidR="002D702B" w:rsidRPr="00263800">
        <w:rPr>
          <w:rFonts w:asciiTheme="minorHAnsi" w:hAnsiTheme="minorHAnsi" w:cstheme="minorHAnsi"/>
          <w:color w:val="000000"/>
          <w:sz w:val="22"/>
          <w:szCs w:val="22"/>
          <w:lang w:val="fr-CH"/>
        </w:rPr>
        <w:t xml:space="preserve">47, </w:t>
      </w:r>
      <w:r w:rsidR="005D3DB9">
        <w:rPr>
          <w:rFonts w:asciiTheme="minorHAnsi" w:hAnsiTheme="minorHAnsi" w:cstheme="minorHAnsi"/>
          <w:color w:val="000000"/>
          <w:sz w:val="22"/>
          <w:szCs w:val="22"/>
          <w:lang w:val="fr-CH"/>
        </w:rPr>
        <w:t xml:space="preserve">a approuvé l’attribution de fonds pour aider les Parties contractantes à mener à bien </w:t>
      </w:r>
      <w:r w:rsidR="00B61CAA">
        <w:rPr>
          <w:rFonts w:asciiTheme="minorHAnsi" w:hAnsiTheme="minorHAnsi" w:cstheme="minorHAnsi"/>
          <w:color w:val="000000"/>
          <w:sz w:val="22"/>
          <w:szCs w:val="22"/>
          <w:lang w:val="fr-CH"/>
        </w:rPr>
        <w:t>le</w:t>
      </w:r>
      <w:r w:rsidR="00050C11">
        <w:rPr>
          <w:rFonts w:asciiTheme="minorHAnsi" w:hAnsiTheme="minorHAnsi" w:cstheme="minorHAnsi"/>
          <w:color w:val="000000"/>
          <w:sz w:val="22"/>
          <w:szCs w:val="22"/>
          <w:lang w:val="fr-CH"/>
        </w:rPr>
        <w:t>ur Inventaire national</w:t>
      </w:r>
      <w:r w:rsidR="005D3DB9">
        <w:rPr>
          <w:rFonts w:asciiTheme="minorHAnsi" w:hAnsiTheme="minorHAnsi" w:cstheme="minorHAnsi"/>
          <w:color w:val="000000"/>
          <w:sz w:val="22"/>
          <w:szCs w:val="22"/>
          <w:lang w:val="fr-CH"/>
        </w:rPr>
        <w:t xml:space="preserve"> des zones humides.</w:t>
      </w:r>
      <w:r w:rsidR="00354B3E" w:rsidRPr="00263800">
        <w:rPr>
          <w:rFonts w:asciiTheme="minorHAnsi" w:hAnsiTheme="minorHAnsi" w:cstheme="minorHAnsi"/>
          <w:color w:val="000000"/>
          <w:sz w:val="22"/>
          <w:szCs w:val="22"/>
          <w:lang w:val="fr-CH"/>
        </w:rPr>
        <w:t xml:space="preserve"> </w:t>
      </w:r>
    </w:p>
    <w:p w14:paraId="7EC06774" w14:textId="77777777" w:rsidR="00554FF4" w:rsidRPr="00263800" w:rsidRDefault="00554FF4" w:rsidP="00536607">
      <w:pPr>
        <w:ind w:left="425" w:hanging="425"/>
        <w:jc w:val="left"/>
        <w:rPr>
          <w:rFonts w:asciiTheme="minorHAnsi" w:hAnsiTheme="minorHAnsi" w:cstheme="minorHAnsi"/>
          <w:color w:val="000000"/>
          <w:sz w:val="22"/>
          <w:szCs w:val="22"/>
          <w:lang w:val="fr-CH"/>
        </w:rPr>
      </w:pPr>
    </w:p>
    <w:p w14:paraId="364DC6E6" w14:textId="7E98BEEF" w:rsidR="00383801" w:rsidRPr="00263800" w:rsidRDefault="00536607" w:rsidP="00536607">
      <w:pPr>
        <w:ind w:left="425" w:hanging="425"/>
        <w:jc w:val="left"/>
        <w:rPr>
          <w:rFonts w:asciiTheme="minorHAnsi" w:hAnsiTheme="minorHAnsi" w:cstheme="minorHAnsi"/>
          <w:color w:val="000000"/>
          <w:sz w:val="22"/>
          <w:szCs w:val="22"/>
          <w:lang w:val="fr-CH"/>
        </w:rPr>
      </w:pPr>
      <w:r w:rsidRPr="00263800">
        <w:rPr>
          <w:rFonts w:asciiTheme="minorHAnsi" w:hAnsiTheme="minorHAnsi" w:cstheme="minorHAnsi"/>
          <w:color w:val="000000"/>
          <w:sz w:val="22"/>
          <w:szCs w:val="22"/>
          <w:lang w:val="fr-CH"/>
        </w:rPr>
        <w:t>6.</w:t>
      </w:r>
      <w:r w:rsidRPr="00263800">
        <w:rPr>
          <w:rFonts w:asciiTheme="minorHAnsi" w:hAnsiTheme="minorHAnsi" w:cstheme="minorHAnsi"/>
          <w:color w:val="000000"/>
          <w:sz w:val="22"/>
          <w:szCs w:val="22"/>
          <w:lang w:val="fr-CH"/>
        </w:rPr>
        <w:tab/>
      </w:r>
      <w:r w:rsidR="005D3DB9">
        <w:rPr>
          <w:rFonts w:asciiTheme="minorHAnsi" w:hAnsiTheme="minorHAnsi" w:cstheme="minorHAnsi"/>
          <w:color w:val="000000"/>
          <w:sz w:val="22"/>
          <w:szCs w:val="22"/>
          <w:lang w:val="fr-CH"/>
        </w:rPr>
        <w:t>À sa 57</w:t>
      </w:r>
      <w:r w:rsidR="005D3DB9" w:rsidRPr="005D3DB9">
        <w:rPr>
          <w:rFonts w:asciiTheme="minorHAnsi" w:hAnsiTheme="minorHAnsi" w:cstheme="minorHAnsi"/>
          <w:color w:val="000000"/>
          <w:sz w:val="22"/>
          <w:szCs w:val="22"/>
          <w:vertAlign w:val="superscript"/>
          <w:lang w:val="fr-CH"/>
        </w:rPr>
        <w:t>e</w:t>
      </w:r>
      <w:r w:rsidR="005D3DB9">
        <w:rPr>
          <w:rFonts w:asciiTheme="minorHAnsi" w:hAnsiTheme="minorHAnsi" w:cstheme="minorHAnsi"/>
          <w:color w:val="000000"/>
          <w:sz w:val="22"/>
          <w:szCs w:val="22"/>
          <w:lang w:val="fr-CH"/>
        </w:rPr>
        <w:t> Réunion, le Comité permanent, dans la Décision SC57</w:t>
      </w:r>
      <w:r w:rsidR="005D3DB9">
        <w:rPr>
          <w:rFonts w:asciiTheme="minorHAnsi" w:hAnsiTheme="minorHAnsi" w:cstheme="minorHAnsi"/>
          <w:color w:val="000000"/>
          <w:sz w:val="22"/>
          <w:szCs w:val="22"/>
          <w:lang w:val="fr-CH"/>
        </w:rPr>
        <w:noBreakHyphen/>
      </w:r>
      <w:r w:rsidR="00383801" w:rsidRPr="00263800">
        <w:rPr>
          <w:rFonts w:asciiTheme="minorHAnsi" w:hAnsiTheme="minorHAnsi" w:cstheme="minorHAnsi"/>
          <w:color w:val="000000"/>
          <w:sz w:val="22"/>
          <w:szCs w:val="22"/>
          <w:lang w:val="fr-CH"/>
        </w:rPr>
        <w:t>53</w:t>
      </w:r>
      <w:r w:rsidR="002D702B" w:rsidRPr="00263800">
        <w:rPr>
          <w:rFonts w:asciiTheme="minorHAnsi" w:hAnsiTheme="minorHAnsi" w:cstheme="minorHAnsi"/>
          <w:color w:val="000000"/>
          <w:sz w:val="22"/>
          <w:szCs w:val="22"/>
          <w:lang w:val="fr-CH"/>
        </w:rPr>
        <w:t>,</w:t>
      </w:r>
      <w:r w:rsidR="00383801" w:rsidRPr="00263800">
        <w:rPr>
          <w:rFonts w:asciiTheme="minorHAnsi" w:hAnsiTheme="minorHAnsi" w:cstheme="minorHAnsi"/>
          <w:color w:val="000000"/>
          <w:sz w:val="22"/>
          <w:szCs w:val="22"/>
          <w:lang w:val="fr-CH"/>
        </w:rPr>
        <w:t xml:space="preserve"> </w:t>
      </w:r>
      <w:r w:rsidR="005D3DB9">
        <w:rPr>
          <w:rFonts w:asciiTheme="minorHAnsi" w:hAnsiTheme="minorHAnsi" w:cstheme="minorHAnsi"/>
          <w:color w:val="000000"/>
          <w:sz w:val="22"/>
          <w:szCs w:val="22"/>
          <w:lang w:val="fr-CH"/>
        </w:rPr>
        <w:t xml:space="preserve">a décidé de prioriser le thème des inventaires pour la période triennale actuelle afin de permettre aux Parties contractantes de se concentrer sur les mesures nécessaires </w:t>
      </w:r>
      <w:r w:rsidR="004E6CE3">
        <w:rPr>
          <w:rFonts w:asciiTheme="minorHAnsi" w:hAnsiTheme="minorHAnsi" w:cstheme="minorHAnsi"/>
          <w:color w:val="000000"/>
          <w:sz w:val="22"/>
          <w:szCs w:val="22"/>
          <w:lang w:val="fr-CH"/>
        </w:rPr>
        <w:t>permettant de résoudre</w:t>
      </w:r>
      <w:r w:rsidR="005D3DB9">
        <w:rPr>
          <w:rFonts w:asciiTheme="minorHAnsi" w:hAnsiTheme="minorHAnsi" w:cstheme="minorHAnsi"/>
          <w:color w:val="000000"/>
          <w:sz w:val="22"/>
          <w:szCs w:val="22"/>
          <w:lang w:val="fr-CH"/>
        </w:rPr>
        <w:t xml:space="preserve"> ce problème urgent </w:t>
      </w:r>
      <w:r w:rsidR="004E6CE3">
        <w:rPr>
          <w:rFonts w:asciiTheme="minorHAnsi" w:hAnsiTheme="minorHAnsi" w:cstheme="minorHAnsi"/>
          <w:color w:val="000000"/>
          <w:sz w:val="22"/>
          <w:szCs w:val="22"/>
          <w:lang w:val="fr-CH"/>
        </w:rPr>
        <w:t>en vue,</w:t>
      </w:r>
      <w:r w:rsidR="005D3DB9">
        <w:rPr>
          <w:rFonts w:asciiTheme="minorHAnsi" w:hAnsiTheme="minorHAnsi" w:cstheme="minorHAnsi"/>
          <w:color w:val="000000"/>
          <w:sz w:val="22"/>
          <w:szCs w:val="22"/>
          <w:lang w:val="fr-CH"/>
        </w:rPr>
        <w:t xml:space="preserve"> éventuellement</w:t>
      </w:r>
      <w:r w:rsidR="0068093C">
        <w:rPr>
          <w:rFonts w:asciiTheme="minorHAnsi" w:hAnsiTheme="minorHAnsi" w:cstheme="minorHAnsi"/>
          <w:color w:val="000000"/>
          <w:sz w:val="22"/>
          <w:szCs w:val="22"/>
          <w:lang w:val="fr-CH"/>
        </w:rPr>
        <w:t>,</w:t>
      </w:r>
      <w:r w:rsidR="005D3DB9">
        <w:rPr>
          <w:rFonts w:asciiTheme="minorHAnsi" w:hAnsiTheme="minorHAnsi" w:cstheme="minorHAnsi"/>
          <w:color w:val="000000"/>
          <w:sz w:val="22"/>
          <w:szCs w:val="22"/>
          <w:lang w:val="fr-CH"/>
        </w:rPr>
        <w:t xml:space="preserve"> </w:t>
      </w:r>
      <w:r w:rsidR="004E6CE3">
        <w:rPr>
          <w:rFonts w:asciiTheme="minorHAnsi" w:hAnsiTheme="minorHAnsi" w:cstheme="minorHAnsi"/>
          <w:color w:val="000000"/>
          <w:sz w:val="22"/>
          <w:szCs w:val="22"/>
          <w:lang w:val="fr-CH"/>
        </w:rPr>
        <w:t xml:space="preserve">de présenter </w:t>
      </w:r>
      <w:r w:rsidR="005D3DB9">
        <w:rPr>
          <w:rFonts w:asciiTheme="minorHAnsi" w:hAnsiTheme="minorHAnsi" w:cstheme="minorHAnsi"/>
          <w:color w:val="000000"/>
          <w:sz w:val="22"/>
          <w:szCs w:val="22"/>
          <w:lang w:val="fr-CH"/>
        </w:rPr>
        <w:t xml:space="preserve">un projet de résolution </w:t>
      </w:r>
      <w:r w:rsidR="004E6CE3">
        <w:rPr>
          <w:rFonts w:asciiTheme="minorHAnsi" w:hAnsiTheme="minorHAnsi" w:cstheme="minorHAnsi"/>
          <w:color w:val="000000"/>
          <w:sz w:val="22"/>
          <w:szCs w:val="22"/>
          <w:lang w:val="fr-CH"/>
        </w:rPr>
        <w:t>(ou plusieurs) pour examen</w:t>
      </w:r>
      <w:r w:rsidR="005D3DB9">
        <w:rPr>
          <w:rFonts w:asciiTheme="minorHAnsi" w:hAnsiTheme="minorHAnsi" w:cstheme="minorHAnsi"/>
          <w:color w:val="000000"/>
          <w:sz w:val="22"/>
          <w:szCs w:val="22"/>
          <w:lang w:val="fr-CH"/>
        </w:rPr>
        <w:t xml:space="preserve"> à la </w:t>
      </w:r>
      <w:r w:rsidR="00383801" w:rsidRPr="00263800">
        <w:rPr>
          <w:rFonts w:asciiTheme="minorHAnsi" w:hAnsiTheme="minorHAnsi" w:cstheme="minorHAnsi"/>
          <w:color w:val="000000"/>
          <w:sz w:val="22"/>
          <w:szCs w:val="22"/>
          <w:lang w:val="fr-CH"/>
        </w:rPr>
        <w:t>COP14.</w:t>
      </w:r>
    </w:p>
    <w:p w14:paraId="60D445D6" w14:textId="77777777" w:rsidR="00383801" w:rsidRPr="00263800" w:rsidRDefault="00383801" w:rsidP="00536607">
      <w:pPr>
        <w:ind w:left="425" w:hanging="425"/>
        <w:jc w:val="left"/>
        <w:rPr>
          <w:rFonts w:asciiTheme="minorHAnsi" w:hAnsiTheme="minorHAnsi" w:cstheme="minorHAnsi"/>
          <w:color w:val="000000"/>
          <w:sz w:val="22"/>
          <w:szCs w:val="22"/>
          <w:lang w:val="fr-CH"/>
        </w:rPr>
      </w:pPr>
    </w:p>
    <w:p w14:paraId="4A880C3E" w14:textId="459BEE3D" w:rsidR="00383801" w:rsidRPr="00263800" w:rsidRDefault="00536607" w:rsidP="00536607">
      <w:pPr>
        <w:ind w:left="425" w:hanging="425"/>
        <w:jc w:val="left"/>
        <w:rPr>
          <w:rFonts w:asciiTheme="minorHAnsi" w:hAnsiTheme="minorHAnsi" w:cstheme="minorHAnsi"/>
          <w:color w:val="000000"/>
          <w:sz w:val="22"/>
          <w:szCs w:val="22"/>
          <w:lang w:val="fr-CH"/>
        </w:rPr>
      </w:pPr>
      <w:r w:rsidRPr="00263800">
        <w:rPr>
          <w:rFonts w:asciiTheme="minorHAnsi" w:hAnsiTheme="minorHAnsi" w:cstheme="minorHAnsi"/>
          <w:color w:val="000000"/>
          <w:sz w:val="22"/>
          <w:szCs w:val="22"/>
          <w:lang w:val="fr-CH"/>
        </w:rPr>
        <w:t>7.</w:t>
      </w:r>
      <w:r w:rsidRPr="00263800">
        <w:rPr>
          <w:rFonts w:asciiTheme="minorHAnsi" w:hAnsiTheme="minorHAnsi" w:cstheme="minorHAnsi"/>
          <w:color w:val="000000"/>
          <w:sz w:val="22"/>
          <w:szCs w:val="22"/>
          <w:lang w:val="fr-CH"/>
        </w:rPr>
        <w:tab/>
      </w:r>
      <w:r w:rsidR="005D3DB9">
        <w:rPr>
          <w:rFonts w:asciiTheme="minorHAnsi" w:hAnsiTheme="minorHAnsi" w:cstheme="minorHAnsi"/>
          <w:color w:val="000000"/>
          <w:sz w:val="22"/>
          <w:szCs w:val="22"/>
          <w:lang w:val="fr-CH"/>
        </w:rPr>
        <w:t xml:space="preserve">Le Comité permanent (dans la </w:t>
      </w:r>
      <w:r w:rsidR="007A74AA" w:rsidRPr="00263800">
        <w:rPr>
          <w:rFonts w:asciiTheme="minorHAnsi" w:hAnsiTheme="minorHAnsi" w:cstheme="minorHAnsi"/>
          <w:color w:val="000000"/>
          <w:sz w:val="22"/>
          <w:szCs w:val="22"/>
          <w:lang w:val="fr-CH"/>
        </w:rPr>
        <w:t>D</w:t>
      </w:r>
      <w:r w:rsidR="005D3DB9">
        <w:rPr>
          <w:rFonts w:asciiTheme="minorHAnsi" w:hAnsiTheme="minorHAnsi" w:cstheme="minorHAnsi"/>
          <w:color w:val="000000"/>
          <w:sz w:val="22"/>
          <w:szCs w:val="22"/>
          <w:lang w:val="fr-CH"/>
        </w:rPr>
        <w:t>é</w:t>
      </w:r>
      <w:r w:rsidR="007A74AA" w:rsidRPr="00263800">
        <w:rPr>
          <w:rFonts w:asciiTheme="minorHAnsi" w:hAnsiTheme="minorHAnsi" w:cstheme="minorHAnsi"/>
          <w:color w:val="000000"/>
          <w:sz w:val="22"/>
          <w:szCs w:val="22"/>
          <w:lang w:val="fr-CH"/>
        </w:rPr>
        <w:t xml:space="preserve">cision </w:t>
      </w:r>
      <w:r w:rsidR="00383801" w:rsidRPr="00263800">
        <w:rPr>
          <w:rFonts w:asciiTheme="minorHAnsi" w:hAnsiTheme="minorHAnsi" w:cstheme="minorHAnsi"/>
          <w:color w:val="000000"/>
          <w:sz w:val="22"/>
          <w:szCs w:val="22"/>
          <w:lang w:val="fr-CH"/>
        </w:rPr>
        <w:t xml:space="preserve">SC57-54) </w:t>
      </w:r>
      <w:r w:rsidR="005D3DB9">
        <w:rPr>
          <w:rFonts w:asciiTheme="minorHAnsi" w:hAnsiTheme="minorHAnsi" w:cstheme="minorHAnsi"/>
          <w:color w:val="000000"/>
          <w:sz w:val="22"/>
          <w:szCs w:val="22"/>
          <w:lang w:val="fr-CH"/>
        </w:rPr>
        <w:t xml:space="preserve">a décidé de </w:t>
      </w:r>
      <w:r w:rsidR="003C5D0A">
        <w:rPr>
          <w:rFonts w:asciiTheme="minorHAnsi" w:hAnsiTheme="minorHAnsi" w:cstheme="minorHAnsi"/>
          <w:color w:val="000000"/>
          <w:sz w:val="22"/>
          <w:szCs w:val="22"/>
          <w:lang w:val="fr-CH"/>
        </w:rPr>
        <w:t xml:space="preserve">réserver </w:t>
      </w:r>
      <w:r w:rsidR="005D3DB9">
        <w:rPr>
          <w:rFonts w:asciiTheme="minorHAnsi" w:hAnsiTheme="minorHAnsi" w:cstheme="minorHAnsi"/>
          <w:color w:val="000000"/>
          <w:sz w:val="22"/>
          <w:szCs w:val="22"/>
          <w:lang w:val="fr-CH"/>
        </w:rPr>
        <w:t>du temps</w:t>
      </w:r>
      <w:r w:rsidR="003C5D0A">
        <w:rPr>
          <w:rFonts w:asciiTheme="minorHAnsi" w:hAnsiTheme="minorHAnsi" w:cstheme="minorHAnsi"/>
          <w:color w:val="000000"/>
          <w:sz w:val="22"/>
          <w:szCs w:val="22"/>
          <w:lang w:val="fr-CH"/>
        </w:rPr>
        <w:t>,</w:t>
      </w:r>
      <w:r w:rsidR="005D3DB9">
        <w:rPr>
          <w:rFonts w:asciiTheme="minorHAnsi" w:hAnsiTheme="minorHAnsi" w:cstheme="minorHAnsi"/>
          <w:color w:val="000000"/>
          <w:sz w:val="22"/>
          <w:szCs w:val="22"/>
          <w:lang w:val="fr-CH"/>
        </w:rPr>
        <w:t xml:space="preserve"> à l’ordre du jour de la 58</w:t>
      </w:r>
      <w:r w:rsidR="005D3DB9" w:rsidRPr="005D3DB9">
        <w:rPr>
          <w:rFonts w:asciiTheme="minorHAnsi" w:hAnsiTheme="minorHAnsi" w:cstheme="minorHAnsi"/>
          <w:color w:val="000000"/>
          <w:sz w:val="22"/>
          <w:szCs w:val="22"/>
          <w:vertAlign w:val="superscript"/>
          <w:lang w:val="fr-CH"/>
        </w:rPr>
        <w:t>e</w:t>
      </w:r>
      <w:r w:rsidR="005D3DB9">
        <w:rPr>
          <w:rFonts w:asciiTheme="minorHAnsi" w:hAnsiTheme="minorHAnsi" w:cstheme="minorHAnsi"/>
          <w:color w:val="000000"/>
          <w:sz w:val="22"/>
          <w:szCs w:val="22"/>
          <w:lang w:val="fr-CH"/>
        </w:rPr>
        <w:t> Réunion du Comité permanent</w:t>
      </w:r>
      <w:r w:rsidR="003C5D0A">
        <w:rPr>
          <w:rFonts w:asciiTheme="minorHAnsi" w:hAnsiTheme="minorHAnsi" w:cstheme="minorHAnsi"/>
          <w:color w:val="000000"/>
          <w:sz w:val="22"/>
          <w:szCs w:val="22"/>
          <w:lang w:val="fr-CH"/>
        </w:rPr>
        <w:t>,</w:t>
      </w:r>
      <w:r w:rsidR="005D3DB9">
        <w:rPr>
          <w:rFonts w:asciiTheme="minorHAnsi" w:hAnsiTheme="minorHAnsi" w:cstheme="minorHAnsi"/>
          <w:color w:val="000000"/>
          <w:sz w:val="22"/>
          <w:szCs w:val="22"/>
          <w:lang w:val="fr-CH"/>
        </w:rPr>
        <w:t xml:space="preserve"> pour discuter des meilleures pratiques actuelles d’élaboration d’inventaires des zones humides et pour créer une possibilité </w:t>
      </w:r>
      <w:r w:rsidR="003C5D0A">
        <w:rPr>
          <w:rFonts w:asciiTheme="minorHAnsi" w:hAnsiTheme="minorHAnsi" w:cstheme="minorHAnsi"/>
          <w:color w:val="000000"/>
          <w:sz w:val="22"/>
          <w:szCs w:val="22"/>
          <w:lang w:val="fr-CH"/>
        </w:rPr>
        <w:t>d’échange</w:t>
      </w:r>
      <w:r w:rsidR="005D3DB9">
        <w:rPr>
          <w:rFonts w:asciiTheme="minorHAnsi" w:hAnsiTheme="minorHAnsi" w:cstheme="minorHAnsi"/>
          <w:color w:val="000000"/>
          <w:sz w:val="22"/>
          <w:szCs w:val="22"/>
          <w:lang w:val="fr-CH"/>
        </w:rPr>
        <w:t xml:space="preserve"> entre les Parties, les représentants du Groupe d’évaluation scientifique et technique, du Groupe de surveillance des activités de CESP, des Organisations partenaires internationales, du Secrétariat, entre autres, </w:t>
      </w:r>
      <w:r w:rsidR="003C5D0A">
        <w:rPr>
          <w:rFonts w:asciiTheme="minorHAnsi" w:hAnsiTheme="minorHAnsi" w:cstheme="minorHAnsi"/>
          <w:color w:val="000000"/>
          <w:sz w:val="22"/>
          <w:szCs w:val="22"/>
          <w:lang w:val="fr-CH"/>
        </w:rPr>
        <w:t>sur les</w:t>
      </w:r>
      <w:r w:rsidR="005D3DB9">
        <w:rPr>
          <w:rFonts w:asciiTheme="minorHAnsi" w:hAnsiTheme="minorHAnsi" w:cstheme="minorHAnsi"/>
          <w:color w:val="000000"/>
          <w:sz w:val="22"/>
          <w:szCs w:val="22"/>
          <w:lang w:val="fr-CH"/>
        </w:rPr>
        <w:t xml:space="preserve"> outils et approches permettant de traiter les problèmes rencontrés par de nombreuses Parties contractantes lorsqu’elles élaborent, améliorent, finalisent et </w:t>
      </w:r>
      <w:r w:rsidR="003C5D0A">
        <w:rPr>
          <w:rFonts w:asciiTheme="minorHAnsi" w:hAnsiTheme="minorHAnsi" w:cstheme="minorHAnsi"/>
          <w:color w:val="000000"/>
          <w:sz w:val="22"/>
          <w:szCs w:val="22"/>
          <w:lang w:val="fr-CH"/>
        </w:rPr>
        <w:t xml:space="preserve">actualisent </w:t>
      </w:r>
      <w:r w:rsidR="005D3DB9">
        <w:rPr>
          <w:rFonts w:asciiTheme="minorHAnsi" w:hAnsiTheme="minorHAnsi" w:cstheme="minorHAnsi"/>
          <w:color w:val="000000"/>
          <w:sz w:val="22"/>
          <w:szCs w:val="22"/>
          <w:lang w:val="fr-CH"/>
        </w:rPr>
        <w:t>leur</w:t>
      </w:r>
      <w:r w:rsidR="00050C11">
        <w:rPr>
          <w:rFonts w:asciiTheme="minorHAnsi" w:hAnsiTheme="minorHAnsi" w:cstheme="minorHAnsi"/>
          <w:color w:val="000000"/>
          <w:sz w:val="22"/>
          <w:szCs w:val="22"/>
          <w:lang w:val="fr-CH"/>
        </w:rPr>
        <w:t>s</w:t>
      </w:r>
      <w:r w:rsidR="005D3DB9">
        <w:rPr>
          <w:rFonts w:asciiTheme="minorHAnsi" w:hAnsiTheme="minorHAnsi" w:cstheme="minorHAnsi"/>
          <w:color w:val="000000"/>
          <w:sz w:val="22"/>
          <w:szCs w:val="22"/>
          <w:lang w:val="fr-CH"/>
        </w:rPr>
        <w:t xml:space="preserve"> </w:t>
      </w:r>
      <w:r w:rsidR="00050C11">
        <w:rPr>
          <w:rFonts w:asciiTheme="minorHAnsi" w:hAnsiTheme="minorHAnsi" w:cstheme="minorHAnsi"/>
          <w:color w:val="000000"/>
          <w:sz w:val="22"/>
          <w:szCs w:val="22"/>
          <w:lang w:val="fr-CH"/>
        </w:rPr>
        <w:t>i</w:t>
      </w:r>
      <w:r w:rsidR="005D3DB9">
        <w:rPr>
          <w:rFonts w:asciiTheme="minorHAnsi" w:hAnsiTheme="minorHAnsi" w:cstheme="minorHAnsi"/>
          <w:color w:val="000000"/>
          <w:sz w:val="22"/>
          <w:szCs w:val="22"/>
          <w:lang w:val="fr-CH"/>
        </w:rPr>
        <w:t>nventaire</w:t>
      </w:r>
      <w:r w:rsidR="00050C11">
        <w:rPr>
          <w:rFonts w:asciiTheme="minorHAnsi" w:hAnsiTheme="minorHAnsi" w:cstheme="minorHAnsi"/>
          <w:color w:val="000000"/>
          <w:sz w:val="22"/>
          <w:szCs w:val="22"/>
          <w:lang w:val="fr-CH"/>
        </w:rPr>
        <w:t>s</w:t>
      </w:r>
      <w:r w:rsidR="005D3DB9">
        <w:rPr>
          <w:rFonts w:asciiTheme="minorHAnsi" w:hAnsiTheme="minorHAnsi" w:cstheme="minorHAnsi"/>
          <w:color w:val="000000"/>
          <w:sz w:val="22"/>
          <w:szCs w:val="22"/>
          <w:lang w:val="fr-CH"/>
        </w:rPr>
        <w:t xml:space="preserve"> des zones humides.</w:t>
      </w:r>
    </w:p>
    <w:p w14:paraId="604A76C5" w14:textId="77777777" w:rsidR="009E49C3" w:rsidRPr="00263800" w:rsidRDefault="009E49C3" w:rsidP="00536607">
      <w:pPr>
        <w:ind w:left="425" w:hanging="425"/>
        <w:jc w:val="left"/>
        <w:rPr>
          <w:rFonts w:asciiTheme="minorHAnsi" w:hAnsiTheme="minorHAnsi" w:cstheme="minorHAnsi"/>
          <w:color w:val="000000"/>
          <w:sz w:val="22"/>
          <w:szCs w:val="22"/>
          <w:lang w:val="fr-CH"/>
        </w:rPr>
      </w:pPr>
    </w:p>
    <w:p w14:paraId="23BB5203" w14:textId="3B354082" w:rsidR="00AF7F61" w:rsidRPr="00263800" w:rsidRDefault="00536607" w:rsidP="00536607">
      <w:pPr>
        <w:ind w:left="425" w:hanging="425"/>
        <w:jc w:val="left"/>
        <w:rPr>
          <w:rFonts w:asciiTheme="minorHAnsi" w:hAnsiTheme="minorHAnsi" w:cstheme="minorHAnsi"/>
          <w:color w:val="000000"/>
          <w:sz w:val="22"/>
          <w:szCs w:val="22"/>
          <w:lang w:val="fr-CH"/>
        </w:rPr>
      </w:pPr>
      <w:r w:rsidRPr="00263800">
        <w:rPr>
          <w:rFonts w:asciiTheme="minorHAnsi" w:hAnsiTheme="minorHAnsi" w:cstheme="minorHAnsi"/>
          <w:color w:val="000000"/>
          <w:sz w:val="22"/>
          <w:szCs w:val="22"/>
          <w:lang w:val="fr-CH"/>
        </w:rPr>
        <w:t>8.</w:t>
      </w:r>
      <w:r w:rsidRPr="00263800">
        <w:rPr>
          <w:rFonts w:asciiTheme="minorHAnsi" w:hAnsiTheme="minorHAnsi" w:cstheme="minorHAnsi"/>
          <w:color w:val="000000"/>
          <w:sz w:val="22"/>
          <w:szCs w:val="22"/>
          <w:lang w:val="fr-CH"/>
        </w:rPr>
        <w:tab/>
      </w:r>
      <w:r w:rsidR="005F2C93">
        <w:rPr>
          <w:rFonts w:asciiTheme="minorHAnsi" w:hAnsiTheme="minorHAnsi" w:cstheme="minorHAnsi"/>
          <w:color w:val="000000"/>
          <w:sz w:val="22"/>
          <w:szCs w:val="22"/>
          <w:lang w:val="fr-CH"/>
        </w:rPr>
        <w:t xml:space="preserve">Le présent rapport présente les progrès des Parties contractantes du point de vue de la réalisation des INZH et de l’appui fourni par le Secrétariat. Il décrit les difficultés et les limites rencontrées par les Parties ainsi que les meilleures pratiques et les enseignements acquis. Le document propose aussi de nouvelles étapes pour continuer de soutenir les Parties contractantes, pour examen par le Comité permanent. </w:t>
      </w:r>
      <w:r w:rsidR="00BF084F" w:rsidRPr="00263800">
        <w:rPr>
          <w:rFonts w:asciiTheme="minorHAnsi" w:hAnsiTheme="minorHAnsi" w:cstheme="minorHAnsi"/>
          <w:color w:val="000000"/>
          <w:sz w:val="22"/>
          <w:szCs w:val="22"/>
          <w:lang w:val="fr-CH"/>
        </w:rPr>
        <w:t xml:space="preserve"> </w:t>
      </w:r>
    </w:p>
    <w:p w14:paraId="64460CE3" w14:textId="77777777" w:rsidR="007F5FF2" w:rsidRPr="00263800" w:rsidRDefault="007F5FF2" w:rsidP="00536607">
      <w:pPr>
        <w:ind w:left="0" w:firstLine="0"/>
        <w:jc w:val="left"/>
        <w:rPr>
          <w:rFonts w:asciiTheme="minorHAnsi" w:hAnsiTheme="minorHAnsi" w:cstheme="minorHAnsi"/>
          <w:sz w:val="22"/>
          <w:highlight w:val="yellow"/>
          <w:lang w:val="fr-CH"/>
        </w:rPr>
      </w:pPr>
    </w:p>
    <w:p w14:paraId="6E694B76" w14:textId="0CA8A3C6" w:rsidR="00A7536D" w:rsidRPr="005F2C93" w:rsidRDefault="00F16FA3" w:rsidP="00536607">
      <w:pPr>
        <w:ind w:left="-11" w:firstLine="0"/>
        <w:jc w:val="left"/>
        <w:rPr>
          <w:rFonts w:asciiTheme="minorHAnsi" w:hAnsiTheme="minorHAnsi" w:cstheme="minorHAnsi"/>
          <w:b/>
          <w:sz w:val="22"/>
          <w:szCs w:val="22"/>
          <w:lang w:val="fr-CH"/>
        </w:rPr>
      </w:pPr>
      <w:r w:rsidRPr="005F2C93">
        <w:rPr>
          <w:rFonts w:asciiTheme="minorHAnsi" w:hAnsiTheme="minorHAnsi" w:cstheme="minorHAnsi"/>
          <w:b/>
          <w:sz w:val="22"/>
          <w:szCs w:val="22"/>
          <w:lang w:val="fr-CH"/>
        </w:rPr>
        <w:t>Progr</w:t>
      </w:r>
      <w:r w:rsidR="005F2C93">
        <w:rPr>
          <w:rFonts w:asciiTheme="minorHAnsi" w:hAnsiTheme="minorHAnsi" w:cstheme="minorHAnsi"/>
          <w:b/>
          <w:sz w:val="22"/>
          <w:szCs w:val="22"/>
          <w:lang w:val="fr-CH"/>
        </w:rPr>
        <w:t xml:space="preserve">ès </w:t>
      </w:r>
      <w:r w:rsidR="00050C11">
        <w:rPr>
          <w:rFonts w:asciiTheme="minorHAnsi" w:hAnsiTheme="minorHAnsi" w:cstheme="minorHAnsi"/>
          <w:b/>
          <w:sz w:val="22"/>
          <w:szCs w:val="22"/>
          <w:lang w:val="fr-CH"/>
        </w:rPr>
        <w:t>d</w:t>
      </w:r>
      <w:r w:rsidR="005F2C93">
        <w:rPr>
          <w:rFonts w:asciiTheme="minorHAnsi" w:hAnsiTheme="minorHAnsi" w:cstheme="minorHAnsi"/>
          <w:b/>
          <w:sz w:val="22"/>
          <w:szCs w:val="22"/>
          <w:lang w:val="fr-CH"/>
        </w:rPr>
        <w:t>’élaboration d’inventaires nationaux des zones humides</w:t>
      </w:r>
      <w:r w:rsidR="003C5D0A">
        <w:rPr>
          <w:rFonts w:asciiTheme="minorHAnsi" w:hAnsiTheme="minorHAnsi" w:cstheme="minorHAnsi"/>
          <w:b/>
          <w:sz w:val="22"/>
          <w:szCs w:val="22"/>
          <w:lang w:val="fr-CH"/>
        </w:rPr>
        <w:t xml:space="preserve"> accomplis par les Parties contractantes </w:t>
      </w:r>
    </w:p>
    <w:p w14:paraId="5880D664" w14:textId="77777777" w:rsidR="00A7536D" w:rsidRPr="005F2C93" w:rsidRDefault="00A7536D" w:rsidP="00536607">
      <w:pPr>
        <w:ind w:left="-11" w:firstLine="0"/>
        <w:jc w:val="left"/>
        <w:rPr>
          <w:rFonts w:asciiTheme="minorHAnsi" w:hAnsiTheme="minorHAnsi" w:cstheme="minorHAnsi"/>
          <w:b/>
          <w:sz w:val="22"/>
          <w:szCs w:val="22"/>
          <w:lang w:val="fr-CH"/>
        </w:rPr>
      </w:pPr>
    </w:p>
    <w:p w14:paraId="61ADA327" w14:textId="4AA6BA07" w:rsidR="00A7536D" w:rsidRPr="005F2C93" w:rsidRDefault="00085362" w:rsidP="003C5D0A">
      <w:pPr>
        <w:ind w:left="425" w:hanging="425"/>
        <w:jc w:val="left"/>
        <w:rPr>
          <w:rFonts w:asciiTheme="minorHAnsi" w:hAnsiTheme="minorHAnsi" w:cstheme="minorHAnsi"/>
          <w:color w:val="000000"/>
          <w:sz w:val="22"/>
          <w:szCs w:val="22"/>
          <w:lang w:val="fr-CH"/>
        </w:rPr>
      </w:pPr>
      <w:r w:rsidRPr="005F2C93">
        <w:rPr>
          <w:rFonts w:asciiTheme="minorHAnsi" w:hAnsiTheme="minorHAnsi" w:cstheme="minorHAnsi"/>
          <w:color w:val="000000"/>
          <w:sz w:val="22"/>
          <w:szCs w:val="22"/>
          <w:lang w:val="fr-CH"/>
        </w:rPr>
        <w:t>9.</w:t>
      </w:r>
      <w:r w:rsidRPr="005F2C93">
        <w:rPr>
          <w:rFonts w:asciiTheme="minorHAnsi" w:hAnsiTheme="minorHAnsi" w:cstheme="minorHAnsi"/>
          <w:color w:val="000000"/>
          <w:sz w:val="22"/>
          <w:szCs w:val="22"/>
          <w:lang w:val="fr-CH"/>
        </w:rPr>
        <w:tab/>
      </w:r>
      <w:r w:rsidR="005F2C93">
        <w:rPr>
          <w:rFonts w:asciiTheme="minorHAnsi" w:hAnsiTheme="minorHAnsi" w:cstheme="minorHAnsi"/>
          <w:color w:val="000000"/>
          <w:sz w:val="22"/>
          <w:szCs w:val="22"/>
          <w:lang w:val="fr-CH"/>
        </w:rPr>
        <w:t xml:space="preserve">L’INZH est un outil fondamental pour l’élaboration et l’application de politiques et d’actions efficaces en vue de réaliser la mission de la Convention : la conservation et l’utilisation rationnelle de toutes les zones humides en tant que contribution à la réalisation du </w:t>
      </w:r>
      <w:r w:rsidR="005F2C93">
        <w:rPr>
          <w:rFonts w:asciiTheme="minorHAnsi" w:hAnsiTheme="minorHAnsi" w:cstheme="minorHAnsi"/>
          <w:color w:val="000000"/>
          <w:sz w:val="22"/>
          <w:szCs w:val="22"/>
          <w:lang w:val="fr-CH"/>
        </w:rPr>
        <w:lastRenderedPageBreak/>
        <w:t xml:space="preserve">développement durable. Sans INZH, il est difficile pour les Parties contractantes de garantir une gestion efficace de leurs zones humides. Comme indiqué dans l’analyse des Rapports nationaux figurant dans le document </w:t>
      </w:r>
      <w:r w:rsidR="00354B3E" w:rsidRPr="005F2C93">
        <w:rPr>
          <w:rFonts w:asciiTheme="minorHAnsi" w:hAnsiTheme="minorHAnsi" w:cstheme="minorHAnsi"/>
          <w:color w:val="000000"/>
          <w:sz w:val="22"/>
          <w:szCs w:val="22"/>
          <w:lang w:val="fr-CH"/>
        </w:rPr>
        <w:t xml:space="preserve">COP13 Doc.11.1 </w:t>
      </w:r>
      <w:r w:rsidR="003C5D0A" w:rsidRPr="003C5D0A">
        <w:rPr>
          <w:rFonts w:asciiTheme="minorHAnsi" w:hAnsiTheme="minorHAnsi" w:cstheme="minorHAnsi"/>
          <w:i/>
          <w:color w:val="000000"/>
          <w:sz w:val="22"/>
          <w:szCs w:val="22"/>
          <w:lang w:val="fr-CH"/>
        </w:rPr>
        <w:t>Rapport de la Secrétaire générale sur l’application de la Convention</w:t>
      </w:r>
      <w:r w:rsidR="003C5D0A">
        <w:rPr>
          <w:rFonts w:asciiTheme="minorHAnsi" w:hAnsiTheme="minorHAnsi" w:cstheme="minorHAnsi"/>
          <w:i/>
          <w:color w:val="000000"/>
          <w:sz w:val="22"/>
          <w:szCs w:val="22"/>
          <w:lang w:val="fr-CH"/>
        </w:rPr>
        <w:t xml:space="preserve"> </w:t>
      </w:r>
      <w:r w:rsidR="003C5D0A" w:rsidRPr="003C5D0A">
        <w:rPr>
          <w:rFonts w:asciiTheme="minorHAnsi" w:hAnsiTheme="minorHAnsi" w:cstheme="minorHAnsi"/>
          <w:i/>
          <w:color w:val="000000"/>
          <w:sz w:val="22"/>
          <w:szCs w:val="22"/>
          <w:lang w:val="fr-CH"/>
        </w:rPr>
        <w:t>:</w:t>
      </w:r>
      <w:r w:rsidR="003C5D0A">
        <w:rPr>
          <w:rFonts w:asciiTheme="minorHAnsi" w:hAnsiTheme="minorHAnsi" w:cstheme="minorHAnsi"/>
          <w:i/>
          <w:color w:val="000000"/>
          <w:sz w:val="22"/>
          <w:szCs w:val="22"/>
          <w:lang w:val="fr-CH"/>
        </w:rPr>
        <w:t xml:space="preserve"> </w:t>
      </w:r>
      <w:r w:rsidR="003C5D0A" w:rsidRPr="003C5D0A">
        <w:rPr>
          <w:rFonts w:asciiTheme="minorHAnsi" w:hAnsiTheme="minorHAnsi" w:cstheme="minorHAnsi"/>
          <w:i/>
          <w:color w:val="000000"/>
          <w:sz w:val="22"/>
          <w:szCs w:val="22"/>
          <w:lang w:val="fr-CH"/>
        </w:rPr>
        <w:t>Application au niveau mondial</w:t>
      </w:r>
      <w:r w:rsidR="003C5D0A">
        <w:rPr>
          <w:rFonts w:asciiTheme="minorHAnsi" w:hAnsiTheme="minorHAnsi" w:cstheme="minorHAnsi"/>
          <w:i/>
          <w:color w:val="000000"/>
          <w:sz w:val="22"/>
          <w:szCs w:val="22"/>
          <w:lang w:val="fr-CH"/>
        </w:rPr>
        <w:t xml:space="preserve">, </w:t>
      </w:r>
      <w:r w:rsidR="00354B3E" w:rsidRPr="005F2C93">
        <w:rPr>
          <w:rFonts w:asciiTheme="minorHAnsi" w:hAnsiTheme="minorHAnsi" w:cstheme="minorHAnsi"/>
          <w:color w:val="000000"/>
          <w:sz w:val="22"/>
          <w:szCs w:val="22"/>
          <w:lang w:val="fr-CH"/>
        </w:rPr>
        <w:t>pr</w:t>
      </w:r>
      <w:r w:rsidR="00A52DB5">
        <w:rPr>
          <w:rFonts w:asciiTheme="minorHAnsi" w:hAnsiTheme="minorHAnsi" w:cstheme="minorHAnsi"/>
          <w:color w:val="000000"/>
          <w:sz w:val="22"/>
          <w:szCs w:val="22"/>
          <w:lang w:val="fr-CH"/>
        </w:rPr>
        <w:t xml:space="preserve">ésenté à la </w:t>
      </w:r>
      <w:r w:rsidR="00A7536D" w:rsidRPr="005F2C93">
        <w:rPr>
          <w:rFonts w:asciiTheme="minorHAnsi" w:hAnsiTheme="minorHAnsi" w:cstheme="minorHAnsi"/>
          <w:color w:val="000000"/>
          <w:sz w:val="22"/>
          <w:szCs w:val="22"/>
          <w:lang w:val="fr-CH"/>
        </w:rPr>
        <w:t xml:space="preserve">COP13, </w:t>
      </w:r>
      <w:r w:rsidR="00A52DB5">
        <w:rPr>
          <w:rFonts w:asciiTheme="minorHAnsi" w:hAnsiTheme="minorHAnsi" w:cstheme="minorHAnsi"/>
          <w:color w:val="000000"/>
          <w:sz w:val="22"/>
          <w:szCs w:val="22"/>
          <w:lang w:val="fr-CH"/>
        </w:rPr>
        <w:t>les progrès de</w:t>
      </w:r>
      <w:r w:rsidR="003C5D0A">
        <w:rPr>
          <w:rFonts w:asciiTheme="minorHAnsi" w:hAnsiTheme="minorHAnsi" w:cstheme="minorHAnsi"/>
          <w:color w:val="000000"/>
          <w:sz w:val="22"/>
          <w:szCs w:val="22"/>
          <w:lang w:val="fr-CH"/>
        </w:rPr>
        <w:t>s</w:t>
      </w:r>
      <w:r w:rsidR="00A52DB5">
        <w:rPr>
          <w:rFonts w:asciiTheme="minorHAnsi" w:hAnsiTheme="minorHAnsi" w:cstheme="minorHAnsi"/>
          <w:color w:val="000000"/>
          <w:sz w:val="22"/>
          <w:szCs w:val="22"/>
          <w:lang w:val="fr-CH"/>
        </w:rPr>
        <w:t xml:space="preserve"> inventaires </w:t>
      </w:r>
      <w:r w:rsidR="003C5D0A">
        <w:rPr>
          <w:rFonts w:asciiTheme="minorHAnsi" w:hAnsiTheme="minorHAnsi" w:cstheme="minorHAnsi"/>
          <w:color w:val="000000"/>
          <w:sz w:val="22"/>
          <w:szCs w:val="22"/>
          <w:lang w:val="fr-CH"/>
        </w:rPr>
        <w:t xml:space="preserve">nationaux </w:t>
      </w:r>
      <w:r w:rsidR="00A52DB5">
        <w:rPr>
          <w:rFonts w:asciiTheme="minorHAnsi" w:hAnsiTheme="minorHAnsi" w:cstheme="minorHAnsi"/>
          <w:color w:val="000000"/>
          <w:sz w:val="22"/>
          <w:szCs w:val="22"/>
          <w:lang w:val="fr-CH"/>
        </w:rPr>
        <w:t xml:space="preserve">des zones humides sont fondamentaux pour la réalisation des ODD. Selon les 140 Rapports nationaux reçus pour la COP13, 61 Parties contractantes ont terminé leur INZH, 22 n’ont pas encore commencé, 40 indiquent des progrès et 14 prévoient d’en commencer un. Ces conclusions sont semblables à celles de la COP12, en ce que 61 Parties avaient terminé un inventaire, ce qui indique qu’il faut redoubler d’efforts pour </w:t>
      </w:r>
      <w:r w:rsidR="003C5D0A">
        <w:rPr>
          <w:rFonts w:asciiTheme="minorHAnsi" w:hAnsiTheme="minorHAnsi" w:cstheme="minorHAnsi"/>
          <w:color w:val="000000"/>
          <w:sz w:val="22"/>
          <w:szCs w:val="22"/>
          <w:lang w:val="fr-CH"/>
        </w:rPr>
        <w:t xml:space="preserve">aider </w:t>
      </w:r>
      <w:r w:rsidR="00A52DB5">
        <w:rPr>
          <w:rFonts w:asciiTheme="minorHAnsi" w:hAnsiTheme="minorHAnsi" w:cstheme="minorHAnsi"/>
          <w:color w:val="000000"/>
          <w:sz w:val="22"/>
          <w:szCs w:val="22"/>
          <w:lang w:val="fr-CH"/>
        </w:rPr>
        <w:t xml:space="preserve">les Parties contractantes </w:t>
      </w:r>
      <w:r w:rsidR="003C5D0A">
        <w:rPr>
          <w:rFonts w:asciiTheme="minorHAnsi" w:hAnsiTheme="minorHAnsi" w:cstheme="minorHAnsi"/>
          <w:color w:val="000000"/>
          <w:sz w:val="22"/>
          <w:szCs w:val="22"/>
          <w:lang w:val="fr-CH"/>
        </w:rPr>
        <w:t xml:space="preserve">à réaliser </w:t>
      </w:r>
      <w:r w:rsidR="00A52DB5">
        <w:rPr>
          <w:rFonts w:asciiTheme="minorHAnsi" w:hAnsiTheme="minorHAnsi" w:cstheme="minorHAnsi"/>
          <w:color w:val="000000"/>
          <w:sz w:val="22"/>
          <w:szCs w:val="22"/>
          <w:lang w:val="fr-CH"/>
        </w:rPr>
        <w:t>un INZH.</w:t>
      </w:r>
      <w:r w:rsidR="00354B3E" w:rsidRPr="005F2C93">
        <w:rPr>
          <w:rFonts w:asciiTheme="minorHAnsi" w:hAnsiTheme="minorHAnsi" w:cstheme="minorHAnsi"/>
          <w:color w:val="000000"/>
          <w:sz w:val="22"/>
          <w:szCs w:val="22"/>
          <w:lang w:val="fr-CH"/>
        </w:rPr>
        <w:t xml:space="preserve">  </w:t>
      </w:r>
    </w:p>
    <w:p w14:paraId="5D58ED6D" w14:textId="77777777" w:rsidR="00A7536D" w:rsidRPr="005F2C93" w:rsidRDefault="00A7536D" w:rsidP="00536607">
      <w:pPr>
        <w:ind w:left="-11" w:firstLine="0"/>
        <w:jc w:val="left"/>
        <w:rPr>
          <w:rFonts w:asciiTheme="minorHAnsi" w:hAnsiTheme="minorHAnsi" w:cstheme="minorHAnsi"/>
          <w:b/>
          <w:sz w:val="22"/>
          <w:szCs w:val="22"/>
          <w:lang w:val="fr-CH"/>
        </w:rPr>
      </w:pPr>
    </w:p>
    <w:p w14:paraId="37995BC5" w14:textId="31FB03E6" w:rsidR="00A7536D" w:rsidRPr="005F2C93" w:rsidRDefault="00A52DB5" w:rsidP="00B44154">
      <w:pPr>
        <w:keepNext/>
        <w:ind w:left="0" w:firstLine="0"/>
        <w:jc w:val="left"/>
        <w:rPr>
          <w:rFonts w:asciiTheme="minorHAnsi" w:hAnsiTheme="minorHAnsi" w:cstheme="minorHAnsi"/>
          <w:b/>
          <w:sz w:val="22"/>
          <w:szCs w:val="22"/>
          <w:lang w:val="fr-CH"/>
        </w:rPr>
      </w:pPr>
      <w:r>
        <w:rPr>
          <w:rFonts w:asciiTheme="minorHAnsi" w:hAnsiTheme="minorHAnsi" w:cstheme="minorHAnsi"/>
          <w:b/>
          <w:sz w:val="22"/>
          <w:szCs w:val="22"/>
          <w:lang w:val="fr-CH"/>
        </w:rPr>
        <w:t xml:space="preserve">Appui du Secrétariat aux Parties contractantes </w:t>
      </w:r>
      <w:r w:rsidR="00DD2216">
        <w:rPr>
          <w:rFonts w:asciiTheme="minorHAnsi" w:hAnsiTheme="minorHAnsi" w:cstheme="minorHAnsi"/>
          <w:b/>
          <w:sz w:val="22"/>
          <w:szCs w:val="22"/>
          <w:lang w:val="fr-CH"/>
        </w:rPr>
        <w:t>pour les aider à</w:t>
      </w:r>
      <w:r>
        <w:rPr>
          <w:rFonts w:asciiTheme="minorHAnsi" w:hAnsiTheme="minorHAnsi" w:cstheme="minorHAnsi"/>
          <w:b/>
          <w:sz w:val="22"/>
          <w:szCs w:val="22"/>
          <w:lang w:val="fr-CH"/>
        </w:rPr>
        <w:t xml:space="preserve"> réaliser un </w:t>
      </w:r>
      <w:r w:rsidR="00DD2216">
        <w:rPr>
          <w:rFonts w:asciiTheme="minorHAnsi" w:hAnsiTheme="minorHAnsi" w:cstheme="minorHAnsi"/>
          <w:b/>
          <w:sz w:val="22"/>
          <w:szCs w:val="22"/>
          <w:lang w:val="fr-CH"/>
        </w:rPr>
        <w:t>I</w:t>
      </w:r>
      <w:r>
        <w:rPr>
          <w:rFonts w:asciiTheme="minorHAnsi" w:hAnsiTheme="minorHAnsi" w:cstheme="minorHAnsi"/>
          <w:b/>
          <w:sz w:val="22"/>
          <w:szCs w:val="22"/>
          <w:lang w:val="fr-CH"/>
        </w:rPr>
        <w:t xml:space="preserve">nventaire national des zones humides </w:t>
      </w:r>
    </w:p>
    <w:p w14:paraId="116260FF" w14:textId="77777777" w:rsidR="00AF7F61" w:rsidRPr="005F2C93" w:rsidRDefault="00AF7F61" w:rsidP="005D424B">
      <w:pPr>
        <w:keepNext/>
        <w:ind w:left="0" w:firstLine="0"/>
        <w:jc w:val="left"/>
        <w:rPr>
          <w:rFonts w:asciiTheme="minorHAnsi" w:hAnsiTheme="minorHAnsi" w:cstheme="minorHAnsi"/>
          <w:sz w:val="22"/>
          <w:highlight w:val="yellow"/>
          <w:lang w:val="fr-CH"/>
        </w:rPr>
      </w:pPr>
    </w:p>
    <w:p w14:paraId="062FD49B" w14:textId="4553BB24" w:rsidR="00383801" w:rsidRPr="005F2C93" w:rsidRDefault="00085362" w:rsidP="00085362">
      <w:pPr>
        <w:ind w:left="425" w:hanging="425"/>
        <w:jc w:val="left"/>
        <w:rPr>
          <w:rFonts w:asciiTheme="minorHAnsi" w:hAnsiTheme="minorHAnsi" w:cstheme="minorHAnsi"/>
          <w:color w:val="000000"/>
          <w:sz w:val="22"/>
          <w:szCs w:val="22"/>
          <w:lang w:val="fr-CH"/>
        </w:rPr>
      </w:pPr>
      <w:r w:rsidRPr="005F2C93">
        <w:rPr>
          <w:rFonts w:asciiTheme="minorHAnsi" w:hAnsiTheme="minorHAnsi" w:cstheme="minorHAnsi"/>
          <w:color w:val="000000"/>
          <w:sz w:val="22"/>
          <w:szCs w:val="22"/>
          <w:lang w:val="fr-CH"/>
        </w:rPr>
        <w:t>10.</w:t>
      </w:r>
      <w:r w:rsidRPr="005F2C93">
        <w:rPr>
          <w:rFonts w:asciiTheme="minorHAnsi" w:hAnsiTheme="minorHAnsi" w:cstheme="minorHAnsi"/>
          <w:color w:val="000000"/>
          <w:sz w:val="22"/>
          <w:szCs w:val="22"/>
          <w:lang w:val="fr-CH"/>
        </w:rPr>
        <w:tab/>
      </w:r>
      <w:r w:rsidR="00A52DB5">
        <w:rPr>
          <w:rFonts w:asciiTheme="minorHAnsi" w:hAnsiTheme="minorHAnsi" w:cstheme="minorHAnsi"/>
          <w:color w:val="000000"/>
          <w:sz w:val="22"/>
          <w:szCs w:val="22"/>
          <w:lang w:val="fr-CH"/>
        </w:rPr>
        <w:t xml:space="preserve">Conformément à la </w:t>
      </w:r>
      <w:r w:rsidR="007845FA" w:rsidRPr="005F2C93">
        <w:rPr>
          <w:rFonts w:asciiTheme="minorHAnsi" w:hAnsiTheme="minorHAnsi" w:cstheme="minorHAnsi"/>
          <w:color w:val="000000"/>
          <w:sz w:val="22"/>
          <w:szCs w:val="22"/>
          <w:lang w:val="fr-CH"/>
        </w:rPr>
        <w:t>R</w:t>
      </w:r>
      <w:r w:rsidR="00A52DB5">
        <w:rPr>
          <w:rFonts w:asciiTheme="minorHAnsi" w:hAnsiTheme="minorHAnsi" w:cstheme="minorHAnsi"/>
          <w:color w:val="000000"/>
          <w:sz w:val="22"/>
          <w:szCs w:val="22"/>
          <w:lang w:val="fr-CH"/>
        </w:rPr>
        <w:t>é</w:t>
      </w:r>
      <w:r w:rsidR="007845FA" w:rsidRPr="005F2C93">
        <w:rPr>
          <w:rFonts w:asciiTheme="minorHAnsi" w:hAnsiTheme="minorHAnsi" w:cstheme="minorHAnsi"/>
          <w:color w:val="000000"/>
          <w:sz w:val="22"/>
          <w:szCs w:val="22"/>
          <w:lang w:val="fr-CH"/>
        </w:rPr>
        <w:t xml:space="preserve">solution XIII.7 </w:t>
      </w:r>
      <w:r w:rsidR="00A52DB5">
        <w:rPr>
          <w:rFonts w:asciiTheme="minorHAnsi" w:hAnsiTheme="minorHAnsi" w:cstheme="minorHAnsi"/>
          <w:color w:val="000000"/>
          <w:sz w:val="22"/>
          <w:szCs w:val="22"/>
          <w:lang w:val="fr-CH"/>
        </w:rPr>
        <w:t xml:space="preserve">et à la </w:t>
      </w:r>
      <w:r w:rsidR="00AA551A" w:rsidRPr="008D4F7C">
        <w:rPr>
          <w:rFonts w:asciiTheme="minorHAnsi" w:hAnsiTheme="minorHAnsi" w:cstheme="minorHAnsi"/>
          <w:color w:val="000000"/>
          <w:sz w:val="22"/>
          <w:szCs w:val="22"/>
          <w:lang w:val="fr-CH"/>
        </w:rPr>
        <w:t>D</w:t>
      </w:r>
      <w:r w:rsidR="00A52DB5" w:rsidRPr="008D4F7C">
        <w:rPr>
          <w:rFonts w:asciiTheme="minorHAnsi" w:hAnsiTheme="minorHAnsi" w:cstheme="minorHAnsi"/>
          <w:color w:val="000000"/>
          <w:sz w:val="22"/>
          <w:szCs w:val="22"/>
          <w:lang w:val="fr-CH"/>
        </w:rPr>
        <w:t>é</w:t>
      </w:r>
      <w:r w:rsidR="00AA551A" w:rsidRPr="008D4F7C">
        <w:rPr>
          <w:rFonts w:asciiTheme="minorHAnsi" w:hAnsiTheme="minorHAnsi" w:cstheme="minorHAnsi"/>
          <w:color w:val="000000"/>
          <w:sz w:val="22"/>
          <w:szCs w:val="22"/>
          <w:lang w:val="fr-CH"/>
        </w:rPr>
        <w:t xml:space="preserve">cision </w:t>
      </w:r>
      <w:r w:rsidR="00496803" w:rsidRPr="008D4F7C">
        <w:rPr>
          <w:rFonts w:asciiTheme="minorHAnsi" w:hAnsiTheme="minorHAnsi" w:cstheme="minorHAnsi"/>
          <w:color w:val="000000"/>
          <w:sz w:val="22"/>
          <w:szCs w:val="22"/>
          <w:lang w:val="fr-CH"/>
        </w:rPr>
        <w:t>SC57</w:t>
      </w:r>
      <w:r w:rsidR="00AA551A" w:rsidRPr="008D4F7C">
        <w:rPr>
          <w:rFonts w:asciiTheme="minorHAnsi" w:hAnsiTheme="minorHAnsi" w:cstheme="minorHAnsi"/>
          <w:color w:val="000000"/>
          <w:sz w:val="22"/>
          <w:szCs w:val="22"/>
          <w:lang w:val="fr-CH"/>
        </w:rPr>
        <w:t>-</w:t>
      </w:r>
      <w:r w:rsidR="00496803" w:rsidRPr="008D4F7C">
        <w:rPr>
          <w:rFonts w:asciiTheme="minorHAnsi" w:hAnsiTheme="minorHAnsi" w:cstheme="minorHAnsi"/>
          <w:color w:val="000000"/>
          <w:sz w:val="22"/>
          <w:szCs w:val="22"/>
          <w:lang w:val="fr-CH"/>
        </w:rPr>
        <w:t>47</w:t>
      </w:r>
      <w:r w:rsidR="00354B3E" w:rsidRPr="008D4F7C">
        <w:rPr>
          <w:rFonts w:asciiTheme="minorHAnsi" w:hAnsiTheme="minorHAnsi" w:cstheme="minorHAnsi"/>
          <w:color w:val="000000"/>
          <w:sz w:val="22"/>
          <w:szCs w:val="22"/>
          <w:lang w:val="fr-CH"/>
        </w:rPr>
        <w:t xml:space="preserve"> </w:t>
      </w:r>
      <w:r w:rsidR="00A52DB5" w:rsidRPr="008D4F7C">
        <w:rPr>
          <w:rFonts w:asciiTheme="minorHAnsi" w:hAnsiTheme="minorHAnsi" w:cstheme="minorHAnsi"/>
          <w:color w:val="000000"/>
          <w:sz w:val="22"/>
          <w:szCs w:val="22"/>
          <w:lang w:val="fr-CH"/>
        </w:rPr>
        <w:t>sur</w:t>
      </w:r>
      <w:r w:rsidR="00A52DB5">
        <w:rPr>
          <w:rFonts w:asciiTheme="minorHAnsi" w:hAnsiTheme="minorHAnsi" w:cstheme="minorHAnsi"/>
          <w:color w:val="000000"/>
          <w:sz w:val="22"/>
          <w:szCs w:val="22"/>
          <w:lang w:val="fr-CH"/>
        </w:rPr>
        <w:t xml:space="preserve"> les inventaires des zones humides, le Secrétariat travaille dans trois domaines principaux en vue d’aider les Parties contractantes, avec l’appui </w:t>
      </w:r>
      <w:r w:rsidR="00DD2216">
        <w:rPr>
          <w:rFonts w:asciiTheme="minorHAnsi" w:hAnsiTheme="minorHAnsi" w:cstheme="minorHAnsi"/>
          <w:color w:val="000000"/>
          <w:sz w:val="22"/>
          <w:szCs w:val="22"/>
          <w:lang w:val="fr-CH"/>
        </w:rPr>
        <w:t>de</w:t>
      </w:r>
      <w:r w:rsidR="00A52DB5">
        <w:rPr>
          <w:rFonts w:asciiTheme="minorHAnsi" w:hAnsiTheme="minorHAnsi" w:cstheme="minorHAnsi"/>
          <w:color w:val="000000"/>
          <w:sz w:val="22"/>
          <w:szCs w:val="22"/>
          <w:lang w:val="fr-CH"/>
        </w:rPr>
        <w:t xml:space="preserve"> </w:t>
      </w:r>
      <w:r w:rsidR="00DD2216">
        <w:rPr>
          <w:rFonts w:asciiTheme="minorHAnsi" w:hAnsiTheme="minorHAnsi" w:cstheme="minorHAnsi"/>
          <w:color w:val="000000"/>
          <w:sz w:val="22"/>
          <w:szCs w:val="22"/>
          <w:lang w:val="fr-CH"/>
        </w:rPr>
        <w:t>services consultatifs, depuis</w:t>
      </w:r>
      <w:r w:rsidR="00A52DB5">
        <w:rPr>
          <w:rFonts w:asciiTheme="minorHAnsi" w:hAnsiTheme="minorHAnsi" w:cstheme="minorHAnsi"/>
          <w:color w:val="000000"/>
          <w:sz w:val="22"/>
          <w:szCs w:val="22"/>
          <w:lang w:val="fr-CH"/>
        </w:rPr>
        <w:t xml:space="preserve"> juillet 2019 :</w:t>
      </w:r>
    </w:p>
    <w:p w14:paraId="73FBFA19" w14:textId="77777777" w:rsidR="00496803" w:rsidRPr="005F2C93" w:rsidRDefault="00496803" w:rsidP="00536607">
      <w:pPr>
        <w:jc w:val="left"/>
        <w:rPr>
          <w:sz w:val="22"/>
          <w:szCs w:val="22"/>
          <w:lang w:val="fr-CH"/>
        </w:rPr>
      </w:pPr>
    </w:p>
    <w:p w14:paraId="24B68F57" w14:textId="01A13E81" w:rsidR="00383801" w:rsidRPr="005F2C93" w:rsidRDefault="00904FB7" w:rsidP="00085362">
      <w:pPr>
        <w:ind w:left="850" w:hanging="425"/>
        <w:jc w:val="left"/>
        <w:rPr>
          <w:rFonts w:ascii="Calibri" w:hAnsi="Calibri" w:cs="Calibri"/>
          <w:sz w:val="22"/>
          <w:szCs w:val="22"/>
          <w:lang w:val="fr-CH"/>
        </w:rPr>
      </w:pPr>
      <w:r w:rsidRPr="005F2C93">
        <w:rPr>
          <w:rFonts w:ascii="Calibri" w:hAnsi="Calibri" w:cs="Calibri"/>
          <w:sz w:val="22"/>
          <w:szCs w:val="22"/>
          <w:lang w:val="fr-CH"/>
        </w:rPr>
        <w:t>a</w:t>
      </w:r>
      <w:r w:rsidR="005F2C93">
        <w:rPr>
          <w:rFonts w:ascii="Calibri" w:hAnsi="Calibri" w:cs="Calibri"/>
          <w:sz w:val="22"/>
          <w:szCs w:val="22"/>
          <w:lang w:val="fr-CH"/>
        </w:rPr>
        <w:t>)</w:t>
      </w:r>
      <w:r w:rsidR="00085362" w:rsidRPr="005F2C93">
        <w:rPr>
          <w:rFonts w:ascii="Calibri" w:hAnsi="Calibri" w:cs="Calibri"/>
          <w:sz w:val="22"/>
          <w:szCs w:val="22"/>
          <w:lang w:val="fr-CH"/>
        </w:rPr>
        <w:tab/>
      </w:r>
      <w:r w:rsidR="00A52DB5" w:rsidRPr="00BB1188">
        <w:rPr>
          <w:rFonts w:ascii="Calibri" w:hAnsi="Calibri" w:cs="Calibri"/>
          <w:sz w:val="22"/>
          <w:szCs w:val="22"/>
          <w:lang w:val="fr-CH"/>
        </w:rPr>
        <w:t xml:space="preserve">Examen par le Secrétariat </w:t>
      </w:r>
      <w:r w:rsidR="00664376" w:rsidRPr="00BB1188">
        <w:rPr>
          <w:rFonts w:ascii="Calibri" w:hAnsi="Calibri" w:cs="Calibri"/>
          <w:sz w:val="22"/>
          <w:szCs w:val="22"/>
          <w:lang w:val="fr-CH"/>
        </w:rPr>
        <w:t xml:space="preserve">des </w:t>
      </w:r>
      <w:r w:rsidR="00BB1188" w:rsidRPr="00BB1188">
        <w:rPr>
          <w:rFonts w:ascii="Calibri" w:hAnsi="Calibri" w:cs="Calibri"/>
          <w:sz w:val="22"/>
          <w:szCs w:val="22"/>
          <w:lang w:val="fr-CH"/>
        </w:rPr>
        <w:t>données des</w:t>
      </w:r>
      <w:r w:rsidR="00664376" w:rsidRPr="00BB1188">
        <w:rPr>
          <w:rFonts w:ascii="Calibri" w:hAnsi="Calibri" w:cs="Calibri"/>
          <w:sz w:val="22"/>
          <w:szCs w:val="22"/>
          <w:lang w:val="fr-CH"/>
        </w:rPr>
        <w:t xml:space="preserve"> Rapports nationaux soumis par les Parties contractantes à la </w:t>
      </w:r>
      <w:r w:rsidR="00383801" w:rsidRPr="00BB1188">
        <w:rPr>
          <w:rFonts w:ascii="Calibri" w:hAnsi="Calibri" w:cs="Calibri"/>
          <w:sz w:val="22"/>
          <w:szCs w:val="22"/>
          <w:lang w:val="fr-CH"/>
        </w:rPr>
        <w:t xml:space="preserve">COP13 </w:t>
      </w:r>
      <w:r w:rsidR="00664376" w:rsidRPr="00BB1188">
        <w:rPr>
          <w:rFonts w:ascii="Calibri" w:hAnsi="Calibri" w:cs="Calibri"/>
          <w:sz w:val="22"/>
          <w:szCs w:val="22"/>
          <w:lang w:val="fr-CH"/>
        </w:rPr>
        <w:t xml:space="preserve">sur les inventaires des zones humides et l’étendue des zones humides qui contribuent à l’ODD 6 </w:t>
      </w:r>
      <w:r w:rsidR="00383801" w:rsidRPr="00BB1188">
        <w:rPr>
          <w:rFonts w:ascii="Calibri" w:hAnsi="Calibri" w:cs="Calibri"/>
          <w:sz w:val="22"/>
          <w:szCs w:val="22"/>
          <w:lang w:val="fr-CH"/>
        </w:rPr>
        <w:t>(</w:t>
      </w:r>
      <w:r w:rsidR="00664376" w:rsidRPr="00BB1188">
        <w:rPr>
          <w:rFonts w:ascii="Calibri" w:hAnsi="Calibri" w:cs="Calibri"/>
          <w:sz w:val="22"/>
          <w:szCs w:val="22"/>
          <w:lang w:val="fr-CH"/>
        </w:rPr>
        <w:t>Indicateur </w:t>
      </w:r>
      <w:r w:rsidR="00383801" w:rsidRPr="00BB1188">
        <w:rPr>
          <w:rFonts w:ascii="Calibri" w:hAnsi="Calibri" w:cs="Calibri"/>
          <w:sz w:val="22"/>
          <w:szCs w:val="22"/>
          <w:lang w:val="fr-CH"/>
        </w:rPr>
        <w:t>6.6.1)</w:t>
      </w:r>
      <w:r w:rsidR="0068093C">
        <w:rPr>
          <w:rFonts w:ascii="Calibri" w:hAnsi="Calibri" w:cs="Calibri"/>
          <w:sz w:val="22"/>
          <w:szCs w:val="22"/>
          <w:lang w:val="fr-CH"/>
        </w:rPr>
        <w:t> ; cet examen est</w:t>
      </w:r>
      <w:r w:rsidR="00F426ED" w:rsidRPr="00BB1188">
        <w:rPr>
          <w:rFonts w:ascii="Calibri" w:hAnsi="Calibri" w:cs="Calibri"/>
          <w:sz w:val="22"/>
          <w:szCs w:val="22"/>
          <w:lang w:val="fr-CH"/>
        </w:rPr>
        <w:t xml:space="preserve"> </w:t>
      </w:r>
      <w:r w:rsidR="00664376" w:rsidRPr="00BB1188">
        <w:rPr>
          <w:rFonts w:ascii="Calibri" w:hAnsi="Calibri" w:cs="Calibri"/>
          <w:sz w:val="22"/>
          <w:szCs w:val="22"/>
          <w:lang w:val="fr-CH"/>
        </w:rPr>
        <w:t xml:space="preserve">à terminer et </w:t>
      </w:r>
      <w:r w:rsidR="0068093C">
        <w:rPr>
          <w:rFonts w:ascii="Calibri" w:hAnsi="Calibri" w:cs="Calibri"/>
          <w:sz w:val="22"/>
          <w:szCs w:val="22"/>
          <w:lang w:val="fr-CH"/>
        </w:rPr>
        <w:t>affiner</w:t>
      </w:r>
      <w:r w:rsidR="00664376" w:rsidRPr="00BB1188">
        <w:rPr>
          <w:rFonts w:ascii="Calibri" w:hAnsi="Calibri" w:cs="Calibri"/>
          <w:sz w:val="22"/>
          <w:szCs w:val="22"/>
          <w:lang w:val="fr-CH"/>
        </w:rPr>
        <w:t xml:space="preserve"> </w:t>
      </w:r>
      <w:r w:rsidR="00BB1188" w:rsidRPr="00BB1188">
        <w:rPr>
          <w:rFonts w:ascii="Calibri" w:hAnsi="Calibri" w:cs="Calibri"/>
          <w:sz w:val="22"/>
          <w:szCs w:val="22"/>
          <w:lang w:val="fr-CH"/>
        </w:rPr>
        <w:t xml:space="preserve">avant </w:t>
      </w:r>
      <w:r w:rsidR="00664376" w:rsidRPr="00BB1188">
        <w:rPr>
          <w:rFonts w:ascii="Calibri" w:hAnsi="Calibri" w:cs="Calibri"/>
          <w:sz w:val="22"/>
          <w:szCs w:val="22"/>
          <w:lang w:val="fr-CH"/>
        </w:rPr>
        <w:t>saisi</w:t>
      </w:r>
      <w:r w:rsidR="00BB1188" w:rsidRPr="00BB1188">
        <w:rPr>
          <w:rFonts w:ascii="Calibri" w:hAnsi="Calibri" w:cs="Calibri"/>
          <w:sz w:val="22"/>
          <w:szCs w:val="22"/>
          <w:lang w:val="fr-CH"/>
        </w:rPr>
        <w:t>e</w:t>
      </w:r>
      <w:r w:rsidR="0068093C">
        <w:rPr>
          <w:rFonts w:ascii="Calibri" w:hAnsi="Calibri" w:cs="Calibri"/>
          <w:sz w:val="22"/>
          <w:szCs w:val="22"/>
          <w:lang w:val="fr-CH"/>
        </w:rPr>
        <w:t xml:space="preserve"> </w:t>
      </w:r>
      <w:r w:rsidR="00664376" w:rsidRPr="00BB1188">
        <w:rPr>
          <w:rFonts w:ascii="Calibri" w:hAnsi="Calibri" w:cs="Calibri"/>
          <w:sz w:val="22"/>
          <w:szCs w:val="22"/>
          <w:lang w:val="fr-CH"/>
        </w:rPr>
        <w:t>dans la base de données mondiale sur les ODD hébergée par la Division de la statistique de l’ONU.</w:t>
      </w:r>
    </w:p>
    <w:p w14:paraId="0AA5B2A2" w14:textId="77777777" w:rsidR="00085362" w:rsidRPr="005F2C93" w:rsidRDefault="00085362" w:rsidP="00085362">
      <w:pPr>
        <w:ind w:left="850" w:hanging="425"/>
        <w:jc w:val="left"/>
        <w:rPr>
          <w:sz w:val="22"/>
          <w:szCs w:val="22"/>
          <w:lang w:val="fr-CH"/>
        </w:rPr>
      </w:pPr>
    </w:p>
    <w:p w14:paraId="11C2A2E8" w14:textId="3F368D5D" w:rsidR="00383801" w:rsidRPr="005F2C93" w:rsidRDefault="00904FB7" w:rsidP="00085362">
      <w:pPr>
        <w:ind w:left="850" w:hanging="425"/>
        <w:jc w:val="left"/>
        <w:rPr>
          <w:sz w:val="22"/>
          <w:szCs w:val="22"/>
          <w:lang w:val="fr-CH"/>
        </w:rPr>
      </w:pPr>
      <w:r w:rsidRPr="005F2C93">
        <w:rPr>
          <w:rFonts w:asciiTheme="minorHAnsi" w:hAnsiTheme="minorHAnsi" w:cstheme="minorHAnsi"/>
          <w:sz w:val="22"/>
          <w:lang w:val="fr-CH"/>
        </w:rPr>
        <w:t>b</w:t>
      </w:r>
      <w:r w:rsidR="005F2C93">
        <w:rPr>
          <w:rFonts w:asciiTheme="minorHAnsi" w:hAnsiTheme="minorHAnsi" w:cstheme="minorHAnsi"/>
          <w:sz w:val="22"/>
          <w:lang w:val="fr-CH"/>
        </w:rPr>
        <w:t>)</w:t>
      </w:r>
      <w:r w:rsidR="00085362" w:rsidRPr="005F2C93">
        <w:rPr>
          <w:rFonts w:asciiTheme="minorHAnsi" w:hAnsiTheme="minorHAnsi" w:cstheme="minorHAnsi"/>
          <w:sz w:val="22"/>
          <w:lang w:val="fr-CH"/>
        </w:rPr>
        <w:tab/>
      </w:r>
      <w:r w:rsidR="009D26F8">
        <w:rPr>
          <w:rFonts w:asciiTheme="minorHAnsi" w:hAnsiTheme="minorHAnsi" w:cstheme="minorHAnsi"/>
          <w:sz w:val="22"/>
          <w:lang w:val="fr-CH"/>
        </w:rPr>
        <w:t>Préparation d’une analyse des lacunes pour identifier les problèmes rencontrés par les Parties contractantes qui cherchent à remplir leurs engagements vis</w:t>
      </w:r>
      <w:r w:rsidR="009D26F8">
        <w:rPr>
          <w:rFonts w:asciiTheme="minorHAnsi" w:hAnsiTheme="minorHAnsi" w:cstheme="minorHAnsi"/>
          <w:sz w:val="22"/>
          <w:lang w:val="fr-CH"/>
        </w:rPr>
        <w:noBreakHyphen/>
        <w:t>à</w:t>
      </w:r>
      <w:r w:rsidR="009D26F8">
        <w:rPr>
          <w:rFonts w:asciiTheme="minorHAnsi" w:hAnsiTheme="minorHAnsi" w:cstheme="minorHAnsi"/>
          <w:sz w:val="22"/>
          <w:lang w:val="fr-CH"/>
        </w:rPr>
        <w:noBreakHyphen/>
        <w:t xml:space="preserve">vis de la Convention et à entreprendre, </w:t>
      </w:r>
      <w:r w:rsidR="0068093C">
        <w:rPr>
          <w:rFonts w:asciiTheme="minorHAnsi" w:hAnsiTheme="minorHAnsi" w:cstheme="minorHAnsi"/>
          <w:sz w:val="22"/>
          <w:lang w:val="fr-CH"/>
        </w:rPr>
        <w:t>affiner</w:t>
      </w:r>
      <w:r w:rsidR="009D26F8">
        <w:rPr>
          <w:rFonts w:asciiTheme="minorHAnsi" w:hAnsiTheme="minorHAnsi" w:cstheme="minorHAnsi"/>
          <w:sz w:val="22"/>
          <w:lang w:val="fr-CH"/>
        </w:rPr>
        <w:t xml:space="preserve"> ou terminer des inventaires des zones humides et à faire rapport sur l’étendue des zones humides, et </w:t>
      </w:r>
      <w:r w:rsidR="0014373C">
        <w:rPr>
          <w:rFonts w:asciiTheme="minorHAnsi" w:hAnsiTheme="minorHAnsi" w:cstheme="minorHAnsi"/>
          <w:sz w:val="22"/>
          <w:lang w:val="fr-CH"/>
        </w:rPr>
        <w:t xml:space="preserve">sur </w:t>
      </w:r>
      <w:r w:rsidR="009D26F8">
        <w:rPr>
          <w:rFonts w:asciiTheme="minorHAnsi" w:hAnsiTheme="minorHAnsi" w:cstheme="minorHAnsi"/>
          <w:sz w:val="22"/>
          <w:lang w:val="fr-CH"/>
        </w:rPr>
        <w:t xml:space="preserve">les priorités (y compris le financement) </w:t>
      </w:r>
      <w:r w:rsidR="0014373C">
        <w:rPr>
          <w:rFonts w:asciiTheme="minorHAnsi" w:hAnsiTheme="minorHAnsi" w:cstheme="minorHAnsi"/>
          <w:sz w:val="22"/>
          <w:lang w:val="fr-CH"/>
        </w:rPr>
        <w:t>en vue</w:t>
      </w:r>
      <w:r w:rsidR="009D26F8">
        <w:rPr>
          <w:rFonts w:asciiTheme="minorHAnsi" w:hAnsiTheme="minorHAnsi" w:cstheme="minorHAnsi"/>
          <w:sz w:val="22"/>
          <w:lang w:val="fr-CH"/>
        </w:rPr>
        <w:t xml:space="preserve"> de surmonter les difficultés.</w:t>
      </w:r>
      <w:r w:rsidR="00B674AE" w:rsidRPr="005F2C93">
        <w:rPr>
          <w:rFonts w:ascii="Calibri" w:hAnsi="Calibri" w:cs="Calibri"/>
          <w:sz w:val="22"/>
          <w:szCs w:val="22"/>
          <w:lang w:val="fr-CH"/>
        </w:rPr>
        <w:t xml:space="preserve"> </w:t>
      </w:r>
    </w:p>
    <w:p w14:paraId="72F05EA4" w14:textId="77777777" w:rsidR="00085362" w:rsidRPr="005F2C93" w:rsidRDefault="00085362" w:rsidP="00085362">
      <w:pPr>
        <w:ind w:left="850" w:hanging="425"/>
        <w:jc w:val="left"/>
        <w:rPr>
          <w:rFonts w:ascii="Calibri" w:hAnsi="Calibri" w:cs="Calibri"/>
          <w:sz w:val="22"/>
          <w:szCs w:val="22"/>
          <w:lang w:val="fr-CH"/>
        </w:rPr>
      </w:pPr>
    </w:p>
    <w:p w14:paraId="0A6BBAE8" w14:textId="215C4529" w:rsidR="00383801" w:rsidRPr="005F2C93" w:rsidRDefault="005F2C93" w:rsidP="00085362">
      <w:pPr>
        <w:ind w:left="850" w:hanging="425"/>
        <w:jc w:val="left"/>
        <w:rPr>
          <w:sz w:val="22"/>
          <w:szCs w:val="22"/>
          <w:lang w:val="fr-CH"/>
        </w:rPr>
      </w:pPr>
      <w:r>
        <w:rPr>
          <w:rFonts w:ascii="Calibri" w:hAnsi="Calibri" w:cs="Calibri"/>
          <w:sz w:val="22"/>
          <w:szCs w:val="22"/>
          <w:lang w:val="fr-CH"/>
        </w:rPr>
        <w:t>c)</w:t>
      </w:r>
      <w:r w:rsidR="00085362" w:rsidRPr="005F2C93">
        <w:rPr>
          <w:rFonts w:ascii="Calibri" w:hAnsi="Calibri" w:cs="Calibri"/>
          <w:sz w:val="22"/>
          <w:szCs w:val="22"/>
          <w:lang w:val="fr-CH"/>
        </w:rPr>
        <w:tab/>
      </w:r>
      <w:bookmarkStart w:id="1" w:name="_Hlk35530539"/>
      <w:r w:rsidR="009D26F8">
        <w:rPr>
          <w:rFonts w:ascii="Calibri" w:hAnsi="Calibri" w:cs="Calibri"/>
          <w:sz w:val="22"/>
          <w:szCs w:val="22"/>
          <w:lang w:val="fr-CH"/>
        </w:rPr>
        <w:t>Élaboration d’</w:t>
      </w:r>
      <w:r w:rsidR="0014373C">
        <w:rPr>
          <w:rFonts w:ascii="Calibri" w:hAnsi="Calibri" w:cs="Calibri"/>
          <w:sz w:val="22"/>
          <w:szCs w:val="22"/>
          <w:lang w:val="fr-CH"/>
        </w:rPr>
        <w:t>une trousse d’</w:t>
      </w:r>
      <w:r w:rsidR="009D26F8">
        <w:rPr>
          <w:rFonts w:ascii="Calibri" w:hAnsi="Calibri" w:cs="Calibri"/>
          <w:sz w:val="22"/>
          <w:szCs w:val="22"/>
          <w:lang w:val="fr-CH"/>
        </w:rPr>
        <w:t xml:space="preserve">outils à l’intention des Parties contractantes, contenant les meilleures pratiques et traitant les lacunes identifiées dans les connaissances par l’apport d’orientations, d’un appui et de ressources </w:t>
      </w:r>
      <w:r w:rsidR="0014373C">
        <w:rPr>
          <w:rFonts w:ascii="Calibri" w:hAnsi="Calibri" w:cs="Calibri"/>
          <w:sz w:val="22"/>
          <w:szCs w:val="22"/>
          <w:lang w:val="fr-CH"/>
        </w:rPr>
        <w:t>en vue de</w:t>
      </w:r>
      <w:r w:rsidR="009D26F8">
        <w:rPr>
          <w:rFonts w:ascii="Calibri" w:hAnsi="Calibri" w:cs="Calibri"/>
          <w:sz w:val="22"/>
          <w:szCs w:val="22"/>
          <w:lang w:val="fr-CH"/>
        </w:rPr>
        <w:t xml:space="preserve"> terminer les inventaires des zones humides et </w:t>
      </w:r>
      <w:r w:rsidR="0014373C">
        <w:rPr>
          <w:rFonts w:ascii="Calibri" w:hAnsi="Calibri" w:cs="Calibri"/>
          <w:sz w:val="22"/>
          <w:szCs w:val="22"/>
          <w:lang w:val="fr-CH"/>
        </w:rPr>
        <w:t xml:space="preserve">de </w:t>
      </w:r>
      <w:r w:rsidR="009D26F8">
        <w:rPr>
          <w:rFonts w:ascii="Calibri" w:hAnsi="Calibri" w:cs="Calibri"/>
          <w:sz w:val="22"/>
          <w:szCs w:val="22"/>
          <w:lang w:val="fr-CH"/>
        </w:rPr>
        <w:t>faire rapport sur l’étendue des zones humides</w:t>
      </w:r>
      <w:bookmarkEnd w:id="1"/>
      <w:r w:rsidR="009D26F8">
        <w:rPr>
          <w:rFonts w:ascii="Calibri" w:hAnsi="Calibri" w:cs="Calibri"/>
          <w:sz w:val="22"/>
          <w:szCs w:val="22"/>
          <w:lang w:val="fr-CH"/>
        </w:rPr>
        <w:t xml:space="preserve">. </w:t>
      </w:r>
    </w:p>
    <w:p w14:paraId="21CD241A" w14:textId="77777777" w:rsidR="00F40C7D" w:rsidRPr="005F2C93" w:rsidRDefault="00F40C7D" w:rsidP="00536607">
      <w:pPr>
        <w:jc w:val="left"/>
        <w:rPr>
          <w:rFonts w:ascii="Calibri" w:hAnsi="Calibri" w:cs="Calibri"/>
          <w:sz w:val="22"/>
          <w:szCs w:val="22"/>
          <w:lang w:val="fr-CH"/>
        </w:rPr>
      </w:pPr>
    </w:p>
    <w:p w14:paraId="06F00703" w14:textId="22BBDEB5" w:rsidR="00383801" w:rsidRPr="005F2C93" w:rsidRDefault="00085362" w:rsidP="00085362">
      <w:pPr>
        <w:ind w:left="425" w:hanging="425"/>
        <w:jc w:val="left"/>
        <w:rPr>
          <w:rFonts w:asciiTheme="minorHAnsi" w:hAnsiTheme="minorHAnsi" w:cstheme="minorHAnsi"/>
          <w:color w:val="000000"/>
          <w:sz w:val="22"/>
          <w:szCs w:val="22"/>
          <w:lang w:val="fr-CH"/>
        </w:rPr>
      </w:pPr>
      <w:r w:rsidRPr="005F2C93">
        <w:rPr>
          <w:rFonts w:asciiTheme="minorHAnsi" w:hAnsiTheme="minorHAnsi" w:cstheme="minorHAnsi"/>
          <w:color w:val="000000"/>
          <w:sz w:val="22"/>
          <w:szCs w:val="22"/>
          <w:lang w:val="fr-CH"/>
        </w:rPr>
        <w:t>11.</w:t>
      </w:r>
      <w:r w:rsidRPr="005F2C93">
        <w:rPr>
          <w:rFonts w:asciiTheme="minorHAnsi" w:hAnsiTheme="minorHAnsi" w:cstheme="minorHAnsi"/>
          <w:color w:val="000000"/>
          <w:sz w:val="22"/>
          <w:szCs w:val="22"/>
          <w:lang w:val="fr-CH"/>
        </w:rPr>
        <w:tab/>
      </w:r>
      <w:r w:rsidR="009D26F8">
        <w:rPr>
          <w:rFonts w:asciiTheme="minorHAnsi" w:hAnsiTheme="minorHAnsi" w:cstheme="minorHAnsi"/>
          <w:color w:val="000000"/>
          <w:sz w:val="22"/>
          <w:szCs w:val="22"/>
          <w:lang w:val="fr-CH"/>
        </w:rPr>
        <w:t>Les Parties contractantes ont commenté le processus décrit ci</w:t>
      </w:r>
      <w:r w:rsidR="009D26F8">
        <w:rPr>
          <w:rFonts w:asciiTheme="minorHAnsi" w:hAnsiTheme="minorHAnsi" w:cstheme="minorHAnsi"/>
          <w:color w:val="000000"/>
          <w:sz w:val="22"/>
          <w:szCs w:val="22"/>
          <w:lang w:val="fr-CH"/>
        </w:rPr>
        <w:noBreakHyphen/>
        <w:t>dessus dans des enquêtes, des consultations et la mise à l’essai de</w:t>
      </w:r>
      <w:r w:rsidR="00ED097D">
        <w:rPr>
          <w:rFonts w:asciiTheme="minorHAnsi" w:hAnsiTheme="minorHAnsi" w:cstheme="minorHAnsi"/>
          <w:color w:val="000000"/>
          <w:sz w:val="22"/>
          <w:szCs w:val="22"/>
          <w:lang w:val="fr-CH"/>
        </w:rPr>
        <w:t xml:space="preserve"> la trousse d’</w:t>
      </w:r>
      <w:r w:rsidR="009D26F8">
        <w:rPr>
          <w:rFonts w:asciiTheme="minorHAnsi" w:hAnsiTheme="minorHAnsi" w:cstheme="minorHAnsi"/>
          <w:color w:val="000000"/>
          <w:sz w:val="22"/>
          <w:szCs w:val="22"/>
          <w:lang w:val="fr-CH"/>
        </w:rPr>
        <w:t>outils. L’approche méthodologique est présentée pour chacun des domaines, ci</w:t>
      </w:r>
      <w:r w:rsidR="009D26F8">
        <w:rPr>
          <w:rFonts w:asciiTheme="minorHAnsi" w:hAnsiTheme="minorHAnsi" w:cstheme="minorHAnsi"/>
          <w:color w:val="000000"/>
          <w:sz w:val="22"/>
          <w:szCs w:val="22"/>
          <w:lang w:val="fr-CH"/>
        </w:rPr>
        <w:noBreakHyphen/>
        <w:t>dessous.</w:t>
      </w:r>
      <w:r w:rsidR="00BC7A9C" w:rsidRPr="005F2C93">
        <w:rPr>
          <w:rFonts w:asciiTheme="minorHAnsi" w:hAnsiTheme="minorHAnsi" w:cstheme="minorHAnsi"/>
          <w:color w:val="000000"/>
          <w:sz w:val="22"/>
          <w:szCs w:val="22"/>
          <w:lang w:val="fr-CH"/>
        </w:rPr>
        <w:t xml:space="preserve"> </w:t>
      </w:r>
    </w:p>
    <w:p w14:paraId="4149A354" w14:textId="77777777" w:rsidR="00383801" w:rsidRPr="005F2C93" w:rsidRDefault="00383801" w:rsidP="00536607">
      <w:pPr>
        <w:pStyle w:val="Default"/>
        <w:jc w:val="left"/>
        <w:rPr>
          <w:rFonts w:asciiTheme="minorHAnsi" w:hAnsiTheme="minorHAnsi" w:cstheme="minorHAnsi"/>
          <w:b/>
          <w:bCs/>
          <w:sz w:val="22"/>
          <w:szCs w:val="22"/>
          <w:lang w:val="fr-CH"/>
        </w:rPr>
      </w:pPr>
    </w:p>
    <w:p w14:paraId="633674E8" w14:textId="0927BFDA" w:rsidR="0003413D" w:rsidRPr="005F2C93" w:rsidRDefault="00085362" w:rsidP="00085362">
      <w:pPr>
        <w:ind w:left="425" w:hanging="425"/>
        <w:jc w:val="left"/>
        <w:rPr>
          <w:rFonts w:ascii="Calibri" w:hAnsi="Calibri" w:cs="Calibri"/>
          <w:i/>
          <w:sz w:val="22"/>
          <w:szCs w:val="22"/>
          <w:lang w:val="fr-CH"/>
        </w:rPr>
      </w:pPr>
      <w:r w:rsidRPr="005F2C93">
        <w:rPr>
          <w:rFonts w:ascii="Calibri" w:hAnsi="Calibri" w:cs="Calibri"/>
          <w:i/>
          <w:sz w:val="22"/>
          <w:szCs w:val="22"/>
          <w:lang w:val="fr-CH"/>
        </w:rPr>
        <w:t>i</w:t>
      </w:r>
      <w:r w:rsidR="009D26F8">
        <w:rPr>
          <w:rFonts w:ascii="Calibri" w:hAnsi="Calibri" w:cs="Calibri"/>
          <w:i/>
          <w:sz w:val="22"/>
          <w:szCs w:val="22"/>
          <w:lang w:val="fr-CH"/>
        </w:rPr>
        <w:t>)</w:t>
      </w:r>
      <w:r w:rsidRPr="005F2C93">
        <w:rPr>
          <w:rFonts w:ascii="Calibri" w:hAnsi="Calibri" w:cs="Calibri"/>
          <w:i/>
          <w:sz w:val="22"/>
          <w:szCs w:val="22"/>
          <w:lang w:val="fr-CH"/>
        </w:rPr>
        <w:tab/>
      </w:r>
      <w:r w:rsidR="0014373C" w:rsidRPr="0014373C">
        <w:rPr>
          <w:rFonts w:ascii="Calibri" w:hAnsi="Calibri" w:cs="Calibri"/>
          <w:i/>
          <w:sz w:val="22"/>
          <w:szCs w:val="22"/>
          <w:lang w:val="fr-CH"/>
        </w:rPr>
        <w:t>Examen des données des Rapports nationaux soumis par les Parties contractantes à la COP13 sur les inventaires des zones humides qui contribuent à l’ODD 6 (Indicateur 6.6.1)</w:t>
      </w:r>
      <w:r w:rsidR="0003413D" w:rsidRPr="005F2C93">
        <w:rPr>
          <w:rFonts w:ascii="Calibri" w:hAnsi="Calibri" w:cs="Calibri"/>
          <w:i/>
          <w:sz w:val="22"/>
          <w:szCs w:val="22"/>
          <w:lang w:val="fr-CH"/>
        </w:rPr>
        <w:t>.</w:t>
      </w:r>
      <w:r w:rsidR="00354B3E" w:rsidRPr="005F2C93">
        <w:rPr>
          <w:rFonts w:ascii="Calibri" w:hAnsi="Calibri" w:cs="Calibri"/>
          <w:i/>
          <w:sz w:val="22"/>
          <w:szCs w:val="22"/>
          <w:lang w:val="fr-CH"/>
        </w:rPr>
        <w:t xml:space="preserve"> </w:t>
      </w:r>
    </w:p>
    <w:p w14:paraId="3B2FC51E" w14:textId="77777777" w:rsidR="00FE5F2F" w:rsidRPr="005F2C93" w:rsidRDefault="00FE5F2F" w:rsidP="00536607">
      <w:pPr>
        <w:ind w:left="0" w:firstLine="0"/>
        <w:jc w:val="left"/>
        <w:rPr>
          <w:rFonts w:asciiTheme="minorHAnsi" w:hAnsiTheme="minorHAnsi" w:cstheme="minorHAnsi"/>
          <w:sz w:val="22"/>
          <w:szCs w:val="22"/>
          <w:lang w:val="fr-CH"/>
        </w:rPr>
      </w:pPr>
    </w:p>
    <w:p w14:paraId="32A9EBC3" w14:textId="2A86978B" w:rsidR="00D61B13" w:rsidRPr="005F2C93" w:rsidRDefault="00085362" w:rsidP="00085362">
      <w:pPr>
        <w:ind w:left="425" w:hanging="425"/>
        <w:jc w:val="left"/>
        <w:rPr>
          <w:rFonts w:asciiTheme="minorHAnsi" w:hAnsiTheme="minorHAnsi" w:cstheme="minorHAnsi"/>
          <w:color w:val="000000"/>
          <w:sz w:val="22"/>
          <w:szCs w:val="22"/>
          <w:lang w:val="fr-CH"/>
        </w:rPr>
      </w:pPr>
      <w:r w:rsidRPr="005F2C93">
        <w:rPr>
          <w:rFonts w:asciiTheme="minorHAnsi" w:hAnsiTheme="minorHAnsi" w:cstheme="minorHAnsi"/>
          <w:color w:val="000000"/>
          <w:sz w:val="22"/>
          <w:szCs w:val="22"/>
          <w:lang w:val="fr-CH"/>
        </w:rPr>
        <w:t>12.</w:t>
      </w:r>
      <w:r w:rsidRPr="005F2C93">
        <w:rPr>
          <w:rFonts w:asciiTheme="minorHAnsi" w:hAnsiTheme="minorHAnsi" w:cstheme="minorHAnsi"/>
          <w:color w:val="000000"/>
          <w:sz w:val="22"/>
          <w:szCs w:val="22"/>
          <w:lang w:val="fr-CH"/>
        </w:rPr>
        <w:tab/>
      </w:r>
      <w:r w:rsidR="00FA4D1A">
        <w:rPr>
          <w:rFonts w:asciiTheme="minorHAnsi" w:hAnsiTheme="minorHAnsi" w:cstheme="minorHAnsi"/>
          <w:color w:val="000000"/>
          <w:sz w:val="22"/>
          <w:szCs w:val="22"/>
          <w:lang w:val="fr-CH"/>
        </w:rPr>
        <w:t xml:space="preserve">Le Secrétariat </w:t>
      </w:r>
      <w:r w:rsidR="001B503E">
        <w:rPr>
          <w:rFonts w:asciiTheme="minorHAnsi" w:hAnsiTheme="minorHAnsi" w:cstheme="minorHAnsi"/>
          <w:color w:val="000000"/>
          <w:sz w:val="22"/>
          <w:szCs w:val="22"/>
          <w:lang w:val="fr-CH"/>
        </w:rPr>
        <w:t>s’est vu confier le rôle de co</w:t>
      </w:r>
      <w:r w:rsidR="00ED097D">
        <w:rPr>
          <w:rFonts w:asciiTheme="minorHAnsi" w:hAnsiTheme="minorHAnsi" w:cstheme="minorHAnsi"/>
          <w:color w:val="000000"/>
          <w:sz w:val="22"/>
          <w:szCs w:val="22"/>
          <w:lang w:val="fr-CH"/>
        </w:rPr>
        <w:t>responsable</w:t>
      </w:r>
      <w:r w:rsidR="001B503E">
        <w:rPr>
          <w:rFonts w:asciiTheme="minorHAnsi" w:hAnsiTheme="minorHAnsi" w:cstheme="minorHAnsi"/>
          <w:color w:val="000000"/>
          <w:sz w:val="22"/>
          <w:szCs w:val="22"/>
          <w:lang w:val="fr-CH"/>
        </w:rPr>
        <w:t xml:space="preserve"> de l’Indicateur </w:t>
      </w:r>
      <w:r w:rsidR="00FE5F2F" w:rsidRPr="005F2C93">
        <w:rPr>
          <w:rFonts w:asciiTheme="minorHAnsi" w:hAnsiTheme="minorHAnsi" w:cstheme="minorHAnsi"/>
          <w:color w:val="000000"/>
          <w:sz w:val="22"/>
          <w:szCs w:val="22"/>
          <w:lang w:val="fr-CH"/>
        </w:rPr>
        <w:t>6.6.1</w:t>
      </w:r>
      <w:r w:rsidR="00354B3E" w:rsidRPr="005F2C93">
        <w:rPr>
          <w:rFonts w:asciiTheme="minorHAnsi" w:hAnsiTheme="minorHAnsi" w:cstheme="minorHAnsi"/>
          <w:color w:val="000000"/>
          <w:sz w:val="22"/>
          <w:szCs w:val="22"/>
          <w:lang w:val="fr-CH"/>
        </w:rPr>
        <w:t xml:space="preserve"> </w:t>
      </w:r>
      <w:r w:rsidR="001B503E">
        <w:rPr>
          <w:rFonts w:asciiTheme="minorHAnsi" w:hAnsiTheme="minorHAnsi" w:cstheme="minorHAnsi"/>
          <w:color w:val="000000"/>
          <w:sz w:val="22"/>
          <w:szCs w:val="22"/>
          <w:lang w:val="fr-CH"/>
        </w:rPr>
        <w:t xml:space="preserve">de l’ODD 6 </w:t>
      </w:r>
      <w:r w:rsidR="003C5501">
        <w:rPr>
          <w:rFonts w:asciiTheme="minorHAnsi" w:hAnsiTheme="minorHAnsi" w:cstheme="minorHAnsi"/>
          <w:color w:val="000000"/>
          <w:sz w:val="22"/>
          <w:szCs w:val="22"/>
          <w:lang w:val="fr-CH"/>
        </w:rPr>
        <w:t>et</w:t>
      </w:r>
      <w:r w:rsidR="001B503E">
        <w:rPr>
          <w:rFonts w:asciiTheme="minorHAnsi" w:hAnsiTheme="minorHAnsi" w:cstheme="minorHAnsi"/>
          <w:color w:val="000000"/>
          <w:sz w:val="22"/>
          <w:szCs w:val="22"/>
          <w:lang w:val="fr-CH"/>
        </w:rPr>
        <w:t xml:space="preserve"> de répertorier l’état et les tendances des zones humides au niveau mondial afin d’aider à mesurer </w:t>
      </w:r>
      <w:r w:rsidR="003C5501">
        <w:rPr>
          <w:rFonts w:asciiTheme="minorHAnsi" w:hAnsiTheme="minorHAnsi" w:cstheme="minorHAnsi"/>
          <w:color w:val="000000"/>
          <w:sz w:val="22"/>
          <w:szCs w:val="22"/>
          <w:lang w:val="fr-CH"/>
        </w:rPr>
        <w:t>la progression vers</w:t>
      </w:r>
      <w:r w:rsidR="001B503E">
        <w:rPr>
          <w:rFonts w:asciiTheme="minorHAnsi" w:hAnsiTheme="minorHAnsi" w:cstheme="minorHAnsi"/>
          <w:color w:val="000000"/>
          <w:sz w:val="22"/>
          <w:szCs w:val="22"/>
          <w:lang w:val="fr-CH"/>
        </w:rPr>
        <w:t xml:space="preserve"> l’ODD 6. </w:t>
      </w:r>
      <w:r w:rsidR="003C5501">
        <w:rPr>
          <w:rFonts w:asciiTheme="minorHAnsi" w:hAnsiTheme="minorHAnsi" w:cstheme="minorHAnsi"/>
          <w:color w:val="000000"/>
          <w:sz w:val="22"/>
          <w:szCs w:val="22"/>
          <w:lang w:val="fr-CH"/>
        </w:rPr>
        <w:t>Pour remplir son rôle</w:t>
      </w:r>
      <w:r w:rsidR="001B503E">
        <w:rPr>
          <w:rFonts w:asciiTheme="minorHAnsi" w:hAnsiTheme="minorHAnsi" w:cstheme="minorHAnsi"/>
          <w:color w:val="000000"/>
          <w:sz w:val="22"/>
          <w:szCs w:val="22"/>
          <w:lang w:val="fr-CH"/>
        </w:rPr>
        <w:t xml:space="preserve">, le Secrétariat dépend des informations fournies par les 171 Parties contractantes qui se sont engagées à </w:t>
      </w:r>
      <w:r w:rsidR="003C5501">
        <w:rPr>
          <w:rFonts w:asciiTheme="minorHAnsi" w:hAnsiTheme="minorHAnsi" w:cstheme="minorHAnsi"/>
          <w:color w:val="000000"/>
          <w:sz w:val="22"/>
          <w:szCs w:val="22"/>
          <w:lang w:val="fr-CH"/>
        </w:rPr>
        <w:t>dresser</w:t>
      </w:r>
      <w:r w:rsidR="001B503E">
        <w:rPr>
          <w:rFonts w:asciiTheme="minorHAnsi" w:hAnsiTheme="minorHAnsi" w:cstheme="minorHAnsi"/>
          <w:color w:val="000000"/>
          <w:sz w:val="22"/>
          <w:szCs w:val="22"/>
          <w:lang w:val="fr-CH"/>
        </w:rPr>
        <w:t xml:space="preserve"> des INZH et à faire régulièrement rapport sur le</w:t>
      </w:r>
      <w:r w:rsidR="003C5501">
        <w:rPr>
          <w:rFonts w:asciiTheme="minorHAnsi" w:hAnsiTheme="minorHAnsi" w:cstheme="minorHAnsi"/>
          <w:color w:val="000000"/>
          <w:sz w:val="22"/>
          <w:szCs w:val="22"/>
          <w:lang w:val="fr-CH"/>
        </w:rPr>
        <w:t>ur</w:t>
      </w:r>
      <w:r w:rsidR="001B503E">
        <w:rPr>
          <w:rFonts w:asciiTheme="minorHAnsi" w:hAnsiTheme="minorHAnsi" w:cstheme="minorHAnsi"/>
          <w:color w:val="000000"/>
          <w:sz w:val="22"/>
          <w:szCs w:val="22"/>
          <w:lang w:val="fr-CH"/>
        </w:rPr>
        <w:t>s progrès</w:t>
      </w:r>
      <w:r w:rsidR="003C5501">
        <w:rPr>
          <w:rFonts w:asciiTheme="minorHAnsi" w:hAnsiTheme="minorHAnsi" w:cstheme="minorHAnsi"/>
          <w:color w:val="000000"/>
          <w:sz w:val="22"/>
          <w:szCs w:val="22"/>
          <w:lang w:val="fr-CH"/>
        </w:rPr>
        <w:t xml:space="preserve"> et, à cet égard, il</w:t>
      </w:r>
      <w:r w:rsidR="001B503E">
        <w:rPr>
          <w:rFonts w:asciiTheme="minorHAnsi" w:hAnsiTheme="minorHAnsi" w:cstheme="minorHAnsi"/>
          <w:color w:val="000000"/>
          <w:sz w:val="22"/>
          <w:szCs w:val="22"/>
          <w:lang w:val="fr-CH"/>
        </w:rPr>
        <w:t xml:space="preserve"> a fourni des orientations et une formation aux Parties </w:t>
      </w:r>
      <w:r w:rsidR="003C5501">
        <w:rPr>
          <w:rFonts w:asciiTheme="minorHAnsi" w:hAnsiTheme="minorHAnsi" w:cstheme="minorHAnsi"/>
          <w:color w:val="000000"/>
          <w:sz w:val="22"/>
          <w:szCs w:val="22"/>
          <w:lang w:val="fr-CH"/>
        </w:rPr>
        <w:t xml:space="preserve">qui ont soumis un Rapport national à la COP13, </w:t>
      </w:r>
      <w:r w:rsidR="001B503E">
        <w:rPr>
          <w:rFonts w:asciiTheme="minorHAnsi" w:hAnsiTheme="minorHAnsi" w:cstheme="minorHAnsi"/>
          <w:color w:val="000000"/>
          <w:sz w:val="22"/>
          <w:szCs w:val="22"/>
          <w:lang w:val="fr-CH"/>
        </w:rPr>
        <w:t xml:space="preserve">pour leur permettre de fournir </w:t>
      </w:r>
      <w:r w:rsidR="00AE62B4">
        <w:rPr>
          <w:rFonts w:asciiTheme="minorHAnsi" w:hAnsiTheme="minorHAnsi" w:cstheme="minorHAnsi"/>
          <w:color w:val="000000"/>
          <w:sz w:val="22"/>
          <w:szCs w:val="22"/>
          <w:lang w:val="fr-CH"/>
        </w:rPr>
        <w:t>d</w:t>
      </w:r>
      <w:r w:rsidR="001B503E">
        <w:rPr>
          <w:rFonts w:asciiTheme="minorHAnsi" w:hAnsiTheme="minorHAnsi" w:cstheme="minorHAnsi"/>
          <w:color w:val="000000"/>
          <w:sz w:val="22"/>
          <w:szCs w:val="22"/>
          <w:lang w:val="fr-CH"/>
        </w:rPr>
        <w:t xml:space="preserve">es données </w:t>
      </w:r>
      <w:r w:rsidR="00AE62B4">
        <w:rPr>
          <w:rFonts w:asciiTheme="minorHAnsi" w:hAnsiTheme="minorHAnsi" w:cstheme="minorHAnsi"/>
          <w:color w:val="000000"/>
          <w:sz w:val="22"/>
          <w:szCs w:val="22"/>
          <w:lang w:val="fr-CH"/>
        </w:rPr>
        <w:t>pouvant</w:t>
      </w:r>
      <w:r w:rsidR="001B503E">
        <w:rPr>
          <w:rFonts w:asciiTheme="minorHAnsi" w:hAnsiTheme="minorHAnsi" w:cstheme="minorHAnsi"/>
          <w:color w:val="000000"/>
          <w:sz w:val="22"/>
          <w:szCs w:val="22"/>
          <w:lang w:val="fr-CH"/>
        </w:rPr>
        <w:t xml:space="preserve"> être utilisées dans le rapport relatif aux ODD. Le Secrétariat collabore avec les Parties en vue de compléter et </w:t>
      </w:r>
      <w:r w:rsidR="001F14FA">
        <w:rPr>
          <w:rFonts w:asciiTheme="minorHAnsi" w:hAnsiTheme="minorHAnsi" w:cstheme="minorHAnsi"/>
          <w:color w:val="000000"/>
          <w:sz w:val="22"/>
          <w:szCs w:val="22"/>
          <w:lang w:val="fr-CH"/>
        </w:rPr>
        <w:t>améliorer</w:t>
      </w:r>
      <w:r w:rsidR="001B503E">
        <w:rPr>
          <w:rFonts w:asciiTheme="minorHAnsi" w:hAnsiTheme="minorHAnsi" w:cstheme="minorHAnsi"/>
          <w:color w:val="000000"/>
          <w:sz w:val="22"/>
          <w:szCs w:val="22"/>
          <w:lang w:val="fr-CH"/>
        </w:rPr>
        <w:t xml:space="preserve"> </w:t>
      </w:r>
      <w:r w:rsidR="00AE62B4">
        <w:rPr>
          <w:rFonts w:asciiTheme="minorHAnsi" w:hAnsiTheme="minorHAnsi" w:cstheme="minorHAnsi"/>
          <w:color w:val="000000"/>
          <w:sz w:val="22"/>
          <w:szCs w:val="22"/>
          <w:lang w:val="fr-CH"/>
        </w:rPr>
        <w:t>les données</w:t>
      </w:r>
      <w:r w:rsidR="001B503E">
        <w:rPr>
          <w:rFonts w:asciiTheme="minorHAnsi" w:hAnsiTheme="minorHAnsi" w:cstheme="minorHAnsi"/>
          <w:color w:val="000000"/>
          <w:sz w:val="22"/>
          <w:szCs w:val="22"/>
          <w:lang w:val="fr-CH"/>
        </w:rPr>
        <w:t xml:space="preserve"> sur l’étendue des zones humides qui </w:t>
      </w:r>
      <w:r w:rsidR="00AE62B4">
        <w:rPr>
          <w:rFonts w:asciiTheme="minorHAnsi" w:hAnsiTheme="minorHAnsi" w:cstheme="minorHAnsi"/>
          <w:color w:val="000000"/>
          <w:sz w:val="22"/>
          <w:szCs w:val="22"/>
          <w:lang w:val="fr-CH"/>
        </w:rPr>
        <w:t>lui ont</w:t>
      </w:r>
      <w:r w:rsidR="001B503E">
        <w:rPr>
          <w:rFonts w:asciiTheme="minorHAnsi" w:hAnsiTheme="minorHAnsi" w:cstheme="minorHAnsi"/>
          <w:color w:val="000000"/>
          <w:sz w:val="22"/>
          <w:szCs w:val="22"/>
          <w:lang w:val="fr-CH"/>
        </w:rPr>
        <w:t xml:space="preserve"> été soumise</w:t>
      </w:r>
      <w:r w:rsidR="00AE62B4">
        <w:rPr>
          <w:rFonts w:asciiTheme="minorHAnsi" w:hAnsiTheme="minorHAnsi" w:cstheme="minorHAnsi"/>
          <w:color w:val="000000"/>
          <w:sz w:val="22"/>
          <w:szCs w:val="22"/>
          <w:lang w:val="fr-CH"/>
        </w:rPr>
        <w:t>s</w:t>
      </w:r>
      <w:r w:rsidR="001B503E">
        <w:rPr>
          <w:rFonts w:asciiTheme="minorHAnsi" w:hAnsiTheme="minorHAnsi" w:cstheme="minorHAnsi"/>
          <w:color w:val="000000"/>
          <w:sz w:val="22"/>
          <w:szCs w:val="22"/>
          <w:lang w:val="fr-CH"/>
        </w:rPr>
        <w:t xml:space="preserve"> et </w:t>
      </w:r>
      <w:r w:rsidR="00AE62B4">
        <w:rPr>
          <w:rFonts w:asciiTheme="minorHAnsi" w:hAnsiTheme="minorHAnsi" w:cstheme="minorHAnsi"/>
          <w:color w:val="000000"/>
          <w:sz w:val="22"/>
          <w:szCs w:val="22"/>
          <w:lang w:val="fr-CH"/>
        </w:rPr>
        <w:t>de repérer celles qui sont</w:t>
      </w:r>
      <w:r w:rsidR="001B503E">
        <w:rPr>
          <w:rFonts w:asciiTheme="minorHAnsi" w:hAnsiTheme="minorHAnsi" w:cstheme="minorHAnsi"/>
          <w:color w:val="000000"/>
          <w:sz w:val="22"/>
          <w:szCs w:val="22"/>
          <w:lang w:val="fr-CH"/>
        </w:rPr>
        <w:t xml:space="preserve"> disponibles dans les inventaires existants</w:t>
      </w:r>
      <w:r w:rsidR="00AE62B4">
        <w:rPr>
          <w:rFonts w:asciiTheme="minorHAnsi" w:hAnsiTheme="minorHAnsi" w:cstheme="minorHAnsi"/>
          <w:color w:val="000000"/>
          <w:sz w:val="22"/>
          <w:szCs w:val="22"/>
          <w:lang w:val="fr-CH"/>
        </w:rPr>
        <w:t>,</w:t>
      </w:r>
      <w:r w:rsidR="001B503E">
        <w:rPr>
          <w:rFonts w:asciiTheme="minorHAnsi" w:hAnsiTheme="minorHAnsi" w:cstheme="minorHAnsi"/>
          <w:color w:val="000000"/>
          <w:sz w:val="22"/>
          <w:szCs w:val="22"/>
          <w:lang w:val="fr-CH"/>
        </w:rPr>
        <w:t xml:space="preserve"> mentionnés dans les Rapports nationaux</w:t>
      </w:r>
      <w:r w:rsidR="00AE62B4">
        <w:rPr>
          <w:rFonts w:asciiTheme="minorHAnsi" w:hAnsiTheme="minorHAnsi" w:cstheme="minorHAnsi"/>
          <w:color w:val="000000"/>
          <w:sz w:val="22"/>
          <w:szCs w:val="22"/>
          <w:lang w:val="fr-CH"/>
        </w:rPr>
        <w:t>,</w:t>
      </w:r>
      <w:r w:rsidR="001B503E">
        <w:rPr>
          <w:rFonts w:asciiTheme="minorHAnsi" w:hAnsiTheme="minorHAnsi" w:cstheme="minorHAnsi"/>
          <w:color w:val="000000"/>
          <w:sz w:val="22"/>
          <w:szCs w:val="22"/>
          <w:lang w:val="fr-CH"/>
        </w:rPr>
        <w:t xml:space="preserve"> qui n’ont pas été utilisées pour faire rapport </w:t>
      </w:r>
      <w:r w:rsidR="001B503E">
        <w:rPr>
          <w:rFonts w:asciiTheme="minorHAnsi" w:hAnsiTheme="minorHAnsi" w:cstheme="minorHAnsi"/>
          <w:color w:val="000000"/>
          <w:sz w:val="22"/>
          <w:szCs w:val="22"/>
          <w:lang w:val="fr-CH"/>
        </w:rPr>
        <w:lastRenderedPageBreak/>
        <w:t xml:space="preserve">sur l’étendue des zones humides. </w:t>
      </w:r>
      <w:r w:rsidR="00AE62B4">
        <w:rPr>
          <w:rFonts w:asciiTheme="minorHAnsi" w:hAnsiTheme="minorHAnsi" w:cstheme="minorHAnsi"/>
          <w:color w:val="000000"/>
          <w:sz w:val="22"/>
          <w:szCs w:val="22"/>
          <w:lang w:val="fr-CH"/>
        </w:rPr>
        <w:t>L’</w:t>
      </w:r>
      <w:r w:rsidR="001F14FA">
        <w:rPr>
          <w:rFonts w:asciiTheme="minorHAnsi" w:hAnsiTheme="minorHAnsi" w:cstheme="minorHAnsi"/>
          <w:color w:val="000000"/>
          <w:sz w:val="22"/>
          <w:szCs w:val="22"/>
          <w:lang w:val="fr-CH"/>
        </w:rPr>
        <w:t>amélioration</w:t>
      </w:r>
      <w:r w:rsidR="001B503E">
        <w:rPr>
          <w:rFonts w:asciiTheme="minorHAnsi" w:hAnsiTheme="minorHAnsi" w:cstheme="minorHAnsi"/>
          <w:color w:val="000000"/>
          <w:sz w:val="22"/>
          <w:szCs w:val="22"/>
          <w:lang w:val="fr-CH"/>
        </w:rPr>
        <w:t xml:space="preserve"> de ces données </w:t>
      </w:r>
      <w:r w:rsidR="00AE62B4">
        <w:rPr>
          <w:rFonts w:asciiTheme="minorHAnsi" w:hAnsiTheme="minorHAnsi" w:cstheme="minorHAnsi"/>
          <w:color w:val="000000"/>
          <w:sz w:val="22"/>
          <w:szCs w:val="22"/>
          <w:lang w:val="fr-CH"/>
        </w:rPr>
        <w:t>suppose, entre autres, de tenir compte du</w:t>
      </w:r>
      <w:r w:rsidR="001B503E">
        <w:rPr>
          <w:rFonts w:asciiTheme="minorHAnsi" w:hAnsiTheme="minorHAnsi" w:cstheme="minorHAnsi"/>
          <w:color w:val="000000"/>
          <w:sz w:val="22"/>
          <w:szCs w:val="22"/>
          <w:lang w:val="fr-CH"/>
        </w:rPr>
        <w:t xml:space="preserve"> type de zone humide en utilisant les trois catégories principales </w:t>
      </w:r>
      <w:r w:rsidR="00AE62B4">
        <w:rPr>
          <w:rFonts w:asciiTheme="minorHAnsi" w:hAnsiTheme="minorHAnsi" w:cstheme="minorHAnsi"/>
          <w:color w:val="000000"/>
          <w:sz w:val="22"/>
          <w:szCs w:val="22"/>
          <w:lang w:val="fr-CH"/>
        </w:rPr>
        <w:t xml:space="preserve">du Système </w:t>
      </w:r>
      <w:r w:rsidR="001B503E">
        <w:rPr>
          <w:rFonts w:asciiTheme="minorHAnsi" w:hAnsiTheme="minorHAnsi" w:cstheme="minorHAnsi"/>
          <w:color w:val="000000"/>
          <w:sz w:val="22"/>
          <w:szCs w:val="22"/>
          <w:lang w:val="fr-CH"/>
        </w:rPr>
        <w:t xml:space="preserve">de classification </w:t>
      </w:r>
      <w:r w:rsidR="00AE62B4">
        <w:rPr>
          <w:rFonts w:asciiTheme="minorHAnsi" w:hAnsiTheme="minorHAnsi" w:cstheme="minorHAnsi"/>
          <w:color w:val="000000"/>
          <w:sz w:val="22"/>
          <w:szCs w:val="22"/>
          <w:lang w:val="fr-CH"/>
        </w:rPr>
        <w:t xml:space="preserve">des zones humides de la Convention </w:t>
      </w:r>
      <w:r w:rsidR="001B503E">
        <w:rPr>
          <w:rFonts w:asciiTheme="minorHAnsi" w:hAnsiTheme="minorHAnsi" w:cstheme="minorHAnsi"/>
          <w:color w:val="000000"/>
          <w:sz w:val="22"/>
          <w:szCs w:val="22"/>
          <w:lang w:val="fr-CH"/>
        </w:rPr>
        <w:t xml:space="preserve">: </w:t>
      </w:r>
      <w:r w:rsidR="00AE62B4">
        <w:rPr>
          <w:rFonts w:asciiTheme="minorHAnsi" w:hAnsiTheme="minorHAnsi" w:cstheme="minorHAnsi"/>
          <w:color w:val="000000"/>
          <w:sz w:val="22"/>
          <w:szCs w:val="22"/>
          <w:lang w:val="fr-CH"/>
        </w:rPr>
        <w:t xml:space="preserve">zones humides </w:t>
      </w:r>
      <w:r w:rsidR="001B503E">
        <w:rPr>
          <w:rFonts w:asciiTheme="minorHAnsi" w:hAnsiTheme="minorHAnsi" w:cstheme="minorHAnsi"/>
          <w:color w:val="000000"/>
          <w:sz w:val="22"/>
          <w:szCs w:val="22"/>
          <w:lang w:val="fr-CH"/>
        </w:rPr>
        <w:t>continentale</w:t>
      </w:r>
      <w:r w:rsidR="00AE62B4">
        <w:rPr>
          <w:rFonts w:asciiTheme="minorHAnsi" w:hAnsiTheme="minorHAnsi" w:cstheme="minorHAnsi"/>
          <w:color w:val="000000"/>
          <w:sz w:val="22"/>
          <w:szCs w:val="22"/>
          <w:lang w:val="fr-CH"/>
        </w:rPr>
        <w:t>s</w:t>
      </w:r>
      <w:r w:rsidR="001B503E">
        <w:rPr>
          <w:rFonts w:asciiTheme="minorHAnsi" w:hAnsiTheme="minorHAnsi" w:cstheme="minorHAnsi"/>
          <w:color w:val="000000"/>
          <w:sz w:val="22"/>
          <w:szCs w:val="22"/>
          <w:lang w:val="fr-CH"/>
        </w:rPr>
        <w:t>, marine</w:t>
      </w:r>
      <w:r w:rsidR="00AE62B4">
        <w:rPr>
          <w:rFonts w:asciiTheme="minorHAnsi" w:hAnsiTheme="minorHAnsi" w:cstheme="minorHAnsi"/>
          <w:color w:val="000000"/>
          <w:sz w:val="22"/>
          <w:szCs w:val="22"/>
          <w:lang w:val="fr-CH"/>
        </w:rPr>
        <w:t>s</w:t>
      </w:r>
      <w:r w:rsidR="001B503E">
        <w:rPr>
          <w:rFonts w:asciiTheme="minorHAnsi" w:hAnsiTheme="minorHAnsi" w:cstheme="minorHAnsi"/>
          <w:color w:val="000000"/>
          <w:sz w:val="22"/>
          <w:szCs w:val="22"/>
          <w:lang w:val="fr-CH"/>
        </w:rPr>
        <w:t xml:space="preserve"> et côtière</w:t>
      </w:r>
      <w:r w:rsidR="00AE62B4">
        <w:rPr>
          <w:rFonts w:asciiTheme="minorHAnsi" w:hAnsiTheme="minorHAnsi" w:cstheme="minorHAnsi"/>
          <w:color w:val="000000"/>
          <w:sz w:val="22"/>
          <w:szCs w:val="22"/>
          <w:lang w:val="fr-CH"/>
        </w:rPr>
        <w:t>s</w:t>
      </w:r>
      <w:r w:rsidR="001B503E">
        <w:rPr>
          <w:rFonts w:asciiTheme="minorHAnsi" w:hAnsiTheme="minorHAnsi" w:cstheme="minorHAnsi"/>
          <w:color w:val="000000"/>
          <w:sz w:val="22"/>
          <w:szCs w:val="22"/>
          <w:lang w:val="fr-CH"/>
        </w:rPr>
        <w:t xml:space="preserve"> et artificielle</w:t>
      </w:r>
      <w:r w:rsidR="00AE62B4">
        <w:rPr>
          <w:rFonts w:asciiTheme="minorHAnsi" w:hAnsiTheme="minorHAnsi" w:cstheme="minorHAnsi"/>
          <w:color w:val="000000"/>
          <w:sz w:val="22"/>
          <w:szCs w:val="22"/>
          <w:lang w:val="fr-CH"/>
        </w:rPr>
        <w:t>s</w:t>
      </w:r>
      <w:r w:rsidR="001B503E">
        <w:rPr>
          <w:rFonts w:asciiTheme="minorHAnsi" w:hAnsiTheme="minorHAnsi" w:cstheme="minorHAnsi"/>
          <w:color w:val="000000"/>
          <w:sz w:val="22"/>
          <w:szCs w:val="22"/>
          <w:lang w:val="fr-CH"/>
        </w:rPr>
        <w:t xml:space="preserve">. </w:t>
      </w:r>
      <w:r w:rsidR="005E468B">
        <w:rPr>
          <w:rFonts w:asciiTheme="minorHAnsi" w:hAnsiTheme="minorHAnsi" w:cstheme="minorHAnsi"/>
          <w:color w:val="000000"/>
          <w:sz w:val="22"/>
          <w:szCs w:val="22"/>
          <w:lang w:val="fr-CH"/>
        </w:rPr>
        <w:t>Ainsi</w:t>
      </w:r>
      <w:r w:rsidR="001B503E">
        <w:rPr>
          <w:rFonts w:asciiTheme="minorHAnsi" w:hAnsiTheme="minorHAnsi" w:cstheme="minorHAnsi"/>
          <w:color w:val="000000"/>
          <w:sz w:val="22"/>
          <w:szCs w:val="22"/>
          <w:lang w:val="fr-CH"/>
        </w:rPr>
        <w:t>, des données validées au plan national</w:t>
      </w:r>
      <w:r w:rsidR="005E468B">
        <w:rPr>
          <w:rFonts w:asciiTheme="minorHAnsi" w:hAnsiTheme="minorHAnsi" w:cstheme="minorHAnsi"/>
          <w:color w:val="000000"/>
          <w:sz w:val="22"/>
          <w:szCs w:val="22"/>
          <w:lang w:val="fr-CH"/>
        </w:rPr>
        <w:t xml:space="preserve"> et</w:t>
      </w:r>
      <w:r w:rsidR="001B503E">
        <w:rPr>
          <w:rFonts w:asciiTheme="minorHAnsi" w:hAnsiTheme="minorHAnsi" w:cstheme="minorHAnsi"/>
          <w:color w:val="000000"/>
          <w:sz w:val="22"/>
          <w:szCs w:val="22"/>
          <w:lang w:val="fr-CH"/>
        </w:rPr>
        <w:t xml:space="preserve"> </w:t>
      </w:r>
      <w:r w:rsidR="005E468B">
        <w:rPr>
          <w:rFonts w:asciiTheme="minorHAnsi" w:hAnsiTheme="minorHAnsi" w:cstheme="minorHAnsi"/>
          <w:color w:val="000000"/>
          <w:sz w:val="22"/>
          <w:szCs w:val="22"/>
          <w:lang w:val="fr-CH"/>
        </w:rPr>
        <w:t>répondant à</w:t>
      </w:r>
      <w:r w:rsidR="001B503E">
        <w:rPr>
          <w:rFonts w:asciiTheme="minorHAnsi" w:hAnsiTheme="minorHAnsi" w:cstheme="minorHAnsi"/>
          <w:color w:val="000000"/>
          <w:sz w:val="22"/>
          <w:szCs w:val="22"/>
          <w:lang w:val="fr-CH"/>
        </w:rPr>
        <w:t xml:space="preserve"> des définitions internationales acceptées des zones humides seront fournies à partir de mars 2020 pour mesurer l’étendue des écosystèmes </w:t>
      </w:r>
      <w:r w:rsidR="005E468B">
        <w:rPr>
          <w:rFonts w:asciiTheme="minorHAnsi" w:hAnsiTheme="minorHAnsi" w:cstheme="minorHAnsi"/>
          <w:color w:val="000000"/>
          <w:sz w:val="22"/>
          <w:szCs w:val="22"/>
          <w:lang w:val="fr-CH"/>
        </w:rPr>
        <w:t>tributaires de</w:t>
      </w:r>
      <w:r w:rsidR="001B503E">
        <w:rPr>
          <w:rFonts w:asciiTheme="minorHAnsi" w:hAnsiTheme="minorHAnsi" w:cstheme="minorHAnsi"/>
          <w:color w:val="000000"/>
          <w:sz w:val="22"/>
          <w:szCs w:val="22"/>
          <w:lang w:val="fr-CH"/>
        </w:rPr>
        <w:t xml:space="preserve"> l’eau</w:t>
      </w:r>
      <w:r w:rsidR="005E468B">
        <w:rPr>
          <w:rFonts w:asciiTheme="minorHAnsi" w:hAnsiTheme="minorHAnsi" w:cstheme="minorHAnsi"/>
          <w:color w:val="000000"/>
          <w:sz w:val="22"/>
          <w:szCs w:val="22"/>
          <w:lang w:val="fr-CH"/>
        </w:rPr>
        <w:t>,</w:t>
      </w:r>
      <w:r w:rsidR="001B503E">
        <w:rPr>
          <w:rFonts w:asciiTheme="minorHAnsi" w:hAnsiTheme="minorHAnsi" w:cstheme="minorHAnsi"/>
          <w:color w:val="000000"/>
          <w:sz w:val="22"/>
          <w:szCs w:val="22"/>
          <w:lang w:val="fr-CH"/>
        </w:rPr>
        <w:t xml:space="preserve"> dans le cadre de l’ODD 6. Ce</w:t>
      </w:r>
      <w:r w:rsidR="005E468B">
        <w:rPr>
          <w:rFonts w:asciiTheme="minorHAnsi" w:hAnsiTheme="minorHAnsi" w:cstheme="minorHAnsi"/>
          <w:color w:val="000000"/>
          <w:sz w:val="22"/>
          <w:szCs w:val="22"/>
          <w:lang w:val="fr-CH"/>
        </w:rPr>
        <w:t>s</w:t>
      </w:r>
      <w:r w:rsidR="001B503E">
        <w:rPr>
          <w:rFonts w:asciiTheme="minorHAnsi" w:hAnsiTheme="minorHAnsi" w:cstheme="minorHAnsi"/>
          <w:color w:val="000000"/>
          <w:sz w:val="22"/>
          <w:szCs w:val="22"/>
          <w:lang w:val="fr-CH"/>
        </w:rPr>
        <w:t xml:space="preserve"> </w:t>
      </w:r>
      <w:r w:rsidR="005E468B">
        <w:rPr>
          <w:rFonts w:asciiTheme="minorHAnsi" w:hAnsiTheme="minorHAnsi" w:cstheme="minorHAnsi"/>
          <w:color w:val="000000"/>
          <w:sz w:val="22"/>
          <w:szCs w:val="22"/>
          <w:lang w:val="fr-CH"/>
        </w:rPr>
        <w:t>données</w:t>
      </w:r>
      <w:r w:rsidR="001B503E">
        <w:rPr>
          <w:rFonts w:asciiTheme="minorHAnsi" w:hAnsiTheme="minorHAnsi" w:cstheme="minorHAnsi"/>
          <w:color w:val="000000"/>
          <w:sz w:val="22"/>
          <w:szCs w:val="22"/>
          <w:lang w:val="fr-CH"/>
        </w:rPr>
        <w:t xml:space="preserve"> ser</w:t>
      </w:r>
      <w:r w:rsidR="005E468B">
        <w:rPr>
          <w:rFonts w:asciiTheme="minorHAnsi" w:hAnsiTheme="minorHAnsi" w:cstheme="minorHAnsi"/>
          <w:color w:val="000000"/>
          <w:sz w:val="22"/>
          <w:szCs w:val="22"/>
          <w:lang w:val="fr-CH"/>
        </w:rPr>
        <w:t>ont</w:t>
      </w:r>
      <w:r w:rsidR="001B503E">
        <w:rPr>
          <w:rFonts w:asciiTheme="minorHAnsi" w:hAnsiTheme="minorHAnsi" w:cstheme="minorHAnsi"/>
          <w:color w:val="000000"/>
          <w:sz w:val="22"/>
          <w:szCs w:val="22"/>
          <w:lang w:val="fr-CH"/>
        </w:rPr>
        <w:t xml:space="preserve"> saisie</w:t>
      </w:r>
      <w:r w:rsidR="005E468B">
        <w:rPr>
          <w:rFonts w:asciiTheme="minorHAnsi" w:hAnsiTheme="minorHAnsi" w:cstheme="minorHAnsi"/>
          <w:color w:val="000000"/>
          <w:sz w:val="22"/>
          <w:szCs w:val="22"/>
          <w:lang w:val="fr-CH"/>
        </w:rPr>
        <w:t>s</w:t>
      </w:r>
      <w:r w:rsidR="001B503E">
        <w:rPr>
          <w:rFonts w:asciiTheme="minorHAnsi" w:hAnsiTheme="minorHAnsi" w:cstheme="minorHAnsi"/>
          <w:color w:val="000000"/>
          <w:sz w:val="22"/>
          <w:szCs w:val="22"/>
          <w:lang w:val="fr-CH"/>
        </w:rPr>
        <w:t xml:space="preserve"> dans la base de données mondiale sur les ODD hébergée par la Division de la statistique de l’ONU. </w:t>
      </w:r>
      <w:r w:rsidR="00D61B13" w:rsidRPr="005F2C93">
        <w:rPr>
          <w:rFonts w:asciiTheme="minorHAnsi" w:hAnsiTheme="minorHAnsi" w:cstheme="minorHAnsi"/>
          <w:color w:val="000000"/>
          <w:sz w:val="22"/>
          <w:szCs w:val="22"/>
          <w:lang w:val="fr-CH"/>
        </w:rPr>
        <w:t xml:space="preserve"> </w:t>
      </w:r>
      <w:r w:rsidR="00354B3E" w:rsidRPr="005F2C93">
        <w:rPr>
          <w:rFonts w:asciiTheme="minorHAnsi" w:hAnsiTheme="minorHAnsi" w:cstheme="minorHAnsi"/>
          <w:color w:val="000000"/>
          <w:sz w:val="22"/>
          <w:szCs w:val="22"/>
          <w:lang w:val="fr-CH"/>
        </w:rPr>
        <w:t xml:space="preserve"> </w:t>
      </w:r>
    </w:p>
    <w:p w14:paraId="3BC665D7" w14:textId="77777777" w:rsidR="00B9084F" w:rsidRPr="005F2C93" w:rsidRDefault="00B9084F" w:rsidP="00085362">
      <w:pPr>
        <w:ind w:left="425" w:hanging="425"/>
        <w:jc w:val="left"/>
        <w:rPr>
          <w:rFonts w:asciiTheme="minorHAnsi" w:hAnsiTheme="minorHAnsi" w:cstheme="minorHAnsi"/>
          <w:color w:val="000000"/>
          <w:sz w:val="22"/>
          <w:szCs w:val="22"/>
          <w:lang w:val="fr-CH"/>
        </w:rPr>
      </w:pPr>
    </w:p>
    <w:p w14:paraId="453DC651" w14:textId="42C63C6B" w:rsidR="007C2645" w:rsidRPr="005F2C93" w:rsidRDefault="00085362" w:rsidP="00085362">
      <w:pPr>
        <w:ind w:left="425" w:hanging="425"/>
        <w:jc w:val="left"/>
        <w:rPr>
          <w:rFonts w:asciiTheme="minorHAnsi" w:hAnsiTheme="minorHAnsi" w:cstheme="minorHAnsi"/>
          <w:color w:val="000000"/>
          <w:sz w:val="22"/>
          <w:szCs w:val="22"/>
          <w:lang w:val="fr-CH"/>
        </w:rPr>
      </w:pPr>
      <w:r w:rsidRPr="0068093C">
        <w:rPr>
          <w:rFonts w:asciiTheme="minorHAnsi" w:hAnsiTheme="minorHAnsi" w:cstheme="minorHAnsi"/>
          <w:color w:val="000000"/>
          <w:sz w:val="22"/>
          <w:szCs w:val="22"/>
          <w:lang w:val="fr-CH"/>
        </w:rPr>
        <w:t>13.</w:t>
      </w:r>
      <w:r w:rsidRPr="0068093C">
        <w:rPr>
          <w:rFonts w:asciiTheme="minorHAnsi" w:hAnsiTheme="minorHAnsi" w:cstheme="minorHAnsi"/>
          <w:color w:val="000000"/>
          <w:sz w:val="22"/>
          <w:szCs w:val="22"/>
          <w:lang w:val="fr-CH"/>
        </w:rPr>
        <w:tab/>
      </w:r>
      <w:r w:rsidR="009A1A8E" w:rsidRPr="0068093C">
        <w:rPr>
          <w:rFonts w:asciiTheme="minorHAnsi" w:hAnsiTheme="minorHAnsi" w:cstheme="minorHAnsi"/>
          <w:color w:val="000000"/>
          <w:sz w:val="22"/>
          <w:szCs w:val="22"/>
          <w:lang w:val="fr-CH"/>
        </w:rPr>
        <w:t>Concernant le rapport sur l’Indicateur </w:t>
      </w:r>
      <w:r w:rsidR="004003C1" w:rsidRPr="0068093C">
        <w:rPr>
          <w:rFonts w:asciiTheme="minorHAnsi" w:hAnsiTheme="minorHAnsi" w:cstheme="minorHAnsi"/>
          <w:color w:val="000000"/>
          <w:sz w:val="22"/>
          <w:szCs w:val="22"/>
          <w:lang w:val="fr-CH"/>
        </w:rPr>
        <w:t>6.6.1</w:t>
      </w:r>
      <w:r w:rsidR="009A1A8E" w:rsidRPr="0068093C">
        <w:rPr>
          <w:rFonts w:asciiTheme="minorHAnsi" w:hAnsiTheme="minorHAnsi" w:cstheme="minorHAnsi"/>
          <w:color w:val="000000"/>
          <w:sz w:val="22"/>
          <w:szCs w:val="22"/>
          <w:lang w:val="fr-CH"/>
        </w:rPr>
        <w:t>, le</w:t>
      </w:r>
      <w:r w:rsidR="00F91742" w:rsidRPr="0068093C">
        <w:rPr>
          <w:rFonts w:asciiTheme="minorHAnsi" w:hAnsiTheme="minorHAnsi" w:cstheme="minorHAnsi"/>
          <w:color w:val="000000"/>
          <w:sz w:val="22"/>
          <w:szCs w:val="22"/>
          <w:lang w:val="fr-CH"/>
        </w:rPr>
        <w:t xml:space="preserve"> </w:t>
      </w:r>
      <w:r w:rsidR="00CF6322" w:rsidRPr="0068093C">
        <w:rPr>
          <w:rFonts w:asciiTheme="minorHAnsi" w:hAnsiTheme="minorHAnsi" w:cstheme="minorHAnsi"/>
          <w:color w:val="000000"/>
          <w:sz w:val="22"/>
          <w:szCs w:val="22"/>
          <w:lang w:val="fr-CH"/>
        </w:rPr>
        <w:t xml:space="preserve">service </w:t>
      </w:r>
      <w:r w:rsidR="00F91742" w:rsidRPr="0068093C">
        <w:rPr>
          <w:rFonts w:asciiTheme="minorHAnsi" w:hAnsiTheme="minorHAnsi" w:cstheme="minorHAnsi"/>
          <w:color w:val="000000"/>
          <w:sz w:val="22"/>
          <w:szCs w:val="22"/>
          <w:lang w:val="fr-CH"/>
        </w:rPr>
        <w:t>consulta</w:t>
      </w:r>
      <w:r w:rsidR="00CF6322" w:rsidRPr="0068093C">
        <w:rPr>
          <w:rFonts w:asciiTheme="minorHAnsi" w:hAnsiTheme="minorHAnsi" w:cstheme="minorHAnsi"/>
          <w:color w:val="000000"/>
          <w:sz w:val="22"/>
          <w:szCs w:val="22"/>
          <w:lang w:val="fr-CH"/>
        </w:rPr>
        <w:t>tif</w:t>
      </w:r>
      <w:r w:rsidR="00F91742" w:rsidRPr="0068093C">
        <w:rPr>
          <w:rFonts w:asciiTheme="minorHAnsi" w:hAnsiTheme="minorHAnsi" w:cstheme="minorHAnsi"/>
          <w:color w:val="000000"/>
          <w:sz w:val="22"/>
          <w:szCs w:val="22"/>
          <w:lang w:val="fr-CH"/>
        </w:rPr>
        <w:t xml:space="preserve"> </w:t>
      </w:r>
      <w:r w:rsidR="009A1A8E" w:rsidRPr="0068093C">
        <w:rPr>
          <w:rFonts w:asciiTheme="minorHAnsi" w:hAnsiTheme="minorHAnsi" w:cstheme="minorHAnsi"/>
          <w:color w:val="000000"/>
          <w:sz w:val="22"/>
          <w:szCs w:val="22"/>
          <w:lang w:val="fr-CH"/>
        </w:rPr>
        <w:t xml:space="preserve">a recommandé que le Secrétariat analyse les difficultés </w:t>
      </w:r>
      <w:r w:rsidR="00CF6322" w:rsidRPr="0068093C">
        <w:rPr>
          <w:rFonts w:asciiTheme="minorHAnsi" w:hAnsiTheme="minorHAnsi" w:cstheme="minorHAnsi"/>
          <w:color w:val="000000"/>
          <w:sz w:val="22"/>
          <w:szCs w:val="22"/>
          <w:lang w:val="fr-CH"/>
        </w:rPr>
        <w:t>que rencontrent actuellement</w:t>
      </w:r>
      <w:r w:rsidR="009A1A8E" w:rsidRPr="0068093C">
        <w:rPr>
          <w:rFonts w:asciiTheme="minorHAnsi" w:hAnsiTheme="minorHAnsi" w:cstheme="minorHAnsi"/>
          <w:color w:val="000000"/>
          <w:sz w:val="22"/>
          <w:szCs w:val="22"/>
          <w:lang w:val="fr-CH"/>
        </w:rPr>
        <w:t xml:space="preserve"> les Parties contractantes ayant décrit leur INZH comme « en progrès » dans le</w:t>
      </w:r>
      <w:r w:rsidR="00CF6322" w:rsidRPr="0068093C">
        <w:rPr>
          <w:rFonts w:asciiTheme="minorHAnsi" w:hAnsiTheme="minorHAnsi" w:cstheme="minorHAnsi"/>
          <w:color w:val="000000"/>
          <w:sz w:val="22"/>
          <w:szCs w:val="22"/>
          <w:lang w:val="fr-CH"/>
        </w:rPr>
        <w:t>ur</w:t>
      </w:r>
      <w:r w:rsidR="009A1A8E" w:rsidRPr="0068093C">
        <w:rPr>
          <w:rFonts w:asciiTheme="minorHAnsi" w:hAnsiTheme="minorHAnsi" w:cstheme="minorHAnsi"/>
          <w:color w:val="000000"/>
          <w:sz w:val="22"/>
          <w:szCs w:val="22"/>
          <w:lang w:val="fr-CH"/>
        </w:rPr>
        <w:t xml:space="preserve"> Rapport nationa</w:t>
      </w:r>
      <w:r w:rsidR="00CF6322" w:rsidRPr="0068093C">
        <w:rPr>
          <w:rFonts w:asciiTheme="minorHAnsi" w:hAnsiTheme="minorHAnsi" w:cstheme="minorHAnsi"/>
          <w:color w:val="000000"/>
          <w:sz w:val="22"/>
          <w:szCs w:val="22"/>
          <w:lang w:val="fr-CH"/>
        </w:rPr>
        <w:t>l</w:t>
      </w:r>
      <w:r w:rsidR="009A1A8E" w:rsidRPr="0068093C">
        <w:rPr>
          <w:rFonts w:asciiTheme="minorHAnsi" w:hAnsiTheme="minorHAnsi" w:cstheme="minorHAnsi"/>
          <w:color w:val="000000"/>
          <w:sz w:val="22"/>
          <w:szCs w:val="22"/>
          <w:lang w:val="fr-CH"/>
        </w:rPr>
        <w:t xml:space="preserve"> à la COP13, afin </w:t>
      </w:r>
      <w:r w:rsidR="00C51B41" w:rsidRPr="0068093C">
        <w:rPr>
          <w:rFonts w:asciiTheme="minorHAnsi" w:hAnsiTheme="minorHAnsi" w:cstheme="minorHAnsi"/>
          <w:color w:val="000000"/>
          <w:sz w:val="22"/>
          <w:szCs w:val="22"/>
          <w:lang w:val="fr-CH"/>
        </w:rPr>
        <w:t xml:space="preserve">d’adapter l’appui dont elles pourraient avoir besoin pour les </w:t>
      </w:r>
      <w:r w:rsidR="00CF6322" w:rsidRPr="0068093C">
        <w:rPr>
          <w:rFonts w:asciiTheme="minorHAnsi" w:hAnsiTheme="minorHAnsi" w:cstheme="minorHAnsi"/>
          <w:color w:val="000000"/>
          <w:sz w:val="22"/>
          <w:szCs w:val="22"/>
          <w:lang w:val="fr-CH"/>
        </w:rPr>
        <w:t>mener à bien</w:t>
      </w:r>
      <w:r w:rsidR="00C51B41" w:rsidRPr="0068093C">
        <w:rPr>
          <w:rFonts w:asciiTheme="minorHAnsi" w:hAnsiTheme="minorHAnsi" w:cstheme="minorHAnsi"/>
          <w:color w:val="000000"/>
          <w:sz w:val="22"/>
          <w:szCs w:val="22"/>
          <w:lang w:val="fr-CH"/>
        </w:rPr>
        <w:t>. Le</w:t>
      </w:r>
      <w:r w:rsidR="00CF6322" w:rsidRPr="0068093C">
        <w:rPr>
          <w:rFonts w:asciiTheme="minorHAnsi" w:hAnsiTheme="minorHAnsi" w:cstheme="minorHAnsi"/>
          <w:color w:val="000000"/>
          <w:sz w:val="22"/>
          <w:szCs w:val="22"/>
          <w:lang w:val="fr-CH"/>
        </w:rPr>
        <w:t xml:space="preserve"> service consultatif a</w:t>
      </w:r>
      <w:r w:rsidR="00C51B41" w:rsidRPr="0068093C">
        <w:rPr>
          <w:rFonts w:asciiTheme="minorHAnsi" w:hAnsiTheme="minorHAnsi" w:cstheme="minorHAnsi"/>
          <w:color w:val="000000"/>
          <w:sz w:val="22"/>
          <w:szCs w:val="22"/>
          <w:lang w:val="fr-CH"/>
        </w:rPr>
        <w:t xml:space="preserve"> aussi recommandé que le Secrétariat continue d’exercer un suivi auprès des Parties contractantes ayant terminé un INZH mais n’ayant pas encore fait rapport sur l’étendue des zones</w:t>
      </w:r>
      <w:r w:rsidR="00C51B41">
        <w:rPr>
          <w:rFonts w:asciiTheme="minorHAnsi" w:hAnsiTheme="minorHAnsi" w:cstheme="minorHAnsi"/>
          <w:color w:val="000000"/>
          <w:sz w:val="22"/>
          <w:szCs w:val="22"/>
          <w:lang w:val="fr-CH"/>
        </w:rPr>
        <w:t xml:space="preserve"> humides, en vue du rapport sur les ODD.</w:t>
      </w:r>
      <w:bookmarkStart w:id="2" w:name="_Hlk25249010"/>
      <w:r w:rsidR="00354B3E" w:rsidRPr="005F2C93">
        <w:rPr>
          <w:rFonts w:asciiTheme="minorHAnsi" w:hAnsiTheme="minorHAnsi" w:cstheme="minorHAnsi"/>
          <w:color w:val="000000"/>
          <w:sz w:val="22"/>
          <w:szCs w:val="22"/>
          <w:lang w:val="fr-CH"/>
        </w:rPr>
        <w:t xml:space="preserve"> </w:t>
      </w:r>
    </w:p>
    <w:bookmarkEnd w:id="2"/>
    <w:p w14:paraId="5B2DE3F6" w14:textId="77777777" w:rsidR="00930605" w:rsidRPr="009177A6" w:rsidRDefault="00930605" w:rsidP="00536607">
      <w:pPr>
        <w:jc w:val="left"/>
        <w:rPr>
          <w:rFonts w:asciiTheme="minorHAnsi" w:hAnsiTheme="minorHAnsi" w:cstheme="minorHAnsi"/>
          <w:sz w:val="22"/>
          <w:szCs w:val="22"/>
          <w:lang w:val="fr-FR"/>
        </w:rPr>
      </w:pPr>
    </w:p>
    <w:p w14:paraId="0A8F339B" w14:textId="2ED381DF" w:rsidR="00930605" w:rsidRPr="00C51B41" w:rsidRDefault="00085362" w:rsidP="00085362">
      <w:pPr>
        <w:ind w:left="425" w:hanging="425"/>
        <w:jc w:val="left"/>
        <w:rPr>
          <w:rFonts w:ascii="Calibri" w:hAnsi="Calibri" w:cs="Calibri"/>
          <w:i/>
          <w:sz w:val="22"/>
          <w:szCs w:val="22"/>
          <w:lang w:val="fr-CH"/>
        </w:rPr>
      </w:pPr>
      <w:r w:rsidRPr="00C51B41">
        <w:rPr>
          <w:rFonts w:ascii="Calibri" w:hAnsi="Calibri" w:cs="Calibri"/>
          <w:i/>
          <w:sz w:val="22"/>
          <w:szCs w:val="22"/>
          <w:lang w:val="fr-CH"/>
        </w:rPr>
        <w:t>ii</w:t>
      </w:r>
      <w:r w:rsidR="00C51B41">
        <w:rPr>
          <w:rFonts w:ascii="Calibri" w:hAnsi="Calibri" w:cs="Calibri"/>
          <w:i/>
          <w:sz w:val="22"/>
          <w:szCs w:val="22"/>
          <w:lang w:val="fr-CH"/>
        </w:rPr>
        <w:t>)</w:t>
      </w:r>
      <w:r w:rsidRPr="00C51B41">
        <w:rPr>
          <w:rFonts w:ascii="Calibri" w:hAnsi="Calibri" w:cs="Calibri"/>
          <w:i/>
          <w:sz w:val="22"/>
          <w:szCs w:val="22"/>
          <w:lang w:val="fr-CH"/>
        </w:rPr>
        <w:tab/>
      </w:r>
      <w:r w:rsidR="0014373C" w:rsidRPr="0014373C">
        <w:rPr>
          <w:rFonts w:ascii="Calibri" w:hAnsi="Calibri" w:cs="Calibri"/>
          <w:i/>
          <w:sz w:val="22"/>
          <w:szCs w:val="22"/>
          <w:lang w:val="fr-CH"/>
        </w:rPr>
        <w:t>Préparation d’une analyse des lacunes pour identifier les problèmes rencontrés par les Parties contractantes qui cherchent à remplir leurs engagements vis</w:t>
      </w:r>
      <w:r w:rsidR="0068093C">
        <w:rPr>
          <w:rFonts w:ascii="Calibri" w:hAnsi="Calibri" w:cs="Calibri"/>
          <w:i/>
          <w:sz w:val="22"/>
          <w:szCs w:val="22"/>
          <w:lang w:val="fr-CH"/>
        </w:rPr>
        <w:t>-</w:t>
      </w:r>
      <w:r w:rsidR="0014373C" w:rsidRPr="0014373C">
        <w:rPr>
          <w:rFonts w:ascii="Calibri" w:hAnsi="Calibri" w:cs="Calibri"/>
          <w:i/>
          <w:sz w:val="22"/>
          <w:szCs w:val="22"/>
          <w:lang w:val="fr-CH"/>
        </w:rPr>
        <w:t>à</w:t>
      </w:r>
      <w:r w:rsidR="0068093C">
        <w:rPr>
          <w:rFonts w:ascii="Calibri" w:hAnsi="Calibri" w:cs="Calibri"/>
          <w:i/>
          <w:sz w:val="22"/>
          <w:szCs w:val="22"/>
          <w:lang w:val="fr-CH"/>
        </w:rPr>
        <w:t>-</w:t>
      </w:r>
      <w:r w:rsidR="0014373C" w:rsidRPr="0014373C">
        <w:rPr>
          <w:rFonts w:ascii="Calibri" w:hAnsi="Calibri" w:cs="Calibri"/>
          <w:i/>
          <w:sz w:val="22"/>
          <w:szCs w:val="22"/>
          <w:lang w:val="fr-CH"/>
        </w:rPr>
        <w:t xml:space="preserve">vis de la Convention et à entreprendre, </w:t>
      </w:r>
      <w:r w:rsidR="0068093C">
        <w:rPr>
          <w:rFonts w:ascii="Calibri" w:hAnsi="Calibri" w:cs="Calibri"/>
          <w:i/>
          <w:sz w:val="22"/>
          <w:szCs w:val="22"/>
          <w:lang w:val="fr-CH"/>
        </w:rPr>
        <w:t>affiner</w:t>
      </w:r>
      <w:r w:rsidR="0014373C" w:rsidRPr="0014373C">
        <w:rPr>
          <w:rFonts w:ascii="Calibri" w:hAnsi="Calibri" w:cs="Calibri"/>
          <w:i/>
          <w:sz w:val="22"/>
          <w:szCs w:val="22"/>
          <w:lang w:val="fr-CH"/>
        </w:rPr>
        <w:t xml:space="preserve"> ou terminer des inventaires des zones humides et à faire rapport sur l’étendue des zones humides, et sur les priorités (y compris le financement) en vue de surmonter les difficultés</w:t>
      </w:r>
      <w:r w:rsidR="00C51B41" w:rsidRPr="00C51B41">
        <w:rPr>
          <w:rFonts w:ascii="Calibri" w:hAnsi="Calibri" w:cs="Calibri"/>
          <w:i/>
          <w:sz w:val="22"/>
          <w:szCs w:val="22"/>
          <w:lang w:val="fr-CH"/>
        </w:rPr>
        <w:t>.</w:t>
      </w:r>
      <w:r w:rsidR="00B21715" w:rsidRPr="00C51B41">
        <w:rPr>
          <w:rFonts w:ascii="Calibri" w:hAnsi="Calibri" w:cs="Calibri"/>
          <w:i/>
          <w:sz w:val="22"/>
          <w:szCs w:val="22"/>
          <w:lang w:val="fr-CH"/>
        </w:rPr>
        <w:t xml:space="preserve"> </w:t>
      </w:r>
    </w:p>
    <w:p w14:paraId="32BB6F9E" w14:textId="77777777" w:rsidR="00497546" w:rsidRPr="00C51B41" w:rsidRDefault="00497546" w:rsidP="00536607">
      <w:pPr>
        <w:pStyle w:val="Text"/>
        <w:spacing w:after="0" w:line="240" w:lineRule="auto"/>
        <w:jc w:val="left"/>
        <w:rPr>
          <w:lang w:val="fr-CH"/>
        </w:rPr>
      </w:pPr>
    </w:p>
    <w:p w14:paraId="5BB5BD9D" w14:textId="5975B918" w:rsidR="004D45CE" w:rsidRPr="00933566" w:rsidRDefault="00085362" w:rsidP="00085362">
      <w:pPr>
        <w:ind w:left="425" w:hanging="425"/>
        <w:jc w:val="left"/>
        <w:rPr>
          <w:rFonts w:asciiTheme="minorHAnsi" w:hAnsiTheme="minorHAnsi" w:cstheme="minorHAnsi"/>
          <w:color w:val="000000"/>
          <w:sz w:val="22"/>
          <w:szCs w:val="22"/>
          <w:lang w:val="fr-CH"/>
        </w:rPr>
      </w:pPr>
      <w:r w:rsidRPr="00C51B41">
        <w:rPr>
          <w:rFonts w:asciiTheme="minorHAnsi" w:hAnsiTheme="minorHAnsi" w:cstheme="minorHAnsi"/>
          <w:color w:val="000000"/>
          <w:sz w:val="22"/>
          <w:szCs w:val="22"/>
          <w:lang w:val="fr-CH"/>
        </w:rPr>
        <w:t>14.</w:t>
      </w:r>
      <w:r w:rsidRPr="00C51B41">
        <w:rPr>
          <w:rFonts w:asciiTheme="minorHAnsi" w:hAnsiTheme="minorHAnsi" w:cstheme="minorHAnsi"/>
          <w:color w:val="000000"/>
          <w:sz w:val="22"/>
          <w:szCs w:val="22"/>
          <w:lang w:val="fr-CH"/>
        </w:rPr>
        <w:tab/>
      </w:r>
      <w:bookmarkStart w:id="3" w:name="_Hlk35615256"/>
      <w:r w:rsidR="007F46EB">
        <w:rPr>
          <w:rFonts w:asciiTheme="minorHAnsi" w:hAnsiTheme="minorHAnsi" w:cstheme="minorHAnsi"/>
          <w:color w:val="000000"/>
          <w:sz w:val="22"/>
          <w:szCs w:val="22"/>
          <w:lang w:val="fr-CH"/>
        </w:rPr>
        <w:t xml:space="preserve">L’analyse des lacunes </w:t>
      </w:r>
      <w:r w:rsidR="001A2C2B">
        <w:rPr>
          <w:rFonts w:asciiTheme="minorHAnsi" w:hAnsiTheme="minorHAnsi" w:cstheme="minorHAnsi"/>
          <w:color w:val="000000"/>
          <w:sz w:val="22"/>
          <w:szCs w:val="22"/>
          <w:lang w:val="fr-CH"/>
        </w:rPr>
        <w:t>repos</w:t>
      </w:r>
      <w:r w:rsidR="00006473">
        <w:rPr>
          <w:rFonts w:asciiTheme="minorHAnsi" w:hAnsiTheme="minorHAnsi" w:cstheme="minorHAnsi"/>
          <w:color w:val="000000"/>
          <w:sz w:val="22"/>
          <w:szCs w:val="22"/>
          <w:lang w:val="fr-CH"/>
        </w:rPr>
        <w:t>e</w:t>
      </w:r>
      <w:r w:rsidR="001A2C2B">
        <w:rPr>
          <w:rFonts w:asciiTheme="minorHAnsi" w:hAnsiTheme="minorHAnsi" w:cstheme="minorHAnsi"/>
          <w:color w:val="000000"/>
          <w:sz w:val="22"/>
          <w:szCs w:val="22"/>
          <w:lang w:val="fr-CH"/>
        </w:rPr>
        <w:t xml:space="preserve"> sur les réponses aux questions </w:t>
      </w:r>
      <w:r w:rsidR="00945EAE" w:rsidRPr="00C51B41">
        <w:rPr>
          <w:rFonts w:asciiTheme="minorHAnsi" w:hAnsiTheme="minorHAnsi" w:cstheme="minorHAnsi"/>
          <w:color w:val="000000"/>
          <w:sz w:val="22"/>
          <w:szCs w:val="22"/>
          <w:lang w:val="fr-CH"/>
        </w:rPr>
        <w:t xml:space="preserve">8.1 </w:t>
      </w:r>
      <w:r w:rsidR="001A2C2B">
        <w:rPr>
          <w:rFonts w:asciiTheme="minorHAnsi" w:hAnsiTheme="minorHAnsi" w:cstheme="minorHAnsi"/>
          <w:color w:val="000000"/>
          <w:sz w:val="22"/>
          <w:szCs w:val="22"/>
          <w:lang w:val="fr-CH"/>
        </w:rPr>
        <w:t>et </w:t>
      </w:r>
      <w:r w:rsidR="00945EAE" w:rsidRPr="00C51B41">
        <w:rPr>
          <w:rFonts w:asciiTheme="minorHAnsi" w:hAnsiTheme="minorHAnsi" w:cstheme="minorHAnsi"/>
          <w:color w:val="000000"/>
          <w:sz w:val="22"/>
          <w:szCs w:val="22"/>
          <w:lang w:val="fr-CH"/>
        </w:rPr>
        <w:t xml:space="preserve">8.6 </w:t>
      </w:r>
      <w:r w:rsidR="001A2C2B">
        <w:rPr>
          <w:rFonts w:asciiTheme="minorHAnsi" w:hAnsiTheme="minorHAnsi" w:cstheme="minorHAnsi"/>
          <w:color w:val="000000"/>
          <w:sz w:val="22"/>
          <w:szCs w:val="22"/>
          <w:lang w:val="fr-CH"/>
        </w:rPr>
        <w:t>de</w:t>
      </w:r>
      <w:r w:rsidR="00E10867">
        <w:rPr>
          <w:rFonts w:asciiTheme="minorHAnsi" w:hAnsiTheme="minorHAnsi" w:cstheme="minorHAnsi"/>
          <w:color w:val="000000"/>
          <w:sz w:val="22"/>
          <w:szCs w:val="22"/>
          <w:lang w:val="fr-CH"/>
        </w:rPr>
        <w:t xml:space="preserve"> chaque</w:t>
      </w:r>
      <w:r w:rsidR="001A2C2B">
        <w:rPr>
          <w:rFonts w:asciiTheme="minorHAnsi" w:hAnsiTheme="minorHAnsi" w:cstheme="minorHAnsi"/>
          <w:color w:val="000000"/>
          <w:sz w:val="22"/>
          <w:szCs w:val="22"/>
          <w:lang w:val="fr-CH"/>
        </w:rPr>
        <w:t xml:space="preserve"> Rapport nationa</w:t>
      </w:r>
      <w:r w:rsidR="00E10867">
        <w:rPr>
          <w:rFonts w:asciiTheme="minorHAnsi" w:hAnsiTheme="minorHAnsi" w:cstheme="minorHAnsi"/>
          <w:color w:val="000000"/>
          <w:sz w:val="22"/>
          <w:szCs w:val="22"/>
          <w:lang w:val="fr-CH"/>
        </w:rPr>
        <w:t>l</w:t>
      </w:r>
      <w:r w:rsidR="001A2C2B">
        <w:rPr>
          <w:rFonts w:asciiTheme="minorHAnsi" w:hAnsiTheme="minorHAnsi" w:cstheme="minorHAnsi"/>
          <w:color w:val="000000"/>
          <w:sz w:val="22"/>
          <w:szCs w:val="22"/>
          <w:lang w:val="fr-CH"/>
        </w:rPr>
        <w:t xml:space="preserve"> à la </w:t>
      </w:r>
      <w:r w:rsidR="00945EAE" w:rsidRPr="00C51B41">
        <w:rPr>
          <w:rFonts w:asciiTheme="minorHAnsi" w:hAnsiTheme="minorHAnsi" w:cstheme="minorHAnsi"/>
          <w:color w:val="000000"/>
          <w:sz w:val="22"/>
          <w:szCs w:val="22"/>
          <w:lang w:val="fr-CH"/>
        </w:rPr>
        <w:t xml:space="preserve">COP13 </w:t>
      </w:r>
      <w:r w:rsidR="001A2C2B">
        <w:rPr>
          <w:rFonts w:asciiTheme="minorHAnsi" w:hAnsiTheme="minorHAnsi" w:cstheme="minorHAnsi"/>
          <w:color w:val="000000"/>
          <w:sz w:val="22"/>
          <w:szCs w:val="22"/>
          <w:lang w:val="fr-CH"/>
        </w:rPr>
        <w:t>et sur une enquête en ligne envoyée par le Secrétariat à toutes les Parties contractantes</w:t>
      </w:r>
      <w:r w:rsidR="00E10867">
        <w:rPr>
          <w:rFonts w:asciiTheme="minorHAnsi" w:hAnsiTheme="minorHAnsi" w:cstheme="minorHAnsi"/>
          <w:color w:val="000000"/>
          <w:sz w:val="22"/>
          <w:szCs w:val="22"/>
          <w:lang w:val="fr-CH"/>
        </w:rPr>
        <w:t>,</w:t>
      </w:r>
      <w:r w:rsidR="001A2C2B">
        <w:rPr>
          <w:rFonts w:asciiTheme="minorHAnsi" w:hAnsiTheme="minorHAnsi" w:cstheme="minorHAnsi"/>
          <w:color w:val="000000"/>
          <w:sz w:val="22"/>
          <w:szCs w:val="22"/>
          <w:lang w:val="fr-CH"/>
        </w:rPr>
        <w:t xml:space="preserve"> en août 2019</w:t>
      </w:r>
      <w:bookmarkEnd w:id="3"/>
      <w:r w:rsidR="00E10867">
        <w:rPr>
          <w:rFonts w:asciiTheme="minorHAnsi" w:hAnsiTheme="minorHAnsi" w:cstheme="minorHAnsi"/>
          <w:color w:val="000000"/>
          <w:sz w:val="22"/>
          <w:szCs w:val="22"/>
          <w:lang w:val="fr-CH"/>
        </w:rPr>
        <w:t>,</w:t>
      </w:r>
      <w:r w:rsidR="001A2C2B">
        <w:rPr>
          <w:rFonts w:asciiTheme="minorHAnsi" w:hAnsiTheme="minorHAnsi" w:cstheme="minorHAnsi"/>
          <w:color w:val="000000"/>
          <w:sz w:val="22"/>
          <w:szCs w:val="22"/>
          <w:lang w:val="fr-CH"/>
        </w:rPr>
        <w:t xml:space="preserve"> afin </w:t>
      </w:r>
      <w:r w:rsidR="00E10867">
        <w:rPr>
          <w:rFonts w:asciiTheme="minorHAnsi" w:hAnsiTheme="minorHAnsi" w:cstheme="minorHAnsi"/>
          <w:color w:val="000000"/>
          <w:sz w:val="22"/>
          <w:szCs w:val="22"/>
          <w:lang w:val="fr-CH"/>
        </w:rPr>
        <w:t>de repérer</w:t>
      </w:r>
      <w:r w:rsidR="001A2C2B">
        <w:rPr>
          <w:rFonts w:asciiTheme="minorHAnsi" w:hAnsiTheme="minorHAnsi" w:cstheme="minorHAnsi"/>
          <w:color w:val="000000"/>
          <w:sz w:val="22"/>
          <w:szCs w:val="22"/>
          <w:lang w:val="fr-CH"/>
        </w:rPr>
        <w:t xml:space="preserve"> les obstacles et limitations actuels empêchant les Parties contractantes de r</w:t>
      </w:r>
      <w:r w:rsidR="005E561A">
        <w:rPr>
          <w:rFonts w:asciiTheme="minorHAnsi" w:hAnsiTheme="minorHAnsi" w:cstheme="minorHAnsi"/>
          <w:color w:val="000000"/>
          <w:sz w:val="22"/>
          <w:szCs w:val="22"/>
          <w:lang w:val="fr-CH"/>
        </w:rPr>
        <w:t xml:space="preserve">éaliser ou de terminer un INZH. L’enquête comprenait une autoévaluation des Parties contractantes </w:t>
      </w:r>
      <w:r w:rsidR="00E10867">
        <w:rPr>
          <w:rFonts w:asciiTheme="minorHAnsi" w:hAnsiTheme="minorHAnsi" w:cstheme="minorHAnsi"/>
          <w:color w:val="000000"/>
          <w:sz w:val="22"/>
          <w:szCs w:val="22"/>
          <w:lang w:val="fr-CH"/>
        </w:rPr>
        <w:t>où elles décrivaient</w:t>
      </w:r>
      <w:r w:rsidR="005E561A">
        <w:rPr>
          <w:rFonts w:asciiTheme="minorHAnsi" w:hAnsiTheme="minorHAnsi" w:cstheme="minorHAnsi"/>
          <w:color w:val="000000"/>
          <w:sz w:val="22"/>
          <w:szCs w:val="22"/>
          <w:lang w:val="fr-CH"/>
        </w:rPr>
        <w:t xml:space="preserve"> leur expérience en matière d’élaboration, mise à jour ou </w:t>
      </w:r>
      <w:r w:rsidR="008966EE">
        <w:rPr>
          <w:rFonts w:asciiTheme="minorHAnsi" w:hAnsiTheme="minorHAnsi" w:cstheme="minorHAnsi"/>
          <w:color w:val="000000"/>
          <w:sz w:val="22"/>
          <w:szCs w:val="22"/>
          <w:lang w:val="fr-CH"/>
        </w:rPr>
        <w:t>achèvement</w:t>
      </w:r>
      <w:r w:rsidR="005E561A">
        <w:rPr>
          <w:rFonts w:asciiTheme="minorHAnsi" w:hAnsiTheme="minorHAnsi" w:cstheme="minorHAnsi"/>
          <w:color w:val="000000"/>
          <w:sz w:val="22"/>
          <w:szCs w:val="22"/>
          <w:lang w:val="fr-CH"/>
        </w:rPr>
        <w:t xml:space="preserve"> d’un INZH, des questions sur l’assistance nécessaire pour terminer l’INZH et faire rapport sur l’Indicateur </w:t>
      </w:r>
      <w:r w:rsidR="0029098E" w:rsidRPr="00C51B41">
        <w:rPr>
          <w:rFonts w:asciiTheme="minorHAnsi" w:hAnsiTheme="minorHAnsi" w:cstheme="minorHAnsi"/>
          <w:color w:val="000000"/>
          <w:sz w:val="22"/>
          <w:szCs w:val="22"/>
          <w:lang w:val="fr-CH"/>
        </w:rPr>
        <w:t>6.6.1</w:t>
      </w:r>
      <w:r w:rsidR="005E561A">
        <w:rPr>
          <w:rFonts w:asciiTheme="minorHAnsi" w:hAnsiTheme="minorHAnsi" w:cstheme="minorHAnsi"/>
          <w:color w:val="000000"/>
          <w:sz w:val="22"/>
          <w:szCs w:val="22"/>
          <w:lang w:val="fr-CH"/>
        </w:rPr>
        <w:t xml:space="preserve"> de l’ODD 6</w:t>
      </w:r>
      <w:r w:rsidR="0029098E" w:rsidRPr="00C51B41">
        <w:rPr>
          <w:rFonts w:asciiTheme="minorHAnsi" w:hAnsiTheme="minorHAnsi" w:cstheme="minorHAnsi"/>
          <w:color w:val="000000"/>
          <w:sz w:val="22"/>
          <w:szCs w:val="22"/>
          <w:lang w:val="fr-CH"/>
        </w:rPr>
        <w:t xml:space="preserve">, </w:t>
      </w:r>
      <w:r w:rsidR="005E561A">
        <w:rPr>
          <w:rFonts w:asciiTheme="minorHAnsi" w:hAnsiTheme="minorHAnsi" w:cstheme="minorHAnsi"/>
          <w:color w:val="000000"/>
          <w:sz w:val="22"/>
          <w:szCs w:val="22"/>
          <w:lang w:val="fr-CH"/>
        </w:rPr>
        <w:t xml:space="preserve">ainsi qu’un espace permettant de </w:t>
      </w:r>
      <w:r w:rsidR="008966EE">
        <w:rPr>
          <w:rFonts w:asciiTheme="minorHAnsi" w:hAnsiTheme="minorHAnsi" w:cstheme="minorHAnsi"/>
          <w:color w:val="000000"/>
          <w:sz w:val="22"/>
          <w:szCs w:val="22"/>
          <w:lang w:val="fr-CH"/>
        </w:rPr>
        <w:t>faire</w:t>
      </w:r>
      <w:r w:rsidR="005E561A">
        <w:rPr>
          <w:rFonts w:asciiTheme="minorHAnsi" w:hAnsiTheme="minorHAnsi" w:cstheme="minorHAnsi"/>
          <w:color w:val="000000"/>
          <w:sz w:val="22"/>
          <w:szCs w:val="22"/>
          <w:lang w:val="fr-CH"/>
        </w:rPr>
        <w:t xml:space="preserve"> des </w:t>
      </w:r>
      <w:r w:rsidR="005E561A" w:rsidRPr="0068093C">
        <w:rPr>
          <w:rFonts w:asciiTheme="minorHAnsi" w:hAnsiTheme="minorHAnsi" w:cstheme="minorHAnsi"/>
          <w:color w:val="000000"/>
          <w:sz w:val="22"/>
          <w:szCs w:val="22"/>
          <w:lang w:val="fr-CH"/>
        </w:rPr>
        <w:t xml:space="preserve">commentaires sur le contenu requis et la présentation souhaitée </w:t>
      </w:r>
      <w:r w:rsidR="00ED097D" w:rsidRPr="0068093C">
        <w:rPr>
          <w:rFonts w:asciiTheme="minorHAnsi" w:hAnsiTheme="minorHAnsi" w:cstheme="minorHAnsi"/>
          <w:color w:val="000000"/>
          <w:sz w:val="22"/>
          <w:szCs w:val="22"/>
          <w:lang w:val="fr-CH"/>
        </w:rPr>
        <w:t>de la trousse d’outils</w:t>
      </w:r>
      <w:r w:rsidR="005E561A" w:rsidRPr="0068093C">
        <w:rPr>
          <w:rFonts w:asciiTheme="minorHAnsi" w:hAnsiTheme="minorHAnsi" w:cstheme="minorHAnsi"/>
          <w:color w:val="000000"/>
          <w:sz w:val="22"/>
          <w:szCs w:val="22"/>
          <w:lang w:val="fr-CH"/>
        </w:rPr>
        <w:t xml:space="preserve">. </w:t>
      </w:r>
      <w:bookmarkStart w:id="4" w:name="_Hlk35615387"/>
      <w:r w:rsidR="005E561A" w:rsidRPr="0068093C">
        <w:rPr>
          <w:rFonts w:asciiTheme="minorHAnsi" w:hAnsiTheme="minorHAnsi" w:cstheme="minorHAnsi"/>
          <w:color w:val="000000"/>
          <w:sz w:val="22"/>
          <w:szCs w:val="22"/>
          <w:lang w:val="fr-CH"/>
        </w:rPr>
        <w:t>En outre, le</w:t>
      </w:r>
      <w:r w:rsidR="008966EE" w:rsidRPr="0068093C">
        <w:rPr>
          <w:rFonts w:asciiTheme="minorHAnsi" w:hAnsiTheme="minorHAnsi" w:cstheme="minorHAnsi"/>
          <w:color w:val="000000"/>
          <w:sz w:val="22"/>
          <w:szCs w:val="22"/>
          <w:lang w:val="fr-CH"/>
        </w:rPr>
        <w:t xml:space="preserve"> service consultatif a</w:t>
      </w:r>
      <w:r w:rsidR="005E561A">
        <w:rPr>
          <w:rFonts w:asciiTheme="minorHAnsi" w:hAnsiTheme="minorHAnsi" w:cstheme="minorHAnsi"/>
          <w:color w:val="000000"/>
          <w:sz w:val="22"/>
          <w:szCs w:val="22"/>
          <w:lang w:val="fr-CH"/>
        </w:rPr>
        <w:t xml:space="preserve"> examiné </w:t>
      </w:r>
      <w:r w:rsidR="008966EE">
        <w:rPr>
          <w:rFonts w:asciiTheme="minorHAnsi" w:hAnsiTheme="minorHAnsi" w:cstheme="minorHAnsi"/>
          <w:color w:val="000000"/>
          <w:sz w:val="22"/>
          <w:szCs w:val="22"/>
          <w:lang w:val="fr-CH"/>
        </w:rPr>
        <w:t>l</w:t>
      </w:r>
      <w:r w:rsidR="005E561A">
        <w:rPr>
          <w:rFonts w:asciiTheme="minorHAnsi" w:hAnsiTheme="minorHAnsi" w:cstheme="minorHAnsi"/>
          <w:color w:val="000000"/>
          <w:sz w:val="22"/>
          <w:szCs w:val="22"/>
          <w:lang w:val="fr-CH"/>
        </w:rPr>
        <w:t xml:space="preserve">es données publiques </w:t>
      </w:r>
      <w:r w:rsidR="008966EE">
        <w:rPr>
          <w:rFonts w:asciiTheme="minorHAnsi" w:hAnsiTheme="minorHAnsi" w:cstheme="minorHAnsi"/>
          <w:color w:val="000000"/>
          <w:sz w:val="22"/>
          <w:szCs w:val="22"/>
          <w:lang w:val="fr-CH"/>
        </w:rPr>
        <w:t>concernant</w:t>
      </w:r>
      <w:r w:rsidR="005E561A">
        <w:rPr>
          <w:rFonts w:asciiTheme="minorHAnsi" w:hAnsiTheme="minorHAnsi" w:cstheme="minorHAnsi"/>
          <w:color w:val="000000"/>
          <w:sz w:val="22"/>
          <w:szCs w:val="22"/>
          <w:lang w:val="fr-CH"/>
        </w:rPr>
        <w:t xml:space="preserve"> les 150 Parties contractantes ayant soumis un Rapport national à la </w:t>
      </w:r>
      <w:r w:rsidR="004D45CE" w:rsidRPr="00C51B41">
        <w:rPr>
          <w:rFonts w:asciiTheme="minorHAnsi" w:hAnsiTheme="minorHAnsi" w:cstheme="minorHAnsi"/>
          <w:color w:val="000000"/>
          <w:sz w:val="22"/>
          <w:szCs w:val="22"/>
          <w:lang w:val="fr-CH"/>
        </w:rPr>
        <w:t>COP13</w:t>
      </w:r>
      <w:bookmarkEnd w:id="4"/>
      <w:r w:rsidR="00226303" w:rsidRPr="00C51B41">
        <w:rPr>
          <w:rFonts w:asciiTheme="minorHAnsi" w:hAnsiTheme="minorHAnsi" w:cstheme="minorHAnsi"/>
          <w:color w:val="000000"/>
          <w:sz w:val="22"/>
          <w:szCs w:val="22"/>
          <w:vertAlign w:val="superscript"/>
          <w:lang w:val="fr-CH"/>
        </w:rPr>
        <w:footnoteReference w:id="1"/>
      </w:r>
      <w:r w:rsidR="004D45CE" w:rsidRPr="00C51B41">
        <w:rPr>
          <w:rFonts w:asciiTheme="minorHAnsi" w:hAnsiTheme="minorHAnsi" w:cstheme="minorHAnsi"/>
          <w:color w:val="000000"/>
          <w:sz w:val="22"/>
          <w:szCs w:val="22"/>
          <w:lang w:val="fr-CH"/>
        </w:rPr>
        <w:t xml:space="preserve">. </w:t>
      </w:r>
      <w:bookmarkStart w:id="5" w:name="_Hlk35615574"/>
      <w:r w:rsidR="008966EE">
        <w:rPr>
          <w:rFonts w:asciiTheme="minorHAnsi" w:hAnsiTheme="minorHAnsi" w:cstheme="minorHAnsi"/>
          <w:color w:val="000000"/>
          <w:sz w:val="22"/>
          <w:szCs w:val="22"/>
          <w:lang w:val="fr-CH"/>
        </w:rPr>
        <w:t>Ces</w:t>
      </w:r>
      <w:r w:rsidR="005E561A">
        <w:rPr>
          <w:rFonts w:asciiTheme="minorHAnsi" w:hAnsiTheme="minorHAnsi" w:cstheme="minorHAnsi"/>
          <w:color w:val="000000"/>
          <w:sz w:val="22"/>
          <w:szCs w:val="22"/>
          <w:lang w:val="fr-CH"/>
        </w:rPr>
        <w:t xml:space="preserve"> données</w:t>
      </w:r>
      <w:r w:rsidR="008966EE">
        <w:rPr>
          <w:rFonts w:asciiTheme="minorHAnsi" w:hAnsiTheme="minorHAnsi" w:cstheme="minorHAnsi"/>
          <w:color w:val="000000"/>
          <w:sz w:val="22"/>
          <w:szCs w:val="22"/>
          <w:lang w:val="fr-CH"/>
        </w:rPr>
        <w:t xml:space="preserve"> portaient notamment sur</w:t>
      </w:r>
      <w:r w:rsidR="005E561A">
        <w:rPr>
          <w:rFonts w:asciiTheme="minorHAnsi" w:hAnsiTheme="minorHAnsi" w:cstheme="minorHAnsi"/>
          <w:color w:val="000000"/>
          <w:sz w:val="22"/>
          <w:szCs w:val="22"/>
          <w:lang w:val="fr-CH"/>
        </w:rPr>
        <w:t xml:space="preserve"> le niveau de revenu</w:t>
      </w:r>
      <w:r w:rsidR="00860291" w:rsidRPr="00C51B41">
        <w:rPr>
          <w:rFonts w:asciiTheme="minorHAnsi" w:hAnsiTheme="minorHAnsi" w:cstheme="minorHAnsi"/>
          <w:color w:val="000000"/>
          <w:sz w:val="22"/>
          <w:szCs w:val="22"/>
          <w:vertAlign w:val="superscript"/>
          <w:lang w:val="fr-CH"/>
        </w:rPr>
        <w:footnoteReference w:id="2"/>
      </w:r>
      <w:r w:rsidR="004D45CE" w:rsidRPr="00C51B41">
        <w:rPr>
          <w:rFonts w:asciiTheme="minorHAnsi" w:hAnsiTheme="minorHAnsi" w:cstheme="minorHAnsi"/>
          <w:color w:val="000000"/>
          <w:sz w:val="22"/>
          <w:szCs w:val="22"/>
          <w:lang w:val="fr-CH"/>
        </w:rPr>
        <w:t xml:space="preserve"> (</w:t>
      </w:r>
      <w:r w:rsidR="005E561A">
        <w:rPr>
          <w:rFonts w:asciiTheme="minorHAnsi" w:hAnsiTheme="minorHAnsi" w:cstheme="minorHAnsi"/>
          <w:color w:val="000000"/>
          <w:sz w:val="22"/>
          <w:szCs w:val="22"/>
          <w:lang w:val="fr-CH"/>
        </w:rPr>
        <w:t>Banque mondiale</w:t>
      </w:r>
      <w:r w:rsidR="004D45CE" w:rsidRPr="00C51B41">
        <w:rPr>
          <w:rFonts w:asciiTheme="minorHAnsi" w:hAnsiTheme="minorHAnsi" w:cstheme="minorHAnsi"/>
          <w:color w:val="000000"/>
          <w:sz w:val="22"/>
          <w:szCs w:val="22"/>
          <w:lang w:val="fr-CH"/>
        </w:rPr>
        <w:t xml:space="preserve">, 2019), </w:t>
      </w:r>
      <w:bookmarkStart w:id="6" w:name="_Hlk35596596"/>
      <w:r w:rsidR="002D4425">
        <w:rPr>
          <w:rFonts w:asciiTheme="minorHAnsi" w:hAnsiTheme="minorHAnsi" w:cstheme="minorHAnsi"/>
          <w:color w:val="000000"/>
          <w:sz w:val="22"/>
          <w:szCs w:val="22"/>
          <w:lang w:val="fr-CH"/>
        </w:rPr>
        <w:t>l’indice de</w:t>
      </w:r>
      <w:r w:rsidR="00416CCD">
        <w:rPr>
          <w:rFonts w:asciiTheme="minorHAnsi" w:hAnsiTheme="minorHAnsi" w:cstheme="minorHAnsi"/>
          <w:color w:val="000000"/>
          <w:sz w:val="22"/>
          <w:szCs w:val="22"/>
          <w:lang w:val="fr-CH"/>
        </w:rPr>
        <w:t>s</w:t>
      </w:r>
      <w:r w:rsidR="002D4425">
        <w:rPr>
          <w:rFonts w:asciiTheme="minorHAnsi" w:hAnsiTheme="minorHAnsi" w:cstheme="minorHAnsi"/>
          <w:color w:val="000000"/>
          <w:sz w:val="22"/>
          <w:szCs w:val="22"/>
          <w:lang w:val="fr-CH"/>
        </w:rPr>
        <w:t xml:space="preserve"> États</w:t>
      </w:r>
      <w:r w:rsidR="00416CCD">
        <w:rPr>
          <w:rFonts w:asciiTheme="minorHAnsi" w:hAnsiTheme="minorHAnsi" w:cstheme="minorHAnsi"/>
          <w:color w:val="000000"/>
          <w:sz w:val="22"/>
          <w:szCs w:val="22"/>
          <w:lang w:val="fr-CH"/>
        </w:rPr>
        <w:t xml:space="preserve"> fragiles</w:t>
      </w:r>
      <w:r w:rsidR="002D4425">
        <w:rPr>
          <w:rFonts w:asciiTheme="minorHAnsi" w:hAnsiTheme="minorHAnsi" w:cstheme="minorHAnsi"/>
          <w:color w:val="000000"/>
          <w:sz w:val="22"/>
          <w:szCs w:val="22"/>
          <w:lang w:val="fr-CH"/>
        </w:rPr>
        <w:t xml:space="preserve"> </w:t>
      </w:r>
      <w:bookmarkEnd w:id="6"/>
      <w:r w:rsidR="002D4425">
        <w:rPr>
          <w:rFonts w:asciiTheme="minorHAnsi" w:hAnsiTheme="minorHAnsi" w:cstheme="minorHAnsi"/>
          <w:color w:val="000000"/>
          <w:sz w:val="22"/>
          <w:szCs w:val="22"/>
          <w:lang w:val="fr-CH"/>
        </w:rPr>
        <w:t>(</w:t>
      </w:r>
      <w:r w:rsidR="00430F54">
        <w:rPr>
          <w:rFonts w:asciiTheme="minorHAnsi" w:hAnsiTheme="minorHAnsi" w:cstheme="minorHAnsi"/>
          <w:color w:val="000000"/>
          <w:sz w:val="22"/>
          <w:szCs w:val="22"/>
          <w:lang w:val="fr-CH"/>
        </w:rPr>
        <w:t>Fragile States Index</w:t>
      </w:r>
      <w:r w:rsidR="00BA2399" w:rsidRPr="00C51B41">
        <w:rPr>
          <w:rFonts w:asciiTheme="minorHAnsi" w:hAnsiTheme="minorHAnsi" w:cstheme="minorHAnsi"/>
          <w:color w:val="000000"/>
          <w:sz w:val="22"/>
          <w:szCs w:val="22"/>
          <w:vertAlign w:val="superscript"/>
          <w:lang w:val="fr-CH"/>
        </w:rPr>
        <w:footnoteReference w:id="3"/>
      </w:r>
      <w:r w:rsidR="002D4425">
        <w:rPr>
          <w:rFonts w:asciiTheme="minorHAnsi" w:hAnsiTheme="minorHAnsi" w:cstheme="minorHAnsi"/>
          <w:color w:val="000000"/>
          <w:sz w:val="22"/>
          <w:szCs w:val="22"/>
          <w:lang w:val="fr-CH"/>
        </w:rPr>
        <w:t xml:space="preserve"> ; </w:t>
      </w:r>
      <w:r w:rsidR="00430F54">
        <w:rPr>
          <w:rFonts w:asciiTheme="minorHAnsi" w:hAnsiTheme="minorHAnsi" w:cstheme="minorHAnsi"/>
          <w:color w:val="000000"/>
          <w:sz w:val="22"/>
          <w:szCs w:val="22"/>
          <w:lang w:val="fr-CH"/>
        </w:rPr>
        <w:t>The Fund for Peace</w:t>
      </w:r>
      <w:r w:rsidR="005E561A">
        <w:rPr>
          <w:rFonts w:asciiTheme="minorHAnsi" w:hAnsiTheme="minorHAnsi" w:cstheme="minorHAnsi"/>
          <w:color w:val="000000"/>
          <w:sz w:val="22"/>
          <w:szCs w:val="22"/>
          <w:lang w:val="fr-CH"/>
        </w:rPr>
        <w:t xml:space="preserve">, 2019) et des indicateurs d’engagement environnemental en utilisant, comme </w:t>
      </w:r>
      <w:r w:rsidR="00BB3650" w:rsidRPr="00BB3650">
        <w:rPr>
          <w:rFonts w:asciiTheme="minorHAnsi" w:hAnsiTheme="minorHAnsi" w:cstheme="minorHAnsi"/>
          <w:color w:val="000000"/>
          <w:sz w:val="22"/>
          <w:szCs w:val="22"/>
          <w:lang w:val="fr-CH"/>
        </w:rPr>
        <w:t>paramètre de substitution</w:t>
      </w:r>
      <w:r w:rsidR="005E561A">
        <w:rPr>
          <w:rFonts w:asciiTheme="minorHAnsi" w:hAnsiTheme="minorHAnsi" w:cstheme="minorHAnsi"/>
          <w:color w:val="000000"/>
          <w:sz w:val="22"/>
          <w:szCs w:val="22"/>
          <w:lang w:val="fr-CH"/>
        </w:rPr>
        <w:t xml:space="preserve">, les progrès accomplis </w:t>
      </w:r>
      <w:r w:rsidR="00BB3650">
        <w:rPr>
          <w:rFonts w:asciiTheme="minorHAnsi" w:hAnsiTheme="minorHAnsi" w:cstheme="minorHAnsi"/>
          <w:color w:val="000000"/>
          <w:sz w:val="22"/>
          <w:szCs w:val="22"/>
          <w:lang w:val="fr-CH"/>
        </w:rPr>
        <w:t>vis-à-vis des</w:t>
      </w:r>
      <w:r w:rsidR="005E561A">
        <w:rPr>
          <w:rFonts w:asciiTheme="minorHAnsi" w:hAnsiTheme="minorHAnsi" w:cstheme="minorHAnsi"/>
          <w:color w:val="000000"/>
          <w:sz w:val="22"/>
          <w:szCs w:val="22"/>
          <w:lang w:val="fr-CH"/>
        </w:rPr>
        <w:t xml:space="preserve"> objectifs de l’Accord de Paris</w:t>
      </w:r>
      <w:r w:rsidR="00BA2399" w:rsidRPr="00C51B41">
        <w:rPr>
          <w:rFonts w:asciiTheme="minorHAnsi" w:hAnsiTheme="minorHAnsi" w:cstheme="minorHAnsi"/>
          <w:color w:val="000000"/>
          <w:sz w:val="22"/>
          <w:szCs w:val="22"/>
          <w:vertAlign w:val="superscript"/>
          <w:lang w:val="fr-CH"/>
        </w:rPr>
        <w:footnoteReference w:id="4"/>
      </w:r>
      <w:r w:rsidR="004D45CE" w:rsidRPr="00C51B41">
        <w:rPr>
          <w:rFonts w:asciiTheme="minorHAnsi" w:hAnsiTheme="minorHAnsi" w:cstheme="minorHAnsi"/>
          <w:color w:val="000000"/>
          <w:sz w:val="22"/>
          <w:szCs w:val="22"/>
          <w:lang w:val="fr-CH"/>
        </w:rPr>
        <w:t xml:space="preserve"> (Grantham Research Institute on Climate Change and Environment, 2018)</w:t>
      </w:r>
      <w:bookmarkEnd w:id="5"/>
      <w:r w:rsidR="004D45CE" w:rsidRPr="00C51B41">
        <w:rPr>
          <w:rFonts w:asciiTheme="minorHAnsi" w:hAnsiTheme="minorHAnsi" w:cstheme="minorHAnsi"/>
          <w:color w:val="000000"/>
          <w:sz w:val="22"/>
          <w:szCs w:val="22"/>
          <w:lang w:val="fr-CH"/>
        </w:rPr>
        <w:t xml:space="preserve">. </w:t>
      </w:r>
      <w:r w:rsidR="005E561A">
        <w:rPr>
          <w:rFonts w:asciiTheme="minorHAnsi" w:hAnsiTheme="minorHAnsi" w:cstheme="minorHAnsi"/>
          <w:color w:val="000000"/>
          <w:sz w:val="22"/>
          <w:szCs w:val="22"/>
          <w:lang w:val="fr-CH"/>
        </w:rPr>
        <w:t xml:space="preserve">L’analyse des lacunes peut être visionnée ici : </w:t>
      </w:r>
      <w:hyperlink r:id="rId8" w:history="1">
        <w:r w:rsidR="00933566" w:rsidRPr="00F1215A">
          <w:rPr>
            <w:rStyle w:val="Hyperlink"/>
            <w:rFonts w:asciiTheme="minorHAnsi" w:hAnsiTheme="minorHAnsi" w:cstheme="minorHAnsi"/>
            <w:sz w:val="22"/>
            <w:szCs w:val="22"/>
            <w:lang w:val="fr-FR"/>
          </w:rPr>
          <w:t>https://www.ramsar.org/fr/document/analyse-des-lacunes-pour-entreprendre-ameliorer-ou-terminer-des-inventaires-des-zones</w:t>
        </w:r>
      </w:hyperlink>
      <w:r w:rsidR="004D45CE" w:rsidRPr="00933566">
        <w:rPr>
          <w:rFonts w:asciiTheme="minorHAnsi" w:hAnsiTheme="minorHAnsi" w:cstheme="minorHAnsi"/>
          <w:color w:val="000000"/>
          <w:sz w:val="22"/>
          <w:szCs w:val="22"/>
          <w:lang w:val="fr-CH"/>
        </w:rPr>
        <w:t>.</w:t>
      </w:r>
    </w:p>
    <w:p w14:paraId="6638193C" w14:textId="77777777" w:rsidR="004D45CE" w:rsidRPr="00C51B41" w:rsidRDefault="004D45CE" w:rsidP="00085362">
      <w:pPr>
        <w:ind w:left="425" w:hanging="425"/>
        <w:jc w:val="left"/>
        <w:rPr>
          <w:rFonts w:asciiTheme="minorHAnsi" w:hAnsiTheme="minorHAnsi" w:cstheme="minorHAnsi"/>
          <w:color w:val="000000"/>
          <w:sz w:val="22"/>
          <w:szCs w:val="22"/>
          <w:lang w:val="fr-CH"/>
        </w:rPr>
      </w:pPr>
    </w:p>
    <w:p w14:paraId="112CED8A" w14:textId="34776AD5" w:rsidR="00C32576" w:rsidRPr="00C51B41" w:rsidRDefault="00B33B15" w:rsidP="00085362">
      <w:pPr>
        <w:ind w:left="425" w:hanging="425"/>
        <w:jc w:val="left"/>
        <w:rPr>
          <w:rFonts w:asciiTheme="minorHAnsi" w:hAnsiTheme="minorHAnsi" w:cstheme="minorHAnsi"/>
          <w:color w:val="000000"/>
          <w:sz w:val="22"/>
          <w:szCs w:val="22"/>
          <w:lang w:val="fr-CH"/>
        </w:rPr>
      </w:pPr>
      <w:r w:rsidRPr="00C51B41">
        <w:rPr>
          <w:rFonts w:asciiTheme="minorHAnsi" w:hAnsiTheme="minorHAnsi" w:cstheme="minorHAnsi"/>
          <w:color w:val="000000"/>
          <w:sz w:val="22"/>
          <w:szCs w:val="22"/>
          <w:lang w:val="fr-CH"/>
        </w:rPr>
        <w:lastRenderedPageBreak/>
        <w:t>15.</w:t>
      </w:r>
      <w:r w:rsidRPr="00C51B41">
        <w:rPr>
          <w:rFonts w:asciiTheme="minorHAnsi" w:hAnsiTheme="minorHAnsi" w:cstheme="minorHAnsi"/>
          <w:color w:val="000000"/>
          <w:sz w:val="22"/>
          <w:szCs w:val="22"/>
          <w:lang w:val="fr-CH"/>
        </w:rPr>
        <w:tab/>
      </w:r>
      <w:r w:rsidR="00CA5C12">
        <w:rPr>
          <w:rFonts w:asciiTheme="minorHAnsi" w:hAnsiTheme="minorHAnsi" w:cstheme="minorHAnsi"/>
          <w:color w:val="000000"/>
          <w:sz w:val="22"/>
          <w:szCs w:val="22"/>
          <w:lang w:val="fr-CH"/>
        </w:rPr>
        <w:t>Les</w:t>
      </w:r>
      <w:r w:rsidR="00033BAE" w:rsidRPr="00C51B41">
        <w:rPr>
          <w:rFonts w:asciiTheme="minorHAnsi" w:hAnsiTheme="minorHAnsi" w:cstheme="minorHAnsi"/>
          <w:color w:val="000000"/>
          <w:sz w:val="22"/>
          <w:szCs w:val="22"/>
          <w:lang w:val="fr-CH"/>
        </w:rPr>
        <w:t xml:space="preserve"> 22</w:t>
      </w:r>
      <w:r w:rsidR="00CA5C12">
        <w:rPr>
          <w:rFonts w:asciiTheme="minorHAnsi" w:hAnsiTheme="minorHAnsi" w:cstheme="minorHAnsi"/>
          <w:color w:val="000000"/>
          <w:sz w:val="22"/>
          <w:szCs w:val="22"/>
          <w:lang w:val="fr-CH"/>
        </w:rPr>
        <w:t xml:space="preserve"> réponses à l’enquête </w:t>
      </w:r>
      <w:r w:rsidR="0079035E">
        <w:rPr>
          <w:rFonts w:asciiTheme="minorHAnsi" w:hAnsiTheme="minorHAnsi" w:cstheme="minorHAnsi"/>
          <w:color w:val="000000"/>
          <w:sz w:val="22"/>
          <w:szCs w:val="22"/>
          <w:lang w:val="fr-CH"/>
        </w:rPr>
        <w:t xml:space="preserve">sur les INZH </w:t>
      </w:r>
      <w:bookmarkStart w:id="8" w:name="_Hlk35615728"/>
      <w:r w:rsidR="00CA5C12">
        <w:rPr>
          <w:rFonts w:asciiTheme="minorHAnsi" w:hAnsiTheme="minorHAnsi" w:cstheme="minorHAnsi"/>
          <w:color w:val="000000"/>
          <w:sz w:val="22"/>
          <w:szCs w:val="22"/>
          <w:lang w:val="fr-CH"/>
        </w:rPr>
        <w:t xml:space="preserve">indiquent </w:t>
      </w:r>
      <w:r w:rsidR="00F821D4">
        <w:rPr>
          <w:rFonts w:asciiTheme="minorHAnsi" w:hAnsiTheme="minorHAnsi" w:cstheme="minorHAnsi"/>
          <w:color w:val="000000"/>
          <w:sz w:val="22"/>
          <w:szCs w:val="22"/>
          <w:lang w:val="fr-CH"/>
        </w:rPr>
        <w:t>une répartition</w:t>
      </w:r>
      <w:r w:rsidR="00CA5C12">
        <w:rPr>
          <w:rFonts w:asciiTheme="minorHAnsi" w:hAnsiTheme="minorHAnsi" w:cstheme="minorHAnsi"/>
          <w:color w:val="000000"/>
          <w:sz w:val="22"/>
          <w:szCs w:val="22"/>
          <w:lang w:val="fr-CH"/>
        </w:rPr>
        <w:t xml:space="preserve"> relativement équilibré</w:t>
      </w:r>
      <w:r w:rsidR="00F821D4">
        <w:rPr>
          <w:rFonts w:asciiTheme="minorHAnsi" w:hAnsiTheme="minorHAnsi" w:cstheme="minorHAnsi"/>
          <w:color w:val="000000"/>
          <w:sz w:val="22"/>
          <w:szCs w:val="22"/>
          <w:lang w:val="fr-CH"/>
        </w:rPr>
        <w:t>e</w:t>
      </w:r>
      <w:r w:rsidR="00CA5C12">
        <w:rPr>
          <w:rFonts w:asciiTheme="minorHAnsi" w:hAnsiTheme="minorHAnsi" w:cstheme="minorHAnsi"/>
          <w:color w:val="000000"/>
          <w:sz w:val="22"/>
          <w:szCs w:val="22"/>
          <w:lang w:val="fr-CH"/>
        </w:rPr>
        <w:t xml:space="preserve"> entre les trois </w:t>
      </w:r>
      <w:r w:rsidR="0079035E">
        <w:rPr>
          <w:rFonts w:asciiTheme="minorHAnsi" w:hAnsiTheme="minorHAnsi" w:cstheme="minorHAnsi"/>
          <w:color w:val="000000"/>
          <w:sz w:val="22"/>
          <w:szCs w:val="22"/>
          <w:lang w:val="fr-CH"/>
        </w:rPr>
        <w:t>sortes</w:t>
      </w:r>
      <w:r w:rsidR="00CA5C12">
        <w:rPr>
          <w:rFonts w:asciiTheme="minorHAnsi" w:hAnsiTheme="minorHAnsi" w:cstheme="minorHAnsi"/>
          <w:color w:val="000000"/>
          <w:sz w:val="22"/>
          <w:szCs w:val="22"/>
          <w:lang w:val="fr-CH"/>
        </w:rPr>
        <w:t xml:space="preserve"> d’expérience </w:t>
      </w:r>
      <w:r w:rsidR="00F821D4">
        <w:rPr>
          <w:rFonts w:asciiTheme="minorHAnsi" w:hAnsiTheme="minorHAnsi" w:cstheme="minorHAnsi"/>
          <w:color w:val="000000"/>
          <w:sz w:val="22"/>
          <w:szCs w:val="22"/>
          <w:lang w:val="fr-CH"/>
        </w:rPr>
        <w:t>possible</w:t>
      </w:r>
      <w:r w:rsidR="0068093C">
        <w:rPr>
          <w:rFonts w:asciiTheme="minorHAnsi" w:hAnsiTheme="minorHAnsi" w:cstheme="minorHAnsi"/>
          <w:color w:val="000000"/>
          <w:sz w:val="22"/>
          <w:szCs w:val="22"/>
          <w:lang w:val="fr-CH"/>
        </w:rPr>
        <w:t>s</w:t>
      </w:r>
      <w:r w:rsidR="00F821D4">
        <w:rPr>
          <w:rFonts w:asciiTheme="minorHAnsi" w:hAnsiTheme="minorHAnsi" w:cstheme="minorHAnsi"/>
          <w:color w:val="000000"/>
          <w:sz w:val="22"/>
          <w:szCs w:val="22"/>
          <w:lang w:val="fr-CH"/>
        </w:rPr>
        <w:t xml:space="preserve"> </w:t>
      </w:r>
      <w:r w:rsidR="00CA5C12">
        <w:rPr>
          <w:rFonts w:asciiTheme="minorHAnsi" w:hAnsiTheme="minorHAnsi" w:cstheme="minorHAnsi"/>
          <w:color w:val="000000"/>
          <w:sz w:val="22"/>
          <w:szCs w:val="22"/>
          <w:lang w:val="fr-CH"/>
        </w:rPr>
        <w:t>(c’est</w:t>
      </w:r>
      <w:r w:rsidR="00CA5C12">
        <w:rPr>
          <w:rFonts w:asciiTheme="minorHAnsi" w:hAnsiTheme="minorHAnsi" w:cstheme="minorHAnsi"/>
          <w:color w:val="000000"/>
          <w:sz w:val="22"/>
          <w:szCs w:val="22"/>
          <w:lang w:val="fr-CH"/>
        </w:rPr>
        <w:noBreakHyphen/>
        <w:t>à</w:t>
      </w:r>
      <w:r w:rsidR="00CA5C12">
        <w:rPr>
          <w:rFonts w:asciiTheme="minorHAnsi" w:hAnsiTheme="minorHAnsi" w:cstheme="minorHAnsi"/>
          <w:color w:val="000000"/>
          <w:sz w:val="22"/>
          <w:szCs w:val="22"/>
          <w:lang w:val="fr-CH"/>
        </w:rPr>
        <w:noBreakHyphen/>
        <w:t>dire « non ou limité</w:t>
      </w:r>
      <w:r w:rsidR="004F6429">
        <w:rPr>
          <w:rFonts w:asciiTheme="minorHAnsi" w:hAnsiTheme="minorHAnsi" w:cstheme="minorHAnsi"/>
          <w:color w:val="000000"/>
          <w:sz w:val="22"/>
          <w:szCs w:val="22"/>
          <w:lang w:val="fr-CH"/>
        </w:rPr>
        <w:t>e</w:t>
      </w:r>
      <w:r w:rsidR="00CA5C12">
        <w:rPr>
          <w:rFonts w:asciiTheme="minorHAnsi" w:hAnsiTheme="minorHAnsi" w:cstheme="minorHAnsi"/>
          <w:color w:val="000000"/>
          <w:sz w:val="22"/>
          <w:szCs w:val="22"/>
          <w:lang w:val="fr-CH"/>
        </w:rPr>
        <w:t> », « modéré</w:t>
      </w:r>
      <w:r w:rsidR="004F6429">
        <w:rPr>
          <w:rFonts w:asciiTheme="minorHAnsi" w:hAnsiTheme="minorHAnsi" w:cstheme="minorHAnsi"/>
          <w:color w:val="000000"/>
          <w:sz w:val="22"/>
          <w:szCs w:val="22"/>
          <w:lang w:val="fr-CH"/>
        </w:rPr>
        <w:t>e</w:t>
      </w:r>
      <w:r w:rsidR="00CA5C12">
        <w:rPr>
          <w:rFonts w:asciiTheme="minorHAnsi" w:hAnsiTheme="minorHAnsi" w:cstheme="minorHAnsi"/>
          <w:color w:val="000000"/>
          <w:sz w:val="22"/>
          <w:szCs w:val="22"/>
          <w:lang w:val="fr-CH"/>
        </w:rPr>
        <w:t> » ou « avancé</w:t>
      </w:r>
      <w:r w:rsidR="004F6429">
        <w:rPr>
          <w:rFonts w:asciiTheme="minorHAnsi" w:hAnsiTheme="minorHAnsi" w:cstheme="minorHAnsi"/>
          <w:color w:val="000000"/>
          <w:sz w:val="22"/>
          <w:szCs w:val="22"/>
          <w:lang w:val="fr-CH"/>
        </w:rPr>
        <w:t>e</w:t>
      </w:r>
      <w:r w:rsidR="00CA5C12">
        <w:rPr>
          <w:rFonts w:asciiTheme="minorHAnsi" w:hAnsiTheme="minorHAnsi" w:cstheme="minorHAnsi"/>
          <w:color w:val="000000"/>
          <w:sz w:val="22"/>
          <w:szCs w:val="22"/>
          <w:lang w:val="fr-CH"/>
        </w:rPr>
        <w:t> »)</w:t>
      </w:r>
      <w:bookmarkEnd w:id="8"/>
      <w:r w:rsidR="00CA5C12">
        <w:rPr>
          <w:rFonts w:asciiTheme="minorHAnsi" w:hAnsiTheme="minorHAnsi" w:cstheme="minorHAnsi"/>
          <w:color w:val="000000"/>
          <w:sz w:val="22"/>
          <w:szCs w:val="22"/>
          <w:lang w:val="fr-CH"/>
        </w:rPr>
        <w:t xml:space="preserve">. </w:t>
      </w:r>
      <w:r w:rsidR="0079035E">
        <w:rPr>
          <w:rFonts w:asciiTheme="minorHAnsi" w:hAnsiTheme="minorHAnsi" w:cstheme="minorHAnsi"/>
          <w:color w:val="000000"/>
          <w:sz w:val="22"/>
          <w:szCs w:val="22"/>
          <w:lang w:val="fr-CH"/>
        </w:rPr>
        <w:t>L</w:t>
      </w:r>
      <w:r w:rsidR="00CA5C12">
        <w:rPr>
          <w:rFonts w:asciiTheme="minorHAnsi" w:hAnsiTheme="minorHAnsi" w:cstheme="minorHAnsi"/>
          <w:color w:val="000000"/>
          <w:sz w:val="22"/>
          <w:szCs w:val="22"/>
          <w:lang w:val="fr-CH"/>
        </w:rPr>
        <w:t xml:space="preserve">es Parties contractantes </w:t>
      </w:r>
      <w:r w:rsidR="00006473">
        <w:rPr>
          <w:rFonts w:asciiTheme="minorHAnsi" w:hAnsiTheme="minorHAnsi" w:cstheme="minorHAnsi"/>
          <w:color w:val="000000"/>
          <w:sz w:val="22"/>
          <w:szCs w:val="22"/>
          <w:lang w:val="fr-CH"/>
        </w:rPr>
        <w:t>ayant</w:t>
      </w:r>
      <w:r w:rsidR="00CA5C12">
        <w:rPr>
          <w:rFonts w:asciiTheme="minorHAnsi" w:hAnsiTheme="minorHAnsi" w:cstheme="minorHAnsi"/>
          <w:color w:val="000000"/>
          <w:sz w:val="22"/>
          <w:szCs w:val="22"/>
          <w:lang w:val="fr-CH"/>
        </w:rPr>
        <w:t xml:space="preserve"> répondu que leur expérience </w:t>
      </w:r>
      <w:r w:rsidR="00006473">
        <w:rPr>
          <w:rFonts w:asciiTheme="minorHAnsi" w:hAnsiTheme="minorHAnsi" w:cstheme="minorHAnsi"/>
          <w:color w:val="000000"/>
          <w:sz w:val="22"/>
          <w:szCs w:val="22"/>
          <w:lang w:val="fr-CH"/>
        </w:rPr>
        <w:t>est</w:t>
      </w:r>
      <w:r w:rsidR="00CA5C12">
        <w:rPr>
          <w:rFonts w:asciiTheme="minorHAnsi" w:hAnsiTheme="minorHAnsi" w:cstheme="minorHAnsi"/>
          <w:color w:val="000000"/>
          <w:sz w:val="22"/>
          <w:szCs w:val="22"/>
          <w:lang w:val="fr-CH"/>
        </w:rPr>
        <w:t xml:space="preserve"> limitée ou modérée en matière d’inventaire des zones humides et d’étendue des zones humides semblent nécessiter une assistance technique tandis que les Parties contractantes </w:t>
      </w:r>
      <w:r w:rsidR="0079035E">
        <w:rPr>
          <w:rFonts w:asciiTheme="minorHAnsi" w:hAnsiTheme="minorHAnsi" w:cstheme="minorHAnsi"/>
          <w:color w:val="000000"/>
          <w:sz w:val="22"/>
          <w:szCs w:val="22"/>
          <w:lang w:val="fr-CH"/>
        </w:rPr>
        <w:t xml:space="preserve">dont l’expérience </w:t>
      </w:r>
      <w:r w:rsidR="00006473">
        <w:rPr>
          <w:rFonts w:asciiTheme="minorHAnsi" w:hAnsiTheme="minorHAnsi" w:cstheme="minorHAnsi"/>
          <w:color w:val="000000"/>
          <w:sz w:val="22"/>
          <w:szCs w:val="22"/>
          <w:lang w:val="fr-CH"/>
        </w:rPr>
        <w:t>est</w:t>
      </w:r>
      <w:r w:rsidR="0079035E">
        <w:rPr>
          <w:rFonts w:asciiTheme="minorHAnsi" w:hAnsiTheme="minorHAnsi" w:cstheme="minorHAnsi"/>
          <w:color w:val="000000"/>
          <w:sz w:val="22"/>
          <w:szCs w:val="22"/>
          <w:lang w:val="fr-CH"/>
        </w:rPr>
        <w:t xml:space="preserve"> « </w:t>
      </w:r>
      <w:r w:rsidR="00CA5C12">
        <w:rPr>
          <w:rFonts w:asciiTheme="minorHAnsi" w:hAnsiTheme="minorHAnsi" w:cstheme="minorHAnsi"/>
          <w:color w:val="000000"/>
          <w:sz w:val="22"/>
          <w:szCs w:val="22"/>
          <w:lang w:val="fr-CH"/>
        </w:rPr>
        <w:t>avancée</w:t>
      </w:r>
      <w:r w:rsidR="0079035E">
        <w:rPr>
          <w:rFonts w:asciiTheme="minorHAnsi" w:hAnsiTheme="minorHAnsi" w:cstheme="minorHAnsi"/>
          <w:color w:val="000000"/>
          <w:sz w:val="22"/>
          <w:szCs w:val="22"/>
          <w:lang w:val="fr-CH"/>
        </w:rPr>
        <w:t> »</w:t>
      </w:r>
      <w:r w:rsidR="00CA5C12">
        <w:rPr>
          <w:rFonts w:asciiTheme="minorHAnsi" w:hAnsiTheme="minorHAnsi" w:cstheme="minorHAnsi"/>
          <w:color w:val="000000"/>
          <w:sz w:val="22"/>
          <w:szCs w:val="22"/>
          <w:lang w:val="fr-CH"/>
        </w:rPr>
        <w:t xml:space="preserve"> </w:t>
      </w:r>
      <w:r w:rsidR="0079035E">
        <w:rPr>
          <w:rFonts w:asciiTheme="minorHAnsi" w:hAnsiTheme="minorHAnsi" w:cstheme="minorHAnsi"/>
          <w:color w:val="000000"/>
          <w:sz w:val="22"/>
          <w:szCs w:val="22"/>
          <w:lang w:val="fr-CH"/>
        </w:rPr>
        <w:t>indiquent généralement avoir surtout</w:t>
      </w:r>
      <w:r w:rsidR="00CA5C12">
        <w:rPr>
          <w:rFonts w:asciiTheme="minorHAnsi" w:hAnsiTheme="minorHAnsi" w:cstheme="minorHAnsi"/>
          <w:color w:val="000000"/>
          <w:sz w:val="22"/>
          <w:szCs w:val="22"/>
          <w:lang w:val="fr-CH"/>
        </w:rPr>
        <w:t xml:space="preserve"> besoin </w:t>
      </w:r>
      <w:r w:rsidR="0079035E">
        <w:rPr>
          <w:rFonts w:asciiTheme="minorHAnsi" w:hAnsiTheme="minorHAnsi" w:cstheme="minorHAnsi"/>
          <w:color w:val="000000"/>
          <w:sz w:val="22"/>
          <w:szCs w:val="22"/>
          <w:lang w:val="fr-CH"/>
        </w:rPr>
        <w:t>de plus de</w:t>
      </w:r>
      <w:r w:rsidR="00CA5C12">
        <w:rPr>
          <w:rFonts w:asciiTheme="minorHAnsi" w:hAnsiTheme="minorHAnsi" w:cstheme="minorHAnsi"/>
          <w:color w:val="000000"/>
          <w:sz w:val="22"/>
          <w:szCs w:val="22"/>
          <w:lang w:val="fr-CH"/>
        </w:rPr>
        <w:t xml:space="preserve"> financement. En outre, certaines Parties </w:t>
      </w:r>
      <w:r w:rsidR="0079035E">
        <w:rPr>
          <w:rFonts w:asciiTheme="minorHAnsi" w:hAnsiTheme="minorHAnsi" w:cstheme="minorHAnsi"/>
          <w:color w:val="000000"/>
          <w:sz w:val="22"/>
          <w:szCs w:val="22"/>
          <w:lang w:val="fr-CH"/>
        </w:rPr>
        <w:t>signalent, parmi les</w:t>
      </w:r>
      <w:r w:rsidR="00CA5C12">
        <w:rPr>
          <w:rFonts w:asciiTheme="minorHAnsi" w:hAnsiTheme="minorHAnsi" w:cstheme="minorHAnsi"/>
          <w:color w:val="000000"/>
          <w:sz w:val="22"/>
          <w:szCs w:val="22"/>
          <w:lang w:val="fr-CH"/>
        </w:rPr>
        <w:t xml:space="preserve"> </w:t>
      </w:r>
      <w:r w:rsidR="0079035E">
        <w:rPr>
          <w:rFonts w:asciiTheme="minorHAnsi" w:hAnsiTheme="minorHAnsi" w:cstheme="minorHAnsi"/>
          <w:color w:val="000000"/>
          <w:sz w:val="22"/>
          <w:szCs w:val="22"/>
          <w:lang w:val="fr-CH"/>
        </w:rPr>
        <w:t xml:space="preserve">facteurs techniques limitants, </w:t>
      </w:r>
      <w:r w:rsidR="00CA5C12">
        <w:rPr>
          <w:rFonts w:asciiTheme="minorHAnsi" w:hAnsiTheme="minorHAnsi" w:cstheme="minorHAnsi"/>
          <w:color w:val="000000"/>
          <w:sz w:val="22"/>
          <w:szCs w:val="22"/>
          <w:lang w:val="fr-CH"/>
        </w:rPr>
        <w:t xml:space="preserve">des ressources humaines limitées et un manque de capacité </w:t>
      </w:r>
      <w:r w:rsidR="0079035E">
        <w:rPr>
          <w:rFonts w:asciiTheme="minorHAnsi" w:hAnsiTheme="minorHAnsi" w:cstheme="minorHAnsi"/>
          <w:color w:val="000000"/>
          <w:sz w:val="22"/>
          <w:szCs w:val="22"/>
          <w:lang w:val="fr-CH"/>
        </w:rPr>
        <w:t>institutionnelle</w:t>
      </w:r>
      <w:r w:rsidR="00CA5C12">
        <w:rPr>
          <w:rFonts w:asciiTheme="minorHAnsi" w:hAnsiTheme="minorHAnsi" w:cstheme="minorHAnsi"/>
          <w:color w:val="000000"/>
          <w:sz w:val="22"/>
          <w:szCs w:val="22"/>
          <w:lang w:val="fr-CH"/>
        </w:rPr>
        <w:t xml:space="preserve">. Plus précisément, l’absence de capacité </w:t>
      </w:r>
      <w:r w:rsidR="0079035E">
        <w:rPr>
          <w:rFonts w:asciiTheme="minorHAnsi" w:hAnsiTheme="minorHAnsi" w:cstheme="minorHAnsi"/>
          <w:color w:val="000000"/>
          <w:sz w:val="22"/>
          <w:szCs w:val="22"/>
          <w:lang w:val="fr-CH"/>
        </w:rPr>
        <w:t>pour</w:t>
      </w:r>
      <w:r w:rsidR="00CA5C12">
        <w:rPr>
          <w:rFonts w:asciiTheme="minorHAnsi" w:hAnsiTheme="minorHAnsi" w:cstheme="minorHAnsi"/>
          <w:color w:val="000000"/>
          <w:sz w:val="22"/>
          <w:szCs w:val="22"/>
          <w:lang w:val="fr-CH"/>
        </w:rPr>
        <w:t xml:space="preserve"> produire et analyser </w:t>
      </w:r>
      <w:r w:rsidR="0079035E">
        <w:rPr>
          <w:rFonts w:asciiTheme="minorHAnsi" w:hAnsiTheme="minorHAnsi" w:cstheme="minorHAnsi"/>
          <w:color w:val="000000"/>
          <w:sz w:val="22"/>
          <w:szCs w:val="22"/>
          <w:lang w:val="fr-CH"/>
        </w:rPr>
        <w:t>l</w:t>
      </w:r>
      <w:r w:rsidR="00CA5C12">
        <w:rPr>
          <w:rFonts w:asciiTheme="minorHAnsi" w:hAnsiTheme="minorHAnsi" w:cstheme="minorHAnsi"/>
          <w:color w:val="000000"/>
          <w:sz w:val="22"/>
          <w:szCs w:val="22"/>
          <w:lang w:val="fr-CH"/>
        </w:rPr>
        <w:t>es informations issues de la télédétection semble être un facteur limitant commun.</w:t>
      </w:r>
      <w:r w:rsidR="00354B3E" w:rsidRPr="00C51B41">
        <w:rPr>
          <w:rFonts w:asciiTheme="minorHAnsi" w:hAnsiTheme="minorHAnsi" w:cstheme="minorHAnsi"/>
          <w:color w:val="000000"/>
          <w:sz w:val="22"/>
          <w:szCs w:val="22"/>
          <w:lang w:val="fr-CH"/>
        </w:rPr>
        <w:t xml:space="preserve"> </w:t>
      </w:r>
    </w:p>
    <w:p w14:paraId="03A17957" w14:textId="77777777" w:rsidR="009D6C82" w:rsidRPr="00C51B41" w:rsidRDefault="009D6C82" w:rsidP="00085362">
      <w:pPr>
        <w:ind w:left="425" w:hanging="425"/>
        <w:jc w:val="left"/>
        <w:rPr>
          <w:rFonts w:asciiTheme="minorHAnsi" w:hAnsiTheme="minorHAnsi" w:cstheme="minorHAnsi"/>
          <w:color w:val="000000"/>
          <w:sz w:val="22"/>
          <w:szCs w:val="22"/>
          <w:lang w:val="fr-CH"/>
        </w:rPr>
      </w:pPr>
    </w:p>
    <w:p w14:paraId="64B8A68A" w14:textId="0E985AA2" w:rsidR="00807D57" w:rsidRPr="00C51B41" w:rsidRDefault="002048EC" w:rsidP="00085362">
      <w:pPr>
        <w:ind w:left="425" w:hanging="425"/>
        <w:jc w:val="left"/>
        <w:rPr>
          <w:rFonts w:asciiTheme="minorHAnsi" w:hAnsiTheme="minorHAnsi" w:cstheme="minorHAnsi"/>
          <w:color w:val="000000"/>
          <w:sz w:val="22"/>
          <w:szCs w:val="22"/>
          <w:lang w:val="fr-CH"/>
        </w:rPr>
      </w:pPr>
      <w:r w:rsidRPr="00C51B41">
        <w:rPr>
          <w:rFonts w:asciiTheme="minorHAnsi" w:hAnsiTheme="minorHAnsi" w:cstheme="minorHAnsi"/>
          <w:color w:val="000000"/>
          <w:sz w:val="22"/>
          <w:szCs w:val="22"/>
          <w:lang w:val="fr-CH"/>
        </w:rPr>
        <w:t>16.</w:t>
      </w:r>
      <w:r w:rsidRPr="00C51B41">
        <w:rPr>
          <w:rFonts w:asciiTheme="minorHAnsi" w:hAnsiTheme="minorHAnsi" w:cstheme="minorHAnsi"/>
          <w:color w:val="000000"/>
          <w:sz w:val="22"/>
          <w:szCs w:val="22"/>
          <w:lang w:val="fr-CH"/>
        </w:rPr>
        <w:tab/>
      </w:r>
      <w:bookmarkStart w:id="9" w:name="_Hlk35617453"/>
      <w:r w:rsidR="00006473">
        <w:rPr>
          <w:rFonts w:asciiTheme="minorHAnsi" w:hAnsiTheme="minorHAnsi" w:cstheme="minorHAnsi"/>
          <w:color w:val="000000"/>
          <w:sz w:val="22"/>
          <w:szCs w:val="22"/>
          <w:lang w:val="fr-CH"/>
        </w:rPr>
        <w:t>Les</w:t>
      </w:r>
      <w:r w:rsidR="000850AF">
        <w:rPr>
          <w:rFonts w:asciiTheme="minorHAnsi" w:hAnsiTheme="minorHAnsi" w:cstheme="minorHAnsi"/>
          <w:color w:val="000000"/>
          <w:sz w:val="22"/>
          <w:szCs w:val="22"/>
          <w:lang w:val="fr-CH"/>
        </w:rPr>
        <w:t xml:space="preserve"> Parties contractantes </w:t>
      </w:r>
      <w:r w:rsidR="00006473">
        <w:rPr>
          <w:rFonts w:asciiTheme="minorHAnsi" w:hAnsiTheme="minorHAnsi" w:cstheme="minorHAnsi"/>
          <w:color w:val="000000"/>
          <w:sz w:val="22"/>
          <w:szCs w:val="22"/>
          <w:lang w:val="fr-CH"/>
        </w:rPr>
        <w:t>indiquent également</w:t>
      </w:r>
      <w:r w:rsidR="000850AF">
        <w:rPr>
          <w:rFonts w:asciiTheme="minorHAnsi" w:hAnsiTheme="minorHAnsi" w:cstheme="minorHAnsi"/>
          <w:color w:val="000000"/>
          <w:sz w:val="22"/>
          <w:szCs w:val="22"/>
          <w:lang w:val="fr-CH"/>
        </w:rPr>
        <w:t xml:space="preserve"> </w:t>
      </w:r>
      <w:r w:rsidR="00006473">
        <w:rPr>
          <w:rFonts w:asciiTheme="minorHAnsi" w:hAnsiTheme="minorHAnsi" w:cstheme="minorHAnsi"/>
          <w:color w:val="000000"/>
          <w:sz w:val="22"/>
          <w:szCs w:val="22"/>
          <w:lang w:val="fr-CH"/>
        </w:rPr>
        <w:t>avoir aussi bien</w:t>
      </w:r>
      <w:r w:rsidR="000850AF">
        <w:rPr>
          <w:rFonts w:asciiTheme="minorHAnsi" w:hAnsiTheme="minorHAnsi" w:cstheme="minorHAnsi"/>
          <w:color w:val="000000"/>
          <w:sz w:val="22"/>
          <w:szCs w:val="22"/>
          <w:lang w:val="fr-CH"/>
        </w:rPr>
        <w:t xml:space="preserve"> </w:t>
      </w:r>
      <w:r w:rsidR="005113DF">
        <w:rPr>
          <w:rFonts w:asciiTheme="minorHAnsi" w:hAnsiTheme="minorHAnsi" w:cstheme="minorHAnsi"/>
          <w:color w:val="000000"/>
          <w:sz w:val="22"/>
          <w:szCs w:val="22"/>
          <w:lang w:val="fr-CH"/>
        </w:rPr>
        <w:t>des problèmes financiers</w:t>
      </w:r>
      <w:r w:rsidR="00006473">
        <w:rPr>
          <w:rFonts w:asciiTheme="minorHAnsi" w:hAnsiTheme="minorHAnsi" w:cstheme="minorHAnsi"/>
          <w:color w:val="000000"/>
          <w:sz w:val="22"/>
          <w:szCs w:val="22"/>
          <w:lang w:val="fr-CH"/>
        </w:rPr>
        <w:t xml:space="preserve"> que</w:t>
      </w:r>
      <w:r w:rsidR="005113DF">
        <w:rPr>
          <w:rFonts w:asciiTheme="minorHAnsi" w:hAnsiTheme="minorHAnsi" w:cstheme="minorHAnsi"/>
          <w:color w:val="000000"/>
          <w:sz w:val="22"/>
          <w:szCs w:val="22"/>
          <w:lang w:val="fr-CH"/>
        </w:rPr>
        <w:t xml:space="preserve"> techniques et de gouvernance </w:t>
      </w:r>
      <w:r w:rsidR="00006473">
        <w:rPr>
          <w:rFonts w:asciiTheme="minorHAnsi" w:hAnsiTheme="minorHAnsi" w:cstheme="minorHAnsi"/>
          <w:color w:val="000000"/>
          <w:sz w:val="22"/>
          <w:szCs w:val="22"/>
          <w:lang w:val="fr-CH"/>
        </w:rPr>
        <w:t xml:space="preserve">qui entravent </w:t>
      </w:r>
      <w:r w:rsidR="005113DF">
        <w:rPr>
          <w:rFonts w:asciiTheme="minorHAnsi" w:hAnsiTheme="minorHAnsi" w:cstheme="minorHAnsi"/>
          <w:color w:val="000000"/>
          <w:sz w:val="22"/>
          <w:szCs w:val="22"/>
          <w:lang w:val="fr-CH"/>
        </w:rPr>
        <w:t>leur capacité d’entreprendre, terminer ou mettre à jour un INZH</w:t>
      </w:r>
      <w:r w:rsidR="00006473">
        <w:rPr>
          <w:rFonts w:asciiTheme="minorHAnsi" w:hAnsiTheme="minorHAnsi" w:cstheme="minorHAnsi"/>
          <w:color w:val="000000"/>
          <w:sz w:val="22"/>
          <w:szCs w:val="22"/>
          <w:lang w:val="fr-CH"/>
        </w:rPr>
        <w:t>. Le soutien</w:t>
      </w:r>
      <w:r w:rsidR="005113DF">
        <w:rPr>
          <w:rFonts w:asciiTheme="minorHAnsi" w:hAnsiTheme="minorHAnsi" w:cstheme="minorHAnsi"/>
          <w:color w:val="000000"/>
          <w:sz w:val="22"/>
          <w:szCs w:val="22"/>
          <w:lang w:val="fr-CH"/>
        </w:rPr>
        <w:t xml:space="preserve"> technique et financier </w:t>
      </w:r>
      <w:r w:rsidR="00006473">
        <w:rPr>
          <w:rFonts w:asciiTheme="minorHAnsi" w:hAnsiTheme="minorHAnsi" w:cstheme="minorHAnsi"/>
          <w:color w:val="000000"/>
          <w:sz w:val="22"/>
          <w:szCs w:val="22"/>
          <w:lang w:val="fr-CH"/>
        </w:rPr>
        <w:t>est</w:t>
      </w:r>
      <w:r w:rsidR="005113DF">
        <w:rPr>
          <w:rFonts w:asciiTheme="minorHAnsi" w:hAnsiTheme="minorHAnsi" w:cstheme="minorHAnsi"/>
          <w:color w:val="000000"/>
          <w:sz w:val="22"/>
          <w:szCs w:val="22"/>
          <w:lang w:val="fr-CH"/>
        </w:rPr>
        <w:t xml:space="preserve"> le domaine d’appui nécessaire le plus communément cité</w:t>
      </w:r>
      <w:bookmarkEnd w:id="9"/>
      <w:r w:rsidR="005113DF">
        <w:rPr>
          <w:rFonts w:asciiTheme="minorHAnsi" w:hAnsiTheme="minorHAnsi" w:cstheme="minorHAnsi"/>
          <w:color w:val="000000"/>
          <w:sz w:val="22"/>
          <w:szCs w:val="22"/>
          <w:lang w:val="fr-CH"/>
        </w:rPr>
        <w:t xml:space="preserve">. </w:t>
      </w:r>
      <w:bookmarkStart w:id="10" w:name="_Hlk35617267"/>
      <w:r w:rsidR="005113DF">
        <w:rPr>
          <w:rFonts w:asciiTheme="minorHAnsi" w:hAnsiTheme="minorHAnsi" w:cstheme="minorHAnsi"/>
          <w:color w:val="000000"/>
          <w:sz w:val="22"/>
          <w:szCs w:val="22"/>
          <w:lang w:val="fr-CH"/>
        </w:rPr>
        <w:t xml:space="preserve">L’analyse globale des facteurs contextuels et économiques par rapport aux progrès des Parties contractantes en matière de réalisation d’un INZH indique </w:t>
      </w:r>
      <w:r w:rsidR="00006473">
        <w:rPr>
          <w:rFonts w:asciiTheme="minorHAnsi" w:hAnsiTheme="minorHAnsi" w:cstheme="minorHAnsi"/>
          <w:color w:val="000000"/>
          <w:sz w:val="22"/>
          <w:szCs w:val="22"/>
          <w:lang w:val="fr-CH"/>
        </w:rPr>
        <w:t>qu’en général,</w:t>
      </w:r>
      <w:r w:rsidR="005113DF">
        <w:rPr>
          <w:rFonts w:asciiTheme="minorHAnsi" w:hAnsiTheme="minorHAnsi" w:cstheme="minorHAnsi"/>
          <w:color w:val="000000"/>
          <w:sz w:val="22"/>
          <w:szCs w:val="22"/>
          <w:lang w:val="fr-CH"/>
        </w:rPr>
        <w:t xml:space="preserve"> les Parties contractantes ayant un revenu plus élevé </w:t>
      </w:r>
      <w:bookmarkEnd w:id="10"/>
      <w:r w:rsidR="005113DF">
        <w:rPr>
          <w:rFonts w:asciiTheme="minorHAnsi" w:hAnsiTheme="minorHAnsi" w:cstheme="minorHAnsi"/>
          <w:color w:val="000000"/>
          <w:sz w:val="22"/>
          <w:szCs w:val="22"/>
          <w:lang w:val="fr-CH"/>
        </w:rPr>
        <w:t xml:space="preserve">(voir note de bas de page 2) </w:t>
      </w:r>
      <w:bookmarkStart w:id="11" w:name="_Hlk35617289"/>
      <w:r w:rsidR="00006473">
        <w:rPr>
          <w:rFonts w:asciiTheme="minorHAnsi" w:hAnsiTheme="minorHAnsi" w:cstheme="minorHAnsi"/>
          <w:color w:val="000000"/>
          <w:sz w:val="22"/>
          <w:szCs w:val="22"/>
          <w:lang w:val="fr-CH"/>
        </w:rPr>
        <w:t>ont</w:t>
      </w:r>
      <w:r w:rsidR="005113DF">
        <w:rPr>
          <w:rFonts w:asciiTheme="minorHAnsi" w:hAnsiTheme="minorHAnsi" w:cstheme="minorHAnsi"/>
          <w:color w:val="000000"/>
          <w:sz w:val="22"/>
          <w:szCs w:val="22"/>
          <w:lang w:val="fr-CH"/>
        </w:rPr>
        <w:t xml:space="preserve"> terminé leur INZH ou </w:t>
      </w:r>
      <w:r w:rsidR="00006473">
        <w:rPr>
          <w:rFonts w:asciiTheme="minorHAnsi" w:hAnsiTheme="minorHAnsi" w:cstheme="minorHAnsi"/>
          <w:color w:val="000000"/>
          <w:sz w:val="22"/>
          <w:szCs w:val="22"/>
          <w:lang w:val="fr-CH"/>
        </w:rPr>
        <w:t>ont</w:t>
      </w:r>
      <w:r w:rsidR="005113DF">
        <w:rPr>
          <w:rFonts w:asciiTheme="minorHAnsi" w:hAnsiTheme="minorHAnsi" w:cstheme="minorHAnsi"/>
          <w:color w:val="000000"/>
          <w:sz w:val="22"/>
          <w:szCs w:val="22"/>
          <w:lang w:val="fr-CH"/>
        </w:rPr>
        <w:t xml:space="preserve"> un INZH en progrès</w:t>
      </w:r>
      <w:bookmarkEnd w:id="11"/>
      <w:r w:rsidR="005113DF">
        <w:rPr>
          <w:rFonts w:asciiTheme="minorHAnsi" w:hAnsiTheme="minorHAnsi" w:cstheme="minorHAnsi"/>
          <w:color w:val="000000"/>
          <w:sz w:val="22"/>
          <w:szCs w:val="22"/>
          <w:lang w:val="fr-CH"/>
        </w:rPr>
        <w:t xml:space="preserve">. </w:t>
      </w:r>
      <w:bookmarkStart w:id="12" w:name="_Hlk35617311"/>
      <w:r w:rsidR="005113DF">
        <w:rPr>
          <w:rFonts w:asciiTheme="minorHAnsi" w:hAnsiTheme="minorHAnsi" w:cstheme="minorHAnsi"/>
          <w:color w:val="000000"/>
          <w:sz w:val="22"/>
          <w:szCs w:val="22"/>
          <w:lang w:val="fr-CH"/>
        </w:rPr>
        <w:t>De même, les Parties contractantes en bonne voie dans leurs engagements environnementaux</w:t>
      </w:r>
      <w:bookmarkEnd w:id="12"/>
      <w:r w:rsidR="005113DF">
        <w:rPr>
          <w:rFonts w:asciiTheme="minorHAnsi" w:hAnsiTheme="minorHAnsi" w:cstheme="minorHAnsi"/>
          <w:color w:val="000000"/>
          <w:sz w:val="22"/>
          <w:szCs w:val="22"/>
          <w:lang w:val="fr-CH"/>
        </w:rPr>
        <w:t xml:space="preserve"> (voir note de bas de page 4) </w:t>
      </w:r>
      <w:bookmarkStart w:id="13" w:name="_Hlk35617328"/>
      <w:r w:rsidR="00006473">
        <w:rPr>
          <w:rFonts w:asciiTheme="minorHAnsi" w:hAnsiTheme="minorHAnsi" w:cstheme="minorHAnsi"/>
          <w:color w:val="000000"/>
          <w:sz w:val="22"/>
          <w:szCs w:val="22"/>
          <w:lang w:val="fr-CH"/>
        </w:rPr>
        <w:t>ont en général</w:t>
      </w:r>
      <w:r w:rsidR="005113DF">
        <w:rPr>
          <w:rFonts w:asciiTheme="minorHAnsi" w:hAnsiTheme="minorHAnsi" w:cstheme="minorHAnsi"/>
          <w:color w:val="000000"/>
          <w:sz w:val="22"/>
          <w:szCs w:val="22"/>
          <w:lang w:val="fr-CH"/>
        </w:rPr>
        <w:t xml:space="preserve"> aussi terminé </w:t>
      </w:r>
      <w:r w:rsidR="00006473">
        <w:rPr>
          <w:rFonts w:asciiTheme="minorHAnsi" w:hAnsiTheme="minorHAnsi" w:cstheme="minorHAnsi"/>
          <w:color w:val="000000"/>
          <w:sz w:val="22"/>
          <w:szCs w:val="22"/>
          <w:lang w:val="fr-CH"/>
        </w:rPr>
        <w:t>leur INZH ou sont</w:t>
      </w:r>
      <w:r w:rsidR="005113DF">
        <w:rPr>
          <w:rFonts w:asciiTheme="minorHAnsi" w:hAnsiTheme="minorHAnsi" w:cstheme="minorHAnsi"/>
          <w:color w:val="000000"/>
          <w:sz w:val="22"/>
          <w:szCs w:val="22"/>
          <w:lang w:val="fr-CH"/>
        </w:rPr>
        <w:t xml:space="preserve"> en train d’en</w:t>
      </w:r>
      <w:r w:rsidR="00006473">
        <w:rPr>
          <w:rFonts w:asciiTheme="minorHAnsi" w:hAnsiTheme="minorHAnsi" w:cstheme="minorHAnsi"/>
          <w:color w:val="000000"/>
          <w:sz w:val="22"/>
          <w:szCs w:val="22"/>
          <w:lang w:val="fr-CH"/>
        </w:rPr>
        <w:t xml:space="preserve"> en</w:t>
      </w:r>
      <w:r w:rsidR="005113DF">
        <w:rPr>
          <w:rFonts w:asciiTheme="minorHAnsi" w:hAnsiTheme="minorHAnsi" w:cstheme="minorHAnsi"/>
          <w:color w:val="000000"/>
          <w:sz w:val="22"/>
          <w:szCs w:val="22"/>
          <w:lang w:val="fr-CH"/>
        </w:rPr>
        <w:t>treprendre un</w:t>
      </w:r>
      <w:bookmarkEnd w:id="13"/>
      <w:r w:rsidR="005113DF">
        <w:rPr>
          <w:rFonts w:asciiTheme="minorHAnsi" w:hAnsiTheme="minorHAnsi" w:cstheme="minorHAnsi"/>
          <w:color w:val="000000"/>
          <w:sz w:val="22"/>
          <w:szCs w:val="22"/>
          <w:lang w:val="fr-CH"/>
        </w:rPr>
        <w:t xml:space="preserve">. </w:t>
      </w:r>
    </w:p>
    <w:p w14:paraId="1AD9F538" w14:textId="77777777" w:rsidR="00833228" w:rsidRPr="00C51B41" w:rsidRDefault="00833228" w:rsidP="000311F4">
      <w:pPr>
        <w:ind w:left="425" w:hanging="425"/>
        <w:jc w:val="left"/>
        <w:rPr>
          <w:rFonts w:asciiTheme="minorHAnsi" w:hAnsiTheme="minorHAnsi" w:cstheme="minorHAnsi"/>
          <w:color w:val="000000"/>
          <w:sz w:val="22"/>
          <w:szCs w:val="22"/>
          <w:lang w:val="fr-CH"/>
        </w:rPr>
      </w:pPr>
    </w:p>
    <w:p w14:paraId="36A12D33" w14:textId="1C1AF19A" w:rsidR="00833228" w:rsidRPr="00C51B41" w:rsidRDefault="002048EC" w:rsidP="000311F4">
      <w:pPr>
        <w:ind w:left="425" w:hanging="425"/>
        <w:jc w:val="left"/>
        <w:rPr>
          <w:rFonts w:asciiTheme="minorHAnsi" w:hAnsiTheme="minorHAnsi" w:cstheme="minorHAnsi"/>
          <w:color w:val="000000"/>
          <w:sz w:val="22"/>
          <w:szCs w:val="22"/>
          <w:lang w:val="fr-CH"/>
        </w:rPr>
      </w:pPr>
      <w:r w:rsidRPr="00C51B41">
        <w:rPr>
          <w:rFonts w:asciiTheme="minorHAnsi" w:hAnsiTheme="minorHAnsi" w:cstheme="minorHAnsi"/>
          <w:color w:val="000000"/>
          <w:sz w:val="22"/>
          <w:szCs w:val="22"/>
          <w:lang w:val="fr-CH"/>
        </w:rPr>
        <w:t>17.</w:t>
      </w:r>
      <w:r w:rsidRPr="00C51B41">
        <w:rPr>
          <w:rFonts w:asciiTheme="minorHAnsi" w:hAnsiTheme="minorHAnsi" w:cstheme="minorHAnsi"/>
          <w:color w:val="000000"/>
          <w:sz w:val="22"/>
          <w:szCs w:val="22"/>
          <w:lang w:val="fr-CH"/>
        </w:rPr>
        <w:tab/>
      </w:r>
      <w:r w:rsidR="005113DF">
        <w:rPr>
          <w:rFonts w:asciiTheme="minorHAnsi" w:hAnsiTheme="minorHAnsi" w:cstheme="minorHAnsi"/>
          <w:color w:val="000000"/>
          <w:sz w:val="22"/>
          <w:szCs w:val="22"/>
          <w:lang w:val="fr-CH"/>
        </w:rPr>
        <w:t xml:space="preserve">Selon les Parties, les deux documents d’orientation les plus utiles pour entreprendre des inventaires des zones humides sont a) le </w:t>
      </w:r>
      <w:r w:rsidR="005113DF">
        <w:rPr>
          <w:rFonts w:asciiTheme="minorHAnsi" w:hAnsiTheme="minorHAnsi" w:cstheme="minorHAnsi"/>
          <w:i/>
          <w:color w:val="000000"/>
          <w:sz w:val="22"/>
          <w:szCs w:val="22"/>
          <w:lang w:val="fr-CH"/>
        </w:rPr>
        <w:t xml:space="preserve">Cadre d’inventaire des zones humides </w:t>
      </w:r>
      <w:r w:rsidR="005113DF" w:rsidRPr="005113DF">
        <w:rPr>
          <w:rFonts w:asciiTheme="minorHAnsi" w:hAnsiTheme="minorHAnsi" w:cstheme="minorHAnsi"/>
          <w:color w:val="000000"/>
          <w:sz w:val="22"/>
          <w:szCs w:val="22"/>
          <w:lang w:val="fr-CH"/>
        </w:rPr>
        <w:t>de la Convention</w:t>
      </w:r>
      <w:r w:rsidR="005113DF">
        <w:rPr>
          <w:rFonts w:asciiTheme="minorHAnsi" w:hAnsiTheme="minorHAnsi" w:cstheme="minorHAnsi"/>
          <w:i/>
          <w:color w:val="000000"/>
          <w:sz w:val="22"/>
          <w:szCs w:val="22"/>
          <w:lang w:val="fr-CH"/>
        </w:rPr>
        <w:t xml:space="preserve"> </w:t>
      </w:r>
      <w:r w:rsidR="00833228" w:rsidRPr="00C51B41">
        <w:rPr>
          <w:rFonts w:asciiTheme="minorHAnsi" w:hAnsiTheme="minorHAnsi" w:cstheme="minorHAnsi"/>
          <w:color w:val="000000"/>
          <w:sz w:val="22"/>
          <w:szCs w:val="22"/>
          <w:lang w:val="fr-CH"/>
        </w:rPr>
        <w:t>(</w:t>
      </w:r>
      <w:r w:rsidR="005113DF">
        <w:rPr>
          <w:rFonts w:asciiTheme="minorHAnsi" w:hAnsiTheme="minorHAnsi" w:cstheme="minorHAnsi"/>
          <w:color w:val="000000"/>
          <w:sz w:val="22"/>
          <w:szCs w:val="22"/>
          <w:lang w:val="fr-CH"/>
        </w:rPr>
        <w:t xml:space="preserve">qui comprend toutes les étapes à entreprendre pour réaliser un INZH et b) l’application du </w:t>
      </w:r>
      <w:r w:rsidR="005113DF">
        <w:rPr>
          <w:rFonts w:asciiTheme="minorHAnsi" w:hAnsiTheme="minorHAnsi" w:cstheme="minorHAnsi"/>
          <w:i/>
          <w:color w:val="000000"/>
          <w:sz w:val="22"/>
          <w:szCs w:val="22"/>
          <w:lang w:val="fr-CH"/>
        </w:rPr>
        <w:t xml:space="preserve">Cadre intégré pour l’inventaire, l’évaluation et le suivi des zones humides </w:t>
      </w:r>
      <w:r w:rsidR="005113DF">
        <w:rPr>
          <w:rFonts w:asciiTheme="minorHAnsi" w:hAnsiTheme="minorHAnsi" w:cstheme="minorHAnsi"/>
          <w:color w:val="000000"/>
          <w:sz w:val="22"/>
          <w:szCs w:val="22"/>
          <w:lang w:val="fr-CH"/>
        </w:rPr>
        <w:t>dans le c</w:t>
      </w:r>
      <w:r w:rsidR="00833228" w:rsidRPr="00C51B41">
        <w:rPr>
          <w:rFonts w:asciiTheme="minorHAnsi" w:hAnsiTheme="minorHAnsi" w:cstheme="minorHAnsi"/>
          <w:color w:val="000000"/>
          <w:sz w:val="22"/>
          <w:szCs w:val="22"/>
          <w:lang w:val="fr-CH"/>
        </w:rPr>
        <w:t>ontext</w:t>
      </w:r>
      <w:r w:rsidR="005113DF">
        <w:rPr>
          <w:rFonts w:asciiTheme="minorHAnsi" w:hAnsiTheme="minorHAnsi" w:cstheme="minorHAnsi"/>
          <w:color w:val="000000"/>
          <w:sz w:val="22"/>
          <w:szCs w:val="22"/>
          <w:lang w:val="fr-CH"/>
        </w:rPr>
        <w:t>e de l’utilisation rationnelle des zones humides.</w:t>
      </w:r>
      <w:r w:rsidR="00354B3E" w:rsidRPr="00C51B41">
        <w:rPr>
          <w:rFonts w:asciiTheme="minorHAnsi" w:hAnsiTheme="minorHAnsi" w:cstheme="minorHAnsi"/>
          <w:color w:val="000000"/>
          <w:sz w:val="22"/>
          <w:szCs w:val="22"/>
          <w:lang w:val="fr-CH"/>
        </w:rPr>
        <w:t xml:space="preserve"> </w:t>
      </w:r>
    </w:p>
    <w:p w14:paraId="604FDEC8" w14:textId="77777777" w:rsidR="00833228" w:rsidRPr="00C51B41" w:rsidRDefault="00833228" w:rsidP="00F40C7D">
      <w:pPr>
        <w:ind w:left="425" w:hanging="425"/>
        <w:jc w:val="left"/>
        <w:rPr>
          <w:rFonts w:asciiTheme="minorHAnsi" w:hAnsiTheme="minorHAnsi" w:cstheme="minorHAnsi"/>
          <w:color w:val="000000"/>
          <w:sz w:val="22"/>
          <w:szCs w:val="22"/>
          <w:lang w:val="fr-CH"/>
        </w:rPr>
      </w:pPr>
    </w:p>
    <w:p w14:paraId="73229604" w14:textId="7E4EB5E0" w:rsidR="00173131" w:rsidRPr="00C51B41" w:rsidRDefault="002048EC" w:rsidP="00085362">
      <w:pPr>
        <w:ind w:left="425" w:hanging="425"/>
        <w:jc w:val="left"/>
        <w:rPr>
          <w:rFonts w:asciiTheme="minorHAnsi" w:hAnsiTheme="minorHAnsi" w:cstheme="minorHAnsi"/>
          <w:color w:val="000000"/>
          <w:sz w:val="22"/>
          <w:szCs w:val="22"/>
          <w:lang w:val="fr-CH"/>
        </w:rPr>
      </w:pPr>
      <w:r w:rsidRPr="00C51B41">
        <w:rPr>
          <w:rFonts w:asciiTheme="minorHAnsi" w:hAnsiTheme="minorHAnsi" w:cstheme="minorHAnsi"/>
          <w:color w:val="000000"/>
          <w:sz w:val="22"/>
          <w:szCs w:val="22"/>
          <w:lang w:val="fr-CH"/>
        </w:rPr>
        <w:t>18.</w:t>
      </w:r>
      <w:r w:rsidRPr="00C51B41">
        <w:rPr>
          <w:rFonts w:asciiTheme="minorHAnsi" w:hAnsiTheme="minorHAnsi" w:cstheme="minorHAnsi"/>
          <w:color w:val="000000"/>
          <w:sz w:val="22"/>
          <w:szCs w:val="22"/>
          <w:lang w:val="fr-CH"/>
        </w:rPr>
        <w:tab/>
      </w:r>
      <w:r w:rsidR="000B7C29">
        <w:rPr>
          <w:rFonts w:asciiTheme="minorHAnsi" w:hAnsiTheme="minorHAnsi" w:cstheme="minorHAnsi"/>
          <w:color w:val="000000"/>
          <w:sz w:val="22"/>
          <w:szCs w:val="22"/>
          <w:lang w:val="fr-CH"/>
        </w:rPr>
        <w:t xml:space="preserve">Les réponses </w:t>
      </w:r>
      <w:r w:rsidR="00006473">
        <w:rPr>
          <w:rFonts w:asciiTheme="minorHAnsi" w:hAnsiTheme="minorHAnsi" w:cstheme="minorHAnsi"/>
          <w:color w:val="000000"/>
          <w:sz w:val="22"/>
          <w:szCs w:val="22"/>
          <w:lang w:val="fr-CH"/>
        </w:rPr>
        <w:t>sur</w:t>
      </w:r>
      <w:r w:rsidR="000B7C29">
        <w:rPr>
          <w:rFonts w:asciiTheme="minorHAnsi" w:hAnsiTheme="minorHAnsi" w:cstheme="minorHAnsi"/>
          <w:color w:val="000000"/>
          <w:sz w:val="22"/>
          <w:szCs w:val="22"/>
          <w:lang w:val="fr-CH"/>
        </w:rPr>
        <w:t xml:space="preserve"> les moyens d’améliorer le cadre actuel des inventaires des zones humides</w:t>
      </w:r>
      <w:r w:rsidR="00006473">
        <w:rPr>
          <w:rFonts w:asciiTheme="minorHAnsi" w:hAnsiTheme="minorHAnsi" w:cstheme="minorHAnsi"/>
          <w:color w:val="000000"/>
          <w:sz w:val="22"/>
          <w:szCs w:val="22"/>
          <w:lang w:val="fr-CH"/>
        </w:rPr>
        <w:t xml:space="preserve"> ne permettent pas de dégager une</w:t>
      </w:r>
      <w:r w:rsidR="000B7C29">
        <w:rPr>
          <w:rFonts w:asciiTheme="minorHAnsi" w:hAnsiTheme="minorHAnsi" w:cstheme="minorHAnsi"/>
          <w:color w:val="000000"/>
          <w:sz w:val="22"/>
          <w:szCs w:val="22"/>
          <w:lang w:val="fr-CH"/>
        </w:rPr>
        <w:t xml:space="preserve"> tendance claire. Toutefois, </w:t>
      </w:r>
      <w:r w:rsidR="00006473">
        <w:rPr>
          <w:rFonts w:asciiTheme="minorHAnsi" w:hAnsiTheme="minorHAnsi" w:cstheme="minorHAnsi"/>
          <w:color w:val="000000"/>
          <w:sz w:val="22"/>
          <w:szCs w:val="22"/>
          <w:lang w:val="fr-CH"/>
        </w:rPr>
        <w:t xml:space="preserve">pour les Parties contractantes, </w:t>
      </w:r>
      <w:r w:rsidR="000B7C29">
        <w:rPr>
          <w:rFonts w:asciiTheme="minorHAnsi" w:hAnsiTheme="minorHAnsi" w:cstheme="minorHAnsi"/>
          <w:color w:val="000000"/>
          <w:sz w:val="22"/>
          <w:szCs w:val="22"/>
          <w:lang w:val="fr-CH"/>
        </w:rPr>
        <w:t>les thèmes suivants ont une importance centrale</w:t>
      </w:r>
      <w:r w:rsidR="00006473">
        <w:rPr>
          <w:rFonts w:asciiTheme="minorHAnsi" w:hAnsiTheme="minorHAnsi" w:cstheme="minorHAnsi"/>
          <w:color w:val="000000"/>
          <w:sz w:val="22"/>
          <w:szCs w:val="22"/>
          <w:lang w:val="fr-CH"/>
        </w:rPr>
        <w:t xml:space="preserve"> </w:t>
      </w:r>
      <w:r w:rsidR="000B7C29">
        <w:rPr>
          <w:rFonts w:asciiTheme="minorHAnsi" w:hAnsiTheme="minorHAnsi" w:cstheme="minorHAnsi"/>
          <w:color w:val="000000"/>
          <w:sz w:val="22"/>
          <w:szCs w:val="22"/>
          <w:lang w:val="fr-CH"/>
        </w:rPr>
        <w:t>: a) réexaminer la méthodologie des INZH ; b) renforce</w:t>
      </w:r>
      <w:r w:rsidR="00006473">
        <w:rPr>
          <w:rFonts w:asciiTheme="minorHAnsi" w:hAnsiTheme="minorHAnsi" w:cstheme="minorHAnsi"/>
          <w:color w:val="000000"/>
          <w:sz w:val="22"/>
          <w:szCs w:val="22"/>
          <w:lang w:val="fr-CH"/>
        </w:rPr>
        <w:t>r les</w:t>
      </w:r>
      <w:r w:rsidR="000B7C29">
        <w:rPr>
          <w:rFonts w:asciiTheme="minorHAnsi" w:hAnsiTheme="minorHAnsi" w:cstheme="minorHAnsi"/>
          <w:color w:val="000000"/>
          <w:sz w:val="22"/>
          <w:szCs w:val="22"/>
          <w:lang w:val="fr-CH"/>
        </w:rPr>
        <w:t xml:space="preserve"> capacités ; et c) rechercher des ressources financières. </w:t>
      </w:r>
    </w:p>
    <w:p w14:paraId="10E1FEDB" w14:textId="77777777" w:rsidR="001B1517" w:rsidRPr="00C51B41" w:rsidRDefault="001B1517" w:rsidP="00085362">
      <w:pPr>
        <w:ind w:left="425" w:hanging="425"/>
        <w:jc w:val="left"/>
        <w:rPr>
          <w:rFonts w:asciiTheme="minorHAnsi" w:hAnsiTheme="minorHAnsi" w:cstheme="minorHAnsi"/>
          <w:color w:val="000000"/>
          <w:sz w:val="22"/>
          <w:szCs w:val="22"/>
          <w:lang w:val="fr-CH"/>
        </w:rPr>
      </w:pPr>
    </w:p>
    <w:p w14:paraId="48FAE482" w14:textId="59FDAEDC" w:rsidR="00805071" w:rsidRPr="0068093C" w:rsidRDefault="002048EC" w:rsidP="00085362">
      <w:pPr>
        <w:ind w:left="425" w:hanging="425"/>
        <w:jc w:val="left"/>
        <w:rPr>
          <w:rFonts w:asciiTheme="minorHAnsi" w:hAnsiTheme="minorHAnsi" w:cstheme="minorHAnsi"/>
          <w:color w:val="000000"/>
          <w:sz w:val="22"/>
          <w:szCs w:val="22"/>
          <w:lang w:val="fr-CH"/>
        </w:rPr>
      </w:pPr>
      <w:r w:rsidRPr="00C51B41">
        <w:rPr>
          <w:rFonts w:asciiTheme="minorHAnsi" w:hAnsiTheme="minorHAnsi" w:cstheme="minorHAnsi"/>
          <w:color w:val="000000"/>
          <w:sz w:val="22"/>
          <w:szCs w:val="22"/>
          <w:lang w:val="fr-CH"/>
        </w:rPr>
        <w:t>19.</w:t>
      </w:r>
      <w:r w:rsidRPr="00C51B41">
        <w:rPr>
          <w:rFonts w:asciiTheme="minorHAnsi" w:hAnsiTheme="minorHAnsi" w:cstheme="minorHAnsi"/>
          <w:color w:val="000000"/>
          <w:sz w:val="22"/>
          <w:szCs w:val="22"/>
          <w:lang w:val="fr-CH"/>
        </w:rPr>
        <w:tab/>
      </w:r>
      <w:r w:rsidR="00156F5D">
        <w:rPr>
          <w:rFonts w:asciiTheme="minorHAnsi" w:hAnsiTheme="minorHAnsi" w:cstheme="minorHAnsi"/>
          <w:color w:val="000000"/>
          <w:sz w:val="22"/>
          <w:szCs w:val="22"/>
          <w:lang w:val="fr-CH"/>
        </w:rPr>
        <w:t>En comparant l</w:t>
      </w:r>
      <w:r w:rsidR="00270E8D">
        <w:rPr>
          <w:rFonts w:asciiTheme="minorHAnsi" w:hAnsiTheme="minorHAnsi" w:cstheme="minorHAnsi"/>
          <w:color w:val="000000"/>
          <w:sz w:val="22"/>
          <w:szCs w:val="22"/>
          <w:lang w:val="fr-CH"/>
        </w:rPr>
        <w:t xml:space="preserve">es indicateurs </w:t>
      </w:r>
      <w:r w:rsidR="00270E8D" w:rsidRPr="0068093C">
        <w:rPr>
          <w:rFonts w:asciiTheme="minorHAnsi" w:hAnsiTheme="minorHAnsi" w:cstheme="minorHAnsi"/>
          <w:color w:val="000000"/>
          <w:sz w:val="22"/>
          <w:szCs w:val="22"/>
          <w:lang w:val="fr-CH"/>
        </w:rPr>
        <w:t xml:space="preserve">économiques et </w:t>
      </w:r>
      <w:r w:rsidR="00156F5D" w:rsidRPr="0068093C">
        <w:rPr>
          <w:rFonts w:asciiTheme="minorHAnsi" w:hAnsiTheme="minorHAnsi" w:cstheme="minorHAnsi"/>
          <w:color w:val="000000"/>
          <w:sz w:val="22"/>
          <w:szCs w:val="22"/>
          <w:lang w:val="fr-CH"/>
        </w:rPr>
        <w:t>l</w:t>
      </w:r>
      <w:r w:rsidR="00270E8D" w:rsidRPr="0068093C">
        <w:rPr>
          <w:rFonts w:asciiTheme="minorHAnsi" w:hAnsiTheme="minorHAnsi" w:cstheme="minorHAnsi"/>
          <w:color w:val="000000"/>
          <w:sz w:val="22"/>
          <w:szCs w:val="22"/>
          <w:lang w:val="fr-CH"/>
        </w:rPr>
        <w:t xml:space="preserve">es progrès </w:t>
      </w:r>
      <w:r w:rsidR="00156F5D" w:rsidRPr="0068093C">
        <w:rPr>
          <w:rFonts w:asciiTheme="minorHAnsi" w:hAnsiTheme="minorHAnsi" w:cstheme="minorHAnsi"/>
          <w:color w:val="000000"/>
          <w:sz w:val="22"/>
          <w:szCs w:val="22"/>
          <w:lang w:val="fr-CH"/>
        </w:rPr>
        <w:t>accomplis par</w:t>
      </w:r>
      <w:r w:rsidR="00270E8D" w:rsidRPr="0068093C">
        <w:rPr>
          <w:rFonts w:asciiTheme="minorHAnsi" w:hAnsiTheme="minorHAnsi" w:cstheme="minorHAnsi"/>
          <w:color w:val="000000"/>
          <w:sz w:val="22"/>
          <w:szCs w:val="22"/>
          <w:lang w:val="fr-CH"/>
        </w:rPr>
        <w:t xml:space="preserve"> les Parties contractantes pour terminer un INZH, le</w:t>
      </w:r>
      <w:r w:rsidR="00156F5D" w:rsidRPr="0068093C">
        <w:rPr>
          <w:rFonts w:asciiTheme="minorHAnsi" w:hAnsiTheme="minorHAnsi" w:cstheme="minorHAnsi"/>
          <w:color w:val="000000"/>
          <w:sz w:val="22"/>
          <w:szCs w:val="22"/>
          <w:lang w:val="fr-CH"/>
        </w:rPr>
        <w:t xml:space="preserve"> service consultatif </w:t>
      </w:r>
      <w:r w:rsidR="00270E8D" w:rsidRPr="0068093C">
        <w:rPr>
          <w:rFonts w:asciiTheme="minorHAnsi" w:hAnsiTheme="minorHAnsi" w:cstheme="minorHAnsi"/>
          <w:color w:val="000000"/>
          <w:sz w:val="22"/>
          <w:szCs w:val="22"/>
          <w:lang w:val="fr-CH"/>
        </w:rPr>
        <w:t>recommand</w:t>
      </w:r>
      <w:r w:rsidR="00156F5D" w:rsidRPr="0068093C">
        <w:rPr>
          <w:rFonts w:asciiTheme="minorHAnsi" w:hAnsiTheme="minorHAnsi" w:cstheme="minorHAnsi"/>
          <w:color w:val="000000"/>
          <w:sz w:val="22"/>
          <w:szCs w:val="22"/>
          <w:lang w:val="fr-CH"/>
        </w:rPr>
        <w:t>e</w:t>
      </w:r>
      <w:r w:rsidR="00270E8D" w:rsidRPr="0068093C">
        <w:rPr>
          <w:rFonts w:asciiTheme="minorHAnsi" w:hAnsiTheme="minorHAnsi" w:cstheme="minorHAnsi"/>
          <w:color w:val="000000"/>
          <w:sz w:val="22"/>
          <w:szCs w:val="22"/>
          <w:lang w:val="fr-CH"/>
        </w:rPr>
        <w:t xml:space="preserve"> </w:t>
      </w:r>
      <w:bookmarkStart w:id="14" w:name="_Hlk35615988"/>
      <w:r w:rsidR="00270E8D" w:rsidRPr="0068093C">
        <w:rPr>
          <w:rFonts w:asciiTheme="minorHAnsi" w:hAnsiTheme="minorHAnsi" w:cstheme="minorHAnsi"/>
          <w:color w:val="000000"/>
          <w:sz w:val="22"/>
          <w:szCs w:val="22"/>
          <w:lang w:val="fr-CH"/>
        </w:rPr>
        <w:t>que le Secrétariat se concentre sur 39 Parties n’ayant pas encore entrepris d’INZH ou qui n’en sont qu’à la phase de planification et représentent 26 % des 150 Parties contractantes ayant fait rapport à la COP13. Les</w:t>
      </w:r>
      <w:r w:rsidR="00805071" w:rsidRPr="0068093C">
        <w:rPr>
          <w:rFonts w:asciiTheme="minorHAnsi" w:hAnsiTheme="minorHAnsi" w:cstheme="minorHAnsi"/>
          <w:color w:val="000000"/>
          <w:sz w:val="22"/>
          <w:szCs w:val="22"/>
          <w:lang w:val="fr-CH"/>
        </w:rPr>
        <w:t xml:space="preserve"> 108</w:t>
      </w:r>
      <w:r w:rsidR="00270E8D" w:rsidRPr="0068093C">
        <w:rPr>
          <w:rFonts w:asciiTheme="minorHAnsi" w:hAnsiTheme="minorHAnsi" w:cstheme="minorHAnsi"/>
          <w:color w:val="000000"/>
          <w:sz w:val="22"/>
          <w:szCs w:val="22"/>
          <w:lang w:val="fr-CH"/>
        </w:rPr>
        <w:t> </w:t>
      </w:r>
      <w:r w:rsidR="00805071" w:rsidRPr="0068093C">
        <w:rPr>
          <w:rFonts w:asciiTheme="minorHAnsi" w:hAnsiTheme="minorHAnsi" w:cstheme="minorHAnsi"/>
          <w:color w:val="000000"/>
          <w:sz w:val="22"/>
          <w:szCs w:val="22"/>
          <w:lang w:val="fr-CH"/>
        </w:rPr>
        <w:t>P</w:t>
      </w:r>
      <w:r w:rsidR="000A0E83" w:rsidRPr="0068093C">
        <w:rPr>
          <w:rFonts w:asciiTheme="minorHAnsi" w:hAnsiTheme="minorHAnsi" w:cstheme="minorHAnsi"/>
          <w:color w:val="000000"/>
          <w:sz w:val="22"/>
          <w:szCs w:val="22"/>
          <w:lang w:val="fr-CH"/>
        </w:rPr>
        <w:t xml:space="preserve">arties </w:t>
      </w:r>
      <w:r w:rsidR="00270E8D" w:rsidRPr="0068093C">
        <w:rPr>
          <w:rFonts w:asciiTheme="minorHAnsi" w:hAnsiTheme="minorHAnsi" w:cstheme="minorHAnsi"/>
          <w:color w:val="000000"/>
          <w:sz w:val="22"/>
          <w:szCs w:val="22"/>
          <w:lang w:val="fr-CH"/>
        </w:rPr>
        <w:t xml:space="preserve">qui ont terminé un INZH ou qui sont en train de le faire </w:t>
      </w:r>
      <w:bookmarkEnd w:id="14"/>
      <w:r w:rsidR="00270E8D" w:rsidRPr="0068093C">
        <w:rPr>
          <w:rFonts w:asciiTheme="minorHAnsi" w:hAnsiTheme="minorHAnsi" w:cstheme="minorHAnsi"/>
          <w:color w:val="000000"/>
          <w:sz w:val="22"/>
          <w:szCs w:val="22"/>
          <w:lang w:val="fr-CH"/>
        </w:rPr>
        <w:t>bénéficieront</w:t>
      </w:r>
      <w:r w:rsidR="00156F5D" w:rsidRPr="0068093C">
        <w:rPr>
          <w:rFonts w:asciiTheme="minorHAnsi" w:hAnsiTheme="minorHAnsi" w:cstheme="minorHAnsi"/>
          <w:color w:val="000000"/>
          <w:sz w:val="22"/>
          <w:szCs w:val="22"/>
          <w:lang w:val="fr-CH"/>
        </w:rPr>
        <w:t xml:space="preserve"> </w:t>
      </w:r>
      <w:bookmarkStart w:id="15" w:name="_Hlk35616136"/>
      <w:r w:rsidR="00156F5D" w:rsidRPr="0068093C">
        <w:rPr>
          <w:rFonts w:asciiTheme="minorHAnsi" w:hAnsiTheme="minorHAnsi" w:cstheme="minorHAnsi"/>
          <w:color w:val="000000"/>
          <w:sz w:val="22"/>
          <w:szCs w:val="22"/>
          <w:lang w:val="fr-CH"/>
        </w:rPr>
        <w:t>de manière constante</w:t>
      </w:r>
      <w:r w:rsidR="00270E8D" w:rsidRPr="0068093C">
        <w:rPr>
          <w:rFonts w:asciiTheme="minorHAnsi" w:hAnsiTheme="minorHAnsi" w:cstheme="minorHAnsi"/>
          <w:color w:val="000000"/>
          <w:sz w:val="22"/>
          <w:szCs w:val="22"/>
          <w:lang w:val="fr-CH"/>
        </w:rPr>
        <w:t xml:space="preserve"> d’orientations du Secrétariat et </w:t>
      </w:r>
      <w:r w:rsidR="00156F5D" w:rsidRPr="0068093C">
        <w:rPr>
          <w:rFonts w:asciiTheme="minorHAnsi" w:hAnsiTheme="minorHAnsi" w:cstheme="minorHAnsi"/>
          <w:color w:val="000000"/>
          <w:sz w:val="22"/>
          <w:szCs w:val="22"/>
          <w:lang w:val="fr-CH"/>
        </w:rPr>
        <w:t xml:space="preserve">de mesures </w:t>
      </w:r>
      <w:r w:rsidR="00270E8D" w:rsidRPr="0068093C">
        <w:rPr>
          <w:rFonts w:asciiTheme="minorHAnsi" w:hAnsiTheme="minorHAnsi" w:cstheme="minorHAnsi"/>
          <w:color w:val="000000"/>
          <w:sz w:val="22"/>
          <w:szCs w:val="22"/>
          <w:lang w:val="fr-CH"/>
        </w:rPr>
        <w:t xml:space="preserve">de renforcement des capacités </w:t>
      </w:r>
      <w:r w:rsidR="00156F5D" w:rsidRPr="0068093C">
        <w:rPr>
          <w:rFonts w:asciiTheme="minorHAnsi" w:hAnsiTheme="minorHAnsi" w:cstheme="minorHAnsi"/>
          <w:color w:val="000000"/>
          <w:sz w:val="22"/>
          <w:szCs w:val="22"/>
          <w:lang w:val="fr-CH"/>
        </w:rPr>
        <w:t>tenant compte</w:t>
      </w:r>
      <w:r w:rsidR="00270E8D" w:rsidRPr="0068093C">
        <w:rPr>
          <w:rFonts w:asciiTheme="minorHAnsi" w:hAnsiTheme="minorHAnsi" w:cstheme="minorHAnsi"/>
          <w:color w:val="000000"/>
          <w:sz w:val="22"/>
          <w:szCs w:val="22"/>
          <w:lang w:val="fr-CH"/>
        </w:rPr>
        <w:t xml:space="preserve"> des ressources existantes et de</w:t>
      </w:r>
      <w:r w:rsidR="00ED097D" w:rsidRPr="0068093C">
        <w:rPr>
          <w:rFonts w:asciiTheme="minorHAnsi" w:hAnsiTheme="minorHAnsi" w:cstheme="minorHAnsi"/>
          <w:color w:val="000000"/>
          <w:sz w:val="22"/>
          <w:szCs w:val="22"/>
          <w:lang w:val="fr-CH"/>
        </w:rPr>
        <w:t xml:space="preserve"> la nouvelle trousse d’outils</w:t>
      </w:r>
      <w:bookmarkEnd w:id="15"/>
      <w:r w:rsidR="00270E8D" w:rsidRPr="0068093C">
        <w:rPr>
          <w:rFonts w:asciiTheme="minorHAnsi" w:hAnsiTheme="minorHAnsi" w:cstheme="minorHAnsi"/>
          <w:color w:val="000000"/>
          <w:sz w:val="22"/>
          <w:szCs w:val="22"/>
          <w:lang w:val="fr-CH"/>
        </w:rPr>
        <w:t>.</w:t>
      </w:r>
      <w:r w:rsidR="00805071" w:rsidRPr="0068093C">
        <w:rPr>
          <w:rFonts w:asciiTheme="minorHAnsi" w:hAnsiTheme="minorHAnsi" w:cstheme="minorHAnsi"/>
          <w:color w:val="000000"/>
          <w:sz w:val="22"/>
          <w:szCs w:val="22"/>
          <w:lang w:val="fr-CH"/>
        </w:rPr>
        <w:t xml:space="preserve"> </w:t>
      </w:r>
    </w:p>
    <w:p w14:paraId="5C1D3DF8" w14:textId="77777777" w:rsidR="00EE43D7" w:rsidRPr="0068093C" w:rsidRDefault="00EE43D7" w:rsidP="00085362">
      <w:pPr>
        <w:ind w:left="425" w:hanging="425"/>
        <w:jc w:val="left"/>
        <w:rPr>
          <w:rFonts w:asciiTheme="minorHAnsi" w:hAnsiTheme="minorHAnsi" w:cstheme="minorHAnsi"/>
          <w:color w:val="000000"/>
          <w:sz w:val="22"/>
          <w:szCs w:val="22"/>
          <w:lang w:val="fr-CH"/>
        </w:rPr>
      </w:pPr>
    </w:p>
    <w:p w14:paraId="68DF3EC3" w14:textId="7C0782ED" w:rsidR="001B1517" w:rsidRPr="00C51B41" w:rsidRDefault="002048EC" w:rsidP="00085362">
      <w:pPr>
        <w:ind w:left="425" w:hanging="425"/>
        <w:jc w:val="left"/>
        <w:rPr>
          <w:rFonts w:asciiTheme="minorHAnsi" w:hAnsiTheme="minorHAnsi" w:cstheme="minorHAnsi"/>
          <w:color w:val="000000"/>
          <w:sz w:val="22"/>
          <w:szCs w:val="22"/>
          <w:lang w:val="fr-CH"/>
        </w:rPr>
      </w:pPr>
      <w:r w:rsidRPr="0068093C">
        <w:rPr>
          <w:rFonts w:asciiTheme="minorHAnsi" w:hAnsiTheme="minorHAnsi" w:cstheme="minorHAnsi"/>
          <w:color w:val="000000"/>
          <w:sz w:val="22"/>
          <w:szCs w:val="22"/>
          <w:lang w:val="fr-CH"/>
        </w:rPr>
        <w:t>20.</w:t>
      </w:r>
      <w:r w:rsidRPr="0068093C">
        <w:rPr>
          <w:rFonts w:asciiTheme="minorHAnsi" w:hAnsiTheme="minorHAnsi" w:cstheme="minorHAnsi"/>
          <w:color w:val="000000"/>
          <w:sz w:val="22"/>
          <w:szCs w:val="22"/>
          <w:lang w:val="fr-CH"/>
        </w:rPr>
        <w:tab/>
      </w:r>
      <w:bookmarkStart w:id="16" w:name="_Hlk35616226"/>
      <w:r w:rsidR="00270E8D" w:rsidRPr="0068093C">
        <w:rPr>
          <w:rFonts w:asciiTheme="minorHAnsi" w:hAnsiTheme="minorHAnsi" w:cstheme="minorHAnsi"/>
          <w:color w:val="000000"/>
          <w:sz w:val="22"/>
          <w:szCs w:val="22"/>
          <w:lang w:val="fr-CH"/>
        </w:rPr>
        <w:t>Pour les</w:t>
      </w:r>
      <w:r w:rsidR="001B1517" w:rsidRPr="0068093C">
        <w:rPr>
          <w:rFonts w:asciiTheme="minorHAnsi" w:hAnsiTheme="minorHAnsi" w:cstheme="minorHAnsi"/>
          <w:color w:val="000000"/>
          <w:sz w:val="22"/>
          <w:szCs w:val="22"/>
          <w:lang w:val="fr-CH"/>
        </w:rPr>
        <w:t xml:space="preserve"> 39</w:t>
      </w:r>
      <w:r w:rsidR="00270E8D" w:rsidRPr="0068093C">
        <w:rPr>
          <w:rFonts w:asciiTheme="minorHAnsi" w:hAnsiTheme="minorHAnsi" w:cstheme="minorHAnsi"/>
          <w:color w:val="000000"/>
          <w:sz w:val="22"/>
          <w:szCs w:val="22"/>
          <w:lang w:val="fr-CH"/>
        </w:rPr>
        <w:t xml:space="preserve"> Parties contractantes ayant fait le moins de progrès à ce jour, </w:t>
      </w:r>
      <w:r w:rsidR="00156F5D" w:rsidRPr="0068093C">
        <w:rPr>
          <w:rFonts w:asciiTheme="minorHAnsi" w:hAnsiTheme="minorHAnsi" w:cstheme="minorHAnsi"/>
          <w:color w:val="000000"/>
          <w:sz w:val="22"/>
          <w:szCs w:val="22"/>
          <w:lang w:val="fr-CH"/>
        </w:rPr>
        <w:t>le service consultatif propose</w:t>
      </w:r>
      <w:r w:rsidR="00270E8D" w:rsidRPr="0068093C">
        <w:rPr>
          <w:rFonts w:asciiTheme="minorHAnsi" w:hAnsiTheme="minorHAnsi" w:cstheme="minorHAnsi"/>
          <w:color w:val="000000"/>
          <w:sz w:val="22"/>
          <w:szCs w:val="22"/>
          <w:lang w:val="fr-CH"/>
        </w:rPr>
        <w:t xml:space="preserve"> une approche </w:t>
      </w:r>
      <w:r w:rsidR="00156F5D" w:rsidRPr="0068093C">
        <w:rPr>
          <w:rFonts w:asciiTheme="minorHAnsi" w:hAnsiTheme="minorHAnsi" w:cstheme="minorHAnsi"/>
          <w:color w:val="000000"/>
          <w:sz w:val="22"/>
          <w:szCs w:val="22"/>
          <w:lang w:val="fr-CH"/>
        </w:rPr>
        <w:t>double</w:t>
      </w:r>
      <w:r w:rsidR="00270E8D" w:rsidRPr="0068093C">
        <w:rPr>
          <w:rFonts w:asciiTheme="minorHAnsi" w:hAnsiTheme="minorHAnsi" w:cstheme="minorHAnsi"/>
          <w:color w:val="000000"/>
          <w:sz w:val="22"/>
          <w:szCs w:val="22"/>
          <w:lang w:val="fr-CH"/>
        </w:rPr>
        <w:t>, tenant compte des résultats de l’analyse des lacunes</w:t>
      </w:r>
      <w:bookmarkEnd w:id="16"/>
      <w:r w:rsidR="00270E8D" w:rsidRPr="0068093C">
        <w:rPr>
          <w:rFonts w:asciiTheme="minorHAnsi" w:hAnsiTheme="minorHAnsi" w:cstheme="minorHAnsi"/>
          <w:color w:val="000000"/>
          <w:sz w:val="22"/>
          <w:szCs w:val="22"/>
          <w:lang w:val="fr-CH"/>
        </w:rPr>
        <w:t> :</w:t>
      </w:r>
      <w:r w:rsidR="00270E8D">
        <w:rPr>
          <w:rFonts w:asciiTheme="minorHAnsi" w:hAnsiTheme="minorHAnsi" w:cstheme="minorHAnsi"/>
          <w:color w:val="000000"/>
          <w:sz w:val="22"/>
          <w:szCs w:val="22"/>
          <w:lang w:val="fr-CH"/>
        </w:rPr>
        <w:t xml:space="preserve"> </w:t>
      </w:r>
    </w:p>
    <w:p w14:paraId="5777BFB7" w14:textId="77777777" w:rsidR="00805071" w:rsidRPr="00C51B41" w:rsidRDefault="00805071" w:rsidP="00536607">
      <w:pPr>
        <w:jc w:val="left"/>
        <w:rPr>
          <w:rFonts w:ascii="Calibri" w:hAnsi="Calibri" w:cs="Calibri"/>
          <w:b/>
          <w:sz w:val="22"/>
          <w:szCs w:val="22"/>
          <w:lang w:val="fr-CH"/>
        </w:rPr>
      </w:pPr>
    </w:p>
    <w:p w14:paraId="2802B981" w14:textId="338DC4CF" w:rsidR="001B1517" w:rsidRPr="00C51B41" w:rsidRDefault="002048EC" w:rsidP="002048EC">
      <w:pPr>
        <w:tabs>
          <w:tab w:val="left" w:pos="567"/>
        </w:tabs>
        <w:ind w:left="850" w:hanging="425"/>
        <w:jc w:val="left"/>
        <w:rPr>
          <w:rFonts w:asciiTheme="minorHAnsi" w:hAnsiTheme="minorHAnsi" w:cstheme="minorHAnsi"/>
          <w:sz w:val="22"/>
          <w:szCs w:val="22"/>
          <w:lang w:val="fr-CH"/>
        </w:rPr>
      </w:pPr>
      <w:r w:rsidRPr="00C51B41">
        <w:rPr>
          <w:rFonts w:asciiTheme="minorHAnsi" w:hAnsiTheme="minorHAnsi" w:cstheme="minorHAnsi"/>
          <w:bCs/>
          <w:sz w:val="22"/>
          <w:szCs w:val="22"/>
          <w:lang w:val="fr-CH"/>
        </w:rPr>
        <w:t>a</w:t>
      </w:r>
      <w:r w:rsidR="00270E8D">
        <w:rPr>
          <w:rFonts w:asciiTheme="minorHAnsi" w:hAnsiTheme="minorHAnsi" w:cstheme="minorHAnsi"/>
          <w:bCs/>
          <w:sz w:val="22"/>
          <w:szCs w:val="22"/>
          <w:lang w:val="fr-CH"/>
        </w:rPr>
        <w:t>)</w:t>
      </w:r>
      <w:r w:rsidRPr="00C51B41">
        <w:rPr>
          <w:rFonts w:asciiTheme="minorHAnsi" w:hAnsiTheme="minorHAnsi" w:cstheme="minorHAnsi"/>
          <w:bCs/>
          <w:sz w:val="22"/>
          <w:szCs w:val="22"/>
          <w:lang w:val="fr-CH"/>
        </w:rPr>
        <w:tab/>
      </w:r>
      <w:bookmarkStart w:id="17" w:name="_Hlk35616268"/>
      <w:r w:rsidR="00270E8D">
        <w:rPr>
          <w:rFonts w:asciiTheme="minorHAnsi" w:hAnsiTheme="minorHAnsi" w:cstheme="minorHAnsi"/>
          <w:bCs/>
          <w:sz w:val="22"/>
          <w:szCs w:val="22"/>
          <w:lang w:val="fr-CH"/>
        </w:rPr>
        <w:t xml:space="preserve">Une approche à court terme pour soutenir les 30 Parties contractantes </w:t>
      </w:r>
      <w:r w:rsidR="00A41457">
        <w:rPr>
          <w:rFonts w:asciiTheme="minorHAnsi" w:hAnsiTheme="minorHAnsi" w:cstheme="minorHAnsi"/>
          <w:bCs/>
          <w:sz w:val="22"/>
          <w:szCs w:val="22"/>
          <w:lang w:val="fr-CH"/>
        </w:rPr>
        <w:t xml:space="preserve">des groupes </w:t>
      </w:r>
      <w:r w:rsidR="0068093C">
        <w:rPr>
          <w:rFonts w:asciiTheme="minorHAnsi" w:hAnsiTheme="minorHAnsi" w:cstheme="minorHAnsi"/>
          <w:bCs/>
          <w:sz w:val="22"/>
          <w:szCs w:val="22"/>
          <w:lang w:val="fr-CH"/>
        </w:rPr>
        <w:t>à</w:t>
      </w:r>
      <w:r w:rsidR="00270E8D">
        <w:rPr>
          <w:rFonts w:asciiTheme="minorHAnsi" w:hAnsiTheme="minorHAnsi" w:cstheme="minorHAnsi"/>
          <w:bCs/>
          <w:sz w:val="22"/>
          <w:szCs w:val="22"/>
          <w:lang w:val="fr-CH"/>
        </w:rPr>
        <w:t xml:space="preserve"> revenu élevé, intermédiaire supérieur et intermédiaire inférieur</w:t>
      </w:r>
      <w:bookmarkEnd w:id="17"/>
      <w:r w:rsidR="001B1517" w:rsidRPr="00C51B41">
        <w:rPr>
          <w:rFonts w:asciiTheme="minorHAnsi" w:hAnsiTheme="minorHAnsi"/>
          <w:sz w:val="22"/>
          <w:szCs w:val="22"/>
          <w:vertAlign w:val="superscript"/>
          <w:lang w:val="fr-CH"/>
        </w:rPr>
        <w:footnoteReference w:id="5"/>
      </w:r>
      <w:r w:rsidR="001B1517" w:rsidRPr="00C51B41">
        <w:rPr>
          <w:rFonts w:asciiTheme="minorHAnsi" w:hAnsiTheme="minorHAnsi" w:cstheme="minorHAnsi"/>
          <w:bCs/>
          <w:sz w:val="22"/>
          <w:szCs w:val="22"/>
          <w:lang w:val="fr-CH"/>
        </w:rPr>
        <w:t xml:space="preserve">, </w:t>
      </w:r>
      <w:bookmarkStart w:id="19" w:name="_Hlk35616318"/>
      <w:r w:rsidR="00270E8D">
        <w:rPr>
          <w:rFonts w:asciiTheme="minorHAnsi" w:hAnsiTheme="minorHAnsi" w:cstheme="minorHAnsi"/>
          <w:bCs/>
          <w:sz w:val="22"/>
          <w:szCs w:val="22"/>
          <w:lang w:val="fr-CH"/>
        </w:rPr>
        <w:t xml:space="preserve">où les conditions sont les plus favorables pour la réalisation d’un nombre maximum d’INZH </w:t>
      </w:r>
      <w:r w:rsidR="00A41457">
        <w:rPr>
          <w:rFonts w:asciiTheme="minorHAnsi" w:hAnsiTheme="minorHAnsi" w:cstheme="minorHAnsi"/>
          <w:bCs/>
          <w:sz w:val="22"/>
          <w:szCs w:val="22"/>
          <w:lang w:val="fr-CH"/>
        </w:rPr>
        <w:t>en l’espace</w:t>
      </w:r>
      <w:r w:rsidR="00270E8D">
        <w:rPr>
          <w:rFonts w:asciiTheme="minorHAnsi" w:hAnsiTheme="minorHAnsi" w:cstheme="minorHAnsi"/>
          <w:bCs/>
          <w:sz w:val="22"/>
          <w:szCs w:val="22"/>
          <w:lang w:val="fr-CH"/>
        </w:rPr>
        <w:t xml:space="preserve"> de 12 à 24 mois</w:t>
      </w:r>
      <w:bookmarkEnd w:id="19"/>
      <w:r w:rsidR="00270E8D">
        <w:rPr>
          <w:rFonts w:asciiTheme="minorHAnsi" w:hAnsiTheme="minorHAnsi" w:cstheme="minorHAnsi"/>
          <w:bCs/>
          <w:sz w:val="22"/>
          <w:szCs w:val="22"/>
          <w:lang w:val="fr-CH"/>
        </w:rPr>
        <w:t xml:space="preserve">. </w:t>
      </w:r>
      <w:bookmarkStart w:id="20" w:name="_Hlk35616375"/>
      <w:r w:rsidR="001039C7">
        <w:rPr>
          <w:rFonts w:asciiTheme="minorHAnsi" w:hAnsiTheme="minorHAnsi" w:cstheme="minorHAnsi"/>
          <w:bCs/>
          <w:sz w:val="22"/>
          <w:szCs w:val="22"/>
          <w:lang w:val="fr-CH"/>
        </w:rPr>
        <w:t>Pour les</w:t>
      </w:r>
      <w:r w:rsidR="001B1517" w:rsidRPr="00C51B41">
        <w:rPr>
          <w:rFonts w:asciiTheme="minorHAnsi" w:hAnsiTheme="minorHAnsi" w:cstheme="minorHAnsi"/>
          <w:sz w:val="22"/>
          <w:szCs w:val="22"/>
          <w:lang w:val="fr-CH"/>
        </w:rPr>
        <w:t xml:space="preserve"> </w:t>
      </w:r>
      <w:r w:rsidR="00412281" w:rsidRPr="00C51B41">
        <w:rPr>
          <w:rFonts w:asciiTheme="minorHAnsi" w:hAnsiTheme="minorHAnsi" w:cstheme="minorHAnsi"/>
          <w:sz w:val="22"/>
          <w:szCs w:val="22"/>
          <w:lang w:val="fr-CH"/>
        </w:rPr>
        <w:t>Parties</w:t>
      </w:r>
      <w:r w:rsidR="001039C7">
        <w:rPr>
          <w:rFonts w:asciiTheme="minorHAnsi" w:hAnsiTheme="minorHAnsi" w:cstheme="minorHAnsi"/>
          <w:sz w:val="22"/>
          <w:szCs w:val="22"/>
          <w:lang w:val="fr-CH"/>
        </w:rPr>
        <w:t xml:space="preserve"> à revenu élevé</w:t>
      </w:r>
      <w:bookmarkEnd w:id="20"/>
      <w:r w:rsidR="001B1517" w:rsidRPr="00C51B41">
        <w:rPr>
          <w:rStyle w:val="FootnoteReference"/>
          <w:rFonts w:asciiTheme="minorHAnsi" w:hAnsiTheme="minorHAnsi" w:cstheme="minorHAnsi"/>
          <w:sz w:val="22"/>
          <w:szCs w:val="22"/>
          <w:lang w:val="fr-CH"/>
        </w:rPr>
        <w:footnoteReference w:id="6"/>
      </w:r>
      <w:r w:rsidR="00412281" w:rsidRPr="00C51B41">
        <w:rPr>
          <w:rFonts w:asciiTheme="minorHAnsi" w:hAnsiTheme="minorHAnsi" w:cstheme="minorHAnsi"/>
          <w:sz w:val="22"/>
          <w:szCs w:val="22"/>
          <w:lang w:val="fr-CH"/>
        </w:rPr>
        <w:t xml:space="preserve">, </w:t>
      </w:r>
      <w:bookmarkStart w:id="22" w:name="_Hlk35616415"/>
      <w:r w:rsidR="00491D3A">
        <w:rPr>
          <w:rFonts w:asciiTheme="minorHAnsi" w:hAnsiTheme="minorHAnsi" w:cstheme="minorHAnsi"/>
          <w:sz w:val="22"/>
          <w:szCs w:val="22"/>
          <w:lang w:val="fr-CH"/>
        </w:rPr>
        <w:t xml:space="preserve">les </w:t>
      </w:r>
      <w:r w:rsidR="001B1517" w:rsidRPr="00C51B41">
        <w:rPr>
          <w:rFonts w:asciiTheme="minorHAnsi" w:hAnsiTheme="minorHAnsi" w:cstheme="minorHAnsi"/>
          <w:sz w:val="22"/>
          <w:szCs w:val="22"/>
          <w:lang w:val="fr-CH"/>
        </w:rPr>
        <w:t xml:space="preserve">efforts </w:t>
      </w:r>
      <w:r w:rsidR="00491D3A">
        <w:rPr>
          <w:rFonts w:asciiTheme="minorHAnsi" w:hAnsiTheme="minorHAnsi" w:cstheme="minorHAnsi"/>
          <w:sz w:val="22"/>
          <w:szCs w:val="22"/>
          <w:lang w:val="fr-CH"/>
        </w:rPr>
        <w:t xml:space="preserve">devraient </w:t>
      </w:r>
      <w:r w:rsidR="00F44F46">
        <w:rPr>
          <w:rFonts w:asciiTheme="minorHAnsi" w:hAnsiTheme="minorHAnsi" w:cstheme="minorHAnsi"/>
          <w:sz w:val="22"/>
          <w:szCs w:val="22"/>
          <w:lang w:val="fr-CH"/>
        </w:rPr>
        <w:t>porter</w:t>
      </w:r>
      <w:r w:rsidR="00491D3A">
        <w:rPr>
          <w:rFonts w:asciiTheme="minorHAnsi" w:hAnsiTheme="minorHAnsi" w:cstheme="minorHAnsi"/>
          <w:sz w:val="22"/>
          <w:szCs w:val="22"/>
          <w:lang w:val="fr-CH"/>
        </w:rPr>
        <w:t xml:space="preserve"> sur</w:t>
      </w:r>
      <w:bookmarkEnd w:id="22"/>
      <w:r w:rsidR="00491D3A">
        <w:rPr>
          <w:rFonts w:asciiTheme="minorHAnsi" w:hAnsiTheme="minorHAnsi" w:cstheme="minorHAnsi"/>
          <w:sz w:val="22"/>
          <w:szCs w:val="22"/>
          <w:lang w:val="fr-CH"/>
        </w:rPr>
        <w:t xml:space="preserve"> le renforcement </w:t>
      </w:r>
      <w:r w:rsidR="00491D3A">
        <w:rPr>
          <w:rFonts w:asciiTheme="minorHAnsi" w:hAnsiTheme="minorHAnsi" w:cstheme="minorHAnsi"/>
          <w:sz w:val="22"/>
          <w:szCs w:val="22"/>
          <w:lang w:val="fr-CH"/>
        </w:rPr>
        <w:lastRenderedPageBreak/>
        <w:t xml:space="preserve">des capacités </w:t>
      </w:r>
      <w:bookmarkStart w:id="23" w:name="_Hlk35616555"/>
      <w:r w:rsidR="00491D3A">
        <w:rPr>
          <w:rFonts w:asciiTheme="minorHAnsi" w:hAnsiTheme="minorHAnsi" w:cstheme="minorHAnsi"/>
          <w:sz w:val="22"/>
          <w:szCs w:val="22"/>
          <w:lang w:val="fr-CH"/>
        </w:rPr>
        <w:t>pour améliorer l’appui politique aux INZH car ces Parties ont déjà une capacité technique et des possibilités de financement relativement élevées. Les Parties</w:t>
      </w:r>
      <w:r w:rsidR="00F44F46">
        <w:rPr>
          <w:rFonts w:asciiTheme="minorHAnsi" w:hAnsiTheme="minorHAnsi" w:cstheme="minorHAnsi"/>
          <w:sz w:val="22"/>
          <w:szCs w:val="22"/>
          <w:lang w:val="fr-CH"/>
        </w:rPr>
        <w:t xml:space="preserve"> contractantes</w:t>
      </w:r>
      <w:r w:rsidR="00491D3A">
        <w:rPr>
          <w:rFonts w:asciiTheme="minorHAnsi" w:hAnsiTheme="minorHAnsi" w:cstheme="minorHAnsi"/>
          <w:sz w:val="22"/>
          <w:szCs w:val="22"/>
          <w:lang w:val="fr-CH"/>
        </w:rPr>
        <w:t xml:space="preserve"> </w:t>
      </w:r>
      <w:r w:rsidR="00A41457">
        <w:rPr>
          <w:rFonts w:asciiTheme="minorHAnsi" w:hAnsiTheme="minorHAnsi" w:cstheme="minorHAnsi"/>
          <w:sz w:val="22"/>
          <w:szCs w:val="22"/>
          <w:lang w:val="fr-CH"/>
        </w:rPr>
        <w:t>à</w:t>
      </w:r>
      <w:r w:rsidR="00491D3A">
        <w:rPr>
          <w:rFonts w:asciiTheme="minorHAnsi" w:hAnsiTheme="minorHAnsi" w:cstheme="minorHAnsi"/>
          <w:sz w:val="22"/>
          <w:szCs w:val="22"/>
          <w:lang w:val="fr-CH"/>
        </w:rPr>
        <w:t xml:space="preserve"> </w:t>
      </w:r>
      <w:r w:rsidR="00491D3A" w:rsidRPr="001969BF">
        <w:rPr>
          <w:rFonts w:asciiTheme="minorHAnsi" w:hAnsiTheme="minorHAnsi" w:cstheme="minorHAnsi"/>
          <w:sz w:val="22"/>
          <w:szCs w:val="22"/>
          <w:lang w:val="fr-CH"/>
        </w:rPr>
        <w:t>revenu intermédiaire supérieur</w:t>
      </w:r>
      <w:bookmarkEnd w:id="23"/>
      <w:r w:rsidR="001969BF" w:rsidRPr="001969BF">
        <w:rPr>
          <w:rFonts w:asciiTheme="minorHAnsi" w:hAnsiTheme="minorHAnsi" w:cstheme="minorHAnsi"/>
          <w:sz w:val="22"/>
          <w:szCs w:val="22"/>
          <w:lang w:val="fr-CH"/>
        </w:rPr>
        <w:t xml:space="preserve"> et à revenu intermédiaire inférieur</w:t>
      </w:r>
      <w:r w:rsidR="001B1517" w:rsidRPr="001969BF">
        <w:rPr>
          <w:rStyle w:val="FootnoteReference"/>
          <w:rFonts w:asciiTheme="minorHAnsi" w:hAnsiTheme="minorHAnsi" w:cstheme="minorHAnsi"/>
          <w:sz w:val="22"/>
          <w:szCs w:val="22"/>
          <w:lang w:val="fr-CH"/>
        </w:rPr>
        <w:footnoteReference w:id="7"/>
      </w:r>
      <w:r w:rsidR="001B1517" w:rsidRPr="001969BF">
        <w:rPr>
          <w:rFonts w:asciiTheme="minorHAnsi" w:hAnsiTheme="minorHAnsi" w:cstheme="minorHAnsi"/>
          <w:sz w:val="22"/>
          <w:szCs w:val="22"/>
          <w:lang w:val="fr-CH"/>
        </w:rPr>
        <w:t xml:space="preserve"> </w:t>
      </w:r>
      <w:bookmarkStart w:id="24" w:name="_Hlk35616643"/>
      <w:r w:rsidR="00491D3A">
        <w:rPr>
          <w:rFonts w:asciiTheme="minorHAnsi" w:hAnsiTheme="minorHAnsi" w:cstheme="minorHAnsi"/>
          <w:sz w:val="22"/>
          <w:szCs w:val="22"/>
          <w:lang w:val="fr-CH"/>
        </w:rPr>
        <w:t>devraient recevoir un appui technique et financier, comme demandé dans l’enquête en ligne. En outre, le</w:t>
      </w:r>
      <w:bookmarkEnd w:id="24"/>
      <w:r w:rsidR="00491D3A">
        <w:rPr>
          <w:rFonts w:asciiTheme="minorHAnsi" w:hAnsiTheme="minorHAnsi" w:cstheme="minorHAnsi"/>
          <w:sz w:val="22"/>
          <w:szCs w:val="22"/>
          <w:lang w:val="fr-CH"/>
        </w:rPr>
        <w:t xml:space="preserve"> renforcement </w:t>
      </w:r>
      <w:bookmarkStart w:id="25" w:name="_Hlk35616689"/>
      <w:r w:rsidR="00491D3A">
        <w:rPr>
          <w:rFonts w:asciiTheme="minorHAnsi" w:hAnsiTheme="minorHAnsi" w:cstheme="minorHAnsi"/>
          <w:sz w:val="22"/>
          <w:szCs w:val="22"/>
          <w:lang w:val="fr-CH"/>
        </w:rPr>
        <w:t>de l’engagement politique de ces Parties contractantes</w:t>
      </w:r>
      <w:bookmarkEnd w:id="25"/>
      <w:r w:rsidR="00491D3A">
        <w:rPr>
          <w:rFonts w:asciiTheme="minorHAnsi" w:hAnsiTheme="minorHAnsi" w:cstheme="minorHAnsi"/>
          <w:sz w:val="22"/>
          <w:szCs w:val="22"/>
          <w:lang w:val="fr-CH"/>
        </w:rPr>
        <w:t xml:space="preserve"> serait requis </w:t>
      </w:r>
      <w:bookmarkStart w:id="26" w:name="_Hlk35616714"/>
      <w:r w:rsidR="00491D3A">
        <w:rPr>
          <w:rFonts w:asciiTheme="minorHAnsi" w:hAnsiTheme="minorHAnsi" w:cstheme="minorHAnsi"/>
          <w:sz w:val="22"/>
          <w:szCs w:val="22"/>
          <w:lang w:val="fr-CH"/>
        </w:rPr>
        <w:t>pour garantir une gestion durable des zones humides</w:t>
      </w:r>
      <w:bookmarkEnd w:id="26"/>
      <w:r w:rsidR="00491D3A">
        <w:rPr>
          <w:rFonts w:asciiTheme="minorHAnsi" w:hAnsiTheme="minorHAnsi" w:cstheme="minorHAnsi"/>
          <w:sz w:val="22"/>
          <w:szCs w:val="22"/>
          <w:lang w:val="fr-CH"/>
        </w:rPr>
        <w:t>.</w:t>
      </w:r>
    </w:p>
    <w:p w14:paraId="0B936488" w14:textId="77777777" w:rsidR="00791AB8" w:rsidRPr="00C51B41" w:rsidRDefault="00791AB8" w:rsidP="00536607">
      <w:pPr>
        <w:jc w:val="left"/>
        <w:rPr>
          <w:rFonts w:asciiTheme="minorHAnsi" w:hAnsiTheme="minorHAnsi" w:cstheme="minorHAnsi"/>
          <w:sz w:val="22"/>
          <w:szCs w:val="22"/>
          <w:lang w:val="fr-CH"/>
        </w:rPr>
      </w:pPr>
    </w:p>
    <w:p w14:paraId="308460A4" w14:textId="6EFCB42A" w:rsidR="001B1517" w:rsidRPr="00C51B41" w:rsidRDefault="002048EC" w:rsidP="002048EC">
      <w:pPr>
        <w:ind w:left="425" w:hanging="425"/>
        <w:jc w:val="left"/>
        <w:rPr>
          <w:rFonts w:asciiTheme="minorHAnsi" w:hAnsiTheme="minorHAnsi" w:cstheme="minorHAnsi"/>
          <w:color w:val="000000"/>
          <w:sz w:val="22"/>
          <w:szCs w:val="22"/>
          <w:lang w:val="fr-CH"/>
        </w:rPr>
      </w:pPr>
      <w:r w:rsidRPr="00C51B41">
        <w:rPr>
          <w:rFonts w:asciiTheme="minorHAnsi" w:hAnsiTheme="minorHAnsi" w:cstheme="minorHAnsi"/>
          <w:color w:val="000000"/>
          <w:sz w:val="22"/>
          <w:szCs w:val="22"/>
          <w:lang w:val="fr-CH"/>
        </w:rPr>
        <w:t>21.</w:t>
      </w:r>
      <w:r w:rsidRPr="00C51B41">
        <w:rPr>
          <w:rFonts w:asciiTheme="minorHAnsi" w:hAnsiTheme="minorHAnsi" w:cstheme="minorHAnsi"/>
          <w:color w:val="000000"/>
          <w:sz w:val="22"/>
          <w:szCs w:val="22"/>
          <w:lang w:val="fr-CH"/>
        </w:rPr>
        <w:tab/>
      </w:r>
      <w:bookmarkStart w:id="27" w:name="_Hlk35616778"/>
      <w:r w:rsidR="00F44F46">
        <w:rPr>
          <w:rFonts w:asciiTheme="minorHAnsi" w:hAnsiTheme="minorHAnsi" w:cstheme="minorHAnsi"/>
          <w:color w:val="000000"/>
          <w:sz w:val="22"/>
          <w:szCs w:val="22"/>
          <w:lang w:val="fr-CH"/>
        </w:rPr>
        <w:t>Par ailleurs</w:t>
      </w:r>
      <w:r w:rsidR="003E31F0">
        <w:rPr>
          <w:rFonts w:asciiTheme="minorHAnsi" w:hAnsiTheme="minorHAnsi" w:cstheme="minorHAnsi"/>
          <w:color w:val="000000"/>
          <w:sz w:val="22"/>
          <w:szCs w:val="22"/>
          <w:lang w:val="fr-CH"/>
        </w:rPr>
        <w:t xml:space="preserve">, cette approche à court terme </w:t>
      </w:r>
      <w:r w:rsidR="00837028">
        <w:rPr>
          <w:rFonts w:asciiTheme="minorHAnsi" w:hAnsiTheme="minorHAnsi" w:cstheme="minorHAnsi"/>
          <w:color w:val="000000"/>
          <w:sz w:val="22"/>
          <w:szCs w:val="22"/>
          <w:lang w:val="fr-CH"/>
        </w:rPr>
        <w:t>tient</w:t>
      </w:r>
      <w:r w:rsidR="003E31F0">
        <w:rPr>
          <w:rFonts w:asciiTheme="minorHAnsi" w:hAnsiTheme="minorHAnsi" w:cstheme="minorHAnsi"/>
          <w:color w:val="000000"/>
          <w:sz w:val="22"/>
          <w:szCs w:val="22"/>
          <w:lang w:val="fr-CH"/>
        </w:rPr>
        <w:t xml:space="preserve"> compte du fait que certaines de ces Parties ont déjà </w:t>
      </w:r>
      <w:r w:rsidR="00FE40F9">
        <w:rPr>
          <w:rFonts w:asciiTheme="minorHAnsi" w:hAnsiTheme="minorHAnsi" w:cstheme="minorHAnsi"/>
          <w:color w:val="000000"/>
          <w:sz w:val="22"/>
          <w:szCs w:val="22"/>
          <w:lang w:val="fr-CH"/>
        </w:rPr>
        <w:t>réalisé</w:t>
      </w:r>
      <w:r w:rsidR="003E31F0">
        <w:rPr>
          <w:rFonts w:asciiTheme="minorHAnsi" w:hAnsiTheme="minorHAnsi" w:cstheme="minorHAnsi"/>
          <w:color w:val="000000"/>
          <w:sz w:val="22"/>
          <w:szCs w:val="22"/>
          <w:lang w:val="fr-CH"/>
        </w:rPr>
        <w:t xml:space="preserve"> un inventaire partiel. Dans ce cas, les efforts devraient se concentrer sur l’amélioration de la coordination au niveau national et du partage des connaissances entre acteurs pour </w:t>
      </w:r>
      <w:r w:rsidR="00FE40F9">
        <w:rPr>
          <w:rFonts w:asciiTheme="minorHAnsi" w:hAnsiTheme="minorHAnsi" w:cstheme="minorHAnsi"/>
          <w:color w:val="000000"/>
          <w:sz w:val="22"/>
          <w:szCs w:val="22"/>
          <w:lang w:val="fr-CH"/>
        </w:rPr>
        <w:t>recueillir</w:t>
      </w:r>
      <w:r w:rsidR="003E31F0">
        <w:rPr>
          <w:rFonts w:asciiTheme="minorHAnsi" w:hAnsiTheme="minorHAnsi" w:cstheme="minorHAnsi"/>
          <w:color w:val="000000"/>
          <w:sz w:val="22"/>
          <w:szCs w:val="22"/>
          <w:lang w:val="fr-CH"/>
        </w:rPr>
        <w:t xml:space="preserve"> et consolider les données existantes sur les zones humides afin de </w:t>
      </w:r>
      <w:r w:rsidR="00FE40F9">
        <w:rPr>
          <w:rFonts w:asciiTheme="minorHAnsi" w:hAnsiTheme="minorHAnsi" w:cstheme="minorHAnsi"/>
          <w:color w:val="000000"/>
          <w:sz w:val="22"/>
          <w:szCs w:val="22"/>
          <w:lang w:val="fr-CH"/>
        </w:rPr>
        <w:t>dresser</w:t>
      </w:r>
      <w:r w:rsidR="003E31F0">
        <w:rPr>
          <w:rFonts w:asciiTheme="minorHAnsi" w:hAnsiTheme="minorHAnsi" w:cstheme="minorHAnsi"/>
          <w:color w:val="000000"/>
          <w:sz w:val="22"/>
          <w:szCs w:val="22"/>
          <w:lang w:val="fr-CH"/>
        </w:rPr>
        <w:t xml:space="preserve"> un INZH</w:t>
      </w:r>
      <w:bookmarkEnd w:id="27"/>
      <w:r w:rsidR="003E31F0">
        <w:rPr>
          <w:rFonts w:asciiTheme="minorHAnsi" w:hAnsiTheme="minorHAnsi" w:cstheme="minorHAnsi"/>
          <w:color w:val="000000"/>
          <w:sz w:val="22"/>
          <w:szCs w:val="22"/>
          <w:lang w:val="fr-CH"/>
        </w:rPr>
        <w:t>.</w:t>
      </w:r>
    </w:p>
    <w:p w14:paraId="617C45FF" w14:textId="77777777" w:rsidR="00791AB8" w:rsidRPr="00C51B41" w:rsidRDefault="00791AB8" w:rsidP="00536607">
      <w:pPr>
        <w:pStyle w:val="Text"/>
        <w:tabs>
          <w:tab w:val="left" w:pos="3969"/>
        </w:tabs>
        <w:spacing w:after="0" w:line="240" w:lineRule="auto"/>
        <w:jc w:val="left"/>
        <w:rPr>
          <w:rFonts w:ascii="Arial" w:hAnsi="Arial" w:cs="Arial"/>
          <w:b/>
          <w:bCs/>
          <w:szCs w:val="20"/>
          <w:lang w:val="fr-CH"/>
        </w:rPr>
      </w:pPr>
    </w:p>
    <w:p w14:paraId="77964058" w14:textId="1404F3F9" w:rsidR="001B1517" w:rsidRPr="00C51B41" w:rsidRDefault="002048EC" w:rsidP="002048EC">
      <w:pPr>
        <w:tabs>
          <w:tab w:val="left" w:pos="567"/>
        </w:tabs>
        <w:ind w:left="850" w:hanging="425"/>
        <w:jc w:val="left"/>
        <w:rPr>
          <w:rFonts w:asciiTheme="minorHAnsi" w:hAnsiTheme="minorHAnsi" w:cstheme="minorHAnsi"/>
          <w:bCs/>
          <w:sz w:val="22"/>
          <w:szCs w:val="22"/>
          <w:lang w:val="fr-CH"/>
        </w:rPr>
      </w:pPr>
      <w:r w:rsidRPr="00C51B41">
        <w:rPr>
          <w:rFonts w:asciiTheme="minorHAnsi" w:hAnsiTheme="minorHAnsi" w:cstheme="minorHAnsi"/>
          <w:bCs/>
          <w:sz w:val="22"/>
          <w:szCs w:val="22"/>
          <w:lang w:val="fr-CH"/>
        </w:rPr>
        <w:t>b</w:t>
      </w:r>
      <w:r w:rsidR="00270E8D">
        <w:rPr>
          <w:rFonts w:asciiTheme="minorHAnsi" w:hAnsiTheme="minorHAnsi" w:cstheme="minorHAnsi"/>
          <w:bCs/>
          <w:sz w:val="22"/>
          <w:szCs w:val="22"/>
          <w:lang w:val="fr-CH"/>
        </w:rPr>
        <w:t>)</w:t>
      </w:r>
      <w:r w:rsidRPr="00C51B41">
        <w:rPr>
          <w:rFonts w:asciiTheme="minorHAnsi" w:hAnsiTheme="minorHAnsi" w:cstheme="minorHAnsi"/>
          <w:bCs/>
          <w:sz w:val="22"/>
          <w:szCs w:val="22"/>
          <w:lang w:val="fr-CH"/>
        </w:rPr>
        <w:tab/>
      </w:r>
      <w:r w:rsidR="003E31F0">
        <w:rPr>
          <w:rFonts w:asciiTheme="minorHAnsi" w:hAnsiTheme="minorHAnsi" w:cstheme="minorHAnsi"/>
          <w:bCs/>
          <w:sz w:val="22"/>
          <w:szCs w:val="22"/>
          <w:lang w:val="fr-CH"/>
        </w:rPr>
        <w:t xml:space="preserve">Une </w:t>
      </w:r>
      <w:bookmarkStart w:id="28" w:name="_Hlk35616864"/>
      <w:r w:rsidR="003E31F0">
        <w:rPr>
          <w:rFonts w:asciiTheme="minorHAnsi" w:hAnsiTheme="minorHAnsi" w:cstheme="minorHAnsi"/>
          <w:bCs/>
          <w:sz w:val="22"/>
          <w:szCs w:val="22"/>
          <w:lang w:val="fr-CH"/>
        </w:rPr>
        <w:t>approche à plus long terme pour les neuf Parties contractantes à faible revenu</w:t>
      </w:r>
      <w:bookmarkEnd w:id="28"/>
      <w:r w:rsidR="001B1517" w:rsidRPr="00C51B41">
        <w:rPr>
          <w:rFonts w:asciiTheme="minorHAnsi" w:hAnsiTheme="minorHAnsi"/>
          <w:sz w:val="22"/>
          <w:szCs w:val="22"/>
          <w:vertAlign w:val="superscript"/>
          <w:lang w:val="fr-CH"/>
        </w:rPr>
        <w:footnoteReference w:id="8"/>
      </w:r>
      <w:r w:rsidR="001B1517" w:rsidRPr="00C51B41">
        <w:rPr>
          <w:rFonts w:asciiTheme="minorHAnsi" w:hAnsiTheme="minorHAnsi" w:cstheme="minorHAnsi"/>
          <w:bCs/>
          <w:sz w:val="22"/>
          <w:szCs w:val="22"/>
          <w:lang w:val="fr-CH"/>
        </w:rPr>
        <w:t xml:space="preserve"> </w:t>
      </w:r>
      <w:bookmarkStart w:id="30" w:name="_Hlk35616907"/>
      <w:r w:rsidR="003E31F0">
        <w:rPr>
          <w:rFonts w:asciiTheme="minorHAnsi" w:hAnsiTheme="minorHAnsi" w:cstheme="minorHAnsi"/>
          <w:bCs/>
          <w:sz w:val="22"/>
          <w:szCs w:val="22"/>
          <w:lang w:val="fr-CH"/>
        </w:rPr>
        <w:t>dont le contexte est plus difficile et qui auront besoin d’un renforcement des capacités et d’un appui technique plus substantiels</w:t>
      </w:r>
      <w:bookmarkEnd w:id="30"/>
      <w:r w:rsidR="003E31F0">
        <w:rPr>
          <w:rFonts w:asciiTheme="minorHAnsi" w:hAnsiTheme="minorHAnsi" w:cstheme="minorHAnsi"/>
          <w:bCs/>
          <w:sz w:val="22"/>
          <w:szCs w:val="22"/>
          <w:lang w:val="fr-CH"/>
        </w:rPr>
        <w:t xml:space="preserve">. </w:t>
      </w:r>
      <w:bookmarkStart w:id="31" w:name="_Hlk35616973"/>
      <w:r w:rsidR="00CE2AA2">
        <w:rPr>
          <w:rFonts w:asciiTheme="minorHAnsi" w:hAnsiTheme="minorHAnsi" w:cstheme="minorHAnsi"/>
          <w:bCs/>
          <w:sz w:val="22"/>
          <w:szCs w:val="22"/>
          <w:lang w:val="fr-CH"/>
        </w:rPr>
        <w:t>Il est probable que ces Parties contractantes ne puissent entreprendre d’INZH qu’à moyen ou plus long terme (c’est</w:t>
      </w:r>
      <w:r w:rsidR="00CE2AA2">
        <w:rPr>
          <w:rFonts w:asciiTheme="minorHAnsi" w:hAnsiTheme="minorHAnsi" w:cstheme="minorHAnsi"/>
          <w:bCs/>
          <w:sz w:val="22"/>
          <w:szCs w:val="22"/>
          <w:lang w:val="fr-CH"/>
        </w:rPr>
        <w:noBreakHyphen/>
        <w:t>à</w:t>
      </w:r>
      <w:r w:rsidR="00CE2AA2">
        <w:rPr>
          <w:rFonts w:asciiTheme="minorHAnsi" w:hAnsiTheme="minorHAnsi" w:cstheme="minorHAnsi"/>
          <w:bCs/>
          <w:sz w:val="22"/>
          <w:szCs w:val="22"/>
          <w:lang w:val="fr-CH"/>
        </w:rPr>
        <w:noBreakHyphen/>
        <w:t xml:space="preserve">dire entre deux et cinq ans) et toutes les neuf présentent les plus hauts niveaux de </w:t>
      </w:r>
      <w:r w:rsidR="00416CCD">
        <w:rPr>
          <w:rFonts w:asciiTheme="minorHAnsi" w:hAnsiTheme="minorHAnsi" w:cstheme="minorHAnsi"/>
          <w:bCs/>
          <w:sz w:val="22"/>
          <w:szCs w:val="22"/>
          <w:lang w:val="fr-CH"/>
        </w:rPr>
        <w:t>fragilité</w:t>
      </w:r>
      <w:r w:rsidR="00CE2AA2">
        <w:rPr>
          <w:rFonts w:asciiTheme="minorHAnsi" w:hAnsiTheme="minorHAnsi" w:cstheme="minorHAnsi"/>
          <w:bCs/>
          <w:sz w:val="22"/>
          <w:szCs w:val="22"/>
          <w:lang w:val="fr-CH"/>
        </w:rPr>
        <w:t xml:space="preserve"> mesurés par l’</w:t>
      </w:r>
      <w:r w:rsidR="00416CCD">
        <w:rPr>
          <w:rFonts w:asciiTheme="minorHAnsi" w:hAnsiTheme="minorHAnsi" w:cstheme="minorHAnsi"/>
          <w:bCs/>
          <w:sz w:val="22"/>
          <w:szCs w:val="22"/>
          <w:lang w:val="fr-CH"/>
        </w:rPr>
        <w:t>i</w:t>
      </w:r>
      <w:r w:rsidR="00CE2AA2">
        <w:rPr>
          <w:rFonts w:asciiTheme="minorHAnsi" w:hAnsiTheme="minorHAnsi" w:cstheme="minorHAnsi"/>
          <w:bCs/>
          <w:sz w:val="22"/>
          <w:szCs w:val="22"/>
          <w:lang w:val="fr-CH"/>
        </w:rPr>
        <w:t>ndice des États</w:t>
      </w:r>
      <w:r w:rsidR="00416CCD">
        <w:rPr>
          <w:rFonts w:asciiTheme="minorHAnsi" w:hAnsiTheme="minorHAnsi" w:cstheme="minorHAnsi"/>
          <w:bCs/>
          <w:sz w:val="22"/>
          <w:szCs w:val="22"/>
          <w:lang w:val="fr-CH"/>
        </w:rPr>
        <w:t xml:space="preserve"> fragiles (Fragile States Index)</w:t>
      </w:r>
      <w:bookmarkEnd w:id="31"/>
      <w:r w:rsidR="00CE2AA2">
        <w:rPr>
          <w:rFonts w:asciiTheme="minorHAnsi" w:hAnsiTheme="minorHAnsi" w:cstheme="minorHAnsi"/>
          <w:bCs/>
          <w:sz w:val="22"/>
          <w:szCs w:val="22"/>
          <w:lang w:val="fr-CH"/>
        </w:rPr>
        <w:t xml:space="preserve">. </w:t>
      </w:r>
      <w:bookmarkStart w:id="32" w:name="_Hlk35617072"/>
      <w:r w:rsidR="00CE2AA2">
        <w:rPr>
          <w:rFonts w:asciiTheme="minorHAnsi" w:hAnsiTheme="minorHAnsi" w:cstheme="minorHAnsi"/>
          <w:bCs/>
          <w:sz w:val="22"/>
          <w:szCs w:val="22"/>
          <w:lang w:val="fr-CH"/>
        </w:rPr>
        <w:t xml:space="preserve">Dans un premier temps, cette approche à long terme devrait se concentrer sur le renforcement des capacités et </w:t>
      </w:r>
      <w:r w:rsidR="00416CCD">
        <w:rPr>
          <w:rFonts w:asciiTheme="minorHAnsi" w:hAnsiTheme="minorHAnsi" w:cstheme="minorHAnsi"/>
          <w:bCs/>
          <w:sz w:val="22"/>
          <w:szCs w:val="22"/>
          <w:lang w:val="fr-CH"/>
        </w:rPr>
        <w:t>l’apport</w:t>
      </w:r>
      <w:r w:rsidR="00CE2AA2">
        <w:rPr>
          <w:rFonts w:asciiTheme="minorHAnsi" w:hAnsiTheme="minorHAnsi" w:cstheme="minorHAnsi"/>
          <w:bCs/>
          <w:sz w:val="22"/>
          <w:szCs w:val="22"/>
          <w:lang w:val="fr-CH"/>
        </w:rPr>
        <w:t xml:space="preserve"> d’un appui technique, ainsi que sur l’appui en matière de gouvernance pour </w:t>
      </w:r>
      <w:r w:rsidR="00416CCD">
        <w:rPr>
          <w:rFonts w:asciiTheme="minorHAnsi" w:hAnsiTheme="minorHAnsi" w:cstheme="minorHAnsi"/>
          <w:bCs/>
          <w:sz w:val="22"/>
          <w:szCs w:val="22"/>
          <w:lang w:val="fr-CH"/>
        </w:rPr>
        <w:t xml:space="preserve">mieux motiver </w:t>
      </w:r>
      <w:r w:rsidR="00CE2AA2">
        <w:rPr>
          <w:rFonts w:asciiTheme="minorHAnsi" w:hAnsiTheme="minorHAnsi" w:cstheme="minorHAnsi"/>
          <w:bCs/>
          <w:sz w:val="22"/>
          <w:szCs w:val="22"/>
          <w:lang w:val="fr-CH"/>
        </w:rPr>
        <w:t>un engagement plus important des gouvernements nationaux</w:t>
      </w:r>
      <w:bookmarkEnd w:id="32"/>
      <w:r w:rsidR="00CE2AA2">
        <w:rPr>
          <w:rFonts w:asciiTheme="minorHAnsi" w:hAnsiTheme="minorHAnsi" w:cstheme="minorHAnsi"/>
          <w:bCs/>
          <w:sz w:val="22"/>
          <w:szCs w:val="22"/>
          <w:lang w:val="fr-CH"/>
        </w:rPr>
        <w:t xml:space="preserve">. Il est en outre proposé d’identifier un ou deux pays voisins </w:t>
      </w:r>
      <w:r w:rsidR="00416CCD">
        <w:rPr>
          <w:rFonts w:asciiTheme="minorHAnsi" w:hAnsiTheme="minorHAnsi" w:cstheme="minorHAnsi"/>
          <w:bCs/>
          <w:sz w:val="22"/>
          <w:szCs w:val="22"/>
          <w:lang w:val="fr-CH"/>
        </w:rPr>
        <w:t>ayant</w:t>
      </w:r>
      <w:r w:rsidR="00CE2AA2">
        <w:rPr>
          <w:rFonts w:asciiTheme="minorHAnsi" w:hAnsiTheme="minorHAnsi" w:cstheme="minorHAnsi"/>
          <w:bCs/>
          <w:sz w:val="22"/>
          <w:szCs w:val="22"/>
          <w:lang w:val="fr-CH"/>
        </w:rPr>
        <w:t xml:space="preserve"> déjà fait de bons progrès </w:t>
      </w:r>
      <w:r w:rsidR="00416CCD">
        <w:rPr>
          <w:rFonts w:asciiTheme="minorHAnsi" w:hAnsiTheme="minorHAnsi" w:cstheme="minorHAnsi"/>
          <w:bCs/>
          <w:sz w:val="22"/>
          <w:szCs w:val="22"/>
          <w:lang w:val="fr-CH"/>
        </w:rPr>
        <w:t>relatifs à</w:t>
      </w:r>
      <w:r w:rsidR="00CE2AA2">
        <w:rPr>
          <w:rFonts w:asciiTheme="minorHAnsi" w:hAnsiTheme="minorHAnsi" w:cstheme="minorHAnsi"/>
          <w:bCs/>
          <w:sz w:val="22"/>
          <w:szCs w:val="22"/>
          <w:lang w:val="fr-CH"/>
        </w:rPr>
        <w:t xml:space="preserve"> leur INZH et qui pourraient </w:t>
      </w:r>
      <w:r w:rsidR="00F02E89" w:rsidRPr="00F02E89">
        <w:rPr>
          <w:rFonts w:asciiTheme="minorHAnsi" w:hAnsiTheme="minorHAnsi" w:cstheme="minorHAnsi"/>
          <w:bCs/>
          <w:sz w:val="22"/>
          <w:szCs w:val="22"/>
          <w:lang w:val="fr-CH"/>
        </w:rPr>
        <w:t>jouer un rôle de soutien par les pairs et de mentor</w:t>
      </w:r>
      <w:r w:rsidR="00CE2AA2">
        <w:rPr>
          <w:rFonts w:asciiTheme="minorHAnsi" w:hAnsiTheme="minorHAnsi" w:cstheme="minorHAnsi"/>
          <w:bCs/>
          <w:sz w:val="22"/>
          <w:szCs w:val="22"/>
          <w:lang w:val="fr-CH"/>
        </w:rPr>
        <w:t xml:space="preserve">. </w:t>
      </w:r>
      <w:bookmarkStart w:id="33" w:name="_Hlk35617118"/>
      <w:r w:rsidR="00CE2AA2">
        <w:rPr>
          <w:rFonts w:asciiTheme="minorHAnsi" w:hAnsiTheme="minorHAnsi" w:cstheme="minorHAnsi"/>
          <w:bCs/>
          <w:sz w:val="22"/>
          <w:szCs w:val="22"/>
          <w:lang w:val="fr-CH"/>
        </w:rPr>
        <w:t xml:space="preserve">En conséquence, l’environnement </w:t>
      </w:r>
      <w:r w:rsidR="00416CCD">
        <w:rPr>
          <w:rFonts w:asciiTheme="minorHAnsi" w:hAnsiTheme="minorHAnsi" w:cstheme="minorHAnsi"/>
          <w:bCs/>
          <w:sz w:val="22"/>
          <w:szCs w:val="22"/>
          <w:lang w:val="fr-CH"/>
        </w:rPr>
        <w:t>favorable</w:t>
      </w:r>
      <w:r w:rsidR="00CE2AA2">
        <w:rPr>
          <w:rFonts w:asciiTheme="minorHAnsi" w:hAnsiTheme="minorHAnsi" w:cstheme="minorHAnsi"/>
          <w:bCs/>
          <w:sz w:val="22"/>
          <w:szCs w:val="22"/>
          <w:lang w:val="fr-CH"/>
        </w:rPr>
        <w:t xml:space="preserve"> </w:t>
      </w:r>
      <w:r w:rsidR="00416CCD">
        <w:rPr>
          <w:rFonts w:asciiTheme="minorHAnsi" w:hAnsiTheme="minorHAnsi" w:cstheme="minorHAnsi"/>
          <w:bCs/>
          <w:sz w:val="22"/>
          <w:szCs w:val="22"/>
          <w:lang w:val="fr-CH"/>
        </w:rPr>
        <w:t>général</w:t>
      </w:r>
      <w:r w:rsidR="00CE2AA2">
        <w:rPr>
          <w:rFonts w:asciiTheme="minorHAnsi" w:hAnsiTheme="minorHAnsi" w:cstheme="minorHAnsi"/>
          <w:bCs/>
          <w:sz w:val="22"/>
          <w:szCs w:val="22"/>
          <w:lang w:val="fr-CH"/>
        </w:rPr>
        <w:t xml:space="preserve"> devrait s’améliorer avec le temps, permettant </w:t>
      </w:r>
      <w:r w:rsidR="00416CCD">
        <w:rPr>
          <w:rFonts w:asciiTheme="minorHAnsi" w:hAnsiTheme="minorHAnsi" w:cstheme="minorHAnsi"/>
          <w:bCs/>
          <w:sz w:val="22"/>
          <w:szCs w:val="22"/>
          <w:lang w:val="fr-CH"/>
        </w:rPr>
        <w:t xml:space="preserve">de passer à </w:t>
      </w:r>
      <w:r w:rsidR="00CE2AA2">
        <w:rPr>
          <w:rFonts w:asciiTheme="minorHAnsi" w:hAnsiTheme="minorHAnsi" w:cstheme="minorHAnsi"/>
          <w:bCs/>
          <w:sz w:val="22"/>
          <w:szCs w:val="22"/>
          <w:lang w:val="fr-CH"/>
        </w:rPr>
        <w:t xml:space="preserve">une deuxième phase, </w:t>
      </w:r>
      <w:r w:rsidR="00416CCD">
        <w:rPr>
          <w:rFonts w:asciiTheme="minorHAnsi" w:hAnsiTheme="minorHAnsi" w:cstheme="minorHAnsi"/>
          <w:bCs/>
          <w:sz w:val="22"/>
          <w:szCs w:val="22"/>
          <w:lang w:val="fr-CH"/>
        </w:rPr>
        <w:t>portant</w:t>
      </w:r>
      <w:r w:rsidR="00CE2AA2">
        <w:rPr>
          <w:rFonts w:asciiTheme="minorHAnsi" w:hAnsiTheme="minorHAnsi" w:cstheme="minorHAnsi"/>
          <w:bCs/>
          <w:sz w:val="22"/>
          <w:szCs w:val="22"/>
          <w:lang w:val="fr-CH"/>
        </w:rPr>
        <w:t xml:space="preserve"> sur l’appui aux </w:t>
      </w:r>
      <w:r w:rsidR="00416CCD">
        <w:rPr>
          <w:rFonts w:asciiTheme="minorHAnsi" w:hAnsiTheme="minorHAnsi" w:cstheme="minorHAnsi"/>
          <w:bCs/>
          <w:sz w:val="22"/>
          <w:szCs w:val="22"/>
          <w:lang w:val="fr-CH"/>
        </w:rPr>
        <w:t>levées</w:t>
      </w:r>
      <w:r w:rsidR="00CE2AA2">
        <w:rPr>
          <w:rFonts w:asciiTheme="minorHAnsi" w:hAnsiTheme="minorHAnsi" w:cstheme="minorHAnsi"/>
          <w:bCs/>
          <w:sz w:val="22"/>
          <w:szCs w:val="22"/>
          <w:lang w:val="fr-CH"/>
        </w:rPr>
        <w:t xml:space="preserve"> de fonds pour entreprendre les INZH. Cette approche peut prendre entre deux et cinq ans, selon les difficultés rencontrées par les Parties contractantes</w:t>
      </w:r>
      <w:bookmarkEnd w:id="33"/>
      <w:r w:rsidR="00CE2AA2">
        <w:rPr>
          <w:rFonts w:asciiTheme="minorHAnsi" w:hAnsiTheme="minorHAnsi" w:cstheme="minorHAnsi"/>
          <w:bCs/>
          <w:sz w:val="22"/>
          <w:szCs w:val="22"/>
          <w:lang w:val="fr-CH"/>
        </w:rPr>
        <w:t xml:space="preserve">. </w:t>
      </w:r>
      <w:r w:rsidR="001B1517" w:rsidRPr="00C51B41">
        <w:rPr>
          <w:rFonts w:asciiTheme="minorHAnsi" w:hAnsiTheme="minorHAnsi" w:cstheme="minorHAnsi"/>
          <w:bCs/>
          <w:sz w:val="22"/>
          <w:szCs w:val="22"/>
          <w:lang w:val="fr-CH"/>
        </w:rPr>
        <w:t xml:space="preserve"> </w:t>
      </w:r>
    </w:p>
    <w:p w14:paraId="5A2F61B5" w14:textId="77777777" w:rsidR="001B1517" w:rsidRPr="009177A6" w:rsidRDefault="001B1517" w:rsidP="00536607">
      <w:pPr>
        <w:jc w:val="left"/>
        <w:rPr>
          <w:rFonts w:ascii="Calibri" w:hAnsi="Calibri" w:cs="Calibri"/>
          <w:b/>
          <w:sz w:val="22"/>
          <w:szCs w:val="22"/>
          <w:lang w:val="fr-FR"/>
        </w:rPr>
      </w:pPr>
    </w:p>
    <w:p w14:paraId="66C452C4" w14:textId="274D6C20" w:rsidR="009740D6" w:rsidRPr="00CE2AA2" w:rsidRDefault="002048EC" w:rsidP="002048EC">
      <w:pPr>
        <w:ind w:left="425" w:hanging="425"/>
        <w:jc w:val="left"/>
        <w:rPr>
          <w:rFonts w:asciiTheme="minorHAnsi" w:hAnsiTheme="minorHAnsi" w:cstheme="minorHAnsi"/>
          <w:color w:val="000000"/>
          <w:sz w:val="22"/>
          <w:szCs w:val="22"/>
          <w:lang w:val="fr-CH"/>
        </w:rPr>
      </w:pPr>
      <w:r w:rsidRPr="00387923">
        <w:rPr>
          <w:rFonts w:asciiTheme="minorHAnsi" w:hAnsiTheme="minorHAnsi" w:cstheme="minorHAnsi"/>
          <w:color w:val="000000"/>
          <w:sz w:val="22"/>
          <w:szCs w:val="22"/>
          <w:lang w:val="fr-CH"/>
        </w:rPr>
        <w:t>22.</w:t>
      </w:r>
      <w:r w:rsidRPr="00387923">
        <w:rPr>
          <w:rFonts w:asciiTheme="minorHAnsi" w:hAnsiTheme="minorHAnsi" w:cstheme="minorHAnsi"/>
          <w:color w:val="000000"/>
          <w:sz w:val="22"/>
          <w:szCs w:val="22"/>
          <w:lang w:val="fr-CH"/>
        </w:rPr>
        <w:tab/>
      </w:r>
      <w:r w:rsidR="0002485E" w:rsidRPr="00387923">
        <w:rPr>
          <w:rFonts w:asciiTheme="minorHAnsi" w:hAnsiTheme="minorHAnsi" w:cstheme="minorHAnsi"/>
          <w:color w:val="000000"/>
          <w:sz w:val="22"/>
          <w:szCs w:val="22"/>
          <w:lang w:val="fr-CH"/>
        </w:rPr>
        <w:t>En se fondant sur l’approche décrite ci</w:t>
      </w:r>
      <w:r w:rsidR="0002485E" w:rsidRPr="00387923">
        <w:rPr>
          <w:rFonts w:asciiTheme="minorHAnsi" w:hAnsiTheme="minorHAnsi" w:cstheme="minorHAnsi"/>
          <w:color w:val="000000"/>
          <w:sz w:val="22"/>
          <w:szCs w:val="22"/>
          <w:lang w:val="fr-CH"/>
        </w:rPr>
        <w:noBreakHyphen/>
        <w:t>dessus, le</w:t>
      </w:r>
      <w:r w:rsidR="00B91304" w:rsidRPr="00387923">
        <w:rPr>
          <w:rFonts w:asciiTheme="minorHAnsi" w:hAnsiTheme="minorHAnsi" w:cstheme="minorHAnsi"/>
          <w:color w:val="000000"/>
          <w:sz w:val="22"/>
          <w:szCs w:val="22"/>
          <w:lang w:val="fr-CH"/>
        </w:rPr>
        <w:t xml:space="preserve"> service consultatif</w:t>
      </w:r>
      <w:r w:rsidR="00B91304">
        <w:rPr>
          <w:rFonts w:asciiTheme="minorHAnsi" w:hAnsiTheme="minorHAnsi" w:cstheme="minorHAnsi"/>
          <w:color w:val="000000"/>
          <w:sz w:val="22"/>
          <w:szCs w:val="22"/>
          <w:lang w:val="fr-CH"/>
        </w:rPr>
        <w:t xml:space="preserve"> a</w:t>
      </w:r>
      <w:r w:rsidR="0002485E">
        <w:rPr>
          <w:rFonts w:asciiTheme="minorHAnsi" w:hAnsiTheme="minorHAnsi" w:cstheme="minorHAnsi"/>
          <w:color w:val="000000"/>
          <w:sz w:val="22"/>
          <w:szCs w:val="22"/>
          <w:lang w:val="fr-CH"/>
        </w:rPr>
        <w:t xml:space="preserve"> préparé</w:t>
      </w:r>
      <w:r w:rsidR="00B91304">
        <w:rPr>
          <w:rFonts w:asciiTheme="minorHAnsi" w:hAnsiTheme="minorHAnsi" w:cstheme="minorHAnsi"/>
          <w:color w:val="000000"/>
          <w:sz w:val="22"/>
          <w:szCs w:val="22"/>
          <w:lang w:val="fr-CH"/>
        </w:rPr>
        <w:t xml:space="preserve">, avec l’appui du Secrétariat, </w:t>
      </w:r>
      <w:r w:rsidR="0002485E">
        <w:rPr>
          <w:rFonts w:asciiTheme="minorHAnsi" w:hAnsiTheme="minorHAnsi" w:cstheme="minorHAnsi"/>
          <w:color w:val="000000"/>
          <w:sz w:val="22"/>
          <w:szCs w:val="22"/>
          <w:lang w:val="fr-CH"/>
        </w:rPr>
        <w:t xml:space="preserve">un projet de proposition </w:t>
      </w:r>
      <w:r w:rsidR="00B91304">
        <w:rPr>
          <w:rFonts w:asciiTheme="minorHAnsi" w:hAnsiTheme="minorHAnsi" w:cstheme="minorHAnsi"/>
          <w:color w:val="000000"/>
          <w:sz w:val="22"/>
          <w:szCs w:val="22"/>
          <w:lang w:val="fr-CH"/>
        </w:rPr>
        <w:t>de levée</w:t>
      </w:r>
      <w:r w:rsidR="0002485E">
        <w:rPr>
          <w:rFonts w:asciiTheme="minorHAnsi" w:hAnsiTheme="minorHAnsi" w:cstheme="minorHAnsi"/>
          <w:color w:val="000000"/>
          <w:sz w:val="22"/>
          <w:szCs w:val="22"/>
          <w:lang w:val="fr-CH"/>
        </w:rPr>
        <w:t xml:space="preserve"> de fonds pour permettre aux Parties d’améliorer la </w:t>
      </w:r>
      <w:r w:rsidR="0002485E" w:rsidRPr="0001535C">
        <w:rPr>
          <w:rFonts w:asciiTheme="minorHAnsi" w:hAnsiTheme="minorHAnsi" w:cstheme="minorHAnsi"/>
          <w:color w:val="000000"/>
          <w:sz w:val="22"/>
          <w:szCs w:val="22"/>
          <w:lang w:val="fr-CH"/>
        </w:rPr>
        <w:t xml:space="preserve">disponibilité et la qualité des INZH. La proposition peut être visionnée ici : </w:t>
      </w:r>
      <w:hyperlink r:id="rId9" w:history="1">
        <w:r w:rsidR="0001535C" w:rsidRPr="00F1215A">
          <w:rPr>
            <w:rStyle w:val="Hyperlink"/>
            <w:rFonts w:asciiTheme="minorHAnsi" w:hAnsiTheme="minorHAnsi" w:cstheme="minorHAnsi"/>
            <w:sz w:val="22"/>
            <w:szCs w:val="22"/>
            <w:lang w:val="fr-FR"/>
          </w:rPr>
          <w:t>https://www.ramsar.org/fr/document/proposition-de-projet-investir-dans-les-inventaires-nationaux-des-zones-humides-une</w:t>
        </w:r>
      </w:hyperlink>
      <w:r w:rsidR="005673D5" w:rsidRPr="0001535C">
        <w:rPr>
          <w:rFonts w:asciiTheme="minorHAnsi" w:hAnsiTheme="minorHAnsi" w:cstheme="minorHAnsi"/>
          <w:color w:val="000000"/>
          <w:sz w:val="22"/>
          <w:szCs w:val="22"/>
          <w:lang w:val="fr-CH"/>
        </w:rPr>
        <w:t>.</w:t>
      </w:r>
    </w:p>
    <w:p w14:paraId="14A80644" w14:textId="77777777" w:rsidR="00633615" w:rsidRPr="00CE2AA2" w:rsidRDefault="00633615" w:rsidP="00536607">
      <w:pPr>
        <w:jc w:val="left"/>
        <w:rPr>
          <w:rFonts w:asciiTheme="minorHAnsi" w:hAnsiTheme="minorHAnsi" w:cstheme="minorHAnsi"/>
          <w:sz w:val="22"/>
          <w:lang w:val="fr-CH"/>
        </w:rPr>
      </w:pPr>
    </w:p>
    <w:p w14:paraId="0D05291C" w14:textId="0775636F" w:rsidR="00860A11" w:rsidRPr="00CE2AA2" w:rsidRDefault="002048EC" w:rsidP="002048EC">
      <w:pPr>
        <w:ind w:left="425" w:hanging="425"/>
        <w:jc w:val="left"/>
        <w:rPr>
          <w:rFonts w:ascii="Calibri" w:hAnsi="Calibri" w:cs="Calibri"/>
          <w:i/>
          <w:sz w:val="22"/>
          <w:szCs w:val="22"/>
          <w:lang w:val="fr-CH"/>
        </w:rPr>
      </w:pPr>
      <w:r w:rsidRPr="00CE2AA2">
        <w:rPr>
          <w:rFonts w:ascii="Calibri" w:hAnsi="Calibri" w:cs="Calibri"/>
          <w:i/>
          <w:sz w:val="22"/>
          <w:szCs w:val="22"/>
          <w:lang w:val="fr-CH"/>
        </w:rPr>
        <w:t>iii</w:t>
      </w:r>
      <w:r w:rsidR="00AB2D2F">
        <w:rPr>
          <w:rFonts w:ascii="Calibri" w:hAnsi="Calibri" w:cs="Calibri"/>
          <w:i/>
          <w:sz w:val="22"/>
          <w:szCs w:val="22"/>
          <w:lang w:val="fr-CH"/>
        </w:rPr>
        <w:t>)</w:t>
      </w:r>
      <w:r w:rsidRPr="00CE2AA2">
        <w:rPr>
          <w:rFonts w:ascii="Calibri" w:hAnsi="Calibri" w:cs="Calibri"/>
          <w:i/>
          <w:sz w:val="22"/>
          <w:szCs w:val="22"/>
          <w:lang w:val="fr-CH"/>
        </w:rPr>
        <w:tab/>
      </w:r>
      <w:r w:rsidR="0014373C" w:rsidRPr="0014373C">
        <w:rPr>
          <w:rFonts w:ascii="Calibri" w:hAnsi="Calibri" w:cs="Calibri"/>
          <w:i/>
          <w:sz w:val="22"/>
          <w:szCs w:val="22"/>
          <w:lang w:val="fr-CH"/>
        </w:rPr>
        <w:t>Élaboration d’une trousse d’outils à l’intention des Parties contractantes, contenant les meilleures pratiques et traitant les lacunes identifiées dans les connaissances par l’apport d’orientations, d’un appui et de ressources en vue de terminer les inventaires des zones humides et de faire rapport sur l’étendue des zones humides</w:t>
      </w:r>
      <w:r w:rsidR="00860A11" w:rsidRPr="00CE2AA2">
        <w:rPr>
          <w:rFonts w:ascii="Calibri" w:hAnsi="Calibri" w:cs="Calibri"/>
          <w:i/>
          <w:sz w:val="22"/>
          <w:szCs w:val="22"/>
          <w:lang w:val="fr-CH"/>
        </w:rPr>
        <w:t xml:space="preserve">. </w:t>
      </w:r>
    </w:p>
    <w:p w14:paraId="4D87C5F9" w14:textId="77777777" w:rsidR="00F40C7D" w:rsidRPr="00CE2AA2" w:rsidRDefault="00F40C7D" w:rsidP="00536607">
      <w:pPr>
        <w:jc w:val="left"/>
        <w:rPr>
          <w:rFonts w:asciiTheme="minorHAnsi" w:hAnsiTheme="minorHAnsi" w:cstheme="minorHAnsi"/>
          <w:b/>
          <w:sz w:val="22"/>
          <w:szCs w:val="22"/>
          <w:lang w:val="fr-CH"/>
        </w:rPr>
      </w:pPr>
    </w:p>
    <w:p w14:paraId="13B85B89" w14:textId="005DEB0B" w:rsidR="00D13A50" w:rsidRPr="00CE2AA2" w:rsidRDefault="002048EC" w:rsidP="002048EC">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23.</w:t>
      </w:r>
      <w:r w:rsidRPr="00CE2AA2">
        <w:rPr>
          <w:rFonts w:asciiTheme="minorHAnsi" w:hAnsiTheme="minorHAnsi" w:cstheme="minorHAnsi"/>
          <w:color w:val="000000"/>
          <w:sz w:val="22"/>
          <w:szCs w:val="22"/>
          <w:lang w:val="fr-CH"/>
        </w:rPr>
        <w:tab/>
      </w:r>
      <w:r w:rsidR="00CD3D71">
        <w:rPr>
          <w:rFonts w:asciiTheme="minorHAnsi" w:hAnsiTheme="minorHAnsi" w:cstheme="minorHAnsi"/>
          <w:color w:val="000000"/>
          <w:sz w:val="22"/>
          <w:szCs w:val="22"/>
          <w:lang w:val="fr-CH"/>
        </w:rPr>
        <w:t>Le</w:t>
      </w:r>
      <w:r w:rsidR="00B062C5">
        <w:rPr>
          <w:rFonts w:asciiTheme="minorHAnsi" w:hAnsiTheme="minorHAnsi" w:cstheme="minorHAnsi"/>
          <w:color w:val="000000"/>
          <w:sz w:val="22"/>
          <w:szCs w:val="22"/>
          <w:lang w:val="fr-CH"/>
        </w:rPr>
        <w:t xml:space="preserve"> </w:t>
      </w:r>
      <w:r w:rsidR="00B062C5" w:rsidRPr="00387923">
        <w:rPr>
          <w:rFonts w:asciiTheme="minorHAnsi" w:hAnsiTheme="minorHAnsi" w:cstheme="minorHAnsi"/>
          <w:color w:val="000000"/>
          <w:sz w:val="22"/>
          <w:szCs w:val="22"/>
          <w:lang w:val="fr-CH"/>
        </w:rPr>
        <w:t>service consultatif</w:t>
      </w:r>
      <w:r w:rsidR="00B062C5">
        <w:rPr>
          <w:rFonts w:asciiTheme="minorHAnsi" w:hAnsiTheme="minorHAnsi" w:cstheme="minorHAnsi"/>
          <w:color w:val="000000"/>
          <w:sz w:val="22"/>
          <w:szCs w:val="22"/>
          <w:lang w:val="fr-CH"/>
        </w:rPr>
        <w:t xml:space="preserve"> a</w:t>
      </w:r>
      <w:r w:rsidR="00CD3D71">
        <w:rPr>
          <w:rFonts w:asciiTheme="minorHAnsi" w:hAnsiTheme="minorHAnsi" w:cstheme="minorHAnsi"/>
          <w:color w:val="000000"/>
          <w:sz w:val="22"/>
          <w:szCs w:val="22"/>
          <w:lang w:val="fr-CH"/>
        </w:rPr>
        <w:t xml:space="preserve"> préparé </w:t>
      </w:r>
      <w:r w:rsidR="00ED097D">
        <w:rPr>
          <w:rFonts w:asciiTheme="minorHAnsi" w:hAnsiTheme="minorHAnsi" w:cstheme="minorHAnsi"/>
          <w:color w:val="000000"/>
          <w:sz w:val="22"/>
          <w:szCs w:val="22"/>
          <w:lang w:val="fr-CH"/>
        </w:rPr>
        <w:t>une trousse d’outils</w:t>
      </w:r>
      <w:r w:rsidR="00CD3D71">
        <w:rPr>
          <w:rFonts w:asciiTheme="minorHAnsi" w:hAnsiTheme="minorHAnsi" w:cstheme="minorHAnsi"/>
          <w:color w:val="000000"/>
          <w:sz w:val="22"/>
          <w:szCs w:val="22"/>
          <w:lang w:val="fr-CH"/>
        </w:rPr>
        <w:t xml:space="preserve"> pour aider les Parties contractantes à mettre en œuvre ou à jour un INZH. Le but de ce</w:t>
      </w:r>
      <w:r w:rsidR="00ED097D">
        <w:rPr>
          <w:rFonts w:asciiTheme="minorHAnsi" w:hAnsiTheme="minorHAnsi" w:cstheme="minorHAnsi"/>
          <w:color w:val="000000"/>
          <w:sz w:val="22"/>
          <w:szCs w:val="22"/>
          <w:lang w:val="fr-CH"/>
        </w:rPr>
        <w:t>tte trousse</w:t>
      </w:r>
      <w:r w:rsidR="00CD3D71">
        <w:rPr>
          <w:rFonts w:asciiTheme="minorHAnsi" w:hAnsiTheme="minorHAnsi" w:cstheme="minorHAnsi"/>
          <w:color w:val="000000"/>
          <w:sz w:val="22"/>
          <w:szCs w:val="22"/>
          <w:lang w:val="fr-CH"/>
        </w:rPr>
        <w:t xml:space="preserve"> est de fournir des orientations pratiques et des exemples sur les moyens de mettre en œuvre un INZH</w:t>
      </w:r>
      <w:r w:rsidR="00B062C5">
        <w:rPr>
          <w:rFonts w:asciiTheme="minorHAnsi" w:hAnsiTheme="minorHAnsi" w:cstheme="minorHAnsi"/>
          <w:color w:val="000000"/>
          <w:sz w:val="22"/>
          <w:szCs w:val="22"/>
          <w:lang w:val="fr-CH"/>
        </w:rPr>
        <w:t> ; elle</w:t>
      </w:r>
      <w:r w:rsidR="00CD3D71">
        <w:rPr>
          <w:rFonts w:asciiTheme="minorHAnsi" w:hAnsiTheme="minorHAnsi" w:cstheme="minorHAnsi"/>
          <w:color w:val="000000"/>
          <w:sz w:val="22"/>
          <w:szCs w:val="22"/>
          <w:lang w:val="fr-CH"/>
        </w:rPr>
        <w:t xml:space="preserve"> </w:t>
      </w:r>
      <w:r w:rsidR="00B062C5">
        <w:rPr>
          <w:rFonts w:asciiTheme="minorHAnsi" w:hAnsiTheme="minorHAnsi" w:cstheme="minorHAnsi"/>
          <w:color w:val="000000"/>
          <w:sz w:val="22"/>
          <w:szCs w:val="22"/>
          <w:lang w:val="fr-CH"/>
        </w:rPr>
        <w:t>propose</w:t>
      </w:r>
      <w:r w:rsidR="00CD3D71">
        <w:rPr>
          <w:rFonts w:asciiTheme="minorHAnsi" w:hAnsiTheme="minorHAnsi" w:cstheme="minorHAnsi"/>
          <w:color w:val="000000"/>
          <w:sz w:val="22"/>
          <w:szCs w:val="22"/>
          <w:lang w:val="fr-CH"/>
        </w:rPr>
        <w:t xml:space="preserve"> un processus par étape et des ressources pour soutenir chaque recommandation. </w:t>
      </w:r>
      <w:r w:rsidR="00387923">
        <w:rPr>
          <w:rFonts w:asciiTheme="minorHAnsi" w:hAnsiTheme="minorHAnsi" w:cstheme="minorHAnsi"/>
          <w:color w:val="000000"/>
          <w:sz w:val="22"/>
          <w:szCs w:val="22"/>
          <w:lang w:val="fr-CH"/>
        </w:rPr>
        <w:t>On y aborde aussi d</w:t>
      </w:r>
      <w:r w:rsidR="00CD3D71">
        <w:rPr>
          <w:rFonts w:asciiTheme="minorHAnsi" w:hAnsiTheme="minorHAnsi" w:cstheme="minorHAnsi"/>
          <w:color w:val="000000"/>
          <w:sz w:val="22"/>
          <w:szCs w:val="22"/>
          <w:lang w:val="fr-CH"/>
        </w:rPr>
        <w:t xml:space="preserve">e bonnes pratiques et des exemples sur les moyens de mener et mettre à jour des INZH, des méthodes d’inventaire, la collecte des données, l’observation de la Terre et l’utilisation d’inventaires des zones humides en matière de prise de décisions. </w:t>
      </w:r>
      <w:r w:rsidR="00B062C5">
        <w:rPr>
          <w:rFonts w:asciiTheme="minorHAnsi" w:hAnsiTheme="minorHAnsi" w:cstheme="minorHAnsi"/>
          <w:color w:val="000000"/>
          <w:sz w:val="22"/>
          <w:szCs w:val="22"/>
          <w:lang w:val="fr-CH"/>
        </w:rPr>
        <w:t>D</w:t>
      </w:r>
      <w:r w:rsidR="00CD3D71">
        <w:rPr>
          <w:rFonts w:asciiTheme="minorHAnsi" w:hAnsiTheme="minorHAnsi" w:cstheme="minorHAnsi"/>
          <w:color w:val="000000"/>
          <w:sz w:val="22"/>
          <w:szCs w:val="22"/>
          <w:lang w:val="fr-CH"/>
        </w:rPr>
        <w:t>es exemples illustr</w:t>
      </w:r>
      <w:r w:rsidR="00B062C5">
        <w:rPr>
          <w:rFonts w:asciiTheme="minorHAnsi" w:hAnsiTheme="minorHAnsi" w:cstheme="minorHAnsi"/>
          <w:color w:val="000000"/>
          <w:sz w:val="22"/>
          <w:szCs w:val="22"/>
          <w:lang w:val="fr-CH"/>
        </w:rPr>
        <w:t>a</w:t>
      </w:r>
      <w:r w:rsidR="00CD3D71">
        <w:rPr>
          <w:rFonts w:asciiTheme="minorHAnsi" w:hAnsiTheme="minorHAnsi" w:cstheme="minorHAnsi"/>
          <w:color w:val="000000"/>
          <w:sz w:val="22"/>
          <w:szCs w:val="22"/>
          <w:lang w:val="fr-CH"/>
        </w:rPr>
        <w:t xml:space="preserve">nt </w:t>
      </w:r>
      <w:r w:rsidR="00CD3D71">
        <w:rPr>
          <w:rFonts w:asciiTheme="minorHAnsi" w:hAnsiTheme="minorHAnsi" w:cstheme="minorHAnsi"/>
          <w:color w:val="000000"/>
          <w:sz w:val="22"/>
          <w:szCs w:val="22"/>
          <w:lang w:val="fr-CH"/>
        </w:rPr>
        <w:lastRenderedPageBreak/>
        <w:t xml:space="preserve">comment résoudre les difficultés rencontrées par les Parties contractantes sont aussi inclus. </w:t>
      </w:r>
      <w:r w:rsidR="00ED097D">
        <w:rPr>
          <w:rFonts w:asciiTheme="minorHAnsi" w:hAnsiTheme="minorHAnsi" w:cstheme="minorHAnsi"/>
          <w:color w:val="000000"/>
          <w:sz w:val="22"/>
          <w:szCs w:val="22"/>
          <w:lang w:val="fr-CH"/>
        </w:rPr>
        <w:t>La trousse d’outils</w:t>
      </w:r>
      <w:r w:rsidR="00CD3D71">
        <w:rPr>
          <w:rFonts w:asciiTheme="minorHAnsi" w:hAnsiTheme="minorHAnsi" w:cstheme="minorHAnsi"/>
          <w:color w:val="000000"/>
          <w:sz w:val="22"/>
          <w:szCs w:val="22"/>
          <w:lang w:val="fr-CH"/>
        </w:rPr>
        <w:t xml:space="preserve"> compren</w:t>
      </w:r>
      <w:r w:rsidR="00ED097D">
        <w:rPr>
          <w:rFonts w:asciiTheme="minorHAnsi" w:hAnsiTheme="minorHAnsi" w:cstheme="minorHAnsi"/>
          <w:color w:val="000000"/>
          <w:sz w:val="22"/>
          <w:szCs w:val="22"/>
          <w:lang w:val="fr-CH"/>
        </w:rPr>
        <w:t>d</w:t>
      </w:r>
      <w:r w:rsidR="00CD3D71">
        <w:rPr>
          <w:rFonts w:asciiTheme="minorHAnsi" w:hAnsiTheme="minorHAnsi" w:cstheme="minorHAnsi"/>
          <w:color w:val="000000"/>
          <w:sz w:val="22"/>
          <w:szCs w:val="22"/>
          <w:lang w:val="fr-CH"/>
        </w:rPr>
        <w:t xml:space="preserve"> une introduction qui fait le lien entre les INZH et les cibles des ODD et qui expose l’importance d’un INZH pour la prise de décisions, </w:t>
      </w:r>
      <w:r w:rsidR="00B062C5">
        <w:rPr>
          <w:rFonts w:asciiTheme="minorHAnsi" w:hAnsiTheme="minorHAnsi" w:cstheme="minorHAnsi"/>
          <w:color w:val="000000"/>
          <w:sz w:val="22"/>
          <w:szCs w:val="22"/>
          <w:lang w:val="fr-CH"/>
        </w:rPr>
        <w:t>avec</w:t>
      </w:r>
      <w:r w:rsidR="00CD3D71">
        <w:rPr>
          <w:rFonts w:asciiTheme="minorHAnsi" w:hAnsiTheme="minorHAnsi" w:cstheme="minorHAnsi"/>
          <w:color w:val="000000"/>
          <w:sz w:val="22"/>
          <w:szCs w:val="22"/>
          <w:lang w:val="fr-CH"/>
        </w:rPr>
        <w:t xml:space="preserve"> des suggestions sur les moyens de justifier l’appui et la protection des zones humides. </w:t>
      </w:r>
      <w:r w:rsidR="00ED097D">
        <w:rPr>
          <w:rFonts w:asciiTheme="minorHAnsi" w:hAnsiTheme="minorHAnsi" w:cstheme="minorHAnsi"/>
          <w:color w:val="000000"/>
          <w:sz w:val="22"/>
          <w:szCs w:val="22"/>
          <w:lang w:val="fr-CH"/>
        </w:rPr>
        <w:t xml:space="preserve">La trousse d’outils </w:t>
      </w:r>
      <w:r w:rsidR="00CD3D71">
        <w:rPr>
          <w:rFonts w:asciiTheme="minorHAnsi" w:hAnsiTheme="minorHAnsi" w:cstheme="minorHAnsi"/>
          <w:color w:val="000000"/>
          <w:sz w:val="22"/>
          <w:szCs w:val="22"/>
          <w:lang w:val="fr-CH"/>
        </w:rPr>
        <w:t xml:space="preserve">peut être </w:t>
      </w:r>
      <w:r w:rsidR="00CD3D71" w:rsidRPr="00474F03">
        <w:rPr>
          <w:rFonts w:asciiTheme="minorHAnsi" w:hAnsiTheme="minorHAnsi" w:cstheme="minorHAnsi"/>
          <w:color w:val="000000"/>
          <w:sz w:val="22"/>
          <w:szCs w:val="22"/>
          <w:lang w:val="fr-CH"/>
        </w:rPr>
        <w:t>visionné</w:t>
      </w:r>
      <w:r w:rsidR="00ED097D" w:rsidRPr="00474F03">
        <w:rPr>
          <w:rFonts w:asciiTheme="minorHAnsi" w:hAnsiTheme="minorHAnsi" w:cstheme="minorHAnsi"/>
          <w:color w:val="000000"/>
          <w:sz w:val="22"/>
          <w:szCs w:val="22"/>
          <w:lang w:val="fr-CH"/>
        </w:rPr>
        <w:t>e</w:t>
      </w:r>
      <w:r w:rsidR="00CD3D71" w:rsidRPr="00474F03">
        <w:rPr>
          <w:rFonts w:asciiTheme="minorHAnsi" w:hAnsiTheme="minorHAnsi" w:cstheme="minorHAnsi"/>
          <w:color w:val="000000"/>
          <w:sz w:val="22"/>
          <w:szCs w:val="22"/>
          <w:lang w:val="fr-CH"/>
        </w:rPr>
        <w:t xml:space="preserve"> ici :</w:t>
      </w:r>
      <w:r w:rsidR="00D13A50" w:rsidRPr="00474F03">
        <w:rPr>
          <w:rFonts w:asciiTheme="minorHAnsi" w:hAnsiTheme="minorHAnsi" w:cstheme="minorHAnsi"/>
          <w:color w:val="000000"/>
          <w:sz w:val="22"/>
          <w:szCs w:val="22"/>
          <w:lang w:val="fr-CH"/>
        </w:rPr>
        <w:t xml:space="preserve"> </w:t>
      </w:r>
      <w:hyperlink r:id="rId10" w:history="1">
        <w:r w:rsidR="00474F03" w:rsidRPr="00F1215A">
          <w:rPr>
            <w:rStyle w:val="Hyperlink"/>
            <w:rFonts w:asciiTheme="minorHAnsi" w:hAnsiTheme="minorHAnsi" w:cstheme="minorHAnsi"/>
            <w:sz w:val="22"/>
            <w:szCs w:val="22"/>
            <w:lang w:val="fr-FR"/>
          </w:rPr>
          <w:t>https://www.ramsar.org/fr/document/nouvelle-trousse-doutils-pour-linventaire-national-des-zones-humides-ms-word</w:t>
        </w:r>
      </w:hyperlink>
      <w:r w:rsidR="00D13A50" w:rsidRPr="00474F03">
        <w:rPr>
          <w:rFonts w:asciiTheme="minorHAnsi" w:hAnsiTheme="minorHAnsi" w:cstheme="minorHAnsi"/>
          <w:color w:val="000000"/>
          <w:sz w:val="22"/>
          <w:szCs w:val="22"/>
          <w:lang w:val="fr-CH"/>
        </w:rPr>
        <w:t>.</w:t>
      </w:r>
    </w:p>
    <w:p w14:paraId="229C648C" w14:textId="77777777" w:rsidR="00D13A50" w:rsidRPr="00CE2AA2" w:rsidRDefault="00D13A50" w:rsidP="002048EC">
      <w:pPr>
        <w:ind w:left="425" w:hanging="425"/>
        <w:jc w:val="left"/>
        <w:rPr>
          <w:rFonts w:asciiTheme="minorHAnsi" w:hAnsiTheme="minorHAnsi" w:cstheme="minorHAnsi"/>
          <w:color w:val="000000"/>
          <w:sz w:val="22"/>
          <w:szCs w:val="22"/>
          <w:lang w:val="fr-CH"/>
        </w:rPr>
      </w:pPr>
    </w:p>
    <w:p w14:paraId="64CA172A" w14:textId="305C5401" w:rsidR="00D13A50" w:rsidRPr="00CE2AA2" w:rsidRDefault="002048EC" w:rsidP="002048EC">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24.</w:t>
      </w:r>
      <w:r w:rsidRPr="00CE2AA2">
        <w:rPr>
          <w:rFonts w:asciiTheme="minorHAnsi" w:hAnsiTheme="minorHAnsi" w:cstheme="minorHAnsi"/>
          <w:color w:val="000000"/>
          <w:sz w:val="22"/>
          <w:szCs w:val="22"/>
          <w:lang w:val="fr-CH"/>
        </w:rPr>
        <w:tab/>
      </w:r>
      <w:r w:rsidR="00ED097D">
        <w:rPr>
          <w:rFonts w:asciiTheme="minorHAnsi" w:hAnsiTheme="minorHAnsi" w:cstheme="minorHAnsi"/>
          <w:color w:val="000000"/>
          <w:sz w:val="22"/>
          <w:szCs w:val="22"/>
          <w:lang w:val="fr-CH"/>
        </w:rPr>
        <w:t xml:space="preserve">La trousse d’outils </w:t>
      </w:r>
      <w:r w:rsidR="00CD3D71">
        <w:rPr>
          <w:rFonts w:asciiTheme="minorHAnsi" w:hAnsiTheme="minorHAnsi" w:cstheme="minorHAnsi"/>
          <w:color w:val="000000"/>
          <w:sz w:val="22"/>
          <w:szCs w:val="22"/>
          <w:lang w:val="fr-CH"/>
        </w:rPr>
        <w:t xml:space="preserve">fournit des références </w:t>
      </w:r>
      <w:r w:rsidR="00B062C5">
        <w:rPr>
          <w:rFonts w:asciiTheme="minorHAnsi" w:hAnsiTheme="minorHAnsi" w:cstheme="minorHAnsi"/>
          <w:color w:val="000000"/>
          <w:sz w:val="22"/>
          <w:szCs w:val="22"/>
          <w:lang w:val="fr-CH"/>
        </w:rPr>
        <w:t>sur</w:t>
      </w:r>
      <w:r w:rsidR="00614DBF">
        <w:rPr>
          <w:rFonts w:asciiTheme="minorHAnsi" w:hAnsiTheme="minorHAnsi" w:cstheme="minorHAnsi"/>
          <w:color w:val="000000"/>
          <w:sz w:val="22"/>
          <w:szCs w:val="22"/>
          <w:lang w:val="fr-CH"/>
        </w:rPr>
        <w:t xml:space="preserve"> des approches techniques spécifiques, en s’appuyant sur le vaste réservoir de documents techniques élaborés par la Convention au fil des ans, et donne des suggestions sur les moyens d’utiliser et de communiquer les résultats d’un INZH.</w:t>
      </w:r>
    </w:p>
    <w:p w14:paraId="37E78AF6" w14:textId="77777777" w:rsidR="000C7CC5" w:rsidRPr="00CE2AA2" w:rsidRDefault="000C7CC5" w:rsidP="002048EC">
      <w:pPr>
        <w:ind w:left="425" w:hanging="425"/>
        <w:jc w:val="left"/>
        <w:rPr>
          <w:rFonts w:asciiTheme="minorHAnsi" w:hAnsiTheme="minorHAnsi" w:cstheme="minorHAnsi"/>
          <w:color w:val="000000"/>
          <w:sz w:val="22"/>
          <w:szCs w:val="22"/>
          <w:lang w:val="fr-CH"/>
        </w:rPr>
      </w:pPr>
    </w:p>
    <w:p w14:paraId="48CADE00" w14:textId="73DC48F7" w:rsidR="00502819" w:rsidRPr="00CE2AA2" w:rsidRDefault="002048EC" w:rsidP="002048EC">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25.</w:t>
      </w:r>
      <w:r w:rsidRPr="00CE2AA2">
        <w:rPr>
          <w:rFonts w:asciiTheme="minorHAnsi" w:hAnsiTheme="minorHAnsi" w:cstheme="minorHAnsi"/>
          <w:color w:val="000000"/>
          <w:sz w:val="22"/>
          <w:szCs w:val="22"/>
          <w:lang w:val="fr-CH"/>
        </w:rPr>
        <w:tab/>
      </w:r>
      <w:r w:rsidR="005526AF">
        <w:rPr>
          <w:rFonts w:asciiTheme="minorHAnsi" w:hAnsiTheme="minorHAnsi" w:cstheme="minorHAnsi"/>
          <w:color w:val="000000"/>
          <w:sz w:val="22"/>
          <w:szCs w:val="22"/>
          <w:lang w:val="fr-CH"/>
        </w:rPr>
        <w:t xml:space="preserve">Comme recommandé, le Secrétariat utilisera </w:t>
      </w:r>
      <w:r w:rsidR="00ED097D">
        <w:rPr>
          <w:rFonts w:asciiTheme="minorHAnsi" w:hAnsiTheme="minorHAnsi" w:cstheme="minorHAnsi"/>
          <w:color w:val="000000"/>
          <w:sz w:val="22"/>
          <w:szCs w:val="22"/>
          <w:lang w:val="fr-CH"/>
        </w:rPr>
        <w:t xml:space="preserve">la trousse d’outils </w:t>
      </w:r>
      <w:r w:rsidR="005526AF">
        <w:rPr>
          <w:rFonts w:asciiTheme="minorHAnsi" w:hAnsiTheme="minorHAnsi" w:cstheme="minorHAnsi"/>
          <w:color w:val="000000"/>
          <w:sz w:val="22"/>
          <w:szCs w:val="22"/>
          <w:lang w:val="fr-CH"/>
        </w:rPr>
        <w:t xml:space="preserve">comme ressource centrale pour l’élaboration de matériel de formation, des webinaires et autres possibilités de formation pour les Parties contractantes. </w:t>
      </w:r>
    </w:p>
    <w:p w14:paraId="29B38FA7" w14:textId="77777777" w:rsidR="00502819" w:rsidRPr="00CE2AA2" w:rsidRDefault="00502819" w:rsidP="002048EC">
      <w:pPr>
        <w:ind w:left="425" w:hanging="425"/>
        <w:jc w:val="left"/>
        <w:rPr>
          <w:rFonts w:asciiTheme="minorHAnsi" w:hAnsiTheme="minorHAnsi" w:cstheme="minorHAnsi"/>
          <w:color w:val="000000"/>
          <w:sz w:val="22"/>
          <w:szCs w:val="22"/>
          <w:lang w:val="fr-CH"/>
        </w:rPr>
      </w:pPr>
    </w:p>
    <w:p w14:paraId="689AB17D" w14:textId="486CC898" w:rsidR="003345A3" w:rsidRPr="00CE2AA2" w:rsidRDefault="002048EC" w:rsidP="002048EC">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26.</w:t>
      </w:r>
      <w:r w:rsidRPr="00CE2AA2">
        <w:rPr>
          <w:rFonts w:asciiTheme="minorHAnsi" w:hAnsiTheme="minorHAnsi" w:cstheme="minorHAnsi"/>
          <w:color w:val="000000"/>
          <w:sz w:val="22"/>
          <w:szCs w:val="22"/>
          <w:lang w:val="fr-CH"/>
        </w:rPr>
        <w:tab/>
      </w:r>
      <w:r w:rsidR="00ED097D">
        <w:rPr>
          <w:rFonts w:asciiTheme="minorHAnsi" w:hAnsiTheme="minorHAnsi" w:cstheme="minorHAnsi"/>
          <w:color w:val="000000"/>
          <w:sz w:val="22"/>
          <w:szCs w:val="22"/>
          <w:lang w:val="fr-CH"/>
        </w:rPr>
        <w:t xml:space="preserve">La trousse </w:t>
      </w:r>
      <w:r w:rsidR="00ED097D" w:rsidRPr="00387923">
        <w:rPr>
          <w:rFonts w:asciiTheme="minorHAnsi" w:hAnsiTheme="minorHAnsi" w:cstheme="minorHAnsi"/>
          <w:color w:val="000000"/>
          <w:sz w:val="22"/>
          <w:szCs w:val="22"/>
          <w:lang w:val="fr-CH"/>
        </w:rPr>
        <w:t>d’outils a</w:t>
      </w:r>
      <w:r w:rsidR="00560838" w:rsidRPr="00387923">
        <w:rPr>
          <w:rFonts w:asciiTheme="minorHAnsi" w:hAnsiTheme="minorHAnsi" w:cstheme="minorHAnsi"/>
          <w:color w:val="000000"/>
          <w:sz w:val="22"/>
          <w:szCs w:val="22"/>
          <w:lang w:val="fr-CH"/>
        </w:rPr>
        <w:t xml:space="preserve"> été lancé</w:t>
      </w:r>
      <w:r w:rsidR="00ED097D" w:rsidRPr="00387923">
        <w:rPr>
          <w:rFonts w:asciiTheme="minorHAnsi" w:hAnsiTheme="minorHAnsi" w:cstheme="minorHAnsi"/>
          <w:color w:val="000000"/>
          <w:sz w:val="22"/>
          <w:szCs w:val="22"/>
          <w:lang w:val="fr-CH"/>
        </w:rPr>
        <w:t>e</w:t>
      </w:r>
      <w:r w:rsidR="00560838" w:rsidRPr="00387923">
        <w:rPr>
          <w:rFonts w:asciiTheme="minorHAnsi" w:hAnsiTheme="minorHAnsi" w:cstheme="minorHAnsi"/>
          <w:color w:val="000000"/>
          <w:sz w:val="22"/>
          <w:szCs w:val="22"/>
          <w:lang w:val="fr-CH"/>
        </w:rPr>
        <w:t xml:space="preserve"> en avril 2020 et, </w:t>
      </w:r>
      <w:r w:rsidR="00C744C8" w:rsidRPr="00387923">
        <w:rPr>
          <w:rFonts w:asciiTheme="minorHAnsi" w:hAnsiTheme="minorHAnsi" w:cstheme="minorHAnsi"/>
          <w:color w:val="000000"/>
          <w:sz w:val="22"/>
          <w:szCs w:val="22"/>
          <w:lang w:val="fr-CH"/>
        </w:rPr>
        <w:t>tenant</w:t>
      </w:r>
      <w:r w:rsidR="00C744C8">
        <w:rPr>
          <w:rFonts w:asciiTheme="minorHAnsi" w:hAnsiTheme="minorHAnsi" w:cstheme="minorHAnsi"/>
          <w:color w:val="000000"/>
          <w:sz w:val="22"/>
          <w:szCs w:val="22"/>
          <w:lang w:val="fr-CH"/>
        </w:rPr>
        <w:t xml:space="preserve"> compte des</w:t>
      </w:r>
      <w:r w:rsidR="001F5BD3">
        <w:rPr>
          <w:rFonts w:asciiTheme="minorHAnsi" w:hAnsiTheme="minorHAnsi" w:cstheme="minorHAnsi"/>
          <w:color w:val="000000"/>
          <w:sz w:val="22"/>
          <w:szCs w:val="22"/>
          <w:lang w:val="fr-CH"/>
        </w:rPr>
        <w:t xml:space="preserve"> recommandations des Parties contractantes, le Secrétariat prépare des séances de formation qui se concentrent sur des thèmes prioritaires et seront organisées en tant qu’activités en ligne groupées par langue. Après la fourniture d’une formation en ligne, un autre appui pourrait être offert, comprenant des démonstrations sur place, sous réserve de financement et de capacité du Secrétariat en la matière.</w:t>
      </w:r>
      <w:r w:rsidR="003345A3" w:rsidRPr="00CE2AA2">
        <w:rPr>
          <w:rFonts w:asciiTheme="minorHAnsi" w:hAnsiTheme="minorHAnsi" w:cstheme="minorHAnsi"/>
          <w:color w:val="000000"/>
          <w:sz w:val="22"/>
          <w:szCs w:val="22"/>
          <w:lang w:val="fr-CH"/>
        </w:rPr>
        <w:t xml:space="preserve"> </w:t>
      </w:r>
    </w:p>
    <w:p w14:paraId="1197EE9E" w14:textId="77777777" w:rsidR="00B2213B" w:rsidRPr="00CE2AA2" w:rsidRDefault="00B2213B" w:rsidP="00536607">
      <w:pPr>
        <w:jc w:val="left"/>
        <w:rPr>
          <w:rFonts w:asciiTheme="minorHAnsi" w:hAnsiTheme="minorHAnsi" w:cstheme="minorHAnsi"/>
          <w:sz w:val="22"/>
          <w:szCs w:val="22"/>
          <w:lang w:val="fr-CH"/>
        </w:rPr>
      </w:pPr>
    </w:p>
    <w:p w14:paraId="0CA9CD96" w14:textId="5FFDF515" w:rsidR="00F62C8D" w:rsidRPr="00CE2AA2" w:rsidRDefault="001F5BD3" w:rsidP="00536607">
      <w:pPr>
        <w:jc w:val="left"/>
        <w:rPr>
          <w:rFonts w:asciiTheme="minorHAnsi" w:hAnsiTheme="minorHAnsi" w:cstheme="minorHAnsi"/>
          <w:b/>
          <w:sz w:val="22"/>
          <w:szCs w:val="22"/>
          <w:lang w:val="fr-CH"/>
        </w:rPr>
      </w:pPr>
      <w:r>
        <w:rPr>
          <w:rFonts w:asciiTheme="minorHAnsi" w:hAnsiTheme="minorHAnsi" w:cstheme="minorHAnsi"/>
          <w:b/>
          <w:sz w:val="22"/>
          <w:szCs w:val="22"/>
          <w:lang w:val="fr-CH"/>
        </w:rPr>
        <w:t xml:space="preserve">Enseignements acquis et prochaines étapes </w:t>
      </w:r>
    </w:p>
    <w:p w14:paraId="6940B115" w14:textId="77777777" w:rsidR="00F62C8D" w:rsidRPr="00CE2AA2" w:rsidRDefault="00F62C8D" w:rsidP="00536607">
      <w:pPr>
        <w:jc w:val="left"/>
        <w:rPr>
          <w:rFonts w:asciiTheme="minorHAnsi" w:hAnsiTheme="minorHAnsi" w:cstheme="minorHAnsi"/>
          <w:sz w:val="22"/>
          <w:szCs w:val="22"/>
          <w:lang w:val="fr-CH"/>
        </w:rPr>
      </w:pPr>
    </w:p>
    <w:p w14:paraId="71D6584E" w14:textId="7C19C391" w:rsidR="00794E0F" w:rsidRPr="00CE2AA2" w:rsidRDefault="00904FB7" w:rsidP="00904FB7">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27.</w:t>
      </w:r>
      <w:r w:rsidRPr="00CE2AA2">
        <w:rPr>
          <w:rFonts w:asciiTheme="minorHAnsi" w:hAnsiTheme="minorHAnsi" w:cstheme="minorHAnsi"/>
          <w:color w:val="000000"/>
          <w:sz w:val="22"/>
          <w:szCs w:val="22"/>
          <w:lang w:val="fr-CH"/>
        </w:rPr>
        <w:tab/>
      </w:r>
      <w:r w:rsidR="009D369C">
        <w:rPr>
          <w:rFonts w:asciiTheme="minorHAnsi" w:hAnsiTheme="minorHAnsi" w:cstheme="minorHAnsi"/>
          <w:color w:val="000000"/>
          <w:sz w:val="22"/>
          <w:szCs w:val="22"/>
          <w:lang w:val="fr-CH"/>
        </w:rPr>
        <w:t>Le Plan stratégique de la Convention</w:t>
      </w:r>
      <w:r w:rsidR="0095528C" w:rsidRPr="00CE2AA2">
        <w:rPr>
          <w:rFonts w:asciiTheme="minorHAnsi" w:hAnsiTheme="minorHAnsi" w:cstheme="minorHAnsi"/>
          <w:color w:val="000000"/>
          <w:sz w:val="22"/>
          <w:szCs w:val="22"/>
          <w:lang w:val="fr-CH"/>
        </w:rPr>
        <w:t xml:space="preserve"> </w:t>
      </w:r>
      <w:r w:rsidR="00713BC2" w:rsidRPr="00CE2AA2">
        <w:rPr>
          <w:rFonts w:asciiTheme="minorHAnsi" w:hAnsiTheme="minorHAnsi" w:cstheme="minorHAnsi"/>
          <w:color w:val="000000"/>
          <w:sz w:val="22"/>
          <w:szCs w:val="22"/>
          <w:lang w:val="fr-CH"/>
        </w:rPr>
        <w:t xml:space="preserve">2016-2024 </w:t>
      </w:r>
      <w:r w:rsidR="009D369C">
        <w:rPr>
          <w:rFonts w:asciiTheme="minorHAnsi" w:hAnsiTheme="minorHAnsi" w:cstheme="minorHAnsi"/>
          <w:color w:val="000000"/>
          <w:sz w:val="22"/>
          <w:szCs w:val="22"/>
          <w:lang w:val="fr-CH"/>
        </w:rPr>
        <w:t xml:space="preserve">a établi comme domaine prioritaire l’amélioration du respect des dispositions de la Convention concernant les inventaires de toutes les zones humides. De même, </w:t>
      </w:r>
      <w:r w:rsidR="00F6315D">
        <w:rPr>
          <w:rFonts w:asciiTheme="minorHAnsi" w:hAnsiTheme="minorHAnsi" w:cstheme="minorHAnsi"/>
          <w:color w:val="000000"/>
          <w:sz w:val="22"/>
          <w:szCs w:val="22"/>
          <w:lang w:val="fr-CH"/>
        </w:rPr>
        <w:t>l’engagement des Parties contractantes à améliorer les INZH et à répertorier l’étendue des zones humides est parmi les</w:t>
      </w:r>
      <w:r w:rsidR="009D369C">
        <w:rPr>
          <w:rFonts w:asciiTheme="minorHAnsi" w:hAnsiTheme="minorHAnsi" w:cstheme="minorHAnsi"/>
          <w:color w:val="000000"/>
          <w:sz w:val="22"/>
          <w:szCs w:val="22"/>
          <w:lang w:val="fr-CH"/>
        </w:rPr>
        <w:t xml:space="preserve"> réponses essentielles </w:t>
      </w:r>
      <w:r w:rsidR="00F6315D">
        <w:rPr>
          <w:rFonts w:asciiTheme="minorHAnsi" w:hAnsiTheme="minorHAnsi" w:cstheme="minorHAnsi"/>
          <w:color w:val="000000"/>
          <w:sz w:val="22"/>
          <w:szCs w:val="22"/>
          <w:lang w:val="fr-CH"/>
        </w:rPr>
        <w:t xml:space="preserve">et recommandées </w:t>
      </w:r>
      <w:r w:rsidR="009D369C">
        <w:rPr>
          <w:rFonts w:asciiTheme="minorHAnsi" w:hAnsiTheme="minorHAnsi" w:cstheme="minorHAnsi"/>
          <w:color w:val="000000"/>
          <w:sz w:val="22"/>
          <w:szCs w:val="22"/>
          <w:lang w:val="fr-CH"/>
        </w:rPr>
        <w:t xml:space="preserve">aux </w:t>
      </w:r>
      <w:r w:rsidR="00F6315D">
        <w:rPr>
          <w:rFonts w:asciiTheme="minorHAnsi" w:hAnsiTheme="minorHAnsi" w:cstheme="minorHAnsi"/>
          <w:color w:val="000000"/>
          <w:sz w:val="22"/>
          <w:szCs w:val="22"/>
          <w:lang w:val="fr-CH"/>
        </w:rPr>
        <w:t>conclusions des</w:t>
      </w:r>
      <w:r w:rsidR="009D369C">
        <w:rPr>
          <w:rFonts w:asciiTheme="minorHAnsi" w:hAnsiTheme="minorHAnsi" w:cstheme="minorHAnsi"/>
          <w:color w:val="000000"/>
          <w:sz w:val="22"/>
          <w:szCs w:val="22"/>
          <w:lang w:val="fr-CH"/>
        </w:rPr>
        <w:t xml:space="preserve"> </w:t>
      </w:r>
      <w:r w:rsidR="009D369C">
        <w:rPr>
          <w:rFonts w:asciiTheme="minorHAnsi" w:hAnsiTheme="minorHAnsi" w:cstheme="minorHAnsi"/>
          <w:i/>
          <w:color w:val="000000"/>
          <w:sz w:val="22"/>
          <w:szCs w:val="22"/>
          <w:lang w:val="fr-CH"/>
        </w:rPr>
        <w:t>Perspectives mondiales des zones humides</w:t>
      </w:r>
      <w:r w:rsidR="009D369C">
        <w:rPr>
          <w:rFonts w:asciiTheme="minorHAnsi" w:hAnsiTheme="minorHAnsi" w:cstheme="minorHAnsi"/>
          <w:color w:val="000000"/>
          <w:sz w:val="22"/>
          <w:szCs w:val="22"/>
          <w:lang w:val="fr-CH"/>
        </w:rPr>
        <w:t xml:space="preserve">. Le rapport souligne l’importance d’accéder à des données actuelles </w:t>
      </w:r>
      <w:r w:rsidR="00F6315D">
        <w:rPr>
          <w:rFonts w:asciiTheme="minorHAnsi" w:hAnsiTheme="minorHAnsi" w:cstheme="minorHAnsi"/>
          <w:color w:val="000000"/>
          <w:sz w:val="22"/>
          <w:szCs w:val="22"/>
          <w:lang w:val="fr-CH"/>
        </w:rPr>
        <w:t xml:space="preserve">fiables </w:t>
      </w:r>
      <w:r w:rsidR="009D369C">
        <w:rPr>
          <w:rFonts w:asciiTheme="minorHAnsi" w:hAnsiTheme="minorHAnsi" w:cstheme="minorHAnsi"/>
          <w:color w:val="000000"/>
          <w:sz w:val="22"/>
          <w:szCs w:val="22"/>
          <w:lang w:val="fr-CH"/>
        </w:rPr>
        <w:t xml:space="preserve">et aux connaissances ainsi générées pour soutenir des approches innovantes en matière de conservation et d’utilisation rationnelle des zones humides mais aussi pour motiver l’appui politique à la protection des zones humides. Dans ce contexte, des progrès importants ont été faits à ce jour par les Parties contractantes qui ont terminé un INZH, mais les efforts doivent se poursuivre pour aider les Parties contractantes à </w:t>
      </w:r>
      <w:r w:rsidR="00F6315D">
        <w:rPr>
          <w:rFonts w:asciiTheme="minorHAnsi" w:hAnsiTheme="minorHAnsi" w:cstheme="minorHAnsi"/>
          <w:color w:val="000000"/>
          <w:sz w:val="22"/>
          <w:szCs w:val="22"/>
          <w:lang w:val="fr-CH"/>
        </w:rPr>
        <w:t>commencer</w:t>
      </w:r>
      <w:r w:rsidR="009D369C">
        <w:rPr>
          <w:rFonts w:asciiTheme="minorHAnsi" w:hAnsiTheme="minorHAnsi" w:cstheme="minorHAnsi"/>
          <w:color w:val="000000"/>
          <w:sz w:val="22"/>
          <w:szCs w:val="22"/>
          <w:lang w:val="fr-CH"/>
        </w:rPr>
        <w:t xml:space="preserve"> ou terminer un INZH si </w:t>
      </w:r>
      <w:r w:rsidR="00F6315D">
        <w:rPr>
          <w:rFonts w:asciiTheme="minorHAnsi" w:hAnsiTheme="minorHAnsi" w:cstheme="minorHAnsi"/>
          <w:color w:val="000000"/>
          <w:sz w:val="22"/>
          <w:szCs w:val="22"/>
          <w:lang w:val="fr-CH"/>
        </w:rPr>
        <w:t>l’on veut</w:t>
      </w:r>
      <w:r w:rsidR="009D369C">
        <w:rPr>
          <w:rFonts w:asciiTheme="minorHAnsi" w:hAnsiTheme="minorHAnsi" w:cstheme="minorHAnsi"/>
          <w:color w:val="000000"/>
          <w:sz w:val="22"/>
          <w:szCs w:val="22"/>
          <w:lang w:val="fr-CH"/>
        </w:rPr>
        <w:t xml:space="preserve"> parvenir à la conservation et à la gestion efficace de toutes les zones humides. </w:t>
      </w:r>
      <w:r w:rsidR="002A58F8" w:rsidRPr="00CE2AA2">
        <w:rPr>
          <w:rFonts w:asciiTheme="minorHAnsi" w:hAnsiTheme="minorHAnsi" w:cstheme="minorHAnsi"/>
          <w:color w:val="000000"/>
          <w:sz w:val="22"/>
          <w:szCs w:val="22"/>
          <w:lang w:val="fr-CH"/>
        </w:rPr>
        <w:t xml:space="preserve"> </w:t>
      </w:r>
    </w:p>
    <w:p w14:paraId="470694D5" w14:textId="77777777" w:rsidR="00A45FBA" w:rsidRPr="00CE2AA2" w:rsidRDefault="00A45FBA" w:rsidP="00536607">
      <w:pPr>
        <w:pStyle w:val="Text"/>
        <w:spacing w:after="0" w:line="240" w:lineRule="auto"/>
        <w:ind w:left="0" w:right="142" w:firstLine="0"/>
        <w:jc w:val="left"/>
        <w:rPr>
          <w:rFonts w:cstheme="minorHAnsi"/>
          <w:sz w:val="22"/>
          <w:lang w:val="fr-CH"/>
        </w:rPr>
      </w:pPr>
    </w:p>
    <w:p w14:paraId="628889D1" w14:textId="6C3BA48F" w:rsidR="00BC0D1B" w:rsidRPr="00CE2AA2" w:rsidRDefault="00904FB7" w:rsidP="00904FB7">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28.</w:t>
      </w:r>
      <w:r w:rsidRPr="00CE2AA2">
        <w:rPr>
          <w:rFonts w:asciiTheme="minorHAnsi" w:hAnsiTheme="minorHAnsi" w:cstheme="minorHAnsi"/>
          <w:color w:val="000000"/>
          <w:sz w:val="22"/>
          <w:szCs w:val="22"/>
          <w:lang w:val="fr-CH"/>
        </w:rPr>
        <w:tab/>
      </w:r>
      <w:r w:rsidR="00FE0EB1">
        <w:rPr>
          <w:rFonts w:asciiTheme="minorHAnsi" w:hAnsiTheme="minorHAnsi" w:cstheme="minorHAnsi"/>
          <w:color w:val="000000"/>
          <w:sz w:val="22"/>
          <w:szCs w:val="22"/>
          <w:lang w:val="fr-CH"/>
        </w:rPr>
        <w:t xml:space="preserve">Les résultats </w:t>
      </w:r>
      <w:r w:rsidR="00F6315D">
        <w:rPr>
          <w:rFonts w:asciiTheme="minorHAnsi" w:hAnsiTheme="minorHAnsi" w:cstheme="minorHAnsi"/>
          <w:color w:val="000000"/>
          <w:sz w:val="22"/>
          <w:szCs w:val="22"/>
          <w:lang w:val="fr-CH"/>
        </w:rPr>
        <w:t>du service consultatif</w:t>
      </w:r>
      <w:r w:rsidR="00F91EE3">
        <w:rPr>
          <w:rFonts w:asciiTheme="minorHAnsi" w:hAnsiTheme="minorHAnsi" w:cstheme="minorHAnsi"/>
          <w:color w:val="000000"/>
          <w:sz w:val="22"/>
          <w:szCs w:val="22"/>
          <w:lang w:val="fr-CH"/>
        </w:rPr>
        <w:t xml:space="preserve"> montrent que </w:t>
      </w:r>
      <w:r w:rsidR="00F6315D">
        <w:rPr>
          <w:rFonts w:asciiTheme="minorHAnsi" w:hAnsiTheme="minorHAnsi" w:cstheme="minorHAnsi"/>
          <w:color w:val="000000"/>
          <w:sz w:val="22"/>
          <w:szCs w:val="22"/>
          <w:lang w:val="fr-CH"/>
        </w:rPr>
        <w:t xml:space="preserve">pour aider les Parties contractantes à terminer leur </w:t>
      </w:r>
      <w:r w:rsidR="00387923">
        <w:rPr>
          <w:rFonts w:asciiTheme="minorHAnsi" w:hAnsiTheme="minorHAnsi" w:cstheme="minorHAnsi"/>
          <w:color w:val="000000"/>
          <w:sz w:val="22"/>
          <w:szCs w:val="22"/>
          <w:lang w:val="fr-CH"/>
        </w:rPr>
        <w:t>I</w:t>
      </w:r>
      <w:r w:rsidR="00F6315D">
        <w:rPr>
          <w:rFonts w:asciiTheme="minorHAnsi" w:hAnsiTheme="minorHAnsi" w:cstheme="minorHAnsi"/>
          <w:color w:val="000000"/>
          <w:sz w:val="22"/>
          <w:szCs w:val="22"/>
          <w:lang w:val="fr-CH"/>
        </w:rPr>
        <w:t>nventaire nationa</w:t>
      </w:r>
      <w:r w:rsidR="00387923">
        <w:rPr>
          <w:rFonts w:asciiTheme="minorHAnsi" w:hAnsiTheme="minorHAnsi" w:cstheme="minorHAnsi"/>
          <w:color w:val="000000"/>
          <w:sz w:val="22"/>
          <w:szCs w:val="22"/>
          <w:lang w:val="fr-CH"/>
        </w:rPr>
        <w:t>l</w:t>
      </w:r>
      <w:r w:rsidR="00F6315D">
        <w:rPr>
          <w:rFonts w:asciiTheme="minorHAnsi" w:hAnsiTheme="minorHAnsi" w:cstheme="minorHAnsi"/>
          <w:color w:val="000000"/>
          <w:sz w:val="22"/>
          <w:szCs w:val="22"/>
          <w:lang w:val="fr-CH"/>
        </w:rPr>
        <w:t xml:space="preserve"> des zones humides, </w:t>
      </w:r>
      <w:r w:rsidR="00F91EE3">
        <w:rPr>
          <w:rFonts w:asciiTheme="minorHAnsi" w:hAnsiTheme="minorHAnsi" w:cstheme="minorHAnsi"/>
          <w:color w:val="000000"/>
          <w:sz w:val="22"/>
          <w:szCs w:val="22"/>
          <w:lang w:val="fr-CH"/>
        </w:rPr>
        <w:t xml:space="preserve">les principaux domaines prioritaires de soutien sont les suivants : a) renforcement des capacités, b) ressources financières et c) engagement politique large au sein des Parties contractantes. </w:t>
      </w:r>
    </w:p>
    <w:p w14:paraId="2B1BF9FC" w14:textId="77777777" w:rsidR="00BC0D1B" w:rsidRPr="00CE2AA2" w:rsidRDefault="00BC0D1B" w:rsidP="00904FB7">
      <w:pPr>
        <w:ind w:left="425" w:hanging="425"/>
        <w:jc w:val="left"/>
        <w:rPr>
          <w:rFonts w:asciiTheme="minorHAnsi" w:hAnsiTheme="minorHAnsi" w:cstheme="minorHAnsi"/>
          <w:color w:val="000000"/>
          <w:sz w:val="22"/>
          <w:szCs w:val="22"/>
          <w:lang w:val="fr-CH"/>
        </w:rPr>
      </w:pPr>
    </w:p>
    <w:p w14:paraId="6B51F0F7" w14:textId="21BEB392" w:rsidR="007C5320" w:rsidRPr="00CE2AA2" w:rsidRDefault="00904FB7" w:rsidP="00904FB7">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29.</w:t>
      </w:r>
      <w:r w:rsidRPr="00CE2AA2">
        <w:rPr>
          <w:rFonts w:asciiTheme="minorHAnsi" w:hAnsiTheme="minorHAnsi" w:cstheme="minorHAnsi"/>
          <w:color w:val="000000"/>
          <w:sz w:val="22"/>
          <w:szCs w:val="22"/>
          <w:lang w:val="fr-CH"/>
        </w:rPr>
        <w:tab/>
      </w:r>
      <w:r w:rsidR="00F91EE3">
        <w:rPr>
          <w:rFonts w:asciiTheme="minorHAnsi" w:hAnsiTheme="minorHAnsi" w:cstheme="minorHAnsi"/>
          <w:color w:val="000000"/>
          <w:sz w:val="22"/>
          <w:szCs w:val="22"/>
          <w:lang w:val="fr-CH"/>
        </w:rPr>
        <w:t xml:space="preserve">Il importe également de souligner que, malgré les difficultés et les limites rencontrées par les Parties contractantes lorsqu’elles réalisent ou terminent </w:t>
      </w:r>
      <w:r w:rsidR="00387923">
        <w:rPr>
          <w:rFonts w:asciiTheme="minorHAnsi" w:hAnsiTheme="minorHAnsi" w:cstheme="minorHAnsi"/>
          <w:color w:val="000000"/>
          <w:sz w:val="22"/>
          <w:szCs w:val="22"/>
          <w:lang w:val="fr-CH"/>
        </w:rPr>
        <w:t>un</w:t>
      </w:r>
      <w:r w:rsidR="00F91EE3">
        <w:rPr>
          <w:rFonts w:asciiTheme="minorHAnsi" w:hAnsiTheme="minorHAnsi" w:cstheme="minorHAnsi"/>
          <w:color w:val="000000"/>
          <w:sz w:val="22"/>
          <w:szCs w:val="22"/>
          <w:lang w:val="fr-CH"/>
        </w:rPr>
        <w:t xml:space="preserve"> INZH, la Convention a fourni de bonnes orientations</w:t>
      </w:r>
      <w:r w:rsidR="00F6315D">
        <w:rPr>
          <w:rFonts w:asciiTheme="minorHAnsi" w:hAnsiTheme="minorHAnsi" w:cstheme="minorHAnsi"/>
          <w:color w:val="000000"/>
          <w:sz w:val="22"/>
          <w:szCs w:val="22"/>
          <w:lang w:val="fr-CH"/>
        </w:rPr>
        <w:t>,</w:t>
      </w:r>
      <w:r w:rsidR="00F91EE3">
        <w:rPr>
          <w:rFonts w:asciiTheme="minorHAnsi" w:hAnsiTheme="minorHAnsi" w:cstheme="minorHAnsi"/>
          <w:color w:val="000000"/>
          <w:sz w:val="22"/>
          <w:szCs w:val="22"/>
          <w:lang w:val="fr-CH"/>
        </w:rPr>
        <w:t xml:space="preserve"> de </w:t>
      </w:r>
      <w:r w:rsidR="00F6315D">
        <w:rPr>
          <w:rFonts w:asciiTheme="minorHAnsi" w:hAnsiTheme="minorHAnsi" w:cstheme="minorHAnsi"/>
          <w:color w:val="000000"/>
          <w:sz w:val="22"/>
          <w:szCs w:val="22"/>
          <w:lang w:val="fr-CH"/>
        </w:rPr>
        <w:t>bonnes</w:t>
      </w:r>
      <w:r w:rsidR="00F91EE3">
        <w:rPr>
          <w:rFonts w:asciiTheme="minorHAnsi" w:hAnsiTheme="minorHAnsi" w:cstheme="minorHAnsi"/>
          <w:color w:val="000000"/>
          <w:sz w:val="22"/>
          <w:szCs w:val="22"/>
          <w:lang w:val="fr-CH"/>
        </w:rPr>
        <w:t xml:space="preserve"> pratiques et </w:t>
      </w:r>
      <w:r w:rsidR="00F6315D">
        <w:rPr>
          <w:rFonts w:asciiTheme="minorHAnsi" w:hAnsiTheme="minorHAnsi" w:cstheme="minorHAnsi"/>
          <w:color w:val="000000"/>
          <w:sz w:val="22"/>
          <w:szCs w:val="22"/>
          <w:lang w:val="fr-CH"/>
        </w:rPr>
        <w:t xml:space="preserve">des </w:t>
      </w:r>
      <w:r w:rsidR="00F91EE3">
        <w:rPr>
          <w:rFonts w:asciiTheme="minorHAnsi" w:hAnsiTheme="minorHAnsi" w:cstheme="minorHAnsi"/>
          <w:color w:val="000000"/>
          <w:sz w:val="22"/>
          <w:szCs w:val="22"/>
          <w:lang w:val="fr-CH"/>
        </w:rPr>
        <w:t xml:space="preserve">exemples de Parties contractantes expérimentées et autres acteurs qui peuvent être reproduits </w:t>
      </w:r>
      <w:r w:rsidR="00C45DD0">
        <w:rPr>
          <w:rFonts w:asciiTheme="minorHAnsi" w:hAnsiTheme="minorHAnsi" w:cstheme="minorHAnsi"/>
          <w:color w:val="000000"/>
          <w:sz w:val="22"/>
          <w:szCs w:val="22"/>
          <w:lang w:val="fr-CH"/>
        </w:rPr>
        <w:t xml:space="preserve">si ces derniers </w:t>
      </w:r>
      <w:r w:rsidR="00F02E89">
        <w:rPr>
          <w:rFonts w:asciiTheme="minorHAnsi" w:hAnsiTheme="minorHAnsi" w:cstheme="minorHAnsi"/>
          <w:color w:val="000000"/>
          <w:sz w:val="22"/>
          <w:szCs w:val="22"/>
          <w:lang w:val="fr-CH"/>
        </w:rPr>
        <w:t xml:space="preserve">acceptent de </w:t>
      </w:r>
      <w:r w:rsidR="00F02E89" w:rsidRPr="00F02E89">
        <w:rPr>
          <w:rFonts w:asciiTheme="minorHAnsi" w:hAnsiTheme="minorHAnsi" w:cstheme="minorHAnsi"/>
          <w:color w:val="000000"/>
          <w:sz w:val="22"/>
          <w:szCs w:val="22"/>
          <w:lang w:val="fr-CH"/>
        </w:rPr>
        <w:t>jouer un rôle de soutien par les pairs et de mentor</w:t>
      </w:r>
      <w:r w:rsidR="00F91EE3">
        <w:rPr>
          <w:rFonts w:asciiTheme="minorHAnsi" w:hAnsiTheme="minorHAnsi" w:cstheme="minorHAnsi"/>
          <w:color w:val="000000"/>
          <w:sz w:val="22"/>
          <w:szCs w:val="22"/>
          <w:lang w:val="fr-CH"/>
        </w:rPr>
        <w:t xml:space="preserve">. </w:t>
      </w:r>
      <w:r w:rsidR="00BC0D1B" w:rsidRPr="00CE2AA2">
        <w:rPr>
          <w:rFonts w:asciiTheme="minorHAnsi" w:hAnsiTheme="minorHAnsi" w:cstheme="minorHAnsi"/>
          <w:color w:val="000000"/>
          <w:sz w:val="22"/>
          <w:szCs w:val="22"/>
          <w:lang w:val="fr-CH"/>
        </w:rPr>
        <w:t xml:space="preserve"> </w:t>
      </w:r>
    </w:p>
    <w:p w14:paraId="41962B51" w14:textId="09C22288" w:rsidR="007C5320" w:rsidRPr="00CE2AA2" w:rsidRDefault="007C5320" w:rsidP="00904FB7">
      <w:pPr>
        <w:ind w:left="425" w:hanging="425"/>
        <w:jc w:val="left"/>
        <w:rPr>
          <w:rFonts w:asciiTheme="minorHAnsi" w:hAnsiTheme="minorHAnsi" w:cstheme="minorHAnsi"/>
          <w:color w:val="000000"/>
          <w:sz w:val="22"/>
          <w:szCs w:val="22"/>
          <w:lang w:val="fr-CH"/>
        </w:rPr>
      </w:pPr>
    </w:p>
    <w:p w14:paraId="3908985F" w14:textId="47630600" w:rsidR="00F62C8D" w:rsidRPr="00CE2AA2" w:rsidRDefault="00904FB7" w:rsidP="00904FB7">
      <w:pPr>
        <w:ind w:left="425" w:hanging="425"/>
        <w:jc w:val="left"/>
        <w:rPr>
          <w:rFonts w:asciiTheme="minorHAnsi" w:hAnsiTheme="minorHAnsi" w:cstheme="minorHAnsi"/>
          <w:color w:val="000000"/>
          <w:sz w:val="22"/>
          <w:szCs w:val="22"/>
          <w:lang w:val="fr-CH"/>
        </w:rPr>
      </w:pPr>
      <w:r w:rsidRPr="00CE2AA2">
        <w:rPr>
          <w:rFonts w:asciiTheme="minorHAnsi" w:hAnsiTheme="minorHAnsi" w:cstheme="minorHAnsi"/>
          <w:color w:val="000000"/>
          <w:sz w:val="22"/>
          <w:szCs w:val="22"/>
          <w:lang w:val="fr-CH"/>
        </w:rPr>
        <w:t>30.</w:t>
      </w:r>
      <w:r w:rsidRPr="00CE2AA2">
        <w:rPr>
          <w:rFonts w:asciiTheme="minorHAnsi" w:hAnsiTheme="minorHAnsi" w:cstheme="minorHAnsi"/>
          <w:color w:val="000000"/>
          <w:sz w:val="22"/>
          <w:szCs w:val="22"/>
          <w:lang w:val="fr-CH"/>
        </w:rPr>
        <w:tab/>
      </w:r>
      <w:r w:rsidR="00B87AE3">
        <w:rPr>
          <w:rFonts w:asciiTheme="minorHAnsi" w:hAnsiTheme="minorHAnsi" w:cstheme="minorHAnsi"/>
          <w:color w:val="000000"/>
          <w:sz w:val="22"/>
          <w:szCs w:val="22"/>
          <w:lang w:val="fr-CH"/>
        </w:rPr>
        <w:t xml:space="preserve">Compte tenu de la décision prise par le Comité permanent de prioriser le thème des inventaires pour la période triennale actuelle et </w:t>
      </w:r>
      <w:r w:rsidR="00761666">
        <w:rPr>
          <w:rFonts w:asciiTheme="minorHAnsi" w:hAnsiTheme="minorHAnsi" w:cstheme="minorHAnsi"/>
          <w:color w:val="000000"/>
          <w:sz w:val="22"/>
          <w:szCs w:val="22"/>
          <w:lang w:val="fr-CH"/>
        </w:rPr>
        <w:t>pour</w:t>
      </w:r>
      <w:r w:rsidR="00B87AE3">
        <w:rPr>
          <w:rFonts w:asciiTheme="minorHAnsi" w:hAnsiTheme="minorHAnsi" w:cstheme="minorHAnsi"/>
          <w:color w:val="000000"/>
          <w:sz w:val="22"/>
          <w:szCs w:val="22"/>
          <w:lang w:val="fr-CH"/>
        </w:rPr>
        <w:t xml:space="preserve"> continuer d’aider les Parties contractantes à se </w:t>
      </w:r>
      <w:r w:rsidR="00B87AE3">
        <w:rPr>
          <w:rFonts w:asciiTheme="minorHAnsi" w:hAnsiTheme="minorHAnsi" w:cstheme="minorHAnsi"/>
          <w:color w:val="000000"/>
          <w:sz w:val="22"/>
          <w:szCs w:val="22"/>
          <w:lang w:val="fr-CH"/>
        </w:rPr>
        <w:lastRenderedPageBreak/>
        <w:t xml:space="preserve">concentrer sur les mesures visant à traiter ce problème urgent en élaborant, améliorant, finalisant et </w:t>
      </w:r>
      <w:r w:rsidR="00761666">
        <w:rPr>
          <w:rFonts w:asciiTheme="minorHAnsi" w:hAnsiTheme="minorHAnsi" w:cstheme="minorHAnsi"/>
          <w:color w:val="000000"/>
          <w:sz w:val="22"/>
          <w:szCs w:val="22"/>
          <w:lang w:val="fr-CH"/>
        </w:rPr>
        <w:t>tenant à jour</w:t>
      </w:r>
      <w:r w:rsidR="00B87AE3">
        <w:rPr>
          <w:rFonts w:asciiTheme="minorHAnsi" w:hAnsiTheme="minorHAnsi" w:cstheme="minorHAnsi"/>
          <w:color w:val="000000"/>
          <w:sz w:val="22"/>
          <w:szCs w:val="22"/>
          <w:lang w:val="fr-CH"/>
        </w:rPr>
        <w:t xml:space="preserve"> des inventaires de zones humides, le Secrétariat recommande les prochaines étapes suivantes : </w:t>
      </w:r>
    </w:p>
    <w:p w14:paraId="19CA351A" w14:textId="77777777" w:rsidR="00F62C8D" w:rsidRPr="00CE2AA2" w:rsidRDefault="00F62C8D" w:rsidP="00536607">
      <w:pPr>
        <w:jc w:val="left"/>
        <w:rPr>
          <w:rFonts w:asciiTheme="minorHAnsi" w:hAnsiTheme="minorHAnsi" w:cstheme="minorHAnsi"/>
          <w:sz w:val="22"/>
          <w:szCs w:val="22"/>
          <w:lang w:val="fr-CH"/>
        </w:rPr>
      </w:pPr>
    </w:p>
    <w:p w14:paraId="7D63EFF2" w14:textId="5147A38D" w:rsidR="009B2F8C" w:rsidRPr="00CE2AA2" w:rsidRDefault="00904FB7" w:rsidP="00904FB7">
      <w:pPr>
        <w:ind w:left="850" w:hanging="425"/>
        <w:jc w:val="left"/>
        <w:rPr>
          <w:rFonts w:asciiTheme="minorHAnsi" w:hAnsiTheme="minorHAnsi" w:cstheme="minorHAnsi"/>
          <w:sz w:val="22"/>
          <w:szCs w:val="22"/>
          <w:lang w:val="fr-CH"/>
        </w:rPr>
      </w:pPr>
      <w:r w:rsidRPr="00CE2AA2">
        <w:rPr>
          <w:rFonts w:asciiTheme="minorHAnsi" w:hAnsiTheme="minorHAnsi" w:cstheme="minorHAnsi"/>
          <w:sz w:val="22"/>
          <w:szCs w:val="22"/>
          <w:lang w:val="fr-CH"/>
        </w:rPr>
        <w:t>a</w:t>
      </w:r>
      <w:r w:rsidR="00CE2AA2">
        <w:rPr>
          <w:rFonts w:asciiTheme="minorHAnsi" w:hAnsiTheme="minorHAnsi" w:cstheme="minorHAnsi"/>
          <w:sz w:val="22"/>
          <w:szCs w:val="22"/>
          <w:lang w:val="fr-CH"/>
        </w:rPr>
        <w:t>)</w:t>
      </w:r>
      <w:r w:rsidRPr="00CE2AA2">
        <w:rPr>
          <w:rFonts w:asciiTheme="minorHAnsi" w:hAnsiTheme="minorHAnsi" w:cstheme="minorHAnsi"/>
          <w:sz w:val="22"/>
          <w:szCs w:val="22"/>
          <w:lang w:val="fr-CH"/>
        </w:rPr>
        <w:tab/>
      </w:r>
      <w:r w:rsidR="00E74110">
        <w:rPr>
          <w:rFonts w:asciiTheme="minorHAnsi" w:hAnsiTheme="minorHAnsi" w:cstheme="minorHAnsi"/>
          <w:sz w:val="22"/>
          <w:szCs w:val="22"/>
          <w:lang w:val="fr-CH"/>
        </w:rPr>
        <w:t xml:space="preserve">Inventaires des zones humides : Le Secrétariat continuera d’analyser les difficultés actuelles rencontrées par les Parties contractantes qui ont décrit leur INZH comme « en progrès » dans les Rapports nationaux soumis à la </w:t>
      </w:r>
      <w:r w:rsidR="009C72A2" w:rsidRPr="00CE2AA2">
        <w:rPr>
          <w:rFonts w:asciiTheme="minorHAnsi" w:hAnsiTheme="minorHAnsi" w:cstheme="minorHAnsi"/>
          <w:sz w:val="22"/>
          <w:lang w:val="fr-CH"/>
        </w:rPr>
        <w:t>COP13</w:t>
      </w:r>
      <w:r w:rsidR="00E26802" w:rsidRPr="00CE2AA2">
        <w:rPr>
          <w:rFonts w:asciiTheme="minorHAnsi" w:hAnsiTheme="minorHAnsi" w:cstheme="minorHAnsi"/>
          <w:sz w:val="22"/>
          <w:lang w:val="fr-CH"/>
        </w:rPr>
        <w:t xml:space="preserve">, </w:t>
      </w:r>
      <w:r w:rsidR="00E74110">
        <w:rPr>
          <w:rFonts w:asciiTheme="minorHAnsi" w:hAnsiTheme="minorHAnsi" w:cstheme="minorHAnsi"/>
          <w:sz w:val="22"/>
          <w:lang w:val="fr-CH"/>
        </w:rPr>
        <w:t xml:space="preserve">afin d’adapter l’appui dont elles pourraient avoir besoin pour finaliser ces INZH </w:t>
      </w:r>
      <w:r w:rsidR="00E74110" w:rsidRPr="00761666">
        <w:rPr>
          <w:rFonts w:asciiTheme="minorHAnsi" w:hAnsiTheme="minorHAnsi" w:cstheme="minorHAnsi"/>
          <w:sz w:val="22"/>
          <w:lang w:val="fr-CH"/>
        </w:rPr>
        <w:t xml:space="preserve">et </w:t>
      </w:r>
      <w:r w:rsidR="00761666" w:rsidRPr="00761666">
        <w:rPr>
          <w:rFonts w:asciiTheme="minorHAnsi" w:hAnsiTheme="minorHAnsi" w:cstheme="minorHAnsi"/>
          <w:sz w:val="22"/>
          <w:lang w:val="fr-CH"/>
        </w:rPr>
        <w:t>e</w:t>
      </w:r>
      <w:r w:rsidR="00F603DF" w:rsidRPr="00761666">
        <w:rPr>
          <w:rFonts w:asciiTheme="minorHAnsi" w:hAnsiTheme="minorHAnsi" w:cstheme="minorHAnsi"/>
          <w:sz w:val="22"/>
          <w:lang w:val="fr-CH"/>
        </w:rPr>
        <w:t xml:space="preserve">n </w:t>
      </w:r>
      <w:r w:rsidR="00761666" w:rsidRPr="00761666">
        <w:rPr>
          <w:rFonts w:asciiTheme="minorHAnsi" w:hAnsiTheme="minorHAnsi" w:cstheme="minorHAnsi"/>
          <w:sz w:val="22"/>
          <w:lang w:val="fr-CH"/>
        </w:rPr>
        <w:t>préparation</w:t>
      </w:r>
      <w:r w:rsidR="00F603DF" w:rsidRPr="00761666">
        <w:rPr>
          <w:rFonts w:asciiTheme="minorHAnsi" w:hAnsiTheme="minorHAnsi" w:cstheme="minorHAnsi"/>
          <w:sz w:val="22"/>
          <w:lang w:val="fr-CH"/>
        </w:rPr>
        <w:t xml:space="preserve"> </w:t>
      </w:r>
      <w:r w:rsidR="00761666" w:rsidRPr="00761666">
        <w:rPr>
          <w:rFonts w:asciiTheme="minorHAnsi" w:hAnsiTheme="minorHAnsi" w:cstheme="minorHAnsi"/>
          <w:sz w:val="22"/>
          <w:lang w:val="fr-CH"/>
        </w:rPr>
        <w:t>des rapports à la</w:t>
      </w:r>
      <w:r w:rsidR="00F603DF" w:rsidRPr="00761666">
        <w:rPr>
          <w:rFonts w:asciiTheme="minorHAnsi" w:hAnsiTheme="minorHAnsi" w:cstheme="minorHAnsi"/>
          <w:sz w:val="22"/>
          <w:lang w:val="fr-CH"/>
        </w:rPr>
        <w:t xml:space="preserve"> COP14</w:t>
      </w:r>
      <w:r w:rsidR="00531CEC" w:rsidRPr="00761666">
        <w:rPr>
          <w:rFonts w:asciiTheme="minorHAnsi" w:hAnsiTheme="minorHAnsi" w:cstheme="minorHAnsi"/>
          <w:sz w:val="22"/>
          <w:lang w:val="fr-CH"/>
        </w:rPr>
        <w:t>.</w:t>
      </w:r>
      <w:r w:rsidR="00354B3E" w:rsidRPr="00761666">
        <w:rPr>
          <w:rFonts w:asciiTheme="minorHAnsi" w:hAnsiTheme="minorHAnsi" w:cstheme="minorHAnsi"/>
          <w:sz w:val="22"/>
          <w:lang w:val="fr-CH"/>
        </w:rPr>
        <w:t xml:space="preserve"> </w:t>
      </w:r>
      <w:r w:rsidR="00E74110" w:rsidRPr="00761666">
        <w:rPr>
          <w:rFonts w:asciiTheme="minorHAnsi" w:hAnsiTheme="minorHAnsi" w:cstheme="minorHAnsi"/>
          <w:sz w:val="22"/>
          <w:lang w:val="fr-CH"/>
        </w:rPr>
        <w:t>Par ailleurs, le Secrétariat continuera de travail</w:t>
      </w:r>
      <w:r w:rsidR="00E74110">
        <w:rPr>
          <w:rFonts w:asciiTheme="minorHAnsi" w:hAnsiTheme="minorHAnsi" w:cstheme="minorHAnsi"/>
          <w:sz w:val="22"/>
          <w:lang w:val="fr-CH"/>
        </w:rPr>
        <w:t xml:space="preserve">ler avec les Parties contractantes ayant terminé un INZH pour compléter et </w:t>
      </w:r>
      <w:r w:rsidR="001F14FA">
        <w:rPr>
          <w:rFonts w:asciiTheme="minorHAnsi" w:hAnsiTheme="minorHAnsi" w:cstheme="minorHAnsi"/>
          <w:sz w:val="22"/>
          <w:lang w:val="fr-CH"/>
        </w:rPr>
        <w:t>améliorer</w:t>
      </w:r>
      <w:r w:rsidR="00761666">
        <w:rPr>
          <w:rFonts w:asciiTheme="minorHAnsi" w:hAnsiTheme="minorHAnsi" w:cstheme="minorHAnsi"/>
          <w:sz w:val="22"/>
          <w:lang w:val="fr-CH"/>
        </w:rPr>
        <w:t xml:space="preserve"> les données</w:t>
      </w:r>
      <w:r w:rsidR="00E74110">
        <w:rPr>
          <w:rFonts w:asciiTheme="minorHAnsi" w:hAnsiTheme="minorHAnsi" w:cstheme="minorHAnsi"/>
          <w:sz w:val="22"/>
          <w:lang w:val="fr-CH"/>
        </w:rPr>
        <w:t xml:space="preserve"> soumise</w:t>
      </w:r>
      <w:r w:rsidR="00761666">
        <w:rPr>
          <w:rFonts w:asciiTheme="minorHAnsi" w:hAnsiTheme="minorHAnsi" w:cstheme="minorHAnsi"/>
          <w:sz w:val="22"/>
          <w:lang w:val="fr-CH"/>
        </w:rPr>
        <w:t>s</w:t>
      </w:r>
      <w:r w:rsidR="00E74110">
        <w:rPr>
          <w:rFonts w:asciiTheme="minorHAnsi" w:hAnsiTheme="minorHAnsi" w:cstheme="minorHAnsi"/>
          <w:sz w:val="22"/>
          <w:lang w:val="fr-CH"/>
        </w:rPr>
        <w:t xml:space="preserve"> sur l’étendue des zones humides et pour identifier </w:t>
      </w:r>
      <w:r w:rsidR="00761666">
        <w:rPr>
          <w:rFonts w:asciiTheme="minorHAnsi" w:hAnsiTheme="minorHAnsi" w:cstheme="minorHAnsi"/>
          <w:sz w:val="22"/>
          <w:lang w:val="fr-CH"/>
        </w:rPr>
        <w:t>les données</w:t>
      </w:r>
      <w:r w:rsidR="00E74110">
        <w:rPr>
          <w:rFonts w:asciiTheme="minorHAnsi" w:hAnsiTheme="minorHAnsi" w:cstheme="minorHAnsi"/>
          <w:sz w:val="22"/>
          <w:lang w:val="fr-CH"/>
        </w:rPr>
        <w:t xml:space="preserve"> disponible</w:t>
      </w:r>
      <w:r w:rsidR="00761666">
        <w:rPr>
          <w:rFonts w:asciiTheme="minorHAnsi" w:hAnsiTheme="minorHAnsi" w:cstheme="minorHAnsi"/>
          <w:sz w:val="22"/>
          <w:lang w:val="fr-CH"/>
        </w:rPr>
        <w:t>s</w:t>
      </w:r>
      <w:r w:rsidR="00E74110">
        <w:rPr>
          <w:rFonts w:asciiTheme="minorHAnsi" w:hAnsiTheme="minorHAnsi" w:cstheme="minorHAnsi"/>
          <w:sz w:val="22"/>
          <w:lang w:val="fr-CH"/>
        </w:rPr>
        <w:t xml:space="preserve"> dans les inventaires existants afin de faire rapport au titre de l’Indicateur </w:t>
      </w:r>
      <w:r w:rsidR="002B047D" w:rsidRPr="00CE2AA2">
        <w:rPr>
          <w:rFonts w:asciiTheme="minorHAnsi" w:hAnsiTheme="minorHAnsi" w:cstheme="minorHAnsi"/>
          <w:sz w:val="22"/>
          <w:szCs w:val="22"/>
          <w:lang w:val="fr-CH"/>
        </w:rPr>
        <w:t>6.6.1</w:t>
      </w:r>
      <w:r w:rsidR="00E74110">
        <w:rPr>
          <w:rFonts w:asciiTheme="minorHAnsi" w:hAnsiTheme="minorHAnsi" w:cstheme="minorHAnsi"/>
          <w:sz w:val="22"/>
          <w:szCs w:val="22"/>
          <w:lang w:val="fr-CH"/>
        </w:rPr>
        <w:t xml:space="preserve"> de l’ODD 6</w:t>
      </w:r>
      <w:r w:rsidR="00E67EE6" w:rsidRPr="00CE2AA2">
        <w:rPr>
          <w:rFonts w:asciiTheme="minorHAnsi" w:hAnsiTheme="minorHAnsi" w:cstheme="minorHAnsi"/>
          <w:sz w:val="22"/>
          <w:szCs w:val="22"/>
          <w:lang w:val="fr-CH"/>
        </w:rPr>
        <w:t>.</w:t>
      </w:r>
      <w:r w:rsidR="00F95B97">
        <w:rPr>
          <w:rFonts w:asciiTheme="minorHAnsi" w:hAnsiTheme="minorHAnsi" w:cstheme="minorHAnsi"/>
          <w:sz w:val="22"/>
          <w:szCs w:val="22"/>
          <w:lang w:val="fr-CH"/>
        </w:rPr>
        <w:t xml:space="preserve"> </w:t>
      </w:r>
      <w:r w:rsidR="00354B3E" w:rsidRPr="00CE2AA2">
        <w:rPr>
          <w:rFonts w:asciiTheme="minorHAnsi" w:hAnsiTheme="minorHAnsi" w:cstheme="minorHAnsi"/>
          <w:sz w:val="22"/>
          <w:szCs w:val="22"/>
          <w:lang w:val="fr-CH"/>
        </w:rPr>
        <w:t xml:space="preserve"> </w:t>
      </w:r>
    </w:p>
    <w:p w14:paraId="612ACF01" w14:textId="77777777" w:rsidR="000628F9" w:rsidRPr="00CE2AA2" w:rsidRDefault="000628F9" w:rsidP="00904FB7">
      <w:pPr>
        <w:ind w:left="850" w:hanging="425"/>
        <w:jc w:val="left"/>
        <w:rPr>
          <w:rFonts w:asciiTheme="minorHAnsi" w:hAnsiTheme="minorHAnsi" w:cstheme="minorHAnsi"/>
          <w:sz w:val="22"/>
          <w:szCs w:val="22"/>
          <w:lang w:val="fr-CH"/>
        </w:rPr>
      </w:pPr>
    </w:p>
    <w:p w14:paraId="590F7F06" w14:textId="76B30368" w:rsidR="008819AB" w:rsidRPr="00CE2AA2" w:rsidRDefault="00904FB7" w:rsidP="00904FB7">
      <w:pPr>
        <w:ind w:left="850" w:hanging="425"/>
        <w:jc w:val="left"/>
        <w:rPr>
          <w:rFonts w:asciiTheme="minorHAnsi" w:hAnsiTheme="minorHAnsi" w:cstheme="minorHAnsi"/>
          <w:sz w:val="22"/>
          <w:szCs w:val="22"/>
          <w:lang w:val="fr-CH"/>
        </w:rPr>
      </w:pPr>
      <w:r w:rsidRPr="00CE2AA2">
        <w:rPr>
          <w:rFonts w:asciiTheme="minorHAnsi" w:hAnsiTheme="minorHAnsi" w:cstheme="minorHAnsi"/>
          <w:sz w:val="22"/>
          <w:szCs w:val="22"/>
          <w:lang w:val="fr-CH"/>
        </w:rPr>
        <w:t>b</w:t>
      </w:r>
      <w:r w:rsidR="00CE2AA2" w:rsidRPr="00CE2AA2">
        <w:rPr>
          <w:rFonts w:asciiTheme="minorHAnsi" w:hAnsiTheme="minorHAnsi" w:cstheme="minorHAnsi"/>
          <w:sz w:val="22"/>
          <w:szCs w:val="22"/>
          <w:lang w:val="fr-CH"/>
        </w:rPr>
        <w:t>)</w:t>
      </w:r>
      <w:r w:rsidRPr="00CE2AA2">
        <w:rPr>
          <w:rFonts w:asciiTheme="minorHAnsi" w:hAnsiTheme="minorHAnsi" w:cstheme="minorHAnsi"/>
          <w:sz w:val="22"/>
          <w:szCs w:val="22"/>
          <w:lang w:val="fr-CH"/>
        </w:rPr>
        <w:tab/>
      </w:r>
      <w:r w:rsidR="00E74110">
        <w:rPr>
          <w:rFonts w:asciiTheme="minorHAnsi" w:hAnsiTheme="minorHAnsi" w:cstheme="minorHAnsi"/>
          <w:sz w:val="22"/>
          <w:szCs w:val="22"/>
          <w:lang w:val="fr-CH"/>
        </w:rPr>
        <w:t xml:space="preserve">Renforcement des capacités : Le Secrétariat continuera de préparer </w:t>
      </w:r>
      <w:r w:rsidR="00761666">
        <w:rPr>
          <w:rFonts w:asciiTheme="minorHAnsi" w:hAnsiTheme="minorHAnsi" w:cstheme="minorHAnsi"/>
          <w:sz w:val="22"/>
          <w:szCs w:val="22"/>
          <w:lang w:val="fr-CH"/>
        </w:rPr>
        <w:t>d</w:t>
      </w:r>
      <w:r w:rsidR="00E74110">
        <w:rPr>
          <w:rFonts w:asciiTheme="minorHAnsi" w:hAnsiTheme="minorHAnsi" w:cstheme="minorHAnsi"/>
          <w:sz w:val="22"/>
          <w:szCs w:val="22"/>
          <w:lang w:val="fr-CH"/>
        </w:rPr>
        <w:t xml:space="preserve">es cours de formation sur </w:t>
      </w:r>
      <w:r w:rsidR="00387923">
        <w:rPr>
          <w:rFonts w:asciiTheme="minorHAnsi" w:hAnsiTheme="minorHAnsi" w:cstheme="minorHAnsi"/>
          <w:sz w:val="22"/>
          <w:szCs w:val="22"/>
          <w:lang w:val="fr-CH"/>
        </w:rPr>
        <w:t>l’I</w:t>
      </w:r>
      <w:r w:rsidR="00E74110">
        <w:rPr>
          <w:rFonts w:asciiTheme="minorHAnsi" w:hAnsiTheme="minorHAnsi" w:cstheme="minorHAnsi"/>
          <w:sz w:val="22"/>
          <w:szCs w:val="22"/>
          <w:lang w:val="fr-CH"/>
        </w:rPr>
        <w:t>nventaire</w:t>
      </w:r>
      <w:r w:rsidR="00387923">
        <w:rPr>
          <w:rFonts w:asciiTheme="minorHAnsi" w:hAnsiTheme="minorHAnsi" w:cstheme="minorHAnsi"/>
          <w:sz w:val="22"/>
          <w:szCs w:val="22"/>
          <w:lang w:val="fr-CH"/>
        </w:rPr>
        <w:t xml:space="preserve"> national</w:t>
      </w:r>
      <w:r w:rsidR="00E74110">
        <w:rPr>
          <w:rFonts w:asciiTheme="minorHAnsi" w:hAnsiTheme="minorHAnsi" w:cstheme="minorHAnsi"/>
          <w:sz w:val="22"/>
          <w:szCs w:val="22"/>
          <w:lang w:val="fr-CH"/>
        </w:rPr>
        <w:t xml:space="preserve"> des zones humides (y compris la formation en ligne) </w:t>
      </w:r>
      <w:r w:rsidR="00761666">
        <w:rPr>
          <w:rFonts w:asciiTheme="minorHAnsi" w:hAnsiTheme="minorHAnsi" w:cstheme="minorHAnsi"/>
          <w:sz w:val="22"/>
          <w:szCs w:val="22"/>
          <w:lang w:val="fr-CH"/>
        </w:rPr>
        <w:t>axés</w:t>
      </w:r>
      <w:r w:rsidR="00E74110">
        <w:rPr>
          <w:rFonts w:asciiTheme="minorHAnsi" w:hAnsiTheme="minorHAnsi" w:cstheme="minorHAnsi"/>
          <w:sz w:val="22"/>
          <w:szCs w:val="22"/>
          <w:lang w:val="fr-CH"/>
        </w:rPr>
        <w:t xml:space="preserve"> sur les thèmes prioritaires et les démonstrations sur place, sous réserve de fonds et de capacité</w:t>
      </w:r>
      <w:r w:rsidR="00761666">
        <w:rPr>
          <w:rFonts w:asciiTheme="minorHAnsi" w:hAnsiTheme="minorHAnsi" w:cstheme="minorHAnsi"/>
          <w:sz w:val="22"/>
          <w:szCs w:val="22"/>
          <w:lang w:val="fr-CH"/>
        </w:rPr>
        <w:t>s</w:t>
      </w:r>
      <w:r w:rsidR="00E74110">
        <w:rPr>
          <w:rFonts w:asciiTheme="minorHAnsi" w:hAnsiTheme="minorHAnsi" w:cstheme="minorHAnsi"/>
          <w:sz w:val="22"/>
          <w:szCs w:val="22"/>
          <w:lang w:val="fr-CH"/>
        </w:rPr>
        <w:t xml:space="preserve"> disponibles au sein du Secrétariat </w:t>
      </w:r>
      <w:r w:rsidR="00387923">
        <w:rPr>
          <w:rFonts w:asciiTheme="minorHAnsi" w:hAnsiTheme="minorHAnsi" w:cstheme="minorHAnsi"/>
          <w:sz w:val="22"/>
          <w:szCs w:val="22"/>
          <w:lang w:val="fr-CH"/>
        </w:rPr>
        <w:t>à cet égard</w:t>
      </w:r>
      <w:r w:rsidR="00E74110">
        <w:rPr>
          <w:rFonts w:asciiTheme="minorHAnsi" w:hAnsiTheme="minorHAnsi" w:cstheme="minorHAnsi"/>
          <w:sz w:val="22"/>
          <w:szCs w:val="22"/>
          <w:lang w:val="fr-CH"/>
        </w:rPr>
        <w:t>.</w:t>
      </w:r>
    </w:p>
    <w:p w14:paraId="4288F8E6" w14:textId="77777777" w:rsidR="00E67EE6" w:rsidRPr="00CE2AA2" w:rsidRDefault="00E67EE6" w:rsidP="00904FB7">
      <w:pPr>
        <w:ind w:left="850" w:hanging="425"/>
        <w:jc w:val="left"/>
        <w:rPr>
          <w:rFonts w:asciiTheme="minorHAnsi" w:hAnsiTheme="minorHAnsi" w:cstheme="minorHAnsi"/>
          <w:sz w:val="22"/>
          <w:szCs w:val="22"/>
          <w:lang w:val="fr-CH"/>
        </w:rPr>
      </w:pPr>
    </w:p>
    <w:p w14:paraId="1BC162BA" w14:textId="477A995F" w:rsidR="00E67EE6" w:rsidRPr="00CE2AA2" w:rsidRDefault="00904FB7" w:rsidP="00904FB7">
      <w:pPr>
        <w:ind w:left="850" w:hanging="425"/>
        <w:jc w:val="left"/>
        <w:rPr>
          <w:rFonts w:asciiTheme="minorHAnsi" w:hAnsiTheme="minorHAnsi" w:cstheme="minorHAnsi"/>
          <w:sz w:val="22"/>
          <w:lang w:val="fr-CH"/>
        </w:rPr>
      </w:pPr>
      <w:r w:rsidRPr="00CE2AA2">
        <w:rPr>
          <w:rFonts w:asciiTheme="minorHAnsi" w:hAnsiTheme="minorHAnsi" w:cstheme="minorHAnsi"/>
          <w:sz w:val="22"/>
          <w:szCs w:val="22"/>
          <w:lang w:val="fr-CH"/>
        </w:rPr>
        <w:t>c</w:t>
      </w:r>
      <w:r w:rsidR="00CE2AA2" w:rsidRPr="00CE2AA2">
        <w:rPr>
          <w:rFonts w:asciiTheme="minorHAnsi" w:hAnsiTheme="minorHAnsi" w:cstheme="minorHAnsi"/>
          <w:sz w:val="22"/>
          <w:szCs w:val="22"/>
          <w:lang w:val="fr-CH"/>
        </w:rPr>
        <w:t>)</w:t>
      </w:r>
      <w:r w:rsidRPr="00CE2AA2">
        <w:rPr>
          <w:rFonts w:asciiTheme="minorHAnsi" w:hAnsiTheme="minorHAnsi" w:cstheme="minorHAnsi"/>
          <w:sz w:val="22"/>
          <w:szCs w:val="22"/>
          <w:lang w:val="fr-CH"/>
        </w:rPr>
        <w:tab/>
      </w:r>
      <w:r w:rsidR="00761666">
        <w:rPr>
          <w:rFonts w:asciiTheme="minorHAnsi" w:hAnsiTheme="minorHAnsi" w:cstheme="minorHAnsi"/>
          <w:sz w:val="22"/>
          <w:szCs w:val="22"/>
          <w:lang w:val="fr-CH"/>
        </w:rPr>
        <w:t>Levées</w:t>
      </w:r>
      <w:r w:rsidR="00E74110">
        <w:rPr>
          <w:rFonts w:asciiTheme="minorHAnsi" w:hAnsiTheme="minorHAnsi" w:cstheme="minorHAnsi"/>
          <w:sz w:val="22"/>
          <w:szCs w:val="22"/>
          <w:lang w:val="fr-CH"/>
        </w:rPr>
        <w:t xml:space="preserve"> de fonds : Le Secrétariat souhaiterait recevoir des commentaires des Parties contractantes sur le projet de proposition relatif aux </w:t>
      </w:r>
      <w:r w:rsidR="00761666">
        <w:rPr>
          <w:rFonts w:asciiTheme="minorHAnsi" w:hAnsiTheme="minorHAnsi" w:cstheme="minorHAnsi"/>
          <w:sz w:val="22"/>
          <w:szCs w:val="22"/>
          <w:lang w:val="fr-CH"/>
        </w:rPr>
        <w:t>levées</w:t>
      </w:r>
      <w:r w:rsidR="00E74110">
        <w:rPr>
          <w:rFonts w:asciiTheme="minorHAnsi" w:hAnsiTheme="minorHAnsi" w:cstheme="minorHAnsi"/>
          <w:sz w:val="22"/>
          <w:szCs w:val="22"/>
          <w:lang w:val="fr-CH"/>
        </w:rPr>
        <w:t xml:space="preserve"> de fonds afin de renforcer </w:t>
      </w:r>
      <w:r w:rsidR="00837028">
        <w:rPr>
          <w:rFonts w:asciiTheme="minorHAnsi" w:hAnsiTheme="minorHAnsi" w:cstheme="minorHAnsi"/>
          <w:sz w:val="22"/>
          <w:szCs w:val="22"/>
          <w:lang w:val="fr-CH"/>
        </w:rPr>
        <w:t>leur</w:t>
      </w:r>
      <w:r w:rsidR="00E74110">
        <w:rPr>
          <w:rFonts w:asciiTheme="minorHAnsi" w:hAnsiTheme="minorHAnsi" w:cstheme="minorHAnsi"/>
          <w:sz w:val="22"/>
          <w:szCs w:val="22"/>
          <w:lang w:val="fr-CH"/>
        </w:rPr>
        <w:t xml:space="preserve"> capacité </w:t>
      </w:r>
      <w:r w:rsidR="00761666">
        <w:rPr>
          <w:rFonts w:asciiTheme="minorHAnsi" w:hAnsiTheme="minorHAnsi" w:cstheme="minorHAnsi"/>
          <w:sz w:val="22"/>
          <w:szCs w:val="22"/>
          <w:lang w:val="fr-CH"/>
        </w:rPr>
        <w:t>d’</w:t>
      </w:r>
      <w:r w:rsidR="00E74110">
        <w:rPr>
          <w:rFonts w:asciiTheme="minorHAnsi" w:hAnsiTheme="minorHAnsi" w:cstheme="minorHAnsi"/>
          <w:sz w:val="22"/>
          <w:szCs w:val="22"/>
          <w:lang w:val="fr-CH"/>
        </w:rPr>
        <w:t xml:space="preserve">entreprendre, terminer ou mettre à jour </w:t>
      </w:r>
      <w:r w:rsidR="00761666">
        <w:rPr>
          <w:rFonts w:asciiTheme="minorHAnsi" w:hAnsiTheme="minorHAnsi" w:cstheme="minorHAnsi"/>
          <w:sz w:val="22"/>
          <w:szCs w:val="22"/>
          <w:lang w:val="fr-CH"/>
        </w:rPr>
        <w:t>leurs</w:t>
      </w:r>
      <w:r w:rsidR="00E74110">
        <w:rPr>
          <w:rFonts w:asciiTheme="minorHAnsi" w:hAnsiTheme="minorHAnsi" w:cstheme="minorHAnsi"/>
          <w:sz w:val="22"/>
          <w:szCs w:val="22"/>
          <w:lang w:val="fr-CH"/>
        </w:rPr>
        <w:t xml:space="preserve"> inventaires nationaux des zones humides. </w:t>
      </w:r>
    </w:p>
    <w:p w14:paraId="64F544DF" w14:textId="77777777" w:rsidR="002B047D" w:rsidRPr="00CE2AA2" w:rsidRDefault="002B047D" w:rsidP="00904FB7">
      <w:pPr>
        <w:ind w:left="850" w:hanging="425"/>
        <w:jc w:val="left"/>
        <w:rPr>
          <w:rFonts w:asciiTheme="minorHAnsi" w:hAnsiTheme="minorHAnsi" w:cstheme="minorHAnsi"/>
          <w:sz w:val="22"/>
          <w:lang w:val="fr-CH"/>
        </w:rPr>
      </w:pPr>
    </w:p>
    <w:p w14:paraId="30600DE8" w14:textId="5018157A" w:rsidR="00530464" w:rsidRPr="00CE2AA2" w:rsidRDefault="00904FB7" w:rsidP="00904FB7">
      <w:pPr>
        <w:ind w:left="850" w:hanging="425"/>
        <w:jc w:val="left"/>
        <w:rPr>
          <w:rFonts w:asciiTheme="minorHAnsi" w:hAnsiTheme="minorHAnsi" w:cstheme="minorHAnsi"/>
          <w:sz w:val="22"/>
          <w:szCs w:val="22"/>
          <w:lang w:val="fr-CH"/>
        </w:rPr>
      </w:pPr>
      <w:r w:rsidRPr="00CE2AA2">
        <w:rPr>
          <w:rFonts w:asciiTheme="minorHAnsi" w:hAnsiTheme="minorHAnsi" w:cstheme="minorHAnsi"/>
          <w:sz w:val="22"/>
          <w:lang w:val="fr-CH"/>
        </w:rPr>
        <w:t>d</w:t>
      </w:r>
      <w:r w:rsidR="00CE2AA2" w:rsidRPr="00CE2AA2">
        <w:rPr>
          <w:rFonts w:asciiTheme="minorHAnsi" w:hAnsiTheme="minorHAnsi" w:cstheme="minorHAnsi"/>
          <w:sz w:val="22"/>
          <w:lang w:val="fr-CH"/>
        </w:rPr>
        <w:t>)</w:t>
      </w:r>
      <w:r w:rsidRPr="00CE2AA2">
        <w:rPr>
          <w:rFonts w:asciiTheme="minorHAnsi" w:hAnsiTheme="minorHAnsi" w:cstheme="minorHAnsi"/>
          <w:sz w:val="22"/>
          <w:lang w:val="fr-CH"/>
        </w:rPr>
        <w:tab/>
      </w:r>
      <w:r w:rsidR="00B2201D">
        <w:rPr>
          <w:rFonts w:asciiTheme="minorHAnsi" w:hAnsiTheme="minorHAnsi" w:cstheme="minorHAnsi"/>
          <w:sz w:val="22"/>
          <w:lang w:val="fr-CH"/>
        </w:rPr>
        <w:t xml:space="preserve">Orientations sur </w:t>
      </w:r>
      <w:r w:rsidR="00387923">
        <w:rPr>
          <w:rFonts w:asciiTheme="minorHAnsi" w:hAnsiTheme="minorHAnsi" w:cstheme="minorHAnsi"/>
          <w:sz w:val="22"/>
          <w:lang w:val="fr-CH"/>
        </w:rPr>
        <w:t>l’I</w:t>
      </w:r>
      <w:r w:rsidR="00B2201D">
        <w:rPr>
          <w:rFonts w:asciiTheme="minorHAnsi" w:hAnsiTheme="minorHAnsi" w:cstheme="minorHAnsi"/>
          <w:sz w:val="22"/>
          <w:lang w:val="fr-CH"/>
        </w:rPr>
        <w:t>nv</w:t>
      </w:r>
      <w:r w:rsidR="00F95B97">
        <w:rPr>
          <w:rFonts w:asciiTheme="minorHAnsi" w:hAnsiTheme="minorHAnsi" w:cstheme="minorHAnsi"/>
          <w:sz w:val="22"/>
          <w:lang w:val="fr-CH"/>
        </w:rPr>
        <w:t>entaire</w:t>
      </w:r>
      <w:r w:rsidR="00387923">
        <w:rPr>
          <w:rFonts w:asciiTheme="minorHAnsi" w:hAnsiTheme="minorHAnsi" w:cstheme="minorHAnsi"/>
          <w:sz w:val="22"/>
          <w:lang w:val="fr-CH"/>
        </w:rPr>
        <w:t xml:space="preserve"> national</w:t>
      </w:r>
      <w:r w:rsidR="00F95B97">
        <w:rPr>
          <w:rFonts w:asciiTheme="minorHAnsi" w:hAnsiTheme="minorHAnsi" w:cstheme="minorHAnsi"/>
          <w:sz w:val="22"/>
          <w:lang w:val="fr-CH"/>
        </w:rPr>
        <w:t xml:space="preserve"> des zones humides : Les orientations actuelles de la Convention </w:t>
      </w:r>
      <w:r w:rsidR="00387923">
        <w:rPr>
          <w:rFonts w:asciiTheme="minorHAnsi" w:hAnsiTheme="minorHAnsi" w:cstheme="minorHAnsi"/>
          <w:sz w:val="22"/>
          <w:lang w:val="fr-CH"/>
        </w:rPr>
        <w:t>à ce sujet</w:t>
      </w:r>
      <w:r w:rsidR="00F95B97">
        <w:rPr>
          <w:rFonts w:asciiTheme="minorHAnsi" w:hAnsiTheme="minorHAnsi" w:cstheme="minorHAnsi"/>
          <w:sz w:val="22"/>
          <w:lang w:val="fr-CH"/>
        </w:rPr>
        <w:t xml:space="preserve"> mériteraient d’être mises à jour pour inclure les nouvelles </w:t>
      </w:r>
      <w:r w:rsidR="00761666">
        <w:rPr>
          <w:rFonts w:asciiTheme="minorHAnsi" w:hAnsiTheme="minorHAnsi" w:cstheme="minorHAnsi"/>
          <w:sz w:val="22"/>
          <w:lang w:val="fr-CH"/>
        </w:rPr>
        <w:t>données</w:t>
      </w:r>
      <w:r w:rsidR="00F95B97">
        <w:rPr>
          <w:rFonts w:asciiTheme="minorHAnsi" w:hAnsiTheme="minorHAnsi" w:cstheme="minorHAnsi"/>
          <w:sz w:val="22"/>
          <w:lang w:val="fr-CH"/>
        </w:rPr>
        <w:t xml:space="preserve"> pertinentes sur l’utilisation </w:t>
      </w:r>
      <w:r w:rsidR="00ED097D">
        <w:rPr>
          <w:rFonts w:asciiTheme="minorHAnsi" w:hAnsiTheme="minorHAnsi" w:cstheme="minorHAnsi"/>
          <w:sz w:val="22"/>
          <w:lang w:val="fr-CH"/>
        </w:rPr>
        <w:t xml:space="preserve">de </w:t>
      </w:r>
      <w:r w:rsidR="00ED097D">
        <w:rPr>
          <w:rFonts w:asciiTheme="minorHAnsi" w:hAnsiTheme="minorHAnsi" w:cstheme="minorHAnsi"/>
          <w:color w:val="000000"/>
          <w:sz w:val="22"/>
          <w:szCs w:val="22"/>
          <w:lang w:val="fr-CH"/>
        </w:rPr>
        <w:t>la trousse d’outils</w:t>
      </w:r>
      <w:r w:rsidR="00F95B97">
        <w:rPr>
          <w:rFonts w:asciiTheme="minorHAnsi" w:hAnsiTheme="minorHAnsi" w:cstheme="minorHAnsi"/>
          <w:sz w:val="22"/>
          <w:lang w:val="fr-CH"/>
        </w:rPr>
        <w:t xml:space="preserve"> et </w:t>
      </w:r>
      <w:r w:rsidR="00761666">
        <w:rPr>
          <w:rFonts w:asciiTheme="minorHAnsi" w:hAnsiTheme="minorHAnsi" w:cstheme="minorHAnsi"/>
          <w:sz w:val="22"/>
          <w:lang w:val="fr-CH"/>
        </w:rPr>
        <w:t xml:space="preserve">sur </w:t>
      </w:r>
      <w:r w:rsidR="00F95B97">
        <w:rPr>
          <w:rFonts w:asciiTheme="minorHAnsi" w:hAnsiTheme="minorHAnsi" w:cstheme="minorHAnsi"/>
          <w:sz w:val="22"/>
          <w:lang w:val="fr-CH"/>
        </w:rPr>
        <w:t>des technologies tel</w:t>
      </w:r>
      <w:r w:rsidR="00761666">
        <w:rPr>
          <w:rFonts w:asciiTheme="minorHAnsi" w:hAnsiTheme="minorHAnsi" w:cstheme="minorHAnsi"/>
          <w:sz w:val="22"/>
          <w:lang w:val="fr-CH"/>
        </w:rPr>
        <w:t>le</w:t>
      </w:r>
      <w:r w:rsidR="00F95B97">
        <w:rPr>
          <w:rFonts w:asciiTheme="minorHAnsi" w:hAnsiTheme="minorHAnsi" w:cstheme="minorHAnsi"/>
          <w:sz w:val="22"/>
          <w:lang w:val="fr-CH"/>
        </w:rPr>
        <w:t xml:space="preserve">s que l’observation de la Terre. Le Secrétariat prépare une proposition sur </w:t>
      </w:r>
      <w:r w:rsidR="00761666">
        <w:rPr>
          <w:rFonts w:asciiTheme="minorHAnsi" w:hAnsiTheme="minorHAnsi" w:cstheme="minorHAnsi"/>
          <w:sz w:val="22"/>
          <w:lang w:val="fr-CH"/>
        </w:rPr>
        <w:t>les moyens</w:t>
      </w:r>
      <w:r w:rsidR="00F95B97">
        <w:rPr>
          <w:rFonts w:asciiTheme="minorHAnsi" w:hAnsiTheme="minorHAnsi" w:cstheme="minorHAnsi"/>
          <w:sz w:val="22"/>
          <w:lang w:val="fr-CH"/>
        </w:rPr>
        <w:t xml:space="preserve"> de progresser dans ce sens et informera le Comité permanent en conséquence. </w:t>
      </w:r>
    </w:p>
    <w:p w14:paraId="70025086" w14:textId="77777777" w:rsidR="00530464" w:rsidRPr="00CE2AA2" w:rsidRDefault="00530464" w:rsidP="00536607">
      <w:pPr>
        <w:ind w:left="0" w:firstLine="0"/>
        <w:jc w:val="left"/>
        <w:rPr>
          <w:lang w:val="fr-CH"/>
        </w:rPr>
      </w:pPr>
    </w:p>
    <w:p w14:paraId="23D81D51" w14:textId="77777777" w:rsidR="002B047D" w:rsidRPr="00CE2AA2" w:rsidRDefault="002B047D" w:rsidP="00536607">
      <w:pPr>
        <w:jc w:val="left"/>
        <w:rPr>
          <w:lang w:val="fr-CH"/>
        </w:rPr>
      </w:pPr>
    </w:p>
    <w:sectPr w:rsidR="002B047D" w:rsidRPr="00CE2AA2" w:rsidSect="00085362">
      <w:footerReference w:type="default" r:id="rId11"/>
      <w:endnotePr>
        <w:numFmt w:val="decimal"/>
        <w:numStart w:val="3"/>
      </w:endnotePr>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2FB1" w14:textId="77777777" w:rsidR="00BF7C53" w:rsidRDefault="00BF7C53" w:rsidP="001B1517">
      <w:r>
        <w:separator/>
      </w:r>
    </w:p>
  </w:endnote>
  <w:endnote w:type="continuationSeparator" w:id="0">
    <w:p w14:paraId="0546FC9B" w14:textId="77777777" w:rsidR="00BF7C53" w:rsidRDefault="00BF7C53" w:rsidP="001B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70039EEE" w:rsidR="00B2201D" w:rsidRPr="00085362" w:rsidRDefault="00B2201D"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Pr="00085362">
      <w:rPr>
        <w:rFonts w:asciiTheme="minorHAnsi" w:hAnsiTheme="minorHAnsi" w:cstheme="minorHAnsi"/>
        <w:sz w:val="20"/>
        <w:szCs w:val="20"/>
      </w:rPr>
      <w:t>58 Doc.9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Pr="00085362">
          <w:rPr>
            <w:rFonts w:asciiTheme="minorHAnsi" w:hAnsiTheme="minorHAnsi" w:cstheme="minorHAnsi"/>
            <w:sz w:val="20"/>
            <w:szCs w:val="20"/>
          </w:rPr>
          <w:fldChar w:fldCharType="begin"/>
        </w:r>
        <w:r w:rsidRPr="00085362">
          <w:rPr>
            <w:rFonts w:asciiTheme="minorHAnsi" w:hAnsiTheme="minorHAnsi" w:cstheme="minorHAnsi"/>
            <w:sz w:val="20"/>
            <w:szCs w:val="20"/>
          </w:rPr>
          <w:instrText xml:space="preserve"> PAGE   \* MERGEFORMAT </w:instrText>
        </w:r>
        <w:r w:rsidRPr="00085362">
          <w:rPr>
            <w:rFonts w:asciiTheme="minorHAnsi" w:hAnsiTheme="minorHAnsi" w:cstheme="minorHAnsi"/>
            <w:sz w:val="20"/>
            <w:szCs w:val="20"/>
          </w:rPr>
          <w:fldChar w:fldCharType="separate"/>
        </w:r>
        <w:r w:rsidR="00F1215A">
          <w:rPr>
            <w:rFonts w:asciiTheme="minorHAnsi" w:hAnsiTheme="minorHAnsi" w:cstheme="minorHAnsi"/>
            <w:noProof/>
            <w:sz w:val="20"/>
            <w:szCs w:val="20"/>
          </w:rPr>
          <w:t>2</w:t>
        </w:r>
        <w:r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E076" w14:textId="77777777" w:rsidR="00BF7C53" w:rsidRDefault="00BF7C53" w:rsidP="001B1517">
      <w:r>
        <w:separator/>
      </w:r>
    </w:p>
  </w:footnote>
  <w:footnote w:type="continuationSeparator" w:id="0">
    <w:p w14:paraId="573EB8E8" w14:textId="77777777" w:rsidR="00BF7C53" w:rsidRDefault="00BF7C53" w:rsidP="001B1517">
      <w:r>
        <w:continuationSeparator/>
      </w:r>
    </w:p>
  </w:footnote>
  <w:footnote w:id="1">
    <w:p w14:paraId="1DDC725C" w14:textId="308BC7CD" w:rsidR="00B2201D" w:rsidRPr="00270E8D" w:rsidRDefault="00B2201D" w:rsidP="00B33B15">
      <w:pPr>
        <w:pStyle w:val="FootnoteText"/>
        <w:spacing w:after="0"/>
        <w:jc w:val="left"/>
        <w:rPr>
          <w:rFonts w:asciiTheme="minorHAnsi" w:hAnsiTheme="minorHAnsi" w:cstheme="minorHAnsi"/>
          <w:sz w:val="18"/>
          <w:szCs w:val="18"/>
          <w:lang w:val="fr-CH"/>
        </w:rPr>
      </w:pPr>
      <w:r w:rsidRPr="00270E8D">
        <w:rPr>
          <w:rStyle w:val="FootnoteReference"/>
          <w:rFonts w:asciiTheme="minorHAnsi" w:hAnsiTheme="minorHAnsi" w:cstheme="minorHAnsi"/>
          <w:sz w:val="18"/>
          <w:szCs w:val="18"/>
        </w:rPr>
        <w:footnoteRef/>
      </w:r>
      <w:r w:rsidRPr="009177A6">
        <w:rPr>
          <w:rFonts w:asciiTheme="minorHAnsi" w:hAnsiTheme="minorHAnsi" w:cstheme="minorHAnsi"/>
          <w:sz w:val="18"/>
          <w:szCs w:val="18"/>
          <w:lang w:val="fr-FR"/>
        </w:rPr>
        <w:t xml:space="preserve"> </w:t>
      </w:r>
      <w:r w:rsidRPr="00270E8D">
        <w:rPr>
          <w:rFonts w:asciiTheme="minorHAnsi" w:hAnsiTheme="minorHAnsi" w:cstheme="minorHAnsi"/>
          <w:sz w:val="18"/>
          <w:szCs w:val="18"/>
          <w:lang w:val="fr-CH"/>
        </w:rPr>
        <w:t>Comprenant dix Rapports nationaux à la COP13</w:t>
      </w:r>
      <w:r w:rsidR="008966EE">
        <w:rPr>
          <w:rFonts w:asciiTheme="minorHAnsi" w:hAnsiTheme="minorHAnsi" w:cstheme="minorHAnsi"/>
          <w:sz w:val="18"/>
          <w:szCs w:val="18"/>
          <w:lang w:val="fr-CH"/>
        </w:rPr>
        <w:t xml:space="preserve"> soumis en retard</w:t>
      </w:r>
      <w:r w:rsidRPr="00270E8D">
        <w:rPr>
          <w:rFonts w:asciiTheme="minorHAnsi" w:hAnsiTheme="minorHAnsi" w:cstheme="minorHAnsi"/>
          <w:sz w:val="18"/>
          <w:szCs w:val="18"/>
          <w:lang w:val="fr-CH"/>
        </w:rPr>
        <w:t>.</w:t>
      </w:r>
    </w:p>
  </w:footnote>
  <w:footnote w:id="2">
    <w:p w14:paraId="2D1BECF8" w14:textId="6734334F" w:rsidR="00B2201D" w:rsidRPr="00270E8D" w:rsidRDefault="00B2201D" w:rsidP="00B33B15">
      <w:pPr>
        <w:pStyle w:val="FootnoteText"/>
        <w:spacing w:after="0"/>
        <w:ind w:left="142" w:hanging="142"/>
        <w:jc w:val="left"/>
        <w:rPr>
          <w:rFonts w:asciiTheme="minorHAnsi" w:hAnsiTheme="minorHAnsi" w:cstheme="minorHAnsi"/>
          <w:sz w:val="18"/>
          <w:szCs w:val="18"/>
          <w:lang w:val="fr-CH"/>
        </w:rPr>
      </w:pPr>
      <w:r w:rsidRPr="00270E8D">
        <w:rPr>
          <w:rStyle w:val="FootnoteReference"/>
          <w:rFonts w:asciiTheme="minorHAnsi" w:hAnsiTheme="minorHAnsi" w:cstheme="minorHAnsi"/>
          <w:sz w:val="18"/>
          <w:szCs w:val="18"/>
          <w:lang w:val="fr-CH"/>
        </w:rPr>
        <w:footnoteRef/>
      </w:r>
      <w:r w:rsidRPr="00270E8D">
        <w:rPr>
          <w:rFonts w:asciiTheme="minorHAnsi" w:hAnsiTheme="minorHAnsi" w:cstheme="minorHAnsi"/>
          <w:sz w:val="18"/>
          <w:szCs w:val="18"/>
          <w:lang w:val="fr-CH"/>
        </w:rPr>
        <w:t xml:space="preserve"> La classification du niveau de revenu utilisé</w:t>
      </w:r>
      <w:r w:rsidR="008966EE">
        <w:rPr>
          <w:rFonts w:asciiTheme="minorHAnsi" w:hAnsiTheme="minorHAnsi" w:cstheme="minorHAnsi"/>
          <w:sz w:val="18"/>
          <w:szCs w:val="18"/>
          <w:lang w:val="fr-CH"/>
        </w:rPr>
        <w:t>e</w:t>
      </w:r>
      <w:r w:rsidRPr="00270E8D">
        <w:rPr>
          <w:rFonts w:asciiTheme="minorHAnsi" w:hAnsiTheme="minorHAnsi" w:cstheme="minorHAnsi"/>
          <w:sz w:val="18"/>
          <w:szCs w:val="18"/>
          <w:lang w:val="fr-CH"/>
        </w:rPr>
        <w:t xml:space="preserve"> pour évaluer le contexte des pays est un classement mondial établi par la Banque mondiale</w:t>
      </w:r>
      <w:r w:rsidR="008966EE">
        <w:rPr>
          <w:rFonts w:asciiTheme="minorHAnsi" w:hAnsiTheme="minorHAnsi" w:cstheme="minorHAnsi"/>
          <w:sz w:val="18"/>
          <w:szCs w:val="18"/>
          <w:lang w:val="fr-CH"/>
        </w:rPr>
        <w:t xml:space="preserve"> qui</w:t>
      </w:r>
      <w:r w:rsidRPr="00270E8D">
        <w:rPr>
          <w:rFonts w:asciiTheme="minorHAnsi" w:hAnsiTheme="minorHAnsi" w:cstheme="minorHAnsi"/>
          <w:sz w:val="18"/>
          <w:szCs w:val="18"/>
          <w:lang w:val="fr-CH"/>
        </w:rPr>
        <w:t xml:space="preserve"> </w:t>
      </w:r>
      <w:r w:rsidR="008966EE">
        <w:rPr>
          <w:rFonts w:asciiTheme="minorHAnsi" w:hAnsiTheme="minorHAnsi" w:cstheme="minorHAnsi"/>
          <w:sz w:val="18"/>
          <w:szCs w:val="18"/>
          <w:lang w:val="fr-CH"/>
        </w:rPr>
        <w:t>sépare</w:t>
      </w:r>
      <w:r w:rsidRPr="00270E8D">
        <w:rPr>
          <w:rFonts w:asciiTheme="minorHAnsi" w:hAnsiTheme="minorHAnsi" w:cstheme="minorHAnsi"/>
          <w:sz w:val="18"/>
          <w:szCs w:val="18"/>
          <w:lang w:val="fr-CH"/>
        </w:rPr>
        <w:t xml:space="preserve"> les économies de la planète en quatre groupes de revenu </w:t>
      </w:r>
      <w:r w:rsidR="008966EE">
        <w:rPr>
          <w:rFonts w:asciiTheme="minorHAnsi" w:hAnsiTheme="minorHAnsi" w:cstheme="minorHAnsi"/>
          <w:sz w:val="18"/>
          <w:szCs w:val="18"/>
          <w:lang w:val="fr-CH"/>
        </w:rPr>
        <w:t>principaux</w:t>
      </w:r>
      <w:r w:rsidRPr="00270E8D">
        <w:rPr>
          <w:rFonts w:asciiTheme="minorHAnsi" w:hAnsiTheme="minorHAnsi" w:cstheme="minorHAnsi"/>
          <w:sz w:val="18"/>
          <w:szCs w:val="18"/>
          <w:lang w:val="fr-CH"/>
        </w:rPr>
        <w:t xml:space="preserve"> – à savoir </w:t>
      </w:r>
      <w:r w:rsidRPr="00270E8D">
        <w:rPr>
          <w:rFonts w:asciiTheme="minorHAnsi" w:hAnsiTheme="minorHAnsi" w:cstheme="minorHAnsi"/>
          <w:b/>
          <w:sz w:val="18"/>
          <w:szCs w:val="18"/>
          <w:lang w:val="fr-CH"/>
        </w:rPr>
        <w:t>élevé</w:t>
      </w:r>
      <w:r w:rsidRPr="00270E8D">
        <w:rPr>
          <w:rFonts w:asciiTheme="minorHAnsi" w:hAnsiTheme="minorHAnsi" w:cstheme="minorHAnsi"/>
          <w:sz w:val="18"/>
          <w:szCs w:val="18"/>
          <w:lang w:val="fr-CH"/>
        </w:rPr>
        <w:t xml:space="preserve">, </w:t>
      </w:r>
      <w:r w:rsidR="008966EE">
        <w:rPr>
          <w:rFonts w:asciiTheme="minorHAnsi" w:hAnsiTheme="minorHAnsi" w:cstheme="minorHAnsi"/>
          <w:b/>
          <w:sz w:val="18"/>
          <w:szCs w:val="18"/>
          <w:lang w:val="fr-CH"/>
        </w:rPr>
        <w:t>intermédiaire supérieur</w:t>
      </w:r>
      <w:r w:rsidRPr="00270E8D">
        <w:rPr>
          <w:rFonts w:asciiTheme="minorHAnsi" w:hAnsiTheme="minorHAnsi" w:cstheme="minorHAnsi"/>
          <w:sz w:val="18"/>
          <w:szCs w:val="18"/>
          <w:lang w:val="fr-CH"/>
        </w:rPr>
        <w:t xml:space="preserve">, </w:t>
      </w:r>
      <w:r w:rsidR="008966EE">
        <w:rPr>
          <w:rFonts w:asciiTheme="minorHAnsi" w:hAnsiTheme="minorHAnsi" w:cstheme="minorHAnsi"/>
          <w:b/>
          <w:sz w:val="18"/>
          <w:szCs w:val="18"/>
          <w:lang w:val="fr-CH"/>
        </w:rPr>
        <w:t>intermédiaire inférieur</w:t>
      </w:r>
      <w:r w:rsidRPr="00270E8D">
        <w:rPr>
          <w:rFonts w:asciiTheme="minorHAnsi" w:hAnsiTheme="minorHAnsi" w:cstheme="minorHAnsi"/>
          <w:sz w:val="18"/>
          <w:szCs w:val="18"/>
          <w:lang w:val="fr-CH"/>
        </w:rPr>
        <w:t xml:space="preserve"> et </w:t>
      </w:r>
      <w:r w:rsidR="008966EE">
        <w:rPr>
          <w:rFonts w:asciiTheme="minorHAnsi" w:hAnsiTheme="minorHAnsi" w:cstheme="minorHAnsi"/>
          <w:b/>
          <w:sz w:val="18"/>
          <w:szCs w:val="18"/>
          <w:lang w:val="fr-CH"/>
        </w:rPr>
        <w:t>faible</w:t>
      </w:r>
      <w:r w:rsidRPr="00270E8D">
        <w:rPr>
          <w:rFonts w:asciiTheme="minorHAnsi" w:hAnsiTheme="minorHAnsi" w:cstheme="minorHAnsi"/>
          <w:sz w:val="18"/>
          <w:szCs w:val="18"/>
          <w:lang w:val="fr-CH"/>
        </w:rPr>
        <w:t xml:space="preserve"> – d’après le Produit intérieur brut (PIB) par habitant (en dollars actuels) calculé </w:t>
      </w:r>
      <w:r w:rsidR="00430F54">
        <w:rPr>
          <w:rFonts w:asciiTheme="minorHAnsi" w:hAnsiTheme="minorHAnsi" w:cstheme="minorHAnsi"/>
          <w:sz w:val="18"/>
          <w:szCs w:val="18"/>
          <w:lang w:val="fr-CH"/>
        </w:rPr>
        <w:t>avec</w:t>
      </w:r>
      <w:r w:rsidRPr="00270E8D">
        <w:rPr>
          <w:rFonts w:asciiTheme="minorHAnsi" w:hAnsiTheme="minorHAnsi" w:cstheme="minorHAnsi"/>
          <w:sz w:val="18"/>
          <w:szCs w:val="18"/>
          <w:lang w:val="fr-CH"/>
        </w:rPr>
        <w:t xml:space="preserve"> la méthode Atlas.</w:t>
      </w:r>
    </w:p>
  </w:footnote>
  <w:footnote w:id="3">
    <w:p w14:paraId="235EACC1" w14:textId="2684171D" w:rsidR="00B2201D" w:rsidRPr="00270E8D" w:rsidRDefault="00B2201D" w:rsidP="00B33B15">
      <w:pPr>
        <w:pStyle w:val="FootnoteText"/>
        <w:spacing w:after="0"/>
        <w:ind w:left="142" w:hanging="142"/>
        <w:jc w:val="left"/>
        <w:rPr>
          <w:rFonts w:asciiTheme="minorHAnsi" w:hAnsiTheme="minorHAnsi" w:cstheme="minorHAnsi"/>
          <w:sz w:val="18"/>
          <w:szCs w:val="18"/>
          <w:lang w:val="fr-CH"/>
        </w:rPr>
      </w:pPr>
      <w:r w:rsidRPr="00270E8D">
        <w:rPr>
          <w:rStyle w:val="FootnoteReference"/>
          <w:rFonts w:asciiTheme="minorHAnsi" w:hAnsiTheme="minorHAnsi" w:cstheme="minorHAnsi"/>
          <w:sz w:val="18"/>
          <w:szCs w:val="18"/>
          <w:lang w:val="fr-CH"/>
        </w:rPr>
        <w:footnoteRef/>
      </w:r>
      <w:r w:rsidRPr="00270E8D">
        <w:rPr>
          <w:rFonts w:asciiTheme="minorHAnsi" w:hAnsiTheme="minorHAnsi" w:cstheme="minorHAnsi"/>
          <w:sz w:val="18"/>
          <w:szCs w:val="18"/>
          <w:lang w:val="fr-CH"/>
        </w:rPr>
        <w:t xml:space="preserve"> L</w:t>
      </w:r>
      <w:r w:rsidR="00430F54">
        <w:rPr>
          <w:rFonts w:asciiTheme="minorHAnsi" w:hAnsiTheme="minorHAnsi" w:cstheme="minorHAnsi"/>
          <w:sz w:val="18"/>
          <w:szCs w:val="18"/>
          <w:lang w:val="fr-CH"/>
        </w:rPr>
        <w:t>e Fragile States Index (</w:t>
      </w:r>
      <w:r w:rsidR="00416CCD" w:rsidRPr="00416CCD">
        <w:rPr>
          <w:rFonts w:asciiTheme="minorHAnsi" w:hAnsiTheme="minorHAnsi" w:cstheme="minorHAnsi"/>
          <w:sz w:val="18"/>
          <w:szCs w:val="18"/>
          <w:lang w:val="fr-CH"/>
        </w:rPr>
        <w:t>indice des États fragiles</w:t>
      </w:r>
      <w:r w:rsidR="00430F54">
        <w:rPr>
          <w:rFonts w:asciiTheme="minorHAnsi" w:hAnsiTheme="minorHAnsi" w:cstheme="minorHAnsi"/>
          <w:sz w:val="18"/>
          <w:szCs w:val="18"/>
          <w:lang w:val="fr-CH"/>
        </w:rPr>
        <w:t>)</w:t>
      </w:r>
      <w:r w:rsidRPr="00270E8D">
        <w:rPr>
          <w:rFonts w:asciiTheme="minorHAnsi" w:hAnsiTheme="minorHAnsi" w:cstheme="minorHAnsi"/>
          <w:sz w:val="18"/>
          <w:szCs w:val="18"/>
          <w:lang w:val="fr-CH"/>
        </w:rPr>
        <w:t xml:space="preserve"> fournit des informations sur le contexte favorable en considérant des facteurs relatifs à la sécurité, l’économie, les politiques et les questions sociales. </w:t>
      </w:r>
      <w:r w:rsidR="00416CCD">
        <w:rPr>
          <w:rFonts w:asciiTheme="minorHAnsi" w:hAnsiTheme="minorHAnsi" w:cstheme="minorHAnsi"/>
          <w:sz w:val="18"/>
          <w:szCs w:val="18"/>
          <w:lang w:val="fr-CH"/>
        </w:rPr>
        <w:t>L</w:t>
      </w:r>
      <w:r w:rsidR="00416CCD" w:rsidRPr="00416CCD">
        <w:rPr>
          <w:rFonts w:asciiTheme="minorHAnsi" w:hAnsiTheme="minorHAnsi" w:cstheme="minorHAnsi"/>
          <w:sz w:val="18"/>
          <w:szCs w:val="18"/>
          <w:lang w:val="fr-CH"/>
        </w:rPr>
        <w:t xml:space="preserve">’indice des États fragiles </w:t>
      </w:r>
      <w:r w:rsidRPr="00270E8D">
        <w:rPr>
          <w:rFonts w:asciiTheme="minorHAnsi" w:hAnsiTheme="minorHAnsi" w:cstheme="minorHAnsi"/>
          <w:sz w:val="18"/>
          <w:szCs w:val="18"/>
          <w:lang w:val="fr-CH"/>
        </w:rPr>
        <w:t xml:space="preserve">est utilisé ici comme </w:t>
      </w:r>
      <w:r w:rsidR="00543833">
        <w:rPr>
          <w:rFonts w:asciiTheme="minorHAnsi" w:hAnsiTheme="minorHAnsi" w:cstheme="minorHAnsi"/>
          <w:noProof/>
          <w:sz w:val="18"/>
          <w:szCs w:val="18"/>
          <w:lang w:val="fr-CH"/>
        </w:rPr>
        <w:t>paramètre de substitution</w:t>
      </w:r>
      <w:r w:rsidR="00543833" w:rsidRPr="00270E8D">
        <w:rPr>
          <w:rFonts w:asciiTheme="minorHAnsi" w:hAnsiTheme="minorHAnsi" w:cstheme="minorHAnsi"/>
          <w:noProof/>
          <w:sz w:val="18"/>
          <w:szCs w:val="18"/>
          <w:lang w:val="fr-CH"/>
        </w:rPr>
        <w:t xml:space="preserve"> </w:t>
      </w:r>
      <w:r w:rsidRPr="00270E8D">
        <w:rPr>
          <w:rFonts w:asciiTheme="minorHAnsi" w:hAnsiTheme="minorHAnsi" w:cstheme="minorHAnsi"/>
          <w:sz w:val="18"/>
          <w:szCs w:val="18"/>
          <w:lang w:val="fr-CH"/>
        </w:rPr>
        <w:t xml:space="preserve">pour évaluer la probabilité qu’un INZH soit entrepris compte tenu du contexte </w:t>
      </w:r>
      <w:r w:rsidR="002D4425">
        <w:rPr>
          <w:rFonts w:asciiTheme="minorHAnsi" w:hAnsiTheme="minorHAnsi" w:cstheme="minorHAnsi"/>
          <w:sz w:val="18"/>
          <w:szCs w:val="18"/>
          <w:lang w:val="fr-CH"/>
        </w:rPr>
        <w:t xml:space="preserve">et de la </w:t>
      </w:r>
      <w:r w:rsidR="0068093C">
        <w:rPr>
          <w:rFonts w:asciiTheme="minorHAnsi" w:hAnsiTheme="minorHAnsi" w:cstheme="minorHAnsi"/>
          <w:sz w:val="18"/>
          <w:szCs w:val="18"/>
          <w:lang w:val="fr-CH"/>
        </w:rPr>
        <w:t>fragilité</w:t>
      </w:r>
      <w:r w:rsidR="002D4425">
        <w:rPr>
          <w:rFonts w:asciiTheme="minorHAnsi" w:hAnsiTheme="minorHAnsi" w:cstheme="minorHAnsi"/>
          <w:sz w:val="18"/>
          <w:szCs w:val="18"/>
          <w:lang w:val="fr-CH"/>
        </w:rPr>
        <w:t xml:space="preserve"> </w:t>
      </w:r>
      <w:r w:rsidRPr="00270E8D">
        <w:rPr>
          <w:rFonts w:asciiTheme="minorHAnsi" w:hAnsiTheme="minorHAnsi" w:cstheme="minorHAnsi"/>
          <w:sz w:val="18"/>
          <w:szCs w:val="18"/>
          <w:lang w:val="fr-CH"/>
        </w:rPr>
        <w:t>d’un pays.</w:t>
      </w:r>
    </w:p>
  </w:footnote>
  <w:footnote w:id="4">
    <w:p w14:paraId="0216269C" w14:textId="070E973C" w:rsidR="00B2201D" w:rsidRPr="00270E8D" w:rsidRDefault="00B2201D" w:rsidP="00B33B15">
      <w:pPr>
        <w:pStyle w:val="FootnoteText"/>
        <w:spacing w:after="0"/>
        <w:ind w:left="142" w:hanging="142"/>
        <w:jc w:val="left"/>
        <w:rPr>
          <w:sz w:val="18"/>
          <w:szCs w:val="18"/>
          <w:lang w:val="fr-CH"/>
        </w:rPr>
      </w:pPr>
      <w:r w:rsidRPr="00270E8D">
        <w:rPr>
          <w:rStyle w:val="FootnoteReference"/>
          <w:rFonts w:asciiTheme="minorHAnsi" w:hAnsiTheme="minorHAnsi" w:cstheme="minorHAnsi"/>
          <w:sz w:val="18"/>
          <w:szCs w:val="18"/>
          <w:lang w:val="fr-CH"/>
        </w:rPr>
        <w:footnoteRef/>
      </w:r>
      <w:r w:rsidRPr="00270E8D">
        <w:rPr>
          <w:rFonts w:asciiTheme="minorHAnsi" w:hAnsiTheme="minorHAnsi" w:cstheme="minorHAnsi"/>
          <w:sz w:val="18"/>
          <w:szCs w:val="18"/>
          <w:lang w:val="fr-CH"/>
        </w:rPr>
        <w:t xml:space="preserve"> </w:t>
      </w:r>
      <w:r w:rsidRPr="00270E8D">
        <w:rPr>
          <w:rFonts w:asciiTheme="minorHAnsi" w:hAnsiTheme="minorHAnsi" w:cstheme="minorHAnsi"/>
          <w:noProof/>
          <w:sz w:val="18"/>
          <w:szCs w:val="18"/>
          <w:lang w:val="fr-CH"/>
        </w:rPr>
        <w:t>L’application d</w:t>
      </w:r>
      <w:r w:rsidR="00543833">
        <w:rPr>
          <w:rFonts w:asciiTheme="minorHAnsi" w:hAnsiTheme="minorHAnsi" w:cstheme="minorHAnsi"/>
          <w:noProof/>
          <w:sz w:val="18"/>
          <w:szCs w:val="18"/>
          <w:lang w:val="fr-CH"/>
        </w:rPr>
        <w:t>’</w:t>
      </w:r>
      <w:r w:rsidR="00543833">
        <w:rPr>
          <w:rFonts w:asciiTheme="minorHAnsi" w:hAnsiTheme="minorHAnsi" w:cstheme="minorHAnsi"/>
          <w:b/>
          <w:noProof/>
          <w:sz w:val="18"/>
          <w:szCs w:val="18"/>
          <w:lang w:val="fr-CH"/>
        </w:rPr>
        <w:t>objectifs</w:t>
      </w:r>
      <w:r w:rsidRPr="00270E8D">
        <w:rPr>
          <w:rFonts w:asciiTheme="minorHAnsi" w:hAnsiTheme="minorHAnsi" w:cstheme="minorHAnsi"/>
          <w:b/>
          <w:noProof/>
          <w:sz w:val="18"/>
          <w:szCs w:val="18"/>
          <w:lang w:val="fr-CH"/>
        </w:rPr>
        <w:t xml:space="preserve"> de réduction des émissions </w:t>
      </w:r>
      <w:r w:rsidR="00543833">
        <w:rPr>
          <w:rFonts w:asciiTheme="minorHAnsi" w:hAnsiTheme="minorHAnsi" w:cstheme="minorHAnsi"/>
          <w:b/>
          <w:noProof/>
          <w:sz w:val="18"/>
          <w:szCs w:val="18"/>
          <w:lang w:val="fr-CH"/>
        </w:rPr>
        <w:t>pour l’ensemble</w:t>
      </w:r>
      <w:r w:rsidRPr="00270E8D">
        <w:rPr>
          <w:rFonts w:asciiTheme="minorHAnsi" w:hAnsiTheme="minorHAnsi" w:cstheme="minorHAnsi"/>
          <w:b/>
          <w:noProof/>
          <w:sz w:val="18"/>
          <w:szCs w:val="18"/>
          <w:lang w:val="fr-CH"/>
        </w:rPr>
        <w:t xml:space="preserve"> de l’économie</w:t>
      </w:r>
      <w:r w:rsidRPr="00270E8D">
        <w:rPr>
          <w:rFonts w:asciiTheme="minorHAnsi" w:hAnsiTheme="minorHAnsi" w:cstheme="minorHAnsi"/>
          <w:noProof/>
          <w:sz w:val="18"/>
          <w:szCs w:val="18"/>
          <w:lang w:val="fr-CH"/>
        </w:rPr>
        <w:t xml:space="preserve"> dans la Contribution déterminée au niveau national d’un pays</w:t>
      </w:r>
      <w:r w:rsidR="00543833">
        <w:rPr>
          <w:rFonts w:asciiTheme="minorHAnsi" w:hAnsiTheme="minorHAnsi" w:cstheme="minorHAnsi"/>
          <w:noProof/>
          <w:sz w:val="18"/>
          <w:szCs w:val="18"/>
          <w:lang w:val="fr-CH"/>
        </w:rPr>
        <w:t xml:space="preserve"> donné</w:t>
      </w:r>
      <w:r w:rsidRPr="00270E8D">
        <w:rPr>
          <w:rFonts w:asciiTheme="minorHAnsi" w:hAnsiTheme="minorHAnsi" w:cstheme="minorHAnsi"/>
          <w:noProof/>
          <w:sz w:val="18"/>
          <w:szCs w:val="18"/>
          <w:lang w:val="fr-CH"/>
        </w:rPr>
        <w:t xml:space="preserve">, signée dans le cadre de l’Accord de Paris, sert de </w:t>
      </w:r>
      <w:bookmarkStart w:id="7" w:name="_Hlk35592769"/>
      <w:r w:rsidR="00543833">
        <w:rPr>
          <w:rFonts w:asciiTheme="minorHAnsi" w:hAnsiTheme="minorHAnsi" w:cstheme="minorHAnsi"/>
          <w:noProof/>
          <w:sz w:val="18"/>
          <w:szCs w:val="18"/>
          <w:lang w:val="fr-CH"/>
        </w:rPr>
        <w:t>paramètre de substitution</w:t>
      </w:r>
      <w:r w:rsidRPr="00270E8D">
        <w:rPr>
          <w:rFonts w:asciiTheme="minorHAnsi" w:hAnsiTheme="minorHAnsi" w:cstheme="minorHAnsi"/>
          <w:noProof/>
          <w:sz w:val="18"/>
          <w:szCs w:val="18"/>
          <w:lang w:val="fr-CH"/>
        </w:rPr>
        <w:t xml:space="preserve"> </w:t>
      </w:r>
      <w:bookmarkEnd w:id="7"/>
      <w:r w:rsidRPr="00270E8D">
        <w:rPr>
          <w:rFonts w:asciiTheme="minorHAnsi" w:hAnsiTheme="minorHAnsi" w:cstheme="minorHAnsi"/>
          <w:noProof/>
          <w:sz w:val="18"/>
          <w:szCs w:val="18"/>
          <w:lang w:val="fr-CH"/>
        </w:rPr>
        <w:t>pour l’engagement politique en</w:t>
      </w:r>
      <w:r w:rsidR="00543833">
        <w:rPr>
          <w:rFonts w:asciiTheme="minorHAnsi" w:hAnsiTheme="minorHAnsi" w:cstheme="minorHAnsi"/>
          <w:noProof/>
          <w:sz w:val="18"/>
          <w:szCs w:val="18"/>
          <w:lang w:val="fr-CH"/>
        </w:rPr>
        <w:t xml:space="preserve"> matière d’environnement</w:t>
      </w:r>
      <w:r w:rsidRPr="00270E8D">
        <w:rPr>
          <w:rFonts w:asciiTheme="minorHAnsi" w:hAnsiTheme="minorHAnsi" w:cstheme="minorHAnsi"/>
          <w:noProof/>
          <w:sz w:val="18"/>
          <w:szCs w:val="18"/>
          <w:lang w:val="fr-CH"/>
        </w:rPr>
        <w:t>.</w:t>
      </w:r>
    </w:p>
  </w:footnote>
  <w:footnote w:id="5">
    <w:p w14:paraId="26D3CE85" w14:textId="4273ED6D" w:rsidR="00B2201D" w:rsidRPr="008D4F7C" w:rsidRDefault="00B2201D" w:rsidP="008D4F7C">
      <w:pPr>
        <w:pStyle w:val="FootnoteText"/>
        <w:spacing w:after="0"/>
        <w:ind w:left="0" w:firstLine="0"/>
        <w:jc w:val="left"/>
        <w:rPr>
          <w:rFonts w:asciiTheme="minorHAnsi" w:hAnsiTheme="minorHAnsi" w:cstheme="minorHAnsi"/>
          <w:lang w:val="fr-CH"/>
        </w:rPr>
      </w:pPr>
      <w:r w:rsidRPr="008D4F7C">
        <w:rPr>
          <w:rStyle w:val="FootnoteReference"/>
          <w:rFonts w:asciiTheme="minorHAnsi" w:eastAsiaTheme="majorEastAsia" w:hAnsiTheme="minorHAnsi" w:cstheme="minorHAnsi"/>
          <w:lang w:val="fr-CH"/>
        </w:rPr>
        <w:footnoteRef/>
      </w:r>
      <w:r w:rsidRPr="008D4F7C">
        <w:rPr>
          <w:rFonts w:asciiTheme="minorHAnsi" w:hAnsiTheme="minorHAnsi" w:cstheme="minorHAnsi"/>
          <w:lang w:val="fr-CH"/>
        </w:rPr>
        <w:t xml:space="preserve"> </w:t>
      </w:r>
      <w:bookmarkStart w:id="18" w:name="_Hlk35617887"/>
      <w:r w:rsidRPr="008D4F7C">
        <w:rPr>
          <w:rFonts w:asciiTheme="minorHAnsi" w:hAnsiTheme="minorHAnsi" w:cstheme="minorHAnsi"/>
          <w:lang w:val="fr-CH"/>
        </w:rPr>
        <w:t xml:space="preserve">Les pays à revenu intermédiaire inférieur sont inclus parce que ce groupe démontre un taux relativement élevé d’INZH </w:t>
      </w:r>
      <w:r w:rsidR="00A41457" w:rsidRPr="008D4F7C">
        <w:rPr>
          <w:rFonts w:asciiTheme="minorHAnsi" w:hAnsiTheme="minorHAnsi" w:cstheme="minorHAnsi"/>
          <w:lang w:val="fr-CH"/>
        </w:rPr>
        <w:t xml:space="preserve">achevés ou </w:t>
      </w:r>
      <w:r w:rsidRPr="008D4F7C">
        <w:rPr>
          <w:rFonts w:asciiTheme="minorHAnsi" w:hAnsiTheme="minorHAnsi" w:cstheme="minorHAnsi"/>
          <w:lang w:val="fr-CH"/>
        </w:rPr>
        <w:t>en progrès (</w:t>
      </w:r>
      <w:r w:rsidRPr="008D4F7C">
        <w:rPr>
          <w:rFonts w:asciiTheme="minorHAnsi" w:hAnsiTheme="minorHAnsi" w:cstheme="minorHAnsi"/>
          <w:noProof/>
          <w:lang w:val="fr-CH"/>
        </w:rPr>
        <w:t xml:space="preserve">63 % </w:t>
      </w:r>
      <w:r w:rsidR="00A41457" w:rsidRPr="008D4F7C">
        <w:rPr>
          <w:rFonts w:asciiTheme="minorHAnsi" w:hAnsiTheme="minorHAnsi" w:cstheme="minorHAnsi"/>
          <w:noProof/>
          <w:lang w:val="fr-CH"/>
        </w:rPr>
        <w:t>pour</w:t>
      </w:r>
      <w:r w:rsidRPr="008D4F7C">
        <w:rPr>
          <w:rFonts w:asciiTheme="minorHAnsi" w:hAnsiTheme="minorHAnsi" w:cstheme="minorHAnsi"/>
          <w:noProof/>
          <w:lang w:val="fr-CH"/>
        </w:rPr>
        <w:t xml:space="preserve"> ce</w:t>
      </w:r>
      <w:r w:rsidR="00A41457" w:rsidRPr="008D4F7C">
        <w:rPr>
          <w:rFonts w:asciiTheme="minorHAnsi" w:hAnsiTheme="minorHAnsi" w:cstheme="minorHAnsi"/>
          <w:noProof/>
          <w:lang w:val="fr-CH"/>
        </w:rPr>
        <w:t xml:space="preserve"> groupe</w:t>
      </w:r>
      <w:r w:rsidRPr="008D4F7C">
        <w:rPr>
          <w:rFonts w:asciiTheme="minorHAnsi" w:hAnsiTheme="minorHAnsi" w:cstheme="minorHAnsi"/>
          <w:noProof/>
          <w:lang w:val="fr-CH"/>
        </w:rPr>
        <w:t xml:space="preserve"> de revenu).</w:t>
      </w:r>
      <w:bookmarkEnd w:id="18"/>
    </w:p>
  </w:footnote>
  <w:footnote w:id="6">
    <w:p w14:paraId="26A67F5D" w14:textId="6F5B136B" w:rsidR="00B2201D" w:rsidRPr="00270E8D" w:rsidRDefault="00B2201D" w:rsidP="008D4F7C">
      <w:pPr>
        <w:pStyle w:val="FootnoteText"/>
        <w:spacing w:after="0"/>
        <w:ind w:left="0" w:firstLine="0"/>
        <w:jc w:val="left"/>
        <w:rPr>
          <w:rFonts w:asciiTheme="minorHAnsi" w:hAnsiTheme="minorHAnsi" w:cstheme="minorHAnsi"/>
          <w:sz w:val="18"/>
          <w:szCs w:val="18"/>
          <w:lang w:val="fr-CH"/>
        </w:rPr>
      </w:pPr>
      <w:r w:rsidRPr="008D4F7C">
        <w:rPr>
          <w:rStyle w:val="FootnoteReference"/>
          <w:rFonts w:asciiTheme="minorHAnsi" w:hAnsiTheme="minorHAnsi" w:cstheme="minorHAnsi"/>
          <w:lang w:val="fr-CH"/>
        </w:rPr>
        <w:footnoteRef/>
      </w:r>
      <w:r w:rsidRPr="008D4F7C">
        <w:rPr>
          <w:rFonts w:asciiTheme="minorHAnsi" w:hAnsiTheme="minorHAnsi" w:cstheme="minorHAnsi"/>
          <w:lang w:val="fr-CH"/>
        </w:rPr>
        <w:t xml:space="preserve"> </w:t>
      </w:r>
      <w:bookmarkStart w:id="21" w:name="_Hlk35617916"/>
      <w:r w:rsidRPr="008D4F7C">
        <w:rPr>
          <w:rFonts w:asciiTheme="minorHAnsi" w:hAnsiTheme="minorHAnsi" w:cstheme="minorHAnsi"/>
          <w:lang w:val="fr-CH"/>
        </w:rPr>
        <w:t>Australie, Autriche, Norvège, Oman, Pologne, Portugal, Royaume</w:t>
      </w:r>
      <w:r w:rsidR="00387923" w:rsidRPr="008D4F7C">
        <w:rPr>
          <w:rFonts w:asciiTheme="minorHAnsi" w:hAnsiTheme="minorHAnsi" w:cstheme="minorHAnsi"/>
          <w:lang w:val="fr-CH"/>
        </w:rPr>
        <w:t xml:space="preserve">-Uni </w:t>
      </w:r>
      <w:r w:rsidRPr="008D4F7C">
        <w:rPr>
          <w:rFonts w:asciiTheme="minorHAnsi" w:hAnsiTheme="minorHAnsi" w:cstheme="minorHAnsi"/>
          <w:lang w:val="fr-CH"/>
        </w:rPr>
        <w:t>de Grande-Bretagne et d’Irlande du Nord et Trinité</w:t>
      </w:r>
      <w:r w:rsidRPr="008D4F7C">
        <w:rPr>
          <w:rFonts w:asciiTheme="minorHAnsi" w:hAnsiTheme="minorHAnsi" w:cstheme="minorHAnsi"/>
          <w:lang w:val="fr-CH"/>
        </w:rPr>
        <w:noBreakHyphen/>
        <w:t>et</w:t>
      </w:r>
      <w:r w:rsidRPr="008D4F7C">
        <w:rPr>
          <w:rFonts w:asciiTheme="minorHAnsi" w:hAnsiTheme="minorHAnsi" w:cstheme="minorHAnsi"/>
          <w:lang w:val="fr-CH"/>
        </w:rPr>
        <w:noBreakHyphen/>
        <w:t>Tobago</w:t>
      </w:r>
      <w:bookmarkEnd w:id="21"/>
      <w:r w:rsidRPr="008D4F7C">
        <w:rPr>
          <w:rFonts w:asciiTheme="minorHAnsi" w:hAnsiTheme="minorHAnsi" w:cstheme="minorHAnsi"/>
          <w:lang w:val="fr-CH"/>
        </w:rPr>
        <w:t>.</w:t>
      </w:r>
    </w:p>
  </w:footnote>
  <w:footnote w:id="7">
    <w:p w14:paraId="5C70E25C" w14:textId="1221313E" w:rsidR="00B2201D" w:rsidRPr="008D4F7C" w:rsidRDefault="00B2201D" w:rsidP="008D4F7C">
      <w:pPr>
        <w:pStyle w:val="FootnoteText"/>
        <w:spacing w:after="0"/>
        <w:ind w:left="0" w:firstLine="0"/>
        <w:jc w:val="left"/>
        <w:rPr>
          <w:rFonts w:asciiTheme="minorHAnsi" w:hAnsiTheme="minorHAnsi" w:cstheme="minorHAnsi"/>
          <w:lang w:val="fr-CH"/>
        </w:rPr>
      </w:pPr>
      <w:r w:rsidRPr="008D4F7C">
        <w:rPr>
          <w:rStyle w:val="FootnoteReference"/>
          <w:rFonts w:asciiTheme="minorHAnsi" w:hAnsiTheme="minorHAnsi" w:cstheme="minorHAnsi"/>
          <w:lang w:val="fr-CH"/>
        </w:rPr>
        <w:footnoteRef/>
      </w:r>
      <w:r w:rsidRPr="008D4F7C">
        <w:rPr>
          <w:rFonts w:asciiTheme="minorHAnsi" w:hAnsiTheme="minorHAnsi" w:cstheme="minorHAnsi"/>
          <w:lang w:val="fr-CH"/>
        </w:rPr>
        <w:t xml:space="preserve"> Belize, Bhoutan, Bolivie, Bosnie</w:t>
      </w:r>
      <w:r w:rsidRPr="008D4F7C">
        <w:rPr>
          <w:rFonts w:asciiTheme="minorHAnsi" w:hAnsiTheme="minorHAnsi" w:cstheme="minorHAnsi"/>
          <w:lang w:val="fr-CH"/>
        </w:rPr>
        <w:noBreakHyphen/>
        <w:t>Herzégovine, Botswana, Cambodge, Côte d’Ivoire</w:t>
      </w:r>
      <w:r w:rsidRPr="008D4F7C">
        <w:rPr>
          <w:rFonts w:asciiTheme="minorHAnsi" w:hAnsiTheme="minorHAnsi" w:cs="Arial"/>
          <w:lang w:val="fr-CH"/>
        </w:rPr>
        <w:t>,</w:t>
      </w:r>
      <w:r w:rsidRPr="008D4F7C">
        <w:rPr>
          <w:rFonts w:asciiTheme="minorHAnsi" w:hAnsiTheme="minorHAnsi" w:cstheme="minorHAnsi"/>
          <w:lang w:val="fr-CH"/>
        </w:rPr>
        <w:t xml:space="preserve"> Eswatini, Ghana, Grenade, Guinée équatoriale, Indonésie, Liban, Monténégro, Ouzbékistan,</w:t>
      </w:r>
      <w:r w:rsidRPr="008D4F7C" w:rsidDel="00DF723D">
        <w:rPr>
          <w:rFonts w:asciiTheme="minorHAnsi" w:hAnsiTheme="minorHAnsi" w:cstheme="minorHAnsi"/>
          <w:lang w:val="fr-CH"/>
        </w:rPr>
        <w:t xml:space="preserve"> </w:t>
      </w:r>
      <w:r w:rsidRPr="008D4F7C">
        <w:rPr>
          <w:rFonts w:asciiTheme="minorHAnsi" w:hAnsiTheme="minorHAnsi" w:cstheme="minorHAnsi"/>
          <w:lang w:val="fr-CH"/>
        </w:rPr>
        <w:t>Papouasie-Nouvelle-Guinée, République démocratique populaire lao</w:t>
      </w:r>
      <w:r w:rsidRPr="008D4F7C">
        <w:rPr>
          <w:rFonts w:asciiTheme="minorHAnsi" w:hAnsiTheme="minorHAnsi" w:cs="Arial"/>
          <w:lang w:val="fr-CH"/>
        </w:rPr>
        <w:t>,</w:t>
      </w:r>
      <w:r w:rsidRPr="008D4F7C">
        <w:rPr>
          <w:rFonts w:asciiTheme="minorHAnsi" w:hAnsiTheme="minorHAnsi" w:cstheme="minorHAnsi"/>
          <w:lang w:val="fr-CH"/>
        </w:rPr>
        <w:t xml:space="preserve"> République de Moldova, Sao Tomé</w:t>
      </w:r>
      <w:r w:rsidRPr="008D4F7C">
        <w:rPr>
          <w:rFonts w:asciiTheme="minorHAnsi" w:hAnsiTheme="minorHAnsi" w:cstheme="minorHAnsi"/>
          <w:lang w:val="fr-CH"/>
        </w:rPr>
        <w:noBreakHyphen/>
        <w:t>et</w:t>
      </w:r>
      <w:r w:rsidRPr="008D4F7C">
        <w:rPr>
          <w:rFonts w:asciiTheme="minorHAnsi" w:hAnsiTheme="minorHAnsi" w:cstheme="minorHAnsi"/>
          <w:lang w:val="fr-CH"/>
        </w:rPr>
        <w:noBreakHyphen/>
        <w:t>Principe, Soudan, Suriname et Zambie.</w:t>
      </w:r>
    </w:p>
  </w:footnote>
  <w:footnote w:id="8">
    <w:p w14:paraId="71A8B983" w14:textId="3F25B978" w:rsidR="00B2201D" w:rsidRPr="00491D3A" w:rsidRDefault="00B2201D" w:rsidP="008D4F7C">
      <w:pPr>
        <w:pStyle w:val="FootnoteText"/>
        <w:spacing w:after="0"/>
        <w:ind w:left="0" w:firstLine="0"/>
        <w:jc w:val="left"/>
        <w:rPr>
          <w:rFonts w:asciiTheme="minorHAnsi" w:hAnsiTheme="minorHAnsi" w:cstheme="minorHAnsi"/>
          <w:sz w:val="18"/>
          <w:szCs w:val="18"/>
          <w:lang w:val="fr-CH"/>
        </w:rPr>
      </w:pPr>
      <w:r w:rsidRPr="008D4F7C">
        <w:rPr>
          <w:rStyle w:val="FootnoteReference"/>
          <w:rFonts w:asciiTheme="minorHAnsi" w:hAnsiTheme="minorHAnsi" w:cstheme="minorHAnsi"/>
          <w:lang w:val="fr-CH"/>
        </w:rPr>
        <w:footnoteRef/>
      </w:r>
      <w:r w:rsidRPr="008D4F7C">
        <w:rPr>
          <w:rFonts w:asciiTheme="minorHAnsi" w:hAnsiTheme="minorHAnsi" w:cstheme="minorHAnsi"/>
          <w:lang w:val="fr-CH"/>
        </w:rPr>
        <w:t xml:space="preserve"> </w:t>
      </w:r>
      <w:bookmarkStart w:id="29" w:name="_Hlk35618013"/>
      <w:r w:rsidRPr="008D4F7C">
        <w:rPr>
          <w:rFonts w:asciiTheme="minorHAnsi" w:hAnsiTheme="minorHAnsi" w:cstheme="minorHAnsi"/>
          <w:lang w:val="fr-CH"/>
        </w:rPr>
        <w:t>Burkina Faso, Guinée, Libéria, Madagascar, Malawi, République démocratique du Congo, Soudan du Sud, Tchad et Togo</w:t>
      </w:r>
      <w:bookmarkEnd w:id="29"/>
      <w:r w:rsidRPr="008D4F7C">
        <w:rPr>
          <w:rFonts w:asciiTheme="minorHAnsi" w:hAnsiTheme="minorHAnsi" w:cstheme="minorHAnsi"/>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0"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13"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1"/>
  </w:num>
  <w:num w:numId="3">
    <w:abstractNumId w:val="4"/>
  </w:num>
  <w:num w:numId="4">
    <w:abstractNumId w:val="10"/>
  </w:num>
  <w:num w:numId="5">
    <w:abstractNumId w:val="9"/>
  </w:num>
  <w:num w:numId="6">
    <w:abstractNumId w:val="1"/>
  </w:num>
  <w:num w:numId="7">
    <w:abstractNumId w:val="3"/>
  </w:num>
  <w:num w:numId="8">
    <w:abstractNumId w:val="13"/>
  </w:num>
  <w:num w:numId="9">
    <w:abstractNumId w:val="16"/>
  </w:num>
  <w:num w:numId="10">
    <w:abstractNumId w:val="7"/>
  </w:num>
  <w:num w:numId="11">
    <w:abstractNumId w:val="14"/>
  </w:num>
  <w:num w:numId="12">
    <w:abstractNumId w:val="12"/>
  </w:num>
  <w:num w:numId="13">
    <w:abstractNumId w:val="0"/>
  </w:num>
  <w:num w:numId="14">
    <w:abstractNumId w:val="5"/>
  </w:num>
  <w:num w:numId="15">
    <w:abstractNumId w:val="8"/>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numFmt w:val="decimal"/>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B6"/>
    <w:rsid w:val="00003D5B"/>
    <w:rsid w:val="000053B9"/>
    <w:rsid w:val="00006473"/>
    <w:rsid w:val="0001535C"/>
    <w:rsid w:val="0002485E"/>
    <w:rsid w:val="00025FAA"/>
    <w:rsid w:val="00026F69"/>
    <w:rsid w:val="000311F4"/>
    <w:rsid w:val="00033BAE"/>
    <w:rsid w:val="0003413D"/>
    <w:rsid w:val="00037FC1"/>
    <w:rsid w:val="00050C11"/>
    <w:rsid w:val="00061FBC"/>
    <w:rsid w:val="000628F9"/>
    <w:rsid w:val="0007660D"/>
    <w:rsid w:val="0008115E"/>
    <w:rsid w:val="000831E2"/>
    <w:rsid w:val="000850AF"/>
    <w:rsid w:val="00085362"/>
    <w:rsid w:val="00086FA8"/>
    <w:rsid w:val="000977A6"/>
    <w:rsid w:val="00097909"/>
    <w:rsid w:val="000A0E83"/>
    <w:rsid w:val="000A46A9"/>
    <w:rsid w:val="000A4EAA"/>
    <w:rsid w:val="000A7659"/>
    <w:rsid w:val="000B7C29"/>
    <w:rsid w:val="000C66FC"/>
    <w:rsid w:val="000C7CC5"/>
    <w:rsid w:val="000D11E5"/>
    <w:rsid w:val="000D2A3F"/>
    <w:rsid w:val="000D7F52"/>
    <w:rsid w:val="000E1697"/>
    <w:rsid w:val="000E1DE3"/>
    <w:rsid w:val="000E66F1"/>
    <w:rsid w:val="000E7646"/>
    <w:rsid w:val="000F3A97"/>
    <w:rsid w:val="00101EF6"/>
    <w:rsid w:val="001039C7"/>
    <w:rsid w:val="00135238"/>
    <w:rsid w:val="0013696B"/>
    <w:rsid w:val="0014373C"/>
    <w:rsid w:val="00156F5D"/>
    <w:rsid w:val="00173131"/>
    <w:rsid w:val="00173FBB"/>
    <w:rsid w:val="00174EA8"/>
    <w:rsid w:val="001765D1"/>
    <w:rsid w:val="00180983"/>
    <w:rsid w:val="001951C0"/>
    <w:rsid w:val="001969BF"/>
    <w:rsid w:val="001A2907"/>
    <w:rsid w:val="001A2C2B"/>
    <w:rsid w:val="001B1517"/>
    <w:rsid w:val="001B503E"/>
    <w:rsid w:val="001B55AE"/>
    <w:rsid w:val="001C0BF6"/>
    <w:rsid w:val="001E05AC"/>
    <w:rsid w:val="001E416B"/>
    <w:rsid w:val="001F140D"/>
    <w:rsid w:val="001F14FA"/>
    <w:rsid w:val="001F5BD3"/>
    <w:rsid w:val="00203E9B"/>
    <w:rsid w:val="002048EC"/>
    <w:rsid w:val="00220DA5"/>
    <w:rsid w:val="00226303"/>
    <w:rsid w:val="0023344F"/>
    <w:rsid w:val="002343EA"/>
    <w:rsid w:val="00241F72"/>
    <w:rsid w:val="00246DF2"/>
    <w:rsid w:val="00253596"/>
    <w:rsid w:val="002606E9"/>
    <w:rsid w:val="002636DB"/>
    <w:rsid w:val="00263800"/>
    <w:rsid w:val="002649B6"/>
    <w:rsid w:val="00270E8D"/>
    <w:rsid w:val="00283906"/>
    <w:rsid w:val="00287021"/>
    <w:rsid w:val="002873A7"/>
    <w:rsid w:val="0029098E"/>
    <w:rsid w:val="00290A41"/>
    <w:rsid w:val="00292517"/>
    <w:rsid w:val="002A58F8"/>
    <w:rsid w:val="002B047D"/>
    <w:rsid w:val="002B080F"/>
    <w:rsid w:val="002B7436"/>
    <w:rsid w:val="002D3E5F"/>
    <w:rsid w:val="002D4425"/>
    <w:rsid w:val="002D702B"/>
    <w:rsid w:val="002E1339"/>
    <w:rsid w:val="002E178E"/>
    <w:rsid w:val="002E48C4"/>
    <w:rsid w:val="002F4116"/>
    <w:rsid w:val="002F4600"/>
    <w:rsid w:val="002F7A66"/>
    <w:rsid w:val="00306EBA"/>
    <w:rsid w:val="00307B7E"/>
    <w:rsid w:val="003125C1"/>
    <w:rsid w:val="00315007"/>
    <w:rsid w:val="00315180"/>
    <w:rsid w:val="003164F8"/>
    <w:rsid w:val="00325744"/>
    <w:rsid w:val="003345A3"/>
    <w:rsid w:val="00340276"/>
    <w:rsid w:val="003443B2"/>
    <w:rsid w:val="00350DC9"/>
    <w:rsid w:val="00354B3E"/>
    <w:rsid w:val="00361A67"/>
    <w:rsid w:val="00365A98"/>
    <w:rsid w:val="00383801"/>
    <w:rsid w:val="0038631F"/>
    <w:rsid w:val="00387111"/>
    <w:rsid w:val="00387917"/>
    <w:rsid w:val="00387923"/>
    <w:rsid w:val="003A3847"/>
    <w:rsid w:val="003A4ADC"/>
    <w:rsid w:val="003A571C"/>
    <w:rsid w:val="003B3579"/>
    <w:rsid w:val="003B652E"/>
    <w:rsid w:val="003C3EAE"/>
    <w:rsid w:val="003C5501"/>
    <w:rsid w:val="003C5D0A"/>
    <w:rsid w:val="003C7F7D"/>
    <w:rsid w:val="003D2F3B"/>
    <w:rsid w:val="003D327F"/>
    <w:rsid w:val="003D7E20"/>
    <w:rsid w:val="003E0463"/>
    <w:rsid w:val="003E31F0"/>
    <w:rsid w:val="003F12C0"/>
    <w:rsid w:val="003F1DF3"/>
    <w:rsid w:val="004003C1"/>
    <w:rsid w:val="004016BE"/>
    <w:rsid w:val="0040598D"/>
    <w:rsid w:val="00411F45"/>
    <w:rsid w:val="00412281"/>
    <w:rsid w:val="004130E1"/>
    <w:rsid w:val="00415C22"/>
    <w:rsid w:val="00416CCD"/>
    <w:rsid w:val="00430F54"/>
    <w:rsid w:val="00432B7F"/>
    <w:rsid w:val="004349D3"/>
    <w:rsid w:val="004438ED"/>
    <w:rsid w:val="00445E47"/>
    <w:rsid w:val="0044689A"/>
    <w:rsid w:val="00456280"/>
    <w:rsid w:val="004643E8"/>
    <w:rsid w:val="004700A1"/>
    <w:rsid w:val="00474F03"/>
    <w:rsid w:val="00475560"/>
    <w:rsid w:val="00480DA1"/>
    <w:rsid w:val="004902C5"/>
    <w:rsid w:val="00491D3A"/>
    <w:rsid w:val="004948C4"/>
    <w:rsid w:val="00494AE4"/>
    <w:rsid w:val="00496803"/>
    <w:rsid w:val="00497546"/>
    <w:rsid w:val="00497B9C"/>
    <w:rsid w:val="004A0346"/>
    <w:rsid w:val="004A48BF"/>
    <w:rsid w:val="004B3DC7"/>
    <w:rsid w:val="004B42F3"/>
    <w:rsid w:val="004C2B02"/>
    <w:rsid w:val="004C4DB3"/>
    <w:rsid w:val="004D45CE"/>
    <w:rsid w:val="004E15BF"/>
    <w:rsid w:val="004E3303"/>
    <w:rsid w:val="004E566D"/>
    <w:rsid w:val="004E6CE3"/>
    <w:rsid w:val="004F220F"/>
    <w:rsid w:val="004F4299"/>
    <w:rsid w:val="004F6429"/>
    <w:rsid w:val="00502819"/>
    <w:rsid w:val="005045DC"/>
    <w:rsid w:val="00505FB1"/>
    <w:rsid w:val="005113DF"/>
    <w:rsid w:val="00513385"/>
    <w:rsid w:val="00513C77"/>
    <w:rsid w:val="005143D0"/>
    <w:rsid w:val="00521FB9"/>
    <w:rsid w:val="00526B29"/>
    <w:rsid w:val="00526EBE"/>
    <w:rsid w:val="00530464"/>
    <w:rsid w:val="00531CEC"/>
    <w:rsid w:val="005365B4"/>
    <w:rsid w:val="00536607"/>
    <w:rsid w:val="00540463"/>
    <w:rsid w:val="005429E5"/>
    <w:rsid w:val="00543833"/>
    <w:rsid w:val="005526AF"/>
    <w:rsid w:val="00554FF4"/>
    <w:rsid w:val="005557FB"/>
    <w:rsid w:val="00560838"/>
    <w:rsid w:val="005629FB"/>
    <w:rsid w:val="005673D5"/>
    <w:rsid w:val="00567CAF"/>
    <w:rsid w:val="0057164D"/>
    <w:rsid w:val="005735AC"/>
    <w:rsid w:val="00581F19"/>
    <w:rsid w:val="00584CCC"/>
    <w:rsid w:val="00592639"/>
    <w:rsid w:val="00592965"/>
    <w:rsid w:val="00594A46"/>
    <w:rsid w:val="005A1517"/>
    <w:rsid w:val="005B0454"/>
    <w:rsid w:val="005B0E10"/>
    <w:rsid w:val="005B1F13"/>
    <w:rsid w:val="005B4721"/>
    <w:rsid w:val="005C37FB"/>
    <w:rsid w:val="005C7E42"/>
    <w:rsid w:val="005D3CE2"/>
    <w:rsid w:val="005D3DB9"/>
    <w:rsid w:val="005D424B"/>
    <w:rsid w:val="005D4E29"/>
    <w:rsid w:val="005D7A35"/>
    <w:rsid w:val="005E468B"/>
    <w:rsid w:val="005E561A"/>
    <w:rsid w:val="005E70BF"/>
    <w:rsid w:val="005F2C93"/>
    <w:rsid w:val="00603647"/>
    <w:rsid w:val="00614DBF"/>
    <w:rsid w:val="00621DDC"/>
    <w:rsid w:val="00627CE7"/>
    <w:rsid w:val="006334A6"/>
    <w:rsid w:val="00633615"/>
    <w:rsid w:val="00636136"/>
    <w:rsid w:val="00641221"/>
    <w:rsid w:val="0064287F"/>
    <w:rsid w:val="0064673C"/>
    <w:rsid w:val="00650BDE"/>
    <w:rsid w:val="00655C26"/>
    <w:rsid w:val="00664376"/>
    <w:rsid w:val="00670B98"/>
    <w:rsid w:val="0067129C"/>
    <w:rsid w:val="0068093C"/>
    <w:rsid w:val="006873AF"/>
    <w:rsid w:val="006873C4"/>
    <w:rsid w:val="00690C91"/>
    <w:rsid w:val="00691B67"/>
    <w:rsid w:val="00695C65"/>
    <w:rsid w:val="00697F36"/>
    <w:rsid w:val="006A22F0"/>
    <w:rsid w:val="006B59C1"/>
    <w:rsid w:val="006B6BC7"/>
    <w:rsid w:val="006B72EF"/>
    <w:rsid w:val="006E7F38"/>
    <w:rsid w:val="007046D5"/>
    <w:rsid w:val="00704BAA"/>
    <w:rsid w:val="00712823"/>
    <w:rsid w:val="00713BC2"/>
    <w:rsid w:val="00716FCE"/>
    <w:rsid w:val="00723967"/>
    <w:rsid w:val="007301CC"/>
    <w:rsid w:val="007344CB"/>
    <w:rsid w:val="00737124"/>
    <w:rsid w:val="00740127"/>
    <w:rsid w:val="0074397C"/>
    <w:rsid w:val="00745F21"/>
    <w:rsid w:val="00746FA9"/>
    <w:rsid w:val="00753CCB"/>
    <w:rsid w:val="00761666"/>
    <w:rsid w:val="00764A82"/>
    <w:rsid w:val="00766ECB"/>
    <w:rsid w:val="007822CE"/>
    <w:rsid w:val="007828F4"/>
    <w:rsid w:val="007845FA"/>
    <w:rsid w:val="0078538E"/>
    <w:rsid w:val="00787C53"/>
    <w:rsid w:val="0079035E"/>
    <w:rsid w:val="00791AB8"/>
    <w:rsid w:val="00794E0F"/>
    <w:rsid w:val="007A184F"/>
    <w:rsid w:val="007A5454"/>
    <w:rsid w:val="007A74AA"/>
    <w:rsid w:val="007B1BA9"/>
    <w:rsid w:val="007B2509"/>
    <w:rsid w:val="007C2645"/>
    <w:rsid w:val="007C3C42"/>
    <w:rsid w:val="007C42FC"/>
    <w:rsid w:val="007C432D"/>
    <w:rsid w:val="007C5320"/>
    <w:rsid w:val="007C6AB6"/>
    <w:rsid w:val="007D7ABA"/>
    <w:rsid w:val="007E60BE"/>
    <w:rsid w:val="007F0954"/>
    <w:rsid w:val="007F46EB"/>
    <w:rsid w:val="007F55FF"/>
    <w:rsid w:val="007F5FF2"/>
    <w:rsid w:val="00800082"/>
    <w:rsid w:val="00801346"/>
    <w:rsid w:val="00805071"/>
    <w:rsid w:val="00805CAF"/>
    <w:rsid w:val="00807D57"/>
    <w:rsid w:val="00827D54"/>
    <w:rsid w:val="00833228"/>
    <w:rsid w:val="00833B5B"/>
    <w:rsid w:val="008341E3"/>
    <w:rsid w:val="00837028"/>
    <w:rsid w:val="00846306"/>
    <w:rsid w:val="00852BC0"/>
    <w:rsid w:val="008555B0"/>
    <w:rsid w:val="00860291"/>
    <w:rsid w:val="00860A11"/>
    <w:rsid w:val="00871089"/>
    <w:rsid w:val="008807D0"/>
    <w:rsid w:val="008819AB"/>
    <w:rsid w:val="00881FA5"/>
    <w:rsid w:val="00885474"/>
    <w:rsid w:val="00890CE9"/>
    <w:rsid w:val="008966EE"/>
    <w:rsid w:val="00896772"/>
    <w:rsid w:val="008A0748"/>
    <w:rsid w:val="008C0B4A"/>
    <w:rsid w:val="008C34F6"/>
    <w:rsid w:val="008D3287"/>
    <w:rsid w:val="008D363F"/>
    <w:rsid w:val="008D4F7C"/>
    <w:rsid w:val="008D5BB3"/>
    <w:rsid w:val="008E3AE2"/>
    <w:rsid w:val="008E5091"/>
    <w:rsid w:val="008F12EA"/>
    <w:rsid w:val="008F5E7B"/>
    <w:rsid w:val="00900E56"/>
    <w:rsid w:val="00904FB7"/>
    <w:rsid w:val="009061A9"/>
    <w:rsid w:val="009165CB"/>
    <w:rsid w:val="00916A69"/>
    <w:rsid w:val="009177A6"/>
    <w:rsid w:val="00926DAD"/>
    <w:rsid w:val="00930605"/>
    <w:rsid w:val="00931C94"/>
    <w:rsid w:val="00933566"/>
    <w:rsid w:val="009455A4"/>
    <w:rsid w:val="00945EAE"/>
    <w:rsid w:val="009514A2"/>
    <w:rsid w:val="00951EE7"/>
    <w:rsid w:val="00953716"/>
    <w:rsid w:val="0095528C"/>
    <w:rsid w:val="00957A2C"/>
    <w:rsid w:val="009720E4"/>
    <w:rsid w:val="009740D6"/>
    <w:rsid w:val="00977088"/>
    <w:rsid w:val="00982441"/>
    <w:rsid w:val="0099345B"/>
    <w:rsid w:val="0099373E"/>
    <w:rsid w:val="009A092E"/>
    <w:rsid w:val="009A1A8E"/>
    <w:rsid w:val="009A40C0"/>
    <w:rsid w:val="009B2F8C"/>
    <w:rsid w:val="009B4557"/>
    <w:rsid w:val="009C2DDF"/>
    <w:rsid w:val="009C72A2"/>
    <w:rsid w:val="009D26F8"/>
    <w:rsid w:val="009D287D"/>
    <w:rsid w:val="009D369C"/>
    <w:rsid w:val="009D6C82"/>
    <w:rsid w:val="009E48C7"/>
    <w:rsid w:val="009E49C3"/>
    <w:rsid w:val="009F03B3"/>
    <w:rsid w:val="009F057C"/>
    <w:rsid w:val="009F5005"/>
    <w:rsid w:val="009F64F9"/>
    <w:rsid w:val="00A01051"/>
    <w:rsid w:val="00A16484"/>
    <w:rsid w:val="00A21F07"/>
    <w:rsid w:val="00A25071"/>
    <w:rsid w:val="00A31F94"/>
    <w:rsid w:val="00A37F46"/>
    <w:rsid w:val="00A41457"/>
    <w:rsid w:val="00A44784"/>
    <w:rsid w:val="00A45FBA"/>
    <w:rsid w:val="00A518ED"/>
    <w:rsid w:val="00A52182"/>
    <w:rsid w:val="00A52DB5"/>
    <w:rsid w:val="00A53321"/>
    <w:rsid w:val="00A60B12"/>
    <w:rsid w:val="00A7536D"/>
    <w:rsid w:val="00A81E95"/>
    <w:rsid w:val="00A82A6E"/>
    <w:rsid w:val="00A95135"/>
    <w:rsid w:val="00AA0D94"/>
    <w:rsid w:val="00AA551A"/>
    <w:rsid w:val="00AA659A"/>
    <w:rsid w:val="00AB2D2F"/>
    <w:rsid w:val="00AC30AC"/>
    <w:rsid w:val="00AD028E"/>
    <w:rsid w:val="00AD53B1"/>
    <w:rsid w:val="00AE10D4"/>
    <w:rsid w:val="00AE3816"/>
    <w:rsid w:val="00AE62B4"/>
    <w:rsid w:val="00AF1701"/>
    <w:rsid w:val="00AF1DE5"/>
    <w:rsid w:val="00AF7F50"/>
    <w:rsid w:val="00AF7F61"/>
    <w:rsid w:val="00B050BC"/>
    <w:rsid w:val="00B05694"/>
    <w:rsid w:val="00B062C5"/>
    <w:rsid w:val="00B06930"/>
    <w:rsid w:val="00B06F08"/>
    <w:rsid w:val="00B109B4"/>
    <w:rsid w:val="00B21715"/>
    <w:rsid w:val="00B2201D"/>
    <w:rsid w:val="00B2213B"/>
    <w:rsid w:val="00B31C60"/>
    <w:rsid w:val="00B33B15"/>
    <w:rsid w:val="00B36912"/>
    <w:rsid w:val="00B42BF0"/>
    <w:rsid w:val="00B44154"/>
    <w:rsid w:val="00B55F96"/>
    <w:rsid w:val="00B56077"/>
    <w:rsid w:val="00B61CAA"/>
    <w:rsid w:val="00B62A46"/>
    <w:rsid w:val="00B674AE"/>
    <w:rsid w:val="00B67A5E"/>
    <w:rsid w:val="00B67D33"/>
    <w:rsid w:val="00B70BBE"/>
    <w:rsid w:val="00B70BEA"/>
    <w:rsid w:val="00B800D8"/>
    <w:rsid w:val="00B862C9"/>
    <w:rsid w:val="00B87AE3"/>
    <w:rsid w:val="00B9084F"/>
    <w:rsid w:val="00B91304"/>
    <w:rsid w:val="00B923C3"/>
    <w:rsid w:val="00B948C4"/>
    <w:rsid w:val="00BA2399"/>
    <w:rsid w:val="00BA64AC"/>
    <w:rsid w:val="00BB0543"/>
    <w:rsid w:val="00BB1188"/>
    <w:rsid w:val="00BB3650"/>
    <w:rsid w:val="00BC0D1B"/>
    <w:rsid w:val="00BC1263"/>
    <w:rsid w:val="00BC6FF2"/>
    <w:rsid w:val="00BC732F"/>
    <w:rsid w:val="00BC7A9C"/>
    <w:rsid w:val="00BD0E33"/>
    <w:rsid w:val="00BD165E"/>
    <w:rsid w:val="00BD3C53"/>
    <w:rsid w:val="00BD559D"/>
    <w:rsid w:val="00BE0D48"/>
    <w:rsid w:val="00BE6D45"/>
    <w:rsid w:val="00BF084F"/>
    <w:rsid w:val="00BF299D"/>
    <w:rsid w:val="00BF62C4"/>
    <w:rsid w:val="00BF7C53"/>
    <w:rsid w:val="00C12053"/>
    <w:rsid w:val="00C25579"/>
    <w:rsid w:val="00C32576"/>
    <w:rsid w:val="00C370ED"/>
    <w:rsid w:val="00C409B4"/>
    <w:rsid w:val="00C41B0F"/>
    <w:rsid w:val="00C4531B"/>
    <w:rsid w:val="00C45DD0"/>
    <w:rsid w:val="00C46AE4"/>
    <w:rsid w:val="00C50BCF"/>
    <w:rsid w:val="00C51B41"/>
    <w:rsid w:val="00C53566"/>
    <w:rsid w:val="00C53D50"/>
    <w:rsid w:val="00C55FCA"/>
    <w:rsid w:val="00C56FC3"/>
    <w:rsid w:val="00C63212"/>
    <w:rsid w:val="00C66140"/>
    <w:rsid w:val="00C700DC"/>
    <w:rsid w:val="00C72E54"/>
    <w:rsid w:val="00C73A3E"/>
    <w:rsid w:val="00C744C8"/>
    <w:rsid w:val="00C7739F"/>
    <w:rsid w:val="00C85A5C"/>
    <w:rsid w:val="00C910A3"/>
    <w:rsid w:val="00C917DD"/>
    <w:rsid w:val="00C95351"/>
    <w:rsid w:val="00CA0714"/>
    <w:rsid w:val="00CA3F33"/>
    <w:rsid w:val="00CA5711"/>
    <w:rsid w:val="00CA5C12"/>
    <w:rsid w:val="00CB27D3"/>
    <w:rsid w:val="00CB28E5"/>
    <w:rsid w:val="00CB322A"/>
    <w:rsid w:val="00CB5171"/>
    <w:rsid w:val="00CC01FF"/>
    <w:rsid w:val="00CC3C77"/>
    <w:rsid w:val="00CC3FD5"/>
    <w:rsid w:val="00CC5D90"/>
    <w:rsid w:val="00CD3D71"/>
    <w:rsid w:val="00CD76BB"/>
    <w:rsid w:val="00CD7A4C"/>
    <w:rsid w:val="00CE2AA2"/>
    <w:rsid w:val="00CE4634"/>
    <w:rsid w:val="00CE49A1"/>
    <w:rsid w:val="00CF587D"/>
    <w:rsid w:val="00CF6322"/>
    <w:rsid w:val="00D01001"/>
    <w:rsid w:val="00D1353E"/>
    <w:rsid w:val="00D13A50"/>
    <w:rsid w:val="00D15505"/>
    <w:rsid w:val="00D25AAD"/>
    <w:rsid w:val="00D317AD"/>
    <w:rsid w:val="00D320F7"/>
    <w:rsid w:val="00D3464B"/>
    <w:rsid w:val="00D363F2"/>
    <w:rsid w:val="00D36BF8"/>
    <w:rsid w:val="00D45CF7"/>
    <w:rsid w:val="00D46B60"/>
    <w:rsid w:val="00D51FE0"/>
    <w:rsid w:val="00D52299"/>
    <w:rsid w:val="00D53E50"/>
    <w:rsid w:val="00D61B13"/>
    <w:rsid w:val="00D72290"/>
    <w:rsid w:val="00D74053"/>
    <w:rsid w:val="00D8109F"/>
    <w:rsid w:val="00D85922"/>
    <w:rsid w:val="00D8657A"/>
    <w:rsid w:val="00D949AA"/>
    <w:rsid w:val="00DA75CF"/>
    <w:rsid w:val="00DB7434"/>
    <w:rsid w:val="00DC52A2"/>
    <w:rsid w:val="00DD08B4"/>
    <w:rsid w:val="00DD2216"/>
    <w:rsid w:val="00DD4FA5"/>
    <w:rsid w:val="00DE0AA9"/>
    <w:rsid w:val="00DE1CE7"/>
    <w:rsid w:val="00DE4243"/>
    <w:rsid w:val="00DF0574"/>
    <w:rsid w:val="00DF4EEE"/>
    <w:rsid w:val="00DF5DF0"/>
    <w:rsid w:val="00DF723D"/>
    <w:rsid w:val="00DF7242"/>
    <w:rsid w:val="00E07DCB"/>
    <w:rsid w:val="00E10867"/>
    <w:rsid w:val="00E11B56"/>
    <w:rsid w:val="00E15118"/>
    <w:rsid w:val="00E26626"/>
    <w:rsid w:val="00E26802"/>
    <w:rsid w:val="00E32134"/>
    <w:rsid w:val="00E344E3"/>
    <w:rsid w:val="00E37CEE"/>
    <w:rsid w:val="00E414F9"/>
    <w:rsid w:val="00E43180"/>
    <w:rsid w:val="00E44529"/>
    <w:rsid w:val="00E639EE"/>
    <w:rsid w:val="00E67EE6"/>
    <w:rsid w:val="00E74110"/>
    <w:rsid w:val="00E85F0A"/>
    <w:rsid w:val="00E87BD0"/>
    <w:rsid w:val="00E9018C"/>
    <w:rsid w:val="00E92CDA"/>
    <w:rsid w:val="00E93E15"/>
    <w:rsid w:val="00EB0637"/>
    <w:rsid w:val="00EB5C96"/>
    <w:rsid w:val="00EB763B"/>
    <w:rsid w:val="00EB7D62"/>
    <w:rsid w:val="00EC0818"/>
    <w:rsid w:val="00EC303F"/>
    <w:rsid w:val="00EC4F90"/>
    <w:rsid w:val="00ED097D"/>
    <w:rsid w:val="00ED123E"/>
    <w:rsid w:val="00ED2E6A"/>
    <w:rsid w:val="00ED3CA8"/>
    <w:rsid w:val="00EE03A1"/>
    <w:rsid w:val="00EE09E6"/>
    <w:rsid w:val="00EE43D7"/>
    <w:rsid w:val="00EF1B5D"/>
    <w:rsid w:val="00EF1C8A"/>
    <w:rsid w:val="00EF49B7"/>
    <w:rsid w:val="00EF7A9F"/>
    <w:rsid w:val="00F02E89"/>
    <w:rsid w:val="00F0707E"/>
    <w:rsid w:val="00F1215A"/>
    <w:rsid w:val="00F146E4"/>
    <w:rsid w:val="00F16748"/>
    <w:rsid w:val="00F16FA3"/>
    <w:rsid w:val="00F33747"/>
    <w:rsid w:val="00F405CD"/>
    <w:rsid w:val="00F40C7D"/>
    <w:rsid w:val="00F426ED"/>
    <w:rsid w:val="00F44F46"/>
    <w:rsid w:val="00F5135E"/>
    <w:rsid w:val="00F5590F"/>
    <w:rsid w:val="00F603DF"/>
    <w:rsid w:val="00F616E3"/>
    <w:rsid w:val="00F623CD"/>
    <w:rsid w:val="00F62C8D"/>
    <w:rsid w:val="00F6315D"/>
    <w:rsid w:val="00F6760E"/>
    <w:rsid w:val="00F75116"/>
    <w:rsid w:val="00F75CF8"/>
    <w:rsid w:val="00F7790D"/>
    <w:rsid w:val="00F821D4"/>
    <w:rsid w:val="00F824C2"/>
    <w:rsid w:val="00F8633B"/>
    <w:rsid w:val="00F90FA5"/>
    <w:rsid w:val="00F91742"/>
    <w:rsid w:val="00F91EE3"/>
    <w:rsid w:val="00F92D8D"/>
    <w:rsid w:val="00F94332"/>
    <w:rsid w:val="00F95B97"/>
    <w:rsid w:val="00F9785A"/>
    <w:rsid w:val="00FA343C"/>
    <w:rsid w:val="00FA4D1A"/>
    <w:rsid w:val="00FB20B2"/>
    <w:rsid w:val="00FB278C"/>
    <w:rsid w:val="00FB3A84"/>
    <w:rsid w:val="00FC29B1"/>
    <w:rsid w:val="00FC5498"/>
    <w:rsid w:val="00FD17F7"/>
    <w:rsid w:val="00FD61B3"/>
    <w:rsid w:val="00FE0EB1"/>
    <w:rsid w:val="00FE40F9"/>
    <w:rsid w:val="00FE5F2F"/>
    <w:rsid w:val="00FE7E17"/>
    <w:rsid w:val="00FF5D65"/>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docId w15:val="{F14EAB8B-83DB-41FA-A9D8-04D6A9DA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basedOn w:val="Normal"/>
    <w:link w:val="FootnoteTextChar"/>
    <w:unhideWhenUsed/>
    <w:rsid w:val="001B1517"/>
    <w:pPr>
      <w:spacing w:after="240"/>
    </w:pPr>
    <w:rPr>
      <w:rFonts w:ascii="Arial" w:hAnsi="Arial"/>
      <w:sz w:val="20"/>
      <w:szCs w:val="20"/>
    </w:rPr>
  </w:style>
  <w:style w:type="character" w:customStyle="1" w:styleId="FootnoteTextChar">
    <w:name w:val="Footnote Text Char"/>
    <w:basedOn w:val="DefaultParagraphFont"/>
    <w:link w:val="FootnoteText"/>
    <w:rsid w:val="001B1517"/>
    <w:rPr>
      <w:rFonts w:ascii="Arial" w:eastAsia="Times New Roman" w:hAnsi="Arial" w:cs="Times New Roman"/>
      <w:sz w:val="20"/>
      <w:szCs w:val="20"/>
      <w:lang w:eastAsia="en-GB"/>
    </w:rPr>
  </w:style>
  <w:style w:type="character" w:styleId="FootnoteReference">
    <w:name w:val="footnote reference"/>
    <w:uiPriority w:val="99"/>
    <w:semiHidden/>
    <w:unhideWhenUsed/>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semiHidden/>
    <w:unhideWhenUsed/>
    <w:rsid w:val="00DF0574"/>
    <w:rPr>
      <w:sz w:val="20"/>
      <w:szCs w:val="20"/>
    </w:rPr>
  </w:style>
  <w:style w:type="character" w:customStyle="1" w:styleId="CommentTextChar">
    <w:name w:val="Comment Text Char"/>
    <w:basedOn w:val="DefaultParagraphFont"/>
    <w:link w:val="CommentText"/>
    <w:uiPriority w:val="99"/>
    <w:semiHidden/>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analyse-des-lacunes-pour-entreprendre-ameliorer-ou-terminer-des-inventaires-des-z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amsar.org/fr/document/nouvelle-trousse-doutils-pour-linventaire-national-des-zones-humides-ms-word" TargetMode="External"/><Relationship Id="rId4" Type="http://schemas.openxmlformats.org/officeDocument/2006/relationships/settings" Target="settings.xml"/><Relationship Id="rId9" Type="http://schemas.openxmlformats.org/officeDocument/2006/relationships/hyperlink" Target="https://www.ramsar.org/fr/document/proposition-de-projet-investir-dans-les-inventaires-nationaux-des-zones-humides-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593616FE-5295-451A-884F-C16BECEF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3774</Words>
  <Characters>21517</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3</cp:revision>
  <cp:lastPrinted>2020-02-26T14:44:00Z</cp:lastPrinted>
  <dcterms:created xsi:type="dcterms:W3CDTF">2020-03-27T15:51:00Z</dcterms:created>
  <dcterms:modified xsi:type="dcterms:W3CDTF">2020-04-30T15:11:00Z</dcterms:modified>
</cp:coreProperties>
</file>