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3C63F" w14:textId="77777777" w:rsidR="00135706" w:rsidRPr="00F75739"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F75739">
        <w:rPr>
          <w:rFonts w:cstheme="minorHAnsi"/>
          <w:bCs/>
          <w:lang w:val="fr-CH"/>
        </w:rPr>
        <w:t xml:space="preserve">CONVENTION </w:t>
      </w:r>
      <w:r w:rsidR="00A647FE" w:rsidRPr="00F75739">
        <w:rPr>
          <w:rFonts w:cstheme="minorHAnsi"/>
          <w:bCs/>
          <w:lang w:val="fr-CH"/>
        </w:rPr>
        <w:t>DE RAMSAR SUR LES ZONES HUMIDES</w:t>
      </w:r>
    </w:p>
    <w:p w14:paraId="03396C48" w14:textId="77777777" w:rsidR="00135706" w:rsidRPr="00F75739"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F75739">
        <w:rPr>
          <w:rFonts w:cstheme="minorHAnsi"/>
          <w:bCs/>
          <w:lang w:val="fr-CH"/>
        </w:rPr>
        <w:t>5</w:t>
      </w:r>
      <w:r w:rsidR="00D84F77" w:rsidRPr="00F75739">
        <w:rPr>
          <w:rFonts w:cstheme="minorHAnsi"/>
          <w:bCs/>
          <w:lang w:val="fr-CH"/>
        </w:rPr>
        <w:t>7</w:t>
      </w:r>
      <w:r w:rsidR="00A647FE" w:rsidRPr="00F75739">
        <w:rPr>
          <w:rFonts w:cstheme="minorHAnsi"/>
          <w:bCs/>
          <w:vertAlign w:val="superscript"/>
          <w:lang w:val="fr-CH"/>
        </w:rPr>
        <w:t>e</w:t>
      </w:r>
      <w:r w:rsidRPr="00F75739">
        <w:rPr>
          <w:rFonts w:cstheme="minorHAnsi"/>
          <w:bCs/>
          <w:lang w:val="fr-CH"/>
        </w:rPr>
        <w:t xml:space="preserve"> </w:t>
      </w:r>
      <w:r w:rsidR="00A647FE" w:rsidRPr="00F75739">
        <w:rPr>
          <w:rFonts w:cstheme="minorHAnsi"/>
          <w:bCs/>
          <w:lang w:val="fr-CH"/>
        </w:rPr>
        <w:t>Réunion du Comité permanent</w:t>
      </w:r>
    </w:p>
    <w:p w14:paraId="4CFBB057" w14:textId="77777777" w:rsidR="00135706" w:rsidRPr="00F75739"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F75739">
        <w:rPr>
          <w:rFonts w:cstheme="minorHAnsi"/>
          <w:bCs/>
          <w:lang w:val="fr-CH"/>
        </w:rPr>
        <w:t>Gland, S</w:t>
      </w:r>
      <w:r w:rsidR="00A647FE" w:rsidRPr="00F75739">
        <w:rPr>
          <w:rFonts w:cstheme="minorHAnsi"/>
          <w:bCs/>
          <w:lang w:val="fr-CH"/>
        </w:rPr>
        <w:t>uisse</w:t>
      </w:r>
      <w:r w:rsidRPr="00F75739">
        <w:rPr>
          <w:rFonts w:cstheme="minorHAnsi"/>
          <w:bCs/>
          <w:lang w:val="fr-CH"/>
        </w:rPr>
        <w:t>, 2</w:t>
      </w:r>
      <w:r w:rsidR="00D84F77" w:rsidRPr="00F75739">
        <w:rPr>
          <w:rFonts w:cstheme="minorHAnsi"/>
          <w:bCs/>
          <w:lang w:val="fr-CH"/>
        </w:rPr>
        <w:t>4</w:t>
      </w:r>
      <w:r w:rsidRPr="00F75739">
        <w:rPr>
          <w:rFonts w:cstheme="minorHAnsi"/>
          <w:bCs/>
          <w:lang w:val="fr-CH"/>
        </w:rPr>
        <w:t xml:space="preserve"> </w:t>
      </w:r>
      <w:r w:rsidR="00A647FE" w:rsidRPr="00F75739">
        <w:rPr>
          <w:rFonts w:cstheme="minorHAnsi"/>
          <w:bCs/>
          <w:lang w:val="fr-CH"/>
        </w:rPr>
        <w:t>au</w:t>
      </w:r>
      <w:r w:rsidRPr="00F75739">
        <w:rPr>
          <w:rFonts w:cstheme="minorHAnsi"/>
          <w:bCs/>
          <w:lang w:val="fr-CH"/>
        </w:rPr>
        <w:t xml:space="preserve"> 2</w:t>
      </w:r>
      <w:r w:rsidR="00D84F77" w:rsidRPr="00F75739">
        <w:rPr>
          <w:rFonts w:cstheme="minorHAnsi"/>
          <w:bCs/>
          <w:lang w:val="fr-CH"/>
        </w:rPr>
        <w:t>8</w:t>
      </w:r>
      <w:r w:rsidRPr="00F75739">
        <w:rPr>
          <w:rFonts w:cstheme="minorHAnsi"/>
          <w:bCs/>
          <w:lang w:val="fr-CH"/>
        </w:rPr>
        <w:t xml:space="preserve"> </w:t>
      </w:r>
      <w:r w:rsidR="00A647FE" w:rsidRPr="00F75739">
        <w:rPr>
          <w:rFonts w:cstheme="minorHAnsi"/>
          <w:bCs/>
          <w:lang w:val="fr-CH"/>
        </w:rPr>
        <w:t>juin</w:t>
      </w:r>
      <w:r w:rsidRPr="00F75739">
        <w:rPr>
          <w:rFonts w:cstheme="minorHAnsi"/>
          <w:bCs/>
          <w:lang w:val="fr-CH"/>
        </w:rPr>
        <w:t xml:space="preserve"> </w:t>
      </w:r>
      <w:r w:rsidR="00D84F77" w:rsidRPr="00F75739">
        <w:rPr>
          <w:rFonts w:cstheme="minorHAnsi"/>
          <w:bCs/>
          <w:lang w:val="fr-CH"/>
        </w:rPr>
        <w:t>2019</w:t>
      </w:r>
    </w:p>
    <w:p w14:paraId="6EA8DD8F" w14:textId="77777777" w:rsidR="00135706" w:rsidRPr="00F75739" w:rsidRDefault="00135706" w:rsidP="00D84F77">
      <w:pPr>
        <w:spacing w:after="0" w:line="240" w:lineRule="auto"/>
        <w:rPr>
          <w:rFonts w:cstheme="minorHAnsi"/>
          <w:b/>
          <w:lang w:val="fr-CH"/>
        </w:rPr>
      </w:pPr>
    </w:p>
    <w:p w14:paraId="5F48B3A1" w14:textId="77777777" w:rsidR="00135706" w:rsidRPr="00F75739" w:rsidRDefault="00135706" w:rsidP="00D84F77">
      <w:pPr>
        <w:spacing w:after="0" w:line="240" w:lineRule="auto"/>
        <w:rPr>
          <w:rFonts w:cstheme="minorHAnsi"/>
          <w:b/>
          <w:sz w:val="28"/>
          <w:szCs w:val="28"/>
          <w:lang w:val="fr-CH"/>
        </w:rPr>
      </w:pPr>
    </w:p>
    <w:p w14:paraId="2FD18DD6" w14:textId="73D3D7F7" w:rsidR="00135706" w:rsidRPr="000F4D61" w:rsidRDefault="00135706" w:rsidP="00D84F77">
      <w:pPr>
        <w:spacing w:after="0" w:line="240" w:lineRule="auto"/>
        <w:jc w:val="center"/>
        <w:rPr>
          <w:rFonts w:cstheme="minorHAnsi"/>
          <w:b/>
          <w:lang w:val="fr-CH"/>
        </w:rPr>
      </w:pPr>
      <w:r w:rsidRPr="00F75739">
        <w:rPr>
          <w:rFonts w:cstheme="minorHAnsi"/>
          <w:b/>
          <w:sz w:val="28"/>
          <w:szCs w:val="28"/>
          <w:lang w:val="fr-CH"/>
        </w:rPr>
        <w:t>D</w:t>
      </w:r>
      <w:r w:rsidR="00A647FE" w:rsidRPr="00F75739">
        <w:rPr>
          <w:rFonts w:cstheme="minorHAnsi"/>
          <w:b/>
          <w:sz w:val="28"/>
          <w:szCs w:val="28"/>
          <w:lang w:val="fr-CH"/>
        </w:rPr>
        <w:t>é</w:t>
      </w:r>
      <w:r w:rsidRPr="00F75739">
        <w:rPr>
          <w:rFonts w:cstheme="minorHAnsi"/>
          <w:b/>
          <w:sz w:val="28"/>
          <w:szCs w:val="28"/>
          <w:lang w:val="fr-CH"/>
        </w:rPr>
        <w:t xml:space="preserve">cisions </w:t>
      </w:r>
      <w:r w:rsidR="00A647FE" w:rsidRPr="00F75739">
        <w:rPr>
          <w:rFonts w:cstheme="minorHAnsi"/>
          <w:b/>
          <w:sz w:val="28"/>
          <w:szCs w:val="28"/>
          <w:lang w:val="fr-CH"/>
        </w:rPr>
        <w:t>de la</w:t>
      </w:r>
      <w:r w:rsidRPr="00F75739">
        <w:rPr>
          <w:rFonts w:cstheme="minorHAnsi"/>
          <w:b/>
          <w:sz w:val="28"/>
          <w:szCs w:val="28"/>
          <w:lang w:val="fr-CH"/>
        </w:rPr>
        <w:t xml:space="preserve"> 57</w:t>
      </w:r>
      <w:r w:rsidR="00A647FE" w:rsidRPr="00F75739">
        <w:rPr>
          <w:rFonts w:cstheme="minorHAnsi"/>
          <w:b/>
          <w:sz w:val="28"/>
          <w:szCs w:val="28"/>
          <w:vertAlign w:val="superscript"/>
          <w:lang w:val="fr-CH"/>
        </w:rPr>
        <w:t>e</w:t>
      </w:r>
      <w:r w:rsidRPr="00F75739">
        <w:rPr>
          <w:rFonts w:cstheme="minorHAnsi"/>
          <w:b/>
          <w:sz w:val="28"/>
          <w:szCs w:val="28"/>
          <w:lang w:val="fr-CH"/>
        </w:rPr>
        <w:t xml:space="preserve"> </w:t>
      </w:r>
      <w:r w:rsidR="00A647FE" w:rsidRPr="00F75739">
        <w:rPr>
          <w:rFonts w:cstheme="minorHAnsi"/>
          <w:b/>
          <w:sz w:val="28"/>
          <w:szCs w:val="28"/>
          <w:lang w:val="fr-CH"/>
        </w:rPr>
        <w:t>Réunion</w:t>
      </w:r>
      <w:r w:rsidR="00E60B2F">
        <w:rPr>
          <w:rFonts w:cstheme="minorHAnsi"/>
          <w:b/>
          <w:sz w:val="28"/>
          <w:szCs w:val="28"/>
          <w:lang w:val="fr-CH"/>
        </w:rPr>
        <w:t xml:space="preserve"> </w:t>
      </w:r>
      <w:r w:rsidR="00A647FE" w:rsidRPr="00F75739">
        <w:rPr>
          <w:rFonts w:cstheme="minorHAnsi"/>
          <w:b/>
          <w:sz w:val="28"/>
          <w:szCs w:val="28"/>
          <w:lang w:val="fr-CH"/>
        </w:rPr>
        <w:t>du Comité permanent</w:t>
      </w:r>
      <w:r w:rsidR="001436BD" w:rsidRPr="00F75739">
        <w:rPr>
          <w:rFonts w:cstheme="minorHAnsi"/>
          <w:b/>
          <w:sz w:val="28"/>
          <w:szCs w:val="28"/>
          <w:lang w:val="fr-CH"/>
        </w:rPr>
        <w:t xml:space="preserve"> </w:t>
      </w:r>
      <w:r w:rsidR="001436BD" w:rsidRPr="00F75739">
        <w:rPr>
          <w:rFonts w:cstheme="minorHAnsi"/>
          <w:b/>
          <w:sz w:val="28"/>
          <w:szCs w:val="28"/>
          <w:lang w:val="fr-CH"/>
        </w:rPr>
        <w:br/>
      </w:r>
    </w:p>
    <w:p w14:paraId="14B1F1BD" w14:textId="77777777" w:rsidR="00135706" w:rsidRPr="000F4D61" w:rsidRDefault="00135706" w:rsidP="00D13385">
      <w:pPr>
        <w:spacing w:after="0" w:line="240" w:lineRule="auto"/>
        <w:rPr>
          <w:rFonts w:cstheme="minorHAnsi"/>
          <w:lang w:val="fr-CH"/>
        </w:rPr>
      </w:pPr>
    </w:p>
    <w:p w14:paraId="78E1AD20" w14:textId="77777777" w:rsidR="005A4B27" w:rsidRPr="000F4D61" w:rsidRDefault="00491106"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2 de l’ordre du jour </w:t>
      </w:r>
      <w:r w:rsidR="005A4B27" w:rsidRPr="000F4D61">
        <w:rPr>
          <w:rFonts w:cstheme="minorHAnsi"/>
          <w:bCs/>
          <w:lang w:val="fr-CH"/>
        </w:rPr>
        <w:t xml:space="preserve">: Adoption </w:t>
      </w:r>
      <w:r w:rsidRPr="000F4D61">
        <w:rPr>
          <w:rFonts w:cstheme="minorHAnsi"/>
          <w:bCs/>
          <w:lang w:val="fr-CH"/>
        </w:rPr>
        <w:t>de l’ordre du jour provisoire</w:t>
      </w:r>
    </w:p>
    <w:p w14:paraId="14FDAACD" w14:textId="77777777" w:rsidR="0017411A" w:rsidRPr="000F4D61" w:rsidRDefault="0017411A" w:rsidP="00D13385">
      <w:pPr>
        <w:spacing w:after="0" w:line="240" w:lineRule="auto"/>
        <w:ind w:left="425" w:hanging="425"/>
        <w:rPr>
          <w:rFonts w:eastAsia="Calibri" w:cstheme="minorHAnsi"/>
          <w:bCs/>
          <w:lang w:val="fr-CH"/>
        </w:rPr>
      </w:pPr>
    </w:p>
    <w:p w14:paraId="628E40E7" w14:textId="77777777" w:rsidR="00BF73AC" w:rsidRPr="000F4D61" w:rsidRDefault="0017411A" w:rsidP="00D13385">
      <w:pPr>
        <w:tabs>
          <w:tab w:val="left" w:pos="720"/>
          <w:tab w:val="center" w:pos="4680"/>
        </w:tabs>
        <w:spacing w:after="0" w:line="240" w:lineRule="auto"/>
        <w:contextualSpacing/>
        <w:rPr>
          <w:rFonts w:cstheme="minorHAnsi"/>
          <w:b/>
          <w:lang w:val="fr-CH"/>
        </w:rPr>
      </w:pPr>
      <w:r w:rsidRPr="000F4D61">
        <w:rPr>
          <w:rFonts w:cstheme="minorHAnsi"/>
          <w:b/>
          <w:lang w:val="fr-CH"/>
        </w:rPr>
        <w:t>D</w:t>
      </w:r>
      <w:r w:rsidR="00491106" w:rsidRPr="000F4D61">
        <w:rPr>
          <w:rFonts w:cstheme="minorHAnsi"/>
          <w:b/>
          <w:lang w:val="fr-CH"/>
        </w:rPr>
        <w:t>é</w:t>
      </w:r>
      <w:r w:rsidRPr="000F4D61">
        <w:rPr>
          <w:rFonts w:cstheme="minorHAnsi"/>
          <w:b/>
          <w:lang w:val="fr-CH"/>
        </w:rPr>
        <w:t>cision SC57-01</w:t>
      </w:r>
      <w:r w:rsidR="00491106" w:rsidRPr="000F4D61">
        <w:rPr>
          <w:rFonts w:cstheme="minorHAnsi"/>
          <w:b/>
          <w:lang w:val="fr-CH"/>
        </w:rPr>
        <w:t xml:space="preserve"> </w:t>
      </w:r>
      <w:r w:rsidRPr="000F4D61">
        <w:rPr>
          <w:rFonts w:cstheme="minorHAnsi"/>
          <w:b/>
          <w:lang w:val="fr-CH"/>
        </w:rPr>
        <w:t xml:space="preserve">: </w:t>
      </w:r>
      <w:r w:rsidR="00491106" w:rsidRPr="000F4D61">
        <w:rPr>
          <w:rFonts w:cstheme="minorHAnsi"/>
          <w:b/>
          <w:lang w:val="fr-CH"/>
        </w:rPr>
        <w:t>Le Comité permanent adopte l’ordre du jour provisoire avec les amendements proposés</w:t>
      </w:r>
      <w:r w:rsidRPr="000F4D61">
        <w:rPr>
          <w:rFonts w:cstheme="minorHAnsi"/>
          <w:b/>
          <w:lang w:val="fr-CH"/>
        </w:rPr>
        <w:t xml:space="preserve">, </w:t>
      </w:r>
      <w:r w:rsidR="00491106" w:rsidRPr="000F4D61">
        <w:rPr>
          <w:rFonts w:cstheme="minorHAnsi"/>
          <w:b/>
          <w:lang w:val="fr-CH"/>
        </w:rPr>
        <w:t>figurant dans le</w:t>
      </w:r>
      <w:r w:rsidR="00B27D50" w:rsidRPr="000F4D61">
        <w:rPr>
          <w:rFonts w:cstheme="minorHAnsi"/>
          <w:b/>
          <w:lang w:val="fr-CH"/>
        </w:rPr>
        <w:t xml:space="preserve"> doc</w:t>
      </w:r>
      <w:r w:rsidRPr="000F4D61">
        <w:rPr>
          <w:rFonts w:cstheme="minorHAnsi"/>
          <w:b/>
          <w:lang w:val="fr-CH"/>
        </w:rPr>
        <w:t xml:space="preserve">ument </w:t>
      </w:r>
      <w:r w:rsidR="00B27D50" w:rsidRPr="000F4D61">
        <w:rPr>
          <w:rFonts w:cstheme="minorHAnsi"/>
          <w:b/>
          <w:lang w:val="fr-CH"/>
        </w:rPr>
        <w:t>SC57 Doc.2 Rev.2.</w:t>
      </w:r>
    </w:p>
    <w:p w14:paraId="065CD43C" w14:textId="77777777" w:rsidR="0017411A" w:rsidRPr="000F4D61" w:rsidRDefault="0017411A" w:rsidP="00D13385">
      <w:pPr>
        <w:tabs>
          <w:tab w:val="left" w:pos="720"/>
          <w:tab w:val="center" w:pos="4680"/>
        </w:tabs>
        <w:spacing w:after="0" w:line="240" w:lineRule="auto"/>
        <w:contextualSpacing/>
        <w:rPr>
          <w:rFonts w:cstheme="minorHAnsi"/>
          <w:lang w:val="fr-CH"/>
        </w:rPr>
      </w:pPr>
    </w:p>
    <w:p w14:paraId="3246AE01" w14:textId="77777777" w:rsidR="0024341A" w:rsidRPr="000F4D61" w:rsidRDefault="00491106" w:rsidP="00D1338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3 de l’ordre du jour </w:t>
      </w:r>
      <w:r w:rsidR="0024341A" w:rsidRPr="000F4D61">
        <w:rPr>
          <w:rFonts w:cstheme="minorHAnsi"/>
          <w:bCs/>
          <w:lang w:val="fr-CH"/>
        </w:rPr>
        <w:t xml:space="preserve">: Adoption </w:t>
      </w:r>
      <w:r w:rsidRPr="000F4D61">
        <w:rPr>
          <w:rFonts w:cstheme="minorHAnsi"/>
          <w:bCs/>
          <w:lang w:val="fr-CH"/>
        </w:rPr>
        <w:t>du programme de travail provisoire</w:t>
      </w:r>
    </w:p>
    <w:p w14:paraId="62C5D508" w14:textId="77777777" w:rsidR="0024341A" w:rsidRPr="000F4D61" w:rsidRDefault="0024341A" w:rsidP="00D13385">
      <w:pPr>
        <w:spacing w:after="0" w:line="240" w:lineRule="auto"/>
        <w:rPr>
          <w:rFonts w:cstheme="minorHAnsi"/>
          <w:lang w:val="fr-CH"/>
        </w:rPr>
      </w:pPr>
    </w:p>
    <w:p w14:paraId="5A8A8CEA" w14:textId="77777777" w:rsidR="0024341A" w:rsidRPr="000F4D61" w:rsidRDefault="0024341A" w:rsidP="00D13385">
      <w:pPr>
        <w:tabs>
          <w:tab w:val="center" w:pos="4680"/>
        </w:tabs>
        <w:spacing w:after="0" w:line="240" w:lineRule="auto"/>
        <w:contextualSpacing/>
        <w:rPr>
          <w:rFonts w:cstheme="minorHAnsi"/>
          <w:b/>
          <w:lang w:val="fr-CH"/>
        </w:rPr>
      </w:pPr>
      <w:r w:rsidRPr="000F4D61">
        <w:rPr>
          <w:rFonts w:cstheme="minorHAnsi"/>
          <w:b/>
          <w:lang w:val="fr-CH"/>
        </w:rPr>
        <w:t>D</w:t>
      </w:r>
      <w:r w:rsidR="00EF65AB" w:rsidRPr="000F4D61">
        <w:rPr>
          <w:rFonts w:cstheme="minorHAnsi"/>
          <w:b/>
          <w:lang w:val="fr-CH"/>
        </w:rPr>
        <w:t>é</w:t>
      </w:r>
      <w:r w:rsidRPr="000F4D61">
        <w:rPr>
          <w:rFonts w:cstheme="minorHAnsi"/>
          <w:b/>
          <w:lang w:val="fr-CH"/>
        </w:rPr>
        <w:t>cision SC57-02</w:t>
      </w:r>
      <w:r w:rsidR="00EF65AB" w:rsidRPr="000F4D61">
        <w:rPr>
          <w:rFonts w:cstheme="minorHAnsi"/>
          <w:b/>
          <w:lang w:val="fr-CH"/>
        </w:rPr>
        <w:t xml:space="preserve"> </w:t>
      </w:r>
      <w:r w:rsidRPr="000F4D61">
        <w:rPr>
          <w:rFonts w:cstheme="minorHAnsi"/>
          <w:b/>
          <w:lang w:val="fr-CH"/>
        </w:rPr>
        <w:t xml:space="preserve">: </w:t>
      </w:r>
      <w:r w:rsidR="00EF65AB" w:rsidRPr="000F4D61">
        <w:rPr>
          <w:rFonts w:cstheme="minorHAnsi"/>
          <w:b/>
          <w:lang w:val="fr-CH"/>
        </w:rPr>
        <w:t>Le Comité permanent adopte le programme de travail provisoire avec les amendements proposés, figurant dans le</w:t>
      </w:r>
      <w:r w:rsidRPr="000F4D61">
        <w:rPr>
          <w:rFonts w:cstheme="minorHAnsi"/>
          <w:b/>
          <w:lang w:val="fr-CH"/>
        </w:rPr>
        <w:t xml:space="preserve"> document SC57 Doc.3 Rev.1.</w:t>
      </w:r>
    </w:p>
    <w:p w14:paraId="104CD443" w14:textId="77777777" w:rsidR="0024341A" w:rsidRPr="000F4D61" w:rsidRDefault="0024341A" w:rsidP="00D13385">
      <w:pPr>
        <w:tabs>
          <w:tab w:val="left" w:pos="720"/>
          <w:tab w:val="center" w:pos="4680"/>
        </w:tabs>
        <w:spacing w:after="0" w:line="240" w:lineRule="auto"/>
        <w:rPr>
          <w:rFonts w:cstheme="minorHAnsi"/>
          <w:bCs/>
          <w:lang w:val="fr-CH"/>
        </w:rPr>
      </w:pPr>
    </w:p>
    <w:p w14:paraId="6E77CD5A" w14:textId="77777777" w:rsidR="0024341A" w:rsidRPr="000F4D61" w:rsidRDefault="00EF65AB"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4 de l’ordre du jour </w:t>
      </w:r>
      <w:r w:rsidR="0024341A" w:rsidRPr="000F4D61">
        <w:rPr>
          <w:rFonts w:cstheme="minorHAnsi"/>
          <w:bCs/>
          <w:lang w:val="fr-CH"/>
        </w:rPr>
        <w:t xml:space="preserve">: Admission </w:t>
      </w:r>
      <w:r w:rsidRPr="000F4D61">
        <w:rPr>
          <w:rFonts w:cstheme="minorHAnsi"/>
          <w:bCs/>
          <w:lang w:val="fr-CH"/>
        </w:rPr>
        <w:t xml:space="preserve">des </w:t>
      </w:r>
      <w:r w:rsidR="0024341A" w:rsidRPr="000F4D61">
        <w:rPr>
          <w:rFonts w:cstheme="minorHAnsi"/>
          <w:bCs/>
          <w:lang w:val="fr-CH"/>
        </w:rPr>
        <w:t>observ</w:t>
      </w:r>
      <w:r w:rsidRPr="000F4D61">
        <w:rPr>
          <w:rFonts w:cstheme="minorHAnsi"/>
          <w:bCs/>
          <w:lang w:val="fr-CH"/>
        </w:rPr>
        <w:t>at</w:t>
      </w:r>
      <w:r w:rsidR="0024341A" w:rsidRPr="000F4D61">
        <w:rPr>
          <w:rFonts w:cstheme="minorHAnsi"/>
          <w:bCs/>
          <w:lang w:val="fr-CH"/>
        </w:rPr>
        <w:t>e</w:t>
      </w:r>
      <w:r w:rsidRPr="000F4D61">
        <w:rPr>
          <w:rFonts w:cstheme="minorHAnsi"/>
          <w:bCs/>
          <w:lang w:val="fr-CH"/>
        </w:rPr>
        <w:t>u</w:t>
      </w:r>
      <w:r w:rsidR="0024341A" w:rsidRPr="000F4D61">
        <w:rPr>
          <w:rFonts w:cstheme="minorHAnsi"/>
          <w:bCs/>
          <w:lang w:val="fr-CH"/>
        </w:rPr>
        <w:t>rs</w:t>
      </w:r>
    </w:p>
    <w:p w14:paraId="151A8BE9" w14:textId="77777777" w:rsidR="00D20B2A" w:rsidRPr="000F4D61" w:rsidRDefault="00D20B2A" w:rsidP="00D13385">
      <w:pPr>
        <w:spacing w:after="0" w:line="240" w:lineRule="auto"/>
        <w:rPr>
          <w:rFonts w:cstheme="minorHAnsi"/>
          <w:lang w:val="fr-CH"/>
        </w:rPr>
      </w:pPr>
    </w:p>
    <w:p w14:paraId="36763028" w14:textId="77777777" w:rsidR="00D20B2A" w:rsidRPr="000F4D61" w:rsidRDefault="00D20B2A" w:rsidP="00D13385">
      <w:pPr>
        <w:spacing w:after="0" w:line="240" w:lineRule="auto"/>
        <w:contextualSpacing/>
        <w:rPr>
          <w:rFonts w:cstheme="minorHAnsi"/>
          <w:b/>
          <w:lang w:val="fr-CH"/>
        </w:rPr>
      </w:pPr>
      <w:r w:rsidRPr="000F4D61">
        <w:rPr>
          <w:rFonts w:cstheme="minorHAnsi"/>
          <w:b/>
          <w:lang w:val="fr-CH"/>
        </w:rPr>
        <w:t>D</w:t>
      </w:r>
      <w:r w:rsidR="00EF65AB" w:rsidRPr="000F4D61">
        <w:rPr>
          <w:rFonts w:cstheme="minorHAnsi"/>
          <w:b/>
          <w:lang w:val="fr-CH"/>
        </w:rPr>
        <w:t>é</w:t>
      </w:r>
      <w:r w:rsidRPr="000F4D61">
        <w:rPr>
          <w:rFonts w:cstheme="minorHAnsi"/>
          <w:b/>
          <w:lang w:val="fr-CH"/>
        </w:rPr>
        <w:t>cision SC57-03</w:t>
      </w:r>
      <w:r w:rsidR="00EF65AB" w:rsidRPr="000F4D61">
        <w:rPr>
          <w:rFonts w:cstheme="minorHAnsi"/>
          <w:b/>
          <w:lang w:val="fr-CH"/>
        </w:rPr>
        <w:t xml:space="preserve"> </w:t>
      </w:r>
      <w:r w:rsidRPr="000F4D61">
        <w:rPr>
          <w:rFonts w:cstheme="minorHAnsi"/>
          <w:b/>
          <w:lang w:val="fr-CH"/>
        </w:rPr>
        <w:t xml:space="preserve">: </w:t>
      </w:r>
      <w:r w:rsidR="00EF65AB" w:rsidRPr="000F4D61">
        <w:rPr>
          <w:rFonts w:cstheme="minorHAnsi"/>
          <w:b/>
          <w:lang w:val="fr-CH"/>
        </w:rPr>
        <w:t xml:space="preserve">Le Comité permanent </w:t>
      </w:r>
      <w:r w:rsidRPr="000F4D61">
        <w:rPr>
          <w:rFonts w:cstheme="minorHAnsi"/>
          <w:b/>
          <w:lang w:val="fr-CH"/>
        </w:rPr>
        <w:t>adm</w:t>
      </w:r>
      <w:r w:rsidR="00EF65AB" w:rsidRPr="000F4D61">
        <w:rPr>
          <w:rFonts w:cstheme="minorHAnsi"/>
          <w:b/>
          <w:lang w:val="fr-CH"/>
        </w:rPr>
        <w:t>et</w:t>
      </w:r>
      <w:r w:rsidRPr="000F4D61">
        <w:rPr>
          <w:rFonts w:cstheme="minorHAnsi"/>
          <w:b/>
          <w:lang w:val="fr-CH"/>
        </w:rPr>
        <w:t xml:space="preserve"> </w:t>
      </w:r>
      <w:r w:rsidR="00EF65AB" w:rsidRPr="000F4D61">
        <w:rPr>
          <w:rFonts w:cstheme="minorHAnsi"/>
          <w:b/>
          <w:lang w:val="fr-CH"/>
        </w:rPr>
        <w:t>les</w:t>
      </w:r>
      <w:r w:rsidRPr="000F4D61">
        <w:rPr>
          <w:rFonts w:cstheme="minorHAnsi"/>
          <w:b/>
          <w:lang w:val="fr-CH"/>
        </w:rPr>
        <w:t xml:space="preserve"> observ</w:t>
      </w:r>
      <w:r w:rsidR="00EF65AB" w:rsidRPr="000F4D61">
        <w:rPr>
          <w:rFonts w:cstheme="minorHAnsi"/>
          <w:b/>
          <w:lang w:val="fr-CH"/>
        </w:rPr>
        <w:t>at</w:t>
      </w:r>
      <w:r w:rsidRPr="000F4D61">
        <w:rPr>
          <w:rFonts w:cstheme="minorHAnsi"/>
          <w:b/>
          <w:lang w:val="fr-CH"/>
        </w:rPr>
        <w:t>e</w:t>
      </w:r>
      <w:r w:rsidR="00EF65AB" w:rsidRPr="000F4D61">
        <w:rPr>
          <w:rFonts w:cstheme="minorHAnsi"/>
          <w:b/>
          <w:lang w:val="fr-CH"/>
        </w:rPr>
        <w:t>u</w:t>
      </w:r>
      <w:r w:rsidRPr="000F4D61">
        <w:rPr>
          <w:rFonts w:cstheme="minorHAnsi"/>
          <w:b/>
          <w:lang w:val="fr-CH"/>
        </w:rPr>
        <w:t xml:space="preserve">rs </w:t>
      </w:r>
      <w:r w:rsidR="00EF65AB" w:rsidRPr="000F4D61">
        <w:rPr>
          <w:rFonts w:cstheme="minorHAnsi"/>
          <w:b/>
          <w:lang w:val="fr-CH"/>
        </w:rPr>
        <w:t>énumérés dans le</w:t>
      </w:r>
      <w:r w:rsidRPr="000F4D61">
        <w:rPr>
          <w:rFonts w:cstheme="minorHAnsi"/>
          <w:b/>
          <w:lang w:val="fr-CH"/>
        </w:rPr>
        <w:t xml:space="preserve"> </w:t>
      </w:r>
      <w:r w:rsidR="00294A7E" w:rsidRPr="000F4D61">
        <w:rPr>
          <w:rFonts w:cstheme="minorHAnsi"/>
          <w:b/>
          <w:lang w:val="fr-CH"/>
        </w:rPr>
        <w:t>document SC57</w:t>
      </w:r>
      <w:r w:rsidR="00DF479C" w:rsidRPr="000F4D61">
        <w:rPr>
          <w:rFonts w:cstheme="minorHAnsi"/>
          <w:b/>
          <w:lang w:val="fr-CH"/>
        </w:rPr>
        <w:t> </w:t>
      </w:r>
      <w:r w:rsidR="00294A7E" w:rsidRPr="000F4D61">
        <w:rPr>
          <w:rFonts w:cstheme="minorHAnsi"/>
          <w:b/>
          <w:lang w:val="fr-CH"/>
        </w:rPr>
        <w:t>Doc.</w:t>
      </w:r>
      <w:r w:rsidRPr="000F4D61">
        <w:rPr>
          <w:rFonts w:cstheme="minorHAnsi"/>
          <w:b/>
          <w:lang w:val="fr-CH"/>
        </w:rPr>
        <w:t>4.</w:t>
      </w:r>
    </w:p>
    <w:p w14:paraId="047D2D08" w14:textId="77777777" w:rsidR="00294A7E" w:rsidRPr="000F4D61" w:rsidRDefault="00294A7E" w:rsidP="00D13385">
      <w:pPr>
        <w:spacing w:after="0" w:line="240" w:lineRule="auto"/>
        <w:rPr>
          <w:rFonts w:cstheme="minorHAnsi"/>
          <w:lang w:val="fr-CH"/>
        </w:rPr>
      </w:pPr>
    </w:p>
    <w:p w14:paraId="51354A65" w14:textId="77777777" w:rsidR="00294A7E" w:rsidRPr="000F4D61" w:rsidRDefault="00EF65AB" w:rsidP="00D13385">
      <w:pPr>
        <w:keepNext/>
        <w:keepLines/>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w:t>
      </w:r>
      <w:r w:rsidR="00E864B5" w:rsidRPr="000F4D61">
        <w:rPr>
          <w:rFonts w:cstheme="minorHAnsi"/>
          <w:bCs/>
          <w:lang w:val="fr-CH"/>
        </w:rPr>
        <w:t>6</w:t>
      </w:r>
      <w:r w:rsidRPr="000F4D61">
        <w:rPr>
          <w:rFonts w:cstheme="minorHAnsi"/>
          <w:bCs/>
          <w:lang w:val="fr-CH"/>
        </w:rPr>
        <w:t xml:space="preserve"> de l’ordre du jour </w:t>
      </w:r>
      <w:r w:rsidR="00294A7E" w:rsidRPr="000F4D61">
        <w:rPr>
          <w:rFonts w:cstheme="minorHAnsi"/>
          <w:bCs/>
          <w:lang w:val="fr-CH"/>
        </w:rPr>
        <w:t>: R</w:t>
      </w:r>
      <w:r w:rsidRPr="000F4D61">
        <w:rPr>
          <w:rFonts w:cstheme="minorHAnsi"/>
          <w:bCs/>
          <w:lang w:val="fr-CH"/>
        </w:rPr>
        <w:t>ap</w:t>
      </w:r>
      <w:r w:rsidR="00294A7E" w:rsidRPr="000F4D61">
        <w:rPr>
          <w:rFonts w:cstheme="minorHAnsi"/>
          <w:bCs/>
          <w:lang w:val="fr-CH"/>
        </w:rPr>
        <w:t xml:space="preserve">port </w:t>
      </w:r>
      <w:r w:rsidRPr="000F4D61">
        <w:rPr>
          <w:rFonts w:cstheme="minorHAnsi"/>
          <w:bCs/>
          <w:lang w:val="fr-CH"/>
        </w:rPr>
        <w:t>du Groupe de travail sur la gestion</w:t>
      </w:r>
    </w:p>
    <w:p w14:paraId="722FFA15" w14:textId="77777777" w:rsidR="00747705" w:rsidRPr="000F4D61" w:rsidRDefault="00747705" w:rsidP="00D13385">
      <w:pPr>
        <w:spacing w:after="0" w:line="240" w:lineRule="auto"/>
        <w:ind w:left="425" w:hanging="425"/>
        <w:rPr>
          <w:rFonts w:eastAsia="Calibri" w:cstheme="minorHAnsi"/>
          <w:bCs/>
          <w:lang w:val="fr-CH"/>
        </w:rPr>
      </w:pPr>
    </w:p>
    <w:p w14:paraId="3599F0A4" w14:textId="77777777" w:rsidR="00747705" w:rsidRPr="000F4D61" w:rsidRDefault="00747705" w:rsidP="00D13385">
      <w:pPr>
        <w:tabs>
          <w:tab w:val="center" w:pos="4680"/>
        </w:tabs>
        <w:spacing w:after="0" w:line="240" w:lineRule="auto"/>
        <w:contextualSpacing/>
        <w:rPr>
          <w:rFonts w:cstheme="minorHAnsi"/>
          <w:b/>
          <w:lang w:val="fr-CH"/>
        </w:rPr>
      </w:pPr>
      <w:r w:rsidRPr="000F4D61">
        <w:rPr>
          <w:rFonts w:cstheme="minorHAnsi"/>
          <w:b/>
          <w:lang w:val="fr-CH"/>
        </w:rPr>
        <w:t>D</w:t>
      </w:r>
      <w:r w:rsidR="00EF65AB" w:rsidRPr="000F4D61">
        <w:rPr>
          <w:rFonts w:cstheme="minorHAnsi"/>
          <w:b/>
          <w:lang w:val="fr-CH"/>
        </w:rPr>
        <w:t>é</w:t>
      </w:r>
      <w:r w:rsidRPr="000F4D61">
        <w:rPr>
          <w:rFonts w:cstheme="minorHAnsi"/>
          <w:b/>
          <w:lang w:val="fr-CH"/>
        </w:rPr>
        <w:t>cision SC57-0</w:t>
      </w:r>
      <w:r w:rsidR="00FA5729" w:rsidRPr="000F4D61">
        <w:rPr>
          <w:rFonts w:cstheme="minorHAnsi"/>
          <w:b/>
          <w:lang w:val="fr-CH"/>
        </w:rPr>
        <w:t>4</w:t>
      </w:r>
      <w:r w:rsidR="006A766F" w:rsidRPr="000F4D61">
        <w:rPr>
          <w:rFonts w:cstheme="minorHAnsi"/>
          <w:b/>
          <w:lang w:val="fr-CH"/>
        </w:rPr>
        <w:t xml:space="preserve"> </w:t>
      </w:r>
      <w:r w:rsidRPr="000F4D61">
        <w:rPr>
          <w:rFonts w:cstheme="minorHAnsi"/>
          <w:b/>
          <w:lang w:val="fr-CH"/>
        </w:rPr>
        <w:t xml:space="preserve">: </w:t>
      </w:r>
      <w:r w:rsidR="00AE0918" w:rsidRPr="000F4D61">
        <w:rPr>
          <w:rFonts w:cstheme="minorHAnsi"/>
          <w:b/>
          <w:lang w:val="fr-CH"/>
        </w:rPr>
        <w:t xml:space="preserve">Le Comité permanent </w:t>
      </w:r>
      <w:r w:rsidRPr="000F4D61">
        <w:rPr>
          <w:rFonts w:cstheme="minorHAnsi"/>
          <w:b/>
          <w:lang w:val="fr-CH"/>
        </w:rPr>
        <w:t>appro</w:t>
      </w:r>
      <w:r w:rsidR="00AE0918" w:rsidRPr="000F4D61">
        <w:rPr>
          <w:rFonts w:cstheme="minorHAnsi"/>
          <w:b/>
          <w:lang w:val="fr-CH"/>
        </w:rPr>
        <w:t>u</w:t>
      </w:r>
      <w:r w:rsidRPr="000F4D61">
        <w:rPr>
          <w:rFonts w:cstheme="minorHAnsi"/>
          <w:b/>
          <w:lang w:val="fr-CH"/>
        </w:rPr>
        <w:t xml:space="preserve">ve </w:t>
      </w:r>
      <w:r w:rsidR="00AE0918" w:rsidRPr="000F4D61">
        <w:rPr>
          <w:rFonts w:cstheme="minorHAnsi"/>
          <w:b/>
          <w:lang w:val="fr-CH"/>
        </w:rPr>
        <w:t>la</w:t>
      </w:r>
      <w:r w:rsidRPr="000F4D61">
        <w:rPr>
          <w:rFonts w:cstheme="minorHAnsi"/>
          <w:b/>
          <w:lang w:val="fr-CH"/>
        </w:rPr>
        <w:t xml:space="preserve"> nomination </w:t>
      </w:r>
      <w:r w:rsidR="00AE0918" w:rsidRPr="000F4D61">
        <w:rPr>
          <w:rFonts w:cstheme="minorHAnsi"/>
          <w:b/>
          <w:lang w:val="fr-CH"/>
        </w:rPr>
        <w:t xml:space="preserve">des membres suivants du Groupe de surveillance des activités de CESP </w:t>
      </w:r>
      <w:r w:rsidRPr="000F4D61">
        <w:rPr>
          <w:rFonts w:cstheme="minorHAnsi"/>
          <w:b/>
          <w:lang w:val="fr-CH"/>
        </w:rPr>
        <w:t>:</w:t>
      </w:r>
    </w:p>
    <w:p w14:paraId="6DB1848A" w14:textId="77777777" w:rsidR="00747705" w:rsidRPr="000F4D61" w:rsidRDefault="00AE0918"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 xml:space="preserve">Présidence </w:t>
      </w:r>
      <w:r w:rsidR="00747705" w:rsidRPr="000F4D61">
        <w:rPr>
          <w:rFonts w:cstheme="minorHAnsi"/>
          <w:b/>
          <w:lang w:val="fr-CH"/>
        </w:rPr>
        <w:t>: S</w:t>
      </w:r>
      <w:r w:rsidRPr="000F4D61">
        <w:rPr>
          <w:rFonts w:cstheme="minorHAnsi"/>
          <w:b/>
          <w:lang w:val="fr-CH"/>
        </w:rPr>
        <w:t>uède</w:t>
      </w:r>
      <w:r w:rsidR="00747705" w:rsidRPr="000F4D61">
        <w:rPr>
          <w:rFonts w:cstheme="minorHAnsi"/>
          <w:b/>
          <w:lang w:val="fr-CH"/>
        </w:rPr>
        <w:t xml:space="preserve"> (</w:t>
      </w:r>
      <w:r w:rsidR="006A766F" w:rsidRPr="000F4D61">
        <w:rPr>
          <w:rFonts w:cstheme="minorHAnsi"/>
          <w:b/>
          <w:lang w:val="fr-CH"/>
        </w:rPr>
        <w:t>titulaire de</w:t>
      </w:r>
      <w:r w:rsidRPr="000F4D61">
        <w:rPr>
          <w:rFonts w:cstheme="minorHAnsi"/>
          <w:b/>
          <w:lang w:val="fr-CH"/>
        </w:rPr>
        <w:t xml:space="preserve"> la vice-présidence du Comité permanent</w:t>
      </w:r>
      <w:r w:rsidR="00747705" w:rsidRPr="000F4D61">
        <w:rPr>
          <w:rFonts w:cstheme="minorHAnsi"/>
          <w:b/>
          <w:lang w:val="fr-CH"/>
        </w:rPr>
        <w:t>)</w:t>
      </w:r>
      <w:r w:rsidRPr="000F4D61">
        <w:rPr>
          <w:rFonts w:cstheme="minorHAnsi"/>
          <w:b/>
          <w:lang w:val="fr-CH"/>
        </w:rPr>
        <w:t xml:space="preserve"> </w:t>
      </w:r>
      <w:r w:rsidR="00747705" w:rsidRPr="000F4D61">
        <w:rPr>
          <w:rFonts w:cstheme="minorHAnsi"/>
          <w:b/>
          <w:lang w:val="fr-CH"/>
        </w:rPr>
        <w:t>;</w:t>
      </w:r>
    </w:p>
    <w:p w14:paraId="4E368E7B" w14:textId="77777777" w:rsidR="00747705" w:rsidRPr="000F4D61" w:rsidRDefault="00AE0918"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 xml:space="preserve">Vice-présidence </w:t>
      </w:r>
      <w:r w:rsidR="00747705" w:rsidRPr="000F4D61">
        <w:rPr>
          <w:rFonts w:cstheme="minorHAnsi"/>
          <w:b/>
          <w:lang w:val="fr-CH"/>
        </w:rPr>
        <w:t xml:space="preserve">: </w:t>
      </w:r>
      <w:r w:rsidR="00F64F19" w:rsidRPr="000F4D61">
        <w:rPr>
          <w:rFonts w:cstheme="minorHAnsi"/>
          <w:b/>
          <w:lang w:val="fr-CH"/>
        </w:rPr>
        <w:t>V</w:t>
      </w:r>
      <w:r w:rsidRPr="000F4D61">
        <w:rPr>
          <w:rFonts w:cstheme="minorHAnsi"/>
          <w:b/>
          <w:lang w:val="fr-CH"/>
        </w:rPr>
        <w:t>ice-présiden</w:t>
      </w:r>
      <w:r w:rsidR="00F64F19" w:rsidRPr="000F4D61">
        <w:rPr>
          <w:rFonts w:cstheme="minorHAnsi"/>
          <w:b/>
          <w:lang w:val="fr-CH"/>
        </w:rPr>
        <w:t>t</w:t>
      </w:r>
      <w:r w:rsidRPr="000F4D61">
        <w:rPr>
          <w:rFonts w:cstheme="minorHAnsi"/>
          <w:b/>
          <w:lang w:val="fr-CH"/>
        </w:rPr>
        <w:t>e du Groupe d’évaluation scientifique et technique</w:t>
      </w:r>
      <w:r w:rsidR="00747705" w:rsidRPr="000F4D61">
        <w:rPr>
          <w:rFonts w:cstheme="minorHAnsi"/>
          <w:b/>
          <w:lang w:val="fr-CH"/>
        </w:rPr>
        <w:t>)</w:t>
      </w:r>
      <w:r w:rsidRPr="000F4D61">
        <w:rPr>
          <w:rFonts w:cstheme="minorHAnsi"/>
          <w:b/>
          <w:lang w:val="fr-CH"/>
        </w:rPr>
        <w:t xml:space="preserve"> </w:t>
      </w:r>
      <w:r w:rsidR="00747705" w:rsidRPr="000F4D61">
        <w:rPr>
          <w:rFonts w:cstheme="minorHAnsi"/>
          <w:b/>
          <w:lang w:val="fr-CH"/>
        </w:rPr>
        <w:t>;</w:t>
      </w:r>
    </w:p>
    <w:p w14:paraId="1E04D156" w14:textId="77777777" w:rsidR="00AE0918" w:rsidRPr="000F4D61" w:rsidRDefault="00747705"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Australi</w:t>
      </w:r>
      <w:r w:rsidR="00AE0918" w:rsidRPr="000F4D61">
        <w:rPr>
          <w:rFonts w:cstheme="minorHAnsi"/>
          <w:b/>
          <w:lang w:val="fr-CH"/>
        </w:rPr>
        <w:t xml:space="preserve">e </w:t>
      </w:r>
      <w:r w:rsidRPr="000F4D61">
        <w:rPr>
          <w:rFonts w:cstheme="minorHAnsi"/>
          <w:b/>
          <w:lang w:val="fr-CH"/>
        </w:rPr>
        <w:t>;</w:t>
      </w:r>
    </w:p>
    <w:p w14:paraId="39DFA31D" w14:textId="77777777" w:rsidR="00747705" w:rsidRPr="000F4D61" w:rsidRDefault="00AE0918"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États-Unis d’Amérique ;</w:t>
      </w:r>
      <w:r w:rsidR="00747705" w:rsidRPr="000F4D61">
        <w:rPr>
          <w:rFonts w:cstheme="minorHAnsi"/>
          <w:b/>
          <w:lang w:val="fr-CH"/>
        </w:rPr>
        <w:t xml:space="preserve"> </w:t>
      </w:r>
    </w:p>
    <w:p w14:paraId="53816554" w14:textId="77777777" w:rsidR="00747705" w:rsidRPr="000F4D61" w:rsidRDefault="00747705"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Honduras</w:t>
      </w:r>
      <w:r w:rsidR="00AE0918" w:rsidRPr="000F4D61">
        <w:rPr>
          <w:rFonts w:cstheme="minorHAnsi"/>
          <w:b/>
          <w:lang w:val="fr-CH"/>
        </w:rPr>
        <w:t xml:space="preserve"> </w:t>
      </w:r>
      <w:r w:rsidRPr="000F4D61">
        <w:rPr>
          <w:rFonts w:cstheme="minorHAnsi"/>
          <w:b/>
          <w:lang w:val="fr-CH"/>
        </w:rPr>
        <w:t xml:space="preserve">; </w:t>
      </w:r>
    </w:p>
    <w:p w14:paraId="26192088" w14:textId="77777777" w:rsidR="00747705" w:rsidRPr="000F4D61" w:rsidRDefault="00747705"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N</w:t>
      </w:r>
      <w:r w:rsidR="00AE0918" w:rsidRPr="000F4D61">
        <w:rPr>
          <w:rFonts w:cstheme="minorHAnsi"/>
          <w:b/>
          <w:lang w:val="fr-CH"/>
        </w:rPr>
        <w:t>é</w:t>
      </w:r>
      <w:r w:rsidRPr="000F4D61">
        <w:rPr>
          <w:rFonts w:cstheme="minorHAnsi"/>
          <w:b/>
          <w:lang w:val="fr-CH"/>
        </w:rPr>
        <w:t>pal</w:t>
      </w:r>
      <w:r w:rsidR="00AE0918" w:rsidRPr="000F4D61">
        <w:rPr>
          <w:rFonts w:cstheme="minorHAnsi"/>
          <w:b/>
          <w:lang w:val="fr-CH"/>
        </w:rPr>
        <w:t xml:space="preserve"> </w:t>
      </w:r>
      <w:r w:rsidRPr="000F4D61">
        <w:rPr>
          <w:rFonts w:cstheme="minorHAnsi"/>
          <w:b/>
          <w:lang w:val="fr-CH"/>
        </w:rPr>
        <w:t xml:space="preserve">; </w:t>
      </w:r>
    </w:p>
    <w:p w14:paraId="2D01D328" w14:textId="77777777" w:rsidR="00747705" w:rsidRPr="000F4D61" w:rsidRDefault="00AE0918"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Ou</w:t>
      </w:r>
      <w:r w:rsidR="00747705" w:rsidRPr="000F4D61">
        <w:rPr>
          <w:rFonts w:cstheme="minorHAnsi"/>
          <w:b/>
          <w:lang w:val="fr-CH"/>
        </w:rPr>
        <w:t>ganda</w:t>
      </w:r>
      <w:r w:rsidRPr="000F4D61">
        <w:rPr>
          <w:rFonts w:cstheme="minorHAnsi"/>
          <w:b/>
          <w:lang w:val="fr-CH"/>
        </w:rPr>
        <w:t xml:space="preserve"> </w:t>
      </w:r>
      <w:r w:rsidR="00747705" w:rsidRPr="000F4D61">
        <w:rPr>
          <w:rFonts w:cstheme="minorHAnsi"/>
          <w:b/>
          <w:lang w:val="fr-CH"/>
        </w:rPr>
        <w:t xml:space="preserve">; </w:t>
      </w:r>
    </w:p>
    <w:p w14:paraId="3A0E5F87" w14:textId="77777777" w:rsidR="00747705" w:rsidRPr="000F4D61" w:rsidRDefault="00747705"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Ukraine</w:t>
      </w:r>
      <w:r w:rsidR="00AE0918" w:rsidRPr="000F4D61">
        <w:rPr>
          <w:rFonts w:cstheme="minorHAnsi"/>
          <w:b/>
          <w:lang w:val="fr-CH"/>
        </w:rPr>
        <w:t xml:space="preserve"> </w:t>
      </w:r>
      <w:r w:rsidRPr="000F4D61">
        <w:rPr>
          <w:rFonts w:cstheme="minorHAnsi"/>
          <w:b/>
          <w:lang w:val="fr-CH"/>
        </w:rPr>
        <w:t xml:space="preserve">; </w:t>
      </w:r>
    </w:p>
    <w:p w14:paraId="54738825" w14:textId="77777777" w:rsidR="00747705" w:rsidRPr="000F4D61" w:rsidRDefault="006A766F"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Correspondants CESP ONG de l’</w:t>
      </w:r>
      <w:r w:rsidR="00747705" w:rsidRPr="000F4D61">
        <w:rPr>
          <w:rFonts w:cstheme="minorHAnsi"/>
          <w:b/>
          <w:lang w:val="fr-CH"/>
        </w:rPr>
        <w:t xml:space="preserve">Iraq </w:t>
      </w:r>
      <w:r w:rsidRPr="000F4D61">
        <w:rPr>
          <w:rFonts w:cstheme="minorHAnsi"/>
          <w:b/>
          <w:lang w:val="fr-CH"/>
        </w:rPr>
        <w:t>et du</w:t>
      </w:r>
      <w:r w:rsidR="00747705" w:rsidRPr="000F4D61">
        <w:rPr>
          <w:rFonts w:cstheme="minorHAnsi"/>
          <w:b/>
          <w:lang w:val="fr-CH"/>
        </w:rPr>
        <w:t xml:space="preserve"> S</w:t>
      </w:r>
      <w:r w:rsidRPr="000F4D61">
        <w:rPr>
          <w:rFonts w:cstheme="minorHAnsi"/>
          <w:b/>
          <w:lang w:val="fr-CH"/>
        </w:rPr>
        <w:t>o</w:t>
      </w:r>
      <w:r w:rsidR="00747705" w:rsidRPr="000F4D61">
        <w:rPr>
          <w:rFonts w:cstheme="minorHAnsi"/>
          <w:b/>
          <w:lang w:val="fr-CH"/>
        </w:rPr>
        <w:t>udan</w:t>
      </w:r>
      <w:r w:rsidRPr="000F4D61">
        <w:rPr>
          <w:rFonts w:cstheme="minorHAnsi"/>
          <w:b/>
          <w:lang w:val="fr-CH"/>
        </w:rPr>
        <w:t xml:space="preserve"> </w:t>
      </w:r>
      <w:r w:rsidR="00747705" w:rsidRPr="000F4D61">
        <w:rPr>
          <w:rFonts w:cstheme="minorHAnsi"/>
          <w:b/>
          <w:lang w:val="fr-CH"/>
        </w:rPr>
        <w:t xml:space="preserve">; </w:t>
      </w:r>
      <w:r w:rsidRPr="000F4D61">
        <w:rPr>
          <w:rFonts w:cstheme="minorHAnsi"/>
          <w:b/>
          <w:lang w:val="fr-CH"/>
        </w:rPr>
        <w:t>et</w:t>
      </w:r>
      <w:r w:rsidR="00747705" w:rsidRPr="000F4D61">
        <w:rPr>
          <w:rFonts w:cstheme="minorHAnsi"/>
          <w:b/>
          <w:lang w:val="fr-CH"/>
        </w:rPr>
        <w:t xml:space="preserve"> </w:t>
      </w:r>
    </w:p>
    <w:p w14:paraId="6F3AE5EE" w14:textId="77777777" w:rsidR="00747705" w:rsidRPr="000F4D61" w:rsidRDefault="00747705" w:rsidP="00365864">
      <w:pPr>
        <w:pStyle w:val="ListParagraph"/>
        <w:numPr>
          <w:ilvl w:val="0"/>
          <w:numId w:val="1"/>
        </w:numPr>
        <w:spacing w:after="0" w:line="240" w:lineRule="auto"/>
        <w:ind w:left="567" w:hanging="567"/>
        <w:rPr>
          <w:rFonts w:cstheme="minorHAnsi"/>
          <w:b/>
          <w:lang w:val="fr-CH"/>
        </w:rPr>
      </w:pPr>
      <w:r w:rsidRPr="000F4D61">
        <w:rPr>
          <w:rFonts w:cstheme="minorHAnsi"/>
          <w:b/>
          <w:lang w:val="fr-CH"/>
        </w:rPr>
        <w:t>Wildfowl &amp;</w:t>
      </w:r>
      <w:r w:rsidR="006208DD" w:rsidRPr="000F4D61">
        <w:rPr>
          <w:rFonts w:cstheme="minorHAnsi"/>
          <w:b/>
          <w:lang w:val="fr-CH"/>
        </w:rPr>
        <w:t xml:space="preserve"> </w:t>
      </w:r>
      <w:r w:rsidRPr="000F4D61">
        <w:rPr>
          <w:rFonts w:cstheme="minorHAnsi"/>
          <w:b/>
          <w:lang w:val="fr-CH"/>
        </w:rPr>
        <w:t xml:space="preserve">Wetlands Trust </w:t>
      </w:r>
      <w:r w:rsidR="006208DD" w:rsidRPr="000F4D61">
        <w:rPr>
          <w:rFonts w:cstheme="minorHAnsi"/>
          <w:b/>
          <w:lang w:val="fr-CH"/>
        </w:rPr>
        <w:t>(WWT)</w:t>
      </w:r>
      <w:r w:rsidR="006A766F" w:rsidRPr="000F4D61">
        <w:rPr>
          <w:rFonts w:cstheme="minorHAnsi"/>
          <w:b/>
          <w:lang w:val="fr-CH"/>
        </w:rPr>
        <w:t>, comme Organisation internationale partenaire</w:t>
      </w:r>
      <w:r w:rsidRPr="000F4D61">
        <w:rPr>
          <w:rFonts w:cstheme="minorHAnsi"/>
          <w:b/>
          <w:lang w:val="fr-CH"/>
        </w:rPr>
        <w:t xml:space="preserve">. </w:t>
      </w:r>
    </w:p>
    <w:p w14:paraId="4193CA48" w14:textId="77777777" w:rsidR="00747705" w:rsidRPr="000F4D61" w:rsidRDefault="00747705" w:rsidP="00D13385">
      <w:pPr>
        <w:spacing w:after="0" w:line="240" w:lineRule="auto"/>
        <w:ind w:left="425" w:hanging="425"/>
        <w:rPr>
          <w:rFonts w:eastAsia="Calibri" w:cstheme="minorHAnsi"/>
          <w:bCs/>
          <w:lang w:val="fr-CH"/>
        </w:rPr>
      </w:pPr>
    </w:p>
    <w:p w14:paraId="5DC3F882" w14:textId="77777777" w:rsidR="006523E7" w:rsidRPr="000F4D61" w:rsidRDefault="006208DD" w:rsidP="00D13385">
      <w:pPr>
        <w:tabs>
          <w:tab w:val="center" w:pos="4680"/>
        </w:tabs>
        <w:spacing w:after="0" w:line="240" w:lineRule="auto"/>
        <w:contextualSpacing/>
        <w:rPr>
          <w:rFonts w:cstheme="minorHAnsi"/>
          <w:b/>
          <w:lang w:val="fr-CH"/>
        </w:rPr>
      </w:pPr>
      <w:r w:rsidRPr="000F4D61">
        <w:rPr>
          <w:rFonts w:cstheme="minorHAnsi"/>
          <w:b/>
          <w:lang w:val="fr-CH"/>
        </w:rPr>
        <w:t>D</w:t>
      </w:r>
      <w:r w:rsidR="006A766F" w:rsidRPr="000F4D61">
        <w:rPr>
          <w:rFonts w:cstheme="minorHAnsi"/>
          <w:b/>
          <w:lang w:val="fr-CH"/>
        </w:rPr>
        <w:t>é</w:t>
      </w:r>
      <w:r w:rsidRPr="000F4D61">
        <w:rPr>
          <w:rFonts w:cstheme="minorHAnsi"/>
          <w:b/>
          <w:lang w:val="fr-CH"/>
        </w:rPr>
        <w:t>cision SC57-0</w:t>
      </w:r>
      <w:r w:rsidR="00FA5729" w:rsidRPr="000F4D61">
        <w:rPr>
          <w:rFonts w:cstheme="minorHAnsi"/>
          <w:b/>
          <w:lang w:val="fr-CH"/>
        </w:rPr>
        <w:t>5</w:t>
      </w:r>
      <w:r w:rsidR="006A766F" w:rsidRPr="000F4D61">
        <w:rPr>
          <w:rFonts w:cstheme="minorHAnsi"/>
          <w:b/>
          <w:lang w:val="fr-CH"/>
        </w:rPr>
        <w:t xml:space="preserve"> </w:t>
      </w:r>
      <w:r w:rsidRPr="000F4D61">
        <w:rPr>
          <w:rFonts w:cstheme="minorHAnsi"/>
          <w:b/>
          <w:lang w:val="fr-CH"/>
        </w:rPr>
        <w:t xml:space="preserve">: </w:t>
      </w:r>
      <w:r w:rsidR="006A766F" w:rsidRPr="000F4D61">
        <w:rPr>
          <w:rFonts w:cstheme="minorHAnsi"/>
          <w:b/>
          <w:lang w:val="fr-CH"/>
        </w:rPr>
        <w:t>Le Comité permanent donne instruction au</w:t>
      </w:r>
      <w:r w:rsidR="005A3D2D" w:rsidRPr="000F4D61">
        <w:rPr>
          <w:rFonts w:cstheme="minorHAnsi"/>
          <w:b/>
          <w:lang w:val="fr-CH"/>
        </w:rPr>
        <w:t xml:space="preserve"> Secr</w:t>
      </w:r>
      <w:r w:rsidR="006A766F" w:rsidRPr="000F4D61">
        <w:rPr>
          <w:rFonts w:cstheme="minorHAnsi"/>
          <w:b/>
          <w:lang w:val="fr-CH"/>
        </w:rPr>
        <w:t>é</w:t>
      </w:r>
      <w:r w:rsidR="005A3D2D" w:rsidRPr="000F4D61">
        <w:rPr>
          <w:rFonts w:cstheme="minorHAnsi"/>
          <w:b/>
          <w:lang w:val="fr-CH"/>
        </w:rPr>
        <w:t xml:space="preserve">tariat </w:t>
      </w:r>
      <w:r w:rsidR="006A766F" w:rsidRPr="000F4D61">
        <w:rPr>
          <w:rFonts w:cstheme="minorHAnsi"/>
          <w:b/>
          <w:lang w:val="fr-CH"/>
        </w:rPr>
        <w:t>de contacter les organismes appropriés en vue d’élaborer des processus révisés pour nommer les membres du Groupe de surveillance des activités de CESP et du GEST.</w:t>
      </w:r>
    </w:p>
    <w:p w14:paraId="4BBEB651" w14:textId="77777777" w:rsidR="00FE4B20" w:rsidRPr="000F4D61" w:rsidRDefault="00FE4B20" w:rsidP="00D13385">
      <w:pPr>
        <w:spacing w:after="0" w:line="240" w:lineRule="auto"/>
        <w:ind w:left="425" w:hanging="425"/>
        <w:rPr>
          <w:rFonts w:eastAsia="Calibri" w:cstheme="minorHAnsi"/>
          <w:bCs/>
          <w:lang w:val="fr-CH"/>
        </w:rPr>
      </w:pPr>
    </w:p>
    <w:p w14:paraId="6E652FDE" w14:textId="77777777" w:rsidR="00FE4B20" w:rsidRPr="000F4D61" w:rsidRDefault="006A766F"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Point</w:t>
      </w:r>
      <w:r w:rsidR="00FE4B20" w:rsidRPr="000F4D61">
        <w:rPr>
          <w:rFonts w:cstheme="minorHAnsi"/>
          <w:bCs/>
          <w:lang w:val="fr-CH"/>
        </w:rPr>
        <w:t xml:space="preserve"> </w:t>
      </w:r>
      <w:r w:rsidRPr="000F4D61">
        <w:rPr>
          <w:rFonts w:cstheme="minorHAnsi"/>
          <w:bCs/>
          <w:lang w:val="fr-CH"/>
        </w:rPr>
        <w:t xml:space="preserve">9 de l’ordre du jour </w:t>
      </w:r>
      <w:r w:rsidR="00FE4B20" w:rsidRPr="000F4D61">
        <w:rPr>
          <w:rFonts w:cstheme="minorHAnsi"/>
          <w:bCs/>
          <w:lang w:val="fr-CH"/>
        </w:rPr>
        <w:t xml:space="preserve">: </w:t>
      </w:r>
      <w:r w:rsidRPr="000F4D61">
        <w:rPr>
          <w:rFonts w:cstheme="minorHAnsi"/>
          <w:bCs/>
          <w:lang w:val="fr-CH"/>
        </w:rPr>
        <w:t xml:space="preserve">Rapport </w:t>
      </w:r>
      <w:r w:rsidRPr="000F4D61">
        <w:rPr>
          <w:rFonts w:cstheme="minorHAnsi"/>
          <w:lang w:val="fr-CH"/>
        </w:rPr>
        <w:t xml:space="preserve">du </w:t>
      </w:r>
      <w:r w:rsidRPr="000F4D61">
        <w:rPr>
          <w:rFonts w:cstheme="minorHAnsi"/>
          <w:bCs/>
          <w:lang w:val="fr-CH"/>
        </w:rPr>
        <w:t xml:space="preserve">Groupe de travail </w:t>
      </w:r>
      <w:r w:rsidRPr="000F4D61">
        <w:rPr>
          <w:rFonts w:cstheme="minorHAnsi"/>
          <w:lang w:val="fr-CH"/>
        </w:rPr>
        <w:t>sur l’examen du Plan stratégique de la Convention de Ramsar</w:t>
      </w:r>
    </w:p>
    <w:p w14:paraId="665A526E" w14:textId="77777777" w:rsidR="00015DBE" w:rsidRPr="000F4D61" w:rsidRDefault="00015DBE" w:rsidP="00D13385">
      <w:pPr>
        <w:spacing w:after="0" w:line="240" w:lineRule="auto"/>
        <w:ind w:left="425" w:hanging="425"/>
        <w:rPr>
          <w:rFonts w:cstheme="minorHAnsi"/>
          <w:lang w:val="fr-CH"/>
        </w:rPr>
      </w:pPr>
    </w:p>
    <w:p w14:paraId="321933BB" w14:textId="77777777" w:rsidR="00015DBE" w:rsidRPr="000F4D61" w:rsidRDefault="00AB1DEB" w:rsidP="00D13385">
      <w:pPr>
        <w:tabs>
          <w:tab w:val="center" w:pos="4680"/>
        </w:tabs>
        <w:spacing w:after="0" w:line="240" w:lineRule="auto"/>
        <w:contextualSpacing/>
        <w:rPr>
          <w:rFonts w:cstheme="minorHAnsi"/>
          <w:b/>
          <w:lang w:val="fr-CH"/>
        </w:rPr>
      </w:pPr>
      <w:r w:rsidRPr="000F4D61">
        <w:rPr>
          <w:rFonts w:cstheme="minorHAnsi"/>
          <w:b/>
          <w:lang w:val="fr-CH"/>
        </w:rPr>
        <w:t>D</w:t>
      </w:r>
      <w:r w:rsidR="006A766F" w:rsidRPr="000F4D61">
        <w:rPr>
          <w:rFonts w:cstheme="minorHAnsi"/>
          <w:b/>
          <w:lang w:val="fr-CH"/>
        </w:rPr>
        <w:t>é</w:t>
      </w:r>
      <w:r w:rsidRPr="000F4D61">
        <w:rPr>
          <w:rFonts w:cstheme="minorHAnsi"/>
          <w:b/>
          <w:lang w:val="fr-CH"/>
        </w:rPr>
        <w:t>cision SC57-0</w:t>
      </w:r>
      <w:r w:rsidR="00FA5729" w:rsidRPr="000F4D61">
        <w:rPr>
          <w:rFonts w:cstheme="minorHAnsi"/>
          <w:b/>
          <w:lang w:val="fr-CH"/>
        </w:rPr>
        <w:t>6</w:t>
      </w:r>
      <w:r w:rsidR="006A766F" w:rsidRPr="000F4D61">
        <w:rPr>
          <w:rFonts w:cstheme="minorHAnsi"/>
          <w:b/>
          <w:lang w:val="fr-CH"/>
        </w:rPr>
        <w:t xml:space="preserve"> </w:t>
      </w:r>
      <w:r w:rsidRPr="000F4D61">
        <w:rPr>
          <w:rFonts w:cstheme="minorHAnsi"/>
          <w:b/>
          <w:lang w:val="fr-CH"/>
        </w:rPr>
        <w:t xml:space="preserve">: </w:t>
      </w:r>
      <w:r w:rsidR="006A766F" w:rsidRPr="000F4D61">
        <w:rPr>
          <w:rFonts w:cstheme="minorHAnsi"/>
          <w:b/>
          <w:lang w:val="fr-CH"/>
        </w:rPr>
        <w:t>Le Comité permanent donne instruction au Secrétariat de communiquer l’évaluation de la liste courte des</w:t>
      </w:r>
      <w:r w:rsidR="000A739B" w:rsidRPr="000F4D61">
        <w:rPr>
          <w:rFonts w:cstheme="minorHAnsi"/>
          <w:b/>
          <w:lang w:val="fr-CH"/>
        </w:rPr>
        <w:t xml:space="preserve"> candidats </w:t>
      </w:r>
      <w:r w:rsidR="006A766F" w:rsidRPr="000F4D61">
        <w:rPr>
          <w:rFonts w:cstheme="minorHAnsi"/>
          <w:b/>
          <w:lang w:val="fr-CH"/>
        </w:rPr>
        <w:t xml:space="preserve">aux </w:t>
      </w:r>
      <w:r w:rsidR="00B47AF8" w:rsidRPr="000F4D61">
        <w:rPr>
          <w:rFonts w:cstheme="minorHAnsi"/>
          <w:b/>
          <w:lang w:val="fr-CH"/>
        </w:rPr>
        <w:t>membres</w:t>
      </w:r>
      <w:r w:rsidR="006A766F" w:rsidRPr="000F4D61">
        <w:rPr>
          <w:rFonts w:cstheme="minorHAnsi"/>
          <w:b/>
          <w:lang w:val="fr-CH"/>
        </w:rPr>
        <w:t xml:space="preserve"> du Groupe</w:t>
      </w:r>
      <w:r w:rsidR="00550CBA" w:rsidRPr="000F4D61">
        <w:rPr>
          <w:rFonts w:cstheme="minorHAnsi"/>
          <w:b/>
          <w:lang w:val="fr-CH"/>
        </w:rPr>
        <w:t xml:space="preserve">, </w:t>
      </w:r>
      <w:r w:rsidR="006A766F" w:rsidRPr="000F4D61">
        <w:rPr>
          <w:rFonts w:cstheme="minorHAnsi"/>
          <w:b/>
          <w:lang w:val="fr-CH"/>
        </w:rPr>
        <w:t xml:space="preserve">et d’associer le </w:t>
      </w:r>
      <w:r w:rsidR="00E864B5" w:rsidRPr="000F4D61">
        <w:rPr>
          <w:rFonts w:cstheme="minorHAnsi"/>
          <w:b/>
          <w:lang w:val="fr-CH"/>
        </w:rPr>
        <w:t>P</w:t>
      </w:r>
      <w:r w:rsidR="00B47AF8" w:rsidRPr="000F4D61">
        <w:rPr>
          <w:rFonts w:cstheme="minorHAnsi"/>
          <w:b/>
          <w:lang w:val="fr-CH"/>
        </w:rPr>
        <w:t>résident</w:t>
      </w:r>
      <w:r w:rsidR="006A766F" w:rsidRPr="000F4D61">
        <w:rPr>
          <w:rFonts w:cstheme="minorHAnsi"/>
          <w:b/>
          <w:lang w:val="fr-CH"/>
        </w:rPr>
        <w:t xml:space="preserve"> du </w:t>
      </w:r>
      <w:r w:rsidR="00E864B5" w:rsidRPr="000F4D61">
        <w:rPr>
          <w:rFonts w:cstheme="minorHAnsi"/>
          <w:b/>
          <w:lang w:val="fr-CH"/>
        </w:rPr>
        <w:t>G</w:t>
      </w:r>
      <w:r w:rsidR="006A766F" w:rsidRPr="000F4D61">
        <w:rPr>
          <w:rFonts w:cstheme="minorHAnsi"/>
          <w:b/>
          <w:lang w:val="fr-CH"/>
        </w:rPr>
        <w:t>roupe de travail</w:t>
      </w:r>
      <w:r w:rsidR="00B47AF8" w:rsidRPr="000F4D61">
        <w:rPr>
          <w:rFonts w:cstheme="minorHAnsi"/>
          <w:b/>
          <w:lang w:val="fr-CH"/>
        </w:rPr>
        <w:t xml:space="preserve"> aux entretiens avec les candidats sélectionnés pour le poste de consultant</w:t>
      </w:r>
      <w:r w:rsidR="00550CBA" w:rsidRPr="000F4D61">
        <w:rPr>
          <w:rFonts w:cstheme="minorHAnsi"/>
          <w:b/>
          <w:lang w:val="fr-CH"/>
        </w:rPr>
        <w:t xml:space="preserve">. </w:t>
      </w:r>
    </w:p>
    <w:p w14:paraId="0BE26ABF" w14:textId="77777777" w:rsidR="00015DBE" w:rsidRPr="000F4D61" w:rsidRDefault="00015DBE" w:rsidP="00D13385">
      <w:pPr>
        <w:tabs>
          <w:tab w:val="center" w:pos="4680"/>
        </w:tabs>
        <w:spacing w:after="0" w:line="240" w:lineRule="auto"/>
        <w:contextualSpacing/>
        <w:rPr>
          <w:rFonts w:cstheme="minorHAnsi"/>
          <w:b/>
          <w:lang w:val="fr-CH"/>
        </w:rPr>
      </w:pPr>
    </w:p>
    <w:p w14:paraId="0825E4C0" w14:textId="77777777" w:rsidR="00015DBE" w:rsidRPr="000F4D61" w:rsidRDefault="00AB1DEB" w:rsidP="00D13385">
      <w:pPr>
        <w:tabs>
          <w:tab w:val="center" w:pos="4680"/>
        </w:tabs>
        <w:spacing w:after="0" w:line="240" w:lineRule="auto"/>
        <w:contextualSpacing/>
        <w:rPr>
          <w:rFonts w:cstheme="minorHAnsi"/>
          <w:b/>
          <w:lang w:val="fr-CH"/>
        </w:rPr>
      </w:pPr>
      <w:r w:rsidRPr="000F4D61">
        <w:rPr>
          <w:rFonts w:cstheme="minorHAnsi"/>
          <w:b/>
          <w:lang w:val="fr-CH"/>
        </w:rPr>
        <w:lastRenderedPageBreak/>
        <w:t>D</w:t>
      </w:r>
      <w:r w:rsidR="006A766F" w:rsidRPr="000F4D61">
        <w:rPr>
          <w:rFonts w:cstheme="minorHAnsi"/>
          <w:b/>
          <w:lang w:val="fr-CH"/>
        </w:rPr>
        <w:t>é</w:t>
      </w:r>
      <w:r w:rsidRPr="000F4D61">
        <w:rPr>
          <w:rFonts w:cstheme="minorHAnsi"/>
          <w:b/>
          <w:lang w:val="fr-CH"/>
        </w:rPr>
        <w:t>cision SC57-0</w:t>
      </w:r>
      <w:r w:rsidR="00FA5729" w:rsidRPr="000F4D61">
        <w:rPr>
          <w:rFonts w:cstheme="minorHAnsi"/>
          <w:b/>
          <w:lang w:val="fr-CH"/>
        </w:rPr>
        <w:t>7</w:t>
      </w:r>
      <w:r w:rsidR="006A766F" w:rsidRPr="000F4D61">
        <w:rPr>
          <w:rFonts w:cstheme="minorHAnsi"/>
          <w:b/>
          <w:lang w:val="fr-CH"/>
        </w:rPr>
        <w:t xml:space="preserve"> </w:t>
      </w:r>
      <w:r w:rsidRPr="000F4D61">
        <w:rPr>
          <w:rFonts w:cstheme="minorHAnsi"/>
          <w:b/>
          <w:lang w:val="fr-CH"/>
        </w:rPr>
        <w:t xml:space="preserve">: </w:t>
      </w:r>
      <w:r w:rsidR="006A766F" w:rsidRPr="000F4D61">
        <w:rPr>
          <w:rFonts w:cstheme="minorHAnsi"/>
          <w:b/>
          <w:lang w:val="fr-CH"/>
        </w:rPr>
        <w:t xml:space="preserve">Le Comité permanent donne instruction au Secrétariat </w:t>
      </w:r>
      <w:r w:rsidR="00016E21" w:rsidRPr="000F4D61">
        <w:rPr>
          <w:rFonts w:cstheme="minorHAnsi"/>
          <w:b/>
          <w:lang w:val="fr-CH"/>
        </w:rPr>
        <w:t xml:space="preserve">de procéder rapidement à la nomination du consultant et au lancement du projet de plan de travail afin qu’il </w:t>
      </w:r>
      <w:r w:rsidR="005A1321" w:rsidRPr="000F4D61">
        <w:rPr>
          <w:rFonts w:cstheme="minorHAnsi"/>
          <w:b/>
          <w:lang w:val="fr-CH"/>
        </w:rPr>
        <w:t>ait bien progressé</w:t>
      </w:r>
      <w:r w:rsidR="00016E21" w:rsidRPr="000F4D61">
        <w:rPr>
          <w:rFonts w:cstheme="minorHAnsi"/>
          <w:b/>
          <w:lang w:val="fr-CH"/>
        </w:rPr>
        <w:t xml:space="preserve"> avant la fin de 2019 </w:t>
      </w:r>
      <w:r w:rsidR="005A1321" w:rsidRPr="000F4D61">
        <w:rPr>
          <w:rFonts w:cstheme="minorHAnsi"/>
          <w:b/>
          <w:lang w:val="fr-CH"/>
        </w:rPr>
        <w:t>et qu’un</w:t>
      </w:r>
      <w:r w:rsidR="00016E21" w:rsidRPr="000F4D61">
        <w:rPr>
          <w:rFonts w:cstheme="minorHAnsi"/>
          <w:b/>
          <w:lang w:val="fr-CH"/>
        </w:rPr>
        <w:t xml:space="preserve"> projet de rapport bien avancé </w:t>
      </w:r>
      <w:r w:rsidR="001B54C9" w:rsidRPr="000F4D61">
        <w:rPr>
          <w:rFonts w:cstheme="minorHAnsi"/>
          <w:b/>
          <w:lang w:val="fr-CH"/>
        </w:rPr>
        <w:t xml:space="preserve">puisse être soumis </w:t>
      </w:r>
      <w:r w:rsidR="00016E21" w:rsidRPr="000F4D61">
        <w:rPr>
          <w:rFonts w:cstheme="minorHAnsi"/>
          <w:b/>
          <w:lang w:val="fr-CH"/>
        </w:rPr>
        <w:t>à la 58</w:t>
      </w:r>
      <w:r w:rsidR="00016E21" w:rsidRPr="000F4D61">
        <w:rPr>
          <w:rFonts w:cstheme="minorHAnsi"/>
          <w:b/>
          <w:vertAlign w:val="superscript"/>
          <w:lang w:val="fr-CH"/>
        </w:rPr>
        <w:t>e</w:t>
      </w:r>
      <w:r w:rsidR="00016E21" w:rsidRPr="000F4D61">
        <w:rPr>
          <w:rFonts w:cstheme="minorHAnsi"/>
          <w:b/>
          <w:lang w:val="fr-CH"/>
        </w:rPr>
        <w:t> Réunion du Comité permanent, en 2020.</w:t>
      </w:r>
      <w:r w:rsidR="00550CBA" w:rsidRPr="000F4D61">
        <w:rPr>
          <w:rFonts w:cstheme="minorHAnsi"/>
          <w:b/>
          <w:lang w:val="fr-CH"/>
        </w:rPr>
        <w:t xml:space="preserve"> </w:t>
      </w:r>
    </w:p>
    <w:p w14:paraId="30C5588B" w14:textId="77777777" w:rsidR="00015DBE" w:rsidRPr="000F4D61" w:rsidRDefault="00015DBE" w:rsidP="00D13385">
      <w:pPr>
        <w:tabs>
          <w:tab w:val="center" w:pos="4680"/>
        </w:tabs>
        <w:spacing w:after="0" w:line="240" w:lineRule="auto"/>
        <w:contextualSpacing/>
        <w:rPr>
          <w:rFonts w:cstheme="minorHAnsi"/>
          <w:b/>
          <w:lang w:val="fr-CH"/>
        </w:rPr>
      </w:pPr>
    </w:p>
    <w:p w14:paraId="1DE28837" w14:textId="77777777" w:rsidR="00015DBE" w:rsidRPr="000F4D61" w:rsidRDefault="00AB1DEB" w:rsidP="00D13385">
      <w:pPr>
        <w:tabs>
          <w:tab w:val="center" w:pos="4680"/>
        </w:tabs>
        <w:spacing w:after="0" w:line="240" w:lineRule="auto"/>
        <w:contextualSpacing/>
        <w:rPr>
          <w:rFonts w:cstheme="minorHAnsi"/>
          <w:b/>
          <w:lang w:val="fr-CH"/>
        </w:rPr>
      </w:pPr>
      <w:r w:rsidRPr="000F4D61">
        <w:rPr>
          <w:rFonts w:cstheme="minorHAnsi"/>
          <w:b/>
          <w:lang w:val="fr-CH"/>
        </w:rPr>
        <w:t>D</w:t>
      </w:r>
      <w:r w:rsidR="006A766F" w:rsidRPr="000F4D61">
        <w:rPr>
          <w:rFonts w:cstheme="minorHAnsi"/>
          <w:b/>
          <w:lang w:val="fr-CH"/>
        </w:rPr>
        <w:t>é</w:t>
      </w:r>
      <w:r w:rsidRPr="000F4D61">
        <w:rPr>
          <w:rFonts w:cstheme="minorHAnsi"/>
          <w:b/>
          <w:lang w:val="fr-CH"/>
        </w:rPr>
        <w:t>cision SC57-0</w:t>
      </w:r>
      <w:r w:rsidR="00FA5729" w:rsidRPr="000F4D61">
        <w:rPr>
          <w:rFonts w:cstheme="minorHAnsi"/>
          <w:b/>
          <w:lang w:val="fr-CH"/>
        </w:rPr>
        <w:t>8</w:t>
      </w:r>
      <w:r w:rsidR="006A766F" w:rsidRPr="000F4D61">
        <w:rPr>
          <w:rFonts w:cstheme="minorHAnsi"/>
          <w:b/>
          <w:lang w:val="fr-CH"/>
        </w:rPr>
        <w:t xml:space="preserve"> </w:t>
      </w:r>
      <w:r w:rsidRPr="000F4D61">
        <w:rPr>
          <w:rFonts w:cstheme="minorHAnsi"/>
          <w:b/>
          <w:lang w:val="fr-CH"/>
        </w:rPr>
        <w:t xml:space="preserve">: </w:t>
      </w:r>
      <w:r w:rsidR="006A766F" w:rsidRPr="000F4D61">
        <w:rPr>
          <w:rFonts w:cstheme="minorHAnsi"/>
          <w:b/>
          <w:lang w:val="fr-CH"/>
        </w:rPr>
        <w:t xml:space="preserve">Le Comité permanent donne instruction au Secrétariat </w:t>
      </w:r>
      <w:r w:rsidR="00016E21" w:rsidRPr="000F4D61">
        <w:rPr>
          <w:rFonts w:cstheme="minorHAnsi"/>
          <w:b/>
          <w:lang w:val="fr-CH"/>
        </w:rPr>
        <w:t>d’organiser une première réunion avec le consultant choisi, pour définir un calendrier détaillé et les produits, à la lumière des processus existants tels que la Conférence des Parties à la Convention sur la diversité biologique (CDB COP15) en octobre 2020 et le cadre mondial de la biodiversité pour l’après</w:t>
      </w:r>
      <w:r w:rsidR="00016E21" w:rsidRPr="000F4D61">
        <w:rPr>
          <w:rFonts w:cstheme="minorHAnsi"/>
          <w:b/>
          <w:lang w:val="fr-CH"/>
        </w:rPr>
        <w:noBreakHyphen/>
        <w:t>2020.</w:t>
      </w:r>
      <w:r w:rsidR="00550CBA" w:rsidRPr="000F4D61">
        <w:rPr>
          <w:rFonts w:cstheme="minorHAnsi"/>
          <w:b/>
          <w:lang w:val="fr-CH"/>
        </w:rPr>
        <w:t xml:space="preserve"> </w:t>
      </w:r>
    </w:p>
    <w:p w14:paraId="169076E8" w14:textId="77777777" w:rsidR="00015DBE" w:rsidRPr="000F4D61" w:rsidRDefault="00015DBE" w:rsidP="00D13385">
      <w:pPr>
        <w:tabs>
          <w:tab w:val="center" w:pos="4680"/>
        </w:tabs>
        <w:spacing w:after="0" w:line="240" w:lineRule="auto"/>
        <w:contextualSpacing/>
        <w:rPr>
          <w:rFonts w:cstheme="minorHAnsi"/>
          <w:b/>
          <w:lang w:val="fr-CH"/>
        </w:rPr>
      </w:pPr>
    </w:p>
    <w:p w14:paraId="3F2E5C5A" w14:textId="77777777" w:rsidR="00015DBE" w:rsidRPr="000F4D61" w:rsidRDefault="00AB1DEB" w:rsidP="00D13385">
      <w:pPr>
        <w:tabs>
          <w:tab w:val="center" w:pos="4680"/>
        </w:tabs>
        <w:spacing w:after="0" w:line="240" w:lineRule="auto"/>
        <w:contextualSpacing/>
        <w:rPr>
          <w:rFonts w:cstheme="minorHAnsi"/>
          <w:b/>
          <w:lang w:val="fr-CH"/>
        </w:rPr>
      </w:pPr>
      <w:r w:rsidRPr="000F4D61">
        <w:rPr>
          <w:rFonts w:cstheme="minorHAnsi"/>
          <w:b/>
          <w:lang w:val="fr-CH"/>
        </w:rPr>
        <w:t>D</w:t>
      </w:r>
      <w:r w:rsidR="006A766F" w:rsidRPr="000F4D61">
        <w:rPr>
          <w:rFonts w:cstheme="minorHAnsi"/>
          <w:b/>
          <w:lang w:val="fr-CH"/>
        </w:rPr>
        <w:t>é</w:t>
      </w:r>
      <w:r w:rsidRPr="000F4D61">
        <w:rPr>
          <w:rFonts w:cstheme="minorHAnsi"/>
          <w:b/>
          <w:lang w:val="fr-CH"/>
        </w:rPr>
        <w:t>cision SC57-0</w:t>
      </w:r>
      <w:r w:rsidR="00FA5729" w:rsidRPr="000F4D61">
        <w:rPr>
          <w:rFonts w:cstheme="minorHAnsi"/>
          <w:b/>
          <w:lang w:val="fr-CH"/>
        </w:rPr>
        <w:t>9</w:t>
      </w:r>
      <w:r w:rsidR="006A766F" w:rsidRPr="000F4D61">
        <w:rPr>
          <w:rFonts w:cstheme="minorHAnsi"/>
          <w:b/>
          <w:lang w:val="fr-CH"/>
        </w:rPr>
        <w:t xml:space="preserve"> </w:t>
      </w:r>
      <w:r w:rsidRPr="000F4D61">
        <w:rPr>
          <w:rFonts w:cstheme="minorHAnsi"/>
          <w:b/>
          <w:lang w:val="fr-CH"/>
        </w:rPr>
        <w:t xml:space="preserve">: </w:t>
      </w:r>
      <w:r w:rsidR="006A766F" w:rsidRPr="000F4D61">
        <w:rPr>
          <w:rFonts w:cstheme="minorHAnsi"/>
          <w:b/>
          <w:lang w:val="fr-CH"/>
        </w:rPr>
        <w:t xml:space="preserve">Le Comité permanent donne instruction au Secrétariat </w:t>
      </w:r>
      <w:r w:rsidR="00637F63" w:rsidRPr="000F4D61">
        <w:rPr>
          <w:rFonts w:cstheme="minorHAnsi"/>
          <w:b/>
          <w:lang w:val="fr-CH"/>
        </w:rPr>
        <w:t>de chercher à obtenir d’autres réponses des Parties contractantes au questionnaire sur l’application du Plan stratégique actuel et invite les représentants régionaux du Comité permanent à encourager les Parties de leurs régions respectives à y répondre.</w:t>
      </w:r>
      <w:r w:rsidR="00550CBA" w:rsidRPr="000F4D61">
        <w:rPr>
          <w:rFonts w:cstheme="minorHAnsi"/>
          <w:b/>
          <w:lang w:val="fr-CH"/>
        </w:rPr>
        <w:t xml:space="preserve"> </w:t>
      </w:r>
    </w:p>
    <w:p w14:paraId="7099B9C4" w14:textId="77777777" w:rsidR="00015DBE" w:rsidRPr="000F4D61" w:rsidRDefault="00015DBE" w:rsidP="00D13385">
      <w:pPr>
        <w:tabs>
          <w:tab w:val="center" w:pos="4680"/>
        </w:tabs>
        <w:spacing w:after="0" w:line="240" w:lineRule="auto"/>
        <w:contextualSpacing/>
        <w:rPr>
          <w:rFonts w:cstheme="minorHAnsi"/>
          <w:b/>
          <w:lang w:val="fr-CH"/>
        </w:rPr>
      </w:pPr>
    </w:p>
    <w:p w14:paraId="54788292" w14:textId="77777777" w:rsidR="00550CBA" w:rsidRPr="000F4D61" w:rsidRDefault="00AB1DEB" w:rsidP="00D13385">
      <w:pPr>
        <w:tabs>
          <w:tab w:val="center" w:pos="4680"/>
        </w:tabs>
        <w:spacing w:after="0" w:line="240" w:lineRule="auto"/>
        <w:contextualSpacing/>
        <w:rPr>
          <w:rFonts w:cstheme="minorHAnsi"/>
          <w:b/>
          <w:lang w:val="fr-CH"/>
        </w:rPr>
      </w:pPr>
      <w:r w:rsidRPr="000F4D61">
        <w:rPr>
          <w:rFonts w:cstheme="minorHAnsi"/>
          <w:b/>
          <w:lang w:val="fr-CH"/>
        </w:rPr>
        <w:t>D</w:t>
      </w:r>
      <w:r w:rsidR="006A766F" w:rsidRPr="000F4D61">
        <w:rPr>
          <w:rFonts w:cstheme="minorHAnsi"/>
          <w:b/>
          <w:lang w:val="fr-CH"/>
        </w:rPr>
        <w:t>é</w:t>
      </w:r>
      <w:r w:rsidRPr="000F4D61">
        <w:rPr>
          <w:rFonts w:cstheme="minorHAnsi"/>
          <w:b/>
          <w:lang w:val="fr-CH"/>
        </w:rPr>
        <w:t>cision SC57-</w:t>
      </w:r>
      <w:r w:rsidR="00FA5729" w:rsidRPr="000F4D61">
        <w:rPr>
          <w:rFonts w:cstheme="minorHAnsi"/>
          <w:b/>
          <w:lang w:val="fr-CH"/>
        </w:rPr>
        <w:t>10</w:t>
      </w:r>
      <w:r w:rsidR="006A766F" w:rsidRPr="000F4D61">
        <w:rPr>
          <w:rFonts w:cstheme="minorHAnsi"/>
          <w:b/>
          <w:lang w:val="fr-CH"/>
        </w:rPr>
        <w:t xml:space="preserve"> </w:t>
      </w:r>
      <w:r w:rsidRPr="000F4D61">
        <w:rPr>
          <w:rFonts w:cstheme="minorHAnsi"/>
          <w:b/>
          <w:lang w:val="fr-CH"/>
        </w:rPr>
        <w:t xml:space="preserve">: </w:t>
      </w:r>
      <w:r w:rsidR="006A766F" w:rsidRPr="000F4D61">
        <w:rPr>
          <w:rFonts w:cstheme="minorHAnsi"/>
          <w:b/>
          <w:lang w:val="fr-CH"/>
        </w:rPr>
        <w:t xml:space="preserve">Le Comité permanent donne instruction au Secrétariat </w:t>
      </w:r>
      <w:r w:rsidR="00637F63" w:rsidRPr="000F4D61">
        <w:rPr>
          <w:rFonts w:cstheme="minorHAnsi"/>
          <w:b/>
          <w:lang w:val="fr-CH"/>
        </w:rPr>
        <w:t xml:space="preserve">de finaliser le plan de travail du Groupe de travail </w:t>
      </w:r>
      <w:r w:rsidR="001B54C9" w:rsidRPr="000F4D61">
        <w:rPr>
          <w:rFonts w:cstheme="minorHAnsi"/>
          <w:b/>
          <w:lang w:val="fr-CH"/>
        </w:rPr>
        <w:t>en tenant</w:t>
      </w:r>
      <w:r w:rsidR="00637F63" w:rsidRPr="000F4D61">
        <w:rPr>
          <w:rFonts w:cstheme="minorHAnsi"/>
          <w:b/>
          <w:lang w:val="fr-CH"/>
        </w:rPr>
        <w:t xml:space="preserve"> compte des discussions de sa réunion du 24 juin </w:t>
      </w:r>
      <w:r w:rsidR="00550CBA" w:rsidRPr="000F4D61">
        <w:rPr>
          <w:rFonts w:cstheme="minorHAnsi"/>
          <w:b/>
          <w:lang w:val="fr-CH"/>
        </w:rPr>
        <w:t>2019.</w:t>
      </w:r>
    </w:p>
    <w:p w14:paraId="753F65FC" w14:textId="77777777" w:rsidR="00480FFD" w:rsidRPr="000F4D61" w:rsidRDefault="00480FFD" w:rsidP="008D0449">
      <w:pPr>
        <w:pStyle w:val="Default"/>
        <w:keepNext/>
        <w:rPr>
          <w:rFonts w:asciiTheme="minorHAnsi" w:hAnsiTheme="minorHAnsi" w:cstheme="minorHAnsi"/>
          <w:sz w:val="22"/>
          <w:szCs w:val="22"/>
          <w:lang w:val="fr-FR"/>
        </w:rPr>
      </w:pPr>
    </w:p>
    <w:p w14:paraId="1C385CED" w14:textId="77777777" w:rsidR="00480FFD" w:rsidRPr="000F4D61" w:rsidRDefault="00480FFD"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25 de l’ordre du jour</w:t>
      </w:r>
      <w:r w:rsidR="002D75C1" w:rsidRPr="000F4D61">
        <w:rPr>
          <w:rFonts w:cstheme="minorHAnsi"/>
          <w:bCs/>
          <w:lang w:val="fr-FR"/>
        </w:rPr>
        <w:t> :</w:t>
      </w:r>
      <w:r w:rsidRPr="000F4D61">
        <w:rPr>
          <w:rFonts w:cstheme="minorHAnsi"/>
          <w:bCs/>
          <w:lang w:val="fr-FR"/>
        </w:rPr>
        <w:t xml:space="preserve"> </w:t>
      </w:r>
      <w:r w:rsidRPr="000F4D61">
        <w:rPr>
          <w:rFonts w:cstheme="minorHAnsi"/>
          <w:bCs/>
          <w:spacing w:val="-2"/>
          <w:lang w:val="fr-FR"/>
        </w:rPr>
        <w:t>Rapport du Secrétariat sur les Initiatives régionales Ramsar en 2018 et 2019, et constitution du Groupe de travail sur les Initiatives régionales Ramsar</w:t>
      </w:r>
    </w:p>
    <w:p w14:paraId="053CB9F8" w14:textId="77777777" w:rsidR="00FA5729" w:rsidRPr="000F4D61" w:rsidRDefault="00FA5729" w:rsidP="00D13385">
      <w:pPr>
        <w:spacing w:after="0" w:line="240" w:lineRule="auto"/>
        <w:ind w:left="425" w:hanging="425"/>
        <w:rPr>
          <w:rFonts w:eastAsia="Calibri" w:cstheme="minorHAnsi"/>
          <w:bCs/>
          <w:lang w:val="fr-CH"/>
        </w:rPr>
      </w:pPr>
    </w:p>
    <w:p w14:paraId="05B71280" w14:textId="77777777" w:rsidR="00480FFD" w:rsidRPr="000F4D61" w:rsidRDefault="00FA5729" w:rsidP="00D13385">
      <w:pPr>
        <w:spacing w:after="0" w:line="240" w:lineRule="auto"/>
        <w:rPr>
          <w:rFonts w:eastAsia="Calibri" w:cstheme="minorHAnsi"/>
          <w:b/>
          <w:lang w:val="fr-CH"/>
        </w:rPr>
      </w:pPr>
      <w:r w:rsidRPr="000F4D61">
        <w:rPr>
          <w:rFonts w:eastAsia="Calibri" w:cstheme="minorHAnsi"/>
          <w:b/>
          <w:lang w:val="fr-CH"/>
        </w:rPr>
        <w:t xml:space="preserve">Décision SC57-11 : Le Comité permanent charge le Secrétariat d’examiner le modèle de rapport et le processus afin de préparer </w:t>
      </w:r>
      <w:r w:rsidR="00CF474B" w:rsidRPr="000F4D61">
        <w:rPr>
          <w:rFonts w:eastAsia="Calibri" w:cstheme="minorHAnsi"/>
          <w:b/>
          <w:lang w:val="fr-CH"/>
        </w:rPr>
        <w:t xml:space="preserve">la brève </w:t>
      </w:r>
      <w:r w:rsidRPr="000F4D61">
        <w:rPr>
          <w:rFonts w:eastAsia="Calibri" w:cstheme="minorHAnsi"/>
          <w:b/>
          <w:lang w:val="fr-CH"/>
        </w:rPr>
        <w:t>évaluation demandée au paragraphe 28 de la Résolution XIII.9 et de soumettre une proposition à la 58</w:t>
      </w:r>
      <w:r w:rsidRPr="000F4D61">
        <w:rPr>
          <w:rFonts w:eastAsia="Calibri" w:cstheme="minorHAnsi"/>
          <w:b/>
          <w:vertAlign w:val="superscript"/>
          <w:lang w:val="fr-CH"/>
        </w:rPr>
        <w:t>e</w:t>
      </w:r>
      <w:r w:rsidRPr="000F4D61">
        <w:rPr>
          <w:rFonts w:eastAsia="Calibri" w:cstheme="minorHAnsi"/>
          <w:b/>
          <w:lang w:val="fr-CH"/>
        </w:rPr>
        <w:t xml:space="preserve"> Réunion du Comité permanent. </w:t>
      </w:r>
      <w:r w:rsidR="00480FFD" w:rsidRPr="000F4D61">
        <w:rPr>
          <w:rFonts w:eastAsia="Calibri" w:cstheme="minorHAnsi"/>
          <w:b/>
          <w:lang w:val="fr-CH"/>
        </w:rPr>
        <w:t xml:space="preserve"> </w:t>
      </w:r>
    </w:p>
    <w:p w14:paraId="6CE6A9E4" w14:textId="77777777" w:rsidR="00480FFD" w:rsidRPr="000F4D61" w:rsidRDefault="00480FFD" w:rsidP="00D13385">
      <w:pPr>
        <w:spacing w:after="0" w:line="240" w:lineRule="auto"/>
        <w:rPr>
          <w:rFonts w:cstheme="minorHAnsi"/>
          <w:lang w:val="fr-CH"/>
        </w:rPr>
      </w:pPr>
    </w:p>
    <w:p w14:paraId="681077C0" w14:textId="77777777" w:rsidR="00480FFD" w:rsidRPr="000F4D61" w:rsidRDefault="00480FFD"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Point 11 de l’ordre du jour</w:t>
      </w:r>
      <w:r w:rsidR="00724D5C" w:rsidRPr="000F4D61">
        <w:rPr>
          <w:rFonts w:cstheme="minorHAnsi"/>
          <w:bCs/>
          <w:lang w:val="fr-CH"/>
        </w:rPr>
        <w:t> :</w:t>
      </w:r>
      <w:r w:rsidRPr="000F4D61">
        <w:rPr>
          <w:rFonts w:cstheme="minorHAnsi"/>
          <w:bCs/>
          <w:lang w:val="fr-CH"/>
        </w:rPr>
        <w:t xml:space="preserve"> Rapport final de chacun des présidents des groupes de travail supprimés </w:t>
      </w:r>
    </w:p>
    <w:p w14:paraId="311B5618" w14:textId="77777777" w:rsidR="00480FFD" w:rsidRPr="000F4D61" w:rsidRDefault="00480FFD" w:rsidP="00D13385">
      <w:pPr>
        <w:spacing w:after="0" w:line="240" w:lineRule="auto"/>
        <w:rPr>
          <w:rFonts w:cstheme="minorHAnsi"/>
          <w:lang w:val="fr-CH"/>
        </w:rPr>
      </w:pPr>
    </w:p>
    <w:p w14:paraId="00C2A9E5" w14:textId="77777777" w:rsidR="00480FFD" w:rsidRPr="000F4D61" w:rsidRDefault="00480FFD" w:rsidP="00D13385">
      <w:pPr>
        <w:tabs>
          <w:tab w:val="center" w:pos="4680"/>
        </w:tabs>
        <w:spacing w:after="0" w:line="240" w:lineRule="auto"/>
        <w:contextualSpacing/>
        <w:rPr>
          <w:rFonts w:cstheme="minorHAnsi"/>
          <w:b/>
          <w:lang w:val="fr-CH"/>
        </w:rPr>
      </w:pPr>
      <w:r w:rsidRPr="000F4D61">
        <w:rPr>
          <w:rFonts w:cstheme="minorHAnsi"/>
          <w:b/>
          <w:lang w:val="fr-CH"/>
        </w:rPr>
        <w:t>Décision SC57-1</w:t>
      </w:r>
      <w:r w:rsidR="0084700D" w:rsidRPr="000F4D61">
        <w:rPr>
          <w:rFonts w:cstheme="minorHAnsi"/>
          <w:b/>
          <w:lang w:val="fr-CH"/>
        </w:rPr>
        <w:t>2</w:t>
      </w:r>
      <w:r w:rsidRPr="000F4D61">
        <w:rPr>
          <w:rFonts w:cstheme="minorHAnsi"/>
          <w:b/>
          <w:lang w:val="fr-CH"/>
        </w:rPr>
        <w:t xml:space="preserve"> : Le Comité permanent prend note du rapport final de chacun des six groupes de travail supprimés.</w:t>
      </w:r>
    </w:p>
    <w:p w14:paraId="166533D3" w14:textId="77777777" w:rsidR="00480FFD" w:rsidRPr="000F4D61" w:rsidRDefault="00480FFD" w:rsidP="00D13385">
      <w:pPr>
        <w:spacing w:after="0" w:line="240" w:lineRule="auto"/>
        <w:rPr>
          <w:rFonts w:cstheme="minorHAnsi"/>
          <w:lang w:val="fr-CH"/>
        </w:rPr>
      </w:pPr>
    </w:p>
    <w:p w14:paraId="4381DA2D" w14:textId="77777777" w:rsidR="00480FFD" w:rsidRPr="000F4D61" w:rsidRDefault="00480FFD" w:rsidP="008D0449">
      <w:pPr>
        <w:keepNext/>
        <w:pBdr>
          <w:top w:val="single" w:sz="4" w:space="1" w:color="auto"/>
          <w:left w:val="single" w:sz="4" w:space="4" w:color="auto"/>
          <w:bottom w:val="single" w:sz="4" w:space="1" w:color="auto"/>
          <w:right w:val="single" w:sz="4" w:space="4" w:color="auto"/>
        </w:pBdr>
        <w:spacing w:after="0" w:line="240" w:lineRule="auto"/>
        <w:rPr>
          <w:rFonts w:cstheme="minorHAnsi"/>
          <w:bCs/>
          <w:lang w:val="fr-CH"/>
        </w:rPr>
      </w:pPr>
      <w:r w:rsidRPr="000F4D61">
        <w:rPr>
          <w:rFonts w:cstheme="minorHAnsi"/>
          <w:bCs/>
          <w:lang w:val="fr-CH"/>
        </w:rPr>
        <w:t>Point 13 de l’ordre du jour</w:t>
      </w:r>
      <w:r w:rsidR="0085288E" w:rsidRPr="000F4D61">
        <w:rPr>
          <w:rFonts w:cstheme="minorHAnsi"/>
          <w:bCs/>
          <w:lang w:val="fr-CH"/>
        </w:rPr>
        <w:t> :</w:t>
      </w:r>
      <w:r w:rsidRPr="000F4D61">
        <w:rPr>
          <w:rFonts w:cstheme="minorHAnsi"/>
          <w:bCs/>
          <w:lang w:val="fr-CH"/>
        </w:rPr>
        <w:t xml:space="preserve"> Examen du Règlement intérieur</w:t>
      </w:r>
    </w:p>
    <w:p w14:paraId="39A12072" w14:textId="77777777" w:rsidR="00480FFD" w:rsidRPr="000F4D61" w:rsidRDefault="00480FFD" w:rsidP="00D13385">
      <w:pPr>
        <w:spacing w:after="0" w:line="240" w:lineRule="auto"/>
        <w:ind w:left="425" w:hanging="425"/>
        <w:rPr>
          <w:rFonts w:eastAsia="Calibri" w:cstheme="minorHAnsi"/>
          <w:bCs/>
          <w:lang w:val="fr-CH"/>
        </w:rPr>
      </w:pPr>
    </w:p>
    <w:p w14:paraId="75668A74" w14:textId="77777777" w:rsidR="00480FFD" w:rsidRPr="000F4D61" w:rsidRDefault="00480FFD" w:rsidP="00D13385">
      <w:pPr>
        <w:spacing w:after="0" w:line="240" w:lineRule="auto"/>
        <w:rPr>
          <w:rFonts w:cstheme="minorHAnsi"/>
          <w:b/>
          <w:lang w:val="fr-CH"/>
        </w:rPr>
      </w:pPr>
      <w:r w:rsidRPr="000F4D61">
        <w:rPr>
          <w:rFonts w:cstheme="minorHAnsi"/>
          <w:b/>
          <w:lang w:val="fr-CH"/>
        </w:rPr>
        <w:t>Décision SC57-1</w:t>
      </w:r>
      <w:r w:rsidR="0084700D" w:rsidRPr="000F4D61">
        <w:rPr>
          <w:rFonts w:cstheme="minorHAnsi"/>
          <w:b/>
          <w:lang w:val="fr-CH"/>
        </w:rPr>
        <w:t>3</w:t>
      </w:r>
      <w:r w:rsidRPr="000F4D61">
        <w:rPr>
          <w:rFonts w:cstheme="minorHAnsi"/>
          <w:b/>
          <w:lang w:val="fr-CH"/>
        </w:rPr>
        <w:t xml:space="preserve"> : Le Comité permanent prend note des progrès de l’examen du Règlement intérieur et donne instruction au Secrétariat de préparer un document révisé avec les commentaires reçus, à présenter à la 58</w:t>
      </w:r>
      <w:r w:rsidRPr="000F4D61">
        <w:rPr>
          <w:rFonts w:cstheme="minorHAnsi"/>
          <w:b/>
          <w:vertAlign w:val="superscript"/>
          <w:lang w:val="fr-CH"/>
        </w:rPr>
        <w:t>e</w:t>
      </w:r>
      <w:r w:rsidRPr="000F4D61">
        <w:rPr>
          <w:rFonts w:cstheme="minorHAnsi"/>
          <w:b/>
          <w:lang w:val="fr-CH"/>
        </w:rPr>
        <w:t xml:space="preserve"> Réunion du Comité permanent.</w:t>
      </w:r>
    </w:p>
    <w:p w14:paraId="31FDCB56" w14:textId="77777777" w:rsidR="00277953" w:rsidRPr="000F4D61" w:rsidRDefault="00277953" w:rsidP="00D13385">
      <w:pPr>
        <w:spacing w:after="0" w:line="240" w:lineRule="auto"/>
        <w:rPr>
          <w:rFonts w:cstheme="minorHAnsi"/>
          <w:lang w:val="fr-CH"/>
        </w:rPr>
      </w:pPr>
    </w:p>
    <w:p w14:paraId="706E6FB7" w14:textId="77777777" w:rsidR="00277953" w:rsidRPr="000F4D61" w:rsidRDefault="00277953" w:rsidP="00D1338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0F4D61">
        <w:rPr>
          <w:rFonts w:cstheme="minorHAnsi"/>
          <w:bCs/>
          <w:lang w:val="fr-CH"/>
        </w:rPr>
        <w:t xml:space="preserve">Point </w:t>
      </w:r>
      <w:r w:rsidRPr="000F4D61">
        <w:rPr>
          <w:rFonts w:cstheme="minorHAnsi"/>
          <w:lang w:val="fr-CH"/>
        </w:rPr>
        <w:t xml:space="preserve">18 de l’ordre du jour : </w:t>
      </w:r>
      <w:r w:rsidRPr="000F4D61">
        <w:rPr>
          <w:rFonts w:cstheme="minorHAnsi"/>
          <w:bCs/>
          <w:lang w:val="fr-CH"/>
        </w:rPr>
        <w:t>Statut d’observateur auprès de l’Assemblée générale des Nations Unies</w:t>
      </w:r>
    </w:p>
    <w:p w14:paraId="73A2E4D0" w14:textId="77777777" w:rsidR="00277953" w:rsidRPr="000F4D61" w:rsidRDefault="00277953" w:rsidP="00D13385">
      <w:pPr>
        <w:pStyle w:val="ColorfulList-Accent11"/>
        <w:ind w:left="0" w:firstLine="0"/>
        <w:rPr>
          <w:rFonts w:asciiTheme="minorHAnsi" w:hAnsiTheme="minorHAnsi" w:cstheme="minorHAnsi"/>
          <w:highlight w:val="yellow"/>
          <w:lang w:val="fr-CH"/>
        </w:rPr>
      </w:pPr>
    </w:p>
    <w:p w14:paraId="4B30FE7E" w14:textId="77777777" w:rsidR="00277953" w:rsidRPr="000F4D61" w:rsidRDefault="00277953" w:rsidP="00D13385">
      <w:pPr>
        <w:pStyle w:val="ColorfulList-Accent11"/>
        <w:ind w:left="0" w:firstLine="0"/>
        <w:rPr>
          <w:rFonts w:asciiTheme="minorHAnsi" w:hAnsiTheme="minorHAnsi" w:cstheme="minorHAnsi"/>
          <w:b/>
          <w:lang w:val="fr-CH"/>
        </w:rPr>
      </w:pPr>
      <w:r w:rsidRPr="000F4D61">
        <w:rPr>
          <w:rFonts w:asciiTheme="minorHAnsi" w:hAnsiTheme="minorHAnsi" w:cstheme="minorHAnsi"/>
          <w:b/>
          <w:lang w:val="fr-CH"/>
        </w:rPr>
        <w:t>Décision SC57-1</w:t>
      </w:r>
      <w:r w:rsidR="0084700D" w:rsidRPr="000F4D61">
        <w:rPr>
          <w:rFonts w:asciiTheme="minorHAnsi" w:hAnsiTheme="minorHAnsi" w:cstheme="minorHAnsi"/>
          <w:b/>
          <w:lang w:val="fr-CH"/>
        </w:rPr>
        <w:t>4</w:t>
      </w:r>
      <w:r w:rsidRPr="000F4D61">
        <w:rPr>
          <w:rFonts w:asciiTheme="minorHAnsi" w:hAnsiTheme="minorHAnsi" w:cstheme="minorHAnsi"/>
          <w:b/>
          <w:lang w:val="fr-CH"/>
        </w:rPr>
        <w:t> : Le Comité permanent décide de procéder de la manière suivante concernant le statut d’observateur :</w:t>
      </w:r>
    </w:p>
    <w:p w14:paraId="319FF639" w14:textId="77777777" w:rsidR="00277953" w:rsidRPr="000F4D61" w:rsidRDefault="00277953" w:rsidP="00D13385">
      <w:pPr>
        <w:pStyle w:val="ColorfulList-Accent11"/>
        <w:ind w:left="0" w:firstLine="0"/>
        <w:rPr>
          <w:rFonts w:asciiTheme="minorHAnsi" w:hAnsiTheme="minorHAnsi" w:cstheme="minorHAnsi"/>
          <w:b/>
          <w:lang w:val="fr-CH"/>
        </w:rPr>
      </w:pPr>
    </w:p>
    <w:p w14:paraId="60B5C95D" w14:textId="77777777" w:rsidR="00277953" w:rsidRPr="000F4D61" w:rsidRDefault="00277953" w:rsidP="00365864">
      <w:pPr>
        <w:pStyle w:val="ListParagraph"/>
        <w:numPr>
          <w:ilvl w:val="0"/>
          <w:numId w:val="5"/>
        </w:numPr>
        <w:spacing w:after="0" w:line="240" w:lineRule="auto"/>
        <w:ind w:left="567" w:hanging="567"/>
        <w:rPr>
          <w:rFonts w:cstheme="minorHAnsi"/>
          <w:b/>
          <w:lang w:val="fr-CH"/>
        </w:rPr>
      </w:pPr>
      <w:r w:rsidRPr="000F4D61">
        <w:rPr>
          <w:rFonts w:cstheme="minorHAnsi"/>
          <w:b/>
          <w:lang w:val="fr-CH"/>
        </w:rPr>
        <w:t>continuité du Groupe de travail sur le statut d’observateur (précédemment groupe informel), qui comprend en plus la Fédération de Russie, le Mexique et la Suisse, approuvée par la 57</w:t>
      </w:r>
      <w:r w:rsidRPr="000F4D61">
        <w:rPr>
          <w:rFonts w:cstheme="minorHAnsi"/>
          <w:b/>
          <w:vertAlign w:val="superscript"/>
          <w:lang w:val="fr-CH"/>
        </w:rPr>
        <w:t>e</w:t>
      </w:r>
      <w:r w:rsidRPr="000F4D61">
        <w:rPr>
          <w:rFonts w:cstheme="minorHAnsi"/>
          <w:b/>
          <w:lang w:val="fr-CH"/>
        </w:rPr>
        <w:t> Réunion du Comité permanent ;</w:t>
      </w:r>
    </w:p>
    <w:p w14:paraId="38FADAC3" w14:textId="77777777" w:rsidR="00277953" w:rsidRPr="000F4D61" w:rsidRDefault="00277953" w:rsidP="00365864">
      <w:pPr>
        <w:pStyle w:val="ListParagraph"/>
        <w:numPr>
          <w:ilvl w:val="0"/>
          <w:numId w:val="5"/>
        </w:numPr>
        <w:spacing w:after="0" w:line="240" w:lineRule="auto"/>
        <w:ind w:left="567" w:hanging="567"/>
        <w:rPr>
          <w:rFonts w:cstheme="minorHAnsi"/>
          <w:b/>
          <w:lang w:val="fr-CH"/>
        </w:rPr>
      </w:pPr>
      <w:r w:rsidRPr="000F4D61">
        <w:rPr>
          <w:rFonts w:cstheme="minorHAnsi"/>
          <w:b/>
          <w:lang w:val="fr-CH"/>
        </w:rPr>
        <w:t>analyse des différentes options, et d’autres options qui n’ont peut</w:t>
      </w:r>
      <w:r w:rsidRPr="000F4D61">
        <w:rPr>
          <w:rFonts w:cstheme="minorHAnsi"/>
          <w:b/>
          <w:lang w:val="fr-CH"/>
        </w:rPr>
        <w:noBreakHyphen/>
        <w:t xml:space="preserve">être pas été examinées, y compris la contribution de la Conseillère juridique et celles qui ont été reçues des Parties contractantes durant la réunion ;     </w:t>
      </w:r>
    </w:p>
    <w:p w14:paraId="0AA74CDA" w14:textId="77777777" w:rsidR="00277953" w:rsidRPr="000F4D61" w:rsidRDefault="00277953" w:rsidP="00365864">
      <w:pPr>
        <w:pStyle w:val="ListParagraph"/>
        <w:numPr>
          <w:ilvl w:val="0"/>
          <w:numId w:val="5"/>
        </w:numPr>
        <w:spacing w:after="0" w:line="240" w:lineRule="auto"/>
        <w:ind w:left="567" w:hanging="567"/>
        <w:rPr>
          <w:rFonts w:cstheme="minorHAnsi"/>
          <w:b/>
          <w:lang w:val="fr-CH"/>
        </w:rPr>
      </w:pPr>
      <w:r w:rsidRPr="000F4D61">
        <w:rPr>
          <w:rFonts w:cstheme="minorHAnsi"/>
          <w:b/>
          <w:lang w:val="fr-CH"/>
        </w:rPr>
        <w:lastRenderedPageBreak/>
        <w:t>attribution de fonds de l’excédent pour l’analyse indépendante à présenter à la 58</w:t>
      </w:r>
      <w:r w:rsidRPr="000F4D61">
        <w:rPr>
          <w:rFonts w:cstheme="minorHAnsi"/>
          <w:b/>
          <w:vertAlign w:val="superscript"/>
          <w:lang w:val="fr-CH"/>
        </w:rPr>
        <w:t>e</w:t>
      </w:r>
      <w:r w:rsidRPr="000F4D61">
        <w:rPr>
          <w:rFonts w:cstheme="minorHAnsi"/>
          <w:b/>
          <w:lang w:val="fr-CH"/>
        </w:rPr>
        <w:t> Réunion du Comité permanent</w:t>
      </w:r>
      <w:r w:rsidR="00E61597" w:rsidRPr="000F4D61">
        <w:rPr>
          <w:rStyle w:val="FootnoteReference"/>
          <w:rFonts w:cstheme="minorHAnsi"/>
          <w:b/>
          <w:lang w:val="fr-CH"/>
        </w:rPr>
        <w:footnoteReference w:id="1"/>
      </w:r>
      <w:r w:rsidRPr="000F4D61">
        <w:rPr>
          <w:rFonts w:cstheme="minorHAnsi"/>
          <w:b/>
          <w:lang w:val="fr-CH"/>
        </w:rPr>
        <w:t xml:space="preserve">. </w:t>
      </w:r>
    </w:p>
    <w:p w14:paraId="4F3BEAC9" w14:textId="77777777" w:rsidR="00277953" w:rsidRPr="000F4D61" w:rsidRDefault="00277953" w:rsidP="00D13385">
      <w:pPr>
        <w:pStyle w:val="ColorfulList-Accent11"/>
        <w:ind w:left="425"/>
        <w:rPr>
          <w:rFonts w:asciiTheme="minorHAnsi" w:hAnsiTheme="minorHAnsi" w:cstheme="minorHAnsi"/>
          <w:lang w:val="fr-CH"/>
        </w:rPr>
      </w:pPr>
    </w:p>
    <w:p w14:paraId="48AB0593" w14:textId="77777777" w:rsidR="00277953" w:rsidRPr="000F4D61" w:rsidRDefault="00277953" w:rsidP="00D1338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0F4D61">
        <w:rPr>
          <w:rFonts w:cstheme="minorHAnsi"/>
          <w:bCs/>
          <w:lang w:val="fr-CH"/>
        </w:rPr>
        <w:t xml:space="preserve">Point 21.1 de l’ordre du jour : </w:t>
      </w:r>
      <w:r w:rsidRPr="000F4D61">
        <w:rPr>
          <w:rFonts w:cstheme="minorHAnsi"/>
          <w:lang w:val="fr-CH"/>
        </w:rPr>
        <w:t xml:space="preserve">Suivi de la COP13 et préparatifs de la COP14 – </w:t>
      </w:r>
      <w:r w:rsidRPr="000F4D61">
        <w:rPr>
          <w:rFonts w:cstheme="minorHAnsi"/>
          <w:bCs/>
          <w:lang w:val="fr-CH"/>
        </w:rPr>
        <w:t>Rapport du Secrétariat sur la COP13</w:t>
      </w:r>
    </w:p>
    <w:p w14:paraId="60327B0A" w14:textId="77777777" w:rsidR="00277953" w:rsidRPr="000F4D61" w:rsidRDefault="00277953" w:rsidP="00D13385">
      <w:pPr>
        <w:spacing w:after="0" w:line="240" w:lineRule="auto"/>
        <w:rPr>
          <w:rFonts w:cstheme="minorHAnsi"/>
          <w:lang w:val="fr-CH"/>
        </w:rPr>
      </w:pPr>
    </w:p>
    <w:p w14:paraId="0BA715F6" w14:textId="77777777" w:rsidR="00277953" w:rsidRPr="000F4D61" w:rsidRDefault="00277953" w:rsidP="00D13385">
      <w:pPr>
        <w:spacing w:after="0" w:line="240" w:lineRule="auto"/>
        <w:rPr>
          <w:rFonts w:cstheme="minorHAnsi"/>
          <w:b/>
          <w:lang w:val="fr-CH"/>
        </w:rPr>
      </w:pPr>
      <w:r w:rsidRPr="000F4D61">
        <w:rPr>
          <w:rFonts w:cstheme="minorHAnsi"/>
          <w:b/>
          <w:lang w:val="fr-CH"/>
        </w:rPr>
        <w:t>Décision SC57-1</w:t>
      </w:r>
      <w:r w:rsidR="0084700D" w:rsidRPr="000F4D61">
        <w:rPr>
          <w:rFonts w:cstheme="minorHAnsi"/>
          <w:b/>
          <w:lang w:val="fr-CH"/>
        </w:rPr>
        <w:t>5</w:t>
      </w:r>
      <w:r w:rsidRPr="000F4D61">
        <w:rPr>
          <w:rFonts w:cstheme="minorHAnsi"/>
          <w:b/>
          <w:lang w:val="fr-CH"/>
        </w:rPr>
        <w:t xml:space="preserve"> : Le Comité permanent demande que le Sous-groupe sur la COP14 inscrive dans son mandat l’identification d’activités efficaces pour marquer le 50</w:t>
      </w:r>
      <w:r w:rsidRPr="000F4D61">
        <w:rPr>
          <w:rFonts w:cstheme="minorHAnsi"/>
          <w:b/>
          <w:vertAlign w:val="superscript"/>
          <w:lang w:val="fr-CH"/>
        </w:rPr>
        <w:t>e</w:t>
      </w:r>
      <w:r w:rsidRPr="000F4D61">
        <w:rPr>
          <w:rFonts w:cstheme="minorHAnsi"/>
          <w:b/>
          <w:lang w:val="fr-CH"/>
        </w:rPr>
        <w:t xml:space="preserve"> anniversaire de la Convention et pour ce faire, </w:t>
      </w:r>
      <w:r w:rsidR="00BA761B" w:rsidRPr="000F4D61">
        <w:rPr>
          <w:rFonts w:cstheme="minorHAnsi"/>
          <w:b/>
          <w:lang w:val="fr-CH"/>
        </w:rPr>
        <w:t xml:space="preserve">le cas échéant, </w:t>
      </w:r>
      <w:r w:rsidRPr="000F4D61">
        <w:rPr>
          <w:rFonts w:cstheme="minorHAnsi"/>
          <w:b/>
          <w:lang w:val="fr-CH"/>
        </w:rPr>
        <w:t>collabore avec d’autres Parties contractantes.</w:t>
      </w:r>
    </w:p>
    <w:p w14:paraId="2402445A" w14:textId="77777777" w:rsidR="00277953" w:rsidRPr="000F4D61" w:rsidRDefault="00277953" w:rsidP="00D13385">
      <w:pPr>
        <w:tabs>
          <w:tab w:val="left" w:pos="720"/>
          <w:tab w:val="center" w:pos="4680"/>
        </w:tabs>
        <w:spacing w:after="0" w:line="240" w:lineRule="auto"/>
        <w:rPr>
          <w:rFonts w:cstheme="minorHAnsi"/>
          <w:bCs/>
          <w:lang w:val="fr-CH"/>
        </w:rPr>
      </w:pPr>
    </w:p>
    <w:p w14:paraId="0604FD33" w14:textId="77777777" w:rsidR="00277953" w:rsidRPr="000F4D61" w:rsidRDefault="00277953"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0F4D61">
        <w:rPr>
          <w:rFonts w:cstheme="minorHAnsi"/>
          <w:bCs/>
          <w:lang w:val="fr-CH"/>
        </w:rPr>
        <w:t xml:space="preserve">Point 21.1Bis de l’ordre du jour </w:t>
      </w:r>
      <w:r w:rsidRPr="000F4D61">
        <w:rPr>
          <w:rFonts w:cstheme="minorHAnsi"/>
          <w:lang w:val="fr-CH"/>
        </w:rPr>
        <w:t xml:space="preserve">: Suivi de la COP13 et préparatifs de la COP14 – </w:t>
      </w:r>
      <w:r w:rsidRPr="000F4D61">
        <w:rPr>
          <w:rFonts w:cstheme="minorHAnsi"/>
          <w:bCs/>
          <w:lang w:val="fr-CH"/>
        </w:rPr>
        <w:t>Rapport verbal du Secrétariat sur le Prix Ramsar pour l’innovation</w:t>
      </w:r>
    </w:p>
    <w:p w14:paraId="345CB42F" w14:textId="77777777" w:rsidR="00277953" w:rsidRPr="000F4D61" w:rsidRDefault="00277953" w:rsidP="00D13385">
      <w:pPr>
        <w:spacing w:after="0" w:line="240" w:lineRule="auto"/>
        <w:rPr>
          <w:rFonts w:cstheme="minorHAnsi"/>
          <w:lang w:val="fr-CH"/>
        </w:rPr>
      </w:pPr>
    </w:p>
    <w:p w14:paraId="637947DD" w14:textId="77777777" w:rsidR="00277953" w:rsidRPr="000F4D61" w:rsidRDefault="00277953" w:rsidP="00D13385">
      <w:pPr>
        <w:spacing w:after="0" w:line="240" w:lineRule="auto"/>
        <w:rPr>
          <w:rFonts w:cstheme="minorHAnsi"/>
          <w:b/>
          <w:lang w:val="fr-CH"/>
        </w:rPr>
      </w:pPr>
      <w:r w:rsidRPr="000F4D61">
        <w:rPr>
          <w:rFonts w:cstheme="minorHAnsi"/>
          <w:b/>
          <w:lang w:val="fr-CH"/>
        </w:rPr>
        <w:t>Décision SC57-1</w:t>
      </w:r>
      <w:r w:rsidR="0084700D" w:rsidRPr="000F4D61">
        <w:rPr>
          <w:rFonts w:cstheme="minorHAnsi"/>
          <w:b/>
          <w:lang w:val="fr-CH"/>
        </w:rPr>
        <w:t>6</w:t>
      </w:r>
      <w:r w:rsidRPr="000F4D61">
        <w:rPr>
          <w:rFonts w:cstheme="minorHAnsi"/>
          <w:b/>
          <w:lang w:val="fr-CH"/>
        </w:rPr>
        <w:t xml:space="preserve"> : Le Comité permanent décide que le Prix Ramsar pour l’innovation relative aux zones humides pour 2018 ne sera pas remis.</w:t>
      </w:r>
    </w:p>
    <w:p w14:paraId="3EC6CC7E" w14:textId="77777777" w:rsidR="00277953" w:rsidRPr="000F4D61" w:rsidRDefault="00277953" w:rsidP="00D13385">
      <w:pPr>
        <w:spacing w:after="0" w:line="240" w:lineRule="auto"/>
        <w:rPr>
          <w:rFonts w:cstheme="minorHAnsi"/>
          <w:lang w:val="fr-CH"/>
        </w:rPr>
      </w:pPr>
    </w:p>
    <w:p w14:paraId="6B9FC421" w14:textId="77777777" w:rsidR="00277953" w:rsidRPr="000F4D61" w:rsidRDefault="00277953" w:rsidP="00D1338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0F4D61">
        <w:rPr>
          <w:rFonts w:cstheme="minorHAnsi"/>
          <w:bCs/>
          <w:lang w:val="fr-CH"/>
        </w:rPr>
        <w:t xml:space="preserve">Point 21.2 de l’ordre du jour </w:t>
      </w:r>
      <w:r w:rsidRPr="000F4D61">
        <w:rPr>
          <w:rFonts w:cstheme="minorHAnsi"/>
          <w:lang w:val="fr-CH"/>
        </w:rPr>
        <w:t>: Suivi de la COP13 et préparatifs de la COP14 – Pays d’accueil de la COP14 et constitution du Sous-groupe sur la COP14</w:t>
      </w:r>
    </w:p>
    <w:p w14:paraId="3966F3FA" w14:textId="77777777" w:rsidR="00277953" w:rsidRPr="000F4D61" w:rsidRDefault="00277953" w:rsidP="00D13385">
      <w:pPr>
        <w:spacing w:after="0" w:line="240" w:lineRule="auto"/>
        <w:rPr>
          <w:rFonts w:cstheme="minorHAnsi"/>
          <w:lang w:val="fr-CH"/>
        </w:rPr>
      </w:pPr>
    </w:p>
    <w:p w14:paraId="3DAA7D5C" w14:textId="77777777" w:rsidR="00277953" w:rsidRPr="000F4D61" w:rsidRDefault="00277953" w:rsidP="00D13385">
      <w:pPr>
        <w:spacing w:after="0" w:line="240" w:lineRule="auto"/>
        <w:rPr>
          <w:rFonts w:cstheme="minorHAnsi"/>
          <w:b/>
          <w:lang w:val="fr-CH"/>
        </w:rPr>
      </w:pPr>
      <w:r w:rsidRPr="000F4D61">
        <w:rPr>
          <w:rFonts w:cstheme="minorHAnsi"/>
          <w:b/>
          <w:lang w:val="fr-CH"/>
        </w:rPr>
        <w:t>Décision SC57-1</w:t>
      </w:r>
      <w:r w:rsidR="0084700D" w:rsidRPr="000F4D61">
        <w:rPr>
          <w:rFonts w:cstheme="minorHAnsi"/>
          <w:b/>
          <w:lang w:val="fr-CH"/>
        </w:rPr>
        <w:t>7</w:t>
      </w:r>
      <w:r w:rsidRPr="000F4D61">
        <w:rPr>
          <w:rFonts w:cstheme="minorHAnsi"/>
          <w:b/>
          <w:lang w:val="fr-CH"/>
        </w:rPr>
        <w:t xml:space="preserve"> : Le Comité permanent accepte par acclamation l’offre de la Chine d’accueillir la 14</w:t>
      </w:r>
      <w:r w:rsidRPr="000F4D61">
        <w:rPr>
          <w:rFonts w:cstheme="minorHAnsi"/>
          <w:b/>
          <w:vertAlign w:val="superscript"/>
          <w:lang w:val="fr-CH"/>
        </w:rPr>
        <w:t>e</w:t>
      </w:r>
      <w:r w:rsidRPr="000F4D61">
        <w:rPr>
          <w:rFonts w:cstheme="minorHAnsi"/>
          <w:b/>
          <w:lang w:val="fr-CH"/>
        </w:rPr>
        <w:t xml:space="preserve"> Session de la Conférence des Parties contractantes à Wuhan.</w:t>
      </w:r>
    </w:p>
    <w:p w14:paraId="765061FC" w14:textId="77777777" w:rsidR="001C7509" w:rsidRPr="000F4D61" w:rsidRDefault="001C7509" w:rsidP="00D13385">
      <w:pPr>
        <w:spacing w:after="0" w:line="240" w:lineRule="auto"/>
        <w:rPr>
          <w:rFonts w:cstheme="minorHAnsi"/>
          <w:lang w:val="fr-FR"/>
        </w:rPr>
      </w:pPr>
    </w:p>
    <w:p w14:paraId="04CBEBFF" w14:textId="77777777" w:rsidR="001C7509" w:rsidRPr="000F4D61" w:rsidRDefault="001C7509" w:rsidP="00D13385">
      <w:pPr>
        <w:spacing w:after="0" w:line="240" w:lineRule="auto"/>
        <w:rPr>
          <w:rFonts w:cstheme="minorHAnsi"/>
          <w:b/>
          <w:lang w:val="fr-FR"/>
        </w:rPr>
      </w:pPr>
      <w:r w:rsidRPr="000F4D61">
        <w:rPr>
          <w:rFonts w:cstheme="minorHAnsi"/>
          <w:b/>
          <w:lang w:val="fr-FR"/>
        </w:rPr>
        <w:t>Décision SC57-1</w:t>
      </w:r>
      <w:r w:rsidR="0084700D" w:rsidRPr="000F4D61">
        <w:rPr>
          <w:rFonts w:cstheme="minorHAnsi"/>
          <w:b/>
          <w:lang w:val="fr-FR"/>
        </w:rPr>
        <w:t>8</w:t>
      </w:r>
      <w:r w:rsidRPr="000F4D61">
        <w:rPr>
          <w:rFonts w:cstheme="minorHAnsi"/>
          <w:b/>
          <w:lang w:val="fr-FR"/>
        </w:rPr>
        <w:t>: Le Comité permanent établit le Sous-groupe sur la COP14, présidé par la Chine et composé également de l’Algérie, de l’Arménie, de l’Australie, de l’Autriche, du Costa Rica, des Émirats arabes unis,</w:t>
      </w:r>
      <w:r w:rsidRPr="000F4D61">
        <w:rPr>
          <w:rFonts w:cstheme="minorHAnsi"/>
          <w:lang w:val="fr-FR"/>
        </w:rPr>
        <w:t xml:space="preserve"> </w:t>
      </w:r>
      <w:r w:rsidRPr="000F4D61">
        <w:rPr>
          <w:rFonts w:cstheme="minorHAnsi"/>
          <w:b/>
          <w:lang w:val="fr-FR"/>
        </w:rPr>
        <w:t>des États-Unis d’Amérique</w:t>
      </w:r>
      <w:r w:rsidR="00BA761B" w:rsidRPr="000F4D61">
        <w:rPr>
          <w:rFonts w:cstheme="minorHAnsi"/>
          <w:b/>
          <w:lang w:val="fr-FR"/>
        </w:rPr>
        <w:t xml:space="preserve">, </w:t>
      </w:r>
      <w:r w:rsidR="0084700D" w:rsidRPr="000F4D61">
        <w:rPr>
          <w:rFonts w:cstheme="minorHAnsi"/>
          <w:b/>
          <w:lang w:val="fr-FR"/>
        </w:rPr>
        <w:t xml:space="preserve">de la France, </w:t>
      </w:r>
      <w:r w:rsidR="00BA761B" w:rsidRPr="000F4D61">
        <w:rPr>
          <w:rFonts w:cstheme="minorHAnsi"/>
          <w:b/>
          <w:lang w:val="fr-FR"/>
        </w:rPr>
        <w:t>des Pays-Bas</w:t>
      </w:r>
      <w:r w:rsidRPr="000F4D61">
        <w:rPr>
          <w:rFonts w:cstheme="minorHAnsi"/>
          <w:b/>
          <w:lang w:val="fr-FR"/>
        </w:rPr>
        <w:t xml:space="preserve"> et du Royaume-Uni de Grande-Bretagne et d’Irlande du Nord, chargé de superviser le processus de planification de la COP14 et de formuler des idées concernant la célébration du 50</w:t>
      </w:r>
      <w:r w:rsidRPr="000F4D61">
        <w:rPr>
          <w:rFonts w:cstheme="minorHAnsi"/>
          <w:b/>
          <w:vertAlign w:val="superscript"/>
          <w:lang w:val="fr-FR"/>
        </w:rPr>
        <w:t>e</w:t>
      </w:r>
      <w:r w:rsidRPr="000F4D61">
        <w:rPr>
          <w:rFonts w:cstheme="minorHAnsi"/>
          <w:b/>
          <w:lang w:val="fr-FR"/>
        </w:rPr>
        <w:t xml:space="preserve"> anniversaire de la Convention en 2021, en sollicitant le soutien d’autres Parties contractantes, si nécessaire.</w:t>
      </w:r>
    </w:p>
    <w:p w14:paraId="1E295B66" w14:textId="77777777" w:rsidR="001C7509" w:rsidRPr="000F4D61" w:rsidRDefault="001C7509" w:rsidP="00D13385">
      <w:pPr>
        <w:spacing w:after="0" w:line="240" w:lineRule="auto"/>
        <w:rPr>
          <w:rFonts w:cstheme="minorHAnsi"/>
          <w:lang w:val="fr-FR"/>
        </w:rPr>
      </w:pPr>
    </w:p>
    <w:p w14:paraId="33A40FA7"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14 de l’ordre du jour : Examen de toutes les résolutions et décisions précédentes</w:t>
      </w:r>
    </w:p>
    <w:p w14:paraId="3587E723" w14:textId="77777777" w:rsidR="001C7509" w:rsidRPr="000F4D61" w:rsidRDefault="001C7509" w:rsidP="00D13385">
      <w:pPr>
        <w:spacing w:after="0" w:line="240" w:lineRule="auto"/>
        <w:rPr>
          <w:rFonts w:cstheme="minorHAnsi"/>
          <w:lang w:val="fr-FR"/>
        </w:rPr>
      </w:pPr>
    </w:p>
    <w:p w14:paraId="39BAFD1C" w14:textId="77777777" w:rsidR="001C7509" w:rsidRPr="000F4D61" w:rsidRDefault="001C7509" w:rsidP="00D13385">
      <w:pPr>
        <w:spacing w:after="0" w:line="240" w:lineRule="auto"/>
        <w:rPr>
          <w:rFonts w:cstheme="minorHAnsi"/>
          <w:b/>
          <w:lang w:val="fr-FR"/>
        </w:rPr>
      </w:pPr>
      <w:r w:rsidRPr="000F4D61">
        <w:rPr>
          <w:rFonts w:cstheme="minorHAnsi"/>
          <w:b/>
          <w:lang w:val="fr-FR"/>
        </w:rPr>
        <w:t>Décision SC57-1</w:t>
      </w:r>
      <w:r w:rsidR="0084700D" w:rsidRPr="000F4D61">
        <w:rPr>
          <w:rFonts w:cstheme="minorHAnsi"/>
          <w:b/>
          <w:lang w:val="fr-FR"/>
        </w:rPr>
        <w:t>9</w:t>
      </w:r>
      <w:r w:rsidRPr="000F4D61">
        <w:rPr>
          <w:rFonts w:cstheme="minorHAnsi"/>
          <w:b/>
          <w:lang w:val="fr-FR"/>
        </w:rPr>
        <w:t>: Le Comité permanent charge le Secrétariat de procéder à un regroupement préalable des résolutions existantes en grands domaines thématiques, en identifiant les domaines prioritaires pouvant faire l’objet d’une action ultérieure en fonction de l’ordre des priorités des problèmes urgents au titre du Point 8 de l’ordre du jour, à soumettre dans l’intersession, pour examen, à un groupe composé</w:t>
      </w:r>
      <w:r w:rsidRPr="000F4D61">
        <w:rPr>
          <w:rFonts w:cstheme="minorHAnsi"/>
          <w:lang w:val="fr-FR"/>
        </w:rPr>
        <w:t xml:space="preserve"> </w:t>
      </w:r>
      <w:r w:rsidRPr="000F4D61">
        <w:rPr>
          <w:rFonts w:cstheme="minorHAnsi"/>
          <w:b/>
          <w:lang w:val="fr-FR"/>
        </w:rPr>
        <w:t>des États-Unis d’Amérique, des Pays-Bas, de la Suède et du Président du GEST, parallèlement à des conseils sur la capacité requise pour mener à bien le processus</w:t>
      </w:r>
      <w:r w:rsidR="004C724E" w:rsidRPr="000F4D61">
        <w:rPr>
          <w:rStyle w:val="FootnoteReference"/>
          <w:rFonts w:cstheme="minorHAnsi"/>
          <w:b/>
          <w:lang w:val="fr-FR"/>
        </w:rPr>
        <w:footnoteReference w:id="2"/>
      </w:r>
      <w:r w:rsidRPr="000F4D61">
        <w:rPr>
          <w:rFonts w:cstheme="minorHAnsi"/>
          <w:b/>
          <w:lang w:val="fr-FR"/>
        </w:rPr>
        <w:t>.</w:t>
      </w:r>
    </w:p>
    <w:p w14:paraId="558CFB61" w14:textId="77777777" w:rsidR="001C7509" w:rsidRPr="000F4D61" w:rsidRDefault="001C7509" w:rsidP="00D13385">
      <w:pPr>
        <w:spacing w:after="0" w:line="240" w:lineRule="auto"/>
        <w:rPr>
          <w:rFonts w:cstheme="minorHAnsi"/>
          <w:lang w:val="fr-FR"/>
        </w:rPr>
      </w:pPr>
    </w:p>
    <w:p w14:paraId="1C949AC5"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10 de l’ordre du jour : Rapport du Groupe de travail sur l’efficacité et approbation du mandat du Groupe </w:t>
      </w:r>
    </w:p>
    <w:p w14:paraId="4C440D83" w14:textId="77777777" w:rsidR="001C7509" w:rsidRPr="000F4D61" w:rsidRDefault="001C7509" w:rsidP="00D13385">
      <w:pPr>
        <w:spacing w:after="0" w:line="240" w:lineRule="auto"/>
        <w:rPr>
          <w:rFonts w:cstheme="minorHAnsi"/>
          <w:b/>
          <w:lang w:val="fr-FR"/>
        </w:rPr>
      </w:pPr>
    </w:p>
    <w:p w14:paraId="69C733D4" w14:textId="77777777" w:rsidR="001C7509" w:rsidRPr="000F4D61" w:rsidRDefault="001C7509" w:rsidP="00D13385">
      <w:pPr>
        <w:spacing w:after="0" w:line="240" w:lineRule="auto"/>
        <w:rPr>
          <w:rFonts w:cstheme="minorHAnsi"/>
          <w:b/>
          <w:lang w:val="fr-FR"/>
        </w:rPr>
      </w:pPr>
      <w:r w:rsidRPr="000F4D61">
        <w:rPr>
          <w:rFonts w:cstheme="minorHAnsi"/>
          <w:b/>
          <w:lang w:val="fr-FR"/>
        </w:rPr>
        <w:t>Décision SC57-</w:t>
      </w:r>
      <w:r w:rsidR="004C724E" w:rsidRPr="000F4D61">
        <w:rPr>
          <w:rFonts w:cstheme="minorHAnsi"/>
          <w:b/>
          <w:lang w:val="fr-FR"/>
        </w:rPr>
        <w:t>20</w:t>
      </w:r>
      <w:r w:rsidR="0076401D" w:rsidRPr="000F4D61">
        <w:rPr>
          <w:rFonts w:cstheme="minorHAnsi"/>
          <w:b/>
          <w:lang w:val="fr-FR"/>
        </w:rPr>
        <w:t xml:space="preserve"> </w:t>
      </w:r>
      <w:r w:rsidRPr="000F4D61">
        <w:rPr>
          <w:rFonts w:cstheme="minorHAnsi"/>
          <w:b/>
          <w:lang w:val="fr-FR"/>
        </w:rPr>
        <w:t xml:space="preserve">: Le Comité permanent approuve le mandat du Groupe de travail sur l’efficacité figurant dans le document SC57 Com.1 et prend note de la nomination du </w:t>
      </w:r>
      <w:r w:rsidR="00E3457B" w:rsidRPr="000F4D61">
        <w:rPr>
          <w:rFonts w:cstheme="minorHAnsi"/>
          <w:b/>
          <w:lang w:val="fr-FR"/>
        </w:rPr>
        <w:t xml:space="preserve">Royaume-Uni de Grande-Bretagne et d’Irlande du Nord </w:t>
      </w:r>
      <w:r w:rsidRPr="000F4D61">
        <w:rPr>
          <w:rFonts w:cstheme="minorHAnsi"/>
          <w:b/>
          <w:lang w:val="fr-FR"/>
        </w:rPr>
        <w:t>et de la Zambie à la coprésidence du Groupe.</w:t>
      </w:r>
    </w:p>
    <w:p w14:paraId="1A1C32AC" w14:textId="77777777" w:rsidR="001C7509" w:rsidRPr="000F4D61" w:rsidRDefault="001C7509" w:rsidP="00D13385">
      <w:pPr>
        <w:spacing w:after="0" w:line="240" w:lineRule="auto"/>
        <w:rPr>
          <w:rFonts w:cstheme="minorHAnsi"/>
          <w:lang w:val="fr-FR"/>
        </w:rPr>
      </w:pPr>
    </w:p>
    <w:p w14:paraId="46D09E1E"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lastRenderedPageBreak/>
        <w:t xml:space="preserve">Point 16 de l’ordre du jour : Plan de travail du Secrétariat pour 2019-2021 </w:t>
      </w:r>
    </w:p>
    <w:p w14:paraId="7CF81C0B" w14:textId="77777777" w:rsidR="001C7509" w:rsidRPr="000F4D61" w:rsidRDefault="001C7509" w:rsidP="00D13385">
      <w:pPr>
        <w:spacing w:after="0" w:line="240" w:lineRule="auto"/>
        <w:rPr>
          <w:rFonts w:cstheme="minorHAnsi"/>
          <w:lang w:val="fr-FR"/>
        </w:rPr>
      </w:pPr>
    </w:p>
    <w:p w14:paraId="5558D784" w14:textId="77777777" w:rsidR="001C7509" w:rsidRPr="000F4D61" w:rsidRDefault="001C7509" w:rsidP="00D13385">
      <w:pPr>
        <w:spacing w:after="0" w:line="240" w:lineRule="auto"/>
        <w:rPr>
          <w:rFonts w:cstheme="minorHAnsi"/>
          <w:b/>
          <w:lang w:val="fr-FR"/>
        </w:rPr>
      </w:pPr>
      <w:r w:rsidRPr="000F4D61">
        <w:rPr>
          <w:rFonts w:cstheme="minorHAnsi"/>
          <w:b/>
          <w:lang w:val="fr-FR"/>
        </w:rPr>
        <w:t>Décision SC57-</w:t>
      </w:r>
      <w:r w:rsidR="004C724E" w:rsidRPr="000F4D61">
        <w:rPr>
          <w:rFonts w:cstheme="minorHAnsi"/>
          <w:b/>
          <w:lang w:val="fr-FR"/>
        </w:rPr>
        <w:t>21</w:t>
      </w:r>
      <w:r w:rsidR="0076401D" w:rsidRPr="000F4D61">
        <w:rPr>
          <w:rFonts w:cstheme="minorHAnsi"/>
          <w:b/>
          <w:lang w:val="fr-FR"/>
        </w:rPr>
        <w:t xml:space="preserve"> </w:t>
      </w:r>
      <w:r w:rsidRPr="000F4D61">
        <w:rPr>
          <w:rFonts w:cstheme="minorHAnsi"/>
          <w:b/>
          <w:lang w:val="fr-FR"/>
        </w:rPr>
        <w:t>: Le Comité permanent approuve l</w:t>
      </w:r>
      <w:r w:rsidR="0076401D" w:rsidRPr="000F4D61">
        <w:rPr>
          <w:rFonts w:cstheme="minorHAnsi"/>
          <w:b/>
          <w:lang w:val="fr-FR"/>
        </w:rPr>
        <w:t>e</w:t>
      </w:r>
      <w:r w:rsidRPr="000F4D61">
        <w:rPr>
          <w:rFonts w:cstheme="minorHAnsi"/>
          <w:b/>
          <w:lang w:val="fr-FR"/>
        </w:rPr>
        <w:t xml:space="preserve"> Plan de travail du Secrétariat pour 2019-2021, avec quelques modifications rédactionnelles mineures que les Parties soumettront au Secrétariat.</w:t>
      </w:r>
    </w:p>
    <w:p w14:paraId="5EE6FAAB" w14:textId="77777777" w:rsidR="001C7509" w:rsidRPr="000F4D61" w:rsidRDefault="001C7509" w:rsidP="00D13385">
      <w:pPr>
        <w:pStyle w:val="Default"/>
        <w:rPr>
          <w:rFonts w:asciiTheme="minorHAnsi" w:hAnsiTheme="minorHAnsi" w:cstheme="minorHAnsi"/>
          <w:sz w:val="22"/>
          <w:szCs w:val="22"/>
          <w:lang w:val="fr-FR"/>
        </w:rPr>
      </w:pPr>
    </w:p>
    <w:p w14:paraId="5E2B650F"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 Point 15.3 de l’ordre du jour : Communication, renforcement des capacités, éducation, sensibilisation et participation (CESP) – Application de la Résolution XIII.1, </w:t>
      </w:r>
      <w:r w:rsidRPr="000F4D61">
        <w:rPr>
          <w:rFonts w:cstheme="minorHAnsi"/>
          <w:bCs/>
          <w:i/>
          <w:lang w:val="fr-FR"/>
        </w:rPr>
        <w:t>Journée mondiale des zones humides</w:t>
      </w:r>
      <w:r w:rsidRPr="000F4D61">
        <w:rPr>
          <w:rFonts w:cstheme="minorHAnsi"/>
          <w:bCs/>
          <w:lang w:val="fr-FR"/>
        </w:rPr>
        <w:t xml:space="preserve"> (demande </w:t>
      </w:r>
      <w:r w:rsidR="0076401D" w:rsidRPr="000F4D61">
        <w:rPr>
          <w:rFonts w:cstheme="minorHAnsi"/>
          <w:bCs/>
          <w:lang w:val="fr-FR"/>
        </w:rPr>
        <w:t>aux</w:t>
      </w:r>
      <w:r w:rsidRPr="000F4D61">
        <w:rPr>
          <w:rFonts w:cstheme="minorHAnsi"/>
          <w:bCs/>
          <w:lang w:val="fr-FR"/>
        </w:rPr>
        <w:t xml:space="preserve"> Nations Unies)</w:t>
      </w:r>
    </w:p>
    <w:p w14:paraId="2C3F7D8E" w14:textId="77777777" w:rsidR="001C7509" w:rsidRPr="000F4D61" w:rsidRDefault="001C7509" w:rsidP="00D13385">
      <w:pPr>
        <w:spacing w:after="0" w:line="240" w:lineRule="auto"/>
        <w:ind w:left="425" w:hanging="425"/>
        <w:rPr>
          <w:rFonts w:cstheme="minorHAnsi"/>
          <w:lang w:val="fr-FR"/>
        </w:rPr>
      </w:pPr>
    </w:p>
    <w:p w14:paraId="1AC086C2" w14:textId="77777777" w:rsidR="001C7509" w:rsidRPr="000F4D61" w:rsidRDefault="001C7509" w:rsidP="00D13385">
      <w:pPr>
        <w:spacing w:after="0" w:line="240" w:lineRule="auto"/>
        <w:rPr>
          <w:rFonts w:cstheme="minorHAnsi"/>
          <w:b/>
          <w:lang w:val="fr-FR"/>
        </w:rPr>
      </w:pPr>
      <w:r w:rsidRPr="000F4D61">
        <w:rPr>
          <w:rFonts w:cstheme="minorHAnsi"/>
          <w:b/>
          <w:lang w:val="fr-FR"/>
        </w:rPr>
        <w:t>Décision SC57-</w:t>
      </w:r>
      <w:r w:rsidR="004C724E" w:rsidRPr="000F4D61">
        <w:rPr>
          <w:rFonts w:cstheme="minorHAnsi"/>
          <w:b/>
          <w:lang w:val="fr-FR"/>
        </w:rPr>
        <w:t>22</w:t>
      </w:r>
      <w:r w:rsidR="0076401D" w:rsidRPr="000F4D61">
        <w:rPr>
          <w:rFonts w:cstheme="minorHAnsi"/>
          <w:b/>
          <w:lang w:val="fr-FR"/>
        </w:rPr>
        <w:t xml:space="preserve"> </w:t>
      </w:r>
      <w:r w:rsidRPr="000F4D61">
        <w:rPr>
          <w:rFonts w:cstheme="minorHAnsi"/>
          <w:b/>
          <w:lang w:val="fr-FR"/>
        </w:rPr>
        <w:t>: Le Comité permanent charge le Secrétariat d’établir les points de discussion et de les partager avec les Parties contractantes afin de faciliter la cohérence des messages à l’appui de l’initiative.</w:t>
      </w:r>
    </w:p>
    <w:p w14:paraId="66FE6F9B" w14:textId="77777777" w:rsidR="001C7509" w:rsidRPr="000F4D61" w:rsidRDefault="001C7509" w:rsidP="00D13385">
      <w:pPr>
        <w:pStyle w:val="Default"/>
        <w:rPr>
          <w:rFonts w:asciiTheme="minorHAnsi" w:hAnsiTheme="minorHAnsi" w:cstheme="minorHAnsi"/>
          <w:sz w:val="22"/>
          <w:szCs w:val="22"/>
          <w:lang w:val="fr-FR"/>
        </w:rPr>
      </w:pPr>
    </w:p>
    <w:p w14:paraId="4A0C70D0" w14:textId="77777777"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19 de l’ordre du jour : Plan de travail de la Convention de Ramsar pour la mobilisation des ressources </w:t>
      </w:r>
    </w:p>
    <w:p w14:paraId="43F3121E" w14:textId="77777777" w:rsidR="001C7509" w:rsidRPr="000F4D61" w:rsidRDefault="001C7509" w:rsidP="00D13385">
      <w:pPr>
        <w:pStyle w:val="Default"/>
        <w:rPr>
          <w:rFonts w:asciiTheme="minorHAnsi" w:hAnsiTheme="minorHAnsi" w:cstheme="minorHAnsi"/>
          <w:sz w:val="22"/>
          <w:szCs w:val="22"/>
          <w:lang w:val="fr-FR"/>
        </w:rPr>
      </w:pPr>
    </w:p>
    <w:p w14:paraId="5F0ACEF4" w14:textId="77777777" w:rsidR="001C7509" w:rsidRPr="000F4D61" w:rsidRDefault="001C7509" w:rsidP="00D13385">
      <w:pPr>
        <w:spacing w:after="0" w:line="240" w:lineRule="auto"/>
        <w:rPr>
          <w:rFonts w:cstheme="minorHAnsi"/>
          <w:b/>
          <w:lang w:val="fr-FR"/>
        </w:rPr>
      </w:pPr>
      <w:r w:rsidRPr="000F4D61">
        <w:rPr>
          <w:rFonts w:cstheme="minorHAnsi"/>
          <w:b/>
          <w:lang w:val="fr-FR"/>
        </w:rPr>
        <w:t>Décision SC57-2</w:t>
      </w:r>
      <w:r w:rsidR="004C724E" w:rsidRPr="000F4D61">
        <w:rPr>
          <w:rFonts w:cstheme="minorHAnsi"/>
          <w:b/>
          <w:lang w:val="fr-FR"/>
        </w:rPr>
        <w:t>3</w:t>
      </w:r>
      <w:r w:rsidR="0076401D" w:rsidRPr="000F4D61">
        <w:rPr>
          <w:rFonts w:cstheme="minorHAnsi"/>
          <w:b/>
          <w:lang w:val="fr-FR"/>
        </w:rPr>
        <w:t xml:space="preserve"> </w:t>
      </w:r>
      <w:r w:rsidRPr="000F4D61">
        <w:rPr>
          <w:rFonts w:cstheme="minorHAnsi"/>
          <w:b/>
          <w:lang w:val="fr-FR"/>
        </w:rPr>
        <w:t>: Le Comité permanent prend note du Plan de travail de la Convention de Ramsar pour la mobilisation des ressources.</w:t>
      </w:r>
    </w:p>
    <w:p w14:paraId="3CB26079" w14:textId="77777777" w:rsidR="001C7509" w:rsidRPr="000F4D61" w:rsidRDefault="001C7509" w:rsidP="00D13385">
      <w:pPr>
        <w:pStyle w:val="Default"/>
        <w:rPr>
          <w:rFonts w:asciiTheme="minorHAnsi" w:hAnsiTheme="minorHAnsi" w:cstheme="minorHAnsi"/>
          <w:sz w:val="22"/>
          <w:szCs w:val="22"/>
          <w:lang w:val="fr-FR"/>
        </w:rPr>
      </w:pPr>
    </w:p>
    <w:p w14:paraId="222BE923" w14:textId="128609AB" w:rsidR="001C7509" w:rsidRPr="000F4D61" w:rsidRDefault="001C7509"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26 de l’ordre du jour : Ville des Zones Humides accréditée : Orientations pour la période triennale 2019-2021</w:t>
      </w:r>
    </w:p>
    <w:p w14:paraId="48F3AAAD" w14:textId="77777777" w:rsidR="001C7509" w:rsidRPr="000F4D61" w:rsidRDefault="001C7509" w:rsidP="00D13385">
      <w:pPr>
        <w:pStyle w:val="Default"/>
        <w:rPr>
          <w:rFonts w:asciiTheme="minorHAnsi" w:hAnsiTheme="minorHAnsi" w:cstheme="minorHAnsi"/>
          <w:sz w:val="22"/>
          <w:szCs w:val="22"/>
          <w:lang w:val="fr-FR"/>
        </w:rPr>
      </w:pPr>
    </w:p>
    <w:p w14:paraId="46E793ED" w14:textId="77777777" w:rsidR="001C7509" w:rsidRPr="000F4D61" w:rsidRDefault="001C7509"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SC57-2</w:t>
      </w:r>
      <w:r w:rsidR="004C724E" w:rsidRPr="000F4D61">
        <w:rPr>
          <w:rFonts w:asciiTheme="minorHAnsi" w:hAnsiTheme="minorHAnsi" w:cstheme="minorHAnsi"/>
          <w:b/>
          <w:sz w:val="22"/>
          <w:szCs w:val="22"/>
          <w:lang w:val="fr-FR"/>
        </w:rPr>
        <w:t>4</w:t>
      </w:r>
      <w:r w:rsidR="0076401D" w:rsidRPr="000F4D61">
        <w:rPr>
          <w:rFonts w:asciiTheme="minorHAnsi" w:hAnsiTheme="minorHAnsi" w:cstheme="minorHAnsi"/>
          <w:b/>
          <w:sz w:val="22"/>
          <w:szCs w:val="22"/>
          <w:lang w:val="fr-FR"/>
        </w:rPr>
        <w:t xml:space="preserve"> </w:t>
      </w:r>
      <w:r w:rsidRPr="000F4D61">
        <w:rPr>
          <w:rFonts w:asciiTheme="minorHAnsi" w:hAnsiTheme="minorHAnsi" w:cstheme="minorHAnsi"/>
          <w:b/>
          <w:sz w:val="22"/>
          <w:szCs w:val="22"/>
          <w:lang w:val="fr-FR"/>
        </w:rPr>
        <w:t xml:space="preserve">: Le Comité permanent approuve le calendrier prévu pour la procédure d’accréditation d’une Ville des Zones humides pour la période triennale 2019-2021. </w:t>
      </w:r>
    </w:p>
    <w:p w14:paraId="268A0D48" w14:textId="77777777" w:rsidR="001C7509" w:rsidRPr="000F4D61" w:rsidRDefault="001C7509" w:rsidP="00D13385">
      <w:pPr>
        <w:pStyle w:val="Default"/>
        <w:rPr>
          <w:rFonts w:asciiTheme="minorHAnsi" w:hAnsiTheme="minorHAnsi" w:cstheme="minorHAnsi"/>
          <w:sz w:val="22"/>
          <w:szCs w:val="22"/>
          <w:lang w:val="fr-FR"/>
        </w:rPr>
      </w:pPr>
    </w:p>
    <w:p w14:paraId="192C585A" w14:textId="77777777" w:rsidR="001C7509" w:rsidRPr="000F4D61" w:rsidRDefault="001C7509" w:rsidP="001F102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27.1 de l’ordre du jour : Implications de réunions conjointes du Comité permanent et du Groupe d'évaluation scientifique et technique </w:t>
      </w:r>
    </w:p>
    <w:p w14:paraId="535B3A28" w14:textId="77777777" w:rsidR="001C7509" w:rsidRPr="000F4D61" w:rsidRDefault="001C7509" w:rsidP="00D13385">
      <w:pPr>
        <w:spacing w:after="0" w:line="240" w:lineRule="auto"/>
        <w:ind w:left="425" w:hanging="425"/>
        <w:rPr>
          <w:rFonts w:cstheme="minorHAnsi"/>
          <w:b/>
          <w:lang w:val="fr-FR"/>
        </w:rPr>
      </w:pPr>
    </w:p>
    <w:p w14:paraId="6DD2F409" w14:textId="559A5E37" w:rsidR="001C7509" w:rsidRDefault="001C7509" w:rsidP="00D13385">
      <w:pPr>
        <w:spacing w:after="0" w:line="240" w:lineRule="auto"/>
        <w:rPr>
          <w:rFonts w:cstheme="minorHAnsi"/>
          <w:b/>
          <w:lang w:val="fr-FR"/>
        </w:rPr>
      </w:pPr>
      <w:r w:rsidRPr="000F4D61">
        <w:rPr>
          <w:rFonts w:cstheme="minorHAnsi"/>
          <w:b/>
          <w:lang w:val="fr-FR"/>
        </w:rPr>
        <w:t>Décision SC57-2</w:t>
      </w:r>
      <w:r w:rsidR="004C724E" w:rsidRPr="000F4D61">
        <w:rPr>
          <w:rFonts w:cstheme="minorHAnsi"/>
          <w:b/>
          <w:lang w:val="fr-FR"/>
        </w:rPr>
        <w:t>5</w:t>
      </w:r>
      <w:r w:rsidRPr="000F4D61">
        <w:rPr>
          <w:rFonts w:cstheme="minorHAnsi"/>
          <w:b/>
          <w:lang w:val="fr-FR"/>
        </w:rPr>
        <w:t xml:space="preserve"> : Le Comité permanent approuve la proposition selon laquelle un ou plusieurs membres du GEST pourraient être invités à participer à des discussions durant des réunions du Comité permanent traitant de questions d’actualité importantes ou de sujets sur lesquels de nouvelles informations significatives sont disponibles.</w:t>
      </w:r>
    </w:p>
    <w:p w14:paraId="1E1D39C7" w14:textId="77777777" w:rsidR="00216D6F" w:rsidRPr="000F4D61" w:rsidRDefault="00216D6F" w:rsidP="00D13385">
      <w:pPr>
        <w:spacing w:after="0" w:line="240" w:lineRule="auto"/>
        <w:rPr>
          <w:rFonts w:cstheme="minorHAnsi"/>
          <w:b/>
          <w:lang w:val="fr-FR"/>
        </w:rPr>
      </w:pPr>
    </w:p>
    <w:p w14:paraId="745D1E2F" w14:textId="1EB57738" w:rsidR="00DD00FA" w:rsidRPr="000F4D61" w:rsidRDefault="00DD00FA"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0F4D61">
        <w:rPr>
          <w:rFonts w:cstheme="minorHAnsi"/>
          <w:bCs/>
          <w:lang w:val="fr-CH"/>
        </w:rPr>
        <w:t xml:space="preserve">Point </w:t>
      </w:r>
      <w:r w:rsidRPr="000F4D61">
        <w:rPr>
          <w:rFonts w:cstheme="minorHAnsi"/>
          <w:lang w:val="fr-CH"/>
        </w:rPr>
        <w:t xml:space="preserve">17 de l’ordre du jour </w:t>
      </w:r>
      <w:r w:rsidRPr="000F4D61">
        <w:rPr>
          <w:rFonts w:cstheme="minorHAnsi"/>
          <w:bCs/>
          <w:lang w:val="fr-CH"/>
        </w:rPr>
        <w:t xml:space="preserve">: </w:t>
      </w:r>
      <w:r w:rsidRPr="000F4D61">
        <w:rPr>
          <w:rFonts w:cstheme="minorHAnsi"/>
          <w:bCs/>
          <w:spacing w:val="-2"/>
          <w:lang w:val="fr-CH"/>
        </w:rPr>
        <w:t>Renforcer la visibilité de la Convention et les synergies avec d’autres accords multilatéraux sur l’environnement et institutions internationales</w:t>
      </w:r>
    </w:p>
    <w:p w14:paraId="7C14DA1C" w14:textId="77777777" w:rsidR="00DD00FA" w:rsidRPr="000F4D61" w:rsidRDefault="00DD00FA" w:rsidP="00D13385">
      <w:pPr>
        <w:spacing w:after="0" w:line="240" w:lineRule="auto"/>
        <w:rPr>
          <w:rFonts w:cstheme="minorHAnsi"/>
          <w:lang w:val="fr-CH"/>
        </w:rPr>
      </w:pPr>
    </w:p>
    <w:p w14:paraId="47005ED5" w14:textId="77777777" w:rsidR="00DD00FA" w:rsidRPr="000F4D61" w:rsidRDefault="00DD00FA" w:rsidP="00D13385">
      <w:pPr>
        <w:spacing w:after="0" w:line="240" w:lineRule="auto"/>
        <w:rPr>
          <w:rFonts w:cstheme="minorHAnsi"/>
          <w:b/>
          <w:lang w:val="fr-CH"/>
        </w:rPr>
      </w:pPr>
      <w:r w:rsidRPr="000F4D61">
        <w:rPr>
          <w:rFonts w:cstheme="minorHAnsi"/>
          <w:b/>
          <w:lang w:val="fr-CH"/>
        </w:rPr>
        <w:t>Décision SC57-2</w:t>
      </w:r>
      <w:r w:rsidR="004C724E" w:rsidRPr="000F4D61">
        <w:rPr>
          <w:rFonts w:cstheme="minorHAnsi"/>
          <w:b/>
          <w:lang w:val="fr-CH"/>
        </w:rPr>
        <w:t>6</w:t>
      </w:r>
      <w:r w:rsidRPr="000F4D61">
        <w:rPr>
          <w:rFonts w:cstheme="minorHAnsi"/>
          <w:b/>
          <w:lang w:val="fr-CH"/>
        </w:rPr>
        <w:t xml:space="preserve"> : Le Comité permanent encourage les Parties contractantes, par l’intermédiaire de leurs Correspondants nationaux Ramsar, à assurer la liaison et collaborer avec leurs homologues de la Convention sur la diversité biologique et à participer à l’élaboration de la position de leurs pays respectifs concernant le processus du Cadre </w:t>
      </w:r>
      <w:r w:rsidR="00A160CC" w:rsidRPr="000F4D61">
        <w:rPr>
          <w:rFonts w:cstheme="minorHAnsi"/>
          <w:b/>
          <w:lang w:val="fr-CH"/>
        </w:rPr>
        <w:t xml:space="preserve">mondial </w:t>
      </w:r>
      <w:r w:rsidRPr="000F4D61">
        <w:rPr>
          <w:rFonts w:cstheme="minorHAnsi"/>
          <w:b/>
          <w:lang w:val="fr-CH"/>
        </w:rPr>
        <w:t>de la biodiversité pour l’après</w:t>
      </w:r>
      <w:r w:rsidRPr="000F4D61">
        <w:rPr>
          <w:rFonts w:cstheme="minorHAnsi"/>
          <w:b/>
          <w:lang w:val="fr-CH"/>
        </w:rPr>
        <w:noBreakHyphen/>
        <w:t>2020 de la CDB pour s’assurer que les éléments pertinents relatifs à Ramsar figurent dans les positions et les soumissions de leurs pays au processus d’élaboration du Cadre de la biodiversité pour l’après</w:t>
      </w:r>
      <w:r w:rsidRPr="000F4D61">
        <w:rPr>
          <w:rFonts w:cstheme="minorHAnsi"/>
          <w:b/>
          <w:lang w:val="fr-CH"/>
        </w:rPr>
        <w:noBreakHyphen/>
        <w:t xml:space="preserve">2020 de la CDB. Le Comité permanent encourage aussi les Parties contractantes, une fois encore par l’intermédiaire de leurs Correspondants nationaux, à assurer la liaison et collaborer avec leurs homologues responsables d’autres conventions relatives à la biodiversité afin d’encourager les synergies au niveau national. </w:t>
      </w:r>
    </w:p>
    <w:p w14:paraId="7442E91E" w14:textId="77777777" w:rsidR="00DD00FA" w:rsidRPr="000F4D61" w:rsidRDefault="00DD00FA" w:rsidP="00D13385">
      <w:pPr>
        <w:spacing w:after="0" w:line="240" w:lineRule="auto"/>
        <w:rPr>
          <w:rFonts w:cstheme="minorHAnsi"/>
          <w:b/>
          <w:lang w:val="fr-CH"/>
        </w:rPr>
      </w:pPr>
    </w:p>
    <w:p w14:paraId="45F618A3" w14:textId="77777777" w:rsidR="00DD00FA" w:rsidRPr="000F4D61" w:rsidRDefault="00DD00FA" w:rsidP="00D13385">
      <w:pPr>
        <w:keepNext/>
        <w:spacing w:after="0" w:line="240" w:lineRule="auto"/>
        <w:rPr>
          <w:rFonts w:cstheme="minorHAnsi"/>
          <w:b/>
          <w:lang w:val="fr-CH"/>
        </w:rPr>
      </w:pPr>
      <w:r w:rsidRPr="000F4D61">
        <w:rPr>
          <w:rFonts w:cstheme="minorHAnsi"/>
          <w:b/>
          <w:lang w:val="fr-CH"/>
        </w:rPr>
        <w:lastRenderedPageBreak/>
        <w:t>Décision SC57-2</w:t>
      </w:r>
      <w:r w:rsidR="004C724E" w:rsidRPr="000F4D61">
        <w:rPr>
          <w:rFonts w:cstheme="minorHAnsi"/>
          <w:b/>
          <w:lang w:val="fr-CH"/>
        </w:rPr>
        <w:t>7</w:t>
      </w:r>
      <w:r w:rsidRPr="000F4D61">
        <w:rPr>
          <w:rFonts w:cstheme="minorHAnsi"/>
          <w:b/>
          <w:lang w:val="fr-CH"/>
        </w:rPr>
        <w:t xml:space="preserve"> : Le Comité permanent donne instruction au Secrétariat :</w:t>
      </w:r>
    </w:p>
    <w:p w14:paraId="0D1BFF0F" w14:textId="77777777" w:rsidR="00DD00FA" w:rsidRPr="000F4D61" w:rsidRDefault="00DD00FA" w:rsidP="00D13385">
      <w:pPr>
        <w:pStyle w:val="xmsonormal"/>
        <w:keepNext/>
        <w:shd w:val="clear" w:color="auto" w:fill="FFFFFF"/>
        <w:spacing w:before="0" w:beforeAutospacing="0" w:after="0" w:afterAutospacing="0"/>
        <w:ind w:left="425" w:hanging="425"/>
        <w:rPr>
          <w:rFonts w:asciiTheme="minorHAnsi" w:hAnsiTheme="minorHAnsi" w:cstheme="minorHAnsi"/>
          <w:b/>
          <w:sz w:val="22"/>
          <w:szCs w:val="22"/>
          <w:lang w:val="fr-CH"/>
        </w:rPr>
      </w:pPr>
    </w:p>
    <w:p w14:paraId="06148DC3" w14:textId="77777777" w:rsidR="00DD00FA" w:rsidRPr="000F4D61" w:rsidRDefault="008F72B8"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r w:rsidRPr="000F4D61">
        <w:rPr>
          <w:rFonts w:asciiTheme="minorHAnsi" w:hAnsiTheme="minorHAnsi" w:cstheme="minorHAnsi"/>
          <w:b/>
          <w:sz w:val="22"/>
          <w:szCs w:val="22"/>
          <w:lang w:val="fr-CH"/>
        </w:rPr>
        <w:t>a</w:t>
      </w:r>
      <w:r w:rsidR="00DD00FA" w:rsidRPr="000F4D61">
        <w:rPr>
          <w:rFonts w:asciiTheme="minorHAnsi" w:hAnsiTheme="minorHAnsi" w:cstheme="minorHAnsi"/>
          <w:b/>
          <w:sz w:val="22"/>
          <w:szCs w:val="22"/>
          <w:lang w:val="fr-CH"/>
        </w:rPr>
        <w:t>)</w:t>
      </w:r>
      <w:r w:rsidR="00DD00FA" w:rsidRPr="000F4D61">
        <w:rPr>
          <w:rFonts w:asciiTheme="minorHAnsi" w:hAnsiTheme="minorHAnsi" w:cstheme="minorHAnsi"/>
          <w:b/>
          <w:sz w:val="22"/>
          <w:szCs w:val="22"/>
          <w:lang w:val="fr-CH"/>
        </w:rPr>
        <w:tab/>
        <w:t>de communiquer aux Correspondants nationaux Ramsar toutes les informations pertinentes reçues du Secrétariat de la CDB concernant les possibilités de faire des soumissions ou de contribuer au processus de Cadre de la biodiversité pour l’après</w:t>
      </w:r>
      <w:r w:rsidR="00DD00FA" w:rsidRPr="000F4D61">
        <w:rPr>
          <w:rFonts w:asciiTheme="minorHAnsi" w:hAnsiTheme="minorHAnsi" w:cstheme="minorHAnsi"/>
          <w:b/>
          <w:sz w:val="22"/>
          <w:szCs w:val="22"/>
          <w:lang w:val="fr-CH"/>
        </w:rPr>
        <w:noBreakHyphen/>
        <w:t>2020, et d’accompagner ces informations d’un rappel à l’encouragement à collaborer à leurs processus nationaux, contenu dans la Décision SC57-2</w:t>
      </w:r>
      <w:r w:rsidR="00D13385">
        <w:rPr>
          <w:rFonts w:asciiTheme="minorHAnsi" w:hAnsiTheme="minorHAnsi" w:cstheme="minorHAnsi"/>
          <w:b/>
          <w:sz w:val="22"/>
          <w:szCs w:val="22"/>
          <w:lang w:val="fr-CH"/>
        </w:rPr>
        <w:t>6</w:t>
      </w:r>
      <w:r w:rsidR="00DD00FA" w:rsidRPr="000F4D61">
        <w:rPr>
          <w:rFonts w:asciiTheme="minorHAnsi" w:hAnsiTheme="minorHAnsi" w:cstheme="minorHAnsi"/>
          <w:b/>
          <w:sz w:val="22"/>
          <w:szCs w:val="22"/>
          <w:lang w:val="fr-CH"/>
        </w:rPr>
        <w:t> ;</w:t>
      </w:r>
    </w:p>
    <w:p w14:paraId="5D8F24DD" w14:textId="77777777" w:rsidR="00DD00FA" w:rsidRPr="000F4D61" w:rsidRDefault="00DD00FA"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p>
    <w:p w14:paraId="578626DF" w14:textId="77777777" w:rsidR="00DD00FA" w:rsidRPr="000F4D61" w:rsidRDefault="008F72B8"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r w:rsidRPr="000F4D61">
        <w:rPr>
          <w:rFonts w:asciiTheme="minorHAnsi" w:hAnsiTheme="minorHAnsi" w:cstheme="minorHAnsi"/>
          <w:b/>
          <w:sz w:val="22"/>
          <w:szCs w:val="22"/>
          <w:lang w:val="fr-CH"/>
        </w:rPr>
        <w:t>b</w:t>
      </w:r>
      <w:r w:rsidR="00DD00FA" w:rsidRPr="000F4D61">
        <w:rPr>
          <w:rFonts w:asciiTheme="minorHAnsi" w:hAnsiTheme="minorHAnsi" w:cstheme="minorHAnsi"/>
          <w:b/>
          <w:sz w:val="22"/>
          <w:szCs w:val="22"/>
          <w:lang w:val="fr-CH"/>
        </w:rPr>
        <w:t>)</w:t>
      </w:r>
      <w:r w:rsidR="00DD00FA" w:rsidRPr="000F4D61">
        <w:rPr>
          <w:rFonts w:asciiTheme="minorHAnsi" w:hAnsiTheme="minorHAnsi" w:cstheme="minorHAnsi"/>
          <w:b/>
          <w:sz w:val="22"/>
          <w:szCs w:val="22"/>
          <w:lang w:val="fr-CH"/>
        </w:rPr>
        <w:tab/>
        <w:t>d’élaborer et de communiquer à tous les Correspondants nationaux les points de discussion qu’ils pourraient utiliser, pour les aider à énoncer l’importance des zones humides et la pertinence des travaux de Ramsar pour la biodiversité, la pertinence des zones humides et des travaux et données Ramsar pour différents Objectifs d’Aichi pour la biodiversité, les lacunes dans les Objectifs d’Aichi pour la biodiversité qui actuellement négligent les zones humides (par exemple, dans les Objectifs d’Aichi, les travaux côtiers et marins ne prennent pratiquement pas en considération les zones humides côtières) et les possibilités de partager les connaissances et les données disponibles sur les Sites Ramsar et autres mesures de conservation efficaces fondées sur les sites afin de tenir compte des efforts déployés en dehors des aires protégées ;</w:t>
      </w:r>
    </w:p>
    <w:p w14:paraId="508E2B20" w14:textId="77777777" w:rsidR="00DD00FA" w:rsidRPr="000F4D61" w:rsidRDefault="00DD00FA"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p>
    <w:p w14:paraId="79195CF6" w14:textId="77777777" w:rsidR="00DD00FA" w:rsidRPr="000F4D61" w:rsidRDefault="008F72B8"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r w:rsidRPr="000F4D61">
        <w:rPr>
          <w:rFonts w:asciiTheme="minorHAnsi" w:hAnsiTheme="minorHAnsi" w:cstheme="minorHAnsi"/>
          <w:b/>
          <w:sz w:val="22"/>
          <w:szCs w:val="22"/>
          <w:lang w:val="fr-CH"/>
        </w:rPr>
        <w:t>c</w:t>
      </w:r>
      <w:r w:rsidR="00DD00FA" w:rsidRPr="000F4D61">
        <w:rPr>
          <w:rFonts w:asciiTheme="minorHAnsi" w:hAnsiTheme="minorHAnsi" w:cstheme="minorHAnsi"/>
          <w:b/>
          <w:sz w:val="22"/>
          <w:szCs w:val="22"/>
          <w:lang w:val="fr-CH"/>
        </w:rPr>
        <w:t xml:space="preserve">) </w:t>
      </w:r>
      <w:r w:rsidR="00DD00FA" w:rsidRPr="000F4D61">
        <w:rPr>
          <w:rFonts w:asciiTheme="minorHAnsi" w:hAnsiTheme="minorHAnsi" w:cstheme="minorHAnsi"/>
          <w:b/>
          <w:sz w:val="22"/>
          <w:szCs w:val="22"/>
          <w:lang w:val="fr-CH"/>
        </w:rPr>
        <w:tab/>
        <w:t xml:space="preserve">d’élaborer et de partager avec tous les Correspondants nationaux les points de discussion qu’ils pourraient utiliser, pour les aider à énoncer l’importance des zones humides et la pertinence des travaux et données Ramsar dans leur application des Objectifs de développement durable ; </w:t>
      </w:r>
    </w:p>
    <w:p w14:paraId="5D10509C" w14:textId="77777777" w:rsidR="00DD00FA" w:rsidRPr="000F4D61" w:rsidRDefault="00DD00FA"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p>
    <w:p w14:paraId="55F16BA1" w14:textId="77777777" w:rsidR="00DD00FA" w:rsidRPr="000F4D61" w:rsidRDefault="008F72B8" w:rsidP="001F102C">
      <w:pPr>
        <w:pStyle w:val="xmsonormal"/>
        <w:shd w:val="clear" w:color="auto" w:fill="FFFFFF"/>
        <w:spacing w:before="0" w:beforeAutospacing="0" w:after="0" w:afterAutospacing="0"/>
        <w:ind w:left="567" w:hanging="567"/>
        <w:rPr>
          <w:rFonts w:asciiTheme="minorHAnsi" w:hAnsiTheme="minorHAnsi" w:cstheme="minorHAnsi"/>
          <w:b/>
          <w:sz w:val="22"/>
          <w:szCs w:val="22"/>
          <w:lang w:val="fr-CH"/>
        </w:rPr>
      </w:pPr>
      <w:r w:rsidRPr="000F4D61">
        <w:rPr>
          <w:rFonts w:asciiTheme="minorHAnsi" w:hAnsiTheme="minorHAnsi" w:cstheme="minorHAnsi"/>
          <w:b/>
          <w:sz w:val="22"/>
          <w:szCs w:val="22"/>
          <w:lang w:val="fr-CH"/>
        </w:rPr>
        <w:t>d</w:t>
      </w:r>
      <w:r w:rsidR="00DD00FA" w:rsidRPr="000F4D61">
        <w:rPr>
          <w:rFonts w:asciiTheme="minorHAnsi" w:hAnsiTheme="minorHAnsi" w:cstheme="minorHAnsi"/>
          <w:b/>
          <w:sz w:val="22"/>
          <w:szCs w:val="22"/>
          <w:lang w:val="fr-CH"/>
        </w:rPr>
        <w:t>)</w:t>
      </w:r>
      <w:r w:rsidR="00DD00FA" w:rsidRPr="000F4D61">
        <w:rPr>
          <w:rFonts w:asciiTheme="minorHAnsi" w:hAnsiTheme="minorHAnsi" w:cstheme="minorHAnsi"/>
          <w:b/>
          <w:sz w:val="22"/>
          <w:szCs w:val="22"/>
          <w:lang w:val="fr-CH"/>
        </w:rPr>
        <w:tab/>
        <w:t>de partager avec tous les Correspondants nationaux le document qui fait correspondre le Plan stratégique Ramsar 2016-2024 aux Objectifs d’Aichi pour la biodiversité et aux Objectifs de développement durable en appui aux efforts qu’ils déploient pour faire une place aux travaux et données Ramsar dans les efforts engagés par leurs pays pour appliquer leurs engagements envers les processus de la CDB et des ODD.</w:t>
      </w:r>
    </w:p>
    <w:p w14:paraId="7CE2DCF7" w14:textId="77777777" w:rsidR="003866F0" w:rsidRPr="000F4D61" w:rsidRDefault="003866F0" w:rsidP="00D13385">
      <w:pPr>
        <w:spacing w:after="0" w:line="240" w:lineRule="auto"/>
        <w:rPr>
          <w:rFonts w:cstheme="minorHAnsi"/>
          <w:lang w:val="fr-FR"/>
        </w:rPr>
      </w:pPr>
    </w:p>
    <w:p w14:paraId="2643DF27" w14:textId="77777777" w:rsidR="003866F0" w:rsidRPr="000F4D61" w:rsidRDefault="003866F0"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w:t>
      </w:r>
      <w:r w:rsidRPr="000F4D61">
        <w:rPr>
          <w:rFonts w:cstheme="minorHAnsi"/>
          <w:lang w:val="fr-FR"/>
        </w:rPr>
        <w:t xml:space="preserve">25 de l’ordre du jour </w:t>
      </w:r>
      <w:r w:rsidRPr="000F4D61">
        <w:rPr>
          <w:rFonts w:cstheme="minorHAnsi"/>
          <w:bCs/>
          <w:lang w:val="fr-FR"/>
        </w:rPr>
        <w:t xml:space="preserve">: </w:t>
      </w:r>
      <w:r w:rsidRPr="000F4D61">
        <w:rPr>
          <w:rFonts w:cstheme="minorHAnsi"/>
          <w:bCs/>
          <w:spacing w:val="-2"/>
          <w:lang w:val="fr-FR"/>
        </w:rPr>
        <w:t>Rapport du Secrétariat sur les Initiatives régionales Ramsar en 2018 et 2019, et constitution du Groupe de travail sur les Initiatives régionales Ramsar</w:t>
      </w:r>
      <w:r w:rsidRPr="000F4D61">
        <w:rPr>
          <w:rFonts w:cstheme="minorHAnsi"/>
          <w:bCs/>
          <w:lang w:val="fr-FR"/>
        </w:rPr>
        <w:t xml:space="preserve"> (suite)</w:t>
      </w:r>
    </w:p>
    <w:p w14:paraId="654F5FAE" w14:textId="77777777" w:rsidR="003866F0" w:rsidRPr="000F4D61" w:rsidRDefault="003866F0" w:rsidP="00D13385">
      <w:pPr>
        <w:spacing w:after="0" w:line="240" w:lineRule="auto"/>
        <w:rPr>
          <w:rFonts w:cstheme="minorHAnsi"/>
          <w:lang w:val="fr-CH"/>
        </w:rPr>
      </w:pPr>
    </w:p>
    <w:p w14:paraId="31168777" w14:textId="77777777" w:rsidR="003866F0" w:rsidRPr="000F4D61" w:rsidRDefault="003866F0" w:rsidP="00D13385">
      <w:pPr>
        <w:spacing w:after="0" w:line="240" w:lineRule="auto"/>
        <w:rPr>
          <w:rFonts w:cstheme="minorHAnsi"/>
          <w:b/>
          <w:lang w:val="fr-CH"/>
        </w:rPr>
      </w:pPr>
      <w:r w:rsidRPr="000F4D61">
        <w:rPr>
          <w:rFonts w:cstheme="minorHAnsi"/>
          <w:b/>
          <w:lang w:val="fr-CH"/>
        </w:rPr>
        <w:t>Décision SC57-2</w:t>
      </w:r>
      <w:r w:rsidR="004C724E" w:rsidRPr="000F4D61">
        <w:rPr>
          <w:rFonts w:cstheme="minorHAnsi"/>
          <w:b/>
          <w:lang w:val="fr-CH"/>
        </w:rPr>
        <w:t>8</w:t>
      </w:r>
      <w:r w:rsidRPr="000F4D61">
        <w:rPr>
          <w:rFonts w:cstheme="minorHAnsi"/>
          <w:b/>
          <w:lang w:val="fr-CH"/>
        </w:rPr>
        <w:t xml:space="preserve"> : Le Comité permanent reconnaît le Groupe de travail sur les Initiatives régionales Ramsar comprenant les coordonnateurs de chaque </w:t>
      </w:r>
      <w:r w:rsidR="002F14F3" w:rsidRPr="000F4D61">
        <w:rPr>
          <w:rFonts w:cstheme="minorHAnsi"/>
          <w:b/>
          <w:lang w:val="fr-CH"/>
        </w:rPr>
        <w:t>I</w:t>
      </w:r>
      <w:r w:rsidRPr="000F4D61">
        <w:rPr>
          <w:rFonts w:cstheme="minorHAnsi"/>
          <w:b/>
          <w:lang w:val="fr-CH"/>
        </w:rPr>
        <w:t xml:space="preserve">nitiative et les représentants régionaux siégeant au Comité permanent. Il demande au Groupe de développer </w:t>
      </w:r>
      <w:r w:rsidR="002F14F3" w:rsidRPr="000F4D61">
        <w:rPr>
          <w:rFonts w:cstheme="minorHAnsi"/>
          <w:b/>
          <w:lang w:val="fr-CH"/>
        </w:rPr>
        <w:t>son mandat et ses</w:t>
      </w:r>
      <w:r w:rsidRPr="000F4D61">
        <w:rPr>
          <w:rFonts w:cstheme="minorHAnsi"/>
          <w:b/>
          <w:lang w:val="fr-CH"/>
        </w:rPr>
        <w:t xml:space="preserve"> options de programme de travail relatives à la Résolution XIII.9 et de les soumettre à la 58</w:t>
      </w:r>
      <w:r w:rsidRPr="000F4D61">
        <w:rPr>
          <w:rFonts w:cstheme="minorHAnsi"/>
          <w:b/>
          <w:vertAlign w:val="superscript"/>
          <w:lang w:val="fr-CH"/>
        </w:rPr>
        <w:t>e</w:t>
      </w:r>
      <w:r w:rsidRPr="000F4D61">
        <w:rPr>
          <w:rFonts w:cstheme="minorHAnsi"/>
          <w:b/>
          <w:lang w:val="fr-CH"/>
        </w:rPr>
        <w:t xml:space="preserve"> Réunion du Comité permanent</w:t>
      </w:r>
      <w:r w:rsidR="002F14F3" w:rsidRPr="00305CA1">
        <w:rPr>
          <w:rStyle w:val="FootnoteReference"/>
          <w:rFonts w:cstheme="minorHAnsi"/>
          <w:lang w:val="fr-CH"/>
        </w:rPr>
        <w:footnoteReference w:id="3"/>
      </w:r>
      <w:r w:rsidRPr="000F4D61">
        <w:rPr>
          <w:rFonts w:cstheme="minorHAnsi"/>
          <w:b/>
          <w:lang w:val="fr-CH"/>
        </w:rPr>
        <w:t xml:space="preserve">. </w:t>
      </w:r>
    </w:p>
    <w:p w14:paraId="4857BBF1" w14:textId="77777777" w:rsidR="003866F0" w:rsidRPr="000F4D61" w:rsidRDefault="003866F0" w:rsidP="00D13385">
      <w:pPr>
        <w:spacing w:after="0" w:line="240" w:lineRule="auto"/>
        <w:rPr>
          <w:rFonts w:cstheme="minorHAnsi"/>
          <w:b/>
          <w:lang w:val="fr-CH"/>
        </w:rPr>
      </w:pPr>
    </w:p>
    <w:p w14:paraId="68D1F2FA" w14:textId="77777777" w:rsidR="003866F0" w:rsidRPr="000F4D61" w:rsidRDefault="003866F0" w:rsidP="00D13385">
      <w:pPr>
        <w:spacing w:after="0" w:line="240" w:lineRule="auto"/>
        <w:rPr>
          <w:rFonts w:cstheme="minorHAnsi"/>
          <w:b/>
          <w:lang w:val="fr-CH"/>
        </w:rPr>
      </w:pPr>
      <w:r w:rsidRPr="000F4D61">
        <w:rPr>
          <w:rFonts w:cstheme="minorHAnsi"/>
          <w:b/>
          <w:lang w:val="fr-CH"/>
        </w:rPr>
        <w:t>Décision SC57-2</w:t>
      </w:r>
      <w:r w:rsidR="004C724E" w:rsidRPr="000F4D61">
        <w:rPr>
          <w:rFonts w:cstheme="minorHAnsi"/>
          <w:b/>
          <w:lang w:val="fr-CH"/>
        </w:rPr>
        <w:t>9</w:t>
      </w:r>
      <w:r w:rsidRPr="000F4D61">
        <w:rPr>
          <w:rFonts w:cstheme="minorHAnsi"/>
          <w:b/>
          <w:lang w:val="fr-CH"/>
        </w:rPr>
        <w:t xml:space="preserve"> : Le Comité permanent demande au Secrétariat d’obtenir d’autres orientations de la Conseillère juridique Ramsar sur le statut juridique des Initiatives régionales Ramsar et de faire rapport à la 58</w:t>
      </w:r>
      <w:r w:rsidRPr="000F4D61">
        <w:rPr>
          <w:rFonts w:cstheme="minorHAnsi"/>
          <w:b/>
          <w:vertAlign w:val="superscript"/>
          <w:lang w:val="fr-CH"/>
        </w:rPr>
        <w:t>e</w:t>
      </w:r>
      <w:r w:rsidRPr="000F4D61">
        <w:rPr>
          <w:rFonts w:cstheme="minorHAnsi"/>
          <w:b/>
          <w:lang w:val="fr-CH"/>
        </w:rPr>
        <w:t xml:space="preserve"> Réunion du Comité permanent.</w:t>
      </w:r>
    </w:p>
    <w:p w14:paraId="7AF1635F" w14:textId="0E0B44A8" w:rsidR="003866F0" w:rsidRPr="000F4D61" w:rsidRDefault="003866F0" w:rsidP="00216D6F">
      <w:pPr>
        <w:spacing w:after="0" w:line="240" w:lineRule="auto"/>
        <w:rPr>
          <w:rFonts w:cstheme="minorHAnsi"/>
          <w:lang w:val="fr-CH"/>
        </w:rPr>
      </w:pPr>
    </w:p>
    <w:p w14:paraId="197E1EE3" w14:textId="61B5686D" w:rsidR="003866F0" w:rsidRPr="000F4D61" w:rsidRDefault="003866F0" w:rsidP="00EE61E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bookmarkStart w:id="0" w:name="_GoBack"/>
      <w:r w:rsidRPr="000F4D61">
        <w:rPr>
          <w:rFonts w:cstheme="minorHAnsi"/>
          <w:bCs/>
          <w:lang w:val="fr-CH"/>
        </w:rPr>
        <w:lastRenderedPageBreak/>
        <w:t xml:space="preserve">Point </w:t>
      </w:r>
      <w:r w:rsidRPr="000F4D61">
        <w:rPr>
          <w:rFonts w:cstheme="minorHAnsi"/>
          <w:lang w:val="fr-CH"/>
        </w:rPr>
        <w:t xml:space="preserve">20 de l’ordre du jour </w:t>
      </w:r>
      <w:r w:rsidRPr="000F4D61">
        <w:rPr>
          <w:rFonts w:cstheme="minorHAnsi"/>
          <w:bCs/>
          <w:lang w:val="fr-CH"/>
        </w:rPr>
        <w:t>: Rapport du Président du Groupe d’évaluation scientifique et technique</w:t>
      </w:r>
      <w:r w:rsidRPr="000F4D61">
        <w:rPr>
          <w:rFonts w:cstheme="minorHAnsi"/>
          <w:lang w:val="fr-CH"/>
        </w:rPr>
        <w:t>, y compris projet de plan de travail pour 2019-2021</w:t>
      </w:r>
    </w:p>
    <w:p w14:paraId="05B42D74" w14:textId="77777777" w:rsidR="003866F0" w:rsidRPr="000F4D61" w:rsidRDefault="003866F0" w:rsidP="00EE61E2">
      <w:pPr>
        <w:keepNext/>
        <w:spacing w:after="0" w:line="240" w:lineRule="auto"/>
        <w:rPr>
          <w:rFonts w:cstheme="minorHAnsi"/>
          <w:lang w:val="fr-CH"/>
        </w:rPr>
      </w:pPr>
    </w:p>
    <w:bookmarkEnd w:id="0"/>
    <w:p w14:paraId="6C406BEB" w14:textId="77777777" w:rsidR="003866F0" w:rsidRPr="000F4D61" w:rsidRDefault="003866F0" w:rsidP="00D13385">
      <w:pPr>
        <w:keepNext/>
        <w:spacing w:after="0" w:line="240" w:lineRule="auto"/>
        <w:rPr>
          <w:rFonts w:cstheme="minorHAnsi"/>
          <w:b/>
          <w:lang w:val="fr-CH"/>
        </w:rPr>
      </w:pPr>
      <w:r w:rsidRPr="000F4D61">
        <w:rPr>
          <w:rFonts w:cstheme="minorHAnsi"/>
          <w:b/>
          <w:lang w:val="fr-CH"/>
        </w:rPr>
        <w:t>Décision SC57-</w:t>
      </w:r>
      <w:r w:rsidR="004C724E" w:rsidRPr="000F4D61">
        <w:rPr>
          <w:rFonts w:cstheme="minorHAnsi"/>
          <w:b/>
          <w:lang w:val="fr-CH"/>
        </w:rPr>
        <w:t>30</w:t>
      </w:r>
      <w:r w:rsidRPr="000F4D61">
        <w:rPr>
          <w:rFonts w:cstheme="minorHAnsi"/>
          <w:b/>
          <w:lang w:val="fr-CH"/>
        </w:rPr>
        <w:t xml:space="preserve"> : Le Comité permanent approuve le projet de plan de travail du Groupe d’évaluation scientifique et technique, avec les amendements convenus par le groupe de discussion</w:t>
      </w:r>
      <w:r w:rsidR="004C724E" w:rsidRPr="000F4D61">
        <w:rPr>
          <w:rStyle w:val="FootnoteReference"/>
          <w:rFonts w:cstheme="minorHAnsi"/>
          <w:b/>
          <w:lang w:val="fr-CH"/>
        </w:rPr>
        <w:footnoteReference w:id="4"/>
      </w:r>
      <w:r w:rsidRPr="000F4D61">
        <w:rPr>
          <w:rFonts w:cstheme="minorHAnsi"/>
          <w:b/>
          <w:lang w:val="fr-CH"/>
        </w:rPr>
        <w:t>.</w:t>
      </w:r>
    </w:p>
    <w:p w14:paraId="36599E6D" w14:textId="77777777" w:rsidR="00856AA7" w:rsidRPr="000F4D61" w:rsidRDefault="00856AA7" w:rsidP="00D13385">
      <w:pPr>
        <w:spacing w:after="0" w:line="240" w:lineRule="auto"/>
        <w:rPr>
          <w:rFonts w:cstheme="minorHAnsi"/>
          <w:lang w:val="fr-FR"/>
        </w:rPr>
      </w:pPr>
    </w:p>
    <w:p w14:paraId="271F98F6" w14:textId="77777777" w:rsidR="00856AA7" w:rsidRPr="000F4D61" w:rsidRDefault="00856AA7"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26 de l’ordre du jour : Ville des zones humides accréditée : Orientations pour la période triennale 2019-2021 (suite)</w:t>
      </w:r>
    </w:p>
    <w:p w14:paraId="1E25C9D8" w14:textId="77777777" w:rsidR="00856AA7" w:rsidRPr="000F4D61" w:rsidRDefault="00856AA7" w:rsidP="00D13385">
      <w:pPr>
        <w:spacing w:after="0" w:line="240" w:lineRule="auto"/>
        <w:ind w:left="425" w:hanging="425"/>
        <w:rPr>
          <w:rFonts w:cstheme="minorHAnsi"/>
          <w:lang w:val="fr-FR"/>
        </w:rPr>
      </w:pPr>
    </w:p>
    <w:p w14:paraId="2ABD3152" w14:textId="77777777" w:rsidR="00856AA7" w:rsidRPr="000F4D61" w:rsidRDefault="00856AA7" w:rsidP="00D13385">
      <w:pPr>
        <w:keepNext/>
        <w:spacing w:after="0" w:line="240" w:lineRule="auto"/>
        <w:rPr>
          <w:rFonts w:cstheme="minorHAnsi"/>
          <w:b/>
          <w:lang w:val="fr-FR"/>
        </w:rPr>
      </w:pPr>
      <w:r w:rsidRPr="000F4D61">
        <w:rPr>
          <w:rFonts w:cstheme="minorHAnsi"/>
          <w:b/>
          <w:lang w:val="fr-FR"/>
        </w:rPr>
        <w:t>Décision SC57-</w:t>
      </w:r>
      <w:r w:rsidR="004C724E" w:rsidRPr="000F4D61">
        <w:rPr>
          <w:rFonts w:cstheme="minorHAnsi"/>
          <w:b/>
          <w:lang w:val="fr-FR"/>
        </w:rPr>
        <w:t>31</w:t>
      </w:r>
      <w:r w:rsidRPr="000F4D61">
        <w:rPr>
          <w:rFonts w:cstheme="minorHAnsi"/>
          <w:b/>
          <w:lang w:val="fr-FR"/>
        </w:rPr>
        <w:t xml:space="preserve"> : Le </w:t>
      </w:r>
      <w:bookmarkStart w:id="1" w:name="_Hlk13121015"/>
      <w:r w:rsidRPr="000F4D61">
        <w:rPr>
          <w:rFonts w:cstheme="minorHAnsi"/>
          <w:b/>
          <w:lang w:val="fr-FR"/>
        </w:rPr>
        <w:t xml:space="preserve">Comité permanent </w:t>
      </w:r>
      <w:bookmarkEnd w:id="1"/>
      <w:r w:rsidRPr="000F4D61">
        <w:rPr>
          <w:rFonts w:cstheme="minorHAnsi"/>
          <w:b/>
          <w:lang w:val="fr-FR"/>
        </w:rPr>
        <w:t xml:space="preserve">décide que les représentants régionaux suivants siègent au Comité consultatif indépendant du label Ville des Zones humides accréditée : </w:t>
      </w:r>
    </w:p>
    <w:p w14:paraId="3719E610" w14:textId="77777777" w:rsidR="00856AA7" w:rsidRPr="000F4D61" w:rsidRDefault="00856AA7" w:rsidP="00365864">
      <w:pPr>
        <w:pStyle w:val="ListParagraph"/>
        <w:keepNext/>
        <w:numPr>
          <w:ilvl w:val="0"/>
          <w:numId w:val="6"/>
        </w:numPr>
        <w:spacing w:after="0" w:line="240" w:lineRule="auto"/>
        <w:ind w:left="567" w:hanging="567"/>
        <w:rPr>
          <w:rFonts w:cstheme="minorHAnsi"/>
          <w:b/>
          <w:lang w:val="fr-FR"/>
        </w:rPr>
      </w:pPr>
      <w:r w:rsidRPr="000F4D61">
        <w:rPr>
          <w:rFonts w:cstheme="minorHAnsi"/>
          <w:b/>
          <w:lang w:val="fr-FR"/>
        </w:rPr>
        <w:t>Amérique du Nord : pas de nomination ;</w:t>
      </w:r>
    </w:p>
    <w:p w14:paraId="779BD464" w14:textId="77777777" w:rsidR="00856AA7" w:rsidRPr="000F4D61" w:rsidRDefault="00856AA7" w:rsidP="00365864">
      <w:pPr>
        <w:pStyle w:val="ListParagraph"/>
        <w:keepNext/>
        <w:numPr>
          <w:ilvl w:val="0"/>
          <w:numId w:val="6"/>
        </w:numPr>
        <w:spacing w:after="0" w:line="240" w:lineRule="auto"/>
        <w:ind w:left="567" w:hanging="567"/>
        <w:rPr>
          <w:rFonts w:cstheme="minorHAnsi"/>
          <w:b/>
          <w:lang w:val="fr-FR"/>
        </w:rPr>
      </w:pPr>
      <w:r w:rsidRPr="000F4D61">
        <w:rPr>
          <w:rFonts w:cstheme="minorHAnsi"/>
          <w:b/>
          <w:lang w:val="fr-FR"/>
        </w:rPr>
        <w:t>Océanie : Australie ;</w:t>
      </w:r>
    </w:p>
    <w:p w14:paraId="303005B4" w14:textId="77777777" w:rsidR="00856AA7" w:rsidRPr="000F4D61" w:rsidRDefault="00856AA7" w:rsidP="00365864">
      <w:pPr>
        <w:pStyle w:val="ListParagraph"/>
        <w:keepNext/>
        <w:numPr>
          <w:ilvl w:val="0"/>
          <w:numId w:val="6"/>
        </w:numPr>
        <w:spacing w:after="0" w:line="240" w:lineRule="auto"/>
        <w:ind w:left="567" w:hanging="567"/>
        <w:rPr>
          <w:rFonts w:cstheme="minorHAnsi"/>
          <w:b/>
          <w:lang w:val="fr-FR"/>
        </w:rPr>
      </w:pPr>
      <w:r w:rsidRPr="000F4D61">
        <w:rPr>
          <w:rFonts w:cstheme="minorHAnsi"/>
          <w:b/>
          <w:lang w:val="fr-FR"/>
        </w:rPr>
        <w:t>Afrique : Tchad ;</w:t>
      </w:r>
    </w:p>
    <w:p w14:paraId="3D578A28" w14:textId="77777777" w:rsidR="00856AA7" w:rsidRPr="000F4D61" w:rsidRDefault="00856AA7" w:rsidP="00365864">
      <w:pPr>
        <w:pStyle w:val="ListParagraph"/>
        <w:keepNext/>
        <w:numPr>
          <w:ilvl w:val="0"/>
          <w:numId w:val="6"/>
        </w:numPr>
        <w:spacing w:after="0" w:line="240" w:lineRule="auto"/>
        <w:ind w:left="567" w:hanging="567"/>
        <w:rPr>
          <w:rFonts w:cstheme="minorHAnsi"/>
          <w:b/>
          <w:lang w:val="fr-FR"/>
        </w:rPr>
      </w:pPr>
      <w:r w:rsidRPr="000F4D61">
        <w:rPr>
          <w:rFonts w:cstheme="minorHAnsi"/>
          <w:b/>
          <w:lang w:val="fr-FR"/>
        </w:rPr>
        <w:t>Europe : Autriche ;</w:t>
      </w:r>
    </w:p>
    <w:p w14:paraId="625BEA1C" w14:textId="77777777" w:rsidR="000E4143" w:rsidRPr="000F4D61" w:rsidRDefault="00856AA7" w:rsidP="00365864">
      <w:pPr>
        <w:pStyle w:val="ListParagraph"/>
        <w:keepNext/>
        <w:numPr>
          <w:ilvl w:val="0"/>
          <w:numId w:val="6"/>
        </w:numPr>
        <w:spacing w:after="0" w:line="240" w:lineRule="auto"/>
        <w:ind w:left="567" w:hanging="567"/>
        <w:rPr>
          <w:rFonts w:cstheme="minorHAnsi"/>
          <w:b/>
          <w:lang w:val="fr-FR"/>
        </w:rPr>
      </w:pPr>
      <w:r w:rsidRPr="000F4D61">
        <w:rPr>
          <w:rFonts w:cstheme="minorHAnsi"/>
          <w:b/>
          <w:lang w:val="fr-FR"/>
        </w:rPr>
        <w:t>Amérique latine</w:t>
      </w:r>
      <w:r w:rsidR="007D4EEE" w:rsidRPr="000F4D61">
        <w:rPr>
          <w:rFonts w:cstheme="minorHAnsi"/>
          <w:b/>
          <w:lang w:val="fr-FR"/>
        </w:rPr>
        <w:t xml:space="preserve"> et Caraïbes</w:t>
      </w:r>
      <w:r w:rsidRPr="000F4D61">
        <w:rPr>
          <w:rFonts w:cstheme="minorHAnsi"/>
          <w:b/>
          <w:lang w:val="fr-FR"/>
        </w:rPr>
        <w:t xml:space="preserve"> : nomination à venir</w:t>
      </w:r>
      <w:r w:rsidR="007D4EEE" w:rsidRPr="000F4D61">
        <w:rPr>
          <w:rFonts w:cstheme="minorHAnsi"/>
          <w:b/>
          <w:lang w:val="fr-FR"/>
        </w:rPr>
        <w:t>.</w:t>
      </w:r>
    </w:p>
    <w:p w14:paraId="7B311C3E" w14:textId="77777777" w:rsidR="00856AA7" w:rsidRPr="000F4D61" w:rsidRDefault="00856AA7" w:rsidP="00D13385">
      <w:pPr>
        <w:pStyle w:val="ListParagraph"/>
        <w:keepNext/>
        <w:spacing w:after="0" w:line="240" w:lineRule="auto"/>
        <w:ind w:left="425"/>
        <w:rPr>
          <w:rFonts w:cstheme="minorHAnsi"/>
          <w:b/>
          <w:lang w:val="fr-FR"/>
        </w:rPr>
      </w:pPr>
    </w:p>
    <w:p w14:paraId="26158231" w14:textId="731CBE0D" w:rsidR="00856AA7" w:rsidRPr="000F4D61" w:rsidRDefault="00856AA7" w:rsidP="00EC00AC">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EC00AC">
        <w:rPr>
          <w:rFonts w:cstheme="minorHAnsi"/>
          <w:bCs/>
          <w:lang w:val="fr-FR"/>
        </w:rPr>
        <w:t xml:space="preserve"> </w:t>
      </w:r>
      <w:r w:rsidRPr="000F4D61">
        <w:rPr>
          <w:rFonts w:cstheme="minorHAnsi"/>
          <w:bCs/>
          <w:lang w:val="fr-FR"/>
        </w:rPr>
        <w:t>Point 12</w:t>
      </w:r>
      <w:r w:rsidR="00EC00AC">
        <w:rPr>
          <w:rFonts w:cstheme="minorHAnsi"/>
          <w:bCs/>
          <w:lang w:val="fr-FR"/>
        </w:rPr>
        <w:t>.1</w:t>
      </w:r>
      <w:r w:rsidRPr="000F4D61">
        <w:rPr>
          <w:rFonts w:cstheme="minorHAnsi"/>
          <w:bCs/>
          <w:lang w:val="fr-FR"/>
        </w:rPr>
        <w:t xml:space="preserve"> de l’ordre du jour : Rapport du Comité exécutif</w:t>
      </w:r>
      <w:r w:rsidR="000E4143" w:rsidRPr="000F4D61">
        <w:rPr>
          <w:rFonts w:cstheme="minorHAnsi"/>
          <w:bCs/>
          <w:lang w:val="fr-FR"/>
        </w:rPr>
        <w:t xml:space="preserve"> – Mandat du Comité exécutif</w:t>
      </w:r>
    </w:p>
    <w:p w14:paraId="6543CC41" w14:textId="77777777" w:rsidR="00856AA7" w:rsidRPr="000F4D61" w:rsidRDefault="00856AA7" w:rsidP="00D13385">
      <w:pPr>
        <w:spacing w:after="0" w:line="240" w:lineRule="auto"/>
        <w:ind w:left="425" w:hanging="425"/>
        <w:rPr>
          <w:rFonts w:cstheme="minorHAnsi"/>
          <w:lang w:val="fr-FR"/>
        </w:rPr>
      </w:pPr>
    </w:p>
    <w:p w14:paraId="74FFCA01"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2</w:t>
      </w:r>
      <w:r w:rsidRPr="000F4D61">
        <w:rPr>
          <w:rFonts w:cstheme="minorHAnsi"/>
          <w:b/>
          <w:lang w:val="fr-FR"/>
        </w:rPr>
        <w:t xml:space="preserve"> : </w:t>
      </w:r>
      <w:bookmarkStart w:id="2" w:name="_Hlk13121885"/>
      <w:r w:rsidRPr="000F4D61">
        <w:rPr>
          <w:rFonts w:cstheme="minorHAnsi"/>
          <w:b/>
          <w:lang w:val="fr-FR"/>
        </w:rPr>
        <w:t xml:space="preserve">Le Comité permanent </w:t>
      </w:r>
      <w:bookmarkEnd w:id="2"/>
      <w:r w:rsidRPr="000F4D61">
        <w:rPr>
          <w:rFonts w:cstheme="minorHAnsi"/>
          <w:b/>
          <w:lang w:val="fr-FR"/>
        </w:rPr>
        <w:t xml:space="preserve">adopte le mandat du Comité exécutif qui figure en annexe </w:t>
      </w:r>
      <w:r w:rsidR="007D4EEE" w:rsidRPr="000F4D61">
        <w:rPr>
          <w:rFonts w:cstheme="minorHAnsi"/>
          <w:b/>
          <w:lang w:val="fr-FR"/>
        </w:rPr>
        <w:t>8</w:t>
      </w:r>
      <w:r w:rsidRPr="000F4D61">
        <w:rPr>
          <w:rFonts w:cstheme="minorHAnsi"/>
          <w:b/>
          <w:lang w:val="fr-FR"/>
        </w:rPr>
        <w:t xml:space="preserve"> du présent rapport. </w:t>
      </w:r>
    </w:p>
    <w:p w14:paraId="13F573E3" w14:textId="77777777" w:rsidR="00856AA7" w:rsidRPr="000F4D61" w:rsidRDefault="00856AA7" w:rsidP="00D13385">
      <w:pPr>
        <w:pStyle w:val="Default"/>
        <w:ind w:left="720" w:hanging="720"/>
        <w:rPr>
          <w:rFonts w:asciiTheme="minorHAnsi" w:hAnsiTheme="minorHAnsi" w:cstheme="minorHAnsi"/>
          <w:sz w:val="22"/>
          <w:szCs w:val="22"/>
          <w:lang w:val="fr-FR"/>
        </w:rPr>
      </w:pPr>
    </w:p>
    <w:p w14:paraId="4A6B981E" w14:textId="77777777" w:rsidR="00856AA7" w:rsidRPr="000F4D61" w:rsidRDefault="00856AA7"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7 de l’ordre du jour : Questions financières et budgétaires – Rapport du Sous-groupe sur les finances </w:t>
      </w:r>
    </w:p>
    <w:p w14:paraId="3700EC57" w14:textId="77777777" w:rsidR="00856AA7" w:rsidRPr="000F4D61" w:rsidRDefault="00856AA7" w:rsidP="00D13385">
      <w:pPr>
        <w:spacing w:after="0" w:line="240" w:lineRule="auto"/>
        <w:ind w:left="425" w:hanging="425"/>
        <w:rPr>
          <w:rFonts w:cstheme="minorHAnsi"/>
          <w:lang w:val="fr-FR"/>
        </w:rPr>
      </w:pPr>
    </w:p>
    <w:p w14:paraId="39778E10"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3</w:t>
      </w:r>
      <w:r w:rsidRPr="000F4D61">
        <w:rPr>
          <w:rFonts w:cstheme="minorHAnsi"/>
          <w:b/>
          <w:lang w:val="fr-FR"/>
        </w:rPr>
        <w:t xml:space="preserve"> : Le Comité permanent accepte les états financiers vérifiés de 2018 au 31 décembre 2018.</w:t>
      </w:r>
    </w:p>
    <w:p w14:paraId="3A91C817" w14:textId="77777777" w:rsidR="00856AA7" w:rsidRPr="000F4D61" w:rsidRDefault="00856AA7" w:rsidP="00D13385">
      <w:pPr>
        <w:spacing w:after="0" w:line="240" w:lineRule="auto"/>
        <w:rPr>
          <w:rFonts w:cstheme="minorHAnsi"/>
          <w:b/>
          <w:lang w:val="fr-FR"/>
        </w:rPr>
      </w:pPr>
    </w:p>
    <w:p w14:paraId="05B5F0C0"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4</w:t>
      </w:r>
      <w:r w:rsidRPr="000F4D61">
        <w:rPr>
          <w:rFonts w:cstheme="minorHAnsi"/>
          <w:b/>
          <w:lang w:val="fr-FR"/>
        </w:rPr>
        <w:t xml:space="preserve"> : Le Comité permanent prend note des résultats du budget administratif pour 2018 et du report de l'excédent de 2018.</w:t>
      </w:r>
    </w:p>
    <w:p w14:paraId="2FE1B9C9" w14:textId="77777777" w:rsidR="00856AA7" w:rsidRPr="000F4D61" w:rsidRDefault="00856AA7" w:rsidP="00D13385">
      <w:pPr>
        <w:spacing w:after="0" w:line="240" w:lineRule="auto"/>
        <w:rPr>
          <w:rFonts w:cstheme="minorHAnsi"/>
          <w:b/>
          <w:lang w:val="fr-FR"/>
        </w:rPr>
      </w:pPr>
    </w:p>
    <w:p w14:paraId="01A12B2A"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5</w:t>
      </w:r>
      <w:r w:rsidRPr="000F4D61">
        <w:rPr>
          <w:rFonts w:cstheme="minorHAnsi"/>
          <w:b/>
          <w:lang w:val="fr-FR"/>
        </w:rPr>
        <w:t xml:space="preserve"> : Le Comité permanent prend note de l'état du financement et des contributions volontaires au titre des projets pour 2018.</w:t>
      </w:r>
    </w:p>
    <w:p w14:paraId="1F01A740" w14:textId="77777777" w:rsidR="00856AA7" w:rsidRPr="000F4D61" w:rsidRDefault="00856AA7" w:rsidP="00D13385">
      <w:pPr>
        <w:spacing w:after="0" w:line="240" w:lineRule="auto"/>
        <w:rPr>
          <w:rFonts w:cstheme="minorHAnsi"/>
          <w:lang w:val="fr-FR"/>
        </w:rPr>
      </w:pPr>
    </w:p>
    <w:p w14:paraId="1D7A168C"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6</w:t>
      </w:r>
      <w:r w:rsidRPr="000F4D61">
        <w:rPr>
          <w:rFonts w:cstheme="minorHAnsi"/>
          <w:b/>
          <w:lang w:val="fr-FR"/>
        </w:rPr>
        <w:t xml:space="preserve"> : Le Comité permanent prend note et approuve les ajustements apportés par le Secrétariat au budget administratif approuvé par la COP13 pour 2019 (voir annexe 1 de l’annexe </w:t>
      </w:r>
      <w:r w:rsidR="007D4EEE" w:rsidRPr="000F4D61">
        <w:rPr>
          <w:rFonts w:cstheme="minorHAnsi"/>
          <w:b/>
          <w:lang w:val="fr-FR"/>
        </w:rPr>
        <w:t>9.1</w:t>
      </w:r>
      <w:r w:rsidRPr="000F4D61">
        <w:rPr>
          <w:rFonts w:cstheme="minorHAnsi"/>
          <w:b/>
          <w:lang w:val="fr-FR"/>
        </w:rPr>
        <w:t xml:space="preserve"> du présent rapport), qui contribuent uniquement à la transparence et à la clarté de l'utilisation approuvée des excédents de la période triennale précédente.</w:t>
      </w:r>
    </w:p>
    <w:p w14:paraId="6FBFC519" w14:textId="77777777" w:rsidR="00856AA7" w:rsidRPr="000F4D61" w:rsidRDefault="00856AA7" w:rsidP="00D13385">
      <w:pPr>
        <w:spacing w:after="0" w:line="240" w:lineRule="auto"/>
        <w:rPr>
          <w:rFonts w:cstheme="minorHAnsi"/>
          <w:b/>
          <w:lang w:val="fr-FR"/>
        </w:rPr>
      </w:pPr>
    </w:p>
    <w:p w14:paraId="2AF9362C"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7</w:t>
      </w:r>
      <w:r w:rsidRPr="000F4D61">
        <w:rPr>
          <w:rFonts w:cstheme="minorHAnsi"/>
          <w:b/>
          <w:lang w:val="fr-FR"/>
        </w:rPr>
        <w:t xml:space="preserve"> : Le Comité permanent prend note des soldes des budgets affectés aux projets.</w:t>
      </w:r>
    </w:p>
    <w:p w14:paraId="35A00F60" w14:textId="77777777" w:rsidR="00856AA7" w:rsidRPr="000F4D61" w:rsidRDefault="00856AA7" w:rsidP="00D13385">
      <w:pPr>
        <w:spacing w:after="0" w:line="240" w:lineRule="auto"/>
        <w:rPr>
          <w:rFonts w:cstheme="minorHAnsi"/>
          <w:b/>
          <w:lang w:val="fr-FR"/>
        </w:rPr>
      </w:pPr>
    </w:p>
    <w:p w14:paraId="587AA419"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8</w:t>
      </w:r>
      <w:r w:rsidRPr="000F4D61">
        <w:rPr>
          <w:rFonts w:cstheme="minorHAnsi"/>
          <w:b/>
          <w:lang w:val="fr-FR"/>
        </w:rPr>
        <w:t xml:space="preserve"> : Le Comité permanent prend note des progrès réalisés dans la mise en œuvre des recommandations issues de l’</w:t>
      </w:r>
      <w:r w:rsidRPr="000F4D61">
        <w:rPr>
          <w:rFonts w:cstheme="minorHAnsi"/>
          <w:b/>
          <w:i/>
          <w:iCs/>
          <w:lang w:val="fr-FR"/>
        </w:rPr>
        <w:t>Examen de la gestion financière des comptes des fonds non administratifs réalisé par l’UICN</w:t>
      </w:r>
      <w:r w:rsidRPr="000F4D61">
        <w:rPr>
          <w:rFonts w:cstheme="minorHAnsi"/>
          <w:b/>
          <w:lang w:val="fr-FR"/>
        </w:rPr>
        <w:t xml:space="preserve">, et recommande que le Comité permanent approuve les mesures suivantes : </w:t>
      </w:r>
    </w:p>
    <w:p w14:paraId="73F64532" w14:textId="77777777" w:rsidR="00856AA7" w:rsidRPr="000F4D61" w:rsidRDefault="00856AA7" w:rsidP="00D13385">
      <w:pPr>
        <w:spacing w:after="0" w:line="240" w:lineRule="auto"/>
        <w:rPr>
          <w:rFonts w:cstheme="minorHAnsi"/>
          <w:b/>
          <w:lang w:val="fr-FR"/>
        </w:rPr>
      </w:pPr>
    </w:p>
    <w:p w14:paraId="49C98181" w14:textId="4CDB524B" w:rsidR="00856AA7" w:rsidRPr="000F4D61" w:rsidRDefault="00216D6F" w:rsidP="001F102C">
      <w:pPr>
        <w:spacing w:after="0" w:line="240" w:lineRule="auto"/>
        <w:ind w:left="567" w:hanging="567"/>
        <w:rPr>
          <w:rFonts w:cstheme="minorHAnsi"/>
          <w:b/>
          <w:lang w:val="fr-FR"/>
        </w:rPr>
      </w:pPr>
      <w:r>
        <w:rPr>
          <w:rFonts w:cstheme="minorHAnsi"/>
          <w:b/>
          <w:lang w:val="fr-FR"/>
        </w:rPr>
        <w:lastRenderedPageBreak/>
        <w:t>a)</w:t>
      </w:r>
      <w:r w:rsidR="00856AA7" w:rsidRPr="000F4D61">
        <w:rPr>
          <w:rFonts w:cstheme="minorHAnsi"/>
          <w:b/>
          <w:lang w:val="fr-FR"/>
        </w:rPr>
        <w:tab/>
        <w:t xml:space="preserve">adopter l'utilisation des expressions standard « fonds administratifs » et « non administratifs » pour décrire les fonds Ramsar ; </w:t>
      </w:r>
    </w:p>
    <w:p w14:paraId="527A12E5" w14:textId="77777777" w:rsidR="00856AA7" w:rsidRPr="000F4D61" w:rsidRDefault="00856AA7" w:rsidP="001F102C">
      <w:pPr>
        <w:spacing w:after="0" w:line="240" w:lineRule="auto"/>
        <w:ind w:left="567" w:hanging="567"/>
        <w:rPr>
          <w:rFonts w:cstheme="minorHAnsi"/>
          <w:b/>
          <w:lang w:val="fr-FR"/>
        </w:rPr>
      </w:pPr>
    </w:p>
    <w:p w14:paraId="3033BDA6" w14:textId="57C4D0E4" w:rsidR="00856AA7" w:rsidRPr="000F4D61" w:rsidRDefault="00216D6F" w:rsidP="001F102C">
      <w:pPr>
        <w:spacing w:after="0" w:line="240" w:lineRule="auto"/>
        <w:ind w:left="567" w:hanging="567"/>
        <w:rPr>
          <w:rFonts w:cstheme="minorHAnsi"/>
          <w:b/>
          <w:lang w:val="fr-FR"/>
        </w:rPr>
      </w:pPr>
      <w:r>
        <w:rPr>
          <w:rFonts w:cstheme="minorHAnsi"/>
          <w:b/>
          <w:lang w:val="fr-FR"/>
        </w:rPr>
        <w:t>b)</w:t>
      </w:r>
      <w:r w:rsidR="00856AA7" w:rsidRPr="000F4D61">
        <w:rPr>
          <w:rFonts w:cstheme="minorHAnsi"/>
          <w:b/>
          <w:lang w:val="fr-FR"/>
        </w:rPr>
        <w:tab/>
        <w:t>accepter de collaborer avec l’auditeur lors de ses réunions annuelles, en examinant la façon la plus rentable de travailler, notamment la participation virtuelle, ou en partageant le rapport de l’auditeur au moins trois mois avant l’ouverture de la session (voire plus tôt), conformément au Règlement intérieur applicable aux documents de conférence ; et</w:t>
      </w:r>
    </w:p>
    <w:p w14:paraId="4BFF56B5" w14:textId="77777777" w:rsidR="00856AA7" w:rsidRPr="000F4D61" w:rsidRDefault="00856AA7" w:rsidP="001F102C">
      <w:pPr>
        <w:spacing w:after="0" w:line="240" w:lineRule="auto"/>
        <w:ind w:left="567" w:hanging="567"/>
        <w:rPr>
          <w:rFonts w:cstheme="minorHAnsi"/>
          <w:b/>
          <w:lang w:val="fr-FR"/>
        </w:rPr>
      </w:pPr>
    </w:p>
    <w:p w14:paraId="1DAE2995" w14:textId="5B2EFBFF" w:rsidR="00856AA7" w:rsidRPr="000F4D61" w:rsidRDefault="00216D6F" w:rsidP="001F102C">
      <w:pPr>
        <w:spacing w:after="0" w:line="240" w:lineRule="auto"/>
        <w:ind w:left="567" w:hanging="567"/>
        <w:rPr>
          <w:rFonts w:cstheme="minorHAnsi"/>
          <w:b/>
          <w:lang w:val="fr-FR"/>
        </w:rPr>
      </w:pPr>
      <w:r>
        <w:rPr>
          <w:rFonts w:cstheme="minorHAnsi"/>
          <w:b/>
          <w:lang w:val="fr-FR"/>
        </w:rPr>
        <w:t>c)</w:t>
      </w:r>
      <w:r w:rsidR="00856AA7" w:rsidRPr="000F4D61">
        <w:rPr>
          <w:rFonts w:cstheme="minorHAnsi"/>
          <w:b/>
          <w:lang w:val="fr-FR"/>
        </w:rPr>
        <w:tab/>
        <w:t xml:space="preserve">demander que le Secrétariat reçoive et communique à l’avance par courriel les questions des membres du Sous-groupe et récupère les réponses données par l’auditeur à temps pour la réunion. </w:t>
      </w:r>
    </w:p>
    <w:p w14:paraId="3D7E0C13" w14:textId="77777777" w:rsidR="00856AA7" w:rsidRPr="000F4D61" w:rsidRDefault="00856AA7" w:rsidP="00D13385">
      <w:pPr>
        <w:spacing w:after="0" w:line="240" w:lineRule="auto"/>
        <w:rPr>
          <w:rFonts w:cstheme="minorHAnsi"/>
          <w:b/>
          <w:lang w:val="fr-FR"/>
        </w:rPr>
      </w:pPr>
    </w:p>
    <w:p w14:paraId="27A211AA"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SC57-3</w:t>
      </w:r>
      <w:r w:rsidR="007D4EEE" w:rsidRPr="000F4D61">
        <w:rPr>
          <w:rFonts w:cstheme="minorHAnsi"/>
          <w:b/>
          <w:lang w:val="fr-FR"/>
        </w:rPr>
        <w:t>9</w:t>
      </w:r>
      <w:r w:rsidRPr="000F4D61">
        <w:rPr>
          <w:rFonts w:cstheme="minorHAnsi"/>
          <w:b/>
          <w:lang w:val="fr-FR"/>
        </w:rPr>
        <w:t xml:space="preserve"> : Le Comité permanent approuve la modification proposée par l'auditeur externe pour le calcul de la provision pour contributions impayées des Parties contractantes (document DOC SC57-7.1, paragraphe 42, option a.) et augmente en conséquence cette provision pour 2019. La source de financement proposée est décrite dans le Rapport de la réunion du Sous-groupe sur les finances, deuxième partie (</w:t>
      </w:r>
      <w:r w:rsidR="007D4EEE" w:rsidRPr="000F4D61">
        <w:rPr>
          <w:rFonts w:cstheme="minorHAnsi"/>
          <w:b/>
          <w:lang w:val="fr-FR"/>
        </w:rPr>
        <w:t>annexe</w:t>
      </w:r>
      <w:r w:rsidRPr="000F4D61">
        <w:rPr>
          <w:rFonts w:cstheme="minorHAnsi"/>
          <w:b/>
          <w:lang w:val="fr-FR"/>
        </w:rPr>
        <w:t xml:space="preserve"> 9</w:t>
      </w:r>
      <w:r w:rsidR="007D4EEE" w:rsidRPr="000F4D61">
        <w:rPr>
          <w:rFonts w:cstheme="minorHAnsi"/>
          <w:b/>
          <w:lang w:val="fr-FR"/>
        </w:rPr>
        <w:t>.2 du présent rapport</w:t>
      </w:r>
      <w:r w:rsidRPr="000F4D61">
        <w:rPr>
          <w:rFonts w:cstheme="minorHAnsi"/>
          <w:b/>
          <w:lang w:val="fr-FR"/>
        </w:rPr>
        <w:t>), paragraphe 1.b viii.</w:t>
      </w:r>
    </w:p>
    <w:p w14:paraId="0F8C7BA8" w14:textId="77777777" w:rsidR="00856AA7" w:rsidRPr="000F4D61" w:rsidRDefault="00856AA7" w:rsidP="00D13385">
      <w:pPr>
        <w:spacing w:after="0" w:line="240" w:lineRule="auto"/>
        <w:rPr>
          <w:rFonts w:cstheme="minorHAnsi"/>
          <w:b/>
          <w:lang w:val="fr-FR"/>
        </w:rPr>
      </w:pPr>
    </w:p>
    <w:p w14:paraId="1B7087CB"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w:t>
      </w:r>
      <w:r w:rsidR="007D4EEE" w:rsidRPr="000F4D61">
        <w:rPr>
          <w:rFonts w:cstheme="minorHAnsi"/>
          <w:b/>
          <w:lang w:val="fr-FR"/>
        </w:rPr>
        <w:t>40</w:t>
      </w:r>
      <w:r w:rsidRPr="000F4D61">
        <w:rPr>
          <w:rFonts w:cstheme="minorHAnsi"/>
          <w:b/>
          <w:lang w:val="fr-FR"/>
        </w:rPr>
        <w:t xml:space="preserve"> : Le Comité permanent donne instruction au Secrétariat d'étudier l'opportunité d'une approche de groupe ou autres solutions pour confirmer les soldes impayés des Parties contractantes pour l'audit de 2019. </w:t>
      </w:r>
    </w:p>
    <w:p w14:paraId="47162D38" w14:textId="77777777" w:rsidR="00856AA7" w:rsidRPr="000F4D61" w:rsidRDefault="00856AA7" w:rsidP="00D13385">
      <w:pPr>
        <w:spacing w:after="0" w:line="240" w:lineRule="auto"/>
        <w:rPr>
          <w:rFonts w:cstheme="minorHAnsi"/>
          <w:b/>
          <w:lang w:val="fr-FR"/>
        </w:rPr>
      </w:pPr>
    </w:p>
    <w:p w14:paraId="38D19935"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w:t>
      </w:r>
      <w:r w:rsidR="007D4EEE" w:rsidRPr="000F4D61">
        <w:rPr>
          <w:rFonts w:cstheme="minorHAnsi"/>
          <w:b/>
          <w:lang w:val="fr-FR"/>
        </w:rPr>
        <w:t>41</w:t>
      </w:r>
      <w:r w:rsidRPr="000F4D61">
        <w:rPr>
          <w:rFonts w:cstheme="minorHAnsi"/>
          <w:b/>
          <w:lang w:val="fr-FR"/>
        </w:rPr>
        <w:t xml:space="preserve"> : Le Comité permanent donne instruction au Secrétariat d'inclure une note concernant l'existence ou l'absence d'autres éléments de provision potentiellement importants, tels que les obligations futures en matière de pensions qu’il n’est pas nécessaire de révéler en vertu du droit suisse, et de mentionner ces politiques comptables et informations relatives à ces passifs potentiels dans les futurs états financiers. </w:t>
      </w:r>
    </w:p>
    <w:p w14:paraId="5BEF5441" w14:textId="77777777" w:rsidR="00856AA7" w:rsidRPr="000F4D61" w:rsidRDefault="00856AA7" w:rsidP="00D13385">
      <w:pPr>
        <w:spacing w:after="0" w:line="240" w:lineRule="auto"/>
        <w:rPr>
          <w:rFonts w:cstheme="minorHAnsi"/>
          <w:b/>
          <w:lang w:val="fr-FR"/>
        </w:rPr>
      </w:pPr>
    </w:p>
    <w:p w14:paraId="07801ED4"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SC57-4</w:t>
      </w:r>
      <w:r w:rsidR="007D4EEE" w:rsidRPr="000F4D61">
        <w:rPr>
          <w:rFonts w:cstheme="minorHAnsi"/>
          <w:b/>
          <w:lang w:val="fr-FR"/>
        </w:rPr>
        <w:t>2</w:t>
      </w:r>
      <w:r w:rsidRPr="000F4D61">
        <w:rPr>
          <w:rFonts w:cstheme="minorHAnsi"/>
          <w:b/>
          <w:lang w:val="fr-FR"/>
        </w:rPr>
        <w:t xml:space="preserve"> : Le Comité permanent encourage le Secrétariat à communiquer des informations à l'UICN et invite les Parties contractantes à travailler avec leurs homologues responsables de l'UICN à fournir des informations de retour sur toute option examinée par l'UICN concernant les futurs contrats d'audit.</w:t>
      </w:r>
    </w:p>
    <w:p w14:paraId="592B5CFE" w14:textId="77777777" w:rsidR="00856AA7" w:rsidRPr="000F4D61" w:rsidRDefault="00856AA7" w:rsidP="00D13385">
      <w:pPr>
        <w:pStyle w:val="Default"/>
        <w:rPr>
          <w:rFonts w:asciiTheme="minorHAnsi" w:hAnsiTheme="minorHAnsi" w:cstheme="minorHAnsi"/>
          <w:sz w:val="22"/>
          <w:szCs w:val="22"/>
          <w:lang w:val="fr-FR"/>
        </w:rPr>
      </w:pPr>
    </w:p>
    <w:p w14:paraId="6F9B5C07"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SC57-4</w:t>
      </w:r>
      <w:r w:rsidR="007D4EEE" w:rsidRPr="000F4D61">
        <w:rPr>
          <w:rFonts w:asciiTheme="minorHAnsi" w:hAnsiTheme="minorHAnsi" w:cstheme="minorHAnsi"/>
          <w:b/>
          <w:sz w:val="22"/>
          <w:szCs w:val="22"/>
          <w:lang w:val="fr-FR"/>
        </w:rPr>
        <w:t>3</w:t>
      </w:r>
      <w:r w:rsidRPr="000F4D61">
        <w:rPr>
          <w:rFonts w:asciiTheme="minorHAnsi" w:hAnsiTheme="minorHAnsi" w:cstheme="minorHAnsi"/>
          <w:b/>
          <w:sz w:val="22"/>
          <w:szCs w:val="22"/>
          <w:lang w:val="fr-FR"/>
        </w:rPr>
        <w:t xml:space="preserve"> : Le Comité permanent prend note de la demande du Panama et de la Suisse de se joindre au Sous-groupe pour la période triennale en cours.</w:t>
      </w:r>
    </w:p>
    <w:p w14:paraId="36267DFE" w14:textId="77777777" w:rsidR="00856AA7" w:rsidRPr="000F4D61" w:rsidRDefault="00856AA7" w:rsidP="00D13385">
      <w:pPr>
        <w:pStyle w:val="Default"/>
        <w:rPr>
          <w:rFonts w:asciiTheme="minorHAnsi" w:hAnsiTheme="minorHAnsi" w:cstheme="minorHAnsi"/>
          <w:b/>
          <w:sz w:val="22"/>
          <w:szCs w:val="22"/>
          <w:lang w:val="fr-FR"/>
        </w:rPr>
      </w:pPr>
    </w:p>
    <w:p w14:paraId="7DBC4014"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SC57-4</w:t>
      </w:r>
      <w:r w:rsidR="007D4EEE" w:rsidRPr="000F4D61">
        <w:rPr>
          <w:rFonts w:asciiTheme="minorHAnsi" w:hAnsiTheme="minorHAnsi" w:cstheme="minorHAnsi"/>
          <w:b/>
          <w:sz w:val="22"/>
          <w:szCs w:val="22"/>
          <w:lang w:val="fr-FR"/>
        </w:rPr>
        <w:t>4</w:t>
      </w:r>
      <w:r w:rsidRPr="000F4D61">
        <w:rPr>
          <w:rFonts w:asciiTheme="minorHAnsi" w:hAnsiTheme="minorHAnsi" w:cstheme="minorHAnsi"/>
          <w:b/>
          <w:sz w:val="22"/>
          <w:szCs w:val="22"/>
          <w:lang w:val="fr-FR"/>
        </w:rPr>
        <w:t xml:space="preserve"> : Le Comité permanent prend note de l'état des contributions annuelles et des mesures prises pour encourager le paiement des contributions non acquittées, et charge le Secrétariat de continuer à encourager le paiement des contributions annuelles en temps voulu.</w:t>
      </w:r>
    </w:p>
    <w:p w14:paraId="39F3320E" w14:textId="77777777" w:rsidR="00856AA7" w:rsidRPr="000F4D61" w:rsidRDefault="00856AA7" w:rsidP="00D13385">
      <w:pPr>
        <w:pStyle w:val="Default"/>
        <w:rPr>
          <w:rFonts w:asciiTheme="minorHAnsi" w:hAnsiTheme="minorHAnsi" w:cstheme="minorHAnsi"/>
          <w:b/>
          <w:sz w:val="22"/>
          <w:szCs w:val="22"/>
          <w:lang w:val="fr-FR"/>
        </w:rPr>
      </w:pPr>
    </w:p>
    <w:p w14:paraId="41D4276A"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SC57-4</w:t>
      </w:r>
      <w:r w:rsidR="007D4EEE" w:rsidRPr="000F4D61">
        <w:rPr>
          <w:rFonts w:asciiTheme="minorHAnsi" w:hAnsiTheme="minorHAnsi" w:cstheme="minorHAnsi"/>
          <w:b/>
          <w:sz w:val="22"/>
          <w:szCs w:val="22"/>
          <w:lang w:val="fr-FR"/>
        </w:rPr>
        <w:t>5</w:t>
      </w:r>
      <w:r w:rsidRPr="000F4D61">
        <w:rPr>
          <w:rFonts w:asciiTheme="minorHAnsi" w:hAnsiTheme="minorHAnsi" w:cstheme="minorHAnsi"/>
          <w:b/>
          <w:sz w:val="22"/>
          <w:szCs w:val="22"/>
          <w:lang w:val="fr-FR"/>
        </w:rPr>
        <w:t xml:space="preserve"> : Le Comité permanent prend note de l'évolution des contributions annuelles à recevoir et de la provision annuelle pour contributions non acquittées.</w:t>
      </w:r>
    </w:p>
    <w:p w14:paraId="02F8EFAB" w14:textId="77777777" w:rsidR="00856AA7" w:rsidRPr="000F4D61" w:rsidRDefault="00856AA7" w:rsidP="00D13385">
      <w:pPr>
        <w:pStyle w:val="Default"/>
        <w:rPr>
          <w:rFonts w:asciiTheme="minorHAnsi" w:hAnsiTheme="minorHAnsi" w:cstheme="minorHAnsi"/>
          <w:b/>
          <w:sz w:val="22"/>
          <w:szCs w:val="22"/>
          <w:lang w:val="fr-FR"/>
        </w:rPr>
      </w:pPr>
    </w:p>
    <w:p w14:paraId="230F24A7"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SC57-4</w:t>
      </w:r>
      <w:r w:rsidR="007D4EEE" w:rsidRPr="000F4D61">
        <w:rPr>
          <w:rFonts w:asciiTheme="minorHAnsi" w:hAnsiTheme="minorHAnsi" w:cstheme="minorHAnsi"/>
          <w:b/>
          <w:sz w:val="22"/>
          <w:szCs w:val="22"/>
          <w:lang w:val="fr-FR"/>
        </w:rPr>
        <w:t>6</w:t>
      </w:r>
      <w:r w:rsidRPr="000F4D61">
        <w:rPr>
          <w:rFonts w:asciiTheme="minorHAnsi" w:hAnsiTheme="minorHAnsi" w:cstheme="minorHAnsi"/>
          <w:b/>
          <w:sz w:val="22"/>
          <w:szCs w:val="22"/>
          <w:lang w:val="fr-FR"/>
        </w:rPr>
        <w:t xml:space="preserve"> : Le Comité permanent prend note de la situation actuelle comportant un solde de 91 000 CHF des contributions volontaires des Parties contractantes de la région Afrique.</w:t>
      </w:r>
    </w:p>
    <w:p w14:paraId="16FDD09F" w14:textId="77777777" w:rsidR="00856AA7" w:rsidRPr="000F4D61" w:rsidRDefault="00856AA7" w:rsidP="00D13385">
      <w:pPr>
        <w:pStyle w:val="Default"/>
        <w:rPr>
          <w:rFonts w:asciiTheme="minorHAnsi" w:hAnsiTheme="minorHAnsi" w:cstheme="minorHAnsi"/>
          <w:b/>
          <w:sz w:val="22"/>
          <w:szCs w:val="22"/>
          <w:lang w:val="fr-FR"/>
        </w:rPr>
      </w:pPr>
    </w:p>
    <w:p w14:paraId="223925DA"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SC57-4</w:t>
      </w:r>
      <w:r w:rsidR="007D4EEE" w:rsidRPr="000F4D61">
        <w:rPr>
          <w:rFonts w:asciiTheme="minorHAnsi" w:hAnsiTheme="minorHAnsi" w:cstheme="minorHAnsi"/>
          <w:b/>
          <w:sz w:val="22"/>
          <w:szCs w:val="22"/>
          <w:lang w:val="fr-FR"/>
        </w:rPr>
        <w:t>7</w:t>
      </w:r>
      <w:r w:rsidRPr="000F4D61">
        <w:rPr>
          <w:rFonts w:asciiTheme="minorHAnsi" w:hAnsiTheme="minorHAnsi" w:cstheme="minorHAnsi"/>
          <w:b/>
          <w:sz w:val="22"/>
          <w:szCs w:val="22"/>
          <w:lang w:val="fr-FR"/>
        </w:rPr>
        <w:t xml:space="preserve"> : Le Comité permanent approuve l’allocation de l’excédent pour 2018 (voir tableau 1 de l’annexe </w:t>
      </w:r>
      <w:r w:rsidR="007D4EEE" w:rsidRPr="000F4D61">
        <w:rPr>
          <w:rFonts w:asciiTheme="minorHAnsi" w:hAnsiTheme="minorHAnsi" w:cstheme="minorHAnsi"/>
          <w:b/>
          <w:sz w:val="22"/>
          <w:szCs w:val="22"/>
          <w:lang w:val="fr-FR"/>
        </w:rPr>
        <w:t>9.2</w:t>
      </w:r>
      <w:r w:rsidRPr="000F4D61">
        <w:rPr>
          <w:rFonts w:asciiTheme="minorHAnsi" w:hAnsiTheme="minorHAnsi" w:cstheme="minorHAnsi"/>
          <w:b/>
          <w:sz w:val="22"/>
          <w:szCs w:val="22"/>
          <w:lang w:val="fr-FR"/>
        </w:rPr>
        <w:t xml:space="preserve"> du présent rapport).</w:t>
      </w:r>
    </w:p>
    <w:p w14:paraId="056DD79E" w14:textId="77777777" w:rsidR="00856AA7" w:rsidRPr="000F4D61" w:rsidRDefault="00856AA7" w:rsidP="00D13385">
      <w:pPr>
        <w:pStyle w:val="Default"/>
        <w:rPr>
          <w:rFonts w:asciiTheme="minorHAnsi" w:hAnsiTheme="minorHAnsi" w:cstheme="minorHAnsi"/>
          <w:b/>
          <w:sz w:val="22"/>
          <w:szCs w:val="22"/>
          <w:lang w:val="fr-FR"/>
        </w:rPr>
      </w:pPr>
    </w:p>
    <w:p w14:paraId="61F57D72"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lastRenderedPageBreak/>
        <w:t>Décision SC57-4</w:t>
      </w:r>
      <w:r w:rsidR="007D4EEE" w:rsidRPr="000F4D61">
        <w:rPr>
          <w:rFonts w:asciiTheme="minorHAnsi" w:hAnsiTheme="minorHAnsi" w:cstheme="minorHAnsi"/>
          <w:b/>
          <w:sz w:val="22"/>
          <w:szCs w:val="22"/>
          <w:lang w:val="fr-FR"/>
        </w:rPr>
        <w:t>8</w:t>
      </w:r>
      <w:r w:rsidRPr="000F4D61">
        <w:rPr>
          <w:rFonts w:asciiTheme="minorHAnsi" w:hAnsiTheme="minorHAnsi" w:cstheme="minorHAnsi"/>
          <w:b/>
          <w:sz w:val="22"/>
          <w:szCs w:val="22"/>
          <w:lang w:val="fr-FR"/>
        </w:rPr>
        <w:t xml:space="preserve"> : Le Comité permanent approuve l’allocation de 100 000 CHF du budget administratif aux Initiatives régionales Ramsar énumérées dans le tableau 2 de l’annexe </w:t>
      </w:r>
      <w:r w:rsidR="007D4EEE" w:rsidRPr="000F4D61">
        <w:rPr>
          <w:rFonts w:asciiTheme="minorHAnsi" w:hAnsiTheme="minorHAnsi" w:cstheme="minorHAnsi"/>
          <w:b/>
          <w:sz w:val="22"/>
          <w:szCs w:val="22"/>
          <w:lang w:val="fr-FR"/>
        </w:rPr>
        <w:t>9.2</w:t>
      </w:r>
      <w:r w:rsidRPr="000F4D61">
        <w:rPr>
          <w:rFonts w:asciiTheme="minorHAnsi" w:hAnsiTheme="minorHAnsi" w:cstheme="minorHAnsi"/>
          <w:b/>
          <w:sz w:val="22"/>
          <w:szCs w:val="22"/>
          <w:lang w:val="fr-FR"/>
        </w:rPr>
        <w:t xml:space="preserve"> du présent rapport, et charge le Secrétariat :</w:t>
      </w:r>
    </w:p>
    <w:p w14:paraId="21DA6F55" w14:textId="77777777" w:rsidR="00856AA7" w:rsidRPr="000F4D61" w:rsidRDefault="00856AA7" w:rsidP="00365864">
      <w:pPr>
        <w:pStyle w:val="Default"/>
        <w:numPr>
          <w:ilvl w:val="0"/>
          <w:numId w:val="8"/>
        </w:numPr>
        <w:autoSpaceDE/>
        <w:autoSpaceDN/>
        <w:adjustRightInd/>
        <w:ind w:left="567" w:hanging="567"/>
        <w:rPr>
          <w:rFonts w:asciiTheme="minorHAnsi" w:hAnsiTheme="minorHAnsi" w:cstheme="minorHAnsi"/>
          <w:b/>
          <w:sz w:val="22"/>
          <w:szCs w:val="22"/>
          <w:lang w:val="fr-FR"/>
        </w:rPr>
      </w:pPr>
      <w:r w:rsidRPr="000F4D61">
        <w:rPr>
          <w:rFonts w:asciiTheme="minorHAnsi" w:hAnsiTheme="minorHAnsi" w:cstheme="minorHAnsi"/>
          <w:b/>
          <w:sz w:val="22"/>
          <w:szCs w:val="22"/>
          <w:lang w:val="fr-FR"/>
        </w:rPr>
        <w:t>de prendre contact avec SenegalWet concernant le solde non dépensé des années précédentes et sa capacité à mettre en œuvre une contribution supplémentaire pour 2019 ;</w:t>
      </w:r>
    </w:p>
    <w:p w14:paraId="53EDDF74" w14:textId="77777777" w:rsidR="00856AA7" w:rsidRPr="000F4D61" w:rsidRDefault="00856AA7" w:rsidP="00365864">
      <w:pPr>
        <w:pStyle w:val="Default"/>
        <w:numPr>
          <w:ilvl w:val="0"/>
          <w:numId w:val="8"/>
        </w:numPr>
        <w:autoSpaceDE/>
        <w:autoSpaceDN/>
        <w:adjustRightInd/>
        <w:ind w:left="567" w:hanging="567"/>
        <w:rPr>
          <w:rFonts w:asciiTheme="minorHAnsi" w:hAnsiTheme="minorHAnsi" w:cstheme="minorHAnsi"/>
          <w:b/>
          <w:sz w:val="22"/>
          <w:szCs w:val="22"/>
          <w:lang w:val="fr-FR"/>
        </w:rPr>
      </w:pPr>
      <w:r w:rsidRPr="000F4D61">
        <w:rPr>
          <w:rFonts w:asciiTheme="minorHAnsi" w:hAnsiTheme="minorHAnsi" w:cstheme="minorHAnsi"/>
          <w:b/>
          <w:sz w:val="22"/>
          <w:szCs w:val="22"/>
          <w:lang w:val="fr-FR"/>
        </w:rPr>
        <w:t>Si SénégalWet n’a pas besoin de cette allocation supplémentaire de CHF 25 000 ou si les représentants de l’initiative ne répondent pas à la date limite fixée par le Secrétariat, de répartir le montant à parts égales entre les trois autres initiatives énumérées dans le tableau 2 ; et</w:t>
      </w:r>
    </w:p>
    <w:p w14:paraId="67A23B3B" w14:textId="77777777" w:rsidR="00856AA7" w:rsidRPr="000F4D61" w:rsidRDefault="00856AA7" w:rsidP="00365864">
      <w:pPr>
        <w:pStyle w:val="Default"/>
        <w:numPr>
          <w:ilvl w:val="0"/>
          <w:numId w:val="8"/>
        </w:numPr>
        <w:autoSpaceDE/>
        <w:autoSpaceDN/>
        <w:adjustRightInd/>
        <w:ind w:left="567" w:hanging="567"/>
        <w:rPr>
          <w:rFonts w:asciiTheme="minorHAnsi" w:hAnsiTheme="minorHAnsi" w:cstheme="minorHAnsi"/>
          <w:b/>
          <w:sz w:val="22"/>
          <w:szCs w:val="22"/>
          <w:lang w:val="fr-FR"/>
        </w:rPr>
      </w:pPr>
      <w:r w:rsidRPr="000F4D61">
        <w:rPr>
          <w:rFonts w:asciiTheme="minorHAnsi" w:hAnsiTheme="minorHAnsi" w:cstheme="minorHAnsi"/>
          <w:b/>
          <w:sz w:val="22"/>
          <w:szCs w:val="22"/>
          <w:lang w:val="fr-FR"/>
        </w:rPr>
        <w:t>de faire rapport au Sous-groupe sur les finances entre les sessions sur les résultats de cette situation.</w:t>
      </w:r>
    </w:p>
    <w:p w14:paraId="55C73B52" w14:textId="77777777" w:rsidR="00856AA7" w:rsidRPr="000F4D61" w:rsidRDefault="00856AA7" w:rsidP="00D13385">
      <w:pPr>
        <w:pStyle w:val="Default"/>
        <w:rPr>
          <w:rFonts w:asciiTheme="minorHAnsi" w:hAnsiTheme="minorHAnsi" w:cstheme="minorHAnsi"/>
          <w:b/>
          <w:sz w:val="22"/>
          <w:szCs w:val="22"/>
          <w:lang w:val="fr-FR"/>
        </w:rPr>
      </w:pPr>
    </w:p>
    <w:p w14:paraId="573BA06A"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SC57-4</w:t>
      </w:r>
      <w:r w:rsidR="007D4EEE" w:rsidRPr="000F4D61">
        <w:rPr>
          <w:rFonts w:asciiTheme="minorHAnsi" w:hAnsiTheme="minorHAnsi" w:cstheme="minorHAnsi"/>
          <w:b/>
          <w:sz w:val="22"/>
          <w:szCs w:val="22"/>
          <w:lang w:val="fr-FR"/>
        </w:rPr>
        <w:t>9</w:t>
      </w:r>
      <w:r w:rsidRPr="000F4D61">
        <w:rPr>
          <w:rFonts w:asciiTheme="minorHAnsi" w:hAnsiTheme="minorHAnsi" w:cstheme="minorHAnsi"/>
          <w:b/>
          <w:sz w:val="22"/>
          <w:szCs w:val="22"/>
          <w:lang w:val="fr-FR"/>
        </w:rPr>
        <w:t xml:space="preserve"> : Le Comité permanent approuve l’utilisation du montant de 21 000 CHF reporté de la ligne budgétaire pour 2018 « Appui aux Initiatives régionales – Général » pour le fonctionnement du Groupe de travail sur les Initiatives régionales conformément au paragraphe 9 de la Résolution XIII.9, </w:t>
      </w:r>
      <w:r w:rsidRPr="000F4D61">
        <w:rPr>
          <w:rFonts w:asciiTheme="minorHAnsi" w:hAnsiTheme="minorHAnsi" w:cstheme="minorHAnsi"/>
          <w:b/>
          <w:i/>
          <w:sz w:val="22"/>
          <w:szCs w:val="22"/>
          <w:lang w:val="fr-FR"/>
        </w:rPr>
        <w:t>Initiatives régionales Ramsar 2019-2021</w:t>
      </w:r>
      <w:r w:rsidRPr="000F4D61">
        <w:rPr>
          <w:rFonts w:asciiTheme="minorHAnsi" w:hAnsiTheme="minorHAnsi" w:cstheme="minorHAnsi"/>
          <w:b/>
          <w:sz w:val="22"/>
          <w:szCs w:val="22"/>
          <w:lang w:val="fr-FR"/>
        </w:rPr>
        <w:t>.</w:t>
      </w:r>
    </w:p>
    <w:p w14:paraId="2585E45E" w14:textId="77777777" w:rsidR="00856AA7" w:rsidRPr="000F4D61" w:rsidRDefault="00856AA7" w:rsidP="00D13385">
      <w:pPr>
        <w:pStyle w:val="Default"/>
        <w:rPr>
          <w:rFonts w:asciiTheme="minorHAnsi" w:hAnsiTheme="minorHAnsi" w:cstheme="minorHAnsi"/>
          <w:b/>
          <w:sz w:val="22"/>
          <w:szCs w:val="22"/>
          <w:lang w:val="fr-FR"/>
        </w:rPr>
      </w:pPr>
    </w:p>
    <w:p w14:paraId="1C96A62B"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w:t>
      </w:r>
      <w:r w:rsidR="007D4EEE" w:rsidRPr="000F4D61">
        <w:rPr>
          <w:rFonts w:asciiTheme="minorHAnsi" w:hAnsiTheme="minorHAnsi" w:cstheme="minorHAnsi"/>
          <w:b/>
          <w:sz w:val="22"/>
          <w:szCs w:val="22"/>
          <w:lang w:val="fr-FR"/>
        </w:rPr>
        <w:t>50</w:t>
      </w:r>
      <w:r w:rsidRPr="000F4D61">
        <w:rPr>
          <w:rFonts w:asciiTheme="minorHAnsi" w:hAnsiTheme="minorHAnsi" w:cstheme="minorHAnsi"/>
          <w:b/>
          <w:sz w:val="22"/>
          <w:szCs w:val="22"/>
          <w:lang w:val="fr-FR"/>
        </w:rPr>
        <w:t xml:space="preserve"> : Conformément aux responsabilités définies dans la Résolution 5.2, </w:t>
      </w:r>
      <w:r w:rsidRPr="000F4D61">
        <w:rPr>
          <w:rFonts w:asciiTheme="minorHAnsi" w:hAnsiTheme="minorHAnsi" w:cstheme="minorHAnsi"/>
          <w:b/>
          <w:i/>
          <w:iCs/>
          <w:sz w:val="22"/>
          <w:szCs w:val="22"/>
          <w:lang w:val="fr-FR"/>
        </w:rPr>
        <w:t>Questions financières et budgétaires</w:t>
      </w:r>
      <w:r w:rsidRPr="000F4D61">
        <w:rPr>
          <w:rFonts w:asciiTheme="minorHAnsi" w:hAnsiTheme="minorHAnsi" w:cstheme="minorHAnsi"/>
          <w:b/>
          <w:sz w:val="22"/>
          <w:szCs w:val="22"/>
          <w:lang w:val="fr-FR"/>
        </w:rPr>
        <w:t>, annexe 3, paragraphe 8, le Comité permanent décide que les soldes non engagés/non dépensés des lignes budgétaires peuvent être reportés à l'année suivante pendant la période triennale et présentés à la réunion suivante du Sous-groupe sur les finances.</w:t>
      </w:r>
      <w:r w:rsidRPr="000F4D61">
        <w:rPr>
          <w:rStyle w:val="FootnoteReference"/>
          <w:rFonts w:asciiTheme="minorHAnsi" w:hAnsiTheme="minorHAnsi" w:cstheme="minorHAnsi"/>
          <w:b/>
          <w:sz w:val="22"/>
          <w:szCs w:val="22"/>
        </w:rPr>
        <w:footnoteReference w:id="5"/>
      </w:r>
      <w:r w:rsidRPr="000F4D61">
        <w:rPr>
          <w:rFonts w:asciiTheme="minorHAnsi" w:hAnsiTheme="minorHAnsi" w:cstheme="minorHAnsi"/>
          <w:b/>
          <w:sz w:val="22"/>
          <w:szCs w:val="22"/>
          <w:lang w:val="fr-FR"/>
        </w:rPr>
        <w:t xml:space="preserve"> </w:t>
      </w:r>
    </w:p>
    <w:p w14:paraId="5A71860D" w14:textId="77777777" w:rsidR="00856AA7" w:rsidRPr="000F4D61" w:rsidRDefault="00856AA7" w:rsidP="00D13385">
      <w:pPr>
        <w:pStyle w:val="Default"/>
        <w:rPr>
          <w:rFonts w:asciiTheme="minorHAnsi" w:hAnsiTheme="minorHAnsi" w:cstheme="minorHAnsi"/>
          <w:b/>
          <w:sz w:val="22"/>
          <w:szCs w:val="22"/>
          <w:lang w:val="fr-FR"/>
        </w:rPr>
      </w:pPr>
    </w:p>
    <w:p w14:paraId="50309709" w14:textId="77777777" w:rsidR="00856AA7" w:rsidRPr="000F4D61" w:rsidRDefault="00856AA7" w:rsidP="00D13385">
      <w:pPr>
        <w:pStyle w:val="Default"/>
        <w:rPr>
          <w:rFonts w:asciiTheme="minorHAnsi" w:hAnsiTheme="minorHAnsi" w:cstheme="minorHAnsi"/>
          <w:b/>
          <w:sz w:val="22"/>
          <w:szCs w:val="22"/>
          <w:lang w:val="fr-FR"/>
        </w:rPr>
      </w:pPr>
      <w:r w:rsidRPr="000F4D61">
        <w:rPr>
          <w:rFonts w:asciiTheme="minorHAnsi" w:hAnsiTheme="minorHAnsi" w:cstheme="minorHAnsi"/>
          <w:b/>
          <w:sz w:val="22"/>
          <w:szCs w:val="22"/>
          <w:lang w:val="fr-FR"/>
        </w:rPr>
        <w:t>Décision SC57-</w:t>
      </w:r>
      <w:r w:rsidR="007D4EEE" w:rsidRPr="000F4D61">
        <w:rPr>
          <w:rFonts w:asciiTheme="minorHAnsi" w:hAnsiTheme="minorHAnsi" w:cstheme="minorHAnsi"/>
          <w:b/>
          <w:sz w:val="22"/>
          <w:szCs w:val="22"/>
          <w:lang w:val="fr-FR"/>
        </w:rPr>
        <w:t>51</w:t>
      </w:r>
      <w:r w:rsidRPr="000F4D61">
        <w:rPr>
          <w:rFonts w:asciiTheme="minorHAnsi" w:hAnsiTheme="minorHAnsi" w:cstheme="minorHAnsi"/>
          <w:b/>
          <w:sz w:val="22"/>
          <w:szCs w:val="22"/>
          <w:lang w:val="fr-FR"/>
        </w:rPr>
        <w:t xml:space="preserve"> : Le Comité permanent prend note des mesures prises par le Secrétariat pour mettre fin au programme du Fonds de petites subventions, approuve la sélection proposée de bénéficiaires d’un financement du Fonds de petites subventions, selon le tableau 4 de l’annexe </w:t>
      </w:r>
      <w:r w:rsidR="007D4EEE" w:rsidRPr="000F4D61">
        <w:rPr>
          <w:rFonts w:asciiTheme="minorHAnsi" w:hAnsiTheme="minorHAnsi" w:cstheme="minorHAnsi"/>
          <w:b/>
          <w:sz w:val="22"/>
          <w:szCs w:val="22"/>
          <w:lang w:val="fr-FR"/>
        </w:rPr>
        <w:t>9.2</w:t>
      </w:r>
      <w:r w:rsidRPr="000F4D61">
        <w:rPr>
          <w:rFonts w:asciiTheme="minorHAnsi" w:hAnsiTheme="minorHAnsi" w:cstheme="minorHAnsi"/>
          <w:b/>
          <w:sz w:val="22"/>
          <w:szCs w:val="22"/>
          <w:lang w:val="fr-FR"/>
        </w:rPr>
        <w:t xml:space="preserve"> du présent rapport, et approuve l'utilisation par le Secrétariat du solde restant du Fonds de petites subventions d’un montant de 2 800 CHF pour financer l’actualisation du document d’orientation, destiné aux Parties, sur les moyens de préparer et rédiger des propositions de projets.</w:t>
      </w:r>
    </w:p>
    <w:p w14:paraId="731F06D6" w14:textId="77777777" w:rsidR="00856AA7" w:rsidRPr="000F4D61" w:rsidRDefault="00856AA7" w:rsidP="00D13385">
      <w:pPr>
        <w:pStyle w:val="Default"/>
        <w:rPr>
          <w:rFonts w:asciiTheme="minorHAnsi" w:hAnsiTheme="minorHAnsi" w:cstheme="minorHAnsi"/>
          <w:sz w:val="22"/>
          <w:szCs w:val="22"/>
          <w:lang w:val="fr-FR"/>
        </w:rPr>
      </w:pPr>
    </w:p>
    <w:p w14:paraId="08564664" w14:textId="5DCDA2D9" w:rsidR="00856AA7" w:rsidRPr="000F4D61" w:rsidRDefault="00856AA7"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22 de l’ordre du jour : Rapports nationaux pour la COP14 </w:t>
      </w:r>
    </w:p>
    <w:p w14:paraId="70A4C594" w14:textId="77777777" w:rsidR="00856AA7" w:rsidRPr="000F4D61" w:rsidRDefault="00856AA7" w:rsidP="00D13385">
      <w:pPr>
        <w:spacing w:after="0" w:line="240" w:lineRule="auto"/>
        <w:rPr>
          <w:rFonts w:cstheme="minorHAnsi"/>
          <w:lang w:val="fr-FR"/>
        </w:rPr>
      </w:pPr>
    </w:p>
    <w:p w14:paraId="7C3CAB8F"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SC57-5</w:t>
      </w:r>
      <w:r w:rsidR="007D4EEE" w:rsidRPr="000F4D61">
        <w:rPr>
          <w:rFonts w:cstheme="minorHAnsi"/>
          <w:b/>
          <w:lang w:val="fr-FR"/>
        </w:rPr>
        <w:t>2</w:t>
      </w:r>
      <w:r w:rsidRPr="000F4D61">
        <w:rPr>
          <w:rFonts w:cstheme="minorHAnsi"/>
          <w:b/>
          <w:lang w:val="fr-FR"/>
        </w:rPr>
        <w:t xml:space="preserve"> : Le Comité permanent approuve le modèle de Rapport national présenté </w:t>
      </w:r>
      <w:r w:rsidR="007D4EEE" w:rsidRPr="000F4D61">
        <w:rPr>
          <w:rFonts w:cstheme="minorHAnsi"/>
          <w:b/>
          <w:lang w:val="fr-FR"/>
        </w:rPr>
        <w:t xml:space="preserve">en annexe </w:t>
      </w:r>
      <w:r w:rsidRPr="000F4D61">
        <w:rPr>
          <w:rFonts w:cstheme="minorHAnsi"/>
          <w:b/>
          <w:lang w:val="fr-FR"/>
        </w:rPr>
        <w:t>10</w:t>
      </w:r>
      <w:r w:rsidR="007D4EEE" w:rsidRPr="000F4D61">
        <w:rPr>
          <w:rFonts w:cstheme="minorHAnsi"/>
          <w:b/>
          <w:lang w:val="fr-FR"/>
        </w:rPr>
        <w:t xml:space="preserve"> du présent rapport</w:t>
      </w:r>
      <w:r w:rsidRPr="000F4D61">
        <w:rPr>
          <w:rFonts w:cstheme="minorHAnsi"/>
          <w:b/>
          <w:lang w:val="fr-FR"/>
        </w:rPr>
        <w:t xml:space="preserve">, sous réserve de l’ajout des amendements éditoriaux notés. </w:t>
      </w:r>
    </w:p>
    <w:p w14:paraId="3E8E8343" w14:textId="77777777" w:rsidR="00856AA7" w:rsidRPr="000F4D61" w:rsidRDefault="00856AA7" w:rsidP="00D13385">
      <w:pPr>
        <w:spacing w:after="0" w:line="240" w:lineRule="auto"/>
        <w:rPr>
          <w:rFonts w:cstheme="minorHAnsi"/>
          <w:lang w:val="fr-FR"/>
        </w:rPr>
      </w:pPr>
    </w:p>
    <w:p w14:paraId="7C4E73FB" w14:textId="290EAB4D" w:rsidR="00856AA7" w:rsidRPr="000F4D61" w:rsidRDefault="00856AA7" w:rsidP="00D13385">
      <w:pPr>
        <w:pBdr>
          <w:top w:val="single" w:sz="4" w:space="0"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8 de l’ordre du jour : Problèmes urgents d’utilisation rationnelle des zones humides devant recevoir une attention accrue</w:t>
      </w:r>
    </w:p>
    <w:p w14:paraId="06433FC7" w14:textId="77777777" w:rsidR="00856AA7" w:rsidRPr="000F4D61" w:rsidRDefault="00856AA7" w:rsidP="00D13385">
      <w:pPr>
        <w:pStyle w:val="Default"/>
        <w:ind w:left="720" w:hanging="720"/>
        <w:rPr>
          <w:rFonts w:asciiTheme="minorHAnsi" w:hAnsiTheme="minorHAnsi" w:cstheme="minorHAnsi"/>
          <w:sz w:val="22"/>
          <w:szCs w:val="22"/>
          <w:lang w:val="fr-FR"/>
        </w:rPr>
      </w:pPr>
    </w:p>
    <w:p w14:paraId="5CF2719C"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SC57-5</w:t>
      </w:r>
      <w:r w:rsidR="008A5550" w:rsidRPr="000F4D61">
        <w:rPr>
          <w:rFonts w:cstheme="minorHAnsi"/>
          <w:b/>
          <w:lang w:val="fr-FR"/>
        </w:rPr>
        <w:t>3</w:t>
      </w:r>
      <w:r w:rsidRPr="000F4D61">
        <w:rPr>
          <w:rFonts w:cstheme="minorHAnsi"/>
          <w:b/>
          <w:lang w:val="fr-FR"/>
        </w:rPr>
        <w:t xml:space="preserve"> : </w:t>
      </w:r>
      <w:bookmarkStart w:id="3" w:name="_Hlk13131009"/>
      <w:r w:rsidRPr="000F4D61">
        <w:rPr>
          <w:rFonts w:cstheme="minorHAnsi"/>
          <w:b/>
          <w:lang w:val="fr-FR"/>
        </w:rPr>
        <w:t xml:space="preserve">Le Comité permanent </w:t>
      </w:r>
      <w:bookmarkEnd w:id="3"/>
      <w:r w:rsidRPr="000F4D61">
        <w:rPr>
          <w:rFonts w:cstheme="minorHAnsi"/>
          <w:b/>
          <w:lang w:val="fr-FR"/>
        </w:rPr>
        <w:t>décide de mettre l’accent sur le thème des inventaires, pendant la période triennale, pour que les Parties contractantes puissent se concentrer sur les mesures à prendre pour résoudre ce problème urgent, ce qui pourrait donner lieu à un projet de résolution ou à plusieurs, pour examen à la COP14, et d’utiliser le descriptif joint pour guider ces travaux.</w:t>
      </w:r>
    </w:p>
    <w:p w14:paraId="5BFD4FFA" w14:textId="77777777" w:rsidR="00856AA7" w:rsidRPr="000F4D61" w:rsidRDefault="00856AA7" w:rsidP="00D13385">
      <w:pPr>
        <w:spacing w:after="0" w:line="240" w:lineRule="auto"/>
        <w:rPr>
          <w:rFonts w:cstheme="minorHAnsi"/>
          <w:b/>
          <w:lang w:val="fr-FR"/>
        </w:rPr>
      </w:pPr>
    </w:p>
    <w:p w14:paraId="1FF20FA6"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SC57-5</w:t>
      </w:r>
      <w:r w:rsidR="008A5550" w:rsidRPr="000F4D61">
        <w:rPr>
          <w:rFonts w:cstheme="minorHAnsi"/>
          <w:b/>
          <w:lang w:val="fr-FR"/>
        </w:rPr>
        <w:t>4</w:t>
      </w:r>
      <w:r w:rsidRPr="000F4D61">
        <w:rPr>
          <w:rFonts w:cstheme="minorHAnsi"/>
          <w:b/>
          <w:lang w:val="fr-FR"/>
        </w:rPr>
        <w:t xml:space="preserve"> : Le Comité permanent décide de réserver du temps, à l’ordre du jour de sa 58</w:t>
      </w:r>
      <w:r w:rsidRPr="000F4D61">
        <w:rPr>
          <w:rFonts w:cstheme="minorHAnsi"/>
          <w:b/>
          <w:vertAlign w:val="superscript"/>
          <w:lang w:val="fr-FR"/>
        </w:rPr>
        <w:t>e</w:t>
      </w:r>
      <w:r w:rsidRPr="000F4D61">
        <w:rPr>
          <w:rFonts w:cstheme="minorHAnsi"/>
          <w:b/>
          <w:lang w:val="fr-FR"/>
        </w:rPr>
        <w:t xml:space="preserve"> Réunion, pour débattre des meilleures pratiques actuelles en matière d’élaboration d’inventaires des zones humides afin de créer un climat de collaboration entre les Parties contractantes, les </w:t>
      </w:r>
      <w:r w:rsidRPr="000F4D61">
        <w:rPr>
          <w:rFonts w:cstheme="minorHAnsi"/>
          <w:b/>
          <w:lang w:val="fr-FR"/>
        </w:rPr>
        <w:lastRenderedPageBreak/>
        <w:t>représentants du GEST, le groupe de surveillance des activités de CESP, les OIP, le Secrétariat Ramsar, entre autres, concernant les outils et moyens de traiter les difficultés que rencontrent de nombreuses Parties contractantes qui souhaitent dresser, améliorer, finaliser et maintenir un inventaire des zones humides.</w:t>
      </w:r>
    </w:p>
    <w:p w14:paraId="244F2760" w14:textId="77777777" w:rsidR="00856AA7" w:rsidRPr="000F4D61" w:rsidRDefault="00856AA7" w:rsidP="00D13385">
      <w:pPr>
        <w:spacing w:after="0" w:line="240" w:lineRule="auto"/>
        <w:rPr>
          <w:rFonts w:cstheme="minorHAnsi"/>
          <w:lang w:val="fr-FR"/>
        </w:rPr>
      </w:pPr>
    </w:p>
    <w:p w14:paraId="0BA66013" w14:textId="599D6108" w:rsidR="00856AA7" w:rsidRPr="000F4D61" w:rsidRDefault="00856AA7"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24 de l’ordre du jour : Missions consultatives Ramsar : Orientations opérationnelles</w:t>
      </w:r>
    </w:p>
    <w:p w14:paraId="4DC39294" w14:textId="77777777" w:rsidR="00856AA7" w:rsidRPr="000F4D61" w:rsidRDefault="00856AA7" w:rsidP="00D13385">
      <w:pPr>
        <w:spacing w:after="0" w:line="240" w:lineRule="auto"/>
        <w:rPr>
          <w:rFonts w:cstheme="minorHAnsi"/>
          <w:lang w:val="fr-FR"/>
        </w:rPr>
      </w:pPr>
    </w:p>
    <w:p w14:paraId="62DB2336"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SC57-5</w:t>
      </w:r>
      <w:r w:rsidR="008A5550" w:rsidRPr="000F4D61">
        <w:rPr>
          <w:rFonts w:cstheme="minorHAnsi"/>
          <w:b/>
          <w:lang w:val="fr-FR"/>
        </w:rPr>
        <w:t>5</w:t>
      </w:r>
      <w:r w:rsidRPr="000F4D61">
        <w:rPr>
          <w:rFonts w:cstheme="minorHAnsi"/>
          <w:b/>
          <w:lang w:val="fr-FR"/>
        </w:rPr>
        <w:t xml:space="preserve"> : Le Comité permanent adopte la version amendée des orientations opérationnelles pour les Missions consultatives Ramsar qui figurent en annexe </w:t>
      </w:r>
      <w:r w:rsidR="008A5550" w:rsidRPr="000F4D61">
        <w:rPr>
          <w:rFonts w:cstheme="minorHAnsi"/>
          <w:b/>
          <w:lang w:val="fr-FR"/>
        </w:rPr>
        <w:t>12</w:t>
      </w:r>
      <w:r w:rsidRPr="000F4D61">
        <w:rPr>
          <w:rFonts w:cstheme="minorHAnsi"/>
          <w:b/>
          <w:lang w:val="fr-FR"/>
        </w:rPr>
        <w:t xml:space="preserve"> du présent rapport.</w:t>
      </w:r>
    </w:p>
    <w:p w14:paraId="0BE2BA98" w14:textId="77777777" w:rsidR="00856AA7" w:rsidRPr="000F4D61" w:rsidRDefault="00856AA7" w:rsidP="00D13385">
      <w:pPr>
        <w:spacing w:after="0" w:line="240" w:lineRule="auto"/>
        <w:rPr>
          <w:rFonts w:cstheme="minorHAnsi"/>
          <w:lang w:val="fr-FR"/>
        </w:rPr>
      </w:pPr>
      <w:r w:rsidRPr="000F4D61">
        <w:rPr>
          <w:rFonts w:cstheme="minorHAnsi"/>
          <w:lang w:val="fr-FR"/>
        </w:rPr>
        <w:t xml:space="preserve"> </w:t>
      </w:r>
    </w:p>
    <w:p w14:paraId="141D02E2" w14:textId="77777777" w:rsidR="00856AA7" w:rsidRPr="000F4D61" w:rsidRDefault="00856AA7"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 xml:space="preserve">Point 28 de l’ordre du jour : Adoption du rapport de la réunion </w:t>
      </w:r>
    </w:p>
    <w:p w14:paraId="0B528085" w14:textId="77777777" w:rsidR="00856AA7" w:rsidRPr="000F4D61" w:rsidRDefault="00856AA7" w:rsidP="00D13385">
      <w:pPr>
        <w:spacing w:after="0" w:line="240" w:lineRule="auto"/>
        <w:ind w:left="425" w:hanging="425"/>
        <w:rPr>
          <w:rFonts w:cstheme="minorHAnsi"/>
          <w:lang w:val="fr-FR"/>
        </w:rPr>
      </w:pPr>
    </w:p>
    <w:p w14:paraId="771914AD"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SC57-5</w:t>
      </w:r>
      <w:r w:rsidR="008A5550" w:rsidRPr="000F4D61">
        <w:rPr>
          <w:rFonts w:cstheme="minorHAnsi"/>
          <w:b/>
          <w:lang w:val="fr-FR"/>
        </w:rPr>
        <w:t>6</w:t>
      </w:r>
      <w:r w:rsidRPr="000F4D61">
        <w:rPr>
          <w:rFonts w:cstheme="minorHAnsi"/>
          <w:b/>
          <w:lang w:val="fr-FR"/>
        </w:rPr>
        <w:t xml:space="preserve"> : Le Comité permanent charge le Secrétariat de communiquer le projet de rapport du dernier jour aux membres du Comité permanent pour examen et approbation, et approuve les projets de rapports quotidiens des jours précédents, sous réserve de l’ajout des amendements soumis. </w:t>
      </w:r>
    </w:p>
    <w:p w14:paraId="183B310D" w14:textId="77777777" w:rsidR="00856AA7" w:rsidRPr="000F4D61" w:rsidRDefault="00856AA7" w:rsidP="00D13385">
      <w:pPr>
        <w:spacing w:after="0" w:line="240" w:lineRule="auto"/>
        <w:rPr>
          <w:rFonts w:cstheme="minorHAnsi"/>
          <w:lang w:val="fr-FR"/>
        </w:rPr>
      </w:pPr>
    </w:p>
    <w:p w14:paraId="31D59178" w14:textId="77777777" w:rsidR="00856AA7" w:rsidRPr="000F4D61" w:rsidRDefault="00856AA7" w:rsidP="00D13385">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0F4D61">
        <w:rPr>
          <w:rFonts w:cstheme="minorHAnsi"/>
          <w:bCs/>
          <w:lang w:val="fr-FR"/>
        </w:rPr>
        <w:t>Point 27.1 de l’ordre du jour : 58</w:t>
      </w:r>
      <w:r w:rsidRPr="000F4D61">
        <w:rPr>
          <w:rFonts w:cstheme="minorHAnsi"/>
          <w:bCs/>
          <w:vertAlign w:val="superscript"/>
          <w:lang w:val="fr-FR"/>
        </w:rPr>
        <w:t>e</w:t>
      </w:r>
      <w:r w:rsidRPr="000F4D61">
        <w:rPr>
          <w:rFonts w:cstheme="minorHAnsi"/>
          <w:bCs/>
          <w:lang w:val="fr-FR"/>
        </w:rPr>
        <w:t xml:space="preserve"> Réunion du Comité permanent - Dates de la 58</w:t>
      </w:r>
      <w:r w:rsidRPr="000F4D61">
        <w:rPr>
          <w:rFonts w:cstheme="minorHAnsi"/>
          <w:bCs/>
          <w:vertAlign w:val="superscript"/>
          <w:lang w:val="fr-FR"/>
        </w:rPr>
        <w:t>e</w:t>
      </w:r>
      <w:r w:rsidRPr="000F4D61">
        <w:rPr>
          <w:rFonts w:cstheme="minorHAnsi"/>
          <w:bCs/>
          <w:lang w:val="fr-FR"/>
        </w:rPr>
        <w:t xml:space="preserve"> Réunion </w:t>
      </w:r>
    </w:p>
    <w:p w14:paraId="419CA56C" w14:textId="77777777" w:rsidR="00856AA7" w:rsidRPr="000F4D61" w:rsidRDefault="00856AA7" w:rsidP="00D13385">
      <w:pPr>
        <w:spacing w:after="0" w:line="240" w:lineRule="auto"/>
        <w:ind w:left="425" w:hanging="425"/>
        <w:rPr>
          <w:rFonts w:cstheme="minorHAnsi"/>
          <w:lang w:val="fr-FR"/>
        </w:rPr>
      </w:pPr>
    </w:p>
    <w:p w14:paraId="3182F6C7" w14:textId="77777777" w:rsidR="00856AA7" w:rsidRPr="000F4D61" w:rsidRDefault="00856AA7" w:rsidP="00D13385">
      <w:pPr>
        <w:spacing w:after="0" w:line="240" w:lineRule="auto"/>
        <w:rPr>
          <w:rFonts w:cstheme="minorHAnsi"/>
          <w:b/>
          <w:lang w:val="fr-FR"/>
        </w:rPr>
      </w:pPr>
      <w:r w:rsidRPr="000F4D61">
        <w:rPr>
          <w:rFonts w:cstheme="minorHAnsi"/>
          <w:b/>
          <w:lang w:val="fr-FR"/>
        </w:rPr>
        <w:t>Décision SC57-5</w:t>
      </w:r>
      <w:r w:rsidR="008A5550" w:rsidRPr="000F4D61">
        <w:rPr>
          <w:rFonts w:cstheme="minorHAnsi"/>
          <w:b/>
          <w:lang w:val="fr-FR"/>
        </w:rPr>
        <w:t>7</w:t>
      </w:r>
      <w:r w:rsidRPr="000F4D61">
        <w:rPr>
          <w:rFonts w:cstheme="minorHAnsi"/>
          <w:b/>
          <w:lang w:val="fr-FR"/>
        </w:rPr>
        <w:t xml:space="preserve"> : Le Comité permanent décide d’organiser sa prochaine réunion du 22 au 26 juin 2020.</w:t>
      </w:r>
    </w:p>
    <w:sectPr w:rsidR="00856AA7" w:rsidRPr="000F4D61" w:rsidSect="00216D6F">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90FD2" w14:textId="77777777" w:rsidR="00AD6ECD" w:rsidRDefault="00AD6ECD" w:rsidP="0021462B">
      <w:pPr>
        <w:spacing w:after="0" w:line="240" w:lineRule="auto"/>
      </w:pPr>
      <w:r>
        <w:separator/>
      </w:r>
    </w:p>
  </w:endnote>
  <w:endnote w:type="continuationSeparator" w:id="0">
    <w:p w14:paraId="14E43EE1" w14:textId="77777777" w:rsidR="00AD6ECD" w:rsidRDefault="00AD6ECD" w:rsidP="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4230" w14:textId="03950FAF" w:rsidR="00AD6ECD" w:rsidRPr="00CF0F97" w:rsidRDefault="00AD6ECD" w:rsidP="00CF0F97">
    <w:pPr>
      <w:pStyle w:val="Footer"/>
      <w:rPr>
        <w:sz w:val="20"/>
        <w:szCs w:val="20"/>
      </w:rPr>
    </w:pPr>
    <w:r w:rsidRPr="00856AA7">
      <w:rPr>
        <w:sz w:val="20"/>
        <w:szCs w:val="20"/>
        <w:lang w:val="fr-FR"/>
      </w:rPr>
      <w:t>SC57 Décisions</w:t>
    </w:r>
    <w:r w:rsidRPr="0021462B">
      <w:rPr>
        <w:sz w:val="20"/>
        <w:szCs w:val="20"/>
      </w:rPr>
      <w:tab/>
    </w:r>
    <w:r w:rsidRPr="0021462B">
      <w:rPr>
        <w:sz w:val="20"/>
        <w:szCs w:val="20"/>
      </w:rPr>
      <w:tab/>
    </w:r>
    <w:r w:rsidRPr="0021462B">
      <w:rPr>
        <w:sz w:val="20"/>
        <w:szCs w:val="20"/>
      </w:rPr>
      <w:fldChar w:fldCharType="begin"/>
    </w:r>
    <w:r w:rsidRPr="0021462B">
      <w:rPr>
        <w:sz w:val="20"/>
        <w:szCs w:val="20"/>
      </w:rPr>
      <w:instrText xml:space="preserve"> PAGE   \* MERGEFORMAT </w:instrText>
    </w:r>
    <w:r w:rsidRPr="0021462B">
      <w:rPr>
        <w:sz w:val="20"/>
        <w:szCs w:val="20"/>
      </w:rPr>
      <w:fldChar w:fldCharType="separate"/>
    </w:r>
    <w:r w:rsidR="00EE61E2">
      <w:rPr>
        <w:noProof/>
        <w:sz w:val="20"/>
        <w:szCs w:val="20"/>
      </w:rPr>
      <w:t>9</w:t>
    </w:r>
    <w:r w:rsidRPr="0021462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675BE" w14:textId="77777777" w:rsidR="00AD6ECD" w:rsidRDefault="00AD6ECD" w:rsidP="0021462B">
      <w:pPr>
        <w:spacing w:after="0" w:line="240" w:lineRule="auto"/>
      </w:pPr>
      <w:r>
        <w:separator/>
      </w:r>
    </w:p>
  </w:footnote>
  <w:footnote w:type="continuationSeparator" w:id="0">
    <w:p w14:paraId="3EEAFB7C" w14:textId="77777777" w:rsidR="00AD6ECD" w:rsidRDefault="00AD6ECD" w:rsidP="0021462B">
      <w:pPr>
        <w:spacing w:after="0" w:line="240" w:lineRule="auto"/>
      </w:pPr>
      <w:r>
        <w:continuationSeparator/>
      </w:r>
    </w:p>
  </w:footnote>
  <w:footnote w:id="1">
    <w:p w14:paraId="6231282A" w14:textId="77777777" w:rsidR="00AD6ECD" w:rsidRPr="00E61597" w:rsidRDefault="00AD6ECD">
      <w:pPr>
        <w:pStyle w:val="FootnoteText"/>
        <w:rPr>
          <w:lang w:val="fr-FR"/>
        </w:rPr>
      </w:pPr>
      <w:r>
        <w:rPr>
          <w:rStyle w:val="FootnoteReference"/>
        </w:rPr>
        <w:footnoteRef/>
      </w:r>
      <w:r w:rsidRPr="00E61597">
        <w:rPr>
          <w:lang w:val="fr-FR"/>
        </w:rPr>
        <w:t xml:space="preserve"> </w:t>
      </w:r>
      <w:r>
        <w:rPr>
          <w:lang w:val="fr-FR"/>
        </w:rPr>
        <w:t>Dans la Décision SC57-47 ci-dessous, le Comité permanent a, par la suite, approuvé l’allocation de 15 000 CHF de l’excédent du budget administratif 2018 à la « consultation pour l’analyse du statut juridique ».</w:t>
      </w:r>
    </w:p>
  </w:footnote>
  <w:footnote w:id="2">
    <w:p w14:paraId="12DEB4D1" w14:textId="77777777" w:rsidR="00AD6ECD" w:rsidRPr="004C724E" w:rsidRDefault="00AD6ECD">
      <w:pPr>
        <w:pStyle w:val="FootnoteText"/>
        <w:rPr>
          <w:lang w:val="fr-FR"/>
        </w:rPr>
      </w:pPr>
      <w:r>
        <w:rPr>
          <w:rStyle w:val="FootnoteReference"/>
        </w:rPr>
        <w:footnoteRef/>
      </w:r>
      <w:r w:rsidRPr="004C724E">
        <w:rPr>
          <w:lang w:val="fr-FR"/>
        </w:rPr>
        <w:t xml:space="preserve"> </w:t>
      </w:r>
      <w:r>
        <w:rPr>
          <w:lang w:val="fr-FR"/>
        </w:rPr>
        <w:t xml:space="preserve">Dans la Décision SC57-47 ci-dessous, le Comité permanent a, par la suite, approuvé l’allocation de 20 000 CHF de l’excédent du budget administratif 2018 à « Examen des Résolutions (Résolution XIII.4) ». </w:t>
      </w:r>
    </w:p>
  </w:footnote>
  <w:footnote w:id="3">
    <w:p w14:paraId="4F8C8F98" w14:textId="77777777" w:rsidR="00AD6ECD" w:rsidRPr="002F14F3" w:rsidRDefault="00AD6ECD">
      <w:pPr>
        <w:pStyle w:val="FootnoteText"/>
        <w:rPr>
          <w:lang w:val="fr-FR"/>
        </w:rPr>
      </w:pPr>
      <w:r>
        <w:rPr>
          <w:rStyle w:val="FootnoteReference"/>
        </w:rPr>
        <w:footnoteRef/>
      </w:r>
      <w:r w:rsidRPr="002F14F3">
        <w:rPr>
          <w:lang w:val="fr-FR"/>
        </w:rPr>
        <w:t xml:space="preserve"> </w:t>
      </w:r>
      <w:r>
        <w:rPr>
          <w:lang w:val="fr-FR"/>
        </w:rPr>
        <w:t xml:space="preserve">Dans la Décision SC57-49 ci-dessous, le Comité permanent a, par la suite, approuvé l’utilisation de 21 000 CHF reportés de la ligne du budget 2018 « Soutien aux Initiatives régionales – général » pour le fonctionnement du Groupe de travail sur les Initiatives régionales Ramsar, conformément au paragraphe 9 de la Résolution XII.9, </w:t>
      </w:r>
      <w:r w:rsidRPr="002F14F3">
        <w:rPr>
          <w:i/>
          <w:iCs/>
          <w:lang w:val="fr-FR"/>
        </w:rPr>
        <w:t>Initiatives régionales Ramsar 2019-2021</w:t>
      </w:r>
      <w:r>
        <w:rPr>
          <w:lang w:val="fr-FR"/>
        </w:rPr>
        <w:t>.</w:t>
      </w:r>
    </w:p>
  </w:footnote>
  <w:footnote w:id="4">
    <w:p w14:paraId="5E6DAA89" w14:textId="77777777" w:rsidR="00AD6ECD" w:rsidRPr="004C724E" w:rsidRDefault="00AD6ECD">
      <w:pPr>
        <w:pStyle w:val="FootnoteText"/>
        <w:rPr>
          <w:lang w:val="fr-FR"/>
        </w:rPr>
      </w:pPr>
      <w:r>
        <w:rPr>
          <w:rStyle w:val="FootnoteReference"/>
        </w:rPr>
        <w:footnoteRef/>
      </w:r>
      <w:r w:rsidRPr="004C724E">
        <w:rPr>
          <w:lang w:val="fr-FR"/>
        </w:rPr>
        <w:t xml:space="preserve"> </w:t>
      </w:r>
      <w:r>
        <w:rPr>
          <w:lang w:val="fr-FR"/>
        </w:rPr>
        <w:t>Le plan de travail final figure en annexe 7 du présent rapport.</w:t>
      </w:r>
    </w:p>
  </w:footnote>
  <w:footnote w:id="5">
    <w:p w14:paraId="5CE1F6D9" w14:textId="77777777" w:rsidR="00AD6ECD" w:rsidRPr="00394C0C" w:rsidRDefault="00AD6ECD" w:rsidP="00856AA7">
      <w:pPr>
        <w:pStyle w:val="CommentText"/>
        <w:spacing w:after="0"/>
        <w:rPr>
          <w:lang w:val="fr-FR"/>
        </w:rPr>
      </w:pPr>
      <w:r>
        <w:rPr>
          <w:rStyle w:val="FootnoteReference"/>
        </w:rPr>
        <w:footnoteRef/>
      </w:r>
      <w:r w:rsidRPr="00394C0C">
        <w:rPr>
          <w:lang w:val="fr-FR"/>
        </w:rPr>
        <w:t xml:space="preserve"> À la COP13, les Parties contractantes ont décidé, dans le paragraphe 11 de la Résolution XIII.2, que</w:t>
      </w:r>
      <w:r>
        <w:rPr>
          <w:lang w:val="fr-FR"/>
        </w:rPr>
        <w:t xml:space="preserve"> les</w:t>
      </w:r>
      <w:r w:rsidRPr="00394C0C">
        <w:rPr>
          <w:lang w:val="fr-FR"/>
        </w:rPr>
        <w:t xml:space="preserve"> </w:t>
      </w:r>
      <w:r w:rsidRPr="00394C0C">
        <w:rPr>
          <w:i/>
          <w:iCs/>
          <w:lang w:val="fr-FR"/>
        </w:rPr>
        <w:t>Dispositions relatives à l’administration financière de la Convention</w:t>
      </w:r>
      <w:r w:rsidRPr="00394C0C">
        <w:rPr>
          <w:lang w:val="fr-FR"/>
        </w:rPr>
        <w:t>, énoncées à l’</w:t>
      </w:r>
      <w:r>
        <w:rPr>
          <w:lang w:val="fr-FR"/>
        </w:rPr>
        <w:t>a</w:t>
      </w:r>
      <w:r w:rsidRPr="00394C0C">
        <w:rPr>
          <w:lang w:val="fr-FR"/>
        </w:rPr>
        <w:t xml:space="preserve">nnexe 3 de la Résolution 5.2, </w:t>
      </w:r>
      <w:r w:rsidRPr="00394C0C">
        <w:rPr>
          <w:i/>
          <w:iCs/>
          <w:lang w:val="fr-FR"/>
        </w:rPr>
        <w:t>Résolution sur les questions financières et budgétaires</w:t>
      </w:r>
      <w:r w:rsidRPr="00394C0C">
        <w:rPr>
          <w:lang w:val="fr-FR"/>
        </w:rPr>
        <w:t xml:space="preserve"> (1993), seront intégralement appliquées pendant la période triennale 2019-2021.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15A0FEB"/>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9F6F64"/>
    <w:multiLevelType w:val="hybridMultilevel"/>
    <w:tmpl w:val="41CC9894"/>
    <w:lvl w:ilvl="0" w:tplc="22D222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312018"/>
    <w:multiLevelType w:val="hybridMultilevel"/>
    <w:tmpl w:val="EB98B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AF3EDE"/>
    <w:multiLevelType w:val="hybridMultilevel"/>
    <w:tmpl w:val="15E423E8"/>
    <w:lvl w:ilvl="0" w:tplc="040C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3" w15:restartNumberingAfterBreak="0">
    <w:nsid w:val="2C02716D"/>
    <w:multiLevelType w:val="hybridMultilevel"/>
    <w:tmpl w:val="A9C45174"/>
    <w:lvl w:ilvl="0" w:tplc="78CA80AA">
      <w:start w:val="1"/>
      <w:numFmt w:val="lowerRoman"/>
      <w:lvlText w:val="%1)"/>
      <w:lvlJc w:val="left"/>
      <w:pPr>
        <w:ind w:left="1428" w:hanging="720"/>
      </w:pPr>
      <w:rPr>
        <w:rFonts w:hAnsi="Arial Unicode MS" w:hint="default"/>
        <w:b w:val="0"/>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E7A3E0D"/>
    <w:multiLevelType w:val="hybridMultilevel"/>
    <w:tmpl w:val="423EB296"/>
    <w:lvl w:ilvl="0" w:tplc="DCB4733C">
      <w:start w:val="1"/>
      <w:numFmt w:val="decimal"/>
      <w:lvlText w:val="%1."/>
      <w:lvlJc w:val="left"/>
      <w:pPr>
        <w:ind w:left="597" w:hanging="358"/>
      </w:pPr>
      <w:rPr>
        <w:rFonts w:ascii="Calibri" w:hAnsi="Calibri" w:hint="default"/>
        <w:spacing w:val="-1"/>
        <w:sz w:val="22"/>
        <w:szCs w:val="22"/>
      </w:rPr>
    </w:lvl>
    <w:lvl w:ilvl="1" w:tplc="E758C290">
      <w:start w:val="1"/>
      <w:numFmt w:val="bullet"/>
      <w:lvlText w:val=""/>
      <w:lvlJc w:val="left"/>
      <w:pPr>
        <w:ind w:left="961" w:hanging="361"/>
      </w:pPr>
      <w:rPr>
        <w:rFonts w:ascii="Symbol" w:eastAsia="Symbol" w:hAnsi="Symbol" w:hint="default"/>
        <w:sz w:val="22"/>
        <w:szCs w:val="22"/>
      </w:rPr>
    </w:lvl>
    <w:lvl w:ilvl="2" w:tplc="9BAE0AAE">
      <w:start w:val="1"/>
      <w:numFmt w:val="bullet"/>
      <w:lvlText w:val="•"/>
      <w:lvlJc w:val="left"/>
      <w:pPr>
        <w:ind w:left="3233" w:hanging="361"/>
      </w:pPr>
      <w:rPr>
        <w:rFonts w:hint="default"/>
      </w:rPr>
    </w:lvl>
    <w:lvl w:ilvl="3" w:tplc="F88829DE">
      <w:start w:val="1"/>
      <w:numFmt w:val="bullet"/>
      <w:lvlText w:val="•"/>
      <w:lvlJc w:val="left"/>
      <w:pPr>
        <w:ind w:left="5505" w:hanging="361"/>
      </w:pPr>
      <w:rPr>
        <w:rFonts w:hint="default"/>
      </w:rPr>
    </w:lvl>
    <w:lvl w:ilvl="4" w:tplc="9776F55A">
      <w:start w:val="1"/>
      <w:numFmt w:val="bullet"/>
      <w:lvlText w:val="•"/>
      <w:lvlJc w:val="left"/>
      <w:pPr>
        <w:ind w:left="7778" w:hanging="361"/>
      </w:pPr>
      <w:rPr>
        <w:rFonts w:hint="default"/>
      </w:rPr>
    </w:lvl>
    <w:lvl w:ilvl="5" w:tplc="1A8CB256">
      <w:start w:val="1"/>
      <w:numFmt w:val="bullet"/>
      <w:lvlText w:val="•"/>
      <w:lvlJc w:val="left"/>
      <w:pPr>
        <w:ind w:left="10050" w:hanging="361"/>
      </w:pPr>
      <w:rPr>
        <w:rFonts w:hint="default"/>
      </w:rPr>
    </w:lvl>
    <w:lvl w:ilvl="6" w:tplc="FB188BBC">
      <w:start w:val="1"/>
      <w:numFmt w:val="bullet"/>
      <w:lvlText w:val="•"/>
      <w:lvlJc w:val="left"/>
      <w:pPr>
        <w:ind w:left="12323" w:hanging="361"/>
      </w:pPr>
      <w:rPr>
        <w:rFonts w:hint="default"/>
      </w:rPr>
    </w:lvl>
    <w:lvl w:ilvl="7" w:tplc="0EE02162">
      <w:start w:val="1"/>
      <w:numFmt w:val="bullet"/>
      <w:lvlText w:val="•"/>
      <w:lvlJc w:val="left"/>
      <w:pPr>
        <w:ind w:left="14595" w:hanging="361"/>
      </w:pPr>
      <w:rPr>
        <w:rFonts w:hint="default"/>
      </w:rPr>
    </w:lvl>
    <w:lvl w:ilvl="8" w:tplc="0E2AB6B8">
      <w:start w:val="1"/>
      <w:numFmt w:val="bullet"/>
      <w:lvlText w:val="•"/>
      <w:lvlJc w:val="left"/>
      <w:pPr>
        <w:ind w:left="16868" w:hanging="361"/>
      </w:pPr>
      <w:rPr>
        <w:rFonts w:hint="default"/>
      </w:rPr>
    </w:lvl>
  </w:abstractNum>
  <w:abstractNum w:abstractNumId="25"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55FB3"/>
    <w:multiLevelType w:val="multilevel"/>
    <w:tmpl w:val="8C320050"/>
    <w:lvl w:ilvl="0">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DE27BE"/>
    <w:multiLevelType w:val="hybridMultilevel"/>
    <w:tmpl w:val="16984458"/>
    <w:lvl w:ilvl="0" w:tplc="6EE83F12">
      <w:numFmt w:val="bullet"/>
      <w:lvlText w:val=""/>
      <w:lvlJc w:val="left"/>
      <w:pPr>
        <w:ind w:left="720" w:hanging="360"/>
      </w:pPr>
      <w:rPr>
        <w:rFonts w:ascii="Wingdings" w:eastAsia="Batang"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40162C"/>
    <w:multiLevelType w:val="multilevel"/>
    <w:tmpl w:val="8F32EE4A"/>
    <w:numStyleLink w:val="Style1"/>
  </w:abstractNum>
  <w:abstractNum w:abstractNumId="32"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3"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D460E"/>
    <w:multiLevelType w:val="hybridMultilevel"/>
    <w:tmpl w:val="4AC6F6D0"/>
    <w:lvl w:ilvl="0" w:tplc="0409000F">
      <w:start w:val="1"/>
      <w:numFmt w:val="decimal"/>
      <w:lvlText w:val="%1."/>
      <w:lvlJc w:val="left"/>
      <w:pPr>
        <w:ind w:left="720" w:hanging="360"/>
      </w:pPr>
    </w:lvl>
    <w:lvl w:ilvl="1" w:tplc="040C0017">
      <w:start w:val="1"/>
      <w:numFmt w:val="lowerLetter"/>
      <w:lvlText w:val="%2)"/>
      <w:lvlJc w:val="left"/>
      <w:pPr>
        <w:ind w:left="1495"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A6DA2"/>
    <w:multiLevelType w:val="hybridMultilevel"/>
    <w:tmpl w:val="4084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2F08D0"/>
    <w:multiLevelType w:val="multilevel"/>
    <w:tmpl w:val="9AE0037C"/>
    <w:lvl w:ilvl="0">
      <w:start w:val="1"/>
      <w:numFmt w:val="lowerRoman"/>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2" w15:restartNumberingAfterBreak="0">
    <w:nsid w:val="70E250BC"/>
    <w:multiLevelType w:val="hybridMultilevel"/>
    <w:tmpl w:val="EC981412"/>
    <w:lvl w:ilvl="0" w:tplc="57B0561A">
      <w:start w:val="1"/>
      <w:numFmt w:val="lowerRoman"/>
      <w:lvlText w:val="%1)"/>
      <w:lvlJc w:val="left"/>
      <w:pPr>
        <w:ind w:left="1080" w:hanging="720"/>
      </w:pPr>
      <w:rPr>
        <w:rFonts w:hAnsi="Arial Unicode MS" w:hint="default"/>
        <w:b w:val="0"/>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15:restartNumberingAfterBreak="0">
    <w:nsid w:val="7CF63621"/>
    <w:multiLevelType w:val="hybridMultilevel"/>
    <w:tmpl w:val="C63EEA38"/>
    <w:lvl w:ilvl="0" w:tplc="78CA80AA">
      <w:start w:val="1"/>
      <w:numFmt w:val="lowerRoman"/>
      <w:lvlText w:val="%1)"/>
      <w:lvlJc w:val="left"/>
      <w:pPr>
        <w:ind w:left="1571"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7" w15:restartNumberingAfterBreak="0">
    <w:nsid w:val="7D784798"/>
    <w:multiLevelType w:val="hybridMultilevel"/>
    <w:tmpl w:val="560A0DC0"/>
    <w:lvl w:ilvl="0" w:tplc="78CA80AA">
      <w:start w:val="1"/>
      <w:numFmt w:val="lowerRoman"/>
      <w:lvlText w:val="%1)"/>
      <w:lvlJc w:val="left"/>
      <w:pPr>
        <w:ind w:left="1571" w:hanging="72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4"/>
  </w:num>
  <w:num w:numId="2">
    <w:abstractNumId w:val="25"/>
  </w:num>
  <w:num w:numId="3">
    <w:abstractNumId w:val="5"/>
  </w:num>
  <w:num w:numId="4">
    <w:abstractNumId w:val="29"/>
  </w:num>
  <w:num w:numId="5">
    <w:abstractNumId w:val="2"/>
  </w:num>
  <w:num w:numId="6">
    <w:abstractNumId w:val="10"/>
  </w:num>
  <w:num w:numId="7">
    <w:abstractNumId w:val="7"/>
  </w:num>
  <w:num w:numId="8">
    <w:abstractNumId w:val="15"/>
  </w:num>
  <w:num w:numId="9">
    <w:abstractNumId w:val="39"/>
  </w:num>
  <w:num w:numId="10">
    <w:abstractNumId w:val="9"/>
  </w:num>
  <w:num w:numId="11">
    <w:abstractNumId w:val="4"/>
  </w:num>
  <w:num w:numId="12">
    <w:abstractNumId w:val="47"/>
  </w:num>
  <w:num w:numId="13">
    <w:abstractNumId w:val="28"/>
  </w:num>
  <w:num w:numId="14">
    <w:abstractNumId w:val="46"/>
  </w:num>
  <w:num w:numId="15">
    <w:abstractNumId w:val="1"/>
  </w:num>
  <w:num w:numId="16">
    <w:abstractNumId w:val="23"/>
  </w:num>
  <w:num w:numId="17">
    <w:abstractNumId w:val="42"/>
  </w:num>
  <w:num w:numId="18">
    <w:abstractNumId w:val="12"/>
  </w:num>
  <w:num w:numId="19">
    <w:abstractNumId w:val="11"/>
  </w:num>
  <w:num w:numId="20">
    <w:abstractNumId w:val="40"/>
  </w:num>
  <w:num w:numId="21">
    <w:abstractNumId w:val="3"/>
  </w:num>
  <w:num w:numId="22">
    <w:abstractNumId w:val="27"/>
  </w:num>
  <w:num w:numId="23">
    <w:abstractNumId w:val="20"/>
  </w:num>
  <w:num w:numId="24">
    <w:abstractNumId w:val="31"/>
  </w:num>
  <w:num w:numId="25">
    <w:abstractNumId w:val="22"/>
  </w:num>
  <w:num w:numId="26">
    <w:abstractNumId w:val="8"/>
  </w:num>
  <w:num w:numId="27">
    <w:abstractNumId w:val="21"/>
  </w:num>
  <w:num w:numId="28">
    <w:abstractNumId w:val="48"/>
  </w:num>
  <w:num w:numId="29">
    <w:abstractNumId w:val="33"/>
  </w:num>
  <w:num w:numId="30">
    <w:abstractNumId w:val="19"/>
  </w:num>
  <w:num w:numId="31">
    <w:abstractNumId w:val="16"/>
  </w:num>
  <w:num w:numId="32">
    <w:abstractNumId w:val="18"/>
  </w:num>
  <w:num w:numId="33">
    <w:abstractNumId w:val="41"/>
  </w:num>
  <w:num w:numId="34">
    <w:abstractNumId w:val="45"/>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3"/>
  </w:num>
  <w:num w:numId="38">
    <w:abstractNumId w:val="43"/>
  </w:num>
  <w:num w:numId="39">
    <w:abstractNumId w:val="0"/>
  </w:num>
  <w:num w:numId="40">
    <w:abstractNumId w:val="17"/>
  </w:num>
  <w:num w:numId="41">
    <w:abstractNumId w:val="44"/>
  </w:num>
  <w:num w:numId="42">
    <w:abstractNumId w:val="38"/>
  </w:num>
  <w:num w:numId="43">
    <w:abstractNumId w:val="24"/>
  </w:num>
  <w:num w:numId="44">
    <w:abstractNumId w:val="30"/>
  </w:num>
  <w:num w:numId="45">
    <w:abstractNumId w:val="35"/>
  </w:num>
  <w:num w:numId="46">
    <w:abstractNumId w:val="37"/>
  </w:num>
  <w:num w:numId="47">
    <w:abstractNumId w:val="6"/>
  </w:num>
  <w:num w:numId="48">
    <w:abstractNumId w:val="26"/>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94"/>
    <w:rsid w:val="00015DBE"/>
    <w:rsid w:val="00016E21"/>
    <w:rsid w:val="000239C7"/>
    <w:rsid w:val="00051460"/>
    <w:rsid w:val="00054AFF"/>
    <w:rsid w:val="000607EC"/>
    <w:rsid w:val="0008003D"/>
    <w:rsid w:val="00090343"/>
    <w:rsid w:val="00094BD4"/>
    <w:rsid w:val="000A5B19"/>
    <w:rsid w:val="000A739B"/>
    <w:rsid w:val="000C31CF"/>
    <w:rsid w:val="000C3721"/>
    <w:rsid w:val="000E18CF"/>
    <w:rsid w:val="000E4143"/>
    <w:rsid w:val="000F0DA6"/>
    <w:rsid w:val="000F4D61"/>
    <w:rsid w:val="00102CBF"/>
    <w:rsid w:val="00135706"/>
    <w:rsid w:val="001436BD"/>
    <w:rsid w:val="00143F2C"/>
    <w:rsid w:val="0017411A"/>
    <w:rsid w:val="001B54C9"/>
    <w:rsid w:val="001C7509"/>
    <w:rsid w:val="001D683E"/>
    <w:rsid w:val="001E23DF"/>
    <w:rsid w:val="001E31B7"/>
    <w:rsid w:val="001E7F06"/>
    <w:rsid w:val="001F102C"/>
    <w:rsid w:val="00213A8D"/>
    <w:rsid w:val="0021462B"/>
    <w:rsid w:val="00216D6F"/>
    <w:rsid w:val="0024341A"/>
    <w:rsid w:val="00247E49"/>
    <w:rsid w:val="00250708"/>
    <w:rsid w:val="0026165E"/>
    <w:rsid w:val="00277953"/>
    <w:rsid w:val="00282A0C"/>
    <w:rsid w:val="00294A7E"/>
    <w:rsid w:val="002A6C96"/>
    <w:rsid w:val="002C1D8B"/>
    <w:rsid w:val="002D75C1"/>
    <w:rsid w:val="002F14F3"/>
    <w:rsid w:val="002F4B65"/>
    <w:rsid w:val="00305CA1"/>
    <w:rsid w:val="00307696"/>
    <w:rsid w:val="00315CBD"/>
    <w:rsid w:val="00345A8D"/>
    <w:rsid w:val="003654ED"/>
    <w:rsid w:val="00365864"/>
    <w:rsid w:val="003866F0"/>
    <w:rsid w:val="00392F65"/>
    <w:rsid w:val="00393708"/>
    <w:rsid w:val="003A3CBE"/>
    <w:rsid w:val="003A6FF1"/>
    <w:rsid w:val="003C4862"/>
    <w:rsid w:val="003E35F4"/>
    <w:rsid w:val="00400D96"/>
    <w:rsid w:val="0040205C"/>
    <w:rsid w:val="00403D87"/>
    <w:rsid w:val="00444340"/>
    <w:rsid w:val="0046661F"/>
    <w:rsid w:val="004742DC"/>
    <w:rsid w:val="00480A12"/>
    <w:rsid w:val="00480FFD"/>
    <w:rsid w:val="00491106"/>
    <w:rsid w:val="004A44BF"/>
    <w:rsid w:val="004C2E9B"/>
    <w:rsid w:val="004C724E"/>
    <w:rsid w:val="004F7B6A"/>
    <w:rsid w:val="00550CBA"/>
    <w:rsid w:val="00551EEA"/>
    <w:rsid w:val="005534EC"/>
    <w:rsid w:val="0057009C"/>
    <w:rsid w:val="005936F1"/>
    <w:rsid w:val="005A1321"/>
    <w:rsid w:val="005A3D2D"/>
    <w:rsid w:val="005A4B27"/>
    <w:rsid w:val="005C3E7C"/>
    <w:rsid w:val="005D0321"/>
    <w:rsid w:val="005D5335"/>
    <w:rsid w:val="00601B54"/>
    <w:rsid w:val="00613DE2"/>
    <w:rsid w:val="006208DD"/>
    <w:rsid w:val="00633E8E"/>
    <w:rsid w:val="00637F63"/>
    <w:rsid w:val="006523E7"/>
    <w:rsid w:val="006666D2"/>
    <w:rsid w:val="00676CE4"/>
    <w:rsid w:val="006A7484"/>
    <w:rsid w:val="006A766F"/>
    <w:rsid w:val="006C0CCB"/>
    <w:rsid w:val="006E37A1"/>
    <w:rsid w:val="006F5E92"/>
    <w:rsid w:val="0072324E"/>
    <w:rsid w:val="0072485A"/>
    <w:rsid w:val="00724D5C"/>
    <w:rsid w:val="007357CB"/>
    <w:rsid w:val="00747705"/>
    <w:rsid w:val="00752E6D"/>
    <w:rsid w:val="0076043D"/>
    <w:rsid w:val="0076401D"/>
    <w:rsid w:val="00764D6F"/>
    <w:rsid w:val="00765F60"/>
    <w:rsid w:val="00784FA7"/>
    <w:rsid w:val="007A0A3F"/>
    <w:rsid w:val="007D4EEE"/>
    <w:rsid w:val="007D55B6"/>
    <w:rsid w:val="007F7C2E"/>
    <w:rsid w:val="00823980"/>
    <w:rsid w:val="0084700D"/>
    <w:rsid w:val="0085288E"/>
    <w:rsid w:val="00856AA7"/>
    <w:rsid w:val="00881410"/>
    <w:rsid w:val="00890A37"/>
    <w:rsid w:val="008A5550"/>
    <w:rsid w:val="008B3561"/>
    <w:rsid w:val="008D0449"/>
    <w:rsid w:val="008F72B8"/>
    <w:rsid w:val="00901B28"/>
    <w:rsid w:val="00903CA3"/>
    <w:rsid w:val="00933A34"/>
    <w:rsid w:val="00933D94"/>
    <w:rsid w:val="00976B31"/>
    <w:rsid w:val="0098556C"/>
    <w:rsid w:val="0099272D"/>
    <w:rsid w:val="009A6EDB"/>
    <w:rsid w:val="009B082E"/>
    <w:rsid w:val="00A160CC"/>
    <w:rsid w:val="00A35941"/>
    <w:rsid w:val="00A47A1A"/>
    <w:rsid w:val="00A53DE9"/>
    <w:rsid w:val="00A647FE"/>
    <w:rsid w:val="00A767FD"/>
    <w:rsid w:val="00A92D65"/>
    <w:rsid w:val="00A93866"/>
    <w:rsid w:val="00AB1DEB"/>
    <w:rsid w:val="00AD3FAE"/>
    <w:rsid w:val="00AD6ECD"/>
    <w:rsid w:val="00AE0918"/>
    <w:rsid w:val="00AE1393"/>
    <w:rsid w:val="00B049A2"/>
    <w:rsid w:val="00B05929"/>
    <w:rsid w:val="00B27D50"/>
    <w:rsid w:val="00B3294C"/>
    <w:rsid w:val="00B47AF8"/>
    <w:rsid w:val="00B62467"/>
    <w:rsid w:val="00BA761B"/>
    <w:rsid w:val="00BC751F"/>
    <w:rsid w:val="00BF444D"/>
    <w:rsid w:val="00BF73AC"/>
    <w:rsid w:val="00C05D05"/>
    <w:rsid w:val="00C256F5"/>
    <w:rsid w:val="00C3325B"/>
    <w:rsid w:val="00C43614"/>
    <w:rsid w:val="00C54AA9"/>
    <w:rsid w:val="00C87D42"/>
    <w:rsid w:val="00C92D16"/>
    <w:rsid w:val="00C96FE4"/>
    <w:rsid w:val="00CA6122"/>
    <w:rsid w:val="00CE68AF"/>
    <w:rsid w:val="00CF0F97"/>
    <w:rsid w:val="00CF474B"/>
    <w:rsid w:val="00D02A6F"/>
    <w:rsid w:val="00D13385"/>
    <w:rsid w:val="00D20B2A"/>
    <w:rsid w:val="00D30F20"/>
    <w:rsid w:val="00D37819"/>
    <w:rsid w:val="00D62485"/>
    <w:rsid w:val="00D75918"/>
    <w:rsid w:val="00D7656B"/>
    <w:rsid w:val="00D84F77"/>
    <w:rsid w:val="00D908F3"/>
    <w:rsid w:val="00D95065"/>
    <w:rsid w:val="00DB5E67"/>
    <w:rsid w:val="00DC3400"/>
    <w:rsid w:val="00DD00FA"/>
    <w:rsid w:val="00DE7C91"/>
    <w:rsid w:val="00DF3447"/>
    <w:rsid w:val="00DF479C"/>
    <w:rsid w:val="00E14F6F"/>
    <w:rsid w:val="00E2616F"/>
    <w:rsid w:val="00E266CC"/>
    <w:rsid w:val="00E3457B"/>
    <w:rsid w:val="00E37D85"/>
    <w:rsid w:val="00E60B2F"/>
    <w:rsid w:val="00E61597"/>
    <w:rsid w:val="00E828ED"/>
    <w:rsid w:val="00E864B5"/>
    <w:rsid w:val="00EA046E"/>
    <w:rsid w:val="00EA4760"/>
    <w:rsid w:val="00EB0A06"/>
    <w:rsid w:val="00EC00AC"/>
    <w:rsid w:val="00EE61E2"/>
    <w:rsid w:val="00EF65AB"/>
    <w:rsid w:val="00F0450F"/>
    <w:rsid w:val="00F3697C"/>
    <w:rsid w:val="00F5207E"/>
    <w:rsid w:val="00F64F19"/>
    <w:rsid w:val="00F70407"/>
    <w:rsid w:val="00F75739"/>
    <w:rsid w:val="00F759C3"/>
    <w:rsid w:val="00F80A4E"/>
    <w:rsid w:val="00F92602"/>
    <w:rsid w:val="00F945BA"/>
    <w:rsid w:val="00FA5729"/>
    <w:rsid w:val="00FE4641"/>
    <w:rsid w:val="00FE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FD2A"/>
  <w15:docId w15:val="{B716EEDB-0561-4A4C-82B5-C4DD8DC9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F0F97"/>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eastAsia="Batang" w:hAnsi="Calibri" w:cs="Garamond"/>
      <w:b/>
      <w:bCs/>
      <w:color w:val="10AAAA"/>
      <w:spacing w:val="-2"/>
      <w:sz w:val="32"/>
      <w:szCs w:val="24"/>
      <w:lang w:val="en-US"/>
    </w:rPr>
  </w:style>
  <w:style w:type="paragraph" w:styleId="Heading2">
    <w:name w:val="heading 2"/>
    <w:basedOn w:val="Normal"/>
    <w:next w:val="Normal"/>
    <w:link w:val="Heading2Char"/>
    <w:unhideWhenUsed/>
    <w:qFormat/>
    <w:rsid w:val="00AD6E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D6ECD"/>
    <w:pPr>
      <w:keepNext/>
      <w:pBdr>
        <w:bottom w:val="single" w:sz="4" w:space="1" w:color="auto"/>
      </w:pBdr>
      <w:tabs>
        <w:tab w:val="num" w:pos="720"/>
      </w:tabs>
      <w:spacing w:before="240" w:after="0" w:line="240" w:lineRule="auto"/>
      <w:ind w:left="720" w:hanging="720"/>
      <w:outlineLvl w:val="2"/>
    </w:pPr>
    <w:rPr>
      <w:rFonts w:ascii="Garamond" w:eastAsia="Batang" w:hAnsi="Garamond" w:cs="Garamond"/>
      <w:b/>
      <w:bCs/>
      <w:sz w:val="24"/>
      <w:szCs w:val="24"/>
      <w:lang w:val="en-US"/>
    </w:rPr>
  </w:style>
  <w:style w:type="paragraph" w:styleId="Heading4">
    <w:name w:val="heading 4"/>
    <w:basedOn w:val="Normal"/>
    <w:next w:val="Normal"/>
    <w:link w:val="Heading4Char"/>
    <w:qFormat/>
    <w:rsid w:val="00AD6ECD"/>
    <w:pPr>
      <w:keepNext/>
      <w:tabs>
        <w:tab w:val="num" w:pos="1080"/>
      </w:tabs>
      <w:spacing w:before="240" w:after="60" w:line="240" w:lineRule="auto"/>
      <w:ind w:left="864" w:hanging="864"/>
      <w:outlineLvl w:val="3"/>
    </w:pPr>
    <w:rPr>
      <w:rFonts w:ascii="Garamond" w:eastAsia="Batang" w:hAnsi="Garamond" w:cs="Garamond"/>
      <w:b/>
      <w:bCs/>
      <w:i/>
      <w:iCs/>
      <w:sz w:val="24"/>
      <w:szCs w:val="24"/>
      <w:lang w:val="en-US"/>
    </w:rPr>
  </w:style>
  <w:style w:type="paragraph" w:styleId="Heading5">
    <w:name w:val="heading 5"/>
    <w:basedOn w:val="Normal"/>
    <w:next w:val="Normal"/>
    <w:link w:val="Heading5Char"/>
    <w:qFormat/>
    <w:rsid w:val="00AD6ECD"/>
    <w:pPr>
      <w:keepNext/>
      <w:widowControl w:val="0"/>
      <w:tabs>
        <w:tab w:val="num" w:pos="1008"/>
      </w:tabs>
      <w:spacing w:after="0" w:line="240" w:lineRule="atLeast"/>
      <w:ind w:left="1008" w:hanging="1008"/>
      <w:outlineLvl w:val="4"/>
    </w:pPr>
    <w:rPr>
      <w:rFonts w:ascii="Garamond" w:eastAsia="Batang" w:hAnsi="Garamond" w:cs="Garamond"/>
      <w:i/>
      <w:iCs/>
      <w:sz w:val="24"/>
      <w:szCs w:val="24"/>
      <w:u w:val="single"/>
      <w:lang w:val="en-US"/>
    </w:rPr>
  </w:style>
  <w:style w:type="paragraph" w:styleId="Heading9">
    <w:name w:val="heading 9"/>
    <w:basedOn w:val="Normal"/>
    <w:next w:val="Normal"/>
    <w:link w:val="Heading9Char"/>
    <w:qFormat/>
    <w:rsid w:val="00AD6ECD"/>
    <w:pPr>
      <w:spacing w:before="240" w:after="60" w:line="240" w:lineRule="auto"/>
      <w:outlineLvl w:val="8"/>
    </w:pPr>
    <w:rPr>
      <w:rFonts w:ascii="Arial" w:eastAsia="Batang"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277953"/>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1C7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509"/>
    <w:rPr>
      <w:sz w:val="20"/>
      <w:szCs w:val="20"/>
    </w:rPr>
  </w:style>
  <w:style w:type="character" w:styleId="FootnoteReference">
    <w:name w:val="footnote reference"/>
    <w:basedOn w:val="DefaultParagraphFont"/>
    <w:uiPriority w:val="99"/>
    <w:semiHidden/>
    <w:unhideWhenUsed/>
    <w:rsid w:val="001C7509"/>
    <w:rPr>
      <w:vertAlign w:val="superscript"/>
    </w:rPr>
  </w:style>
  <w:style w:type="character" w:styleId="Hyperlink">
    <w:name w:val="Hyperlink"/>
    <w:basedOn w:val="DefaultParagraphFont"/>
    <w:uiPriority w:val="99"/>
    <w:unhideWhenUsed/>
    <w:rsid w:val="001C7509"/>
    <w:rPr>
      <w:color w:val="0000FF"/>
      <w:u w:val="single"/>
    </w:rPr>
  </w:style>
  <w:style w:type="paragraph" w:customStyle="1" w:styleId="xmsonormal">
    <w:name w:val="x_msonormal"/>
    <w:basedOn w:val="Normal"/>
    <w:rsid w:val="00DD00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856AA7"/>
    <w:pPr>
      <w:spacing w:line="240" w:lineRule="auto"/>
    </w:pPr>
    <w:rPr>
      <w:sz w:val="20"/>
      <w:szCs w:val="20"/>
    </w:rPr>
  </w:style>
  <w:style w:type="character" w:customStyle="1" w:styleId="CommentTextChar">
    <w:name w:val="Comment Text Char"/>
    <w:basedOn w:val="DefaultParagraphFont"/>
    <w:link w:val="CommentText"/>
    <w:uiPriority w:val="99"/>
    <w:rsid w:val="00856AA7"/>
    <w:rPr>
      <w:sz w:val="20"/>
      <w:szCs w:val="20"/>
    </w:rPr>
  </w:style>
  <w:style w:type="paragraph" w:styleId="NoSpacing">
    <w:name w:val="No Spacing"/>
    <w:uiPriority w:val="1"/>
    <w:qFormat/>
    <w:rsid w:val="00392F65"/>
    <w:pPr>
      <w:spacing w:after="0" w:line="240" w:lineRule="auto"/>
    </w:pPr>
    <w:rPr>
      <w:lang w:val="en-US"/>
    </w:rPr>
  </w:style>
  <w:style w:type="character" w:customStyle="1" w:styleId="ListParagraphChar">
    <w:name w:val="List Paragraph Char"/>
    <w:aliases w:val="Rec para Char"/>
    <w:link w:val="ListParagraph"/>
    <w:uiPriority w:val="34"/>
    <w:locked/>
    <w:rsid w:val="006A7484"/>
  </w:style>
  <w:style w:type="table" w:styleId="TableGrid">
    <w:name w:val="Table Grid"/>
    <w:basedOn w:val="TableNormal"/>
    <w:uiPriority w:val="59"/>
    <w:rsid w:val="002F4B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0407"/>
    <w:rPr>
      <w:sz w:val="16"/>
      <w:szCs w:val="16"/>
    </w:rPr>
  </w:style>
  <w:style w:type="paragraph" w:styleId="CommentSubject">
    <w:name w:val="annotation subject"/>
    <w:basedOn w:val="CommentText"/>
    <w:next w:val="CommentText"/>
    <w:link w:val="CommentSubjectChar"/>
    <w:uiPriority w:val="99"/>
    <w:unhideWhenUsed/>
    <w:rsid w:val="00F70407"/>
    <w:pPr>
      <w:spacing w:after="0"/>
      <w:ind w:left="425" w:hanging="425"/>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F70407"/>
    <w:rPr>
      <w:rFonts w:ascii="Calibri" w:eastAsia="Calibri" w:hAnsi="Calibri" w:cs="Times New Roman"/>
      <w:b/>
      <w:bCs/>
      <w:sz w:val="20"/>
      <w:szCs w:val="20"/>
    </w:rPr>
  </w:style>
  <w:style w:type="paragraph" w:styleId="Revision">
    <w:name w:val="Revision"/>
    <w:hidden/>
    <w:uiPriority w:val="99"/>
    <w:semiHidden/>
    <w:rsid w:val="00F70407"/>
    <w:pPr>
      <w:spacing w:after="0" w:line="240" w:lineRule="auto"/>
      <w:ind w:left="425" w:hanging="425"/>
    </w:pPr>
    <w:rPr>
      <w:rFonts w:ascii="Calibri" w:eastAsia="Calibri" w:hAnsi="Calibri" w:cs="Times New Roman"/>
    </w:rPr>
  </w:style>
  <w:style w:type="paragraph" w:styleId="IntenseQuote">
    <w:name w:val="Intense Quote"/>
    <w:basedOn w:val="Normal"/>
    <w:next w:val="Normal"/>
    <w:link w:val="IntenseQuoteChar"/>
    <w:uiPriority w:val="30"/>
    <w:qFormat/>
    <w:rsid w:val="00F70407"/>
    <w:pPr>
      <w:pBdr>
        <w:top w:val="single" w:sz="4" w:space="10" w:color="5B9BD5" w:themeColor="accent1"/>
        <w:bottom w:val="single" w:sz="4" w:space="10" w:color="5B9BD5" w:themeColor="accent1"/>
      </w:pBdr>
      <w:spacing w:before="360" w:after="360"/>
      <w:ind w:left="864" w:right="864"/>
      <w:jc w:val="center"/>
    </w:pPr>
    <w:rPr>
      <w:i/>
      <w:iCs/>
      <w:color w:val="5B9BD5" w:themeColor="accent1"/>
      <w:lang w:val="en-NZ"/>
    </w:rPr>
  </w:style>
  <w:style w:type="character" w:customStyle="1" w:styleId="IntenseQuoteChar">
    <w:name w:val="Intense Quote Char"/>
    <w:basedOn w:val="DefaultParagraphFont"/>
    <w:link w:val="IntenseQuote"/>
    <w:uiPriority w:val="30"/>
    <w:rsid w:val="00F70407"/>
    <w:rPr>
      <w:i/>
      <w:iCs/>
      <w:color w:val="5B9BD5" w:themeColor="accent1"/>
      <w:lang w:val="en-NZ"/>
    </w:rPr>
  </w:style>
  <w:style w:type="character" w:styleId="FollowedHyperlink">
    <w:name w:val="FollowedHyperlink"/>
    <w:basedOn w:val="DefaultParagraphFont"/>
    <w:uiPriority w:val="99"/>
    <w:unhideWhenUsed/>
    <w:rsid w:val="00F70407"/>
    <w:rPr>
      <w:color w:val="954F72" w:themeColor="followedHyperlink"/>
      <w:u w:val="single"/>
    </w:rPr>
  </w:style>
  <w:style w:type="paragraph" w:customStyle="1" w:styleId="msonormal0">
    <w:name w:val="msonormal"/>
    <w:basedOn w:val="Normal"/>
    <w:rsid w:val="00F704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unhideWhenUsed/>
    <w:qFormat/>
    <w:rsid w:val="00F70407"/>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rsid w:val="00F70407"/>
    <w:rPr>
      <w:rFonts w:ascii="Calibri" w:eastAsia="Calibri" w:hAnsi="Calibri"/>
      <w:lang w:val="en-US"/>
    </w:rPr>
  </w:style>
  <w:style w:type="paragraph" w:customStyle="1" w:styleId="Normal1">
    <w:name w:val="Normal1"/>
    <w:rsid w:val="00F70407"/>
    <w:pPr>
      <w:spacing w:after="4" w:line="249" w:lineRule="auto"/>
      <w:ind w:left="435" w:right="118" w:hanging="434"/>
    </w:pPr>
    <w:rPr>
      <w:rFonts w:ascii="Calibri" w:eastAsia="Calibri" w:hAnsi="Calibri" w:cs="Calibri"/>
      <w:lang w:val="en-US"/>
    </w:rPr>
  </w:style>
  <w:style w:type="character" w:styleId="SubtleEmphasis">
    <w:name w:val="Subtle Emphasis"/>
    <w:basedOn w:val="DefaultParagraphFont"/>
    <w:uiPriority w:val="19"/>
    <w:qFormat/>
    <w:rsid w:val="00F70407"/>
    <w:rPr>
      <w:i/>
      <w:iCs/>
      <w:color w:val="808080" w:themeColor="text1" w:themeTint="7F"/>
    </w:rPr>
  </w:style>
  <w:style w:type="character" w:styleId="IntenseReference">
    <w:name w:val="Intense Reference"/>
    <w:basedOn w:val="DefaultParagraphFont"/>
    <w:uiPriority w:val="32"/>
    <w:qFormat/>
    <w:rsid w:val="00F70407"/>
    <w:rPr>
      <w:b/>
      <w:bCs/>
      <w:smallCaps/>
      <w:color w:val="5B9BD5" w:themeColor="accent1"/>
      <w:spacing w:val="5"/>
    </w:rPr>
  </w:style>
  <w:style w:type="table" w:styleId="LightList">
    <w:name w:val="Light List"/>
    <w:basedOn w:val="TableNormal"/>
    <w:uiPriority w:val="61"/>
    <w:unhideWhenUsed/>
    <w:rsid w:val="00F70407"/>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F70407"/>
    <w:pPr>
      <w:spacing w:after="0" w:line="240"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F70407"/>
    <w:rPr>
      <w:color w:val="605E5C"/>
      <w:shd w:val="clear" w:color="auto" w:fill="E1DFDD"/>
    </w:rPr>
  </w:style>
  <w:style w:type="numbering" w:customStyle="1" w:styleId="Aucuneliste1">
    <w:name w:val="Aucune liste1"/>
    <w:next w:val="NoList"/>
    <w:uiPriority w:val="99"/>
    <w:semiHidden/>
    <w:unhideWhenUsed/>
    <w:rsid w:val="00F70407"/>
  </w:style>
  <w:style w:type="table" w:customStyle="1" w:styleId="Grilledutableau1">
    <w:name w:val="Grille du tableau1"/>
    <w:basedOn w:val="TableNormal"/>
    <w:next w:val="TableGrid"/>
    <w:uiPriority w:val="59"/>
    <w:rsid w:val="00F7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70407"/>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1">
    <w:name w:val="Liste claire1"/>
    <w:basedOn w:val="TableNormal"/>
    <w:next w:val="LightList"/>
    <w:uiPriority w:val="61"/>
    <w:rsid w:val="00F704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1">
    <w:name w:val="Style1"/>
    <w:uiPriority w:val="99"/>
    <w:rsid w:val="00F5207E"/>
    <w:pPr>
      <w:numPr>
        <w:numId w:val="23"/>
      </w:numPr>
    </w:pPr>
  </w:style>
  <w:style w:type="paragraph" w:styleId="NormalWeb">
    <w:name w:val="Normal (Web)"/>
    <w:basedOn w:val="Normal"/>
    <w:uiPriority w:val="99"/>
    <w:unhideWhenUsed/>
    <w:rsid w:val="00F520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CF0F97"/>
    <w:pPr>
      <w:pBdr>
        <w:bottom w:val="single" w:sz="2" w:space="1" w:color="10AAAA"/>
      </w:pBdr>
      <w:spacing w:after="0" w:line="240" w:lineRule="auto"/>
      <w:ind w:left="567" w:hanging="567"/>
      <w:jc w:val="center"/>
    </w:pPr>
    <w:rPr>
      <w:rFonts w:ascii="Calibri" w:eastAsia="Times New Roman" w:hAnsi="Calibri" w:cs="Times New Roman"/>
      <w:color w:val="000000"/>
      <w:sz w:val="44"/>
      <w:szCs w:val="20"/>
      <w:lang w:val="en-US" w:eastAsia="es-ES"/>
    </w:rPr>
  </w:style>
  <w:style w:type="character" w:customStyle="1" w:styleId="TitleChar">
    <w:name w:val="Title Char"/>
    <w:basedOn w:val="DefaultParagraphFont"/>
    <w:link w:val="Title"/>
    <w:rsid w:val="00CF0F97"/>
    <w:rPr>
      <w:rFonts w:ascii="Calibri" w:eastAsia="Times New Roman" w:hAnsi="Calibri" w:cs="Times New Roman"/>
      <w:color w:val="000000"/>
      <w:sz w:val="44"/>
      <w:szCs w:val="20"/>
      <w:lang w:val="en-US" w:eastAsia="es-ES"/>
    </w:rPr>
  </w:style>
  <w:style w:type="character" w:customStyle="1" w:styleId="firstTxt1">
    <w:name w:val="firstTxt1"/>
    <w:rsid w:val="00CF0F97"/>
    <w:rPr>
      <w:rFonts w:ascii="Arial" w:eastAsia="Arial" w:hAnsi="Arial" w:cs="Arial" w:hint="default"/>
      <w:color w:val="000000"/>
      <w:sz w:val="20"/>
      <w:szCs w:val="20"/>
    </w:rPr>
  </w:style>
  <w:style w:type="paragraph" w:customStyle="1" w:styleId="Tramemoyenne1-Accent11">
    <w:name w:val="Trame moyenne 1 - Accent 11"/>
    <w:uiPriority w:val="1"/>
    <w:qFormat/>
    <w:rsid w:val="00CF0F97"/>
    <w:pPr>
      <w:spacing w:after="0" w:line="240" w:lineRule="auto"/>
    </w:pPr>
    <w:rPr>
      <w:rFonts w:ascii="Garamond" w:eastAsia="Batang" w:hAnsi="Garamond" w:cs="Garamond"/>
      <w:sz w:val="24"/>
      <w:szCs w:val="24"/>
      <w:lang w:val="en-US"/>
    </w:rPr>
  </w:style>
  <w:style w:type="character" w:customStyle="1" w:styleId="Heading1Char">
    <w:name w:val="Heading 1 Char"/>
    <w:basedOn w:val="DefaultParagraphFont"/>
    <w:link w:val="Heading1"/>
    <w:rsid w:val="00CF0F97"/>
    <w:rPr>
      <w:rFonts w:ascii="Calibri" w:eastAsia="Batang" w:hAnsi="Calibri" w:cs="Garamond"/>
      <w:b/>
      <w:bCs/>
      <w:color w:val="10AAAA"/>
      <w:spacing w:val="-2"/>
      <w:sz w:val="32"/>
      <w:szCs w:val="24"/>
      <w:lang w:val="en-US"/>
    </w:rPr>
  </w:style>
  <w:style w:type="paragraph" w:customStyle="1" w:styleId="Formsubtitle">
    <w:name w:val="Form sub title"/>
    <w:basedOn w:val="Normal"/>
    <w:link w:val="FormsubtitleChar"/>
    <w:qFormat/>
    <w:rsid w:val="00CF0F97"/>
    <w:pPr>
      <w:spacing w:after="0" w:line="240" w:lineRule="auto"/>
    </w:pPr>
    <w:rPr>
      <w:rFonts w:ascii="Calibri" w:eastAsia="Batang" w:hAnsi="Calibri" w:cs="Arial"/>
      <w:b/>
      <w:bCs/>
      <w:color w:val="10AAAA"/>
    </w:rPr>
  </w:style>
  <w:style w:type="character" w:customStyle="1" w:styleId="FormsubtitleChar">
    <w:name w:val="Form sub title Char"/>
    <w:link w:val="Formsubtitle"/>
    <w:rsid w:val="00CF0F97"/>
    <w:rPr>
      <w:rFonts w:ascii="Calibri" w:eastAsia="Batang" w:hAnsi="Calibri" w:cs="Arial"/>
      <w:b/>
      <w:bCs/>
      <w:color w:val="10AAAA"/>
    </w:rPr>
  </w:style>
  <w:style w:type="paragraph" w:customStyle="1" w:styleId="Emphasisblock">
    <w:name w:val="Emphasis block"/>
    <w:basedOn w:val="Normal"/>
    <w:next w:val="Normal"/>
    <w:link w:val="EmphasisblockChar"/>
    <w:qFormat/>
    <w:rsid w:val="00CF0F97"/>
    <w:pPr>
      <w:pBdr>
        <w:left w:val="single" w:sz="18" w:space="4" w:color="10AAAA"/>
      </w:pBdr>
      <w:spacing w:after="0" w:line="240" w:lineRule="auto"/>
    </w:pPr>
    <w:rPr>
      <w:rFonts w:ascii="Calibri" w:eastAsia="Batang" w:hAnsi="Calibri" w:cs="Garamond"/>
      <w:b/>
      <w:i/>
      <w:sz w:val="24"/>
      <w:szCs w:val="24"/>
      <w:lang w:val="en-US"/>
    </w:rPr>
  </w:style>
  <w:style w:type="character" w:customStyle="1" w:styleId="EmphasisblockChar">
    <w:name w:val="Emphasis block Char"/>
    <w:link w:val="Emphasisblock"/>
    <w:rsid w:val="00CF0F97"/>
    <w:rPr>
      <w:rFonts w:ascii="Calibri" w:eastAsia="Batang" w:hAnsi="Calibri" w:cs="Garamond"/>
      <w:b/>
      <w:i/>
      <w:sz w:val="24"/>
      <w:szCs w:val="24"/>
      <w:lang w:val="en-US"/>
    </w:rPr>
  </w:style>
  <w:style w:type="paragraph" w:customStyle="1" w:styleId="Grillemoyenne1-Accent21">
    <w:name w:val="Grille moyenne 1 - Accent 21"/>
    <w:basedOn w:val="Normal"/>
    <w:uiPriority w:val="34"/>
    <w:qFormat/>
    <w:rsid w:val="00CF0F97"/>
    <w:pPr>
      <w:spacing w:after="0" w:line="240" w:lineRule="auto"/>
      <w:ind w:left="720"/>
    </w:pPr>
    <w:rPr>
      <w:rFonts w:ascii="Garamond" w:eastAsia="Batang" w:hAnsi="Garamond" w:cs="Garamond"/>
      <w:sz w:val="24"/>
      <w:szCs w:val="24"/>
      <w:lang w:val="en-US"/>
    </w:rPr>
  </w:style>
  <w:style w:type="paragraph" w:customStyle="1" w:styleId="TableParagraph">
    <w:name w:val="Table Paragraph"/>
    <w:basedOn w:val="Normal"/>
    <w:uiPriority w:val="1"/>
    <w:qFormat/>
    <w:rsid w:val="00CF0F97"/>
    <w:pPr>
      <w:widowControl w:val="0"/>
      <w:spacing w:after="0" w:line="240" w:lineRule="auto"/>
    </w:pPr>
    <w:rPr>
      <w:lang w:val="en-US"/>
    </w:rPr>
  </w:style>
  <w:style w:type="character" w:customStyle="1" w:styleId="Heading2Char">
    <w:name w:val="Heading 2 Char"/>
    <w:basedOn w:val="DefaultParagraphFont"/>
    <w:link w:val="Heading2"/>
    <w:rsid w:val="00AD6EC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AD6ECD"/>
    <w:rPr>
      <w:rFonts w:ascii="Garamond" w:eastAsia="Batang" w:hAnsi="Garamond" w:cs="Garamond"/>
      <w:b/>
      <w:bCs/>
      <w:sz w:val="24"/>
      <w:szCs w:val="24"/>
      <w:lang w:val="en-US"/>
    </w:rPr>
  </w:style>
  <w:style w:type="character" w:customStyle="1" w:styleId="Heading4Char">
    <w:name w:val="Heading 4 Char"/>
    <w:basedOn w:val="DefaultParagraphFont"/>
    <w:link w:val="Heading4"/>
    <w:rsid w:val="00AD6ECD"/>
    <w:rPr>
      <w:rFonts w:ascii="Garamond" w:eastAsia="Batang" w:hAnsi="Garamond" w:cs="Garamond"/>
      <w:b/>
      <w:bCs/>
      <w:i/>
      <w:iCs/>
      <w:sz w:val="24"/>
      <w:szCs w:val="24"/>
      <w:lang w:val="en-US"/>
    </w:rPr>
  </w:style>
  <w:style w:type="character" w:customStyle="1" w:styleId="Heading5Char">
    <w:name w:val="Heading 5 Char"/>
    <w:basedOn w:val="DefaultParagraphFont"/>
    <w:link w:val="Heading5"/>
    <w:rsid w:val="00AD6ECD"/>
    <w:rPr>
      <w:rFonts w:ascii="Garamond" w:eastAsia="Batang" w:hAnsi="Garamond" w:cs="Garamond"/>
      <w:i/>
      <w:iCs/>
      <w:sz w:val="24"/>
      <w:szCs w:val="24"/>
      <w:u w:val="single"/>
      <w:lang w:val="en-US"/>
    </w:rPr>
  </w:style>
  <w:style w:type="character" w:customStyle="1" w:styleId="Heading9Char">
    <w:name w:val="Heading 9 Char"/>
    <w:basedOn w:val="DefaultParagraphFont"/>
    <w:link w:val="Heading9"/>
    <w:rsid w:val="00AD6ECD"/>
    <w:rPr>
      <w:rFonts w:ascii="Arial" w:eastAsia="Batang" w:hAnsi="Arial" w:cs="Arial"/>
      <w:lang w:val="en-US"/>
    </w:rPr>
  </w:style>
  <w:style w:type="paragraph" w:styleId="TOC1">
    <w:name w:val="toc 1"/>
    <w:basedOn w:val="Normal"/>
    <w:next w:val="Normal"/>
    <w:semiHidden/>
    <w:rsid w:val="00AD6ECD"/>
    <w:pPr>
      <w:tabs>
        <w:tab w:val="right" w:leader="dot" w:pos="9629"/>
      </w:tabs>
      <w:spacing w:before="20" w:after="20" w:line="240" w:lineRule="atLeast"/>
    </w:pPr>
    <w:rPr>
      <w:rFonts w:ascii="Garamond" w:eastAsia="Batang" w:hAnsi="Garamond" w:cs="Garamond"/>
      <w:b/>
      <w:caps/>
      <w:noProof/>
      <w:color w:val="0000FF"/>
      <w:lang w:val="en-US"/>
    </w:rPr>
  </w:style>
  <w:style w:type="paragraph" w:styleId="TOC2">
    <w:name w:val="toc 2"/>
    <w:basedOn w:val="Normal"/>
    <w:next w:val="Normal"/>
    <w:semiHidden/>
    <w:rsid w:val="00AD6ECD"/>
    <w:pPr>
      <w:tabs>
        <w:tab w:val="right" w:leader="dot" w:pos="9629"/>
      </w:tabs>
      <w:spacing w:after="0" w:line="200" w:lineRule="atLeast"/>
      <w:ind w:left="156"/>
    </w:pPr>
    <w:rPr>
      <w:rFonts w:ascii="Garamond" w:eastAsia="Batang" w:hAnsi="Garamond" w:cs="Garamond"/>
      <w:i/>
      <w:iCs/>
      <w:noProof/>
      <w:color w:val="0000FF"/>
      <w:sz w:val="20"/>
      <w:szCs w:val="20"/>
    </w:rPr>
  </w:style>
  <w:style w:type="paragraph" w:customStyle="1" w:styleId="actiongt">
    <w:name w:val="actiongt"/>
    <w:basedOn w:val="Normal"/>
    <w:link w:val="actiongtChar"/>
    <w:rsid w:val="00AD6ECD"/>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AD6ECD"/>
    <w:rPr>
      <w:rFonts w:ascii="Garamond" w:eastAsia="Batang" w:hAnsi="Garamond" w:cs="Garamond"/>
      <w:noProof/>
      <w:shd w:val="clear" w:color="auto" w:fill="E6E6E6"/>
      <w:lang w:val="en-US"/>
    </w:rPr>
  </w:style>
  <w:style w:type="paragraph" w:customStyle="1" w:styleId="actionnogt">
    <w:name w:val="actionnogt"/>
    <w:basedOn w:val="Normal"/>
    <w:link w:val="actionnogtChar"/>
    <w:rsid w:val="00AD6ECD"/>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AD6ECD"/>
    <w:rPr>
      <w:rFonts w:ascii="Garamond" w:eastAsia="Batang" w:hAnsi="Garamond" w:cs="Garamond"/>
      <w:noProof/>
      <w:lang w:val="en-US"/>
    </w:rPr>
  </w:style>
  <w:style w:type="paragraph" w:customStyle="1" w:styleId="oonoheading">
    <w:name w:val="oonoheading"/>
    <w:basedOn w:val="Normal"/>
    <w:rsid w:val="00AD6ECD"/>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AD6ECD"/>
  </w:style>
  <w:style w:type="character" w:customStyle="1" w:styleId="StyleHeading1NotAllcapsChar">
    <w:name w:val="Style Heading 1 + Not All caps Char"/>
    <w:basedOn w:val="Heading1Char"/>
    <w:link w:val="StyleHeading1NotAllcaps"/>
    <w:rsid w:val="00AD6ECD"/>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AD6ECD"/>
    <w:pPr>
      <w:keepNext w:val="0"/>
    </w:pPr>
    <w:rPr>
      <w:b/>
      <w:bCs/>
    </w:rPr>
  </w:style>
  <w:style w:type="character" w:customStyle="1" w:styleId="StyleactiongtBoldChar">
    <w:name w:val="Style actiongt + Bold Char"/>
    <w:link w:val="StyleactiongtBold"/>
    <w:rsid w:val="00AD6ECD"/>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rsid w:val="00AD6ECD"/>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AD6ECD"/>
    <w:rPr>
      <w:b/>
      <w:bCs/>
    </w:rPr>
  </w:style>
  <w:style w:type="character" w:customStyle="1" w:styleId="StyleactionnogtBoldChar">
    <w:name w:val="Style actionnogt + Bold Char"/>
    <w:link w:val="StyleactionnogtBold"/>
    <w:rsid w:val="00AD6ECD"/>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rsid w:val="00AD6ECD"/>
    <w:pPr>
      <w:keepLines w:val="0"/>
      <w:shd w:val="clear" w:color="auto" w:fill="C0C0C0"/>
    </w:pPr>
    <w:rPr>
      <w:rFonts w:eastAsia="Times New Roman" w:cs="Times New Roman"/>
      <w:szCs w:val="20"/>
    </w:rPr>
  </w:style>
  <w:style w:type="paragraph" w:styleId="BodyTextIndent3">
    <w:name w:val="Body Text Indent 3"/>
    <w:basedOn w:val="Normal"/>
    <w:link w:val="BodyTextIndent3Char"/>
    <w:rsid w:val="00AD6ECD"/>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rsid w:val="00AD6ECD"/>
    <w:rPr>
      <w:rFonts w:ascii="Times New Roman" w:eastAsia="Times New Roman" w:hAnsi="Times New Roman" w:cs="Times New Roman"/>
      <w:szCs w:val="20"/>
      <w:lang w:eastAsia="en-ZA"/>
    </w:rPr>
  </w:style>
  <w:style w:type="paragraph" w:styleId="BodyText3">
    <w:name w:val="Body Text 3"/>
    <w:basedOn w:val="Normal"/>
    <w:link w:val="BodyText3Char"/>
    <w:rsid w:val="00AD6ECD"/>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rsid w:val="00AD6ECD"/>
    <w:rPr>
      <w:rFonts w:ascii="Garamond" w:eastAsia="Batang" w:hAnsi="Garamond" w:cs="Garamond"/>
      <w:sz w:val="16"/>
      <w:szCs w:val="16"/>
      <w:lang w:val="en-US"/>
    </w:rPr>
  </w:style>
  <w:style w:type="paragraph" w:styleId="TOC8">
    <w:name w:val="toc 8"/>
    <w:basedOn w:val="Normal"/>
    <w:next w:val="Normal"/>
    <w:autoRedefine/>
    <w:semiHidden/>
    <w:rsid w:val="00AD6ECD"/>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AD6ECD"/>
  </w:style>
  <w:style w:type="character" w:styleId="Emphasis">
    <w:name w:val="Emphasis"/>
    <w:qFormat/>
    <w:rsid w:val="00AD6ECD"/>
    <w:rPr>
      <w:i/>
      <w:iCs/>
    </w:rPr>
  </w:style>
  <w:style w:type="paragraph" w:customStyle="1" w:styleId="MediumGrid1-Accent21">
    <w:name w:val="Medium Grid 1 - Accent 21"/>
    <w:basedOn w:val="Normal"/>
    <w:uiPriority w:val="34"/>
    <w:qFormat/>
    <w:rsid w:val="00AD6ECD"/>
    <w:pPr>
      <w:spacing w:after="0" w:line="240" w:lineRule="auto"/>
      <w:ind w:left="720"/>
    </w:pPr>
    <w:rPr>
      <w:rFonts w:ascii="Garamond" w:eastAsia="Batang" w:hAnsi="Garamond" w:cs="Garamond"/>
      <w:sz w:val="24"/>
      <w:szCs w:val="24"/>
      <w:lang w:val="en-US"/>
    </w:rPr>
  </w:style>
  <w:style w:type="character" w:styleId="Strong">
    <w:name w:val="Strong"/>
    <w:uiPriority w:val="22"/>
    <w:qFormat/>
    <w:rsid w:val="00AD6ECD"/>
    <w:rPr>
      <w:b/>
      <w:bCs/>
    </w:rPr>
  </w:style>
  <w:style w:type="paragraph" w:customStyle="1" w:styleId="MediumList2-Accent21">
    <w:name w:val="Medium List 2 - Accent 21"/>
    <w:hidden/>
    <w:uiPriority w:val="99"/>
    <w:semiHidden/>
    <w:rsid w:val="00AD6ECD"/>
    <w:pPr>
      <w:spacing w:after="0" w:line="240" w:lineRule="auto"/>
    </w:pPr>
    <w:rPr>
      <w:rFonts w:ascii="Garamond" w:eastAsia="Batang" w:hAnsi="Garamond" w:cs="Garamond"/>
      <w:sz w:val="24"/>
      <w:szCs w:val="24"/>
      <w:lang w:val="en-US"/>
    </w:rPr>
  </w:style>
  <w:style w:type="paragraph" w:customStyle="1" w:styleId="MediumShading1-Accent11">
    <w:name w:val="Medium Shading 1 - Accent 11"/>
    <w:link w:val="MediumShading1-Accent1Char"/>
    <w:uiPriority w:val="1"/>
    <w:qFormat/>
    <w:rsid w:val="00AD6ECD"/>
    <w:pPr>
      <w:spacing w:after="0" w:line="240" w:lineRule="auto"/>
    </w:pPr>
    <w:rPr>
      <w:rFonts w:ascii="Garamond" w:eastAsia="Batang" w:hAnsi="Garamond" w:cs="Garamond"/>
      <w:sz w:val="24"/>
      <w:szCs w:val="24"/>
      <w:lang w:val="en-US"/>
    </w:rPr>
  </w:style>
  <w:style w:type="character" w:customStyle="1" w:styleId="MediumShading1-Accent1Char">
    <w:name w:val="Medium Shading 1 - Accent 1 Char"/>
    <w:link w:val="MediumShading1-Accent11"/>
    <w:uiPriority w:val="1"/>
    <w:rsid w:val="00AD6ECD"/>
    <w:rPr>
      <w:rFonts w:ascii="Garamond" w:eastAsia="Batang" w:hAnsi="Garamond" w:cs="Garamond"/>
      <w:sz w:val="24"/>
      <w:szCs w:val="24"/>
      <w:lang w:val="en-US"/>
    </w:rPr>
  </w:style>
  <w:style w:type="paragraph" w:styleId="ListBullet">
    <w:name w:val="List Bullet"/>
    <w:basedOn w:val="Normal"/>
    <w:rsid w:val="00AD6ECD"/>
    <w:pPr>
      <w:numPr>
        <w:numId w:val="39"/>
      </w:numPr>
      <w:spacing w:after="0" w:line="240" w:lineRule="auto"/>
      <w:contextualSpacing/>
    </w:pPr>
    <w:rPr>
      <w:rFonts w:ascii="Garamond" w:eastAsia="Batang" w:hAnsi="Garamond" w:cs="Garamond"/>
      <w:sz w:val="24"/>
      <w:szCs w:val="24"/>
      <w:lang w:val="en-US"/>
    </w:rPr>
  </w:style>
  <w:style w:type="character" w:customStyle="1" w:styleId="LightGrid-Accent11">
    <w:name w:val="Light Grid - Accent 11"/>
    <w:uiPriority w:val="99"/>
    <w:semiHidden/>
    <w:rsid w:val="00AD6ECD"/>
    <w:rPr>
      <w:color w:val="808080"/>
    </w:rPr>
  </w:style>
  <w:style w:type="character" w:customStyle="1" w:styleId="IntenseEmphasis1">
    <w:name w:val="Intense Emphasis1"/>
    <w:uiPriority w:val="21"/>
    <w:qFormat/>
    <w:rsid w:val="00AD6ECD"/>
    <w:rPr>
      <w:b/>
      <w:bCs/>
      <w:i/>
      <w:iCs/>
      <w:color w:val="4F81BD"/>
    </w:rPr>
  </w:style>
  <w:style w:type="paragraph" w:customStyle="1" w:styleId="MediumGrid3-Accent21">
    <w:name w:val="Medium Grid 3 - Accent 21"/>
    <w:basedOn w:val="Normal"/>
    <w:next w:val="Normal"/>
    <w:link w:val="MediumGrid3-Accent2Char"/>
    <w:uiPriority w:val="30"/>
    <w:qFormat/>
    <w:rsid w:val="00AD6ECD"/>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AD6ECD"/>
    <w:rPr>
      <w:rFonts w:ascii="Calibri" w:eastAsia="Batang" w:hAnsi="Calibri" w:cs="Garamond"/>
      <w:b/>
      <w:bCs/>
      <w:i/>
      <w:iCs/>
      <w:sz w:val="24"/>
      <w:szCs w:val="24"/>
      <w:lang w:val="en-US"/>
    </w:rPr>
  </w:style>
  <w:style w:type="paragraph" w:customStyle="1" w:styleId="Greencell">
    <w:name w:val="Green cell"/>
    <w:basedOn w:val="Normal"/>
    <w:link w:val="GreencellChar"/>
    <w:rsid w:val="00AD6ECD"/>
    <w:pPr>
      <w:keepNext/>
      <w:spacing w:after="0" w:line="240" w:lineRule="auto"/>
    </w:pPr>
    <w:rPr>
      <w:rFonts w:ascii="Calibri" w:eastAsia="Batang" w:hAnsi="Calibri" w:cs="Arial"/>
      <w:noProof/>
    </w:rPr>
  </w:style>
  <w:style w:type="character" w:customStyle="1" w:styleId="GreencellChar">
    <w:name w:val="Green cell Char"/>
    <w:link w:val="Greencell"/>
    <w:rsid w:val="00AD6ECD"/>
    <w:rPr>
      <w:rFonts w:ascii="Calibri" w:eastAsia="Batang" w:hAnsi="Calibri" w:cs="Arial"/>
      <w:noProof/>
    </w:rPr>
  </w:style>
  <w:style w:type="paragraph" w:customStyle="1" w:styleId="AnswerLegend">
    <w:name w:val="Answer Legend"/>
    <w:basedOn w:val="Normal"/>
    <w:link w:val="AnswerLegendChar"/>
    <w:qFormat/>
    <w:rsid w:val="00AD6ECD"/>
    <w:pPr>
      <w:spacing w:after="0" w:line="240" w:lineRule="auto"/>
      <w:jc w:val="center"/>
    </w:pPr>
    <w:rPr>
      <w:rFonts w:ascii="Calibri" w:eastAsia="Batang" w:hAnsi="Calibri" w:cs="Garamond"/>
    </w:rPr>
  </w:style>
  <w:style w:type="character" w:customStyle="1" w:styleId="AnswerLegendChar">
    <w:name w:val="Answer Legend Char"/>
    <w:link w:val="AnswerLegend"/>
    <w:rsid w:val="00AD6ECD"/>
    <w:rPr>
      <w:rFonts w:ascii="Calibri" w:eastAsia="Batang" w:hAnsi="Calibri" w:cs="Garamond"/>
    </w:rPr>
  </w:style>
  <w:style w:type="paragraph" w:customStyle="1" w:styleId="ColorfulShading-Accent11">
    <w:name w:val="Colorful Shading - Accent 11"/>
    <w:hidden/>
    <w:uiPriority w:val="71"/>
    <w:rsid w:val="00AD6ECD"/>
    <w:pPr>
      <w:spacing w:after="0" w:line="240" w:lineRule="auto"/>
    </w:pPr>
    <w:rPr>
      <w:rFonts w:ascii="Garamond" w:eastAsia="Batang" w:hAnsi="Garamond" w:cs="Garamond"/>
      <w:sz w:val="24"/>
      <w:szCs w:val="24"/>
      <w:lang w:val="en-US"/>
    </w:rPr>
  </w:style>
  <w:style w:type="paragraph" w:customStyle="1" w:styleId="NRFTitle1">
    <w:name w:val="NRF Title1"/>
    <w:next w:val="Normal"/>
    <w:rsid w:val="00AD6ECD"/>
    <w:pPr>
      <w:numPr>
        <w:numId w:val="42"/>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AD6ECD"/>
    <w:pPr>
      <w:numPr>
        <w:ilvl w:val="1"/>
        <w:numId w:val="42"/>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AD6ECD"/>
    <w:pPr>
      <w:numPr>
        <w:ilvl w:val="2"/>
        <w:numId w:val="42"/>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Emphaseintense1">
    <w:name w:val="Emphase intense1"/>
    <w:uiPriority w:val="21"/>
    <w:qFormat/>
    <w:rsid w:val="00AD6ECD"/>
    <w:rPr>
      <w:b/>
      <w:bCs/>
      <w:i/>
      <w:iCs/>
      <w:color w:val="4F81BD"/>
    </w:rPr>
  </w:style>
  <w:style w:type="paragraph" w:customStyle="1" w:styleId="Grillemoyenne3-Accent21">
    <w:name w:val="Grille moyenne 3 - Accent 21"/>
    <w:basedOn w:val="Normal"/>
    <w:next w:val="Normal"/>
    <w:uiPriority w:val="30"/>
    <w:qFormat/>
    <w:rsid w:val="00AD6ECD"/>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paragraph" w:customStyle="1" w:styleId="Tramecouleur-Accent11">
    <w:name w:val="Trame couleur - Accent 11"/>
    <w:hidden/>
    <w:uiPriority w:val="71"/>
    <w:rsid w:val="00AD6ECD"/>
    <w:pPr>
      <w:spacing w:after="0" w:line="240" w:lineRule="auto"/>
    </w:pPr>
    <w:rPr>
      <w:rFonts w:ascii="Garamond" w:eastAsia="Batang" w:hAnsi="Garamond" w:cs="Garamond"/>
      <w:sz w:val="24"/>
      <w:szCs w:val="24"/>
      <w:lang w:val="en-US"/>
    </w:rPr>
  </w:style>
  <w:style w:type="table" w:customStyle="1" w:styleId="TableNormal1">
    <w:name w:val="Table Normal1"/>
    <w:uiPriority w:val="2"/>
    <w:semiHidden/>
    <w:unhideWhenUsed/>
    <w:qFormat/>
    <w:rsid w:val="00AD6EC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D6EC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9E80-54C6-4881-9BEE-252DFBF6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3476</Words>
  <Characters>19365</Characters>
  <Application>Microsoft Office Word</Application>
  <DocSecurity>0</DocSecurity>
  <Lines>667</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 Temp</dc:creator>
  <cp:lastModifiedBy>JENNINGS Edmund</cp:lastModifiedBy>
  <cp:revision>7</cp:revision>
  <cp:lastPrinted>2019-06-25T19:33:00Z</cp:lastPrinted>
  <dcterms:created xsi:type="dcterms:W3CDTF">2019-07-31T09:57:00Z</dcterms:created>
  <dcterms:modified xsi:type="dcterms:W3CDTF">2019-07-31T10:18:00Z</dcterms:modified>
</cp:coreProperties>
</file>