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0031" w14:textId="77777777" w:rsidR="00B313B1" w:rsidRPr="00B313B1" w:rsidRDefault="00B313B1" w:rsidP="00B313B1">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B313B1">
        <w:rPr>
          <w:bCs/>
          <w:sz w:val="24"/>
          <w:szCs w:val="24"/>
          <w:lang w:val="fr-FR"/>
        </w:rPr>
        <w:t>CONVENTION DE RAMSAR SUR LES ZONES HUMIDES</w:t>
      </w:r>
    </w:p>
    <w:p w14:paraId="64F72CB2" w14:textId="0BDE3D03" w:rsidR="00B313B1" w:rsidRPr="00B313B1" w:rsidRDefault="00B313B1" w:rsidP="00B313B1">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B313B1">
        <w:rPr>
          <w:bCs/>
          <w:sz w:val="24"/>
          <w:szCs w:val="24"/>
          <w:lang w:val="fr-FR"/>
        </w:rPr>
        <w:t xml:space="preserve">57e Réunion du Comité permanent </w:t>
      </w:r>
    </w:p>
    <w:p w14:paraId="560D7DFA" w14:textId="797A892B" w:rsidR="00DF2386" w:rsidRPr="00B313B1" w:rsidRDefault="00B313B1" w:rsidP="00B313B1">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B313B1">
        <w:rPr>
          <w:bCs/>
          <w:sz w:val="24"/>
          <w:szCs w:val="24"/>
          <w:lang w:val="fr-FR"/>
        </w:rPr>
        <w:t>Gland, Suisse, 24 – 28 juin 2019</w:t>
      </w:r>
    </w:p>
    <w:p w14:paraId="5EA6CEB6" w14:textId="77777777" w:rsidR="00DF2386" w:rsidRPr="00B313B1" w:rsidRDefault="00DF2386" w:rsidP="00014168">
      <w:pPr>
        <w:outlineLvl w:val="0"/>
        <w:rPr>
          <w:b/>
          <w:lang w:val="fr-FR"/>
        </w:rPr>
      </w:pPr>
    </w:p>
    <w:p w14:paraId="405515BA" w14:textId="77777777" w:rsidR="00DF2386" w:rsidRPr="00B313B1" w:rsidRDefault="00DF2386" w:rsidP="00014168">
      <w:pPr>
        <w:jc w:val="right"/>
        <w:rPr>
          <w:rFonts w:cs="Arial"/>
          <w:sz w:val="28"/>
          <w:szCs w:val="28"/>
          <w:lang w:val="fr-FR"/>
        </w:rPr>
      </w:pPr>
      <w:r w:rsidRPr="00B313B1">
        <w:rPr>
          <w:rFonts w:cs="Arial"/>
          <w:b/>
          <w:sz w:val="28"/>
          <w:szCs w:val="28"/>
          <w:lang w:val="fr-FR"/>
        </w:rPr>
        <w:t>SC5</w:t>
      </w:r>
      <w:r w:rsidR="00C0528F" w:rsidRPr="00B313B1">
        <w:rPr>
          <w:rFonts w:cs="Arial"/>
          <w:b/>
          <w:sz w:val="28"/>
          <w:szCs w:val="28"/>
          <w:lang w:val="fr-FR"/>
        </w:rPr>
        <w:t>7</w:t>
      </w:r>
      <w:r w:rsidR="00D81EB0" w:rsidRPr="00B313B1">
        <w:rPr>
          <w:rFonts w:cs="Arial"/>
          <w:b/>
          <w:sz w:val="28"/>
          <w:szCs w:val="28"/>
          <w:lang w:val="fr-FR"/>
        </w:rPr>
        <w:t xml:space="preserve"> Doc.8</w:t>
      </w:r>
    </w:p>
    <w:p w14:paraId="1B2F52D8" w14:textId="77777777" w:rsidR="00DF2386" w:rsidRPr="00B313B1" w:rsidRDefault="00DF2386" w:rsidP="00014168">
      <w:pPr>
        <w:rPr>
          <w:rFonts w:cs="Arial"/>
          <w:b/>
          <w:sz w:val="28"/>
          <w:szCs w:val="28"/>
          <w:lang w:val="fr-FR"/>
        </w:rPr>
      </w:pPr>
    </w:p>
    <w:p w14:paraId="0189ECE2" w14:textId="6BE1C5B2" w:rsidR="00DF2386" w:rsidRPr="00B313B1" w:rsidRDefault="002B29B7" w:rsidP="00B313B1">
      <w:pPr>
        <w:jc w:val="center"/>
        <w:rPr>
          <w:rFonts w:cs="Arial"/>
          <w:b/>
          <w:sz w:val="28"/>
          <w:szCs w:val="28"/>
          <w:lang w:val="fr-FR"/>
        </w:rPr>
      </w:pPr>
      <w:r w:rsidRPr="002B29B7">
        <w:rPr>
          <w:rFonts w:cs="Arial"/>
          <w:b/>
          <w:sz w:val="28"/>
          <w:szCs w:val="28"/>
          <w:lang w:val="fr-FR"/>
        </w:rPr>
        <w:t>Problèmes urgents d’utilisation rationnelle des zones humides devant recevoir une attention accrue</w:t>
      </w:r>
    </w:p>
    <w:p w14:paraId="2351475C" w14:textId="77777777" w:rsidR="00DF2386" w:rsidRPr="00B313B1" w:rsidRDefault="00DF2386" w:rsidP="00014168">
      <w:pPr>
        <w:rPr>
          <w:rFonts w:ascii="Garamond" w:hAnsi="Garamond" w:cs="Arial"/>
          <w:lang w:val="fr-FR"/>
        </w:rPr>
      </w:pPr>
    </w:p>
    <w:p w14:paraId="002B632D" w14:textId="77777777" w:rsidR="000C2489" w:rsidRPr="00B313B1" w:rsidRDefault="000C2489" w:rsidP="00014168">
      <w:pPr>
        <w:autoSpaceDE w:val="0"/>
        <w:autoSpaceDN w:val="0"/>
        <w:adjustRightInd w:val="0"/>
        <w:rPr>
          <w:rFonts w:asciiTheme="minorHAnsi" w:eastAsiaTheme="minorHAnsi" w:hAnsiTheme="minorHAnsi" w:cs="Calibri-Bold"/>
          <w:b/>
          <w:bCs/>
          <w:lang w:val="fr-FR"/>
        </w:rPr>
      </w:pPr>
      <w:r w:rsidRPr="00B313B1">
        <w:rPr>
          <w:noProof/>
          <w:lang w:eastAsia="en-GB"/>
        </w:rPr>
        <mc:AlternateContent>
          <mc:Choice Requires="wps">
            <w:drawing>
              <wp:inline distT="0" distB="0" distL="0" distR="0" wp14:anchorId="3F7AE7C1" wp14:editId="7D926934">
                <wp:extent cx="5731510" cy="939800"/>
                <wp:effectExtent l="0" t="0" r="889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39800"/>
                        </a:xfrm>
                        <a:prstGeom prst="rect">
                          <a:avLst/>
                        </a:prstGeom>
                        <a:solidFill>
                          <a:srgbClr val="FFFFFF"/>
                        </a:solidFill>
                        <a:ln w="9525">
                          <a:solidFill>
                            <a:srgbClr val="000000"/>
                          </a:solidFill>
                          <a:miter lim="800000"/>
                          <a:headEnd/>
                          <a:tailEnd/>
                        </a:ln>
                      </wps:spPr>
                      <wps:txbx>
                        <w:txbxContent>
                          <w:p w14:paraId="73A00A96" w14:textId="24280E76" w:rsidR="000C2489" w:rsidRPr="00B313B1" w:rsidRDefault="000C2489" w:rsidP="000C2489">
                            <w:pPr>
                              <w:rPr>
                                <w:b/>
                                <w:bCs/>
                                <w:lang w:val="fr-CH"/>
                              </w:rPr>
                            </w:pPr>
                            <w:r w:rsidRPr="00B313B1">
                              <w:rPr>
                                <w:b/>
                                <w:bCs/>
                                <w:lang w:val="fr-CH"/>
                              </w:rPr>
                              <w:t>Actions requ</w:t>
                            </w:r>
                            <w:r w:rsidR="00B313B1" w:rsidRPr="00B313B1">
                              <w:rPr>
                                <w:b/>
                                <w:bCs/>
                                <w:lang w:val="fr-CH"/>
                              </w:rPr>
                              <w:t>ises :</w:t>
                            </w:r>
                            <w:r w:rsidRPr="00B313B1">
                              <w:rPr>
                                <w:b/>
                                <w:bCs/>
                                <w:lang w:val="fr-CH"/>
                              </w:rPr>
                              <w:t xml:space="preserve"> </w:t>
                            </w:r>
                          </w:p>
                          <w:p w14:paraId="5DC32469" w14:textId="77777777" w:rsidR="000C2489" w:rsidRPr="00B313B1" w:rsidRDefault="000C2489" w:rsidP="000C2489">
                            <w:pPr>
                              <w:pStyle w:val="ColorfulList-Accent11"/>
                              <w:ind w:left="0"/>
                              <w:rPr>
                                <w:lang w:val="fr-CH"/>
                              </w:rPr>
                            </w:pPr>
                          </w:p>
                          <w:p w14:paraId="2258BD2B" w14:textId="71E88117" w:rsidR="000C2489" w:rsidRPr="00B313B1" w:rsidRDefault="00B313B1" w:rsidP="00B313B1">
                            <w:pPr>
                              <w:pStyle w:val="ColorfulList-Accent11"/>
                              <w:ind w:left="0" w:firstLine="0"/>
                              <w:rPr>
                                <w:lang w:val="fr-CH"/>
                              </w:rPr>
                            </w:pPr>
                            <w:r w:rsidRPr="00B313B1">
                              <w:rPr>
                                <w:lang w:val="fr-CH"/>
                              </w:rPr>
                              <w:t xml:space="preserve">Le Comité permanent est invité à prendre note des </w:t>
                            </w:r>
                            <w:r w:rsidR="00CA2436">
                              <w:rPr>
                                <w:lang w:val="fr-CH"/>
                              </w:rPr>
                              <w:t>problèmes</w:t>
                            </w:r>
                            <w:r w:rsidRPr="00B313B1">
                              <w:rPr>
                                <w:lang w:val="fr-CH"/>
                              </w:rPr>
                              <w:t xml:space="preserve"> urgents </w:t>
                            </w:r>
                            <w:r w:rsidR="006D2AEB">
                              <w:rPr>
                                <w:lang w:val="fr-CH"/>
                              </w:rPr>
                              <w:t xml:space="preserve">se posant </w:t>
                            </w:r>
                            <w:r w:rsidRPr="00B313B1">
                              <w:rPr>
                                <w:lang w:val="fr-CH"/>
                              </w:rPr>
                              <w:t>pour que l'utilisation rationnelle des zones humides reçoive une attention accrue au cours de la prochaine période triennale, comme l'a identifié le Secrétariat.</w:t>
                            </w:r>
                          </w:p>
                        </w:txbxContent>
                      </wps:txbx>
                      <wps:bodyPr rot="0" vert="horz" wrap="square" lIns="91440" tIns="45720" rIns="91440" bIns="45720" anchor="t" anchorCtr="0" upright="1">
                        <a:noAutofit/>
                      </wps:bodyPr>
                    </wps:wsp>
                  </a:graphicData>
                </a:graphic>
              </wp:inline>
            </w:drawing>
          </mc:Choice>
          <mc:Fallback>
            <w:pict>
              <v:shapetype w14:anchorId="3F7AE7C1" id="_x0000_t202" coordsize="21600,21600" o:spt="202" path="m,l,21600r21600,l21600,xe">
                <v:stroke joinstyle="miter"/>
                <v:path gradientshapeok="t" o:connecttype="rect"/>
              </v:shapetype>
              <v:shape id="Text Box 1" o:spid="_x0000_s1026" type="#_x0000_t202" style="width:451.3pt;height: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">
                <v:textbox>
                  <w:txbxContent>
                    <w:p w14:paraId="73A00A96" w14:textId="24280E76" w:rsidR="000C2489" w:rsidRPr="00B313B1" w:rsidRDefault="000C2489" w:rsidP="000C2489">
                      <w:pPr>
                        <w:rPr>
                          <w:b/>
                          <w:bCs/>
                          <w:lang w:val="fr-CH"/>
                        </w:rPr>
                      </w:pPr>
                      <w:r w:rsidRPr="00B313B1">
                        <w:rPr>
                          <w:b/>
                          <w:bCs/>
                          <w:lang w:val="fr-CH"/>
                        </w:rPr>
                        <w:t>Actions requ</w:t>
                      </w:r>
                      <w:r w:rsidR="00B313B1" w:rsidRPr="00B313B1">
                        <w:rPr>
                          <w:b/>
                          <w:bCs/>
                          <w:lang w:val="fr-CH"/>
                        </w:rPr>
                        <w:t>ises :</w:t>
                      </w:r>
                      <w:r w:rsidRPr="00B313B1">
                        <w:rPr>
                          <w:b/>
                          <w:bCs/>
                          <w:lang w:val="fr-CH"/>
                        </w:rPr>
                        <w:t xml:space="preserve"> </w:t>
                      </w:r>
                    </w:p>
                    <w:p w14:paraId="5DC32469" w14:textId="77777777" w:rsidR="000C2489" w:rsidRPr="00B313B1" w:rsidRDefault="000C2489" w:rsidP="000C2489">
                      <w:pPr>
                        <w:pStyle w:val="ColorfulList-Accent11"/>
                        <w:ind w:left="0"/>
                        <w:rPr>
                          <w:lang w:val="fr-CH"/>
                        </w:rPr>
                      </w:pPr>
                    </w:p>
                    <w:p w14:paraId="2258BD2B" w14:textId="71E88117" w:rsidR="000C2489" w:rsidRPr="00B313B1" w:rsidRDefault="00B313B1" w:rsidP="00B313B1">
                      <w:pPr>
                        <w:pStyle w:val="ColorfulList-Accent11"/>
                        <w:ind w:left="0" w:firstLine="0"/>
                        <w:rPr>
                          <w:lang w:val="fr-CH"/>
                        </w:rPr>
                      </w:pPr>
                      <w:r w:rsidRPr="00B313B1">
                        <w:rPr>
                          <w:lang w:val="fr-CH"/>
                        </w:rPr>
                        <w:t xml:space="preserve">Le Comité permanent est invité à prendre note des </w:t>
                      </w:r>
                      <w:r w:rsidR="00CA2436">
                        <w:rPr>
                          <w:lang w:val="fr-CH"/>
                        </w:rPr>
                        <w:t>problèmes</w:t>
                      </w:r>
                      <w:r w:rsidRPr="00B313B1">
                        <w:rPr>
                          <w:lang w:val="fr-CH"/>
                        </w:rPr>
                        <w:t xml:space="preserve"> urgents </w:t>
                      </w:r>
                      <w:r w:rsidR="006D2AEB">
                        <w:rPr>
                          <w:lang w:val="fr-CH"/>
                        </w:rPr>
                        <w:t xml:space="preserve">se posant </w:t>
                      </w:r>
                      <w:r w:rsidRPr="00B313B1">
                        <w:rPr>
                          <w:lang w:val="fr-CH"/>
                        </w:rPr>
                        <w:t>pour que l'utilisation rationnelle des zones humides reçoive une attention accrue au cours de la prochaine période triennale, comme l'a identifié le Secrétariat.</w:t>
                      </w:r>
                    </w:p>
                  </w:txbxContent>
                </v:textbox>
                <w10:anchorlock/>
              </v:shape>
            </w:pict>
          </mc:Fallback>
        </mc:AlternateContent>
      </w:r>
    </w:p>
    <w:p w14:paraId="1B8870A8" w14:textId="77777777" w:rsidR="009E0AE8" w:rsidRPr="00B313B1" w:rsidRDefault="009E0AE8" w:rsidP="00014168">
      <w:pPr>
        <w:rPr>
          <w:rFonts w:cs="Arial"/>
          <w:b/>
          <w:lang w:val="fr-FR"/>
        </w:rPr>
      </w:pPr>
    </w:p>
    <w:p w14:paraId="5C569ACF" w14:textId="77777777" w:rsidR="009E0AE8" w:rsidRPr="00B313B1" w:rsidRDefault="009E0AE8" w:rsidP="00014168">
      <w:pPr>
        <w:rPr>
          <w:rFonts w:cs="Arial"/>
          <w:b/>
          <w:lang w:val="fr-FR"/>
        </w:rPr>
      </w:pPr>
    </w:p>
    <w:p w14:paraId="017DE982" w14:textId="77777777" w:rsidR="000C2489" w:rsidRPr="00B313B1" w:rsidRDefault="00275C0C" w:rsidP="00014168">
      <w:pPr>
        <w:rPr>
          <w:rFonts w:cs="Arial"/>
          <w:b/>
          <w:lang w:val="fr-FR"/>
        </w:rPr>
      </w:pPr>
      <w:r w:rsidRPr="00B313B1">
        <w:rPr>
          <w:rFonts w:cs="Arial"/>
          <w:b/>
          <w:lang w:val="fr-FR"/>
        </w:rPr>
        <w:t>Introduction</w:t>
      </w:r>
    </w:p>
    <w:p w14:paraId="5673C40B" w14:textId="77777777" w:rsidR="000C2489" w:rsidRPr="00050B52" w:rsidRDefault="000C2489" w:rsidP="00050B52">
      <w:pPr>
        <w:pStyle w:val="NoSpacing"/>
        <w:rPr>
          <w:lang w:val="fr-FR"/>
        </w:rPr>
      </w:pPr>
    </w:p>
    <w:p w14:paraId="3234AD18" w14:textId="5C953C41" w:rsidR="00275C0C" w:rsidRPr="00050B52" w:rsidRDefault="00050B52" w:rsidP="00050B52">
      <w:pPr>
        <w:pStyle w:val="NoSpacing"/>
        <w:rPr>
          <w:lang w:val="fr-FR"/>
        </w:rPr>
      </w:pPr>
      <w:r>
        <w:rPr>
          <w:lang w:val="fr-FR"/>
        </w:rPr>
        <w:t>1.</w:t>
      </w:r>
      <w:r>
        <w:rPr>
          <w:lang w:val="fr-FR"/>
        </w:rPr>
        <w:tab/>
      </w:r>
      <w:r w:rsidR="00B313B1">
        <w:rPr>
          <w:lang w:val="fr-FR"/>
        </w:rPr>
        <w:t xml:space="preserve">La </w:t>
      </w:r>
      <w:r w:rsidR="0085772A" w:rsidRPr="00B313B1">
        <w:rPr>
          <w:lang w:val="fr-FR"/>
        </w:rPr>
        <w:t>R</w:t>
      </w:r>
      <w:r w:rsidR="00B313B1">
        <w:rPr>
          <w:lang w:val="fr-FR"/>
        </w:rPr>
        <w:t>é</w:t>
      </w:r>
      <w:r w:rsidR="0085772A" w:rsidRPr="00B313B1">
        <w:rPr>
          <w:lang w:val="fr-FR"/>
        </w:rPr>
        <w:t xml:space="preserve">solution XIII.4 </w:t>
      </w:r>
      <w:r w:rsidR="00B313B1" w:rsidRPr="00050B52">
        <w:rPr>
          <w:i/>
          <w:lang w:val="fr-FR"/>
        </w:rPr>
        <w:t>Responsabilités, rôle et composition du Comité permanent et</w:t>
      </w:r>
      <w:r>
        <w:rPr>
          <w:i/>
          <w:lang w:val="fr-FR"/>
        </w:rPr>
        <w:t xml:space="preserve"> </w:t>
      </w:r>
      <w:r w:rsidR="00B313B1" w:rsidRPr="00050B52">
        <w:rPr>
          <w:i/>
          <w:lang w:val="fr-FR"/>
        </w:rPr>
        <w:t>répartition régionale des pays dans le cadre de la Convention de Ramsar</w:t>
      </w:r>
      <w:r w:rsidR="00B313B1" w:rsidRPr="00050B52">
        <w:rPr>
          <w:lang w:val="fr-FR"/>
        </w:rPr>
        <w:t xml:space="preserve"> </w:t>
      </w:r>
      <w:r w:rsidR="00B313B1">
        <w:rPr>
          <w:lang w:val="fr-FR"/>
        </w:rPr>
        <w:t>charge</w:t>
      </w:r>
      <w:r>
        <w:rPr>
          <w:lang w:val="fr-FR"/>
        </w:rPr>
        <w:t xml:space="preserve"> le Comité </w:t>
      </w:r>
      <w:r w:rsidR="00B313B1" w:rsidRPr="00B313B1">
        <w:rPr>
          <w:lang w:val="fr-FR"/>
        </w:rPr>
        <w:t>permanent, à sa première réunion plénière suivant chaque session de la Conférence des Parties contractantes, d’identifier, avec l’appui du Secrétariat, un nombre limité de problèmes urgents se posant pour l’utilisation rationnelle des zones humides, dans le contexte du Plan stratégique Ramsar et du programme général pour l’environnement, et nécessitant une attention accrue durant la période trienna</w:t>
      </w:r>
      <w:r w:rsidR="00DB2E7C">
        <w:rPr>
          <w:lang w:val="fr-FR"/>
        </w:rPr>
        <w:t>le</w:t>
      </w:r>
      <w:r w:rsidR="0085772A" w:rsidRPr="00050B52">
        <w:rPr>
          <w:lang w:val="fr-FR"/>
        </w:rPr>
        <w:t xml:space="preserve">. </w:t>
      </w:r>
    </w:p>
    <w:p w14:paraId="29E14185" w14:textId="77777777" w:rsidR="00CD29AE" w:rsidRPr="00B313B1" w:rsidRDefault="00CD29AE" w:rsidP="00CD29AE">
      <w:pPr>
        <w:pStyle w:val="ListParagraph"/>
        <w:ind w:left="420" w:firstLine="0"/>
        <w:rPr>
          <w:rFonts w:cs="Arial"/>
          <w:lang w:val="fr-FR"/>
        </w:rPr>
      </w:pPr>
    </w:p>
    <w:p w14:paraId="0D4D46CE" w14:textId="5A63AB5B" w:rsidR="007B1E4E" w:rsidRPr="007B1E4E" w:rsidRDefault="007B1E4E" w:rsidP="00050B52">
      <w:pPr>
        <w:pStyle w:val="NoSpacing"/>
        <w:rPr>
          <w:lang w:val="fr-FR"/>
        </w:rPr>
      </w:pPr>
      <w:r>
        <w:rPr>
          <w:lang w:val="fr-FR"/>
        </w:rPr>
        <w:t>2.</w:t>
      </w:r>
      <w:r>
        <w:rPr>
          <w:lang w:val="fr-FR"/>
        </w:rPr>
        <w:tab/>
      </w:r>
      <w:r w:rsidRPr="007B1E4E">
        <w:rPr>
          <w:lang w:val="fr-FR"/>
        </w:rPr>
        <w:t>Afin de répondre à cette demande, le Secrétariat a identifié un ensemble de problèmes après examen et analyse des documents suivants :</w:t>
      </w:r>
    </w:p>
    <w:p w14:paraId="7E5705CD" w14:textId="6388D26A" w:rsidR="00137C31" w:rsidRPr="00B313B1" w:rsidRDefault="007B1E4E" w:rsidP="007B1E4E">
      <w:pPr>
        <w:ind w:left="850"/>
        <w:rPr>
          <w:lang w:val="fr-FR"/>
        </w:rPr>
      </w:pPr>
      <w:r w:rsidRPr="007B1E4E">
        <w:rPr>
          <w:lang w:val="fr-FR"/>
        </w:rPr>
        <w:t>a.</w:t>
      </w:r>
      <w:r w:rsidRPr="007B1E4E">
        <w:rPr>
          <w:lang w:val="fr-FR"/>
        </w:rPr>
        <w:tab/>
        <w:t xml:space="preserve">document COP13 Doc.11.1, </w:t>
      </w:r>
      <w:r w:rsidRPr="007D0EC4">
        <w:rPr>
          <w:i/>
          <w:lang w:val="fr-FR"/>
        </w:rPr>
        <w:t>Rapport de la Secrétaire générale sur l’application de la Convention: Application au niveau mondial</w:t>
      </w:r>
      <w:r w:rsidR="00137C31" w:rsidRPr="00B313B1">
        <w:rPr>
          <w:lang w:val="fr-FR"/>
        </w:rPr>
        <w:t xml:space="preserve">, </w:t>
      </w:r>
      <w:r>
        <w:rPr>
          <w:lang w:val="fr-FR"/>
        </w:rPr>
        <w:t xml:space="preserve">dans lequel </w:t>
      </w:r>
      <w:r w:rsidRPr="007B1E4E">
        <w:rPr>
          <w:lang w:val="fr-FR"/>
        </w:rPr>
        <w:t xml:space="preserve">les rapports nationaux soumis à la COP13 </w:t>
      </w:r>
      <w:r>
        <w:rPr>
          <w:lang w:val="fr-FR"/>
        </w:rPr>
        <w:t>sont passés en revue ;</w:t>
      </w:r>
    </w:p>
    <w:p w14:paraId="6B867238" w14:textId="3DAC637D" w:rsidR="00137C31" w:rsidRPr="00B313B1" w:rsidRDefault="00CD29AE" w:rsidP="00137C31">
      <w:pPr>
        <w:ind w:left="850"/>
        <w:rPr>
          <w:lang w:val="fr-FR"/>
        </w:rPr>
      </w:pPr>
      <w:r w:rsidRPr="00B313B1">
        <w:rPr>
          <w:lang w:val="fr-FR"/>
        </w:rPr>
        <w:t>b</w:t>
      </w:r>
      <w:r w:rsidR="00137C31" w:rsidRPr="00B313B1">
        <w:rPr>
          <w:lang w:val="fr-FR"/>
        </w:rPr>
        <w:t>.</w:t>
      </w:r>
      <w:r w:rsidR="00137C31" w:rsidRPr="00B313B1">
        <w:rPr>
          <w:lang w:val="fr-FR"/>
        </w:rPr>
        <w:tab/>
      </w:r>
      <w:r w:rsidR="007B1E4E">
        <w:rPr>
          <w:i/>
          <w:lang w:val="fr-FR"/>
        </w:rPr>
        <w:t xml:space="preserve">Perspectives mondiales des zones humides : </w:t>
      </w:r>
      <w:r w:rsidR="007B1E4E" w:rsidRPr="007B1E4E">
        <w:rPr>
          <w:i/>
          <w:lang w:val="fr-FR"/>
        </w:rPr>
        <w:t>L’</w:t>
      </w:r>
      <w:r w:rsidR="00CA2436">
        <w:rPr>
          <w:i/>
          <w:lang w:val="fr-FR"/>
        </w:rPr>
        <w:t>é</w:t>
      </w:r>
      <w:r w:rsidR="007B1E4E" w:rsidRPr="007B1E4E">
        <w:rPr>
          <w:i/>
          <w:lang w:val="fr-FR"/>
        </w:rPr>
        <w:t>tat mondial des zones humides et de leurs services à l’humanit</w:t>
      </w:r>
      <w:r w:rsidR="00CA2436">
        <w:rPr>
          <w:i/>
          <w:lang w:val="fr-FR"/>
        </w:rPr>
        <w:t>é</w:t>
      </w:r>
      <w:r w:rsidR="007B1E4E">
        <w:rPr>
          <w:i/>
          <w:lang w:val="fr-FR"/>
        </w:rPr>
        <w:t> </w:t>
      </w:r>
      <w:r w:rsidR="007B1E4E">
        <w:rPr>
          <w:lang w:val="fr-FR"/>
        </w:rPr>
        <w:t>;</w:t>
      </w:r>
      <w:r w:rsidRPr="00B313B1">
        <w:rPr>
          <w:lang w:val="fr-FR"/>
        </w:rPr>
        <w:t xml:space="preserve"> </w:t>
      </w:r>
      <w:r w:rsidR="007B1E4E">
        <w:rPr>
          <w:lang w:val="fr-FR"/>
        </w:rPr>
        <w:t>et</w:t>
      </w:r>
    </w:p>
    <w:p w14:paraId="1FD8CC27" w14:textId="5D19118B" w:rsidR="003E001E" w:rsidRPr="00B313B1" w:rsidRDefault="00CD29AE" w:rsidP="00137C31">
      <w:pPr>
        <w:ind w:left="850"/>
        <w:rPr>
          <w:lang w:val="fr-FR"/>
        </w:rPr>
      </w:pPr>
      <w:r w:rsidRPr="00B313B1">
        <w:rPr>
          <w:lang w:val="fr-FR"/>
        </w:rPr>
        <w:t>c</w:t>
      </w:r>
      <w:r w:rsidR="00137C31" w:rsidRPr="00B313B1">
        <w:rPr>
          <w:lang w:val="fr-FR"/>
        </w:rPr>
        <w:t>.</w:t>
      </w:r>
      <w:r w:rsidR="00137C31" w:rsidRPr="00B313B1">
        <w:rPr>
          <w:lang w:val="fr-FR"/>
        </w:rPr>
        <w:tab/>
      </w:r>
      <w:r w:rsidR="007B1E4E" w:rsidRPr="007B1E4E">
        <w:rPr>
          <w:i/>
          <w:lang w:val="fr-FR"/>
        </w:rPr>
        <w:t>R</w:t>
      </w:r>
      <w:r w:rsidR="00CA2436">
        <w:rPr>
          <w:i/>
          <w:lang w:val="fr-FR"/>
        </w:rPr>
        <w:t>é</w:t>
      </w:r>
      <w:r w:rsidR="007B1E4E" w:rsidRPr="007B1E4E">
        <w:rPr>
          <w:i/>
          <w:lang w:val="fr-FR"/>
        </w:rPr>
        <w:t>duction du risque de catastrophe : Bilan mondial</w:t>
      </w:r>
      <w:r w:rsidR="007B1E4E">
        <w:rPr>
          <w:i/>
          <w:lang w:val="fr-FR"/>
        </w:rPr>
        <w:t> ;</w:t>
      </w:r>
      <w:r w:rsidRPr="00B313B1">
        <w:rPr>
          <w:i/>
          <w:lang w:val="fr-FR"/>
        </w:rPr>
        <w:t xml:space="preserve"> </w:t>
      </w:r>
      <w:r w:rsidR="00CA2436">
        <w:rPr>
          <w:lang w:val="fr-FR"/>
        </w:rPr>
        <w:t>et</w:t>
      </w:r>
      <w:r w:rsidRPr="00B313B1">
        <w:rPr>
          <w:lang w:val="fr-FR"/>
        </w:rPr>
        <w:t xml:space="preserve"> </w:t>
      </w:r>
    </w:p>
    <w:p w14:paraId="5B1CA6BE" w14:textId="13EE18D8" w:rsidR="00CD29AE" w:rsidRPr="00B313B1" w:rsidRDefault="00276034" w:rsidP="00137C31">
      <w:pPr>
        <w:ind w:left="850"/>
        <w:rPr>
          <w:rFonts w:cs="Arial"/>
          <w:lang w:val="fr-FR"/>
        </w:rPr>
      </w:pPr>
      <w:r w:rsidRPr="00B313B1">
        <w:rPr>
          <w:lang w:val="fr-FR"/>
        </w:rPr>
        <w:t>d</w:t>
      </w:r>
      <w:r w:rsidR="003E001E" w:rsidRPr="00B313B1">
        <w:rPr>
          <w:lang w:val="fr-FR"/>
        </w:rPr>
        <w:tab/>
      </w:r>
      <w:r w:rsidR="00CD29AE" w:rsidRPr="00B313B1">
        <w:rPr>
          <w:lang w:val="fr-FR"/>
        </w:rPr>
        <w:t>Forum</w:t>
      </w:r>
      <w:r w:rsidR="00CA2436">
        <w:rPr>
          <w:lang w:val="fr-FR"/>
        </w:rPr>
        <w:t xml:space="preserve"> économique mondial :</w:t>
      </w:r>
      <w:r w:rsidR="00CD29AE" w:rsidRPr="00B313B1">
        <w:rPr>
          <w:lang w:val="fr-FR"/>
        </w:rPr>
        <w:t xml:space="preserve"> </w:t>
      </w:r>
      <w:r w:rsidR="00CD29AE" w:rsidRPr="00B313B1">
        <w:rPr>
          <w:i/>
          <w:lang w:val="fr-FR"/>
        </w:rPr>
        <w:t>Global Risks Report 2018</w:t>
      </w:r>
      <w:r w:rsidR="00CD29AE" w:rsidRPr="00B313B1">
        <w:rPr>
          <w:lang w:val="fr-FR"/>
        </w:rPr>
        <w:t>.</w:t>
      </w:r>
    </w:p>
    <w:p w14:paraId="7535B82A" w14:textId="77777777" w:rsidR="001A2D10" w:rsidRPr="00B313B1" w:rsidRDefault="001A2D10" w:rsidP="00014168">
      <w:pPr>
        <w:pStyle w:val="ListParagraph"/>
        <w:ind w:left="426"/>
        <w:rPr>
          <w:rFonts w:cs="Arial"/>
          <w:lang w:val="fr-FR"/>
        </w:rPr>
      </w:pPr>
    </w:p>
    <w:p w14:paraId="79C556D8" w14:textId="38F32269" w:rsidR="00F344DE" w:rsidRPr="00050B52" w:rsidRDefault="00DB10E3" w:rsidP="00050B52">
      <w:pPr>
        <w:pStyle w:val="NoSpacing"/>
        <w:rPr>
          <w:lang w:val="fr-FR"/>
        </w:rPr>
      </w:pPr>
      <w:r w:rsidRPr="00B313B1">
        <w:rPr>
          <w:lang w:val="fr-FR"/>
        </w:rPr>
        <w:t>3</w:t>
      </w:r>
      <w:r w:rsidR="00275F13" w:rsidRPr="00B313B1">
        <w:rPr>
          <w:lang w:val="fr-FR"/>
        </w:rPr>
        <w:t>.</w:t>
      </w:r>
      <w:r w:rsidR="00275F13" w:rsidRPr="00B313B1">
        <w:rPr>
          <w:lang w:val="fr-FR"/>
        </w:rPr>
        <w:tab/>
      </w:r>
      <w:r w:rsidR="00CA2436" w:rsidRPr="00CA2436">
        <w:rPr>
          <w:lang w:val="fr-FR"/>
        </w:rPr>
        <w:t xml:space="preserve">Le Tableau 1 fournit au Comité permanent une liste des </w:t>
      </w:r>
      <w:r w:rsidR="00CA2436">
        <w:rPr>
          <w:lang w:val="fr-FR"/>
        </w:rPr>
        <w:t>problèmes</w:t>
      </w:r>
      <w:r w:rsidR="00CA2436" w:rsidRPr="00CA2436">
        <w:rPr>
          <w:lang w:val="fr-FR"/>
        </w:rPr>
        <w:t xml:space="preserve"> urgents se posant pour l’utilisation r</w:t>
      </w:r>
      <w:bookmarkStart w:id="0" w:name="_GoBack"/>
      <w:bookmarkEnd w:id="0"/>
      <w:r w:rsidR="00CA2436" w:rsidRPr="00CA2436">
        <w:rPr>
          <w:lang w:val="fr-FR"/>
        </w:rPr>
        <w:t>ationnelle des zones humides dans le c</w:t>
      </w:r>
      <w:r w:rsidR="00CA2436">
        <w:rPr>
          <w:lang w:val="fr-FR"/>
        </w:rPr>
        <w:t>ontexte</w:t>
      </w:r>
      <w:r w:rsidR="00CA2436" w:rsidRPr="00CA2436">
        <w:rPr>
          <w:lang w:val="fr-FR"/>
        </w:rPr>
        <w:t xml:space="preserve"> du Plan stratégique Ramsar (2016 - 2024), organisés en catégories thématiques, qui devraient </w:t>
      </w:r>
      <w:r w:rsidR="00CA2436">
        <w:rPr>
          <w:lang w:val="fr-FR"/>
        </w:rPr>
        <w:t>faire l’objet d’</w:t>
      </w:r>
      <w:r w:rsidR="00CA2436" w:rsidRPr="00CA2436">
        <w:rPr>
          <w:lang w:val="fr-FR"/>
        </w:rPr>
        <w:t xml:space="preserve">une attention accrue au cours de cette période triennale et qui pourraient </w:t>
      </w:r>
      <w:r w:rsidR="00CA2436">
        <w:rPr>
          <w:lang w:val="fr-FR"/>
        </w:rPr>
        <w:t xml:space="preserve">étayer </w:t>
      </w:r>
      <w:r w:rsidR="00CA2436" w:rsidRPr="00CA2436">
        <w:rPr>
          <w:lang w:val="fr-FR"/>
        </w:rPr>
        <w:t>divers domaines de travail stratégiques du Comité permanent et avoir un impact positif sur la conservation et l'utilisation rationnelle des zones humides</w:t>
      </w:r>
      <w:r w:rsidR="00CA2436">
        <w:rPr>
          <w:lang w:val="fr-FR"/>
        </w:rPr>
        <w:t>.</w:t>
      </w:r>
    </w:p>
    <w:p w14:paraId="22A19BC6" w14:textId="77777777" w:rsidR="00C874B9" w:rsidRPr="00B313B1" w:rsidRDefault="00C874B9" w:rsidP="00014168">
      <w:pPr>
        <w:rPr>
          <w:rFonts w:cs="Arial"/>
          <w:i/>
          <w:lang w:val="fr-FR"/>
        </w:rPr>
        <w:sectPr w:rsidR="00C874B9" w:rsidRPr="00B313B1" w:rsidSect="002137E0">
          <w:headerReference w:type="default" r:id="rId8"/>
          <w:footerReference w:type="default" r:id="rId9"/>
          <w:pgSz w:w="11906" w:h="16838"/>
          <w:pgMar w:top="1440" w:right="1440" w:bottom="1440" w:left="1440" w:header="709" w:footer="709" w:gutter="0"/>
          <w:cols w:space="708"/>
          <w:titlePg/>
          <w:docGrid w:linePitch="360"/>
        </w:sectPr>
      </w:pPr>
    </w:p>
    <w:p w14:paraId="2CE1C5C9" w14:textId="23EDCDD7" w:rsidR="003E001E" w:rsidRPr="00B313B1" w:rsidRDefault="00CF6B3E" w:rsidP="00014168">
      <w:pPr>
        <w:rPr>
          <w:rFonts w:cs="Arial"/>
          <w:i/>
          <w:lang w:val="fr-FR"/>
        </w:rPr>
      </w:pPr>
      <w:r w:rsidRPr="00B313B1">
        <w:rPr>
          <w:rFonts w:cs="Arial"/>
          <w:i/>
          <w:lang w:val="fr-FR"/>
        </w:rPr>
        <w:lastRenderedPageBreak/>
        <w:t>Table</w:t>
      </w:r>
      <w:r w:rsidR="00CA2436">
        <w:rPr>
          <w:rFonts w:cs="Arial"/>
          <w:i/>
          <w:lang w:val="fr-FR"/>
        </w:rPr>
        <w:t>au</w:t>
      </w:r>
      <w:r w:rsidRPr="00B313B1">
        <w:rPr>
          <w:rFonts w:cs="Arial"/>
          <w:i/>
          <w:lang w:val="fr-FR"/>
        </w:rPr>
        <w:t xml:space="preserve"> 1 </w:t>
      </w:r>
      <w:r w:rsidR="00CA2436">
        <w:rPr>
          <w:rFonts w:cs="Arial"/>
          <w:i/>
          <w:lang w:val="fr-FR"/>
        </w:rPr>
        <w:t>P</w:t>
      </w:r>
      <w:r w:rsidR="00CA2436" w:rsidRPr="00CA2436">
        <w:rPr>
          <w:rFonts w:cs="Arial"/>
          <w:i/>
          <w:lang w:val="fr-FR"/>
        </w:rPr>
        <w:t xml:space="preserve">roblèmes urgents se posant pour l’utilisation rationnelle des zones humides </w:t>
      </w:r>
    </w:p>
    <w:tbl>
      <w:tblPr>
        <w:tblW w:w="14031"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ayout w:type="fixed"/>
        <w:tblCellMar>
          <w:top w:w="57" w:type="dxa"/>
          <w:bottom w:w="57" w:type="dxa"/>
        </w:tblCellMar>
        <w:tblLook w:val="04A0" w:firstRow="1" w:lastRow="0" w:firstColumn="1" w:lastColumn="0" w:noHBand="0" w:noVBand="1"/>
      </w:tblPr>
      <w:tblGrid>
        <w:gridCol w:w="2263"/>
        <w:gridCol w:w="2942"/>
        <w:gridCol w:w="2942"/>
        <w:gridCol w:w="2942"/>
        <w:gridCol w:w="2942"/>
      </w:tblGrid>
      <w:tr w:rsidR="00D81EB0" w:rsidRPr="00050B52" w14:paraId="6C3010CB" w14:textId="77777777" w:rsidTr="005A402A">
        <w:trPr>
          <w:cantSplit/>
          <w:tblHeader/>
        </w:trPr>
        <w:tc>
          <w:tcPr>
            <w:tcW w:w="2263" w:type="dxa"/>
            <w:shd w:val="clear" w:color="auto" w:fill="DBE5F1" w:themeFill="accent1" w:themeFillTint="33"/>
            <w:noWrap/>
            <w:vAlign w:val="center"/>
            <w:hideMark/>
          </w:tcPr>
          <w:p w14:paraId="6C6D751A" w14:textId="7ECD988C" w:rsidR="003E001E" w:rsidRPr="00B313B1" w:rsidRDefault="00CA2436" w:rsidP="003F4412">
            <w:pPr>
              <w:ind w:left="0" w:firstLine="0"/>
              <w:jc w:val="center"/>
              <w:rPr>
                <w:rFonts w:eastAsia="Times New Roman" w:cs="Calibri"/>
                <w:b/>
                <w:bCs/>
                <w:color w:val="000000"/>
                <w:lang w:val="fr-FR" w:eastAsia="en-GB"/>
              </w:rPr>
            </w:pPr>
            <w:r>
              <w:rPr>
                <w:rFonts w:eastAsia="Times New Roman" w:cs="Calibri"/>
                <w:b/>
                <w:bCs/>
                <w:color w:val="000000"/>
                <w:lang w:val="fr-FR" w:eastAsia="en-GB"/>
              </w:rPr>
              <w:t>Catégories t</w:t>
            </w:r>
            <w:r w:rsidR="003E001E" w:rsidRPr="00B313B1">
              <w:rPr>
                <w:rFonts w:eastAsia="Times New Roman" w:cs="Calibri"/>
                <w:b/>
                <w:bCs/>
                <w:color w:val="000000"/>
                <w:lang w:val="fr-FR" w:eastAsia="en-GB"/>
              </w:rPr>
              <w:t>h</w:t>
            </w:r>
            <w:r>
              <w:rPr>
                <w:rFonts w:eastAsia="Times New Roman" w:cs="Calibri"/>
                <w:b/>
                <w:bCs/>
                <w:color w:val="000000"/>
                <w:lang w:val="fr-FR" w:eastAsia="en-GB"/>
              </w:rPr>
              <w:t>é</w:t>
            </w:r>
            <w:r w:rsidR="003E001E" w:rsidRPr="00B313B1">
              <w:rPr>
                <w:rFonts w:eastAsia="Times New Roman" w:cs="Calibri"/>
                <w:b/>
                <w:bCs/>
                <w:color w:val="000000"/>
                <w:lang w:val="fr-FR" w:eastAsia="en-GB"/>
              </w:rPr>
              <w:t>mati</w:t>
            </w:r>
            <w:r>
              <w:rPr>
                <w:rFonts w:eastAsia="Times New Roman" w:cs="Calibri"/>
                <w:b/>
                <w:bCs/>
                <w:color w:val="000000"/>
                <w:lang w:val="fr-FR" w:eastAsia="en-GB"/>
              </w:rPr>
              <w:t>ques</w:t>
            </w:r>
            <w:r w:rsidR="003E001E" w:rsidRPr="00B313B1">
              <w:rPr>
                <w:rFonts w:eastAsia="Times New Roman" w:cs="Calibri"/>
                <w:b/>
                <w:bCs/>
                <w:color w:val="000000"/>
                <w:lang w:val="fr-FR" w:eastAsia="en-GB"/>
              </w:rPr>
              <w:t xml:space="preserve"> </w:t>
            </w:r>
          </w:p>
        </w:tc>
        <w:tc>
          <w:tcPr>
            <w:tcW w:w="2942" w:type="dxa"/>
            <w:shd w:val="clear" w:color="auto" w:fill="DBE5F1" w:themeFill="accent1" w:themeFillTint="33"/>
            <w:noWrap/>
            <w:vAlign w:val="center"/>
            <w:hideMark/>
          </w:tcPr>
          <w:p w14:paraId="3E32526B" w14:textId="093C7A20" w:rsidR="003E001E" w:rsidRPr="00B313B1" w:rsidRDefault="00526A5F" w:rsidP="005A402A">
            <w:pPr>
              <w:ind w:left="0" w:firstLine="0"/>
              <w:jc w:val="center"/>
              <w:rPr>
                <w:rFonts w:eastAsia="Times New Roman" w:cs="Calibri"/>
                <w:b/>
                <w:bCs/>
                <w:color w:val="000000"/>
                <w:lang w:val="fr-FR" w:eastAsia="en-GB"/>
              </w:rPr>
            </w:pPr>
            <w:r>
              <w:rPr>
                <w:rFonts w:eastAsia="Times New Roman" w:cs="Calibri"/>
                <w:b/>
                <w:bCs/>
                <w:color w:val="000000"/>
                <w:lang w:val="fr-FR" w:eastAsia="en-GB"/>
              </w:rPr>
              <w:t xml:space="preserve">Rapports nationaux </w:t>
            </w:r>
            <w:r w:rsidR="003E001E" w:rsidRPr="00B313B1">
              <w:rPr>
                <w:rFonts w:eastAsia="Times New Roman" w:cs="Calibri"/>
                <w:b/>
                <w:bCs/>
                <w:color w:val="000000"/>
                <w:lang w:val="fr-FR" w:eastAsia="en-GB"/>
              </w:rPr>
              <w:t xml:space="preserve">Ramsar </w:t>
            </w:r>
          </w:p>
        </w:tc>
        <w:tc>
          <w:tcPr>
            <w:tcW w:w="2942" w:type="dxa"/>
            <w:shd w:val="clear" w:color="auto" w:fill="DBE5F1" w:themeFill="accent1" w:themeFillTint="33"/>
            <w:noWrap/>
            <w:vAlign w:val="center"/>
            <w:hideMark/>
          </w:tcPr>
          <w:p w14:paraId="2B90A2F9" w14:textId="5EAB9039" w:rsidR="003E001E" w:rsidRPr="00B313B1" w:rsidRDefault="00526A5F" w:rsidP="005A402A">
            <w:pPr>
              <w:ind w:left="0" w:firstLine="0"/>
              <w:jc w:val="center"/>
              <w:rPr>
                <w:rFonts w:eastAsia="Times New Roman" w:cs="Calibri"/>
                <w:b/>
                <w:bCs/>
                <w:color w:val="000000"/>
                <w:lang w:val="fr-FR" w:eastAsia="en-GB"/>
              </w:rPr>
            </w:pPr>
            <w:r>
              <w:rPr>
                <w:rFonts w:eastAsia="Times New Roman" w:cs="Calibri"/>
                <w:b/>
                <w:bCs/>
                <w:color w:val="000000"/>
                <w:lang w:val="fr-FR" w:eastAsia="en-GB"/>
              </w:rPr>
              <w:t>Perspectives mondiales des zones humides</w:t>
            </w:r>
          </w:p>
        </w:tc>
        <w:tc>
          <w:tcPr>
            <w:tcW w:w="2942" w:type="dxa"/>
            <w:shd w:val="clear" w:color="auto" w:fill="DBE5F1" w:themeFill="accent1" w:themeFillTint="33"/>
            <w:vAlign w:val="center"/>
            <w:hideMark/>
          </w:tcPr>
          <w:p w14:paraId="66C8E499" w14:textId="42968BFB" w:rsidR="003E001E" w:rsidRPr="00B313B1" w:rsidRDefault="00526A5F" w:rsidP="005A402A">
            <w:pPr>
              <w:ind w:left="0" w:firstLine="0"/>
              <w:jc w:val="center"/>
              <w:rPr>
                <w:rFonts w:eastAsia="Times New Roman" w:cs="Calibri"/>
                <w:b/>
                <w:bCs/>
                <w:color w:val="000000"/>
                <w:lang w:val="fr-FR" w:eastAsia="en-GB"/>
              </w:rPr>
            </w:pPr>
            <w:r>
              <w:rPr>
                <w:rFonts w:eastAsia="Times New Roman" w:cs="Calibri"/>
                <w:b/>
                <w:bCs/>
                <w:color w:val="000000"/>
                <w:lang w:val="fr-FR" w:eastAsia="en-GB"/>
              </w:rPr>
              <w:t>Évaluations</w:t>
            </w:r>
            <w:r w:rsidRPr="00050B52">
              <w:rPr>
                <w:rFonts w:eastAsia="Times New Roman" w:cs="Calibri"/>
                <w:b/>
                <w:bCs/>
                <w:color w:val="000000"/>
                <w:lang w:val="fr-FR" w:eastAsia="en-GB"/>
              </w:rPr>
              <w:t>/</w:t>
            </w:r>
            <w:r>
              <w:rPr>
                <w:rFonts w:eastAsia="Times New Roman" w:cs="Calibri"/>
                <w:b/>
                <w:bCs/>
                <w:color w:val="000000"/>
                <w:lang w:val="fr-FR" w:eastAsia="en-GB"/>
              </w:rPr>
              <w:t>rapports réalisés par l’ONU</w:t>
            </w:r>
            <w:r w:rsidR="00CF6B3E" w:rsidRPr="00B313B1">
              <w:rPr>
                <w:rStyle w:val="FootnoteReference"/>
                <w:rFonts w:eastAsia="Times New Roman" w:cs="Calibri"/>
                <w:b/>
                <w:bCs/>
                <w:color w:val="000000"/>
                <w:lang w:val="fr-FR" w:eastAsia="en-GB"/>
              </w:rPr>
              <w:footnoteReference w:id="1"/>
            </w:r>
          </w:p>
        </w:tc>
        <w:tc>
          <w:tcPr>
            <w:tcW w:w="2942" w:type="dxa"/>
            <w:shd w:val="clear" w:color="auto" w:fill="DBE5F1" w:themeFill="accent1" w:themeFillTint="33"/>
            <w:noWrap/>
            <w:vAlign w:val="center"/>
            <w:hideMark/>
          </w:tcPr>
          <w:p w14:paraId="43F6BFFC" w14:textId="0C4831E3" w:rsidR="003E001E" w:rsidRPr="00B313B1" w:rsidRDefault="003E001E" w:rsidP="005A402A">
            <w:pPr>
              <w:ind w:left="0" w:firstLine="0"/>
              <w:jc w:val="center"/>
              <w:rPr>
                <w:rFonts w:eastAsia="Times New Roman" w:cs="Calibri"/>
                <w:b/>
                <w:bCs/>
                <w:color w:val="000000"/>
                <w:lang w:val="fr-FR" w:eastAsia="en-GB"/>
              </w:rPr>
            </w:pPr>
            <w:r w:rsidRPr="00B313B1">
              <w:rPr>
                <w:rFonts w:eastAsia="Times New Roman" w:cs="Calibri"/>
                <w:b/>
                <w:bCs/>
                <w:color w:val="000000"/>
                <w:lang w:val="fr-FR" w:eastAsia="en-GB"/>
              </w:rPr>
              <w:t xml:space="preserve"> Global Risks Report</w:t>
            </w:r>
            <w:r w:rsidR="00787E98">
              <w:rPr>
                <w:rFonts w:eastAsia="Times New Roman" w:cs="Calibri"/>
                <w:b/>
                <w:bCs/>
                <w:color w:val="000000"/>
                <w:lang w:val="fr-FR" w:eastAsia="en-GB"/>
              </w:rPr>
              <w:t>, Forum économique mondial</w:t>
            </w:r>
          </w:p>
        </w:tc>
      </w:tr>
      <w:tr w:rsidR="00D81EB0" w:rsidRPr="00B313B1" w14:paraId="25A3BB1C" w14:textId="77777777" w:rsidTr="005A402A">
        <w:trPr>
          <w:cantSplit/>
        </w:trPr>
        <w:tc>
          <w:tcPr>
            <w:tcW w:w="2263" w:type="dxa"/>
            <w:vMerge w:val="restart"/>
            <w:shd w:val="clear" w:color="000000" w:fill="F2F2F2"/>
            <w:hideMark/>
          </w:tcPr>
          <w:p w14:paraId="0B012B51" w14:textId="3F41DF2B" w:rsidR="003E001E" w:rsidRPr="00B313B1" w:rsidRDefault="00787E98" w:rsidP="003E001E">
            <w:pPr>
              <w:ind w:left="0" w:firstLine="0"/>
              <w:rPr>
                <w:rFonts w:eastAsia="Times New Roman" w:cs="Calibri"/>
                <w:b/>
                <w:bCs/>
                <w:color w:val="000000"/>
                <w:lang w:val="fr-FR" w:eastAsia="en-GB"/>
              </w:rPr>
            </w:pPr>
            <w:r>
              <w:rPr>
                <w:rFonts w:eastAsia="Times New Roman" w:cs="Calibri"/>
                <w:b/>
                <w:bCs/>
                <w:color w:val="000000"/>
                <w:lang w:val="fr-FR" w:eastAsia="en-GB"/>
              </w:rPr>
              <w:t xml:space="preserve">Absence de </w:t>
            </w:r>
            <w:r w:rsidRPr="00787E98">
              <w:rPr>
                <w:rFonts w:eastAsia="Times New Roman" w:cs="Calibri"/>
                <w:b/>
                <w:bCs/>
                <w:color w:val="000000"/>
                <w:lang w:val="fr-FR" w:eastAsia="en-GB"/>
              </w:rPr>
              <w:t xml:space="preserve">liens avec les stratégies, plans et investissements nationaux </w:t>
            </w:r>
            <w:r>
              <w:rPr>
                <w:rFonts w:eastAsia="Times New Roman" w:cs="Calibri"/>
                <w:b/>
                <w:bCs/>
                <w:color w:val="000000"/>
                <w:lang w:val="fr-FR" w:eastAsia="en-GB"/>
              </w:rPr>
              <w:t xml:space="preserve">en faveur </w:t>
            </w:r>
            <w:r w:rsidRPr="00787E98">
              <w:rPr>
                <w:rFonts w:eastAsia="Times New Roman" w:cs="Calibri"/>
                <w:b/>
                <w:bCs/>
                <w:color w:val="000000"/>
                <w:lang w:val="fr-FR" w:eastAsia="en-GB"/>
              </w:rPr>
              <w:t>d</w:t>
            </w:r>
            <w:r>
              <w:rPr>
                <w:rFonts w:eastAsia="Times New Roman" w:cs="Calibri"/>
                <w:b/>
                <w:bCs/>
                <w:color w:val="000000"/>
                <w:lang w:val="fr-FR" w:eastAsia="en-GB"/>
              </w:rPr>
              <w:t>u</w:t>
            </w:r>
            <w:r w:rsidRPr="00787E98">
              <w:rPr>
                <w:rFonts w:eastAsia="Times New Roman" w:cs="Calibri"/>
                <w:b/>
                <w:bCs/>
                <w:color w:val="000000"/>
                <w:lang w:val="fr-FR" w:eastAsia="en-GB"/>
              </w:rPr>
              <w:t xml:space="preserve"> développement durable et </w:t>
            </w:r>
            <w:r>
              <w:rPr>
                <w:rFonts w:eastAsia="Times New Roman" w:cs="Calibri"/>
                <w:b/>
                <w:bCs/>
                <w:color w:val="000000"/>
                <w:lang w:val="fr-FR" w:eastAsia="en-GB"/>
              </w:rPr>
              <w:t>d’</w:t>
            </w:r>
            <w:r w:rsidRPr="00787E98">
              <w:rPr>
                <w:rFonts w:eastAsia="Times New Roman" w:cs="Calibri"/>
                <w:b/>
                <w:bCs/>
                <w:color w:val="000000"/>
                <w:lang w:val="fr-FR" w:eastAsia="en-GB"/>
              </w:rPr>
              <w:t>intégration dans ces stratégies, plans et investissements</w:t>
            </w:r>
          </w:p>
        </w:tc>
        <w:tc>
          <w:tcPr>
            <w:tcW w:w="2942" w:type="dxa"/>
            <w:shd w:val="clear" w:color="000000" w:fill="F2F2F2"/>
            <w:hideMark/>
          </w:tcPr>
          <w:p w14:paraId="46E787BC" w14:textId="171099A7" w:rsidR="003E001E" w:rsidRPr="00B313B1" w:rsidRDefault="00787E98" w:rsidP="003E001E">
            <w:pPr>
              <w:ind w:left="0" w:firstLine="0"/>
              <w:rPr>
                <w:rFonts w:eastAsia="Times New Roman" w:cs="Calibri"/>
                <w:color w:val="000000"/>
                <w:lang w:val="fr-FR" w:eastAsia="en-GB"/>
              </w:rPr>
            </w:pPr>
            <w:r w:rsidRPr="00787E98">
              <w:rPr>
                <w:rFonts w:eastAsia="Times New Roman" w:cs="Calibri"/>
                <w:color w:val="000000"/>
                <w:lang w:val="fr-FR" w:eastAsia="en-GB"/>
              </w:rPr>
              <w:t>L'intégration des avantages des zones humides dans les stratégies nationales de développement durable et les processus de planification progresse</w:t>
            </w:r>
            <w:r w:rsidR="007D0EC4">
              <w:rPr>
                <w:rFonts w:eastAsia="Times New Roman" w:cs="Calibri"/>
                <w:color w:val="000000"/>
                <w:lang w:val="fr-FR" w:eastAsia="en-GB"/>
              </w:rPr>
              <w:t>nt</w:t>
            </w:r>
            <w:r w:rsidRPr="00787E98">
              <w:rPr>
                <w:rFonts w:eastAsia="Times New Roman" w:cs="Calibri"/>
                <w:color w:val="000000"/>
                <w:lang w:val="fr-FR" w:eastAsia="en-GB"/>
              </w:rPr>
              <w:t xml:space="preserve"> lentement</w:t>
            </w:r>
            <w:r w:rsidR="00C96787" w:rsidRPr="00B313B1">
              <w:rPr>
                <w:rFonts w:eastAsia="Times New Roman" w:cs="Calibri"/>
                <w:color w:val="000000"/>
                <w:lang w:val="fr-FR" w:eastAsia="en-GB"/>
              </w:rPr>
              <w:t>.</w:t>
            </w:r>
          </w:p>
        </w:tc>
        <w:tc>
          <w:tcPr>
            <w:tcW w:w="2942" w:type="dxa"/>
            <w:shd w:val="clear" w:color="000000" w:fill="F2F2F2"/>
            <w:hideMark/>
          </w:tcPr>
          <w:p w14:paraId="3B4F11D0" w14:textId="546CBC27" w:rsidR="003E001E" w:rsidRPr="00B313B1" w:rsidRDefault="00787E98" w:rsidP="005A402A">
            <w:pPr>
              <w:ind w:left="0" w:firstLine="0"/>
              <w:rPr>
                <w:rFonts w:eastAsia="Times New Roman" w:cs="Calibri"/>
                <w:color w:val="000000"/>
                <w:lang w:val="fr-FR" w:eastAsia="en-GB"/>
              </w:rPr>
            </w:pPr>
            <w:r w:rsidRPr="00787E98">
              <w:rPr>
                <w:rFonts w:eastAsia="Times New Roman" w:cs="Calibri"/>
                <w:color w:val="000000"/>
                <w:lang w:val="fr-FR" w:eastAsia="en-GB"/>
              </w:rPr>
              <w:t xml:space="preserve">Les </w:t>
            </w:r>
            <w:r>
              <w:rPr>
                <w:rFonts w:eastAsia="Times New Roman" w:cs="Calibri"/>
                <w:color w:val="000000"/>
                <w:lang w:val="fr-FR" w:eastAsia="en-GB"/>
              </w:rPr>
              <w:t>zones</w:t>
            </w:r>
            <w:r w:rsidRPr="00787E98">
              <w:rPr>
                <w:rFonts w:eastAsia="Times New Roman" w:cs="Calibri"/>
                <w:color w:val="000000"/>
                <w:lang w:val="fr-FR" w:eastAsia="en-GB"/>
              </w:rPr>
              <w:t xml:space="preserve"> humides ne sont pas intégrées dans les stratégies de développement durable</w:t>
            </w:r>
            <w:r w:rsidR="00C96787" w:rsidRPr="00B313B1">
              <w:rPr>
                <w:rFonts w:eastAsia="Times New Roman" w:cs="Calibri"/>
                <w:color w:val="000000"/>
                <w:lang w:val="fr-FR" w:eastAsia="en-GB"/>
              </w:rPr>
              <w:t>.</w:t>
            </w:r>
          </w:p>
        </w:tc>
        <w:tc>
          <w:tcPr>
            <w:tcW w:w="2942" w:type="dxa"/>
            <w:vMerge w:val="restart"/>
            <w:shd w:val="clear" w:color="000000" w:fill="F2F2F2"/>
            <w:hideMark/>
          </w:tcPr>
          <w:p w14:paraId="636B1C39" w14:textId="7419B6B0" w:rsidR="003E001E" w:rsidRPr="00B313B1" w:rsidRDefault="007E669B" w:rsidP="005A402A">
            <w:pPr>
              <w:ind w:left="0" w:firstLine="0"/>
              <w:rPr>
                <w:rFonts w:eastAsia="Times New Roman" w:cs="Calibri"/>
                <w:color w:val="000000"/>
                <w:lang w:val="fr-FR" w:eastAsia="en-GB"/>
              </w:rPr>
            </w:pPr>
            <w:r w:rsidRPr="007E669B">
              <w:rPr>
                <w:rFonts w:eastAsia="Times New Roman" w:cs="Calibri"/>
                <w:color w:val="000000"/>
                <w:lang w:val="fr-FR" w:eastAsia="en-GB"/>
              </w:rPr>
              <w:t>L'intégration des avantages des zones humides dans les plans relatifs à l'agriculture, à la pêche, à l'eau, à l'énergie et à l'exploitation minière fait défaut</w:t>
            </w:r>
            <w:r w:rsidR="00C96787" w:rsidRPr="00B313B1">
              <w:rPr>
                <w:rFonts w:eastAsia="Times New Roman" w:cs="Calibri"/>
                <w:color w:val="000000"/>
                <w:lang w:val="fr-FR" w:eastAsia="en-GB"/>
              </w:rPr>
              <w:t>.</w:t>
            </w:r>
          </w:p>
        </w:tc>
        <w:tc>
          <w:tcPr>
            <w:tcW w:w="2942" w:type="dxa"/>
            <w:vMerge w:val="restart"/>
            <w:shd w:val="clear" w:color="000000" w:fill="F2F2F2"/>
            <w:hideMark/>
          </w:tcPr>
          <w:p w14:paraId="1F26915F" w14:textId="6C0EFD31" w:rsidR="003E001E" w:rsidRPr="00B313B1" w:rsidRDefault="007E669B" w:rsidP="00CA067C">
            <w:pPr>
              <w:ind w:left="0" w:firstLine="0"/>
              <w:rPr>
                <w:rFonts w:eastAsia="Times New Roman" w:cs="Calibri"/>
                <w:color w:val="000000"/>
                <w:lang w:val="fr-FR" w:eastAsia="en-GB"/>
              </w:rPr>
            </w:pPr>
            <w:r w:rsidRPr="007E669B">
              <w:rPr>
                <w:rFonts w:eastAsia="Times New Roman" w:cs="Calibri"/>
                <w:color w:val="000000"/>
                <w:lang w:val="fr-FR" w:eastAsia="en-GB"/>
              </w:rPr>
              <w:t xml:space="preserve">Les solutions fondées sur la nature ne sont pas bien intégrées dans les stratégies nationales. La gestion des zones humides fonctionne généralement indépendamment des autres stratégies et processus de développement. Les avantages quantifiables des services écosystémiques </w:t>
            </w:r>
            <w:r>
              <w:rPr>
                <w:rFonts w:eastAsia="Times New Roman" w:cs="Calibri"/>
                <w:color w:val="000000"/>
                <w:lang w:val="fr-FR" w:eastAsia="en-GB"/>
              </w:rPr>
              <w:t>sont mal compris</w:t>
            </w:r>
            <w:r w:rsidRPr="007E669B">
              <w:rPr>
                <w:rFonts w:eastAsia="Times New Roman" w:cs="Calibri"/>
                <w:color w:val="000000"/>
                <w:lang w:val="fr-FR" w:eastAsia="en-GB"/>
              </w:rPr>
              <w:t>.</w:t>
            </w:r>
          </w:p>
        </w:tc>
      </w:tr>
      <w:tr w:rsidR="00D81EB0" w:rsidRPr="00050B52" w14:paraId="3A61AB0C" w14:textId="77777777" w:rsidTr="005A402A">
        <w:trPr>
          <w:cantSplit/>
          <w:trHeight w:val="269"/>
        </w:trPr>
        <w:tc>
          <w:tcPr>
            <w:tcW w:w="2263" w:type="dxa"/>
            <w:vMerge/>
            <w:hideMark/>
          </w:tcPr>
          <w:p w14:paraId="154DF399" w14:textId="77777777" w:rsidR="003E001E" w:rsidRPr="00B313B1" w:rsidRDefault="003E001E" w:rsidP="003E001E">
            <w:pPr>
              <w:ind w:left="0" w:firstLine="0"/>
              <w:rPr>
                <w:rFonts w:eastAsia="Times New Roman" w:cs="Calibri"/>
                <w:b/>
                <w:bCs/>
                <w:color w:val="000000"/>
                <w:lang w:val="fr-FR" w:eastAsia="en-GB"/>
              </w:rPr>
            </w:pPr>
          </w:p>
        </w:tc>
        <w:tc>
          <w:tcPr>
            <w:tcW w:w="2942" w:type="dxa"/>
            <w:vMerge w:val="restart"/>
            <w:shd w:val="clear" w:color="000000" w:fill="F2F2F2"/>
            <w:hideMark/>
          </w:tcPr>
          <w:p w14:paraId="6A86E090" w14:textId="72520EF4" w:rsidR="003E001E" w:rsidRPr="00B313B1" w:rsidRDefault="007E669B" w:rsidP="003E001E">
            <w:pPr>
              <w:ind w:left="0" w:firstLine="0"/>
              <w:rPr>
                <w:rFonts w:eastAsia="Times New Roman" w:cs="Calibri"/>
                <w:color w:val="000000"/>
                <w:lang w:val="fr-FR" w:eastAsia="en-GB"/>
              </w:rPr>
            </w:pPr>
            <w:r w:rsidRPr="007E669B">
              <w:rPr>
                <w:rFonts w:eastAsia="Times New Roman" w:cs="Calibri"/>
                <w:color w:val="000000"/>
                <w:lang w:val="fr-FR" w:eastAsia="en-GB"/>
              </w:rPr>
              <w:t xml:space="preserve">Les progrès </w:t>
            </w:r>
            <w:r>
              <w:rPr>
                <w:rFonts w:eastAsia="Times New Roman" w:cs="Calibri"/>
                <w:color w:val="000000"/>
                <w:lang w:val="fr-FR" w:eastAsia="en-GB"/>
              </w:rPr>
              <w:t xml:space="preserve">en matière </w:t>
            </w:r>
            <w:r w:rsidRPr="007E669B">
              <w:rPr>
                <w:rFonts w:eastAsia="Times New Roman" w:cs="Calibri"/>
                <w:color w:val="000000"/>
                <w:lang w:val="fr-FR" w:eastAsia="en-GB"/>
              </w:rPr>
              <w:t>d'évaluation des fonctions, des services et des avantages des zones humides sont lents, et la mise en œuvre de programmes relatifs aux zones humides qui contribuent à la réduction de la pauvreté ou à la sécurité alimentaire et hydrique reste un défi</w:t>
            </w:r>
            <w:r w:rsidR="00C96787" w:rsidRPr="00B313B1">
              <w:rPr>
                <w:rFonts w:eastAsia="Times New Roman" w:cs="Calibri"/>
                <w:color w:val="000000"/>
                <w:lang w:val="fr-FR" w:eastAsia="en-GB"/>
              </w:rPr>
              <w:t>.</w:t>
            </w:r>
          </w:p>
        </w:tc>
        <w:tc>
          <w:tcPr>
            <w:tcW w:w="2942" w:type="dxa"/>
            <w:vMerge w:val="restart"/>
            <w:shd w:val="clear" w:color="000000" w:fill="F2F2F2"/>
            <w:hideMark/>
          </w:tcPr>
          <w:p w14:paraId="5361E60E" w14:textId="3A02E613" w:rsidR="003E001E" w:rsidRPr="00B313B1" w:rsidRDefault="00770437" w:rsidP="003E001E">
            <w:pPr>
              <w:ind w:left="0" w:firstLine="0"/>
              <w:rPr>
                <w:rFonts w:eastAsia="Times New Roman" w:cs="Calibri"/>
                <w:color w:val="000000"/>
                <w:lang w:val="fr-FR" w:eastAsia="en-GB"/>
              </w:rPr>
            </w:pPr>
            <w:r w:rsidRPr="00770437">
              <w:rPr>
                <w:rFonts w:eastAsia="Times New Roman" w:cs="Calibri"/>
                <w:color w:val="000000"/>
                <w:lang w:val="fr-FR" w:eastAsia="en-GB"/>
              </w:rPr>
              <w:t xml:space="preserve">Souvent, les </w:t>
            </w:r>
            <w:r>
              <w:rPr>
                <w:rFonts w:eastAsia="Times New Roman" w:cs="Calibri"/>
                <w:color w:val="000000"/>
                <w:lang w:val="fr-FR" w:eastAsia="en-GB"/>
              </w:rPr>
              <w:t xml:space="preserve">décideurs </w:t>
            </w:r>
            <w:r w:rsidRPr="00770437">
              <w:rPr>
                <w:rFonts w:eastAsia="Times New Roman" w:cs="Calibri"/>
                <w:color w:val="000000"/>
                <w:lang w:val="fr-FR" w:eastAsia="en-GB"/>
              </w:rPr>
              <w:t xml:space="preserve">ne </w:t>
            </w:r>
            <w:r>
              <w:rPr>
                <w:rFonts w:eastAsia="Times New Roman" w:cs="Calibri"/>
                <w:color w:val="000000"/>
                <w:lang w:val="fr-FR" w:eastAsia="en-GB"/>
              </w:rPr>
              <w:t xml:space="preserve">savent pas </w:t>
            </w:r>
            <w:r w:rsidRPr="00770437">
              <w:rPr>
                <w:rFonts w:eastAsia="Times New Roman" w:cs="Calibri"/>
                <w:color w:val="000000"/>
                <w:lang w:val="fr-FR" w:eastAsia="en-GB"/>
              </w:rPr>
              <w:t>reconna</w:t>
            </w:r>
            <w:r>
              <w:rPr>
                <w:rFonts w:eastAsia="Times New Roman" w:cs="Calibri"/>
                <w:color w:val="000000"/>
                <w:lang w:val="fr-FR" w:eastAsia="en-GB"/>
              </w:rPr>
              <w:t xml:space="preserve">ître </w:t>
            </w:r>
            <w:r w:rsidRPr="00770437">
              <w:rPr>
                <w:rFonts w:eastAsia="Times New Roman" w:cs="Calibri"/>
                <w:color w:val="000000"/>
                <w:lang w:val="fr-FR" w:eastAsia="en-GB"/>
              </w:rPr>
              <w:t>tout l</w:t>
            </w:r>
            <w:r>
              <w:rPr>
                <w:rFonts w:eastAsia="Times New Roman" w:cs="Calibri"/>
                <w:color w:val="000000"/>
                <w:lang w:val="fr-FR" w:eastAsia="en-GB"/>
              </w:rPr>
              <w:t xml:space="preserve">’éventail </w:t>
            </w:r>
            <w:r w:rsidRPr="00770437">
              <w:rPr>
                <w:rFonts w:eastAsia="Times New Roman" w:cs="Calibri"/>
                <w:color w:val="000000"/>
                <w:lang w:val="fr-FR" w:eastAsia="en-GB"/>
              </w:rPr>
              <w:t>des valeurs des zones humides, ce qui limite leur capacité à plaider efficacement en faveur de leur inclusion dans les stratégies et plans nationaux</w:t>
            </w:r>
            <w:r w:rsidR="00C96787" w:rsidRPr="00B313B1">
              <w:rPr>
                <w:rFonts w:eastAsia="Times New Roman" w:cs="Calibri"/>
                <w:color w:val="000000"/>
                <w:lang w:val="fr-FR" w:eastAsia="en-GB"/>
              </w:rPr>
              <w:t>.</w:t>
            </w:r>
          </w:p>
        </w:tc>
        <w:tc>
          <w:tcPr>
            <w:tcW w:w="2942" w:type="dxa"/>
            <w:vMerge/>
            <w:hideMark/>
          </w:tcPr>
          <w:p w14:paraId="6DC37695" w14:textId="77777777" w:rsidR="003E001E" w:rsidRPr="00B313B1" w:rsidRDefault="003E001E" w:rsidP="003E001E">
            <w:pPr>
              <w:ind w:left="0" w:firstLine="0"/>
              <w:rPr>
                <w:rFonts w:eastAsia="Times New Roman" w:cs="Calibri"/>
                <w:color w:val="000000"/>
                <w:lang w:val="fr-FR" w:eastAsia="en-GB"/>
              </w:rPr>
            </w:pPr>
          </w:p>
        </w:tc>
        <w:tc>
          <w:tcPr>
            <w:tcW w:w="2942" w:type="dxa"/>
            <w:vMerge/>
            <w:hideMark/>
          </w:tcPr>
          <w:p w14:paraId="7EA9279D" w14:textId="77777777" w:rsidR="003E001E" w:rsidRPr="00B313B1" w:rsidRDefault="003E001E" w:rsidP="003E001E">
            <w:pPr>
              <w:ind w:left="0" w:firstLine="0"/>
              <w:rPr>
                <w:rFonts w:eastAsia="Times New Roman" w:cs="Calibri"/>
                <w:color w:val="000000"/>
                <w:lang w:val="fr-FR" w:eastAsia="en-GB"/>
              </w:rPr>
            </w:pPr>
          </w:p>
        </w:tc>
      </w:tr>
      <w:tr w:rsidR="00D81EB0" w:rsidRPr="00050B52" w14:paraId="167E3449" w14:textId="77777777" w:rsidTr="005A402A">
        <w:trPr>
          <w:cantSplit/>
        </w:trPr>
        <w:tc>
          <w:tcPr>
            <w:tcW w:w="2263" w:type="dxa"/>
            <w:vMerge/>
            <w:hideMark/>
          </w:tcPr>
          <w:p w14:paraId="4FEBAC52" w14:textId="77777777" w:rsidR="003E001E" w:rsidRPr="00B313B1" w:rsidRDefault="003E001E" w:rsidP="003E001E">
            <w:pPr>
              <w:ind w:left="0" w:firstLine="0"/>
              <w:rPr>
                <w:rFonts w:eastAsia="Times New Roman" w:cs="Calibri"/>
                <w:b/>
                <w:bCs/>
                <w:color w:val="000000"/>
                <w:lang w:val="fr-FR" w:eastAsia="en-GB"/>
              </w:rPr>
            </w:pPr>
          </w:p>
        </w:tc>
        <w:tc>
          <w:tcPr>
            <w:tcW w:w="2942" w:type="dxa"/>
            <w:vMerge/>
            <w:hideMark/>
          </w:tcPr>
          <w:p w14:paraId="1F3EB223" w14:textId="77777777" w:rsidR="003E001E" w:rsidRPr="00B313B1" w:rsidRDefault="003E001E" w:rsidP="003E001E">
            <w:pPr>
              <w:ind w:left="0" w:firstLine="0"/>
              <w:rPr>
                <w:rFonts w:eastAsia="Times New Roman" w:cs="Calibri"/>
                <w:color w:val="000000"/>
                <w:lang w:val="fr-FR" w:eastAsia="en-GB"/>
              </w:rPr>
            </w:pPr>
          </w:p>
        </w:tc>
        <w:tc>
          <w:tcPr>
            <w:tcW w:w="2942" w:type="dxa"/>
            <w:vMerge/>
            <w:hideMark/>
          </w:tcPr>
          <w:p w14:paraId="4344B537" w14:textId="77777777" w:rsidR="003E001E" w:rsidRPr="00B313B1" w:rsidRDefault="003E001E" w:rsidP="003E001E">
            <w:pPr>
              <w:ind w:left="0" w:firstLine="0"/>
              <w:rPr>
                <w:rFonts w:eastAsia="Times New Roman" w:cs="Calibri"/>
                <w:color w:val="000000"/>
                <w:lang w:val="fr-FR" w:eastAsia="en-GB"/>
              </w:rPr>
            </w:pPr>
          </w:p>
        </w:tc>
        <w:tc>
          <w:tcPr>
            <w:tcW w:w="2942" w:type="dxa"/>
            <w:vMerge/>
            <w:hideMark/>
          </w:tcPr>
          <w:p w14:paraId="3DE8EA47" w14:textId="77777777" w:rsidR="003E001E" w:rsidRPr="00B313B1" w:rsidRDefault="003E001E" w:rsidP="003E001E">
            <w:pPr>
              <w:ind w:left="0" w:firstLine="0"/>
              <w:rPr>
                <w:rFonts w:eastAsia="Times New Roman" w:cs="Calibri"/>
                <w:color w:val="000000"/>
                <w:lang w:val="fr-FR" w:eastAsia="en-GB"/>
              </w:rPr>
            </w:pPr>
          </w:p>
        </w:tc>
        <w:tc>
          <w:tcPr>
            <w:tcW w:w="2942" w:type="dxa"/>
            <w:shd w:val="clear" w:color="000000" w:fill="F2F2F2"/>
            <w:hideMark/>
          </w:tcPr>
          <w:p w14:paraId="2B7083D4" w14:textId="19D78DB4" w:rsidR="003E001E" w:rsidRPr="00B313B1" w:rsidRDefault="00770437" w:rsidP="003E001E">
            <w:pPr>
              <w:ind w:left="0" w:firstLine="0"/>
              <w:rPr>
                <w:rFonts w:eastAsia="Times New Roman" w:cs="Calibri"/>
                <w:color w:val="000000"/>
                <w:lang w:val="fr-FR" w:eastAsia="en-GB"/>
              </w:rPr>
            </w:pPr>
            <w:r w:rsidRPr="00770437">
              <w:rPr>
                <w:rFonts w:eastAsia="Times New Roman" w:cs="Calibri"/>
                <w:color w:val="000000"/>
                <w:lang w:val="fr-FR" w:eastAsia="en-GB"/>
              </w:rPr>
              <w:t>Des niveaux élevés de coopération intersectorielle et institutionnelle font défaut. Un environnement politique favorable peut grandement contribuer à promouvoir le développement durable.</w:t>
            </w:r>
          </w:p>
        </w:tc>
      </w:tr>
      <w:tr w:rsidR="00D81EB0" w:rsidRPr="00B313B1" w14:paraId="0E6C73D3" w14:textId="77777777" w:rsidTr="00050B52">
        <w:trPr>
          <w:cantSplit/>
        </w:trPr>
        <w:tc>
          <w:tcPr>
            <w:tcW w:w="2263" w:type="dxa"/>
            <w:vMerge w:val="restart"/>
            <w:shd w:val="clear" w:color="auto" w:fill="auto"/>
            <w:hideMark/>
          </w:tcPr>
          <w:p w14:paraId="02A886F3" w14:textId="5D1B4CF6" w:rsidR="003E001E" w:rsidRPr="00B313B1" w:rsidRDefault="00770437" w:rsidP="00050B52">
            <w:pPr>
              <w:keepNext/>
              <w:ind w:left="0" w:firstLine="0"/>
              <w:rPr>
                <w:rFonts w:eastAsia="Times New Roman" w:cs="Calibri"/>
                <w:b/>
                <w:bCs/>
                <w:color w:val="000000"/>
                <w:lang w:val="fr-FR" w:eastAsia="en-GB"/>
              </w:rPr>
            </w:pPr>
            <w:r w:rsidRPr="00770437">
              <w:rPr>
                <w:rFonts w:eastAsia="Times New Roman" w:cs="Calibri"/>
                <w:b/>
                <w:bCs/>
                <w:color w:val="000000"/>
                <w:lang w:val="fr-FR" w:eastAsia="en-GB"/>
              </w:rPr>
              <w:t>Une planification et une gestion plus efficaces des zones humides s</w:t>
            </w:r>
            <w:r>
              <w:rPr>
                <w:rFonts w:eastAsia="Times New Roman" w:cs="Calibri"/>
                <w:b/>
                <w:bCs/>
                <w:color w:val="000000"/>
                <w:lang w:val="fr-FR" w:eastAsia="en-GB"/>
              </w:rPr>
              <w:t>’imposent</w:t>
            </w:r>
          </w:p>
        </w:tc>
        <w:tc>
          <w:tcPr>
            <w:tcW w:w="2942" w:type="dxa"/>
            <w:vMerge w:val="restart"/>
            <w:shd w:val="clear" w:color="auto" w:fill="auto"/>
            <w:hideMark/>
          </w:tcPr>
          <w:p w14:paraId="164DD51F" w14:textId="26692A38" w:rsidR="003E001E" w:rsidRPr="00B313B1" w:rsidRDefault="00770437" w:rsidP="00050B52">
            <w:pPr>
              <w:keepNext/>
              <w:ind w:left="0" w:firstLine="0"/>
              <w:rPr>
                <w:rFonts w:eastAsia="Times New Roman" w:cs="Calibri"/>
                <w:color w:val="000000"/>
                <w:lang w:val="fr-FR" w:eastAsia="en-GB"/>
              </w:rPr>
            </w:pPr>
            <w:r w:rsidRPr="00770437">
              <w:rPr>
                <w:rFonts w:eastAsia="Times New Roman" w:cs="Calibri"/>
                <w:color w:val="000000"/>
                <w:lang w:val="fr-FR" w:eastAsia="en-GB"/>
              </w:rPr>
              <w:t xml:space="preserve">Aucun progrès réel </w:t>
            </w:r>
            <w:r>
              <w:rPr>
                <w:rFonts w:eastAsia="Times New Roman" w:cs="Calibri"/>
                <w:color w:val="000000"/>
                <w:lang w:val="fr-FR" w:eastAsia="en-GB"/>
              </w:rPr>
              <w:t xml:space="preserve">n’a été enregistré </w:t>
            </w:r>
            <w:r w:rsidRPr="00770437">
              <w:rPr>
                <w:rFonts w:eastAsia="Times New Roman" w:cs="Calibri"/>
                <w:color w:val="000000"/>
                <w:lang w:val="fr-FR" w:eastAsia="en-GB"/>
              </w:rPr>
              <w:t xml:space="preserve">dans la planification efficace et la gestion intégrée des sites Ramsar. Les menaces qui </w:t>
            </w:r>
            <w:r w:rsidRPr="00770437">
              <w:rPr>
                <w:rFonts w:eastAsia="Times New Roman" w:cs="Calibri"/>
                <w:color w:val="000000"/>
                <w:lang w:val="fr-FR" w:eastAsia="en-GB"/>
              </w:rPr>
              <w:lastRenderedPageBreak/>
              <w:t xml:space="preserve">pèsent sur les sites Ramsar </w:t>
            </w:r>
            <w:r>
              <w:rPr>
                <w:rFonts w:eastAsia="Times New Roman" w:cs="Calibri"/>
                <w:color w:val="000000"/>
                <w:lang w:val="fr-FR" w:eastAsia="en-GB"/>
              </w:rPr>
              <w:t xml:space="preserve">ne cessent </w:t>
            </w:r>
            <w:r w:rsidRPr="00770437">
              <w:rPr>
                <w:rFonts w:eastAsia="Times New Roman" w:cs="Calibri"/>
                <w:color w:val="000000"/>
                <w:lang w:val="fr-FR" w:eastAsia="en-GB"/>
              </w:rPr>
              <w:t>d'augmenter</w:t>
            </w:r>
            <w:r w:rsidR="00C96787" w:rsidRPr="00B313B1">
              <w:rPr>
                <w:rFonts w:eastAsia="Times New Roman" w:cs="Calibri"/>
                <w:lang w:val="fr-FR" w:eastAsia="en-GB"/>
              </w:rPr>
              <w:t>.</w:t>
            </w:r>
          </w:p>
        </w:tc>
        <w:tc>
          <w:tcPr>
            <w:tcW w:w="2942" w:type="dxa"/>
            <w:vMerge w:val="restart"/>
            <w:shd w:val="clear" w:color="auto" w:fill="auto"/>
            <w:hideMark/>
          </w:tcPr>
          <w:p w14:paraId="42F5CC9F" w14:textId="7DEF25FB" w:rsidR="003E001E" w:rsidRPr="00B313B1" w:rsidRDefault="00571B7C" w:rsidP="00050B52">
            <w:pPr>
              <w:keepNext/>
              <w:ind w:left="0" w:firstLine="0"/>
              <w:rPr>
                <w:rFonts w:eastAsia="Times New Roman" w:cs="Calibri"/>
                <w:color w:val="000000"/>
                <w:lang w:val="fr-FR" w:eastAsia="en-GB"/>
              </w:rPr>
            </w:pPr>
            <w:r w:rsidRPr="00571B7C">
              <w:rPr>
                <w:rFonts w:eastAsia="Times New Roman" w:cs="Calibri"/>
                <w:color w:val="000000"/>
                <w:lang w:val="fr-FR" w:eastAsia="en-GB"/>
              </w:rPr>
              <w:lastRenderedPageBreak/>
              <w:t xml:space="preserve">Les </w:t>
            </w:r>
            <w:r>
              <w:rPr>
                <w:rFonts w:eastAsia="Times New Roman" w:cs="Calibri"/>
                <w:color w:val="000000"/>
                <w:lang w:val="fr-FR" w:eastAsia="en-GB"/>
              </w:rPr>
              <w:t>S</w:t>
            </w:r>
            <w:r w:rsidRPr="00571B7C">
              <w:rPr>
                <w:rFonts w:eastAsia="Times New Roman" w:cs="Calibri"/>
                <w:color w:val="000000"/>
                <w:lang w:val="fr-FR" w:eastAsia="en-GB"/>
              </w:rPr>
              <w:t xml:space="preserve">ites Ramsar et </w:t>
            </w:r>
            <w:r>
              <w:rPr>
                <w:rFonts w:eastAsia="Times New Roman" w:cs="Calibri"/>
                <w:color w:val="000000"/>
                <w:lang w:val="fr-FR" w:eastAsia="en-GB"/>
              </w:rPr>
              <w:t xml:space="preserve">les </w:t>
            </w:r>
            <w:r w:rsidRPr="00571B7C">
              <w:rPr>
                <w:rFonts w:eastAsia="Times New Roman" w:cs="Calibri"/>
                <w:color w:val="000000"/>
                <w:lang w:val="fr-FR" w:eastAsia="en-GB"/>
              </w:rPr>
              <w:t xml:space="preserve">autres zones humides </w:t>
            </w:r>
            <w:r>
              <w:rPr>
                <w:rFonts w:eastAsia="Times New Roman" w:cs="Calibri"/>
                <w:color w:val="000000"/>
                <w:lang w:val="fr-FR" w:eastAsia="en-GB"/>
              </w:rPr>
              <w:t xml:space="preserve">ne sont pas dotés </w:t>
            </w:r>
            <w:r w:rsidRPr="00571B7C">
              <w:rPr>
                <w:rFonts w:eastAsia="Times New Roman" w:cs="Calibri"/>
                <w:color w:val="000000"/>
                <w:lang w:val="fr-FR" w:eastAsia="en-GB"/>
              </w:rPr>
              <w:t xml:space="preserve">de plans de gestion et lorsque </w:t>
            </w:r>
            <w:r>
              <w:rPr>
                <w:rFonts w:eastAsia="Times New Roman" w:cs="Calibri"/>
                <w:color w:val="000000"/>
                <w:lang w:val="fr-FR" w:eastAsia="en-GB"/>
              </w:rPr>
              <w:t>c</w:t>
            </w:r>
            <w:r w:rsidRPr="00571B7C">
              <w:rPr>
                <w:rFonts w:eastAsia="Times New Roman" w:cs="Calibri"/>
                <w:color w:val="000000"/>
                <w:lang w:val="fr-FR" w:eastAsia="en-GB"/>
              </w:rPr>
              <w:t>es plans existent, leur mise en œuvre est faible.</w:t>
            </w:r>
          </w:p>
        </w:tc>
        <w:tc>
          <w:tcPr>
            <w:tcW w:w="2942" w:type="dxa"/>
            <w:vMerge w:val="restart"/>
            <w:shd w:val="clear" w:color="auto" w:fill="auto"/>
            <w:hideMark/>
          </w:tcPr>
          <w:p w14:paraId="6AB7CFBE" w14:textId="7B230F0C" w:rsidR="003E001E" w:rsidRPr="00B313B1" w:rsidRDefault="00571B7C" w:rsidP="00050B52">
            <w:pPr>
              <w:keepNext/>
              <w:ind w:left="0" w:firstLine="0"/>
              <w:rPr>
                <w:rFonts w:eastAsia="Times New Roman" w:cs="Calibri"/>
                <w:color w:val="000000"/>
                <w:lang w:val="fr-FR" w:eastAsia="en-GB"/>
              </w:rPr>
            </w:pPr>
            <w:r w:rsidRPr="00571B7C">
              <w:rPr>
                <w:rFonts w:eastAsia="Times New Roman" w:cs="Calibri"/>
                <w:color w:val="000000"/>
                <w:lang w:val="fr-FR" w:eastAsia="en-GB"/>
              </w:rPr>
              <w:t xml:space="preserve">Augmentation du stress hydrique et de la rareté de l'eau. Absence de plans opérationnels, d'arrangements transfrontaliers et de </w:t>
            </w:r>
            <w:r w:rsidRPr="00571B7C">
              <w:rPr>
                <w:rFonts w:eastAsia="Times New Roman" w:cs="Calibri"/>
                <w:color w:val="000000"/>
                <w:lang w:val="fr-FR" w:eastAsia="en-GB"/>
              </w:rPr>
              <w:lastRenderedPageBreak/>
              <w:t>mécanismes de gouvernance et de gestion de l'eau.</w:t>
            </w:r>
          </w:p>
        </w:tc>
        <w:tc>
          <w:tcPr>
            <w:tcW w:w="2942" w:type="dxa"/>
            <w:shd w:val="clear" w:color="auto" w:fill="auto"/>
            <w:hideMark/>
          </w:tcPr>
          <w:p w14:paraId="28A9A004" w14:textId="0B1F21FF" w:rsidR="00050B52" w:rsidRPr="00B313B1" w:rsidRDefault="004109A1" w:rsidP="00050B52">
            <w:pPr>
              <w:keepNext/>
              <w:ind w:left="0" w:firstLine="0"/>
              <w:rPr>
                <w:rFonts w:eastAsia="Times New Roman" w:cs="Calibri"/>
                <w:color w:val="000000"/>
                <w:lang w:val="fr-FR" w:eastAsia="en-GB"/>
              </w:rPr>
            </w:pPr>
            <w:r>
              <w:rPr>
                <w:rFonts w:eastAsia="Times New Roman" w:cs="Calibri"/>
                <w:color w:val="000000"/>
                <w:lang w:val="fr-FR" w:eastAsia="en-GB"/>
              </w:rPr>
              <w:lastRenderedPageBreak/>
              <w:t xml:space="preserve">Le </w:t>
            </w:r>
            <w:r w:rsidRPr="004109A1">
              <w:rPr>
                <w:rFonts w:eastAsia="Times New Roman" w:cs="Calibri"/>
                <w:color w:val="000000"/>
                <w:lang w:val="fr-FR" w:eastAsia="en-GB"/>
              </w:rPr>
              <w:t xml:space="preserve">déficit </w:t>
            </w:r>
            <w:r>
              <w:rPr>
                <w:rFonts w:eastAsia="Times New Roman" w:cs="Calibri"/>
                <w:color w:val="000000"/>
                <w:lang w:val="fr-FR" w:eastAsia="en-GB"/>
              </w:rPr>
              <w:t>hydrique dans le monde atteindra 40%</w:t>
            </w:r>
            <w:r w:rsidRPr="004109A1">
              <w:rPr>
                <w:rFonts w:eastAsia="Times New Roman" w:cs="Calibri"/>
                <w:color w:val="000000"/>
                <w:lang w:val="fr-FR" w:eastAsia="en-GB"/>
              </w:rPr>
              <w:t xml:space="preserve"> d'ici </w:t>
            </w:r>
            <w:r>
              <w:rPr>
                <w:rFonts w:eastAsia="Times New Roman" w:cs="Calibri"/>
                <w:color w:val="000000"/>
                <w:lang w:val="fr-FR" w:eastAsia="en-GB"/>
              </w:rPr>
              <w:t xml:space="preserve">à </w:t>
            </w:r>
            <w:r w:rsidRPr="004109A1">
              <w:rPr>
                <w:rFonts w:eastAsia="Times New Roman" w:cs="Calibri"/>
                <w:color w:val="000000"/>
                <w:lang w:val="fr-FR" w:eastAsia="en-GB"/>
              </w:rPr>
              <w:t>2030 s</w:t>
            </w:r>
            <w:r>
              <w:rPr>
                <w:rFonts w:eastAsia="Times New Roman" w:cs="Calibri"/>
                <w:color w:val="000000"/>
                <w:lang w:val="fr-FR" w:eastAsia="en-GB"/>
              </w:rPr>
              <w:t xml:space="preserve">i l’on </w:t>
            </w:r>
            <w:r w:rsidRPr="004109A1">
              <w:rPr>
                <w:rFonts w:eastAsia="Times New Roman" w:cs="Calibri"/>
                <w:color w:val="000000"/>
                <w:lang w:val="fr-FR" w:eastAsia="en-GB"/>
              </w:rPr>
              <w:t>maintien</w:t>
            </w:r>
            <w:r>
              <w:rPr>
                <w:rFonts w:eastAsia="Times New Roman" w:cs="Calibri"/>
                <w:color w:val="000000"/>
                <w:lang w:val="fr-FR" w:eastAsia="en-GB"/>
              </w:rPr>
              <w:t>t</w:t>
            </w:r>
            <w:r w:rsidRPr="004109A1">
              <w:rPr>
                <w:rFonts w:eastAsia="Times New Roman" w:cs="Calibri"/>
                <w:color w:val="000000"/>
                <w:lang w:val="fr-FR" w:eastAsia="en-GB"/>
              </w:rPr>
              <w:t xml:space="preserve"> </w:t>
            </w:r>
            <w:r>
              <w:rPr>
                <w:rFonts w:eastAsia="Times New Roman" w:cs="Calibri"/>
                <w:color w:val="000000"/>
                <w:lang w:val="fr-FR" w:eastAsia="en-GB"/>
              </w:rPr>
              <w:t>le</w:t>
            </w:r>
            <w:r w:rsidRPr="004109A1">
              <w:rPr>
                <w:rFonts w:eastAsia="Times New Roman" w:cs="Calibri"/>
                <w:color w:val="000000"/>
                <w:lang w:val="fr-FR" w:eastAsia="en-GB"/>
              </w:rPr>
              <w:t xml:space="preserve"> </w:t>
            </w:r>
            <w:r w:rsidRPr="006D2AEB">
              <w:rPr>
                <w:rFonts w:eastAsia="Times New Roman" w:cs="Calibri"/>
                <w:i/>
                <w:color w:val="000000"/>
                <w:lang w:val="fr-FR" w:eastAsia="en-GB"/>
              </w:rPr>
              <w:t>statu quo</w:t>
            </w:r>
            <w:r w:rsidRPr="004109A1">
              <w:rPr>
                <w:rFonts w:eastAsia="Times New Roman" w:cs="Calibri"/>
                <w:color w:val="000000"/>
                <w:lang w:val="fr-FR" w:eastAsia="en-GB"/>
              </w:rPr>
              <w:t xml:space="preserve">. Une meilleure gestion des ressources en eau </w:t>
            </w:r>
            <w:r>
              <w:rPr>
                <w:rFonts w:eastAsia="Times New Roman" w:cs="Calibri"/>
                <w:color w:val="000000"/>
                <w:lang w:val="fr-FR" w:eastAsia="en-GB"/>
              </w:rPr>
              <w:t>s’impose</w:t>
            </w:r>
            <w:r w:rsidR="00C96787" w:rsidRPr="00B313B1">
              <w:rPr>
                <w:rFonts w:eastAsia="Times New Roman" w:cs="Calibri"/>
                <w:color w:val="000000"/>
                <w:lang w:val="fr-FR" w:eastAsia="en-GB"/>
              </w:rPr>
              <w:t>.</w:t>
            </w:r>
            <w:r w:rsidR="00D81EB0" w:rsidRPr="00B313B1">
              <w:rPr>
                <w:rFonts w:eastAsia="Times New Roman" w:cs="Calibri"/>
                <w:color w:val="000000"/>
                <w:lang w:val="fr-FR" w:eastAsia="en-GB"/>
              </w:rPr>
              <w:t xml:space="preserve"> </w:t>
            </w:r>
          </w:p>
        </w:tc>
      </w:tr>
      <w:tr w:rsidR="00D81EB0" w:rsidRPr="00050B52" w14:paraId="2B5269E7" w14:textId="77777777" w:rsidTr="005A402A">
        <w:trPr>
          <w:cantSplit/>
        </w:trPr>
        <w:tc>
          <w:tcPr>
            <w:tcW w:w="2263" w:type="dxa"/>
            <w:vMerge/>
            <w:hideMark/>
          </w:tcPr>
          <w:p w14:paraId="71A42C3B" w14:textId="77777777" w:rsidR="003E001E" w:rsidRPr="00B313B1" w:rsidRDefault="003E001E" w:rsidP="003E001E">
            <w:pPr>
              <w:ind w:left="0" w:firstLine="0"/>
              <w:rPr>
                <w:rFonts w:eastAsia="Times New Roman" w:cs="Calibri"/>
                <w:b/>
                <w:bCs/>
                <w:color w:val="000000"/>
                <w:lang w:val="fr-FR" w:eastAsia="en-GB"/>
              </w:rPr>
            </w:pPr>
          </w:p>
        </w:tc>
        <w:tc>
          <w:tcPr>
            <w:tcW w:w="2942" w:type="dxa"/>
            <w:vMerge/>
            <w:hideMark/>
          </w:tcPr>
          <w:p w14:paraId="4241D7AF" w14:textId="77777777" w:rsidR="003E001E" w:rsidRPr="00B313B1" w:rsidRDefault="003E001E" w:rsidP="003E001E">
            <w:pPr>
              <w:ind w:left="0" w:firstLine="0"/>
              <w:rPr>
                <w:rFonts w:eastAsia="Times New Roman" w:cs="Calibri"/>
                <w:color w:val="000000"/>
                <w:lang w:val="fr-FR" w:eastAsia="en-GB"/>
              </w:rPr>
            </w:pPr>
          </w:p>
        </w:tc>
        <w:tc>
          <w:tcPr>
            <w:tcW w:w="2942" w:type="dxa"/>
            <w:vMerge/>
            <w:hideMark/>
          </w:tcPr>
          <w:p w14:paraId="72FC1EFA" w14:textId="77777777" w:rsidR="003E001E" w:rsidRPr="00B313B1" w:rsidRDefault="003E001E" w:rsidP="003E001E">
            <w:pPr>
              <w:ind w:left="0" w:firstLine="0"/>
              <w:rPr>
                <w:rFonts w:eastAsia="Times New Roman" w:cs="Calibri"/>
                <w:color w:val="000000"/>
                <w:lang w:val="fr-FR" w:eastAsia="en-GB"/>
              </w:rPr>
            </w:pPr>
          </w:p>
        </w:tc>
        <w:tc>
          <w:tcPr>
            <w:tcW w:w="2942" w:type="dxa"/>
            <w:vMerge/>
            <w:hideMark/>
          </w:tcPr>
          <w:p w14:paraId="4D3D44D2" w14:textId="77777777" w:rsidR="003E001E" w:rsidRPr="00B313B1" w:rsidRDefault="003E001E" w:rsidP="003E001E">
            <w:pPr>
              <w:ind w:left="0" w:firstLine="0"/>
              <w:rPr>
                <w:rFonts w:eastAsia="Times New Roman" w:cs="Calibri"/>
                <w:color w:val="000000"/>
                <w:lang w:val="fr-FR" w:eastAsia="en-GB"/>
              </w:rPr>
            </w:pPr>
          </w:p>
        </w:tc>
        <w:tc>
          <w:tcPr>
            <w:tcW w:w="2942" w:type="dxa"/>
            <w:shd w:val="clear" w:color="auto" w:fill="auto"/>
            <w:hideMark/>
          </w:tcPr>
          <w:p w14:paraId="42860AA0" w14:textId="2D0A13AA" w:rsidR="003E001E" w:rsidRPr="00B313B1" w:rsidRDefault="004109A1" w:rsidP="003E001E">
            <w:pPr>
              <w:ind w:left="0" w:firstLine="0"/>
              <w:rPr>
                <w:rFonts w:eastAsia="Times New Roman" w:cs="Calibri"/>
                <w:color w:val="000000"/>
                <w:lang w:val="fr-FR" w:eastAsia="en-GB"/>
              </w:rPr>
            </w:pPr>
            <w:r>
              <w:rPr>
                <w:rFonts w:eastAsia="Times New Roman" w:cs="Calibri"/>
                <w:color w:val="000000"/>
                <w:lang w:val="fr-FR" w:eastAsia="en-GB"/>
              </w:rPr>
              <w:t xml:space="preserve">Une </w:t>
            </w:r>
            <w:r w:rsidRPr="004109A1">
              <w:rPr>
                <w:rFonts w:eastAsia="Times New Roman" w:cs="Calibri"/>
                <w:color w:val="000000"/>
                <w:lang w:val="fr-FR" w:eastAsia="en-GB"/>
              </w:rPr>
              <w:t>utilis</w:t>
            </w:r>
            <w:r>
              <w:rPr>
                <w:rFonts w:eastAsia="Times New Roman" w:cs="Calibri"/>
                <w:color w:val="000000"/>
                <w:lang w:val="fr-FR" w:eastAsia="en-GB"/>
              </w:rPr>
              <w:t xml:space="preserve">ation </w:t>
            </w:r>
            <w:r w:rsidR="00905260">
              <w:rPr>
                <w:rFonts w:eastAsia="Times New Roman" w:cs="Calibri"/>
                <w:color w:val="000000"/>
                <w:lang w:val="fr-FR" w:eastAsia="en-GB"/>
              </w:rPr>
              <w:t xml:space="preserve">plus </w:t>
            </w:r>
            <w:r w:rsidRPr="004109A1">
              <w:rPr>
                <w:rFonts w:eastAsia="Times New Roman" w:cs="Calibri"/>
                <w:color w:val="000000"/>
                <w:lang w:val="fr-FR" w:eastAsia="en-GB"/>
              </w:rPr>
              <w:t xml:space="preserve">efficace </w:t>
            </w:r>
            <w:r w:rsidR="00905260">
              <w:rPr>
                <w:rFonts w:eastAsia="Times New Roman" w:cs="Calibri"/>
                <w:color w:val="000000"/>
                <w:lang w:val="fr-FR" w:eastAsia="en-GB"/>
              </w:rPr>
              <w:t>d</w:t>
            </w:r>
            <w:r w:rsidRPr="004109A1">
              <w:rPr>
                <w:rFonts w:eastAsia="Times New Roman" w:cs="Calibri"/>
                <w:color w:val="000000"/>
                <w:lang w:val="fr-FR" w:eastAsia="en-GB"/>
              </w:rPr>
              <w:t>es nouvelles technologies</w:t>
            </w:r>
            <w:r w:rsidR="00905260">
              <w:rPr>
                <w:rFonts w:eastAsia="Times New Roman" w:cs="Calibri"/>
                <w:color w:val="000000"/>
                <w:lang w:val="fr-FR" w:eastAsia="en-GB"/>
              </w:rPr>
              <w:t xml:space="preserve"> s’impose</w:t>
            </w:r>
            <w:r w:rsidRPr="004109A1">
              <w:rPr>
                <w:rFonts w:eastAsia="Times New Roman" w:cs="Calibri"/>
                <w:color w:val="000000"/>
                <w:lang w:val="fr-FR" w:eastAsia="en-GB"/>
              </w:rPr>
              <w:t xml:space="preserve"> pour améliorer l</w:t>
            </w:r>
            <w:r w:rsidR="00905260">
              <w:rPr>
                <w:rFonts w:eastAsia="Times New Roman" w:cs="Calibri"/>
                <w:color w:val="000000"/>
                <w:lang w:val="fr-FR" w:eastAsia="en-GB"/>
              </w:rPr>
              <w:t>es</w:t>
            </w:r>
            <w:r w:rsidRPr="004109A1">
              <w:rPr>
                <w:rFonts w:eastAsia="Times New Roman" w:cs="Calibri"/>
                <w:color w:val="000000"/>
                <w:lang w:val="fr-FR" w:eastAsia="en-GB"/>
              </w:rPr>
              <w:t xml:space="preserve"> prise</w:t>
            </w:r>
            <w:r w:rsidR="00905260">
              <w:rPr>
                <w:rFonts w:eastAsia="Times New Roman" w:cs="Calibri"/>
                <w:color w:val="000000"/>
                <w:lang w:val="fr-FR" w:eastAsia="en-GB"/>
              </w:rPr>
              <w:t>s</w:t>
            </w:r>
            <w:r w:rsidRPr="004109A1">
              <w:rPr>
                <w:rFonts w:eastAsia="Times New Roman" w:cs="Calibri"/>
                <w:color w:val="000000"/>
                <w:lang w:val="fr-FR" w:eastAsia="en-GB"/>
              </w:rPr>
              <w:t xml:space="preserve"> de décisions liée</w:t>
            </w:r>
            <w:r w:rsidR="00905260">
              <w:rPr>
                <w:rFonts w:eastAsia="Times New Roman" w:cs="Calibri"/>
                <w:color w:val="000000"/>
                <w:lang w:val="fr-FR" w:eastAsia="en-GB"/>
              </w:rPr>
              <w:t>s</w:t>
            </w:r>
            <w:r w:rsidRPr="004109A1">
              <w:rPr>
                <w:rFonts w:eastAsia="Times New Roman" w:cs="Calibri"/>
                <w:color w:val="000000"/>
                <w:lang w:val="fr-FR" w:eastAsia="en-GB"/>
              </w:rPr>
              <w:t xml:space="preserve"> à la gestion de l'eau</w:t>
            </w:r>
            <w:r w:rsidR="00905260">
              <w:rPr>
                <w:rFonts w:eastAsia="Times New Roman" w:cs="Calibri"/>
                <w:color w:val="000000"/>
                <w:lang w:val="fr-FR" w:eastAsia="en-GB"/>
              </w:rPr>
              <w:t>,</w:t>
            </w:r>
            <w:r w:rsidRPr="004109A1">
              <w:rPr>
                <w:rFonts w:eastAsia="Times New Roman" w:cs="Calibri"/>
                <w:color w:val="000000"/>
                <w:lang w:val="fr-FR" w:eastAsia="en-GB"/>
              </w:rPr>
              <w:t xml:space="preserve"> à l'atténuation </w:t>
            </w:r>
            <w:r w:rsidR="00905260">
              <w:rPr>
                <w:rFonts w:eastAsia="Times New Roman" w:cs="Calibri"/>
                <w:color w:val="000000"/>
                <w:lang w:val="fr-FR" w:eastAsia="en-GB"/>
              </w:rPr>
              <w:t xml:space="preserve">des effets du </w:t>
            </w:r>
            <w:r w:rsidRPr="004109A1">
              <w:rPr>
                <w:rFonts w:eastAsia="Times New Roman" w:cs="Calibri"/>
                <w:color w:val="000000"/>
                <w:lang w:val="fr-FR" w:eastAsia="en-GB"/>
              </w:rPr>
              <w:t>changement climatique</w:t>
            </w:r>
            <w:r w:rsidR="00905260">
              <w:rPr>
                <w:rFonts w:eastAsia="Times New Roman" w:cs="Calibri"/>
                <w:color w:val="000000"/>
                <w:lang w:val="fr-FR" w:eastAsia="en-GB"/>
              </w:rPr>
              <w:t xml:space="preserve"> </w:t>
            </w:r>
            <w:r w:rsidR="001E1682">
              <w:rPr>
                <w:rFonts w:eastAsia="Times New Roman" w:cs="Calibri"/>
                <w:color w:val="000000"/>
                <w:lang w:val="fr-FR" w:eastAsia="en-GB"/>
              </w:rPr>
              <w:t>et à l’adaptation à ce changement.</w:t>
            </w:r>
          </w:p>
        </w:tc>
      </w:tr>
      <w:tr w:rsidR="00D81EB0" w:rsidRPr="00050B52" w14:paraId="1BFF6480" w14:textId="77777777" w:rsidTr="005A402A">
        <w:trPr>
          <w:cantSplit/>
        </w:trPr>
        <w:tc>
          <w:tcPr>
            <w:tcW w:w="2263" w:type="dxa"/>
            <w:shd w:val="clear" w:color="000000" w:fill="F2F2F2"/>
            <w:hideMark/>
          </w:tcPr>
          <w:p w14:paraId="13B58B3A" w14:textId="79CCC495" w:rsidR="003E001E" w:rsidRPr="00B313B1" w:rsidRDefault="001E1682" w:rsidP="003E001E">
            <w:pPr>
              <w:ind w:left="0" w:firstLine="0"/>
              <w:rPr>
                <w:rFonts w:eastAsia="Times New Roman" w:cs="Calibri"/>
                <w:b/>
                <w:bCs/>
                <w:color w:val="000000"/>
                <w:lang w:val="fr-FR" w:eastAsia="en-GB"/>
              </w:rPr>
            </w:pPr>
            <w:r w:rsidRPr="001E1682">
              <w:rPr>
                <w:rFonts w:eastAsia="Times New Roman" w:cs="Calibri"/>
                <w:b/>
                <w:bCs/>
                <w:color w:val="000000"/>
                <w:lang w:val="fr-FR" w:eastAsia="en-GB"/>
              </w:rPr>
              <w:t>La participation diversifiée et inclusive à la planification et à la gestion des zones humides est limitée</w:t>
            </w:r>
          </w:p>
        </w:tc>
        <w:tc>
          <w:tcPr>
            <w:tcW w:w="2942" w:type="dxa"/>
            <w:shd w:val="clear" w:color="000000" w:fill="F2F2F2"/>
            <w:hideMark/>
          </w:tcPr>
          <w:p w14:paraId="36AAEE69" w14:textId="7ADA35B9" w:rsidR="003E001E" w:rsidRPr="00B313B1" w:rsidRDefault="000706B0" w:rsidP="003E001E">
            <w:pPr>
              <w:ind w:left="0" w:firstLine="0"/>
              <w:rPr>
                <w:rFonts w:eastAsia="Times New Roman" w:cs="Calibri"/>
                <w:lang w:val="fr-FR" w:eastAsia="en-GB"/>
              </w:rPr>
            </w:pPr>
            <w:r w:rsidRPr="000706B0">
              <w:rPr>
                <w:rFonts w:eastAsia="Times New Roman" w:cs="Calibri"/>
                <w:lang w:val="fr-FR" w:eastAsia="en-GB"/>
              </w:rPr>
              <w:t xml:space="preserve">L'application de lignes directrices </w:t>
            </w:r>
            <w:r>
              <w:rPr>
                <w:rFonts w:eastAsia="Times New Roman" w:cs="Calibri"/>
                <w:lang w:val="fr-FR" w:eastAsia="en-GB"/>
              </w:rPr>
              <w:t>visant à</w:t>
            </w:r>
            <w:r w:rsidRPr="000706B0">
              <w:rPr>
                <w:rFonts w:eastAsia="Times New Roman" w:cs="Calibri"/>
                <w:lang w:val="fr-FR" w:eastAsia="en-GB"/>
              </w:rPr>
              <w:t xml:space="preserve"> renforcer la participation des communautés locales et des populations autochtones à la gestion des zones humides semble limitée</w:t>
            </w:r>
            <w:r w:rsidR="005A402A" w:rsidRPr="00B313B1">
              <w:rPr>
                <w:rFonts w:eastAsia="Times New Roman" w:cs="Calibri"/>
                <w:lang w:val="fr-FR" w:eastAsia="en-GB"/>
              </w:rPr>
              <w:t>.</w:t>
            </w:r>
          </w:p>
        </w:tc>
        <w:tc>
          <w:tcPr>
            <w:tcW w:w="2942" w:type="dxa"/>
            <w:shd w:val="clear" w:color="000000" w:fill="F2F2F2"/>
            <w:hideMark/>
          </w:tcPr>
          <w:p w14:paraId="568910C7" w14:textId="35737777" w:rsidR="003E001E" w:rsidRPr="00B313B1" w:rsidRDefault="001B56BC" w:rsidP="003E001E">
            <w:pPr>
              <w:ind w:left="0" w:firstLine="0"/>
              <w:rPr>
                <w:rFonts w:eastAsia="Times New Roman" w:cs="Calibri"/>
                <w:color w:val="000000"/>
                <w:lang w:val="fr-FR" w:eastAsia="en-GB"/>
              </w:rPr>
            </w:pPr>
            <w:r>
              <w:rPr>
                <w:rFonts w:eastAsia="Times New Roman" w:cs="Calibri"/>
                <w:color w:val="000000"/>
                <w:lang w:val="fr-FR" w:eastAsia="en-GB"/>
              </w:rPr>
              <w:t xml:space="preserve">Il importe que la </w:t>
            </w:r>
            <w:r w:rsidRPr="001B56BC">
              <w:rPr>
                <w:rFonts w:eastAsia="Times New Roman" w:cs="Calibri"/>
                <w:color w:val="000000"/>
                <w:lang w:val="fr-FR" w:eastAsia="en-GB"/>
              </w:rPr>
              <w:t xml:space="preserve">participation des parties prenantes à la gestion des zones humides et </w:t>
            </w:r>
            <w:r>
              <w:rPr>
                <w:rFonts w:eastAsia="Times New Roman" w:cs="Calibri"/>
                <w:color w:val="000000"/>
                <w:lang w:val="fr-FR" w:eastAsia="en-GB"/>
              </w:rPr>
              <w:t>aux</w:t>
            </w:r>
            <w:r w:rsidRPr="001B56BC">
              <w:rPr>
                <w:rFonts w:eastAsia="Times New Roman" w:cs="Calibri"/>
                <w:color w:val="000000"/>
                <w:lang w:val="fr-FR" w:eastAsia="en-GB"/>
              </w:rPr>
              <w:t xml:space="preserve"> prise</w:t>
            </w:r>
            <w:r>
              <w:rPr>
                <w:rFonts w:eastAsia="Times New Roman" w:cs="Calibri"/>
                <w:color w:val="000000"/>
                <w:lang w:val="fr-FR" w:eastAsia="en-GB"/>
              </w:rPr>
              <w:t>s</w:t>
            </w:r>
            <w:r w:rsidRPr="001B56BC">
              <w:rPr>
                <w:rFonts w:eastAsia="Times New Roman" w:cs="Calibri"/>
                <w:color w:val="000000"/>
                <w:lang w:val="fr-FR" w:eastAsia="en-GB"/>
              </w:rPr>
              <w:t xml:space="preserve"> de décision</w:t>
            </w:r>
            <w:r>
              <w:rPr>
                <w:rFonts w:eastAsia="Times New Roman" w:cs="Calibri"/>
                <w:color w:val="000000"/>
                <w:lang w:val="fr-FR" w:eastAsia="en-GB"/>
              </w:rPr>
              <w:t>s</w:t>
            </w:r>
            <w:r w:rsidRPr="001B56BC">
              <w:rPr>
                <w:rFonts w:eastAsia="Times New Roman" w:cs="Calibri"/>
                <w:color w:val="000000"/>
                <w:lang w:val="fr-FR" w:eastAsia="en-GB"/>
              </w:rPr>
              <w:t xml:space="preserve"> </w:t>
            </w:r>
            <w:r>
              <w:rPr>
                <w:rFonts w:eastAsia="Times New Roman" w:cs="Calibri"/>
                <w:color w:val="000000"/>
                <w:lang w:val="fr-FR" w:eastAsia="en-GB"/>
              </w:rPr>
              <w:t xml:space="preserve">soit </w:t>
            </w:r>
            <w:r w:rsidRPr="001B56BC">
              <w:rPr>
                <w:rFonts w:eastAsia="Times New Roman" w:cs="Calibri"/>
                <w:color w:val="000000"/>
                <w:lang w:val="fr-FR" w:eastAsia="en-GB"/>
              </w:rPr>
              <w:t>plus diversifiée et plus inclusive</w:t>
            </w:r>
            <w:r w:rsidR="005A402A" w:rsidRPr="00B313B1">
              <w:rPr>
                <w:rFonts w:eastAsia="Times New Roman" w:cs="Calibri"/>
                <w:color w:val="000000"/>
                <w:lang w:val="fr-FR" w:eastAsia="en-GB"/>
              </w:rPr>
              <w:t>.</w:t>
            </w:r>
          </w:p>
        </w:tc>
        <w:tc>
          <w:tcPr>
            <w:tcW w:w="2942" w:type="dxa"/>
            <w:shd w:val="clear" w:color="000000" w:fill="F2F2F2"/>
            <w:hideMark/>
          </w:tcPr>
          <w:p w14:paraId="63558BF1" w14:textId="77777777" w:rsidR="003E001E" w:rsidRPr="00B313B1" w:rsidRDefault="003E001E" w:rsidP="003E001E">
            <w:pPr>
              <w:ind w:left="0" w:firstLine="0"/>
              <w:rPr>
                <w:rFonts w:eastAsia="Times New Roman" w:cs="Calibri"/>
                <w:color w:val="000000"/>
                <w:lang w:val="fr-FR" w:eastAsia="en-GB"/>
              </w:rPr>
            </w:pPr>
            <w:r w:rsidRPr="00B313B1">
              <w:rPr>
                <w:rFonts w:eastAsia="Times New Roman" w:cs="Calibri"/>
                <w:color w:val="000000"/>
                <w:lang w:val="fr-FR" w:eastAsia="en-GB"/>
              </w:rPr>
              <w:t> </w:t>
            </w:r>
          </w:p>
        </w:tc>
        <w:tc>
          <w:tcPr>
            <w:tcW w:w="2942" w:type="dxa"/>
            <w:shd w:val="clear" w:color="000000" w:fill="F2F2F2"/>
            <w:hideMark/>
          </w:tcPr>
          <w:p w14:paraId="63E67ABC" w14:textId="77777777" w:rsidR="003E001E" w:rsidRPr="00B313B1" w:rsidRDefault="003E001E" w:rsidP="003E001E">
            <w:pPr>
              <w:ind w:left="0" w:firstLine="0"/>
              <w:rPr>
                <w:rFonts w:eastAsia="Times New Roman" w:cs="Calibri"/>
                <w:color w:val="000000"/>
                <w:lang w:val="fr-FR" w:eastAsia="en-GB"/>
              </w:rPr>
            </w:pPr>
            <w:r w:rsidRPr="00B313B1">
              <w:rPr>
                <w:rFonts w:eastAsia="Times New Roman" w:cs="Calibri"/>
                <w:color w:val="000000"/>
                <w:lang w:val="fr-FR" w:eastAsia="en-GB"/>
              </w:rPr>
              <w:t> </w:t>
            </w:r>
          </w:p>
        </w:tc>
      </w:tr>
      <w:tr w:rsidR="00D81EB0" w:rsidRPr="00050B52" w14:paraId="61EDED26" w14:textId="77777777" w:rsidTr="005A402A">
        <w:trPr>
          <w:cantSplit/>
        </w:trPr>
        <w:tc>
          <w:tcPr>
            <w:tcW w:w="2263" w:type="dxa"/>
            <w:shd w:val="clear" w:color="auto" w:fill="auto"/>
            <w:hideMark/>
          </w:tcPr>
          <w:p w14:paraId="2FBF530D" w14:textId="3287412D" w:rsidR="003E001E" w:rsidRPr="00B313B1" w:rsidRDefault="001E1682" w:rsidP="003E001E">
            <w:pPr>
              <w:ind w:left="0" w:firstLine="0"/>
              <w:rPr>
                <w:rFonts w:eastAsia="Times New Roman" w:cs="Calibri"/>
                <w:b/>
                <w:bCs/>
                <w:color w:val="000000"/>
                <w:lang w:val="fr-FR" w:eastAsia="en-GB"/>
              </w:rPr>
            </w:pPr>
            <w:r>
              <w:rPr>
                <w:rFonts w:eastAsia="Times New Roman" w:cs="Calibri"/>
                <w:b/>
                <w:bCs/>
                <w:color w:val="000000"/>
                <w:lang w:val="fr-FR" w:eastAsia="en-GB"/>
              </w:rPr>
              <w:t xml:space="preserve">Les </w:t>
            </w:r>
            <w:r w:rsidRPr="001E1682">
              <w:rPr>
                <w:rFonts w:eastAsia="Times New Roman" w:cs="Calibri"/>
                <w:b/>
                <w:bCs/>
                <w:color w:val="000000"/>
                <w:lang w:val="fr-FR" w:eastAsia="en-GB"/>
              </w:rPr>
              <w:t>Information</w:t>
            </w:r>
            <w:r>
              <w:rPr>
                <w:rFonts w:eastAsia="Times New Roman" w:cs="Calibri"/>
                <w:b/>
                <w:bCs/>
                <w:color w:val="000000"/>
                <w:lang w:val="fr-FR" w:eastAsia="en-GB"/>
              </w:rPr>
              <w:t>s</w:t>
            </w:r>
            <w:r w:rsidRPr="001E1682">
              <w:rPr>
                <w:rFonts w:eastAsia="Times New Roman" w:cs="Calibri"/>
                <w:b/>
                <w:bCs/>
                <w:color w:val="000000"/>
                <w:lang w:val="fr-FR" w:eastAsia="en-GB"/>
              </w:rPr>
              <w:t xml:space="preserve"> sur les inventaires et l'étendue des zones humides manqu</w:t>
            </w:r>
            <w:r>
              <w:rPr>
                <w:rFonts w:eastAsia="Times New Roman" w:cs="Calibri"/>
                <w:b/>
                <w:bCs/>
                <w:color w:val="000000"/>
                <w:lang w:val="fr-FR" w:eastAsia="en-GB"/>
              </w:rPr>
              <w:t>e</w:t>
            </w:r>
            <w:r w:rsidRPr="001E1682">
              <w:rPr>
                <w:rFonts w:eastAsia="Times New Roman" w:cs="Calibri"/>
                <w:b/>
                <w:bCs/>
                <w:color w:val="000000"/>
                <w:lang w:val="fr-FR" w:eastAsia="en-GB"/>
              </w:rPr>
              <w:t>nt</w:t>
            </w:r>
          </w:p>
        </w:tc>
        <w:tc>
          <w:tcPr>
            <w:tcW w:w="2942" w:type="dxa"/>
            <w:shd w:val="clear" w:color="auto" w:fill="auto"/>
            <w:hideMark/>
          </w:tcPr>
          <w:p w14:paraId="59E1D750" w14:textId="7A6344C9" w:rsidR="003E001E" w:rsidRPr="00B313B1" w:rsidRDefault="000706B0" w:rsidP="00CA067C">
            <w:pPr>
              <w:ind w:left="0" w:firstLine="0"/>
              <w:rPr>
                <w:rFonts w:eastAsia="Times New Roman" w:cs="Calibri"/>
                <w:lang w:val="fr-FR" w:eastAsia="en-GB"/>
              </w:rPr>
            </w:pPr>
            <w:r w:rsidRPr="000706B0">
              <w:rPr>
                <w:rFonts w:eastAsia="Times New Roman" w:cs="Calibri"/>
                <w:lang w:val="fr-FR" w:eastAsia="en-GB"/>
              </w:rPr>
              <w:t xml:space="preserve">Les inventaires des zones humides sont actuellement limités. Des inventaires plus complets sont essentiels pour suivre les progrès accomplis par rapport aux </w:t>
            </w:r>
            <w:r>
              <w:rPr>
                <w:rFonts w:eastAsia="Times New Roman" w:cs="Calibri"/>
                <w:lang w:val="fr-FR" w:eastAsia="en-GB"/>
              </w:rPr>
              <w:t>ODD</w:t>
            </w:r>
            <w:r w:rsidR="005A402A" w:rsidRPr="00B313B1">
              <w:rPr>
                <w:rFonts w:eastAsia="Times New Roman" w:cs="Calibri"/>
                <w:lang w:val="fr-FR" w:eastAsia="en-GB"/>
              </w:rPr>
              <w:t>.</w:t>
            </w:r>
          </w:p>
        </w:tc>
        <w:tc>
          <w:tcPr>
            <w:tcW w:w="2942" w:type="dxa"/>
            <w:shd w:val="clear" w:color="auto" w:fill="auto"/>
            <w:hideMark/>
          </w:tcPr>
          <w:p w14:paraId="480DFDBD" w14:textId="3E501D5A" w:rsidR="003E001E" w:rsidRPr="00B313B1" w:rsidRDefault="001B56BC" w:rsidP="003E001E">
            <w:pPr>
              <w:ind w:left="0" w:firstLine="0"/>
              <w:rPr>
                <w:rFonts w:eastAsia="Times New Roman" w:cs="Calibri"/>
                <w:color w:val="000000"/>
                <w:lang w:val="fr-FR" w:eastAsia="en-GB"/>
              </w:rPr>
            </w:pPr>
            <w:r w:rsidRPr="001B56BC">
              <w:rPr>
                <w:rFonts w:eastAsia="Times New Roman" w:cs="Calibri"/>
                <w:color w:val="000000"/>
                <w:lang w:val="fr-FR" w:eastAsia="en-GB"/>
              </w:rPr>
              <w:t xml:space="preserve">Manque d'informations fiables sur les inventaires des zones humides et </w:t>
            </w:r>
            <w:r>
              <w:rPr>
                <w:rFonts w:eastAsia="Times New Roman" w:cs="Calibri"/>
                <w:color w:val="000000"/>
                <w:lang w:val="fr-FR" w:eastAsia="en-GB"/>
              </w:rPr>
              <w:t>d</w:t>
            </w:r>
            <w:r w:rsidRPr="001B56BC">
              <w:rPr>
                <w:rFonts w:eastAsia="Times New Roman" w:cs="Calibri"/>
                <w:color w:val="000000"/>
                <w:lang w:val="fr-FR" w:eastAsia="en-GB"/>
              </w:rPr>
              <w:t>e suivi de l'étendue des zones humides</w:t>
            </w:r>
            <w:r w:rsidR="005A402A" w:rsidRPr="00B313B1">
              <w:rPr>
                <w:rFonts w:eastAsia="Times New Roman" w:cs="Calibri"/>
                <w:color w:val="000000"/>
                <w:lang w:val="fr-FR" w:eastAsia="en-GB"/>
              </w:rPr>
              <w:t>.</w:t>
            </w:r>
          </w:p>
        </w:tc>
        <w:tc>
          <w:tcPr>
            <w:tcW w:w="2942" w:type="dxa"/>
            <w:shd w:val="clear" w:color="auto" w:fill="auto"/>
            <w:hideMark/>
          </w:tcPr>
          <w:p w14:paraId="5BCC2828" w14:textId="77777777" w:rsidR="003E001E" w:rsidRPr="00B313B1" w:rsidRDefault="003E001E" w:rsidP="003E001E">
            <w:pPr>
              <w:ind w:left="0" w:firstLine="0"/>
              <w:rPr>
                <w:rFonts w:eastAsia="Times New Roman" w:cs="Calibri"/>
                <w:color w:val="000000"/>
                <w:lang w:val="fr-FR" w:eastAsia="en-GB"/>
              </w:rPr>
            </w:pPr>
            <w:r w:rsidRPr="00B313B1">
              <w:rPr>
                <w:rFonts w:eastAsia="Times New Roman" w:cs="Calibri"/>
                <w:color w:val="000000"/>
                <w:lang w:val="fr-FR" w:eastAsia="en-GB"/>
              </w:rPr>
              <w:t> </w:t>
            </w:r>
          </w:p>
        </w:tc>
        <w:tc>
          <w:tcPr>
            <w:tcW w:w="2942" w:type="dxa"/>
            <w:shd w:val="clear" w:color="auto" w:fill="auto"/>
            <w:hideMark/>
          </w:tcPr>
          <w:p w14:paraId="422D60F8" w14:textId="28DED641" w:rsidR="003E001E" w:rsidRPr="00B313B1" w:rsidRDefault="00BF0B6F" w:rsidP="00CF6B3E">
            <w:pPr>
              <w:ind w:left="0" w:firstLine="0"/>
              <w:rPr>
                <w:rFonts w:eastAsia="Times New Roman" w:cs="Calibri"/>
                <w:color w:val="000000"/>
                <w:lang w:val="fr-FR" w:eastAsia="en-GB"/>
              </w:rPr>
            </w:pPr>
            <w:r>
              <w:rPr>
                <w:rFonts w:eastAsia="Times New Roman" w:cs="Calibri"/>
                <w:color w:val="000000"/>
                <w:lang w:val="fr-FR" w:eastAsia="en-GB"/>
              </w:rPr>
              <w:t>Une utilisation efficace d</w:t>
            </w:r>
            <w:r w:rsidR="001B56BC" w:rsidRPr="001B56BC">
              <w:rPr>
                <w:rFonts w:eastAsia="Times New Roman" w:cs="Calibri"/>
                <w:color w:val="000000"/>
                <w:lang w:val="fr-FR" w:eastAsia="en-GB"/>
              </w:rPr>
              <w:t xml:space="preserve">es nouvelles technologies </w:t>
            </w:r>
            <w:r>
              <w:rPr>
                <w:rFonts w:eastAsia="Times New Roman" w:cs="Calibri"/>
                <w:color w:val="000000"/>
                <w:lang w:val="fr-FR" w:eastAsia="en-GB"/>
              </w:rPr>
              <w:t xml:space="preserve">est nécessaire </w:t>
            </w:r>
            <w:r w:rsidR="001B56BC" w:rsidRPr="001B56BC">
              <w:rPr>
                <w:rFonts w:eastAsia="Times New Roman" w:cs="Calibri"/>
                <w:color w:val="000000"/>
                <w:lang w:val="fr-FR" w:eastAsia="en-GB"/>
              </w:rPr>
              <w:t>pour détecter et quantifier les risques liés à l'eau</w:t>
            </w:r>
            <w:r w:rsidR="005A402A" w:rsidRPr="00B313B1">
              <w:rPr>
                <w:rFonts w:eastAsia="Times New Roman" w:cs="Calibri"/>
                <w:color w:val="000000"/>
                <w:lang w:val="fr-FR" w:eastAsia="en-GB"/>
              </w:rPr>
              <w:t>.</w:t>
            </w:r>
          </w:p>
        </w:tc>
      </w:tr>
      <w:tr w:rsidR="00D81EB0" w:rsidRPr="00050B52" w14:paraId="0763CD96" w14:textId="77777777" w:rsidTr="005A402A">
        <w:trPr>
          <w:cantSplit/>
        </w:trPr>
        <w:tc>
          <w:tcPr>
            <w:tcW w:w="2263" w:type="dxa"/>
            <w:shd w:val="clear" w:color="000000" w:fill="F2F2F2"/>
            <w:hideMark/>
          </w:tcPr>
          <w:p w14:paraId="7FAFA996" w14:textId="12FD1004" w:rsidR="003E001E" w:rsidRPr="00B313B1" w:rsidRDefault="001E1682" w:rsidP="003E001E">
            <w:pPr>
              <w:ind w:left="0" w:firstLine="0"/>
              <w:rPr>
                <w:rFonts w:eastAsia="Times New Roman" w:cs="Calibri"/>
                <w:b/>
                <w:bCs/>
                <w:color w:val="000000"/>
                <w:lang w:val="fr-FR" w:eastAsia="en-GB"/>
              </w:rPr>
            </w:pPr>
            <w:r w:rsidRPr="001E1682">
              <w:rPr>
                <w:rFonts w:eastAsia="Times New Roman" w:cs="Calibri"/>
                <w:b/>
                <w:bCs/>
                <w:color w:val="000000"/>
                <w:lang w:val="fr-FR" w:eastAsia="en-GB"/>
              </w:rPr>
              <w:t xml:space="preserve">Les pertes de </w:t>
            </w:r>
            <w:r>
              <w:rPr>
                <w:rFonts w:eastAsia="Times New Roman" w:cs="Calibri"/>
                <w:b/>
                <w:bCs/>
                <w:color w:val="000000"/>
                <w:lang w:val="fr-FR" w:eastAsia="en-GB"/>
              </w:rPr>
              <w:t xml:space="preserve">zones </w:t>
            </w:r>
            <w:r w:rsidRPr="001E1682">
              <w:rPr>
                <w:rFonts w:eastAsia="Times New Roman" w:cs="Calibri"/>
                <w:b/>
                <w:bCs/>
                <w:color w:val="000000"/>
                <w:lang w:val="fr-FR" w:eastAsia="en-GB"/>
              </w:rPr>
              <w:t>humides ne sont pas atténuées par la restauration</w:t>
            </w:r>
          </w:p>
        </w:tc>
        <w:tc>
          <w:tcPr>
            <w:tcW w:w="2942" w:type="dxa"/>
            <w:shd w:val="clear" w:color="000000" w:fill="F2F2F2"/>
            <w:hideMark/>
          </w:tcPr>
          <w:p w14:paraId="1109D715" w14:textId="491EC682" w:rsidR="003E001E" w:rsidRPr="00B313B1" w:rsidRDefault="000706B0" w:rsidP="003E001E">
            <w:pPr>
              <w:ind w:left="0" w:firstLine="0"/>
              <w:rPr>
                <w:rFonts w:eastAsia="Times New Roman" w:cs="Calibri"/>
                <w:color w:val="000000"/>
                <w:lang w:val="fr-FR" w:eastAsia="en-GB"/>
              </w:rPr>
            </w:pPr>
            <w:r w:rsidRPr="000706B0">
              <w:rPr>
                <w:rFonts w:eastAsia="Times New Roman" w:cs="Calibri"/>
                <w:color w:val="000000"/>
                <w:lang w:val="fr-FR" w:eastAsia="en-GB"/>
              </w:rPr>
              <w:t xml:space="preserve">Les progrès </w:t>
            </w:r>
            <w:r>
              <w:rPr>
                <w:rFonts w:eastAsia="Times New Roman" w:cs="Calibri"/>
                <w:color w:val="000000"/>
                <w:lang w:val="fr-FR" w:eastAsia="en-GB"/>
              </w:rPr>
              <w:t xml:space="preserve">en faveur de </w:t>
            </w:r>
            <w:r w:rsidRPr="000706B0">
              <w:rPr>
                <w:rFonts w:eastAsia="Times New Roman" w:cs="Calibri"/>
                <w:color w:val="000000"/>
                <w:lang w:val="fr-FR" w:eastAsia="en-GB"/>
              </w:rPr>
              <w:t xml:space="preserve">la restauration des </w:t>
            </w:r>
            <w:r>
              <w:rPr>
                <w:rFonts w:eastAsia="Times New Roman" w:cs="Calibri"/>
                <w:color w:val="000000"/>
                <w:lang w:val="fr-FR" w:eastAsia="en-GB"/>
              </w:rPr>
              <w:t>zones</w:t>
            </w:r>
            <w:r w:rsidRPr="000706B0">
              <w:rPr>
                <w:rFonts w:eastAsia="Times New Roman" w:cs="Calibri"/>
                <w:color w:val="000000"/>
                <w:lang w:val="fr-FR" w:eastAsia="en-GB"/>
              </w:rPr>
              <w:t xml:space="preserve"> humides </w:t>
            </w:r>
            <w:r>
              <w:rPr>
                <w:rFonts w:eastAsia="Times New Roman" w:cs="Calibri"/>
                <w:color w:val="000000"/>
                <w:lang w:val="fr-FR" w:eastAsia="en-GB"/>
              </w:rPr>
              <w:t>ralentissent.</w:t>
            </w:r>
          </w:p>
        </w:tc>
        <w:tc>
          <w:tcPr>
            <w:tcW w:w="2942" w:type="dxa"/>
            <w:shd w:val="clear" w:color="000000" w:fill="F2F2F2"/>
            <w:hideMark/>
          </w:tcPr>
          <w:p w14:paraId="418CF035" w14:textId="7F31FD9E" w:rsidR="003E001E" w:rsidRPr="00B313B1" w:rsidRDefault="001B56BC" w:rsidP="003E001E">
            <w:pPr>
              <w:ind w:left="0" w:firstLine="0"/>
              <w:rPr>
                <w:rFonts w:eastAsia="Times New Roman" w:cs="Calibri"/>
                <w:color w:val="000000"/>
                <w:lang w:val="fr-FR" w:eastAsia="en-GB"/>
              </w:rPr>
            </w:pPr>
            <w:r w:rsidRPr="001B56BC">
              <w:rPr>
                <w:rFonts w:eastAsia="Times New Roman" w:cs="Calibri"/>
                <w:color w:val="000000"/>
                <w:lang w:val="fr-FR" w:eastAsia="en-GB"/>
              </w:rPr>
              <w:t>Bien qu</w:t>
            </w:r>
            <w:r>
              <w:rPr>
                <w:rFonts w:eastAsia="Times New Roman" w:cs="Calibri"/>
                <w:color w:val="000000"/>
                <w:lang w:val="fr-FR" w:eastAsia="en-GB"/>
              </w:rPr>
              <w:t xml:space="preserve">e le nombre de zones humides créées par l’homme </w:t>
            </w:r>
            <w:r w:rsidRPr="001B56BC">
              <w:rPr>
                <w:rFonts w:eastAsia="Times New Roman" w:cs="Calibri"/>
                <w:color w:val="000000"/>
                <w:lang w:val="fr-FR" w:eastAsia="en-GB"/>
              </w:rPr>
              <w:t xml:space="preserve">ait </w:t>
            </w:r>
            <w:r>
              <w:rPr>
                <w:rFonts w:eastAsia="Times New Roman" w:cs="Calibri"/>
                <w:color w:val="000000"/>
                <w:lang w:val="fr-FR" w:eastAsia="en-GB"/>
              </w:rPr>
              <w:t xml:space="preserve">été </w:t>
            </w:r>
            <w:r w:rsidRPr="001B56BC">
              <w:rPr>
                <w:rFonts w:eastAsia="Times New Roman" w:cs="Calibri"/>
                <w:color w:val="000000"/>
                <w:lang w:val="fr-FR" w:eastAsia="en-GB"/>
              </w:rPr>
              <w:t>multipli</w:t>
            </w:r>
            <w:r>
              <w:rPr>
                <w:rFonts w:eastAsia="Times New Roman" w:cs="Calibri"/>
                <w:color w:val="000000"/>
                <w:lang w:val="fr-FR" w:eastAsia="en-GB"/>
              </w:rPr>
              <w:t xml:space="preserve">é </w:t>
            </w:r>
            <w:r w:rsidRPr="001B56BC">
              <w:rPr>
                <w:rFonts w:eastAsia="Times New Roman" w:cs="Calibri"/>
                <w:color w:val="000000"/>
                <w:lang w:val="fr-FR" w:eastAsia="en-GB"/>
              </w:rPr>
              <w:t>par deux depuis 1970, le</w:t>
            </w:r>
            <w:r>
              <w:rPr>
                <w:rFonts w:eastAsia="Times New Roman" w:cs="Calibri"/>
                <w:color w:val="000000"/>
                <w:lang w:val="fr-FR" w:eastAsia="en-GB"/>
              </w:rPr>
              <w:t>ur</w:t>
            </w:r>
            <w:r w:rsidRPr="001B56BC">
              <w:rPr>
                <w:rFonts w:eastAsia="Times New Roman" w:cs="Calibri"/>
                <w:color w:val="000000"/>
                <w:lang w:val="fr-FR" w:eastAsia="en-GB"/>
              </w:rPr>
              <w:t>s superficies sont petites par rapport aux zones humides naturelles</w:t>
            </w:r>
            <w:r w:rsidR="005A402A" w:rsidRPr="00B313B1">
              <w:rPr>
                <w:rFonts w:eastAsia="Times New Roman" w:cs="Calibri"/>
                <w:color w:val="000000"/>
                <w:lang w:val="fr-FR" w:eastAsia="en-GB"/>
              </w:rPr>
              <w:t>.</w:t>
            </w:r>
          </w:p>
        </w:tc>
        <w:tc>
          <w:tcPr>
            <w:tcW w:w="2942" w:type="dxa"/>
            <w:shd w:val="clear" w:color="000000" w:fill="F2F2F2"/>
            <w:hideMark/>
          </w:tcPr>
          <w:p w14:paraId="56E80834" w14:textId="77777777" w:rsidR="003E001E" w:rsidRPr="00B313B1" w:rsidRDefault="003E001E" w:rsidP="003E001E">
            <w:pPr>
              <w:ind w:left="0" w:firstLine="0"/>
              <w:rPr>
                <w:rFonts w:eastAsia="Times New Roman" w:cs="Calibri"/>
                <w:color w:val="000000"/>
                <w:lang w:val="fr-FR" w:eastAsia="en-GB"/>
              </w:rPr>
            </w:pPr>
            <w:r w:rsidRPr="00B313B1">
              <w:rPr>
                <w:rFonts w:eastAsia="Times New Roman" w:cs="Calibri"/>
                <w:color w:val="000000"/>
                <w:lang w:val="fr-FR" w:eastAsia="en-GB"/>
              </w:rPr>
              <w:t> </w:t>
            </w:r>
          </w:p>
        </w:tc>
        <w:tc>
          <w:tcPr>
            <w:tcW w:w="2942" w:type="dxa"/>
            <w:shd w:val="clear" w:color="000000" w:fill="F2F2F2"/>
            <w:hideMark/>
          </w:tcPr>
          <w:p w14:paraId="1E8FA2C3" w14:textId="77777777" w:rsidR="003E001E" w:rsidRPr="00B313B1" w:rsidRDefault="003E001E" w:rsidP="003E001E">
            <w:pPr>
              <w:ind w:left="0" w:firstLine="0"/>
              <w:rPr>
                <w:rFonts w:eastAsia="Times New Roman" w:cs="Calibri"/>
                <w:color w:val="000000"/>
                <w:lang w:val="fr-FR" w:eastAsia="en-GB"/>
              </w:rPr>
            </w:pPr>
            <w:r w:rsidRPr="00B313B1">
              <w:rPr>
                <w:rFonts w:eastAsia="Times New Roman" w:cs="Calibri"/>
                <w:color w:val="000000"/>
                <w:lang w:val="fr-FR" w:eastAsia="en-GB"/>
              </w:rPr>
              <w:t> </w:t>
            </w:r>
          </w:p>
        </w:tc>
      </w:tr>
      <w:tr w:rsidR="00D81EB0" w:rsidRPr="00050B52" w14:paraId="2CA50524" w14:textId="77777777" w:rsidTr="005A402A">
        <w:trPr>
          <w:cantSplit/>
        </w:trPr>
        <w:tc>
          <w:tcPr>
            <w:tcW w:w="2263" w:type="dxa"/>
            <w:shd w:val="clear" w:color="auto" w:fill="auto"/>
            <w:hideMark/>
          </w:tcPr>
          <w:p w14:paraId="1AD2B68E" w14:textId="33654E38" w:rsidR="003E001E" w:rsidRPr="00B313B1" w:rsidRDefault="001E1682" w:rsidP="003E001E">
            <w:pPr>
              <w:ind w:left="0" w:firstLine="0"/>
              <w:rPr>
                <w:rFonts w:eastAsia="Times New Roman" w:cs="Calibri"/>
                <w:b/>
                <w:bCs/>
                <w:color w:val="000000"/>
                <w:lang w:val="fr-FR" w:eastAsia="en-GB"/>
              </w:rPr>
            </w:pPr>
            <w:r w:rsidRPr="001E1682">
              <w:rPr>
                <w:rFonts w:eastAsia="Times New Roman" w:cs="Calibri"/>
                <w:b/>
                <w:bCs/>
                <w:color w:val="000000"/>
                <w:lang w:val="fr-FR" w:eastAsia="en-GB"/>
              </w:rPr>
              <w:t>Les cadres politiques et juridiques n</w:t>
            </w:r>
            <w:r w:rsidR="000706B0">
              <w:rPr>
                <w:rFonts w:eastAsia="Times New Roman" w:cs="Calibri"/>
                <w:b/>
                <w:bCs/>
                <w:color w:val="000000"/>
                <w:lang w:val="fr-FR" w:eastAsia="en-GB"/>
              </w:rPr>
              <w:t>e débouchent</w:t>
            </w:r>
            <w:r w:rsidRPr="001E1682">
              <w:rPr>
                <w:rFonts w:eastAsia="Times New Roman" w:cs="Calibri"/>
                <w:b/>
                <w:bCs/>
                <w:color w:val="000000"/>
                <w:lang w:val="fr-FR" w:eastAsia="en-GB"/>
              </w:rPr>
              <w:t xml:space="preserve"> pas </w:t>
            </w:r>
            <w:r w:rsidR="000706B0">
              <w:rPr>
                <w:rFonts w:eastAsia="Times New Roman" w:cs="Calibri"/>
                <w:b/>
                <w:bCs/>
                <w:color w:val="000000"/>
                <w:lang w:val="fr-FR" w:eastAsia="en-GB"/>
              </w:rPr>
              <w:t>sur</w:t>
            </w:r>
            <w:r w:rsidRPr="001E1682">
              <w:rPr>
                <w:rFonts w:eastAsia="Times New Roman" w:cs="Calibri"/>
                <w:b/>
                <w:bCs/>
                <w:color w:val="000000"/>
                <w:lang w:val="fr-FR" w:eastAsia="en-GB"/>
              </w:rPr>
              <w:t xml:space="preserve"> une conservation et une utilisation efficaces des zones humides</w:t>
            </w:r>
          </w:p>
        </w:tc>
        <w:tc>
          <w:tcPr>
            <w:tcW w:w="2942" w:type="dxa"/>
            <w:shd w:val="clear" w:color="auto" w:fill="auto"/>
            <w:hideMark/>
          </w:tcPr>
          <w:p w14:paraId="20B22EDE" w14:textId="6A636B9B" w:rsidR="003E001E" w:rsidRPr="00B313B1" w:rsidRDefault="00D07125" w:rsidP="003E001E">
            <w:pPr>
              <w:ind w:left="0" w:firstLine="0"/>
              <w:rPr>
                <w:rFonts w:eastAsia="Times New Roman" w:cs="Calibri"/>
                <w:lang w:val="fr-FR" w:eastAsia="en-GB"/>
              </w:rPr>
            </w:pPr>
            <w:r w:rsidRPr="00D07125">
              <w:rPr>
                <w:rFonts w:eastAsia="Times New Roman" w:cs="Calibri"/>
                <w:lang w:val="fr-FR" w:eastAsia="en-GB"/>
              </w:rPr>
              <w:t>La perte continue de zones humides exige que toutes les Parties contractantes prennent de</w:t>
            </w:r>
            <w:r>
              <w:rPr>
                <w:rFonts w:eastAsia="Times New Roman" w:cs="Calibri"/>
                <w:lang w:val="fr-FR" w:eastAsia="en-GB"/>
              </w:rPr>
              <w:t xml:space="preserve"> toute urgence</w:t>
            </w:r>
            <w:r w:rsidRPr="00D07125">
              <w:rPr>
                <w:rFonts w:eastAsia="Times New Roman" w:cs="Calibri"/>
                <w:lang w:val="fr-FR" w:eastAsia="en-GB"/>
              </w:rPr>
              <w:t xml:space="preserve"> </w:t>
            </w:r>
            <w:r w:rsidR="001B56BC">
              <w:rPr>
                <w:rFonts w:eastAsia="Times New Roman" w:cs="Calibri"/>
                <w:lang w:val="fr-FR" w:eastAsia="en-GB"/>
              </w:rPr>
              <w:t xml:space="preserve">des </w:t>
            </w:r>
            <w:r w:rsidRPr="00D07125">
              <w:rPr>
                <w:rFonts w:eastAsia="Times New Roman" w:cs="Calibri"/>
                <w:lang w:val="fr-FR" w:eastAsia="en-GB"/>
              </w:rPr>
              <w:t xml:space="preserve">mesures pour élaborer et mettre en œuvre une politique/stratégie </w:t>
            </w:r>
            <w:r w:rsidR="001B56BC">
              <w:rPr>
                <w:rFonts w:eastAsia="Times New Roman" w:cs="Calibri"/>
                <w:lang w:val="fr-FR" w:eastAsia="en-GB"/>
              </w:rPr>
              <w:t>en faveur d</w:t>
            </w:r>
            <w:r w:rsidRPr="00D07125">
              <w:rPr>
                <w:rFonts w:eastAsia="Times New Roman" w:cs="Calibri"/>
                <w:lang w:val="fr-FR" w:eastAsia="en-GB"/>
              </w:rPr>
              <w:t xml:space="preserve">es zones humides </w:t>
            </w:r>
            <w:r w:rsidR="001B56BC">
              <w:rPr>
                <w:rFonts w:eastAsia="Times New Roman" w:cs="Calibri"/>
                <w:lang w:val="fr-FR" w:eastAsia="en-GB"/>
              </w:rPr>
              <w:t>tenant compte d</w:t>
            </w:r>
            <w:r w:rsidRPr="00D07125">
              <w:rPr>
                <w:rFonts w:eastAsia="Times New Roman" w:cs="Calibri"/>
                <w:lang w:val="fr-FR" w:eastAsia="en-GB"/>
              </w:rPr>
              <w:t xml:space="preserve">es problèmes </w:t>
            </w:r>
            <w:r w:rsidR="001B56BC">
              <w:rPr>
                <w:rFonts w:eastAsia="Times New Roman" w:cs="Calibri"/>
                <w:lang w:val="fr-FR" w:eastAsia="en-GB"/>
              </w:rPr>
              <w:t>liés aux</w:t>
            </w:r>
            <w:r w:rsidRPr="00D07125">
              <w:rPr>
                <w:rFonts w:eastAsia="Times New Roman" w:cs="Calibri"/>
                <w:lang w:val="fr-FR" w:eastAsia="en-GB"/>
              </w:rPr>
              <w:t xml:space="preserve"> zones humides et prévo</w:t>
            </w:r>
            <w:r w:rsidR="001B56BC">
              <w:rPr>
                <w:rFonts w:eastAsia="Times New Roman" w:cs="Calibri"/>
                <w:lang w:val="fr-FR" w:eastAsia="en-GB"/>
              </w:rPr>
              <w:t xml:space="preserve">yant </w:t>
            </w:r>
            <w:r w:rsidRPr="00D07125">
              <w:rPr>
                <w:rFonts w:eastAsia="Times New Roman" w:cs="Calibri"/>
                <w:lang w:val="fr-FR" w:eastAsia="en-GB"/>
              </w:rPr>
              <w:t xml:space="preserve">des mesures ciblées pour y </w:t>
            </w:r>
            <w:r w:rsidR="001B56BC">
              <w:rPr>
                <w:rFonts w:eastAsia="Times New Roman" w:cs="Calibri"/>
                <w:lang w:val="fr-FR" w:eastAsia="en-GB"/>
              </w:rPr>
              <w:t>remédier.</w:t>
            </w:r>
          </w:p>
        </w:tc>
        <w:tc>
          <w:tcPr>
            <w:tcW w:w="2942" w:type="dxa"/>
            <w:shd w:val="clear" w:color="auto" w:fill="auto"/>
            <w:hideMark/>
          </w:tcPr>
          <w:p w14:paraId="6EBCC6D9" w14:textId="689D2127" w:rsidR="003E001E" w:rsidRPr="00B313B1" w:rsidRDefault="001B56BC" w:rsidP="003E001E">
            <w:pPr>
              <w:ind w:left="0" w:firstLine="0"/>
              <w:rPr>
                <w:rFonts w:eastAsia="Times New Roman" w:cs="Calibri"/>
                <w:color w:val="000000"/>
                <w:lang w:val="fr-FR" w:eastAsia="en-GB"/>
              </w:rPr>
            </w:pPr>
            <w:r w:rsidRPr="001B56BC">
              <w:rPr>
                <w:rFonts w:eastAsia="Times New Roman" w:cs="Calibri"/>
                <w:color w:val="000000"/>
                <w:lang w:val="fr-FR" w:eastAsia="en-GB"/>
              </w:rPr>
              <w:t xml:space="preserve">Absence de dispositions juridiques et politiques au niveau national. </w:t>
            </w:r>
            <w:r>
              <w:rPr>
                <w:rFonts w:eastAsia="Times New Roman" w:cs="Calibri"/>
                <w:color w:val="000000"/>
                <w:lang w:val="fr-FR" w:eastAsia="en-GB"/>
              </w:rPr>
              <w:t>T</w:t>
            </w:r>
            <w:r w:rsidRPr="001B56BC">
              <w:rPr>
                <w:rFonts w:eastAsia="Times New Roman" w:cs="Calibri"/>
                <w:color w:val="000000"/>
                <w:lang w:val="fr-FR" w:eastAsia="en-GB"/>
              </w:rPr>
              <w:t xml:space="preserve">ous les pays ont besoin </w:t>
            </w:r>
            <w:r>
              <w:rPr>
                <w:rFonts w:eastAsia="Times New Roman" w:cs="Calibri"/>
                <w:color w:val="000000"/>
                <w:lang w:val="fr-FR" w:eastAsia="en-GB"/>
              </w:rPr>
              <w:t>de p</w:t>
            </w:r>
            <w:r w:rsidRPr="001B56BC">
              <w:rPr>
                <w:rFonts w:eastAsia="Times New Roman" w:cs="Calibri"/>
                <w:color w:val="000000"/>
                <w:lang w:val="fr-FR" w:eastAsia="en-GB"/>
              </w:rPr>
              <w:t xml:space="preserve">olitiques nationales </w:t>
            </w:r>
            <w:r>
              <w:rPr>
                <w:rFonts w:eastAsia="Times New Roman" w:cs="Calibri"/>
                <w:color w:val="000000"/>
                <w:lang w:val="fr-FR" w:eastAsia="en-GB"/>
              </w:rPr>
              <w:t>en faveur des</w:t>
            </w:r>
            <w:r w:rsidRPr="001B56BC">
              <w:rPr>
                <w:rFonts w:eastAsia="Times New Roman" w:cs="Calibri"/>
                <w:color w:val="000000"/>
                <w:lang w:val="fr-FR" w:eastAsia="en-GB"/>
              </w:rPr>
              <w:t xml:space="preserve"> zones humides</w:t>
            </w:r>
            <w:r w:rsidR="005A402A" w:rsidRPr="00B313B1">
              <w:rPr>
                <w:rFonts w:eastAsia="Times New Roman" w:cs="Calibri"/>
                <w:color w:val="000000"/>
                <w:lang w:val="fr-FR" w:eastAsia="en-GB"/>
              </w:rPr>
              <w:t>.</w:t>
            </w:r>
          </w:p>
        </w:tc>
        <w:tc>
          <w:tcPr>
            <w:tcW w:w="2942" w:type="dxa"/>
            <w:shd w:val="clear" w:color="auto" w:fill="auto"/>
            <w:hideMark/>
          </w:tcPr>
          <w:p w14:paraId="5B25689E" w14:textId="0C2DA741" w:rsidR="003E001E" w:rsidRPr="00B313B1" w:rsidRDefault="001B56BC" w:rsidP="003E001E">
            <w:pPr>
              <w:ind w:left="0" w:firstLine="0"/>
              <w:rPr>
                <w:rFonts w:eastAsia="Times New Roman" w:cs="Calibri"/>
                <w:lang w:val="fr-FR" w:eastAsia="en-GB"/>
              </w:rPr>
            </w:pPr>
            <w:r w:rsidRPr="001B56BC">
              <w:rPr>
                <w:rFonts w:eastAsia="Times New Roman" w:cs="Calibri"/>
                <w:lang w:val="fr-FR" w:eastAsia="en-GB"/>
              </w:rPr>
              <w:t xml:space="preserve">La gestion des zones humides en tant qu'infrastructures naturelles faisant partie intégrante de la gestion des ressources en eau à l'échelle du bassin hydrographique est en </w:t>
            </w:r>
            <w:r>
              <w:rPr>
                <w:rFonts w:eastAsia="Times New Roman" w:cs="Calibri"/>
                <w:lang w:val="fr-FR" w:eastAsia="en-GB"/>
              </w:rPr>
              <w:t>recul</w:t>
            </w:r>
            <w:r w:rsidRPr="001B56BC">
              <w:rPr>
                <w:rFonts w:eastAsia="Times New Roman" w:cs="Calibri"/>
                <w:lang w:val="fr-FR" w:eastAsia="en-GB"/>
              </w:rPr>
              <w:t>.</w:t>
            </w:r>
          </w:p>
        </w:tc>
        <w:tc>
          <w:tcPr>
            <w:tcW w:w="2942" w:type="dxa"/>
            <w:shd w:val="clear" w:color="auto" w:fill="auto"/>
            <w:hideMark/>
          </w:tcPr>
          <w:p w14:paraId="452B63EB" w14:textId="1E98B2B4" w:rsidR="003E001E" w:rsidRPr="00B313B1" w:rsidRDefault="00BF0B6F" w:rsidP="003F4412">
            <w:pPr>
              <w:ind w:left="0" w:firstLine="0"/>
              <w:rPr>
                <w:rFonts w:eastAsia="Times New Roman" w:cs="Calibri"/>
                <w:color w:val="000000"/>
                <w:lang w:val="fr-FR" w:eastAsia="en-GB"/>
              </w:rPr>
            </w:pPr>
            <w:r w:rsidRPr="00BF0B6F">
              <w:rPr>
                <w:rFonts w:eastAsia="Times New Roman" w:cs="Calibri"/>
                <w:color w:val="000000"/>
                <w:lang w:val="fr-FR" w:eastAsia="en-GB"/>
              </w:rPr>
              <w:t>Il n'existe pas d'environnement politique propice à l'adoption de solutions fondées sur la nature. Par exemple, dans l'agriculture, les subventions et les incitations fournies aux agriculteurs doivent souvent être réorientées pour soutenir l'utilisation rationnelle des zones humides</w:t>
            </w:r>
            <w:r w:rsidR="005A402A" w:rsidRPr="00B313B1">
              <w:rPr>
                <w:rFonts w:eastAsia="Times New Roman" w:cs="Calibri"/>
                <w:color w:val="000000"/>
                <w:lang w:val="fr-FR" w:eastAsia="en-GB"/>
              </w:rPr>
              <w:t>.</w:t>
            </w:r>
          </w:p>
        </w:tc>
      </w:tr>
    </w:tbl>
    <w:p w14:paraId="51C2F697" w14:textId="77777777" w:rsidR="00F344DE" w:rsidRPr="00B313B1" w:rsidRDefault="00F344DE" w:rsidP="00014168">
      <w:pPr>
        <w:rPr>
          <w:rFonts w:cs="Arial"/>
          <w:i/>
          <w:lang w:val="fr-FR"/>
        </w:rPr>
      </w:pPr>
    </w:p>
    <w:sectPr w:rsidR="00F344DE" w:rsidRPr="00B313B1" w:rsidSect="00D81EB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71B9" w14:textId="77777777" w:rsidR="00B02D59" w:rsidRDefault="00B02D59" w:rsidP="00DF2386">
      <w:r>
        <w:separator/>
      </w:r>
    </w:p>
  </w:endnote>
  <w:endnote w:type="continuationSeparator" w:id="0">
    <w:p w14:paraId="2BE32060" w14:textId="77777777" w:rsidR="00B02D59" w:rsidRDefault="00B02D59"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403C" w14:textId="0F186292" w:rsidR="00F73E71" w:rsidRDefault="00D81EB0" w:rsidP="00D81EB0">
    <w:pPr>
      <w:pStyle w:val="Header"/>
      <w:tabs>
        <w:tab w:val="clear" w:pos="9026"/>
        <w:tab w:val="right" w:pos="13892"/>
      </w:tabs>
      <w:rPr>
        <w:noProof/>
      </w:rPr>
    </w:pPr>
    <w:r>
      <w:rPr>
        <w:sz w:val="20"/>
        <w:szCs w:val="20"/>
      </w:rPr>
      <w:t>SC57 Doc.8</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050B52">
          <w:rPr>
            <w:noProof/>
            <w:sz w:val="20"/>
            <w:szCs w:val="20"/>
          </w:rPr>
          <w:t>4</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9385D" w14:textId="77777777" w:rsidR="00B02D59" w:rsidRDefault="00B02D59" w:rsidP="00DF2386">
      <w:r>
        <w:separator/>
      </w:r>
    </w:p>
  </w:footnote>
  <w:footnote w:type="continuationSeparator" w:id="0">
    <w:p w14:paraId="6FD7815A" w14:textId="77777777" w:rsidR="00B02D59" w:rsidRDefault="00B02D59" w:rsidP="00DF2386">
      <w:r>
        <w:continuationSeparator/>
      </w:r>
    </w:p>
  </w:footnote>
  <w:footnote w:id="1">
    <w:p w14:paraId="46FDB0A8" w14:textId="070F6CCE" w:rsidR="00CF6B3E" w:rsidRPr="00050B52" w:rsidRDefault="00CF6B3E">
      <w:pPr>
        <w:pStyle w:val="FootnoteText"/>
        <w:rPr>
          <w:rFonts w:asciiTheme="minorHAnsi" w:hAnsiTheme="minorHAnsi" w:cstheme="minorHAnsi"/>
          <w:lang w:val="fr-FR"/>
        </w:rPr>
      </w:pPr>
      <w:r>
        <w:rPr>
          <w:rStyle w:val="FootnoteReference"/>
        </w:rPr>
        <w:footnoteRef/>
      </w:r>
      <w:r w:rsidRPr="00050B52">
        <w:rPr>
          <w:lang w:val="fr-FR"/>
        </w:rPr>
        <w:t xml:space="preserve"> </w:t>
      </w:r>
      <w:r w:rsidR="00571B7C" w:rsidRPr="00050B52">
        <w:rPr>
          <w:lang w:val="fr-FR"/>
        </w:rPr>
        <w:t xml:space="preserve">Comprend le </w:t>
      </w:r>
      <w:r w:rsidRPr="00050B52">
        <w:rPr>
          <w:rFonts w:asciiTheme="minorHAnsi" w:hAnsiTheme="minorHAnsi" w:cstheme="minorHAnsi"/>
          <w:i/>
          <w:lang w:val="fr-FR"/>
        </w:rPr>
        <w:t xml:space="preserve">UN </w:t>
      </w:r>
      <w:r w:rsidRPr="00050B52">
        <w:rPr>
          <w:rFonts w:asciiTheme="minorHAnsi" w:hAnsiTheme="minorHAnsi" w:cstheme="minorHAnsi"/>
          <w:i/>
          <w:shd w:val="clear" w:color="auto" w:fill="FFFFFF"/>
          <w:lang w:val="fr-FR"/>
        </w:rPr>
        <w:t>World </w:t>
      </w:r>
      <w:r w:rsidRPr="00050B52">
        <w:rPr>
          <w:rFonts w:asciiTheme="minorHAnsi" w:hAnsiTheme="minorHAnsi" w:cstheme="minorHAnsi"/>
          <w:bCs/>
          <w:i/>
          <w:shd w:val="clear" w:color="auto" w:fill="FFFFFF"/>
          <w:lang w:val="fr-FR"/>
        </w:rPr>
        <w:t>Water Development Report</w:t>
      </w:r>
      <w:r w:rsidRPr="00050B52">
        <w:rPr>
          <w:rFonts w:asciiTheme="minorHAnsi" w:hAnsiTheme="minorHAnsi" w:cstheme="minorHAnsi"/>
          <w:lang w:val="fr-FR"/>
        </w:rPr>
        <w:t xml:space="preserve"> </w:t>
      </w:r>
      <w:r w:rsidR="00571B7C" w:rsidRPr="00050B52">
        <w:rPr>
          <w:rFonts w:asciiTheme="minorHAnsi" w:hAnsiTheme="minorHAnsi" w:cstheme="minorHAnsi"/>
          <w:lang w:val="fr-FR"/>
        </w:rPr>
        <w:t xml:space="preserve">et le </w:t>
      </w:r>
      <w:r w:rsidR="00571B7C" w:rsidRPr="00571B7C">
        <w:rPr>
          <w:rFonts w:asciiTheme="minorHAnsi" w:hAnsiTheme="minorHAnsi" w:cstheme="minorHAnsi"/>
          <w:i/>
          <w:lang w:val="fr-FR"/>
        </w:rPr>
        <w:t>Réduction du risque de catastrophe : Bilan mondial</w:t>
      </w:r>
      <w:r w:rsidRPr="00050B52">
        <w:rPr>
          <w:rFonts w:asciiTheme="minorHAnsi" w:hAnsiTheme="minorHAnsi" w:cstheme="minorHAns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80415" w14:textId="77777777" w:rsidR="00F73E71" w:rsidRDefault="00F73E71">
    <w:pPr>
      <w:pStyle w:val="Header"/>
    </w:pPr>
  </w:p>
  <w:p w14:paraId="1E8153DA"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D4BD4"/>
    <w:multiLevelType w:val="hybridMultilevel"/>
    <w:tmpl w:val="69AC7730"/>
    <w:lvl w:ilvl="0" w:tplc="E3B41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6"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4"/>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
  </w:num>
  <w:num w:numId="13">
    <w:abstractNumId w:val="17"/>
  </w:num>
  <w:num w:numId="14">
    <w:abstractNumId w:val="12"/>
  </w:num>
  <w:num w:numId="15">
    <w:abstractNumId w:val="2"/>
  </w:num>
  <w:num w:numId="16">
    <w:abstractNumId w:val="14"/>
  </w:num>
  <w:num w:numId="17">
    <w:abstractNumId w:val="19"/>
  </w:num>
  <w:num w:numId="18">
    <w:abstractNumId w:val="27"/>
  </w:num>
  <w:num w:numId="19">
    <w:abstractNumId w:val="26"/>
  </w:num>
  <w:num w:numId="20">
    <w:abstractNumId w:val="21"/>
  </w:num>
  <w:num w:numId="21">
    <w:abstractNumId w:val="23"/>
  </w:num>
  <w:num w:numId="22">
    <w:abstractNumId w:val="15"/>
  </w:num>
  <w:num w:numId="23">
    <w:abstractNumId w:val="20"/>
  </w:num>
  <w:num w:numId="24">
    <w:abstractNumId w:val="18"/>
  </w:num>
  <w:num w:numId="25">
    <w:abstractNumId w:val="25"/>
  </w:num>
  <w:num w:numId="26">
    <w:abstractNumId w:val="9"/>
  </w:num>
  <w:num w:numId="27">
    <w:abstractNumId w:val="0"/>
  </w:num>
  <w:num w:numId="28">
    <w:abstractNumId w:val="11"/>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6E09"/>
    <w:rsid w:val="00037CE0"/>
    <w:rsid w:val="00050B52"/>
    <w:rsid w:val="00053929"/>
    <w:rsid w:val="000706B0"/>
    <w:rsid w:val="00074DE8"/>
    <w:rsid w:val="000A3E3E"/>
    <w:rsid w:val="000C2489"/>
    <w:rsid w:val="000D5C76"/>
    <w:rsid w:val="000E2FA0"/>
    <w:rsid w:val="000E47E9"/>
    <w:rsid w:val="0012096C"/>
    <w:rsid w:val="00127828"/>
    <w:rsid w:val="00137C31"/>
    <w:rsid w:val="00144203"/>
    <w:rsid w:val="00150BE3"/>
    <w:rsid w:val="00161BDA"/>
    <w:rsid w:val="00171618"/>
    <w:rsid w:val="001759D4"/>
    <w:rsid w:val="001819B1"/>
    <w:rsid w:val="001A2D10"/>
    <w:rsid w:val="001B0500"/>
    <w:rsid w:val="001B56BC"/>
    <w:rsid w:val="001C570B"/>
    <w:rsid w:val="001C5E41"/>
    <w:rsid w:val="001C77BC"/>
    <w:rsid w:val="001D48BB"/>
    <w:rsid w:val="001E00E3"/>
    <w:rsid w:val="001E1682"/>
    <w:rsid w:val="001F0785"/>
    <w:rsid w:val="001F2349"/>
    <w:rsid w:val="002005D2"/>
    <w:rsid w:val="0020298B"/>
    <w:rsid w:val="00206111"/>
    <w:rsid w:val="00213294"/>
    <w:rsid w:val="002137E0"/>
    <w:rsid w:val="002678A6"/>
    <w:rsid w:val="002741AC"/>
    <w:rsid w:val="00275C0C"/>
    <w:rsid w:val="00275F13"/>
    <w:rsid w:val="00276034"/>
    <w:rsid w:val="002819C0"/>
    <w:rsid w:val="00282908"/>
    <w:rsid w:val="0028423C"/>
    <w:rsid w:val="00295556"/>
    <w:rsid w:val="00295BB5"/>
    <w:rsid w:val="002A5A4D"/>
    <w:rsid w:val="002B29B7"/>
    <w:rsid w:val="002B4262"/>
    <w:rsid w:val="002D5A4D"/>
    <w:rsid w:val="002E22AF"/>
    <w:rsid w:val="002F6155"/>
    <w:rsid w:val="00324398"/>
    <w:rsid w:val="00364BBC"/>
    <w:rsid w:val="00384FC3"/>
    <w:rsid w:val="003A3804"/>
    <w:rsid w:val="003A52BE"/>
    <w:rsid w:val="003A5866"/>
    <w:rsid w:val="003A6E9F"/>
    <w:rsid w:val="003D4CD6"/>
    <w:rsid w:val="003E001E"/>
    <w:rsid w:val="003F4412"/>
    <w:rsid w:val="004109A1"/>
    <w:rsid w:val="004228C7"/>
    <w:rsid w:val="0042798B"/>
    <w:rsid w:val="00434913"/>
    <w:rsid w:val="004474F8"/>
    <w:rsid w:val="00451FE3"/>
    <w:rsid w:val="00477550"/>
    <w:rsid w:val="004844A8"/>
    <w:rsid w:val="00496803"/>
    <w:rsid w:val="004B6688"/>
    <w:rsid w:val="004E1D23"/>
    <w:rsid w:val="004F1FF3"/>
    <w:rsid w:val="005244A4"/>
    <w:rsid w:val="00526A5F"/>
    <w:rsid w:val="00527783"/>
    <w:rsid w:val="00571B7C"/>
    <w:rsid w:val="005814B5"/>
    <w:rsid w:val="005A402A"/>
    <w:rsid w:val="005D3E9D"/>
    <w:rsid w:val="006256D3"/>
    <w:rsid w:val="00627BB7"/>
    <w:rsid w:val="00644A13"/>
    <w:rsid w:val="0065136E"/>
    <w:rsid w:val="00670D71"/>
    <w:rsid w:val="00673EFF"/>
    <w:rsid w:val="006D2AEB"/>
    <w:rsid w:val="006E7DCE"/>
    <w:rsid w:val="007050FF"/>
    <w:rsid w:val="00752764"/>
    <w:rsid w:val="00766962"/>
    <w:rsid w:val="00770437"/>
    <w:rsid w:val="00775287"/>
    <w:rsid w:val="00787E98"/>
    <w:rsid w:val="007B1E4E"/>
    <w:rsid w:val="007D0EC4"/>
    <w:rsid w:val="007D33F4"/>
    <w:rsid w:val="007E669B"/>
    <w:rsid w:val="007F3ABE"/>
    <w:rsid w:val="00822B5B"/>
    <w:rsid w:val="008328E9"/>
    <w:rsid w:val="00835BCB"/>
    <w:rsid w:val="00835CDC"/>
    <w:rsid w:val="00850B09"/>
    <w:rsid w:val="0085772A"/>
    <w:rsid w:val="00863B9D"/>
    <w:rsid w:val="00863BE6"/>
    <w:rsid w:val="008775BC"/>
    <w:rsid w:val="00882F1B"/>
    <w:rsid w:val="008A70CE"/>
    <w:rsid w:val="008C25E4"/>
    <w:rsid w:val="008C2DAE"/>
    <w:rsid w:val="0090312B"/>
    <w:rsid w:val="00905260"/>
    <w:rsid w:val="009059A9"/>
    <w:rsid w:val="0092515E"/>
    <w:rsid w:val="00942FBD"/>
    <w:rsid w:val="0094770B"/>
    <w:rsid w:val="00956E88"/>
    <w:rsid w:val="00976AC5"/>
    <w:rsid w:val="009A159B"/>
    <w:rsid w:val="009B2267"/>
    <w:rsid w:val="009E0AE8"/>
    <w:rsid w:val="009E5374"/>
    <w:rsid w:val="009F345D"/>
    <w:rsid w:val="00A13218"/>
    <w:rsid w:val="00A227A3"/>
    <w:rsid w:val="00A440BA"/>
    <w:rsid w:val="00A60B73"/>
    <w:rsid w:val="00A80080"/>
    <w:rsid w:val="00AB4951"/>
    <w:rsid w:val="00AC36BD"/>
    <w:rsid w:val="00B02D59"/>
    <w:rsid w:val="00B313B1"/>
    <w:rsid w:val="00B315A0"/>
    <w:rsid w:val="00B33615"/>
    <w:rsid w:val="00B34A18"/>
    <w:rsid w:val="00B468CE"/>
    <w:rsid w:val="00B579CB"/>
    <w:rsid w:val="00B626CD"/>
    <w:rsid w:val="00B70083"/>
    <w:rsid w:val="00BB28F6"/>
    <w:rsid w:val="00BC2609"/>
    <w:rsid w:val="00BF0B6F"/>
    <w:rsid w:val="00BF5E46"/>
    <w:rsid w:val="00C0528F"/>
    <w:rsid w:val="00C13145"/>
    <w:rsid w:val="00C220B3"/>
    <w:rsid w:val="00C874B9"/>
    <w:rsid w:val="00C96787"/>
    <w:rsid w:val="00CA067C"/>
    <w:rsid w:val="00CA2436"/>
    <w:rsid w:val="00CD29AE"/>
    <w:rsid w:val="00CE750F"/>
    <w:rsid w:val="00CF6B3E"/>
    <w:rsid w:val="00D07125"/>
    <w:rsid w:val="00D160CB"/>
    <w:rsid w:val="00D245A1"/>
    <w:rsid w:val="00D415E2"/>
    <w:rsid w:val="00D42055"/>
    <w:rsid w:val="00D647C3"/>
    <w:rsid w:val="00D758E6"/>
    <w:rsid w:val="00D81EB0"/>
    <w:rsid w:val="00D9633A"/>
    <w:rsid w:val="00DB10E3"/>
    <w:rsid w:val="00DB2E7C"/>
    <w:rsid w:val="00DF2386"/>
    <w:rsid w:val="00DF7FE7"/>
    <w:rsid w:val="00E46367"/>
    <w:rsid w:val="00E63F0B"/>
    <w:rsid w:val="00EA3A7F"/>
    <w:rsid w:val="00F078F1"/>
    <w:rsid w:val="00F14514"/>
    <w:rsid w:val="00F14633"/>
    <w:rsid w:val="00F32D03"/>
    <w:rsid w:val="00F344DE"/>
    <w:rsid w:val="00F73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2D7E5"/>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00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BE111-DB5E-4E65-9537-1DDB7634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5949</Characters>
  <Application>Microsoft Office Word</Application>
  <DocSecurity>0</DocSecurity>
  <Lines>283</Lines>
  <Paragraphs>70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2019-05-09T14:24:00Z</cp:lastPrinted>
  <dcterms:created xsi:type="dcterms:W3CDTF">2019-05-10T08:48:00Z</dcterms:created>
  <dcterms:modified xsi:type="dcterms:W3CDTF">2019-05-10T08:48:00Z</dcterms:modified>
</cp:coreProperties>
</file>