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CD13" w14:textId="77777777" w:rsidR="00275F13" w:rsidRPr="00421152" w:rsidRDefault="00275F13" w:rsidP="003439AE">
      <w:pPr>
        <w:pBdr>
          <w:top w:val="single" w:sz="12" w:space="0" w:color="auto" w:shadow="1"/>
          <w:left w:val="single" w:sz="12" w:space="4" w:color="auto" w:shadow="1"/>
          <w:bottom w:val="single" w:sz="12" w:space="1" w:color="auto" w:shadow="1"/>
          <w:right w:val="single" w:sz="4" w:space="1" w:color="auto"/>
        </w:pBdr>
        <w:ind w:right="2790"/>
        <w:rPr>
          <w:bCs/>
          <w:sz w:val="24"/>
          <w:szCs w:val="24"/>
        </w:rPr>
      </w:pPr>
      <w:r w:rsidRPr="00421152">
        <w:rPr>
          <w:bCs/>
          <w:sz w:val="24"/>
          <w:szCs w:val="24"/>
        </w:rPr>
        <w:t xml:space="preserve">RAMSAR </w:t>
      </w:r>
      <w:r w:rsidR="00DF2386" w:rsidRPr="00421152">
        <w:rPr>
          <w:bCs/>
          <w:sz w:val="24"/>
          <w:szCs w:val="24"/>
        </w:rPr>
        <w:t xml:space="preserve">CONVENTION ON WETLANDS </w:t>
      </w:r>
    </w:p>
    <w:p w14:paraId="00EA38A3" w14:textId="77777777" w:rsidR="00DF2386" w:rsidRPr="00421152" w:rsidRDefault="00DF2386" w:rsidP="003439AE">
      <w:pPr>
        <w:pBdr>
          <w:top w:val="single" w:sz="12" w:space="0" w:color="auto" w:shadow="1"/>
          <w:left w:val="single" w:sz="12" w:space="4" w:color="auto" w:shadow="1"/>
          <w:bottom w:val="single" w:sz="12" w:space="1" w:color="auto" w:shadow="1"/>
          <w:right w:val="single" w:sz="4" w:space="1" w:color="auto"/>
        </w:pBdr>
        <w:ind w:right="2790"/>
        <w:rPr>
          <w:bCs/>
          <w:sz w:val="24"/>
          <w:szCs w:val="24"/>
        </w:rPr>
      </w:pPr>
      <w:r w:rsidRPr="00421152">
        <w:rPr>
          <w:bCs/>
          <w:sz w:val="24"/>
          <w:szCs w:val="24"/>
        </w:rPr>
        <w:t>5</w:t>
      </w:r>
      <w:r w:rsidR="004A50E5" w:rsidRPr="00421152">
        <w:rPr>
          <w:bCs/>
          <w:sz w:val="24"/>
          <w:szCs w:val="24"/>
        </w:rPr>
        <w:t>7</w:t>
      </w:r>
      <w:r w:rsidR="00275F13" w:rsidRPr="00421152">
        <w:rPr>
          <w:bCs/>
          <w:sz w:val="24"/>
          <w:szCs w:val="24"/>
        </w:rPr>
        <w:t>th</w:t>
      </w:r>
      <w:r w:rsidRPr="00421152">
        <w:rPr>
          <w:bCs/>
          <w:sz w:val="24"/>
          <w:szCs w:val="24"/>
        </w:rPr>
        <w:t xml:space="preserve"> Meeting of the Standing Committee</w:t>
      </w:r>
    </w:p>
    <w:p w14:paraId="348B6A75" w14:textId="77777777" w:rsidR="00DF2386" w:rsidRPr="00421152" w:rsidRDefault="00DF2386" w:rsidP="003439AE">
      <w:pPr>
        <w:pBdr>
          <w:top w:val="single" w:sz="12" w:space="0" w:color="auto" w:shadow="1"/>
          <w:left w:val="single" w:sz="12" w:space="4" w:color="auto" w:shadow="1"/>
          <w:bottom w:val="single" w:sz="12" w:space="1" w:color="auto" w:shadow="1"/>
          <w:right w:val="single" w:sz="4" w:space="1" w:color="auto"/>
        </w:pBdr>
        <w:ind w:right="2790"/>
        <w:rPr>
          <w:bCs/>
          <w:sz w:val="24"/>
          <w:szCs w:val="24"/>
        </w:rPr>
      </w:pPr>
      <w:r w:rsidRPr="00421152">
        <w:rPr>
          <w:bCs/>
          <w:sz w:val="24"/>
          <w:szCs w:val="24"/>
        </w:rPr>
        <w:t>Gland, Switzerland, 2</w:t>
      </w:r>
      <w:r w:rsidR="00625BC9" w:rsidRPr="00421152">
        <w:rPr>
          <w:bCs/>
          <w:sz w:val="24"/>
          <w:szCs w:val="24"/>
        </w:rPr>
        <w:t>4</w:t>
      </w:r>
      <w:r w:rsidR="00275F13" w:rsidRPr="00421152">
        <w:rPr>
          <w:bCs/>
          <w:sz w:val="24"/>
          <w:szCs w:val="24"/>
        </w:rPr>
        <w:t xml:space="preserve"> </w:t>
      </w:r>
      <w:r w:rsidRPr="00421152">
        <w:rPr>
          <w:bCs/>
          <w:sz w:val="24"/>
          <w:szCs w:val="24"/>
        </w:rPr>
        <w:t>– 2</w:t>
      </w:r>
      <w:r w:rsidR="00625BC9" w:rsidRPr="00421152">
        <w:rPr>
          <w:bCs/>
          <w:sz w:val="24"/>
          <w:szCs w:val="24"/>
        </w:rPr>
        <w:t>8</w:t>
      </w:r>
      <w:r w:rsidRPr="00421152">
        <w:rPr>
          <w:bCs/>
          <w:sz w:val="24"/>
          <w:szCs w:val="24"/>
        </w:rPr>
        <w:t xml:space="preserve"> </w:t>
      </w:r>
      <w:r w:rsidR="004A50E5" w:rsidRPr="00421152">
        <w:rPr>
          <w:bCs/>
          <w:sz w:val="24"/>
          <w:szCs w:val="24"/>
        </w:rPr>
        <w:t>June</w:t>
      </w:r>
      <w:r w:rsidR="00275F13" w:rsidRPr="00421152">
        <w:rPr>
          <w:bCs/>
          <w:sz w:val="24"/>
          <w:szCs w:val="24"/>
        </w:rPr>
        <w:t xml:space="preserve"> 201</w:t>
      </w:r>
      <w:r w:rsidR="004A50E5" w:rsidRPr="00421152">
        <w:rPr>
          <w:bCs/>
          <w:sz w:val="24"/>
          <w:szCs w:val="24"/>
        </w:rPr>
        <w:t>9</w:t>
      </w:r>
    </w:p>
    <w:p w14:paraId="637FC88B" w14:textId="77777777" w:rsidR="00DF2386" w:rsidRPr="00421152" w:rsidRDefault="00DF2386" w:rsidP="00633DD5">
      <w:pPr>
        <w:outlineLvl w:val="0"/>
        <w:rPr>
          <w:b/>
        </w:rPr>
      </w:pPr>
    </w:p>
    <w:p w14:paraId="383D711F" w14:textId="73340417" w:rsidR="00DF2386" w:rsidRPr="00421152" w:rsidRDefault="00DF2386" w:rsidP="00633DD5">
      <w:pPr>
        <w:jc w:val="right"/>
        <w:rPr>
          <w:rFonts w:cs="Arial"/>
          <w:sz w:val="28"/>
          <w:szCs w:val="28"/>
        </w:rPr>
      </w:pPr>
      <w:r w:rsidRPr="00421152">
        <w:rPr>
          <w:rFonts w:cs="Arial"/>
          <w:b/>
          <w:sz w:val="28"/>
          <w:szCs w:val="28"/>
        </w:rPr>
        <w:t>SC5</w:t>
      </w:r>
      <w:r w:rsidR="004A50E5" w:rsidRPr="00421152">
        <w:rPr>
          <w:rFonts w:cs="Arial"/>
          <w:b/>
          <w:sz w:val="28"/>
          <w:szCs w:val="28"/>
        </w:rPr>
        <w:t>7</w:t>
      </w:r>
      <w:r w:rsidR="009D425A" w:rsidRPr="00421152">
        <w:rPr>
          <w:rFonts w:cs="Arial"/>
          <w:b/>
          <w:sz w:val="28"/>
          <w:szCs w:val="28"/>
        </w:rPr>
        <w:t xml:space="preserve"> Doc.</w:t>
      </w:r>
      <w:r w:rsidR="00DE5D75" w:rsidRPr="00421152">
        <w:rPr>
          <w:rFonts w:cs="Arial"/>
          <w:b/>
          <w:sz w:val="28"/>
          <w:szCs w:val="28"/>
        </w:rPr>
        <w:t>7.1</w:t>
      </w:r>
    </w:p>
    <w:p w14:paraId="282994B8" w14:textId="77777777" w:rsidR="00DF2386" w:rsidRPr="00421152" w:rsidRDefault="00DF2386" w:rsidP="00633DD5">
      <w:pPr>
        <w:rPr>
          <w:rFonts w:cs="Arial"/>
          <w:b/>
          <w:sz w:val="28"/>
          <w:szCs w:val="28"/>
        </w:rPr>
      </w:pPr>
    </w:p>
    <w:p w14:paraId="5E3B243E" w14:textId="262AF37B" w:rsidR="00A31490" w:rsidRPr="00421152" w:rsidRDefault="00A31490" w:rsidP="00633DD5">
      <w:pPr>
        <w:ind w:left="0" w:firstLine="0"/>
        <w:jc w:val="center"/>
        <w:rPr>
          <w:rFonts w:cs="Arial"/>
          <w:b/>
          <w:sz w:val="28"/>
          <w:szCs w:val="28"/>
        </w:rPr>
      </w:pPr>
      <w:r w:rsidRPr="00421152">
        <w:rPr>
          <w:rFonts w:cs="Arial"/>
          <w:b/>
          <w:sz w:val="28"/>
          <w:szCs w:val="28"/>
        </w:rPr>
        <w:t>Financial and budgetary matters</w:t>
      </w:r>
      <w:r w:rsidR="009D425A" w:rsidRPr="00421152">
        <w:rPr>
          <w:rFonts w:cs="Arial"/>
          <w:b/>
          <w:sz w:val="28"/>
          <w:szCs w:val="28"/>
        </w:rPr>
        <w:t xml:space="preserve"> – Report of the Subgroup on Finance</w:t>
      </w:r>
    </w:p>
    <w:p w14:paraId="1DEA50B7" w14:textId="7C342984" w:rsidR="00DF2386" w:rsidRPr="00421152" w:rsidRDefault="00A31490" w:rsidP="00633DD5">
      <w:pPr>
        <w:ind w:left="0" w:firstLine="0"/>
        <w:jc w:val="center"/>
        <w:rPr>
          <w:rFonts w:cs="Arial"/>
          <w:b/>
          <w:sz w:val="28"/>
          <w:szCs w:val="28"/>
        </w:rPr>
      </w:pPr>
      <w:r w:rsidRPr="00421152">
        <w:rPr>
          <w:rFonts w:cs="Arial"/>
          <w:b/>
          <w:sz w:val="28"/>
          <w:szCs w:val="28"/>
        </w:rPr>
        <w:t xml:space="preserve">Report on </w:t>
      </w:r>
      <w:r w:rsidR="00E6689D" w:rsidRPr="00421152">
        <w:rPr>
          <w:rFonts w:cs="Arial"/>
          <w:b/>
          <w:sz w:val="28"/>
          <w:szCs w:val="28"/>
        </w:rPr>
        <w:t xml:space="preserve">financial matters </w:t>
      </w:r>
      <w:r w:rsidR="009D425A" w:rsidRPr="00421152">
        <w:rPr>
          <w:rFonts w:cs="Arial"/>
          <w:b/>
          <w:sz w:val="28"/>
          <w:szCs w:val="28"/>
        </w:rPr>
        <w:t xml:space="preserve">for </w:t>
      </w:r>
      <w:r w:rsidR="00E6689D" w:rsidRPr="00421152">
        <w:rPr>
          <w:rFonts w:cs="Arial"/>
          <w:b/>
          <w:sz w:val="28"/>
          <w:szCs w:val="28"/>
        </w:rPr>
        <w:t>2018</w:t>
      </w:r>
      <w:r w:rsidR="004A50E5" w:rsidRPr="00421152">
        <w:rPr>
          <w:rFonts w:cs="Arial"/>
          <w:b/>
          <w:sz w:val="28"/>
          <w:szCs w:val="28"/>
        </w:rPr>
        <w:t xml:space="preserve"> and 2019</w:t>
      </w:r>
    </w:p>
    <w:p w14:paraId="41274F6D" w14:textId="77777777" w:rsidR="00DF2386" w:rsidRPr="00421152" w:rsidRDefault="00DF2386" w:rsidP="00633DD5">
      <w:pPr>
        <w:rPr>
          <w:rFonts w:ascii="Garamond" w:hAnsi="Garamond" w:cs="Arial"/>
        </w:rPr>
      </w:pPr>
    </w:p>
    <w:p w14:paraId="1C1EE55D" w14:textId="77777777" w:rsidR="000C2489" w:rsidRPr="00421152" w:rsidRDefault="000C2489" w:rsidP="00633DD5">
      <w:pPr>
        <w:autoSpaceDE w:val="0"/>
        <w:autoSpaceDN w:val="0"/>
        <w:adjustRightInd w:val="0"/>
        <w:rPr>
          <w:rFonts w:asciiTheme="minorHAnsi" w:eastAsiaTheme="minorHAnsi" w:hAnsiTheme="minorHAnsi" w:cs="Calibri-Bold"/>
          <w:b/>
          <w:bCs/>
        </w:rPr>
      </w:pPr>
      <w:r w:rsidRPr="00421152">
        <w:rPr>
          <w:noProof/>
          <w:lang w:eastAsia="en-GB"/>
        </w:rPr>
        <mc:AlternateContent>
          <mc:Choice Requires="wps">
            <w:drawing>
              <wp:inline distT="0" distB="0" distL="0" distR="0" wp14:anchorId="0606A690" wp14:editId="19972EDA">
                <wp:extent cx="5731510" cy="4380614"/>
                <wp:effectExtent l="0" t="0" r="2159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80614"/>
                        </a:xfrm>
                        <a:prstGeom prst="rect">
                          <a:avLst/>
                        </a:prstGeom>
                        <a:solidFill>
                          <a:srgbClr val="FFFFFF"/>
                        </a:solidFill>
                        <a:ln w="9525">
                          <a:solidFill>
                            <a:srgbClr val="000000"/>
                          </a:solidFill>
                          <a:miter lim="800000"/>
                          <a:headEnd/>
                          <a:tailEnd/>
                        </a:ln>
                      </wps:spPr>
                      <wps:txbx>
                        <w:txbxContent>
                          <w:p w14:paraId="042A6F62" w14:textId="77777777" w:rsidR="00DD11D8" w:rsidRDefault="00DD11D8" w:rsidP="000C2489">
                            <w:pPr>
                              <w:rPr>
                                <w:b/>
                                <w:bCs/>
                              </w:rPr>
                            </w:pPr>
                            <w:r>
                              <w:rPr>
                                <w:b/>
                                <w:bCs/>
                              </w:rPr>
                              <w:t xml:space="preserve">Actions requested: </w:t>
                            </w:r>
                          </w:p>
                          <w:p w14:paraId="6AFFC31D" w14:textId="77777777" w:rsidR="00DD11D8" w:rsidRDefault="00DD11D8" w:rsidP="000C2489">
                            <w:pPr>
                              <w:pStyle w:val="ColorfulList-Accent11"/>
                              <w:ind w:left="0"/>
                            </w:pPr>
                          </w:p>
                          <w:p w14:paraId="70ED186F" w14:textId="77777777" w:rsidR="00DD11D8" w:rsidRDefault="00DD11D8" w:rsidP="00275F13">
                            <w:pPr>
                              <w:pStyle w:val="ColorfulList-Accent11"/>
                              <w:ind w:left="0" w:firstLine="0"/>
                              <w:rPr>
                                <w:rFonts w:cs="Calibri"/>
                              </w:rPr>
                            </w:pPr>
                            <w:r>
                              <w:t xml:space="preserve">Standing Committee is </w:t>
                            </w:r>
                            <w:r>
                              <w:rPr>
                                <w:rFonts w:cs="Calibri"/>
                              </w:rPr>
                              <w:t>invited to:</w:t>
                            </w:r>
                          </w:p>
                          <w:p w14:paraId="52CF3F8D" w14:textId="77777777" w:rsidR="00DD11D8" w:rsidRDefault="00DD11D8" w:rsidP="000C2489">
                            <w:pPr>
                              <w:pStyle w:val="ColorfulList-Accent11"/>
                              <w:ind w:left="0"/>
                              <w:rPr>
                                <w:rFonts w:cs="Calibri"/>
                              </w:rPr>
                            </w:pPr>
                          </w:p>
                          <w:p w14:paraId="73C5ED58" w14:textId="35404821" w:rsidR="00DD11D8" w:rsidRDefault="00DD11D8" w:rsidP="009C55B1">
                            <w:pPr>
                              <w:pStyle w:val="ColorfulList-Accent11"/>
                              <w:ind w:left="425"/>
                              <w:rPr>
                                <w:rFonts w:cs="Calibri"/>
                              </w:rPr>
                            </w:pPr>
                            <w:r>
                              <w:rPr>
                                <w:rFonts w:cs="Calibri"/>
                              </w:rPr>
                              <w:t>i.</w:t>
                            </w:r>
                            <w:r>
                              <w:rPr>
                                <w:rFonts w:cs="Calibri"/>
                              </w:rPr>
                              <w:tab/>
                            </w:r>
                            <w:r w:rsidRPr="004142A8">
                              <w:rPr>
                                <w:rFonts w:cs="Calibri"/>
                              </w:rPr>
                              <w:t>review and accept the 2018 audited financial statements as of 31 December 2018;</w:t>
                            </w:r>
                          </w:p>
                          <w:p w14:paraId="4FA92D9D" w14:textId="77777777" w:rsidR="00DD11D8" w:rsidRPr="004142A8" w:rsidRDefault="00DD11D8" w:rsidP="009C55B1">
                            <w:pPr>
                              <w:pStyle w:val="ColorfulList-Accent11"/>
                              <w:ind w:left="425"/>
                              <w:rPr>
                                <w:rFonts w:cs="Calibri"/>
                              </w:rPr>
                            </w:pPr>
                          </w:p>
                          <w:p w14:paraId="0B2F431B" w14:textId="11AC72CA" w:rsidR="00DD11D8" w:rsidRDefault="00DD11D8" w:rsidP="009C55B1">
                            <w:pPr>
                              <w:pStyle w:val="ColorfulList-Accent11"/>
                              <w:ind w:left="425"/>
                              <w:rPr>
                                <w:rFonts w:cs="Calibri"/>
                              </w:rPr>
                            </w:pPr>
                            <w:r>
                              <w:rPr>
                                <w:rFonts w:cs="Calibri"/>
                              </w:rPr>
                              <w:t>ii.</w:t>
                            </w:r>
                            <w:r>
                              <w:rPr>
                                <w:rFonts w:cs="Calibri"/>
                              </w:rPr>
                              <w:tab/>
                            </w:r>
                            <w:r w:rsidRPr="004142A8">
                              <w:rPr>
                                <w:rFonts w:cs="Calibri"/>
                              </w:rPr>
                              <w:t>note the core budget results for 2018;</w:t>
                            </w:r>
                          </w:p>
                          <w:p w14:paraId="20F537F0" w14:textId="77777777" w:rsidR="00DD11D8" w:rsidRPr="004142A8" w:rsidRDefault="00DD11D8" w:rsidP="009C55B1">
                            <w:pPr>
                              <w:pStyle w:val="ColorfulList-Accent11"/>
                              <w:ind w:left="425"/>
                              <w:rPr>
                                <w:rFonts w:cs="Calibri"/>
                              </w:rPr>
                            </w:pPr>
                          </w:p>
                          <w:p w14:paraId="2F2E1948" w14:textId="21EA9069" w:rsidR="00DD11D8" w:rsidRDefault="00DD11D8" w:rsidP="009C55B1">
                            <w:pPr>
                              <w:pStyle w:val="ColorfulList-Accent11"/>
                              <w:ind w:left="425"/>
                              <w:rPr>
                                <w:rFonts w:cs="Calibri"/>
                              </w:rPr>
                            </w:pPr>
                            <w:r>
                              <w:rPr>
                                <w:rFonts w:cs="Calibri"/>
                              </w:rPr>
                              <w:t>iii.</w:t>
                            </w:r>
                            <w:r>
                              <w:rPr>
                                <w:rFonts w:cs="Calibri"/>
                              </w:rPr>
                              <w:tab/>
                            </w:r>
                            <w:r w:rsidRPr="004142A8">
                              <w:rPr>
                                <w:rFonts w:cs="Calibri"/>
                              </w:rPr>
                              <w:t>consider the remaining 2018 surplus</w:t>
                            </w:r>
                            <w:r w:rsidRPr="001D5B80">
                              <w:rPr>
                                <w:rFonts w:cs="Calibri"/>
                              </w:rPr>
                              <w:t xml:space="preserve"> </w:t>
                            </w:r>
                            <w:r>
                              <w:rPr>
                                <w:rFonts w:cs="Calibri"/>
                              </w:rPr>
                              <w:t>and decide on allocation of these funds</w:t>
                            </w:r>
                            <w:r w:rsidRPr="004142A8">
                              <w:rPr>
                                <w:rFonts w:cs="Calibri"/>
                              </w:rPr>
                              <w:t xml:space="preserve">; </w:t>
                            </w:r>
                          </w:p>
                          <w:p w14:paraId="79859B48" w14:textId="77777777" w:rsidR="00DD11D8" w:rsidRPr="004142A8" w:rsidRDefault="00DD11D8" w:rsidP="009C55B1">
                            <w:pPr>
                              <w:pStyle w:val="ColorfulList-Accent11"/>
                              <w:ind w:left="425"/>
                              <w:rPr>
                                <w:rFonts w:cs="Calibri"/>
                              </w:rPr>
                            </w:pPr>
                          </w:p>
                          <w:p w14:paraId="168CBB05" w14:textId="3FDD18F2" w:rsidR="00DD11D8" w:rsidRDefault="00DD11D8" w:rsidP="009C55B1">
                            <w:pPr>
                              <w:pStyle w:val="ColorfulList-Accent11"/>
                              <w:ind w:left="425"/>
                              <w:rPr>
                                <w:rFonts w:cs="Calibri"/>
                              </w:rPr>
                            </w:pPr>
                            <w:r>
                              <w:rPr>
                                <w:rFonts w:cs="Calibri"/>
                              </w:rPr>
                              <w:t>iv.</w:t>
                            </w:r>
                            <w:r>
                              <w:rPr>
                                <w:rFonts w:cs="Calibri"/>
                              </w:rPr>
                              <w:tab/>
                            </w:r>
                            <w:r w:rsidRPr="004142A8">
                              <w:rPr>
                                <w:rFonts w:cs="Calibri"/>
                              </w:rPr>
                              <w:t xml:space="preserve">note the non-core funding status and voluntary contributions for 2018; </w:t>
                            </w:r>
                          </w:p>
                          <w:p w14:paraId="6FEB9E62" w14:textId="77777777" w:rsidR="00DD11D8" w:rsidRPr="004142A8" w:rsidRDefault="00DD11D8" w:rsidP="009C55B1">
                            <w:pPr>
                              <w:pStyle w:val="ColorfulList-Accent11"/>
                              <w:ind w:left="425"/>
                              <w:rPr>
                                <w:rFonts w:cs="Calibri"/>
                              </w:rPr>
                            </w:pPr>
                          </w:p>
                          <w:p w14:paraId="2FEF7CD1" w14:textId="2FCDFA1A" w:rsidR="00DD11D8" w:rsidRDefault="00DD11D8" w:rsidP="009C55B1">
                            <w:pPr>
                              <w:pStyle w:val="ColorfulList-Accent11"/>
                              <w:ind w:left="425"/>
                              <w:rPr>
                                <w:rFonts w:cs="Calibri"/>
                              </w:rPr>
                            </w:pPr>
                            <w:r>
                              <w:rPr>
                                <w:rFonts w:cs="Calibri"/>
                              </w:rPr>
                              <w:t>v.</w:t>
                            </w:r>
                            <w:r>
                              <w:rPr>
                                <w:rFonts w:cs="Calibri"/>
                              </w:rPr>
                              <w:tab/>
                              <w:t xml:space="preserve">note and </w:t>
                            </w:r>
                            <w:r w:rsidRPr="004142A8">
                              <w:rPr>
                                <w:rFonts w:cs="Calibri"/>
                              </w:rPr>
                              <w:t xml:space="preserve">approve the Secretariat’s adjustments to the </w:t>
                            </w:r>
                            <w:r w:rsidRPr="001D5B80">
                              <w:rPr>
                                <w:rFonts w:cs="Calibri"/>
                              </w:rPr>
                              <w:t xml:space="preserve">COP13-approved core budget for 2019, which only include the approved used of surplus from </w:t>
                            </w:r>
                            <w:r>
                              <w:rPr>
                                <w:rFonts w:cs="Calibri"/>
                              </w:rPr>
                              <w:t xml:space="preserve">the </w:t>
                            </w:r>
                            <w:r w:rsidRPr="001D5B80">
                              <w:rPr>
                                <w:rFonts w:cs="Calibri"/>
                              </w:rPr>
                              <w:t>previous triennium;</w:t>
                            </w:r>
                          </w:p>
                          <w:p w14:paraId="7150D8F7" w14:textId="77777777" w:rsidR="00DD11D8" w:rsidRPr="004142A8" w:rsidRDefault="00DD11D8" w:rsidP="009C55B1">
                            <w:pPr>
                              <w:pStyle w:val="ColorfulList-Accent11"/>
                              <w:ind w:left="425"/>
                              <w:rPr>
                                <w:rFonts w:cs="Calibri"/>
                              </w:rPr>
                            </w:pPr>
                          </w:p>
                          <w:p w14:paraId="11943B24" w14:textId="58CB8645" w:rsidR="00DD11D8" w:rsidRDefault="00DD11D8" w:rsidP="009C55B1">
                            <w:pPr>
                              <w:pStyle w:val="ColorfulList-Accent11"/>
                              <w:ind w:left="425"/>
                              <w:rPr>
                                <w:rFonts w:cs="Calibri"/>
                              </w:rPr>
                            </w:pPr>
                            <w:r>
                              <w:rPr>
                                <w:rFonts w:cs="Calibri"/>
                              </w:rPr>
                              <w:t>vi.</w:t>
                            </w:r>
                            <w:r>
                              <w:rPr>
                                <w:rFonts w:cs="Calibri"/>
                              </w:rPr>
                              <w:tab/>
                            </w:r>
                            <w:r w:rsidRPr="004142A8">
                              <w:rPr>
                                <w:rFonts w:cs="Calibri"/>
                              </w:rPr>
                              <w:t>note the non-core balances;</w:t>
                            </w:r>
                          </w:p>
                          <w:p w14:paraId="4B7B762D" w14:textId="77777777" w:rsidR="00DD11D8" w:rsidRPr="004142A8" w:rsidRDefault="00DD11D8" w:rsidP="009C55B1">
                            <w:pPr>
                              <w:pStyle w:val="ColorfulList-Accent11"/>
                              <w:ind w:left="425"/>
                              <w:rPr>
                                <w:rFonts w:cs="Calibri"/>
                              </w:rPr>
                            </w:pPr>
                          </w:p>
                          <w:p w14:paraId="32EEABF6" w14:textId="196D8F0C" w:rsidR="00DD11D8" w:rsidRDefault="00DD11D8" w:rsidP="009C55B1">
                            <w:pPr>
                              <w:pStyle w:val="ColorfulList-Accent11"/>
                              <w:ind w:left="425"/>
                              <w:rPr>
                                <w:rFonts w:cs="Calibri"/>
                              </w:rPr>
                            </w:pPr>
                            <w:r>
                              <w:rPr>
                                <w:rFonts w:cs="Calibri"/>
                              </w:rPr>
                              <w:t>vii.</w:t>
                            </w:r>
                            <w:r>
                              <w:rPr>
                                <w:rFonts w:cs="Calibri"/>
                              </w:rPr>
                              <w:tab/>
                            </w:r>
                            <w:r w:rsidRPr="004142A8">
                              <w:rPr>
                                <w:rFonts w:cs="Calibri"/>
                              </w:rPr>
                              <w:t xml:space="preserve">note the progress in implementing the recommendations from the IUCN </w:t>
                            </w:r>
                            <w:r w:rsidRPr="00F62079">
                              <w:rPr>
                                <w:rFonts w:cs="Calibri"/>
                                <w:i/>
                              </w:rPr>
                              <w:t xml:space="preserve">Financial </w:t>
                            </w:r>
                            <w:r w:rsidRPr="0019556E">
                              <w:rPr>
                                <w:rFonts w:cs="Calibri"/>
                                <w:i/>
                              </w:rPr>
                              <w:t>Management Review of Non-core (Restricted) Fund Accounts</w:t>
                            </w:r>
                            <w:r w:rsidRPr="0019556E">
                              <w:rPr>
                                <w:rFonts w:cs="Calibri"/>
                              </w:rPr>
                              <w:t xml:space="preserve"> and approve the actions proposed in paragraphs 40 and 41; and</w:t>
                            </w:r>
                          </w:p>
                          <w:p w14:paraId="5CC42FAA" w14:textId="77777777" w:rsidR="00DD11D8" w:rsidRPr="004142A8" w:rsidRDefault="00DD11D8" w:rsidP="009C55B1">
                            <w:pPr>
                              <w:pStyle w:val="ColorfulList-Accent11"/>
                              <w:ind w:left="425"/>
                              <w:rPr>
                                <w:rFonts w:cs="Calibri"/>
                              </w:rPr>
                            </w:pPr>
                          </w:p>
                          <w:p w14:paraId="34998BB4" w14:textId="7598F57A" w:rsidR="00DD11D8" w:rsidRPr="0064183C" w:rsidRDefault="00DD11D8" w:rsidP="009C55B1">
                            <w:pPr>
                              <w:pStyle w:val="ColorfulList-Accent11"/>
                              <w:ind w:left="425"/>
                              <w:rPr>
                                <w:rFonts w:cs="Calibri"/>
                              </w:rPr>
                            </w:pPr>
                            <w:r>
                              <w:rPr>
                                <w:rFonts w:cs="Calibri"/>
                              </w:rPr>
                              <w:t>viii.</w:t>
                            </w:r>
                            <w:r>
                              <w:rPr>
                                <w:rFonts w:cs="Calibri"/>
                              </w:rPr>
                              <w:tab/>
                            </w:r>
                            <w:r w:rsidRPr="004142A8">
                              <w:rPr>
                                <w:rFonts w:cs="Calibri"/>
                              </w:rPr>
                              <w:t>consider the external auditor’s proposed modification for the calculation of the provision for outstanding Contracting Party contributions and</w:t>
                            </w:r>
                            <w:r w:rsidRPr="00541F61">
                              <w:rPr>
                                <w:rFonts w:cs="Calibri"/>
                              </w:rPr>
                              <w:t xml:space="preserve"> requested modification of their audit approach for outstanding Contracting Party balances</w:t>
                            </w:r>
                            <w:r>
                              <w:rPr>
                                <w:rFonts w:cs="Calibri"/>
                              </w:rPr>
                              <w:t>,</w:t>
                            </w:r>
                            <w:r w:rsidRPr="00541F61">
                              <w:rPr>
                                <w:rFonts w:cs="Calibri"/>
                              </w:rPr>
                              <w:t xml:space="preserve"> and take a decision on the way forward.</w:t>
                            </w:r>
                          </w:p>
                          <w:p w14:paraId="01914D10" w14:textId="77777777" w:rsidR="00DD11D8" w:rsidRPr="001730E3" w:rsidRDefault="00DD11D8" w:rsidP="00EC0525">
                            <w:pPr>
                              <w:pStyle w:val="ColorfulList-Accent11"/>
                              <w:ind w:left="0" w:firstLine="0"/>
                              <w:rPr>
                                <w:rFonts w:cs="Calibri"/>
                              </w:rPr>
                            </w:pPr>
                          </w:p>
                        </w:txbxContent>
                      </wps:txbx>
                      <wps:bodyPr rot="0" vert="horz" wrap="square" lIns="91440" tIns="45720" rIns="91440" bIns="45720" anchor="t" anchorCtr="0" upright="1">
                        <a:noAutofit/>
                      </wps:bodyPr>
                    </wps:wsp>
                  </a:graphicData>
                </a:graphic>
              </wp:inline>
            </w:drawing>
          </mc:Choice>
          <mc:Fallback>
            <w:pict>
              <v:shapetype w14:anchorId="0606A690" id="_x0000_t202" coordsize="21600,21600" o:spt="202" path="m,l,21600r21600,l21600,xe">
                <v:stroke joinstyle="miter"/>
                <v:path gradientshapeok="t" o:connecttype="rect"/>
              </v:shapetype>
              <v:shape id="Text Box 1" o:spid="_x0000_s1026" type="#_x0000_t202" style="width:451.3pt;height:3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">
                <v:textbox>
                  <w:txbxContent>
                    <w:p w14:paraId="042A6F62" w14:textId="77777777" w:rsidR="00DD11D8" w:rsidRDefault="00DD11D8" w:rsidP="000C2489">
                      <w:pPr>
                        <w:rPr>
                          <w:b/>
                          <w:bCs/>
                        </w:rPr>
                      </w:pPr>
                      <w:r>
                        <w:rPr>
                          <w:b/>
                          <w:bCs/>
                        </w:rPr>
                        <w:t xml:space="preserve">Actions requested: </w:t>
                      </w:r>
                    </w:p>
                    <w:p w14:paraId="6AFFC31D" w14:textId="77777777" w:rsidR="00DD11D8" w:rsidRDefault="00DD11D8" w:rsidP="000C2489">
                      <w:pPr>
                        <w:pStyle w:val="ColorfulList-Accent11"/>
                        <w:ind w:left="0"/>
                      </w:pPr>
                    </w:p>
                    <w:p w14:paraId="70ED186F" w14:textId="77777777" w:rsidR="00DD11D8" w:rsidRDefault="00DD11D8" w:rsidP="00275F13">
                      <w:pPr>
                        <w:pStyle w:val="ColorfulList-Accent11"/>
                        <w:ind w:left="0" w:firstLine="0"/>
                        <w:rPr>
                          <w:rFonts w:cs="Calibri"/>
                        </w:rPr>
                      </w:pPr>
                      <w:r>
                        <w:t xml:space="preserve">Standing Committee is </w:t>
                      </w:r>
                      <w:r>
                        <w:rPr>
                          <w:rFonts w:cs="Calibri"/>
                        </w:rPr>
                        <w:t>invited to:</w:t>
                      </w:r>
                    </w:p>
                    <w:p w14:paraId="52CF3F8D" w14:textId="77777777" w:rsidR="00DD11D8" w:rsidRDefault="00DD11D8" w:rsidP="000C2489">
                      <w:pPr>
                        <w:pStyle w:val="ColorfulList-Accent11"/>
                        <w:ind w:left="0"/>
                        <w:rPr>
                          <w:rFonts w:cs="Calibri"/>
                        </w:rPr>
                      </w:pPr>
                    </w:p>
                    <w:p w14:paraId="73C5ED58" w14:textId="35404821" w:rsidR="00DD11D8" w:rsidRDefault="00DD11D8" w:rsidP="009C55B1">
                      <w:pPr>
                        <w:pStyle w:val="ColorfulList-Accent11"/>
                        <w:ind w:left="425"/>
                        <w:rPr>
                          <w:rFonts w:cs="Calibri"/>
                        </w:rPr>
                      </w:pPr>
                      <w:r>
                        <w:rPr>
                          <w:rFonts w:cs="Calibri"/>
                        </w:rPr>
                        <w:t>i.</w:t>
                      </w:r>
                      <w:r>
                        <w:rPr>
                          <w:rFonts w:cs="Calibri"/>
                        </w:rPr>
                        <w:tab/>
                      </w:r>
                      <w:r w:rsidRPr="004142A8">
                        <w:rPr>
                          <w:rFonts w:cs="Calibri"/>
                        </w:rPr>
                        <w:t>review and accept the 2018 audited financial statements as of 31 December 2018;</w:t>
                      </w:r>
                    </w:p>
                    <w:p w14:paraId="4FA92D9D" w14:textId="77777777" w:rsidR="00DD11D8" w:rsidRPr="004142A8" w:rsidRDefault="00DD11D8" w:rsidP="009C55B1">
                      <w:pPr>
                        <w:pStyle w:val="ColorfulList-Accent11"/>
                        <w:ind w:left="425"/>
                        <w:rPr>
                          <w:rFonts w:cs="Calibri"/>
                        </w:rPr>
                      </w:pPr>
                    </w:p>
                    <w:p w14:paraId="0B2F431B" w14:textId="11AC72CA" w:rsidR="00DD11D8" w:rsidRDefault="00DD11D8" w:rsidP="009C55B1">
                      <w:pPr>
                        <w:pStyle w:val="ColorfulList-Accent11"/>
                        <w:ind w:left="425"/>
                        <w:rPr>
                          <w:rFonts w:cs="Calibri"/>
                        </w:rPr>
                      </w:pPr>
                      <w:r>
                        <w:rPr>
                          <w:rFonts w:cs="Calibri"/>
                        </w:rPr>
                        <w:t>ii.</w:t>
                      </w:r>
                      <w:r>
                        <w:rPr>
                          <w:rFonts w:cs="Calibri"/>
                        </w:rPr>
                        <w:tab/>
                      </w:r>
                      <w:r w:rsidRPr="004142A8">
                        <w:rPr>
                          <w:rFonts w:cs="Calibri"/>
                        </w:rPr>
                        <w:t>note the core budget results for 2018;</w:t>
                      </w:r>
                    </w:p>
                    <w:p w14:paraId="20F537F0" w14:textId="77777777" w:rsidR="00DD11D8" w:rsidRPr="004142A8" w:rsidRDefault="00DD11D8" w:rsidP="009C55B1">
                      <w:pPr>
                        <w:pStyle w:val="ColorfulList-Accent11"/>
                        <w:ind w:left="425"/>
                        <w:rPr>
                          <w:rFonts w:cs="Calibri"/>
                        </w:rPr>
                      </w:pPr>
                    </w:p>
                    <w:p w14:paraId="2F2E1948" w14:textId="21EA9069" w:rsidR="00DD11D8" w:rsidRDefault="00DD11D8" w:rsidP="009C55B1">
                      <w:pPr>
                        <w:pStyle w:val="ColorfulList-Accent11"/>
                        <w:ind w:left="425"/>
                        <w:rPr>
                          <w:rFonts w:cs="Calibri"/>
                        </w:rPr>
                      </w:pPr>
                      <w:r>
                        <w:rPr>
                          <w:rFonts w:cs="Calibri"/>
                        </w:rPr>
                        <w:t>iii.</w:t>
                      </w:r>
                      <w:r>
                        <w:rPr>
                          <w:rFonts w:cs="Calibri"/>
                        </w:rPr>
                        <w:tab/>
                      </w:r>
                      <w:r w:rsidRPr="004142A8">
                        <w:rPr>
                          <w:rFonts w:cs="Calibri"/>
                        </w:rPr>
                        <w:t>consider the remaining 2018 surplus</w:t>
                      </w:r>
                      <w:r w:rsidRPr="001D5B80">
                        <w:rPr>
                          <w:rFonts w:cs="Calibri"/>
                        </w:rPr>
                        <w:t xml:space="preserve"> </w:t>
                      </w:r>
                      <w:r>
                        <w:rPr>
                          <w:rFonts w:cs="Calibri"/>
                        </w:rPr>
                        <w:t>and decide on allocation of these funds</w:t>
                      </w:r>
                      <w:r w:rsidRPr="004142A8">
                        <w:rPr>
                          <w:rFonts w:cs="Calibri"/>
                        </w:rPr>
                        <w:t xml:space="preserve">; </w:t>
                      </w:r>
                    </w:p>
                    <w:p w14:paraId="79859B48" w14:textId="77777777" w:rsidR="00DD11D8" w:rsidRPr="004142A8" w:rsidRDefault="00DD11D8" w:rsidP="009C55B1">
                      <w:pPr>
                        <w:pStyle w:val="ColorfulList-Accent11"/>
                        <w:ind w:left="425"/>
                        <w:rPr>
                          <w:rFonts w:cs="Calibri"/>
                        </w:rPr>
                      </w:pPr>
                    </w:p>
                    <w:p w14:paraId="168CBB05" w14:textId="3FDD18F2" w:rsidR="00DD11D8" w:rsidRDefault="00DD11D8" w:rsidP="009C55B1">
                      <w:pPr>
                        <w:pStyle w:val="ColorfulList-Accent11"/>
                        <w:ind w:left="425"/>
                        <w:rPr>
                          <w:rFonts w:cs="Calibri"/>
                        </w:rPr>
                      </w:pPr>
                      <w:r>
                        <w:rPr>
                          <w:rFonts w:cs="Calibri"/>
                        </w:rPr>
                        <w:t>iv.</w:t>
                      </w:r>
                      <w:r>
                        <w:rPr>
                          <w:rFonts w:cs="Calibri"/>
                        </w:rPr>
                        <w:tab/>
                      </w:r>
                      <w:r w:rsidRPr="004142A8">
                        <w:rPr>
                          <w:rFonts w:cs="Calibri"/>
                        </w:rPr>
                        <w:t xml:space="preserve">note the non-core funding status and voluntary contributions for 2018; </w:t>
                      </w:r>
                    </w:p>
                    <w:p w14:paraId="6FEB9E62" w14:textId="77777777" w:rsidR="00DD11D8" w:rsidRPr="004142A8" w:rsidRDefault="00DD11D8" w:rsidP="009C55B1">
                      <w:pPr>
                        <w:pStyle w:val="ColorfulList-Accent11"/>
                        <w:ind w:left="425"/>
                        <w:rPr>
                          <w:rFonts w:cs="Calibri"/>
                        </w:rPr>
                      </w:pPr>
                    </w:p>
                    <w:p w14:paraId="2FEF7CD1" w14:textId="2FCDFA1A" w:rsidR="00DD11D8" w:rsidRDefault="00DD11D8" w:rsidP="009C55B1">
                      <w:pPr>
                        <w:pStyle w:val="ColorfulList-Accent11"/>
                        <w:ind w:left="425"/>
                        <w:rPr>
                          <w:rFonts w:cs="Calibri"/>
                        </w:rPr>
                      </w:pPr>
                      <w:r>
                        <w:rPr>
                          <w:rFonts w:cs="Calibri"/>
                        </w:rPr>
                        <w:t>v.</w:t>
                      </w:r>
                      <w:r>
                        <w:rPr>
                          <w:rFonts w:cs="Calibri"/>
                        </w:rPr>
                        <w:tab/>
                        <w:t xml:space="preserve">note and </w:t>
                      </w:r>
                      <w:r w:rsidRPr="004142A8">
                        <w:rPr>
                          <w:rFonts w:cs="Calibri"/>
                        </w:rPr>
                        <w:t xml:space="preserve">approve the Secretariat’s adjustments to the </w:t>
                      </w:r>
                      <w:r w:rsidRPr="001D5B80">
                        <w:rPr>
                          <w:rFonts w:cs="Calibri"/>
                        </w:rPr>
                        <w:t xml:space="preserve">COP13-approved core budget for 2019, which only include the approved used of surplus from </w:t>
                      </w:r>
                      <w:r>
                        <w:rPr>
                          <w:rFonts w:cs="Calibri"/>
                        </w:rPr>
                        <w:t xml:space="preserve">the </w:t>
                      </w:r>
                      <w:r w:rsidRPr="001D5B80">
                        <w:rPr>
                          <w:rFonts w:cs="Calibri"/>
                        </w:rPr>
                        <w:t>previous triennium;</w:t>
                      </w:r>
                    </w:p>
                    <w:p w14:paraId="7150D8F7" w14:textId="77777777" w:rsidR="00DD11D8" w:rsidRPr="004142A8" w:rsidRDefault="00DD11D8" w:rsidP="009C55B1">
                      <w:pPr>
                        <w:pStyle w:val="ColorfulList-Accent11"/>
                        <w:ind w:left="425"/>
                        <w:rPr>
                          <w:rFonts w:cs="Calibri"/>
                        </w:rPr>
                      </w:pPr>
                    </w:p>
                    <w:p w14:paraId="11943B24" w14:textId="58CB8645" w:rsidR="00DD11D8" w:rsidRDefault="00DD11D8" w:rsidP="009C55B1">
                      <w:pPr>
                        <w:pStyle w:val="ColorfulList-Accent11"/>
                        <w:ind w:left="425"/>
                        <w:rPr>
                          <w:rFonts w:cs="Calibri"/>
                        </w:rPr>
                      </w:pPr>
                      <w:r>
                        <w:rPr>
                          <w:rFonts w:cs="Calibri"/>
                        </w:rPr>
                        <w:t>vi.</w:t>
                      </w:r>
                      <w:r>
                        <w:rPr>
                          <w:rFonts w:cs="Calibri"/>
                        </w:rPr>
                        <w:tab/>
                      </w:r>
                      <w:r w:rsidRPr="004142A8">
                        <w:rPr>
                          <w:rFonts w:cs="Calibri"/>
                        </w:rPr>
                        <w:t>note the non-core balances;</w:t>
                      </w:r>
                    </w:p>
                    <w:p w14:paraId="4B7B762D" w14:textId="77777777" w:rsidR="00DD11D8" w:rsidRPr="004142A8" w:rsidRDefault="00DD11D8" w:rsidP="009C55B1">
                      <w:pPr>
                        <w:pStyle w:val="ColorfulList-Accent11"/>
                        <w:ind w:left="425"/>
                        <w:rPr>
                          <w:rFonts w:cs="Calibri"/>
                        </w:rPr>
                      </w:pPr>
                    </w:p>
                    <w:p w14:paraId="32EEABF6" w14:textId="196D8F0C" w:rsidR="00DD11D8" w:rsidRDefault="00DD11D8" w:rsidP="009C55B1">
                      <w:pPr>
                        <w:pStyle w:val="ColorfulList-Accent11"/>
                        <w:ind w:left="425"/>
                        <w:rPr>
                          <w:rFonts w:cs="Calibri"/>
                        </w:rPr>
                      </w:pPr>
                      <w:r>
                        <w:rPr>
                          <w:rFonts w:cs="Calibri"/>
                        </w:rPr>
                        <w:t>vii.</w:t>
                      </w:r>
                      <w:r>
                        <w:rPr>
                          <w:rFonts w:cs="Calibri"/>
                        </w:rPr>
                        <w:tab/>
                      </w:r>
                      <w:r w:rsidRPr="004142A8">
                        <w:rPr>
                          <w:rFonts w:cs="Calibri"/>
                        </w:rPr>
                        <w:t xml:space="preserve">note the progress in implementing the recommendations from the IUCN </w:t>
                      </w:r>
                      <w:r w:rsidRPr="00F62079">
                        <w:rPr>
                          <w:rFonts w:cs="Calibri"/>
                          <w:i/>
                        </w:rPr>
                        <w:t xml:space="preserve">Financial </w:t>
                      </w:r>
                      <w:r w:rsidRPr="0019556E">
                        <w:rPr>
                          <w:rFonts w:cs="Calibri"/>
                          <w:i/>
                        </w:rPr>
                        <w:t>Management Review of Non-core (Restricted) Fund Accounts</w:t>
                      </w:r>
                      <w:r w:rsidRPr="0019556E">
                        <w:rPr>
                          <w:rFonts w:cs="Calibri"/>
                        </w:rPr>
                        <w:t xml:space="preserve"> and approve the actions proposed in paragraphs 40 and 41; and</w:t>
                      </w:r>
                    </w:p>
                    <w:p w14:paraId="5CC42FAA" w14:textId="77777777" w:rsidR="00DD11D8" w:rsidRPr="004142A8" w:rsidRDefault="00DD11D8" w:rsidP="009C55B1">
                      <w:pPr>
                        <w:pStyle w:val="ColorfulList-Accent11"/>
                        <w:ind w:left="425"/>
                        <w:rPr>
                          <w:rFonts w:cs="Calibri"/>
                        </w:rPr>
                      </w:pPr>
                    </w:p>
                    <w:p w14:paraId="34998BB4" w14:textId="7598F57A" w:rsidR="00DD11D8" w:rsidRPr="0064183C" w:rsidRDefault="00DD11D8" w:rsidP="009C55B1">
                      <w:pPr>
                        <w:pStyle w:val="ColorfulList-Accent11"/>
                        <w:ind w:left="425"/>
                        <w:rPr>
                          <w:rFonts w:cs="Calibri"/>
                        </w:rPr>
                      </w:pPr>
                      <w:r>
                        <w:rPr>
                          <w:rFonts w:cs="Calibri"/>
                        </w:rPr>
                        <w:t>viii.</w:t>
                      </w:r>
                      <w:r>
                        <w:rPr>
                          <w:rFonts w:cs="Calibri"/>
                        </w:rPr>
                        <w:tab/>
                      </w:r>
                      <w:r w:rsidRPr="004142A8">
                        <w:rPr>
                          <w:rFonts w:cs="Calibri"/>
                        </w:rPr>
                        <w:t>consider the external auditor’s proposed modification for the calculation of the provision for outstanding Contracting Party contributions and</w:t>
                      </w:r>
                      <w:r w:rsidRPr="00541F61">
                        <w:rPr>
                          <w:rFonts w:cs="Calibri"/>
                        </w:rPr>
                        <w:t xml:space="preserve"> requested modification of their audit approach for outstanding Contracting Party balances</w:t>
                      </w:r>
                      <w:r>
                        <w:rPr>
                          <w:rFonts w:cs="Calibri"/>
                        </w:rPr>
                        <w:t>,</w:t>
                      </w:r>
                      <w:r w:rsidRPr="00541F61">
                        <w:rPr>
                          <w:rFonts w:cs="Calibri"/>
                        </w:rPr>
                        <w:t xml:space="preserve"> and take a decision on the way forward.</w:t>
                      </w:r>
                    </w:p>
                    <w:p w14:paraId="01914D10" w14:textId="77777777" w:rsidR="00DD11D8" w:rsidRPr="001730E3" w:rsidRDefault="00DD11D8" w:rsidP="00EC0525">
                      <w:pPr>
                        <w:pStyle w:val="ColorfulList-Accent11"/>
                        <w:ind w:left="0" w:firstLine="0"/>
                        <w:rPr>
                          <w:rFonts w:cs="Calibri"/>
                        </w:rPr>
                      </w:pPr>
                    </w:p>
                  </w:txbxContent>
                </v:textbox>
                <w10:anchorlock/>
              </v:shape>
            </w:pict>
          </mc:Fallback>
        </mc:AlternateContent>
      </w:r>
    </w:p>
    <w:p w14:paraId="6851CF50" w14:textId="77777777" w:rsidR="009E0AE8" w:rsidRPr="00421152" w:rsidRDefault="009E0AE8" w:rsidP="00633DD5">
      <w:pPr>
        <w:ind w:left="0" w:firstLine="0"/>
        <w:rPr>
          <w:rFonts w:cs="Arial"/>
          <w:b/>
        </w:rPr>
      </w:pPr>
    </w:p>
    <w:p w14:paraId="258B288D" w14:textId="77777777" w:rsidR="00A31490" w:rsidRPr="00421152" w:rsidRDefault="00A31490" w:rsidP="00633DD5">
      <w:pPr>
        <w:rPr>
          <w:rFonts w:cs="Arial"/>
          <w:b/>
          <w:sz w:val="20"/>
        </w:rPr>
      </w:pPr>
    </w:p>
    <w:p w14:paraId="669F5FB2" w14:textId="77777777" w:rsidR="00EE484E" w:rsidRPr="00421152" w:rsidRDefault="00EE484E" w:rsidP="00633DD5">
      <w:pPr>
        <w:rPr>
          <w:rFonts w:cs="Arial"/>
          <w:b/>
        </w:rPr>
      </w:pPr>
      <w:r w:rsidRPr="00421152">
        <w:rPr>
          <w:rFonts w:cs="Arial"/>
          <w:b/>
        </w:rPr>
        <w:t>Background</w:t>
      </w:r>
    </w:p>
    <w:p w14:paraId="0B270B88" w14:textId="77777777" w:rsidR="00A31490" w:rsidRPr="00421152" w:rsidRDefault="00A31490" w:rsidP="00633DD5">
      <w:pPr>
        <w:rPr>
          <w:rFonts w:cs="Arial"/>
        </w:rPr>
      </w:pPr>
    </w:p>
    <w:p w14:paraId="73F2080A" w14:textId="010733BE" w:rsidR="00B60B96" w:rsidRPr="00421152" w:rsidRDefault="00112F62" w:rsidP="00633DD5">
      <w:pPr>
        <w:rPr>
          <w:rFonts w:cs="Arial"/>
        </w:rPr>
      </w:pPr>
      <w:r w:rsidRPr="00421152">
        <w:t>1.</w:t>
      </w:r>
      <w:r w:rsidRPr="00421152">
        <w:tab/>
      </w:r>
      <w:r w:rsidR="00ED1F5E" w:rsidRPr="00421152">
        <w:t>This report addresses</w:t>
      </w:r>
      <w:r w:rsidR="00DE1179" w:rsidRPr="00421152">
        <w:t xml:space="preserve"> financial matters concerning the Ramsar </w:t>
      </w:r>
      <w:r w:rsidR="00020C2D" w:rsidRPr="00421152">
        <w:t xml:space="preserve">Convention’s </w:t>
      </w:r>
      <w:r w:rsidR="00DE1179" w:rsidRPr="00421152">
        <w:t>core and non-core budget</w:t>
      </w:r>
      <w:r w:rsidR="00F62079">
        <w:t>s</w:t>
      </w:r>
      <w:r w:rsidR="00DE1179" w:rsidRPr="00421152">
        <w:t xml:space="preserve"> for 2018</w:t>
      </w:r>
      <w:r w:rsidR="00C42F6F" w:rsidRPr="00421152">
        <w:t xml:space="preserve"> and 2019.</w:t>
      </w:r>
    </w:p>
    <w:p w14:paraId="272B6B35" w14:textId="77777777" w:rsidR="00A31490" w:rsidRPr="00421152" w:rsidRDefault="00A31490" w:rsidP="00633DD5">
      <w:pPr>
        <w:rPr>
          <w:rFonts w:cs="Arial"/>
        </w:rPr>
      </w:pPr>
    </w:p>
    <w:p w14:paraId="47BCA898" w14:textId="13DEAD42" w:rsidR="001730E3" w:rsidRPr="00421152" w:rsidRDefault="00112F62" w:rsidP="00633DD5">
      <w:pPr>
        <w:rPr>
          <w:rFonts w:cs="Arial"/>
        </w:rPr>
      </w:pPr>
      <w:r w:rsidRPr="00421152">
        <w:t>2.</w:t>
      </w:r>
      <w:r w:rsidRPr="00421152">
        <w:tab/>
      </w:r>
      <w:r w:rsidR="008C18DC" w:rsidRPr="00421152">
        <w:t>Improvements in t</w:t>
      </w:r>
      <w:r w:rsidR="001730E3" w:rsidRPr="00421152">
        <w:t xml:space="preserve">he financial management of the Secretariat </w:t>
      </w:r>
      <w:r w:rsidR="008C18DC" w:rsidRPr="00421152">
        <w:t xml:space="preserve">have been </w:t>
      </w:r>
      <w:r w:rsidR="001730E3" w:rsidRPr="00421152">
        <w:t>validated by the external auditors</w:t>
      </w:r>
      <w:r w:rsidR="0064183C" w:rsidRPr="00421152">
        <w:t xml:space="preserve"> and by the </w:t>
      </w:r>
      <w:r w:rsidR="00F51E7B" w:rsidRPr="00710D2E">
        <w:rPr>
          <w:i/>
        </w:rPr>
        <w:t xml:space="preserve">Financial </w:t>
      </w:r>
      <w:r w:rsidR="00710D2E" w:rsidRPr="00710D2E">
        <w:rPr>
          <w:rFonts w:cs="Calibri"/>
          <w:i/>
        </w:rPr>
        <w:t xml:space="preserve">Management </w:t>
      </w:r>
      <w:r w:rsidR="00F51E7B" w:rsidRPr="00710D2E">
        <w:rPr>
          <w:i/>
        </w:rPr>
        <w:t>R</w:t>
      </w:r>
      <w:r w:rsidR="0064183C" w:rsidRPr="00710D2E">
        <w:rPr>
          <w:i/>
        </w:rPr>
        <w:t xml:space="preserve">eview of </w:t>
      </w:r>
      <w:r w:rsidR="00F51E7B" w:rsidRPr="00710D2E">
        <w:rPr>
          <w:i/>
        </w:rPr>
        <w:t>N</w:t>
      </w:r>
      <w:r w:rsidR="0064183C" w:rsidRPr="00710D2E">
        <w:rPr>
          <w:i/>
        </w:rPr>
        <w:t xml:space="preserve">on-core </w:t>
      </w:r>
      <w:r w:rsidR="004D7734" w:rsidRPr="00710D2E">
        <w:rPr>
          <w:i/>
        </w:rPr>
        <w:t xml:space="preserve">(Restricted) </w:t>
      </w:r>
      <w:r w:rsidR="00F51E7B" w:rsidRPr="00710D2E">
        <w:rPr>
          <w:i/>
        </w:rPr>
        <w:t>F</w:t>
      </w:r>
      <w:r w:rsidR="0064183C" w:rsidRPr="00710D2E">
        <w:rPr>
          <w:i/>
        </w:rPr>
        <w:t>und</w:t>
      </w:r>
      <w:r w:rsidR="004D7734" w:rsidRPr="00710D2E">
        <w:rPr>
          <w:i/>
        </w:rPr>
        <w:t xml:space="preserve"> Account</w:t>
      </w:r>
      <w:r w:rsidR="0064183C" w:rsidRPr="00710D2E">
        <w:rPr>
          <w:i/>
        </w:rPr>
        <w:t>s</w:t>
      </w:r>
      <w:r w:rsidR="0064183C" w:rsidRPr="00421152">
        <w:t xml:space="preserve"> conducted by the IUCN Oversight Unit</w:t>
      </w:r>
      <w:r w:rsidR="00F51E7B" w:rsidRPr="00421152">
        <w:t xml:space="preserve"> and submitted to the Standing Committee at its 55</w:t>
      </w:r>
      <w:r w:rsidR="00F51E7B" w:rsidRPr="00710D2E">
        <w:t>th</w:t>
      </w:r>
      <w:r w:rsidR="00F51E7B" w:rsidRPr="00421152">
        <w:t xml:space="preserve"> meeting</w:t>
      </w:r>
      <w:r w:rsidR="00710D2E">
        <w:t xml:space="preserve"> (SC55)</w:t>
      </w:r>
      <w:r w:rsidR="001730E3" w:rsidRPr="00421152">
        <w:t xml:space="preserve">. The Secretariat has </w:t>
      </w:r>
      <w:r w:rsidR="005210D8" w:rsidRPr="00421152">
        <w:t>strengthened its capacity</w:t>
      </w:r>
      <w:r w:rsidR="00710D2E">
        <w:t>,</w:t>
      </w:r>
      <w:r w:rsidR="005210D8" w:rsidRPr="00421152">
        <w:t xml:space="preserve"> with most processes completed </w:t>
      </w:r>
      <w:r w:rsidR="007A2D1C" w:rsidRPr="00421152">
        <w:t xml:space="preserve">in </w:t>
      </w:r>
      <w:r w:rsidR="001730E3" w:rsidRPr="00421152">
        <w:t>compliance with IUCN policies and procedures where applicable, and with some templates and guidelines being finalized in 201</w:t>
      </w:r>
      <w:r w:rsidR="00A446A5">
        <w:t>9</w:t>
      </w:r>
      <w:r w:rsidR="001730E3" w:rsidRPr="00421152">
        <w:t xml:space="preserve">. Capacities have been built in this regard and performance objectives included in management positions. The internal control allocation </w:t>
      </w:r>
      <w:r w:rsidR="001730E3" w:rsidRPr="00421152">
        <w:lastRenderedPageBreak/>
        <w:t xml:space="preserve">between IUCN and Ramsar </w:t>
      </w:r>
      <w:r w:rsidR="00710D2E">
        <w:t>has been</w:t>
      </w:r>
      <w:r w:rsidR="00710D2E" w:rsidRPr="00421152">
        <w:t xml:space="preserve"> </w:t>
      </w:r>
      <w:r w:rsidR="001730E3" w:rsidRPr="00421152">
        <w:t>documented.</w:t>
      </w:r>
      <w:r w:rsidR="00275D94" w:rsidRPr="00421152">
        <w:t xml:space="preserve"> Further follow-up </w:t>
      </w:r>
      <w:r w:rsidR="004C6D8E" w:rsidRPr="00421152">
        <w:t>is being implemented based on the recommendation from the</w:t>
      </w:r>
      <w:r w:rsidR="0044415F" w:rsidRPr="00421152">
        <w:t xml:space="preserve"> </w:t>
      </w:r>
      <w:r w:rsidR="0044415F" w:rsidRPr="00710D2E">
        <w:rPr>
          <w:i/>
        </w:rPr>
        <w:t>R</w:t>
      </w:r>
      <w:r w:rsidR="00275D94" w:rsidRPr="00710D2E">
        <w:rPr>
          <w:i/>
        </w:rPr>
        <w:t>eview</w:t>
      </w:r>
      <w:r w:rsidR="00275D94" w:rsidRPr="00421152">
        <w:t>.</w:t>
      </w:r>
      <w:r w:rsidR="00E91F83" w:rsidRPr="00421152">
        <w:t xml:space="preserve"> </w:t>
      </w:r>
    </w:p>
    <w:p w14:paraId="2B9CAEFB" w14:textId="77777777" w:rsidR="00F70A79" w:rsidRPr="00421152" w:rsidRDefault="00F70A79" w:rsidP="00633DD5">
      <w:pPr>
        <w:pStyle w:val="ListParagraph"/>
        <w:ind w:firstLine="0"/>
        <w:rPr>
          <w:rFonts w:cs="Arial"/>
        </w:rPr>
      </w:pPr>
    </w:p>
    <w:p w14:paraId="34F18BE8" w14:textId="77777777" w:rsidR="006656E1" w:rsidRPr="00421152" w:rsidRDefault="00BB5CF1" w:rsidP="00F6652D">
      <w:pPr>
        <w:keepNext/>
        <w:rPr>
          <w:rFonts w:cs="Arial"/>
          <w:b/>
        </w:rPr>
      </w:pPr>
      <w:r w:rsidRPr="00421152">
        <w:rPr>
          <w:rFonts w:cs="Arial"/>
          <w:b/>
        </w:rPr>
        <w:t>201</w:t>
      </w:r>
      <w:r w:rsidR="007D0AE2" w:rsidRPr="00421152">
        <w:rPr>
          <w:rFonts w:cs="Arial"/>
          <w:b/>
        </w:rPr>
        <w:t>8</w:t>
      </w:r>
      <w:r w:rsidRPr="00421152">
        <w:rPr>
          <w:rFonts w:cs="Arial"/>
          <w:b/>
        </w:rPr>
        <w:t xml:space="preserve"> results - core</w:t>
      </w:r>
      <w:r w:rsidR="00FF0082" w:rsidRPr="00421152">
        <w:rPr>
          <w:rFonts w:cs="Arial"/>
          <w:b/>
        </w:rPr>
        <w:t xml:space="preserve"> budget</w:t>
      </w:r>
    </w:p>
    <w:p w14:paraId="31910A04" w14:textId="77777777" w:rsidR="002F2543" w:rsidRPr="00421152" w:rsidRDefault="00C42F6F" w:rsidP="00C42F6F">
      <w:pPr>
        <w:pStyle w:val="NoSpacing"/>
        <w:rPr>
          <w:b/>
        </w:rPr>
      </w:pPr>
      <w:r w:rsidRPr="00421152">
        <w:rPr>
          <w:b/>
        </w:rPr>
        <w:t xml:space="preserve"> </w:t>
      </w:r>
    </w:p>
    <w:p w14:paraId="243A00EA" w14:textId="07639C59" w:rsidR="00CC24F5" w:rsidRPr="00421152" w:rsidRDefault="00C42F6F" w:rsidP="00633DD5">
      <w:r w:rsidRPr="00421152">
        <w:t>3</w:t>
      </w:r>
      <w:r w:rsidR="00112F62" w:rsidRPr="00421152">
        <w:t>.</w:t>
      </w:r>
      <w:r w:rsidR="00112F62" w:rsidRPr="00421152">
        <w:tab/>
      </w:r>
      <w:r w:rsidR="00C0407F" w:rsidRPr="00421152">
        <w:t xml:space="preserve">The </w:t>
      </w:r>
      <w:r w:rsidR="00C23752" w:rsidRPr="00421152">
        <w:t>summary</w:t>
      </w:r>
      <w:r w:rsidR="00C23752">
        <w:t xml:space="preserve"> of</w:t>
      </w:r>
      <w:r w:rsidR="00C23752" w:rsidRPr="00421152">
        <w:t xml:space="preserve"> </w:t>
      </w:r>
      <w:r w:rsidR="00C0407F" w:rsidRPr="00421152">
        <w:t>201</w:t>
      </w:r>
      <w:r w:rsidRPr="00421152">
        <w:t>8</w:t>
      </w:r>
      <w:r w:rsidR="00E91F83" w:rsidRPr="00421152">
        <w:t xml:space="preserve"> </w:t>
      </w:r>
      <w:r w:rsidR="00C0407F" w:rsidRPr="00421152">
        <w:t xml:space="preserve">core budget </w:t>
      </w:r>
      <w:r w:rsidR="00BC2EB0" w:rsidRPr="00421152">
        <w:t>result</w:t>
      </w:r>
      <w:r w:rsidR="008C18DC" w:rsidRPr="00421152">
        <w:t>s</w:t>
      </w:r>
      <w:r w:rsidR="00BC2EB0" w:rsidRPr="00421152">
        <w:t xml:space="preserve"> </w:t>
      </w:r>
      <w:r w:rsidR="00C0407F" w:rsidRPr="00421152">
        <w:t xml:space="preserve">attached </w:t>
      </w:r>
      <w:r w:rsidR="004963DA">
        <w:t>at</w:t>
      </w:r>
      <w:r w:rsidR="004963DA" w:rsidRPr="00421152">
        <w:t xml:space="preserve"> </w:t>
      </w:r>
      <w:r w:rsidR="00C0407F" w:rsidRPr="00421152">
        <w:t>Annex 2</w:t>
      </w:r>
      <w:r w:rsidR="00E91F83" w:rsidRPr="00421152">
        <w:t xml:space="preserve"> </w:t>
      </w:r>
      <w:r w:rsidR="00C0407F" w:rsidRPr="00421152">
        <w:t>shows the</w:t>
      </w:r>
      <w:r w:rsidRPr="00421152">
        <w:t xml:space="preserve"> </w:t>
      </w:r>
      <w:r w:rsidR="00C0407F" w:rsidRPr="00421152">
        <w:t>approved budget</w:t>
      </w:r>
      <w:r w:rsidR="00211A70">
        <w:t xml:space="preserve"> for </w:t>
      </w:r>
      <w:r w:rsidR="00211A70" w:rsidRPr="00421152">
        <w:t>2018</w:t>
      </w:r>
      <w:r w:rsidR="00C0407F" w:rsidRPr="00421152">
        <w:t>, the authorized use of surplus</w:t>
      </w:r>
      <w:r w:rsidR="005210D8" w:rsidRPr="00421152">
        <w:t xml:space="preserve"> </w:t>
      </w:r>
      <w:r w:rsidR="008173F3" w:rsidRPr="00421152">
        <w:t>CHF 414K (</w:t>
      </w:r>
      <w:r w:rsidR="00211A70">
        <w:t>following D</w:t>
      </w:r>
      <w:r w:rsidR="00211A70" w:rsidRPr="00421152">
        <w:t xml:space="preserve">ecision </w:t>
      </w:r>
      <w:r w:rsidR="00C0407F" w:rsidRPr="00421152">
        <w:t>SC53-29</w:t>
      </w:r>
      <w:r w:rsidR="00BB4A2E" w:rsidRPr="00421152">
        <w:t xml:space="preserve"> </w:t>
      </w:r>
      <w:r w:rsidR="00211A70">
        <w:t xml:space="preserve">on </w:t>
      </w:r>
      <w:r w:rsidR="007D0AE2" w:rsidRPr="00421152">
        <w:t xml:space="preserve">use </w:t>
      </w:r>
      <w:r w:rsidR="00BB4A2E" w:rsidRPr="00421152">
        <w:t xml:space="preserve">of CHF </w:t>
      </w:r>
      <w:r w:rsidR="00F71EAD" w:rsidRPr="00421152">
        <w:t>189</w:t>
      </w:r>
      <w:r w:rsidR="00BB4A2E" w:rsidRPr="00421152">
        <w:t xml:space="preserve">K </w:t>
      </w:r>
      <w:r w:rsidR="008173F3" w:rsidRPr="00421152">
        <w:t xml:space="preserve">from </w:t>
      </w:r>
      <w:r w:rsidR="00211A70">
        <w:t xml:space="preserve">the </w:t>
      </w:r>
      <w:r w:rsidR="008173F3" w:rsidRPr="00421152">
        <w:t>2016 surplus</w:t>
      </w:r>
      <w:r w:rsidR="00C23752">
        <w:t>,</w:t>
      </w:r>
      <w:r w:rsidR="008173F3" w:rsidRPr="00421152">
        <w:t xml:space="preserve"> </w:t>
      </w:r>
      <w:r w:rsidR="007D0AE2" w:rsidRPr="00421152">
        <w:t>and</w:t>
      </w:r>
      <w:r w:rsidR="008173F3" w:rsidRPr="00421152">
        <w:t xml:space="preserve"> </w:t>
      </w:r>
      <w:r w:rsidR="00211A70">
        <w:t>D</w:t>
      </w:r>
      <w:r w:rsidR="008173F3" w:rsidRPr="00421152">
        <w:t>ecision SC54-</w:t>
      </w:r>
      <w:r w:rsidR="009A51C2" w:rsidRPr="00421152">
        <w:t>26</w:t>
      </w:r>
      <w:r w:rsidR="008173F3" w:rsidRPr="00421152">
        <w:t xml:space="preserve"> </w:t>
      </w:r>
      <w:r w:rsidR="00211A70">
        <w:t xml:space="preserve">on </w:t>
      </w:r>
      <w:r w:rsidR="007D0AE2" w:rsidRPr="00421152">
        <w:t xml:space="preserve">use </w:t>
      </w:r>
      <w:r w:rsidR="008173F3" w:rsidRPr="00421152">
        <w:t xml:space="preserve">of CHF </w:t>
      </w:r>
      <w:r w:rsidR="009A51C2" w:rsidRPr="00421152">
        <w:t>225</w:t>
      </w:r>
      <w:r w:rsidR="008173F3" w:rsidRPr="00421152">
        <w:t xml:space="preserve">K from </w:t>
      </w:r>
      <w:r w:rsidR="00211A70">
        <w:t xml:space="preserve">the </w:t>
      </w:r>
      <w:r w:rsidR="008173F3" w:rsidRPr="00421152">
        <w:t xml:space="preserve">2017 surplus) and </w:t>
      </w:r>
      <w:r w:rsidR="004963DA">
        <w:t xml:space="preserve">the </w:t>
      </w:r>
      <w:r w:rsidR="00BC2EB0" w:rsidRPr="00421152">
        <w:t xml:space="preserve">budget </w:t>
      </w:r>
      <w:r w:rsidR="008173F3" w:rsidRPr="00421152">
        <w:t>reallocation</w:t>
      </w:r>
      <w:r w:rsidR="00BC2EB0" w:rsidRPr="00421152">
        <w:t xml:space="preserve"> </w:t>
      </w:r>
      <w:r w:rsidR="004963DA">
        <w:t>made in line with D</w:t>
      </w:r>
      <w:r w:rsidR="008173F3" w:rsidRPr="00421152">
        <w:t>ecision SC55</w:t>
      </w:r>
      <w:r w:rsidR="009A51C2" w:rsidRPr="00421152">
        <w:t>-09</w:t>
      </w:r>
      <w:r w:rsidR="008173F3" w:rsidRPr="00421152">
        <w:t xml:space="preserve">, </w:t>
      </w:r>
      <w:r w:rsidR="00C0407F" w:rsidRPr="00421152">
        <w:t>as well as</w:t>
      </w:r>
      <w:r w:rsidR="00E91F83" w:rsidRPr="00421152">
        <w:t xml:space="preserve"> </w:t>
      </w:r>
      <w:r w:rsidR="00176A64" w:rsidRPr="00421152">
        <w:t xml:space="preserve">final </w:t>
      </w:r>
      <w:r w:rsidR="00C0407F" w:rsidRPr="00421152">
        <w:t>income and expenditure</w:t>
      </w:r>
      <w:r w:rsidR="00BC2EB0" w:rsidRPr="00421152">
        <w:t>s</w:t>
      </w:r>
      <w:r w:rsidR="00176A64" w:rsidRPr="00421152">
        <w:t xml:space="preserve"> in 201</w:t>
      </w:r>
      <w:r w:rsidR="008173F3" w:rsidRPr="00421152">
        <w:t>8</w:t>
      </w:r>
      <w:r w:rsidR="00176A64" w:rsidRPr="00421152">
        <w:t xml:space="preserve"> as confirmed by the</w:t>
      </w:r>
      <w:r w:rsidR="00C62675" w:rsidRPr="00421152">
        <w:t xml:space="preserve"> financial statements (Annex </w:t>
      </w:r>
      <w:r w:rsidR="00B8400C" w:rsidRPr="00421152">
        <w:t>1</w:t>
      </w:r>
      <w:r w:rsidR="00C62675" w:rsidRPr="00421152">
        <w:t>)</w:t>
      </w:r>
      <w:r w:rsidR="0044415F" w:rsidRPr="00421152">
        <w:t>.</w:t>
      </w:r>
      <w:r w:rsidR="00176A64" w:rsidRPr="00421152">
        <w:t xml:space="preserve"> </w:t>
      </w:r>
      <w:r w:rsidR="00C62675" w:rsidRPr="00421152">
        <w:t>A</w:t>
      </w:r>
      <w:r w:rsidR="00BC2EB0" w:rsidRPr="00421152">
        <w:t>nnex</w:t>
      </w:r>
      <w:r w:rsidR="00C62675" w:rsidRPr="00421152">
        <w:t xml:space="preserve"> 2</w:t>
      </w:r>
      <w:r w:rsidR="00CB6134" w:rsidRPr="00421152">
        <w:t xml:space="preserve"> </w:t>
      </w:r>
      <w:r w:rsidR="00BC2EB0" w:rsidRPr="00421152">
        <w:t>also shows the</w:t>
      </w:r>
      <w:r w:rsidR="00E91F83" w:rsidRPr="00421152">
        <w:t xml:space="preserve"> </w:t>
      </w:r>
      <w:r w:rsidR="00BB4A2E" w:rsidRPr="00421152">
        <w:t xml:space="preserve">balance as </w:t>
      </w:r>
      <w:r w:rsidR="008C18DC" w:rsidRPr="00421152">
        <w:t>of</w:t>
      </w:r>
      <w:r w:rsidR="00ED1F5E" w:rsidRPr="00421152">
        <w:t xml:space="preserve"> 31 December 201</w:t>
      </w:r>
      <w:r w:rsidR="008173F3" w:rsidRPr="00421152">
        <w:t>8</w:t>
      </w:r>
      <w:r w:rsidR="00ED1F5E" w:rsidRPr="00421152">
        <w:t>, with</w:t>
      </w:r>
      <w:r w:rsidR="00BB4A2E" w:rsidRPr="00421152">
        <w:t xml:space="preserve"> the </w:t>
      </w:r>
      <w:r w:rsidR="00C0407F" w:rsidRPr="00421152">
        <w:t xml:space="preserve">variance between actuals and budget. </w:t>
      </w:r>
    </w:p>
    <w:p w14:paraId="6041D318" w14:textId="77777777" w:rsidR="00CC24F5" w:rsidRPr="00421152" w:rsidRDefault="00CC24F5" w:rsidP="00633DD5"/>
    <w:p w14:paraId="584C2180" w14:textId="4500757C" w:rsidR="00C0407F" w:rsidRPr="00421152" w:rsidRDefault="00C42F6F" w:rsidP="00633DD5">
      <w:r w:rsidRPr="00421152">
        <w:t>4</w:t>
      </w:r>
      <w:r w:rsidR="00CC24F5" w:rsidRPr="00421152">
        <w:t>.</w:t>
      </w:r>
      <w:r w:rsidR="00E91F83" w:rsidRPr="00421152">
        <w:t xml:space="preserve"> </w:t>
      </w:r>
      <w:r w:rsidRPr="00421152">
        <w:tab/>
      </w:r>
      <w:r w:rsidR="009647EC" w:rsidRPr="00421152">
        <w:t>The</w:t>
      </w:r>
      <w:r w:rsidR="00CC24F5" w:rsidRPr="00421152">
        <w:t xml:space="preserve"> Standing Committee is invited to review and accept </w:t>
      </w:r>
      <w:r w:rsidR="00C52BA8" w:rsidRPr="00421152">
        <w:t xml:space="preserve">the </w:t>
      </w:r>
      <w:r w:rsidR="0047303C" w:rsidRPr="00421152">
        <w:t>2018</w:t>
      </w:r>
      <w:r w:rsidR="00C52BA8" w:rsidRPr="00421152">
        <w:t xml:space="preserve"> </w:t>
      </w:r>
      <w:r w:rsidR="0044415F" w:rsidRPr="00421152">
        <w:t xml:space="preserve">audited </w:t>
      </w:r>
      <w:r w:rsidR="00C52BA8" w:rsidRPr="00421152">
        <w:t xml:space="preserve">financial statements included </w:t>
      </w:r>
      <w:r w:rsidR="004963DA">
        <w:t>at</w:t>
      </w:r>
      <w:r w:rsidR="004963DA" w:rsidRPr="00421152">
        <w:t xml:space="preserve"> </w:t>
      </w:r>
      <w:r w:rsidR="00C52BA8" w:rsidRPr="00421152">
        <w:t>Annex 1</w:t>
      </w:r>
      <w:r w:rsidR="00CC24F5" w:rsidRPr="00421152">
        <w:t>.</w:t>
      </w:r>
      <w:r w:rsidR="00CB6134" w:rsidRPr="00421152">
        <w:t xml:space="preserve"> The full 2018 audited financial statements including the notes and audit opinion </w:t>
      </w:r>
      <w:r w:rsidR="0047303C" w:rsidRPr="00421152">
        <w:t>have been</w:t>
      </w:r>
      <w:r w:rsidR="00CB6134" w:rsidRPr="00421152">
        <w:t xml:space="preserve"> published</w:t>
      </w:r>
      <w:r w:rsidR="00CB6134" w:rsidRPr="00421152">
        <w:rPr>
          <w:rStyle w:val="FootnoteReference"/>
        </w:rPr>
        <w:footnoteReference w:id="1"/>
      </w:r>
      <w:r w:rsidR="00CB6134" w:rsidRPr="00421152">
        <w:t>.</w:t>
      </w:r>
      <w:r w:rsidR="00E91F83" w:rsidRPr="00421152">
        <w:t xml:space="preserve"> </w:t>
      </w:r>
    </w:p>
    <w:p w14:paraId="2617A8F7" w14:textId="77777777" w:rsidR="004C6D8E" w:rsidRPr="00421152" w:rsidRDefault="004C6D8E" w:rsidP="00633DD5"/>
    <w:p w14:paraId="74B9C26D" w14:textId="45D9124D" w:rsidR="004C6D8E" w:rsidRPr="00421152" w:rsidRDefault="00A523BE" w:rsidP="004C6D8E">
      <w:r>
        <w:t>5</w:t>
      </w:r>
      <w:r w:rsidR="004C6D8E" w:rsidRPr="00421152">
        <w:t>.</w:t>
      </w:r>
      <w:r w:rsidR="004C6D8E" w:rsidRPr="00421152">
        <w:tab/>
        <w:t xml:space="preserve">At the end of 2018, there was a core budget </w:t>
      </w:r>
      <w:r w:rsidR="00B26242" w:rsidRPr="00421152">
        <w:t xml:space="preserve">balance </w:t>
      </w:r>
      <w:r w:rsidR="004C6D8E" w:rsidRPr="00421152">
        <w:t xml:space="preserve">of CHF 809K. This </w:t>
      </w:r>
      <w:r w:rsidR="004963DA" w:rsidRPr="00421152">
        <w:t>include</w:t>
      </w:r>
      <w:r w:rsidR="004963DA">
        <w:t>d</w:t>
      </w:r>
      <w:r w:rsidR="004963DA" w:rsidRPr="00421152">
        <w:t xml:space="preserve"> </w:t>
      </w:r>
      <w:r w:rsidR="004C6D8E" w:rsidRPr="00421152">
        <w:t xml:space="preserve">CHF 189K of 2016 surplus </w:t>
      </w:r>
      <w:r w:rsidR="004963DA">
        <w:t>and</w:t>
      </w:r>
      <w:r w:rsidR="004963DA" w:rsidRPr="00421152">
        <w:t xml:space="preserve"> </w:t>
      </w:r>
      <w:r w:rsidR="004C6D8E" w:rsidRPr="00421152">
        <w:t xml:space="preserve">CHF </w:t>
      </w:r>
      <w:r w:rsidR="00834967" w:rsidRPr="00421152">
        <w:t>225</w:t>
      </w:r>
      <w:r w:rsidR="004C6D8E" w:rsidRPr="00421152">
        <w:t>K of 2017 surplus allocated to the 2018 budget</w:t>
      </w:r>
      <w:r w:rsidR="004C6D8E" w:rsidRPr="00421152">
        <w:rPr>
          <w:rStyle w:val="FootnoteReference"/>
        </w:rPr>
        <w:footnoteReference w:id="2"/>
      </w:r>
      <w:r w:rsidR="0019556E">
        <w:t>,</w:t>
      </w:r>
      <w:r w:rsidR="004C6D8E" w:rsidRPr="00421152">
        <w:t xml:space="preserve"> and</w:t>
      </w:r>
      <w:r w:rsidR="0019556E">
        <w:t xml:space="preserve"> a</w:t>
      </w:r>
      <w:r w:rsidR="004C6D8E" w:rsidRPr="00421152">
        <w:t xml:space="preserve"> surplus of income over expenditures for 2018 </w:t>
      </w:r>
      <w:r w:rsidR="0019556E">
        <w:t>of</w:t>
      </w:r>
      <w:r w:rsidR="004C6D8E" w:rsidRPr="00421152">
        <w:t xml:space="preserve"> CHF </w:t>
      </w:r>
      <w:r w:rsidR="00834967" w:rsidRPr="00421152">
        <w:t>395</w:t>
      </w:r>
      <w:r w:rsidR="004C6D8E" w:rsidRPr="00421152">
        <w:t xml:space="preserve">K (see also Annex 2). The budget surplus </w:t>
      </w:r>
      <w:r w:rsidR="00F04266" w:rsidRPr="00421152">
        <w:t xml:space="preserve">also results from </w:t>
      </w:r>
      <w:r w:rsidR="004C6D8E" w:rsidRPr="00421152">
        <w:t>CHF 1</w:t>
      </w:r>
      <w:r w:rsidR="00834967" w:rsidRPr="00421152">
        <w:t>0</w:t>
      </w:r>
      <w:r w:rsidR="004C6D8E" w:rsidRPr="00421152">
        <w:t>K less income than budgeted. Table 1 below provides a summary.</w:t>
      </w:r>
    </w:p>
    <w:p w14:paraId="1564C05E" w14:textId="77777777" w:rsidR="00C946CD" w:rsidRPr="00421152" w:rsidRDefault="00C946CD" w:rsidP="00E625A0">
      <w:pPr>
        <w:ind w:left="0" w:firstLine="0"/>
      </w:pPr>
    </w:p>
    <w:p w14:paraId="2C5252BA" w14:textId="31115946" w:rsidR="00C946CD" w:rsidRPr="00421152" w:rsidRDefault="00C946CD" w:rsidP="0068385F">
      <w:pPr>
        <w:pStyle w:val="NoSpacing"/>
        <w:keepNext/>
        <w:ind w:left="0" w:firstLine="0"/>
        <w:rPr>
          <w:i/>
        </w:rPr>
      </w:pPr>
      <w:r w:rsidRPr="00421152">
        <w:rPr>
          <w:i/>
        </w:rPr>
        <w:t>Table 1:</w:t>
      </w:r>
      <w:r w:rsidR="00C42F6F" w:rsidRPr="00421152">
        <w:rPr>
          <w:i/>
        </w:rPr>
        <w:t xml:space="preserve"> 2018</w:t>
      </w:r>
      <w:r w:rsidR="00E91F83" w:rsidRPr="00421152">
        <w:rPr>
          <w:i/>
        </w:rPr>
        <w:t xml:space="preserve"> </w:t>
      </w:r>
      <w:r w:rsidRPr="00421152">
        <w:rPr>
          <w:i/>
        </w:rPr>
        <w:t>core budget surplus summary (‘000 CHF, includes possible rounding differences)</w:t>
      </w:r>
    </w:p>
    <w:tbl>
      <w:tblPr>
        <w:tblW w:w="9293" w:type="dxa"/>
        <w:tblInd w:w="-5"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5465"/>
      </w:tblGrid>
      <w:tr w:rsidR="002468FA" w:rsidRPr="00421152" w14:paraId="074FF618" w14:textId="77777777" w:rsidTr="003B0BC9">
        <w:trPr>
          <w:cantSplit/>
          <w:tblHeader/>
        </w:trPr>
        <w:tc>
          <w:tcPr>
            <w:tcW w:w="2410" w:type="dxa"/>
            <w:tcBorders>
              <w:right w:val="single" w:sz="4" w:space="0" w:color="auto"/>
            </w:tcBorders>
            <w:shd w:val="clear" w:color="auto" w:fill="DBE5F1" w:themeFill="accent1" w:themeFillTint="33"/>
            <w:noWrap/>
            <w:vAlign w:val="center"/>
            <w:hideMark/>
          </w:tcPr>
          <w:p w14:paraId="6D3C7240" w14:textId="77777777" w:rsidR="002468FA" w:rsidRPr="00421152" w:rsidRDefault="002468FA" w:rsidP="002468FA">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Category / Department</w:t>
            </w:r>
          </w:p>
        </w:tc>
        <w:tc>
          <w:tcPr>
            <w:tcW w:w="1418" w:type="dxa"/>
            <w:tcBorders>
              <w:left w:val="single" w:sz="4" w:space="0" w:color="auto"/>
            </w:tcBorders>
            <w:shd w:val="clear" w:color="auto" w:fill="DBE5F1" w:themeFill="accent1" w:themeFillTint="33"/>
            <w:vAlign w:val="bottom"/>
            <w:hideMark/>
          </w:tcPr>
          <w:p w14:paraId="42F7E26F" w14:textId="4A927A1D" w:rsidR="002468FA" w:rsidRPr="00421152" w:rsidRDefault="002468FA" w:rsidP="0019556E">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S</w:t>
            </w:r>
            <w:r w:rsidR="00C42F6F" w:rsidRPr="00421152">
              <w:rPr>
                <w:rFonts w:asciiTheme="minorHAnsi" w:eastAsia="Times New Roman" w:hAnsiTheme="minorHAnsi" w:cs="Arial"/>
                <w:b/>
                <w:bCs/>
                <w:sz w:val="20"/>
                <w:szCs w:val="20"/>
                <w:lang w:eastAsia="en-GB"/>
              </w:rPr>
              <w:t xml:space="preserve">avings / </w:t>
            </w:r>
            <w:r w:rsidR="00656BBF">
              <w:rPr>
                <w:rFonts w:asciiTheme="minorHAnsi" w:eastAsia="Times New Roman" w:hAnsiTheme="minorHAnsi" w:cs="Arial"/>
                <w:b/>
                <w:bCs/>
                <w:sz w:val="20"/>
                <w:szCs w:val="20"/>
                <w:lang w:eastAsia="en-GB"/>
              </w:rPr>
              <w:t>(</w:t>
            </w:r>
            <w:r w:rsidR="00C42F6F" w:rsidRPr="00421152">
              <w:rPr>
                <w:rFonts w:asciiTheme="minorHAnsi" w:eastAsia="Times New Roman" w:hAnsiTheme="minorHAnsi" w:cs="Arial"/>
                <w:b/>
                <w:bCs/>
                <w:sz w:val="20"/>
                <w:szCs w:val="20"/>
                <w:lang w:eastAsia="en-GB"/>
              </w:rPr>
              <w:t>Over-expenditure</w:t>
            </w:r>
            <w:r w:rsidR="00656BBF">
              <w:rPr>
                <w:rFonts w:asciiTheme="minorHAnsi" w:eastAsia="Times New Roman" w:hAnsiTheme="minorHAnsi" w:cs="Arial"/>
                <w:b/>
                <w:bCs/>
                <w:sz w:val="20"/>
                <w:szCs w:val="20"/>
                <w:lang w:eastAsia="en-GB"/>
              </w:rPr>
              <w:t>)</w:t>
            </w:r>
            <w:r w:rsidR="00C42F6F" w:rsidRPr="00421152">
              <w:rPr>
                <w:rFonts w:asciiTheme="minorHAnsi" w:eastAsia="Times New Roman" w:hAnsiTheme="minorHAnsi" w:cs="Arial"/>
                <w:b/>
                <w:bCs/>
                <w:sz w:val="20"/>
                <w:szCs w:val="20"/>
                <w:lang w:eastAsia="en-GB"/>
              </w:rPr>
              <w:t xml:space="preserve"> 2018</w:t>
            </w:r>
          </w:p>
        </w:tc>
        <w:tc>
          <w:tcPr>
            <w:tcW w:w="5465" w:type="dxa"/>
            <w:tcBorders>
              <w:right w:val="single" w:sz="4" w:space="0" w:color="auto"/>
            </w:tcBorders>
            <w:shd w:val="clear" w:color="auto" w:fill="DBE5F1" w:themeFill="accent1" w:themeFillTint="33"/>
            <w:noWrap/>
            <w:vAlign w:val="center"/>
            <w:hideMark/>
          </w:tcPr>
          <w:p w14:paraId="3AB6866E" w14:textId="77777777" w:rsidR="002468FA" w:rsidRPr="00421152" w:rsidRDefault="002468FA" w:rsidP="002468FA">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Comments</w:t>
            </w:r>
          </w:p>
        </w:tc>
      </w:tr>
      <w:tr w:rsidR="002468FA" w:rsidRPr="00421152" w14:paraId="2554EF89" w14:textId="77777777" w:rsidTr="003B0BC9">
        <w:trPr>
          <w:cantSplit/>
        </w:trPr>
        <w:tc>
          <w:tcPr>
            <w:tcW w:w="2410" w:type="dxa"/>
            <w:tcBorders>
              <w:right w:val="single" w:sz="4" w:space="0" w:color="auto"/>
            </w:tcBorders>
            <w:shd w:val="clear" w:color="auto" w:fill="auto"/>
            <w:noWrap/>
            <w:hideMark/>
          </w:tcPr>
          <w:p w14:paraId="21A098D0"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Senior Management</w:t>
            </w:r>
          </w:p>
        </w:tc>
        <w:tc>
          <w:tcPr>
            <w:tcW w:w="1418" w:type="dxa"/>
            <w:tcBorders>
              <w:left w:val="single" w:sz="4" w:space="0" w:color="auto"/>
            </w:tcBorders>
            <w:shd w:val="clear" w:color="auto" w:fill="auto"/>
            <w:noWrap/>
            <w:hideMark/>
          </w:tcPr>
          <w:p w14:paraId="29132FD7" w14:textId="77777777" w:rsidR="002468FA" w:rsidRPr="00421152" w:rsidRDefault="002468FA"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1</w:t>
            </w:r>
            <w:r w:rsidR="00FF2DC2" w:rsidRPr="00421152">
              <w:rPr>
                <w:rFonts w:asciiTheme="minorHAnsi" w:hAnsiTheme="minorHAnsi" w:cs="Arial"/>
                <w:color w:val="000000"/>
                <w:sz w:val="20"/>
                <w:szCs w:val="20"/>
              </w:rPr>
              <w:t>10</w:t>
            </w:r>
          </w:p>
        </w:tc>
        <w:tc>
          <w:tcPr>
            <w:tcW w:w="5465" w:type="dxa"/>
            <w:tcBorders>
              <w:bottom w:val="single" w:sz="4" w:space="0" w:color="auto"/>
              <w:right w:val="single" w:sz="4" w:space="0" w:color="auto"/>
            </w:tcBorders>
            <w:shd w:val="clear" w:color="auto" w:fill="auto"/>
            <w:noWrap/>
            <w:hideMark/>
          </w:tcPr>
          <w:p w14:paraId="601F217F" w14:textId="5A8941DD" w:rsidR="002468FA" w:rsidRPr="00421152" w:rsidRDefault="002468FA" w:rsidP="00870CB6">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Vacancy of </w:t>
            </w:r>
            <w:r w:rsidR="00FF2DC2" w:rsidRPr="00421152">
              <w:rPr>
                <w:rFonts w:asciiTheme="minorHAnsi" w:eastAsia="Times New Roman" w:hAnsiTheme="minorHAnsi" w:cs="Arial"/>
                <w:sz w:val="20"/>
                <w:szCs w:val="20"/>
                <w:lang w:eastAsia="en-GB"/>
              </w:rPr>
              <w:t xml:space="preserve">(i) </w:t>
            </w:r>
            <w:r w:rsidRPr="00421152">
              <w:rPr>
                <w:rFonts w:asciiTheme="minorHAnsi" w:eastAsia="Times New Roman" w:hAnsiTheme="minorHAnsi" w:cs="Arial"/>
                <w:sz w:val="20"/>
                <w:szCs w:val="20"/>
                <w:lang w:eastAsia="en-GB"/>
              </w:rPr>
              <w:t xml:space="preserve">Deputy position for the </w:t>
            </w:r>
            <w:r w:rsidR="00FF2DC2" w:rsidRPr="00421152">
              <w:rPr>
                <w:rFonts w:asciiTheme="minorHAnsi" w:eastAsia="Times New Roman" w:hAnsiTheme="minorHAnsi" w:cs="Arial"/>
                <w:sz w:val="20"/>
                <w:szCs w:val="20"/>
                <w:lang w:eastAsia="en-GB"/>
              </w:rPr>
              <w:t xml:space="preserve">end of </w:t>
            </w:r>
            <w:r w:rsidRPr="00421152">
              <w:rPr>
                <w:rFonts w:asciiTheme="minorHAnsi" w:eastAsia="Times New Roman" w:hAnsiTheme="minorHAnsi" w:cs="Arial"/>
                <w:sz w:val="20"/>
                <w:szCs w:val="20"/>
                <w:lang w:eastAsia="en-GB"/>
              </w:rPr>
              <w:t>201</w:t>
            </w:r>
            <w:r w:rsidR="00FF2DC2" w:rsidRPr="00421152">
              <w:rPr>
                <w:rFonts w:asciiTheme="minorHAnsi" w:eastAsia="Times New Roman" w:hAnsiTheme="minorHAnsi" w:cs="Arial"/>
                <w:sz w:val="20"/>
                <w:szCs w:val="20"/>
                <w:lang w:eastAsia="en-GB"/>
              </w:rPr>
              <w:t xml:space="preserve">8 and (ii) </w:t>
            </w:r>
            <w:r w:rsidR="0044415F" w:rsidRPr="00421152">
              <w:rPr>
                <w:rFonts w:asciiTheme="minorHAnsi" w:eastAsia="Times New Roman" w:hAnsiTheme="minorHAnsi" w:cs="Arial"/>
                <w:sz w:val="20"/>
                <w:szCs w:val="20"/>
                <w:lang w:eastAsia="en-GB"/>
              </w:rPr>
              <w:t>C</w:t>
            </w:r>
            <w:r w:rsidR="00FF2DC2" w:rsidRPr="00421152">
              <w:rPr>
                <w:rFonts w:asciiTheme="minorHAnsi" w:eastAsia="Times New Roman" w:hAnsiTheme="minorHAnsi" w:cs="Arial"/>
                <w:sz w:val="20"/>
                <w:szCs w:val="20"/>
                <w:lang w:eastAsia="en-GB"/>
              </w:rPr>
              <w:t xml:space="preserve">onference </w:t>
            </w:r>
            <w:r w:rsidR="0044415F" w:rsidRPr="00421152">
              <w:rPr>
                <w:rFonts w:asciiTheme="minorHAnsi" w:eastAsia="Times New Roman" w:hAnsiTheme="minorHAnsi" w:cs="Arial"/>
                <w:sz w:val="20"/>
                <w:szCs w:val="20"/>
                <w:lang w:eastAsia="en-GB"/>
              </w:rPr>
              <w:t>A</w:t>
            </w:r>
            <w:r w:rsidR="00FF2DC2" w:rsidRPr="00421152">
              <w:rPr>
                <w:rFonts w:asciiTheme="minorHAnsi" w:eastAsia="Times New Roman" w:hAnsiTheme="minorHAnsi" w:cs="Arial"/>
                <w:sz w:val="20"/>
                <w:szCs w:val="20"/>
                <w:lang w:eastAsia="en-GB"/>
              </w:rPr>
              <w:t xml:space="preserve">ssistant </w:t>
            </w:r>
            <w:r w:rsidR="00870CB6" w:rsidRPr="00421152">
              <w:rPr>
                <w:rFonts w:asciiTheme="minorHAnsi" w:eastAsia="Times New Roman" w:hAnsiTheme="minorHAnsi" w:cs="Arial"/>
                <w:sz w:val="20"/>
                <w:szCs w:val="20"/>
                <w:lang w:eastAsia="en-GB"/>
              </w:rPr>
              <w:t>4</w:t>
            </w:r>
            <w:r w:rsidR="00466E1C" w:rsidRPr="00421152">
              <w:rPr>
                <w:rFonts w:asciiTheme="minorHAnsi" w:eastAsia="Times New Roman" w:hAnsiTheme="minorHAnsi" w:cs="Arial"/>
                <w:sz w:val="20"/>
                <w:szCs w:val="20"/>
                <w:lang w:eastAsia="en-GB"/>
              </w:rPr>
              <w:t xml:space="preserve"> months</w:t>
            </w:r>
            <w:r w:rsidR="00FF2DC2" w:rsidRPr="00421152">
              <w:rPr>
                <w:rFonts w:asciiTheme="minorHAnsi" w:eastAsia="Times New Roman" w:hAnsiTheme="minorHAnsi" w:cs="Arial"/>
                <w:sz w:val="20"/>
                <w:szCs w:val="20"/>
                <w:lang w:eastAsia="en-GB"/>
              </w:rPr>
              <w:t xml:space="preserve"> - and lower other employment benefits</w:t>
            </w:r>
            <w:r w:rsidR="003B0BC9">
              <w:rPr>
                <w:rFonts w:asciiTheme="minorHAnsi" w:eastAsia="Times New Roman" w:hAnsiTheme="minorHAnsi" w:cs="Arial"/>
                <w:sz w:val="20"/>
                <w:szCs w:val="20"/>
                <w:lang w:eastAsia="en-GB"/>
              </w:rPr>
              <w:t>.</w:t>
            </w:r>
          </w:p>
        </w:tc>
      </w:tr>
      <w:tr w:rsidR="002468FA" w:rsidRPr="00421152" w14:paraId="456EDB59" w14:textId="77777777" w:rsidTr="003B0BC9">
        <w:trPr>
          <w:cantSplit/>
        </w:trPr>
        <w:tc>
          <w:tcPr>
            <w:tcW w:w="2410" w:type="dxa"/>
            <w:tcBorders>
              <w:right w:val="single" w:sz="4" w:space="0" w:color="auto"/>
            </w:tcBorders>
            <w:shd w:val="clear" w:color="auto" w:fill="auto"/>
            <w:noWrap/>
            <w:hideMark/>
          </w:tcPr>
          <w:p w14:paraId="467631E9"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Partnership Coordinator</w:t>
            </w:r>
          </w:p>
        </w:tc>
        <w:tc>
          <w:tcPr>
            <w:tcW w:w="1418" w:type="dxa"/>
            <w:tcBorders>
              <w:left w:val="single" w:sz="4" w:space="0" w:color="auto"/>
            </w:tcBorders>
            <w:shd w:val="clear" w:color="auto" w:fill="auto"/>
            <w:noWrap/>
            <w:hideMark/>
          </w:tcPr>
          <w:p w14:paraId="3F659B00" w14:textId="77777777" w:rsidR="002468FA" w:rsidRPr="00421152" w:rsidRDefault="00FF2DC2"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7</w:t>
            </w:r>
          </w:p>
        </w:tc>
        <w:tc>
          <w:tcPr>
            <w:tcW w:w="5465" w:type="dxa"/>
            <w:tcBorders>
              <w:right w:val="single" w:sz="4" w:space="0" w:color="auto"/>
            </w:tcBorders>
            <w:shd w:val="clear" w:color="auto" w:fill="auto"/>
            <w:noWrap/>
            <w:hideMark/>
          </w:tcPr>
          <w:p w14:paraId="37F8234C" w14:textId="6E272990" w:rsidR="002468FA" w:rsidRPr="00421152" w:rsidRDefault="00401624" w:rsidP="002468FA">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S</w:t>
            </w:r>
            <w:r w:rsidR="0093795D" w:rsidRPr="00421152">
              <w:rPr>
                <w:rFonts w:asciiTheme="minorHAnsi" w:eastAsia="Times New Roman" w:hAnsiTheme="minorHAnsi" w:cs="Arial"/>
                <w:sz w:val="20"/>
                <w:szCs w:val="20"/>
                <w:lang w:eastAsia="en-GB"/>
              </w:rPr>
              <w:t>mall savings on other employment benefits and travel</w:t>
            </w:r>
            <w:r w:rsidR="003B0BC9">
              <w:rPr>
                <w:rFonts w:asciiTheme="minorHAnsi" w:eastAsia="Times New Roman" w:hAnsiTheme="minorHAnsi" w:cs="Arial"/>
                <w:sz w:val="20"/>
                <w:szCs w:val="20"/>
                <w:lang w:eastAsia="en-GB"/>
              </w:rPr>
              <w:t>.</w:t>
            </w:r>
          </w:p>
        </w:tc>
      </w:tr>
      <w:tr w:rsidR="002468FA" w:rsidRPr="00421152" w14:paraId="57AA50F8" w14:textId="77777777" w:rsidTr="003B0BC9">
        <w:trPr>
          <w:cantSplit/>
        </w:trPr>
        <w:tc>
          <w:tcPr>
            <w:tcW w:w="2410" w:type="dxa"/>
            <w:tcBorders>
              <w:right w:val="single" w:sz="4" w:space="0" w:color="auto"/>
            </w:tcBorders>
            <w:shd w:val="clear" w:color="auto" w:fill="auto"/>
            <w:noWrap/>
            <w:hideMark/>
          </w:tcPr>
          <w:p w14:paraId="48E1BCC6"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Regional Advice and Support</w:t>
            </w:r>
          </w:p>
        </w:tc>
        <w:tc>
          <w:tcPr>
            <w:tcW w:w="1418" w:type="dxa"/>
            <w:tcBorders>
              <w:left w:val="single" w:sz="4" w:space="0" w:color="auto"/>
            </w:tcBorders>
            <w:shd w:val="clear" w:color="auto" w:fill="auto"/>
            <w:noWrap/>
            <w:hideMark/>
          </w:tcPr>
          <w:p w14:paraId="1713D0CC" w14:textId="77777777" w:rsidR="002468FA" w:rsidRPr="00421152" w:rsidRDefault="00FF2DC2"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77</w:t>
            </w:r>
          </w:p>
        </w:tc>
        <w:tc>
          <w:tcPr>
            <w:tcW w:w="5465" w:type="dxa"/>
            <w:tcBorders>
              <w:bottom w:val="single" w:sz="4" w:space="0" w:color="auto"/>
              <w:right w:val="single" w:sz="4" w:space="0" w:color="auto"/>
            </w:tcBorders>
            <w:shd w:val="clear" w:color="auto" w:fill="auto"/>
            <w:noWrap/>
            <w:hideMark/>
          </w:tcPr>
          <w:p w14:paraId="6E3DE5EB" w14:textId="2A96DE6B" w:rsidR="002468FA" w:rsidRPr="00421152" w:rsidRDefault="00FF2DC2" w:rsidP="00FF2DC2">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b/>
                <w:sz w:val="20"/>
                <w:szCs w:val="20"/>
                <w:lang w:eastAsia="en-GB"/>
              </w:rPr>
              <w:t>66</w:t>
            </w:r>
            <w:r w:rsidR="002468FA" w:rsidRPr="00421152">
              <w:rPr>
                <w:rFonts w:asciiTheme="minorHAnsi" w:eastAsia="Times New Roman" w:hAnsiTheme="minorHAnsi" w:cs="Arial"/>
                <w:b/>
                <w:sz w:val="20"/>
                <w:szCs w:val="20"/>
                <w:lang w:eastAsia="en-GB"/>
              </w:rPr>
              <w:t>K balance for Ramsar Advisory Missions to be spent in 201</w:t>
            </w:r>
            <w:r w:rsidRPr="00421152">
              <w:rPr>
                <w:rFonts w:asciiTheme="minorHAnsi" w:eastAsia="Times New Roman" w:hAnsiTheme="minorHAnsi" w:cs="Arial"/>
                <w:b/>
                <w:sz w:val="20"/>
                <w:szCs w:val="20"/>
                <w:lang w:eastAsia="en-GB"/>
              </w:rPr>
              <w:t>9</w:t>
            </w:r>
            <w:r w:rsidR="003B0BC9">
              <w:rPr>
                <w:rFonts w:asciiTheme="minorHAnsi" w:eastAsia="Times New Roman" w:hAnsiTheme="minorHAnsi" w:cs="Arial"/>
                <w:b/>
                <w:sz w:val="20"/>
                <w:szCs w:val="20"/>
                <w:lang w:eastAsia="en-GB"/>
              </w:rPr>
              <w:t>.</w:t>
            </w:r>
          </w:p>
        </w:tc>
      </w:tr>
      <w:tr w:rsidR="002468FA" w:rsidRPr="00421152" w14:paraId="3E7DD27A" w14:textId="77777777" w:rsidTr="003B0BC9">
        <w:trPr>
          <w:cantSplit/>
        </w:trPr>
        <w:tc>
          <w:tcPr>
            <w:tcW w:w="2410" w:type="dxa"/>
            <w:tcBorders>
              <w:right w:val="single" w:sz="4" w:space="0" w:color="auto"/>
            </w:tcBorders>
            <w:shd w:val="clear" w:color="auto" w:fill="auto"/>
            <w:noWrap/>
            <w:hideMark/>
          </w:tcPr>
          <w:p w14:paraId="3BF129D0" w14:textId="49F4E99C"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Support to </w:t>
            </w:r>
            <w:r w:rsidR="003165A3">
              <w:rPr>
                <w:rFonts w:asciiTheme="minorHAnsi" w:eastAsia="Times New Roman" w:hAnsiTheme="minorHAnsi" w:cs="Arial"/>
                <w:sz w:val="20"/>
                <w:szCs w:val="20"/>
                <w:lang w:eastAsia="en-GB"/>
              </w:rPr>
              <w:t xml:space="preserve">Ramsar </w:t>
            </w:r>
            <w:r w:rsidRPr="00421152">
              <w:rPr>
                <w:rFonts w:asciiTheme="minorHAnsi" w:eastAsia="Times New Roman" w:hAnsiTheme="minorHAnsi" w:cs="Arial"/>
                <w:sz w:val="20"/>
                <w:szCs w:val="20"/>
                <w:lang w:eastAsia="en-GB"/>
              </w:rPr>
              <w:t>Regional Initiatives</w:t>
            </w:r>
          </w:p>
        </w:tc>
        <w:tc>
          <w:tcPr>
            <w:tcW w:w="1418" w:type="dxa"/>
            <w:tcBorders>
              <w:left w:val="single" w:sz="4" w:space="0" w:color="auto"/>
            </w:tcBorders>
            <w:shd w:val="clear" w:color="auto" w:fill="auto"/>
            <w:noWrap/>
            <w:hideMark/>
          </w:tcPr>
          <w:p w14:paraId="2DDDE3BC" w14:textId="77777777" w:rsidR="002468FA" w:rsidRPr="00421152" w:rsidRDefault="00FF2DC2"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36</w:t>
            </w:r>
          </w:p>
        </w:tc>
        <w:tc>
          <w:tcPr>
            <w:tcW w:w="5465" w:type="dxa"/>
            <w:tcBorders>
              <w:right w:val="single" w:sz="4" w:space="0" w:color="auto"/>
            </w:tcBorders>
            <w:shd w:val="clear" w:color="auto" w:fill="auto"/>
            <w:noWrap/>
            <w:hideMark/>
          </w:tcPr>
          <w:p w14:paraId="34766E9A" w14:textId="031401D4" w:rsidR="002468FA" w:rsidRPr="00421152" w:rsidRDefault="002468FA" w:rsidP="00EF17AC">
            <w:pPr>
              <w:ind w:left="0" w:firstLine="0"/>
              <w:rPr>
                <w:rFonts w:asciiTheme="minorHAnsi" w:eastAsia="Times New Roman" w:hAnsiTheme="minorHAnsi" w:cs="Arial"/>
                <w:b/>
                <w:sz w:val="20"/>
                <w:szCs w:val="20"/>
                <w:lang w:eastAsia="en-GB"/>
              </w:rPr>
            </w:pPr>
            <w:r w:rsidRPr="00421152">
              <w:rPr>
                <w:rFonts w:asciiTheme="minorHAnsi" w:eastAsia="Times New Roman" w:hAnsiTheme="minorHAnsi" w:cs="Arial"/>
                <w:b/>
                <w:sz w:val="20"/>
                <w:szCs w:val="20"/>
                <w:lang w:eastAsia="en-GB"/>
              </w:rPr>
              <w:t>Balance to be spent in 201</w:t>
            </w:r>
            <w:r w:rsidR="00FF2DC2" w:rsidRPr="00421152">
              <w:rPr>
                <w:rFonts w:asciiTheme="minorHAnsi" w:eastAsia="Times New Roman" w:hAnsiTheme="minorHAnsi" w:cs="Arial"/>
                <w:b/>
                <w:sz w:val="20"/>
                <w:szCs w:val="20"/>
                <w:lang w:eastAsia="en-GB"/>
              </w:rPr>
              <w:t>9</w:t>
            </w:r>
            <w:r w:rsidR="003B0BC9">
              <w:rPr>
                <w:rFonts w:asciiTheme="minorHAnsi" w:eastAsia="Times New Roman" w:hAnsiTheme="minorHAnsi" w:cs="Arial"/>
                <w:b/>
                <w:sz w:val="20"/>
                <w:szCs w:val="20"/>
                <w:lang w:eastAsia="en-GB"/>
              </w:rPr>
              <w:t>.</w:t>
            </w:r>
          </w:p>
        </w:tc>
      </w:tr>
      <w:tr w:rsidR="002468FA" w:rsidRPr="00421152" w14:paraId="06448E4D" w14:textId="77777777" w:rsidTr="003B0BC9">
        <w:trPr>
          <w:cantSplit/>
        </w:trPr>
        <w:tc>
          <w:tcPr>
            <w:tcW w:w="2410" w:type="dxa"/>
            <w:tcBorders>
              <w:right w:val="single" w:sz="4" w:space="0" w:color="auto"/>
            </w:tcBorders>
            <w:shd w:val="clear" w:color="auto" w:fill="auto"/>
            <w:noWrap/>
            <w:hideMark/>
          </w:tcPr>
          <w:p w14:paraId="7C006590"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Scientific and Technical Services</w:t>
            </w:r>
          </w:p>
        </w:tc>
        <w:tc>
          <w:tcPr>
            <w:tcW w:w="1418" w:type="dxa"/>
            <w:tcBorders>
              <w:left w:val="single" w:sz="4" w:space="0" w:color="auto"/>
              <w:bottom w:val="single" w:sz="4" w:space="0" w:color="auto"/>
            </w:tcBorders>
            <w:shd w:val="clear" w:color="auto" w:fill="auto"/>
            <w:noWrap/>
            <w:hideMark/>
          </w:tcPr>
          <w:p w14:paraId="36453DF3" w14:textId="77777777" w:rsidR="002468FA" w:rsidRPr="00421152" w:rsidRDefault="00FF2DC2"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192</w:t>
            </w:r>
          </w:p>
        </w:tc>
        <w:tc>
          <w:tcPr>
            <w:tcW w:w="5465" w:type="dxa"/>
            <w:tcBorders>
              <w:bottom w:val="single" w:sz="4" w:space="0" w:color="auto"/>
              <w:right w:val="single" w:sz="4" w:space="0" w:color="auto"/>
            </w:tcBorders>
            <w:shd w:val="clear" w:color="auto" w:fill="auto"/>
            <w:noWrap/>
            <w:hideMark/>
          </w:tcPr>
          <w:p w14:paraId="196657D7" w14:textId="733F129E" w:rsidR="002468FA" w:rsidRPr="00421152" w:rsidRDefault="00127B41" w:rsidP="00947DA1">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72K</w:t>
            </w:r>
            <w:r w:rsidR="003B0BC9">
              <w:rPr>
                <w:rFonts w:asciiTheme="minorHAnsi" w:eastAsia="Times New Roman" w:hAnsiTheme="minorHAnsi" w:cs="Arial"/>
                <w:sz w:val="20"/>
                <w:szCs w:val="20"/>
                <w:lang w:eastAsia="en-GB"/>
              </w:rPr>
              <w:t>:</w:t>
            </w:r>
            <w:r w:rsidR="002468FA" w:rsidRPr="00421152">
              <w:rPr>
                <w:rFonts w:asciiTheme="minorHAnsi" w:eastAsia="Times New Roman" w:hAnsiTheme="minorHAnsi" w:cs="Arial"/>
                <w:sz w:val="20"/>
                <w:szCs w:val="20"/>
                <w:lang w:eastAsia="en-GB"/>
              </w:rPr>
              <w:t xml:space="preserve"> </w:t>
            </w:r>
            <w:r w:rsidR="003B0BC9" w:rsidRPr="00421152">
              <w:rPr>
                <w:rFonts w:asciiTheme="minorHAnsi" w:eastAsia="Times New Roman" w:hAnsiTheme="minorHAnsi" w:cs="Arial"/>
                <w:sz w:val="20"/>
                <w:szCs w:val="20"/>
                <w:lang w:eastAsia="en-GB"/>
              </w:rPr>
              <w:t xml:space="preserve">Vacancies </w:t>
            </w:r>
            <w:r w:rsidR="003B0BC9">
              <w:rPr>
                <w:rFonts w:asciiTheme="minorHAnsi" w:eastAsia="Times New Roman" w:hAnsiTheme="minorHAnsi" w:cs="Arial"/>
                <w:sz w:val="20"/>
                <w:szCs w:val="20"/>
                <w:lang w:eastAsia="en-GB"/>
              </w:rPr>
              <w:t xml:space="preserve">of </w:t>
            </w:r>
            <w:r w:rsidRPr="00421152">
              <w:rPr>
                <w:rFonts w:asciiTheme="minorHAnsi" w:eastAsia="Times New Roman" w:hAnsiTheme="minorHAnsi" w:cs="Arial"/>
                <w:sz w:val="20"/>
                <w:szCs w:val="20"/>
                <w:lang w:eastAsia="en-GB"/>
              </w:rPr>
              <w:t xml:space="preserve">Oceania Regional Officer 6 months and Asia Regional </w:t>
            </w:r>
            <w:r w:rsidR="004E06D3" w:rsidRPr="00421152">
              <w:rPr>
                <w:rFonts w:asciiTheme="minorHAnsi" w:eastAsia="Times New Roman" w:hAnsiTheme="minorHAnsi" w:cs="Arial"/>
                <w:sz w:val="20"/>
                <w:szCs w:val="20"/>
                <w:lang w:eastAsia="en-GB"/>
              </w:rPr>
              <w:t>Advisor</w:t>
            </w:r>
            <w:r w:rsidRPr="00421152">
              <w:rPr>
                <w:rFonts w:asciiTheme="minorHAnsi" w:eastAsia="Times New Roman" w:hAnsiTheme="minorHAnsi" w:cs="Arial"/>
                <w:sz w:val="20"/>
                <w:szCs w:val="20"/>
                <w:lang w:eastAsia="en-GB"/>
              </w:rPr>
              <w:t xml:space="preserve"> </w:t>
            </w:r>
            <w:r w:rsidR="00D803EF" w:rsidRPr="00421152">
              <w:rPr>
                <w:rFonts w:asciiTheme="minorHAnsi" w:eastAsia="Times New Roman" w:hAnsiTheme="minorHAnsi" w:cs="Arial"/>
                <w:sz w:val="20"/>
                <w:szCs w:val="20"/>
                <w:lang w:eastAsia="en-GB"/>
              </w:rPr>
              <w:t>2</w:t>
            </w:r>
            <w:r w:rsidR="00466E1C" w:rsidRPr="00421152">
              <w:rPr>
                <w:rFonts w:asciiTheme="minorHAnsi" w:eastAsia="Times New Roman" w:hAnsiTheme="minorHAnsi" w:cs="Arial"/>
                <w:sz w:val="20"/>
                <w:szCs w:val="20"/>
                <w:lang w:eastAsia="en-GB"/>
              </w:rPr>
              <w:t xml:space="preserve"> months</w:t>
            </w:r>
            <w:r w:rsidRPr="00421152">
              <w:rPr>
                <w:rFonts w:asciiTheme="minorHAnsi" w:eastAsia="Times New Roman" w:hAnsiTheme="minorHAnsi" w:cs="Arial"/>
                <w:sz w:val="20"/>
                <w:szCs w:val="20"/>
                <w:lang w:eastAsia="en-GB"/>
              </w:rPr>
              <w:t>;</w:t>
            </w:r>
            <w:r w:rsidR="002468FA" w:rsidRPr="00421152">
              <w:rPr>
                <w:rFonts w:asciiTheme="minorHAnsi" w:eastAsia="Times New Roman" w:hAnsiTheme="minorHAnsi" w:cs="Arial"/>
                <w:sz w:val="20"/>
                <w:szCs w:val="20"/>
                <w:lang w:eastAsia="en-GB"/>
              </w:rPr>
              <w:t xml:space="preserve"> </w:t>
            </w:r>
            <w:r w:rsidR="00FF2DC2" w:rsidRPr="00421152">
              <w:rPr>
                <w:rFonts w:asciiTheme="minorHAnsi" w:eastAsia="Times New Roman" w:hAnsiTheme="minorHAnsi" w:cs="Arial"/>
                <w:b/>
                <w:sz w:val="20"/>
                <w:szCs w:val="20"/>
                <w:lang w:eastAsia="en-GB"/>
              </w:rPr>
              <w:t>44K Strategic Plan (2019-2021) to be spent in 2019</w:t>
            </w:r>
            <w:r w:rsidRPr="00421152">
              <w:rPr>
                <w:rFonts w:asciiTheme="minorHAnsi" w:eastAsia="Times New Roman" w:hAnsiTheme="minorHAnsi" w:cs="Arial"/>
                <w:b/>
                <w:sz w:val="20"/>
                <w:szCs w:val="20"/>
                <w:lang w:eastAsia="en-GB"/>
              </w:rPr>
              <w:t>;</w:t>
            </w:r>
            <w:r w:rsidR="00FF2DC2" w:rsidRPr="00421152">
              <w:rPr>
                <w:rFonts w:asciiTheme="minorHAnsi" w:eastAsia="Times New Roman" w:hAnsiTheme="minorHAnsi" w:cs="Arial"/>
                <w:b/>
                <w:sz w:val="20"/>
                <w:szCs w:val="20"/>
                <w:lang w:eastAsia="en-GB"/>
              </w:rPr>
              <w:t xml:space="preserve"> 70K SDG 6.6</w:t>
            </w:r>
            <w:r w:rsidR="0044415F" w:rsidRPr="00421152">
              <w:rPr>
                <w:rFonts w:asciiTheme="minorHAnsi" w:eastAsia="Times New Roman" w:hAnsiTheme="minorHAnsi" w:cs="Arial"/>
                <w:b/>
                <w:sz w:val="20"/>
                <w:szCs w:val="20"/>
                <w:lang w:eastAsia="en-GB"/>
              </w:rPr>
              <w:t>.</w:t>
            </w:r>
            <w:r w:rsidR="00FF2DC2" w:rsidRPr="00421152">
              <w:rPr>
                <w:rFonts w:asciiTheme="minorHAnsi" w:eastAsia="Times New Roman" w:hAnsiTheme="minorHAnsi" w:cs="Arial"/>
                <w:b/>
                <w:sz w:val="20"/>
                <w:szCs w:val="20"/>
                <w:lang w:eastAsia="en-GB"/>
              </w:rPr>
              <w:t>1 to be spent in 2019</w:t>
            </w:r>
            <w:r w:rsidR="0023128B" w:rsidRPr="00421152">
              <w:rPr>
                <w:rFonts w:asciiTheme="minorHAnsi" w:eastAsia="Times New Roman" w:hAnsiTheme="minorHAnsi" w:cs="Arial"/>
                <w:b/>
                <w:sz w:val="20"/>
                <w:szCs w:val="20"/>
                <w:lang w:eastAsia="en-GB"/>
              </w:rPr>
              <w:t>; and net overspend of CHF 8K for STRP meetings and implementation (overspend amount to be reimbursed from STRP non-core</w:t>
            </w:r>
            <w:r w:rsidR="0019556E">
              <w:rPr>
                <w:rFonts w:asciiTheme="minorHAnsi" w:eastAsia="Times New Roman" w:hAnsiTheme="minorHAnsi" w:cs="Arial"/>
                <w:b/>
                <w:sz w:val="20"/>
                <w:szCs w:val="20"/>
                <w:lang w:eastAsia="en-GB"/>
              </w:rPr>
              <w:t xml:space="preserve"> project balance to core</w:t>
            </w:r>
            <w:r w:rsidR="0023128B" w:rsidRPr="00421152">
              <w:rPr>
                <w:rFonts w:asciiTheme="minorHAnsi" w:eastAsia="Times New Roman" w:hAnsiTheme="minorHAnsi" w:cs="Arial"/>
                <w:b/>
                <w:sz w:val="20"/>
                <w:szCs w:val="20"/>
                <w:lang w:eastAsia="en-GB"/>
              </w:rPr>
              <w:t>)</w:t>
            </w:r>
            <w:r w:rsidR="003B0BC9">
              <w:rPr>
                <w:rFonts w:asciiTheme="minorHAnsi" w:eastAsia="Times New Roman" w:hAnsiTheme="minorHAnsi" w:cs="Arial"/>
                <w:b/>
                <w:sz w:val="20"/>
                <w:szCs w:val="20"/>
                <w:lang w:eastAsia="en-GB"/>
              </w:rPr>
              <w:t>.</w:t>
            </w:r>
          </w:p>
        </w:tc>
      </w:tr>
      <w:tr w:rsidR="002468FA" w:rsidRPr="00421152" w14:paraId="1042C85A" w14:textId="77777777" w:rsidTr="003B0BC9">
        <w:trPr>
          <w:cantSplit/>
        </w:trPr>
        <w:tc>
          <w:tcPr>
            <w:tcW w:w="2410" w:type="dxa"/>
            <w:tcBorders>
              <w:right w:val="single" w:sz="4" w:space="0" w:color="auto"/>
            </w:tcBorders>
            <w:shd w:val="clear" w:color="auto" w:fill="auto"/>
            <w:noWrap/>
            <w:hideMark/>
          </w:tcPr>
          <w:p w14:paraId="0F13E67C"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Communications</w:t>
            </w:r>
          </w:p>
        </w:tc>
        <w:tc>
          <w:tcPr>
            <w:tcW w:w="1418" w:type="dxa"/>
            <w:tcBorders>
              <w:left w:val="single" w:sz="4" w:space="0" w:color="auto"/>
              <w:bottom w:val="single" w:sz="4" w:space="0" w:color="auto"/>
              <w:right w:val="single" w:sz="4" w:space="0" w:color="auto"/>
            </w:tcBorders>
            <w:shd w:val="clear" w:color="auto" w:fill="auto"/>
            <w:noWrap/>
            <w:hideMark/>
          </w:tcPr>
          <w:p w14:paraId="097DD39B" w14:textId="77777777" w:rsidR="002468FA" w:rsidRPr="00421152" w:rsidRDefault="00127B41"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63</w:t>
            </w:r>
          </w:p>
        </w:tc>
        <w:tc>
          <w:tcPr>
            <w:tcW w:w="5465" w:type="dxa"/>
            <w:tcBorders>
              <w:left w:val="single" w:sz="4" w:space="0" w:color="auto"/>
              <w:right w:val="single" w:sz="4" w:space="0" w:color="auto"/>
            </w:tcBorders>
            <w:shd w:val="clear" w:color="auto" w:fill="auto"/>
            <w:noWrap/>
            <w:hideMark/>
          </w:tcPr>
          <w:p w14:paraId="57ED6974" w14:textId="77777777" w:rsidR="00FC5AAA" w:rsidRPr="00FC5AAA" w:rsidRDefault="00127B41" w:rsidP="00FC5AA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27</w:t>
            </w:r>
            <w:r w:rsidR="002468FA" w:rsidRPr="00421152">
              <w:rPr>
                <w:rFonts w:asciiTheme="minorHAnsi" w:eastAsia="Times New Roman" w:hAnsiTheme="minorHAnsi" w:cs="Arial"/>
                <w:sz w:val="20"/>
                <w:szCs w:val="20"/>
                <w:lang w:eastAsia="en-GB"/>
              </w:rPr>
              <w:t xml:space="preserve">K balance in </w:t>
            </w:r>
            <w:r w:rsidR="00FC5AAA" w:rsidRPr="00FC5AAA">
              <w:rPr>
                <w:rFonts w:asciiTheme="minorHAnsi" w:eastAsia="Times New Roman" w:hAnsiTheme="minorHAnsi" w:cs="Arial"/>
                <w:sz w:val="20"/>
                <w:szCs w:val="20"/>
                <w:lang w:eastAsia="en-GB"/>
              </w:rPr>
              <w:t>communication, capacity building,</w:t>
            </w:r>
          </w:p>
          <w:p w14:paraId="3B2B8965" w14:textId="0B1CFBDD" w:rsidR="002468FA" w:rsidRPr="00421152" w:rsidRDefault="00FC5AAA" w:rsidP="00FC5AAA">
            <w:pPr>
              <w:ind w:left="0" w:firstLine="0"/>
              <w:rPr>
                <w:rFonts w:asciiTheme="minorHAnsi" w:eastAsia="Times New Roman" w:hAnsiTheme="minorHAnsi" w:cs="Arial"/>
                <w:sz w:val="20"/>
                <w:szCs w:val="20"/>
                <w:lang w:eastAsia="en-GB"/>
              </w:rPr>
            </w:pPr>
            <w:r w:rsidRPr="00FC5AAA">
              <w:rPr>
                <w:rFonts w:asciiTheme="minorHAnsi" w:eastAsia="Times New Roman" w:hAnsiTheme="minorHAnsi" w:cs="Arial"/>
                <w:sz w:val="20"/>
                <w:szCs w:val="20"/>
                <w:lang w:eastAsia="en-GB"/>
              </w:rPr>
              <w:t xml:space="preserve">education, participation and awareness (CEPA) </w:t>
            </w:r>
            <w:r w:rsidR="002468FA" w:rsidRPr="00421152">
              <w:rPr>
                <w:rFonts w:asciiTheme="minorHAnsi" w:eastAsia="Times New Roman" w:hAnsiTheme="minorHAnsi" w:cs="Arial"/>
                <w:sz w:val="20"/>
                <w:szCs w:val="20"/>
                <w:lang w:eastAsia="en-GB"/>
              </w:rPr>
              <w:t>program</w:t>
            </w:r>
            <w:r w:rsidR="003B0BC9">
              <w:rPr>
                <w:rFonts w:asciiTheme="minorHAnsi" w:eastAsia="Times New Roman" w:hAnsiTheme="minorHAnsi" w:cs="Arial"/>
                <w:sz w:val="20"/>
                <w:szCs w:val="20"/>
                <w:lang w:eastAsia="en-GB"/>
              </w:rPr>
              <w:t>me</w:t>
            </w:r>
            <w:r w:rsidR="002468FA" w:rsidRPr="00421152">
              <w:rPr>
                <w:rFonts w:asciiTheme="minorHAnsi" w:eastAsia="Times New Roman" w:hAnsiTheme="minorHAnsi" w:cs="Arial"/>
                <w:sz w:val="20"/>
                <w:szCs w:val="20"/>
                <w:lang w:eastAsia="en-GB"/>
              </w:rPr>
              <w:t xml:space="preserve"> and </w:t>
            </w:r>
            <w:r w:rsidR="00DD24F7" w:rsidRPr="00421152">
              <w:rPr>
                <w:rFonts w:asciiTheme="minorHAnsi" w:eastAsia="Times New Roman" w:hAnsiTheme="minorHAnsi" w:cs="Arial"/>
                <w:sz w:val="20"/>
                <w:szCs w:val="20"/>
                <w:lang w:eastAsia="en-GB"/>
              </w:rPr>
              <w:t xml:space="preserve">38K </w:t>
            </w:r>
            <w:r w:rsidR="002468FA" w:rsidRPr="00421152">
              <w:rPr>
                <w:rFonts w:asciiTheme="minorHAnsi" w:eastAsia="Times New Roman" w:hAnsiTheme="minorHAnsi" w:cs="Arial"/>
                <w:sz w:val="20"/>
                <w:szCs w:val="20"/>
                <w:lang w:eastAsia="en-GB"/>
              </w:rPr>
              <w:t>communications</w:t>
            </w:r>
            <w:r w:rsidR="00A446A5">
              <w:rPr>
                <w:rFonts w:asciiTheme="minorHAnsi" w:eastAsia="Times New Roman" w:hAnsiTheme="minorHAnsi" w:cs="Arial"/>
                <w:sz w:val="20"/>
                <w:szCs w:val="20"/>
                <w:lang w:eastAsia="en-GB"/>
              </w:rPr>
              <w:t xml:space="preserve"> due to focus on COP13 with non-core budget provided by host</w:t>
            </w:r>
            <w:r w:rsidR="003B0BC9">
              <w:rPr>
                <w:rFonts w:asciiTheme="minorHAnsi" w:eastAsia="Times New Roman" w:hAnsiTheme="minorHAnsi" w:cs="Arial"/>
                <w:sz w:val="20"/>
                <w:szCs w:val="20"/>
                <w:lang w:eastAsia="en-GB"/>
              </w:rPr>
              <w:t>.</w:t>
            </w:r>
          </w:p>
        </w:tc>
      </w:tr>
      <w:tr w:rsidR="002468FA" w:rsidRPr="00421152" w14:paraId="03B57D92" w14:textId="77777777" w:rsidTr="003B0BC9">
        <w:trPr>
          <w:cantSplit/>
        </w:trPr>
        <w:tc>
          <w:tcPr>
            <w:tcW w:w="2410" w:type="dxa"/>
            <w:tcBorders>
              <w:right w:val="single" w:sz="4" w:space="0" w:color="auto"/>
            </w:tcBorders>
            <w:shd w:val="clear" w:color="auto" w:fill="auto"/>
            <w:noWrap/>
            <w:hideMark/>
          </w:tcPr>
          <w:p w14:paraId="6D0CE44F"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Administration/RSIS/Web</w:t>
            </w:r>
          </w:p>
        </w:tc>
        <w:tc>
          <w:tcPr>
            <w:tcW w:w="1418" w:type="dxa"/>
            <w:tcBorders>
              <w:left w:val="single" w:sz="4" w:space="0" w:color="auto"/>
              <w:right w:val="single" w:sz="4" w:space="0" w:color="auto"/>
            </w:tcBorders>
            <w:shd w:val="clear" w:color="auto" w:fill="auto"/>
            <w:noWrap/>
            <w:hideMark/>
          </w:tcPr>
          <w:p w14:paraId="4012C866" w14:textId="77777777" w:rsidR="002468FA" w:rsidRPr="00421152" w:rsidRDefault="00DD24F7"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215</w:t>
            </w:r>
          </w:p>
        </w:tc>
        <w:tc>
          <w:tcPr>
            <w:tcW w:w="5465" w:type="dxa"/>
            <w:tcBorders>
              <w:left w:val="single" w:sz="4" w:space="0" w:color="auto"/>
              <w:right w:val="single" w:sz="4" w:space="0" w:color="auto"/>
            </w:tcBorders>
            <w:shd w:val="clear" w:color="auto" w:fill="auto"/>
            <w:hideMark/>
          </w:tcPr>
          <w:p w14:paraId="2B9EBC95" w14:textId="0B9FDE70" w:rsidR="002468FA" w:rsidRPr="00421152" w:rsidRDefault="00DD24F7" w:rsidP="00870CB6">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105</w:t>
            </w:r>
            <w:r w:rsidR="003B0BC9">
              <w:rPr>
                <w:rFonts w:asciiTheme="minorHAnsi" w:eastAsia="Times New Roman" w:hAnsiTheme="minorHAnsi" w:cs="Arial"/>
                <w:sz w:val="20"/>
                <w:szCs w:val="20"/>
                <w:lang w:eastAsia="en-GB"/>
              </w:rPr>
              <w:t>K</w:t>
            </w:r>
            <w:r w:rsidRPr="00421152">
              <w:rPr>
                <w:rFonts w:asciiTheme="minorHAnsi" w:eastAsia="Times New Roman" w:hAnsiTheme="minorHAnsi" w:cs="Arial"/>
                <w:sz w:val="20"/>
                <w:szCs w:val="20"/>
                <w:lang w:eastAsia="en-GB"/>
              </w:rPr>
              <w:t xml:space="preserve"> staff hiring and departure costs </w:t>
            </w:r>
            <w:r w:rsidRPr="00421152">
              <w:rPr>
                <w:rFonts w:asciiTheme="minorHAnsi" w:eastAsia="Times New Roman" w:hAnsiTheme="minorHAnsi" w:cs="Arial"/>
                <w:b/>
                <w:sz w:val="20"/>
                <w:szCs w:val="20"/>
                <w:lang w:eastAsia="en-GB"/>
              </w:rPr>
              <w:t>(</w:t>
            </w:r>
            <w:r w:rsidR="00961C92" w:rsidRPr="00421152">
              <w:rPr>
                <w:rFonts w:asciiTheme="minorHAnsi" w:eastAsia="Times New Roman" w:hAnsiTheme="minorHAnsi" w:cs="Arial"/>
                <w:b/>
                <w:sz w:val="20"/>
                <w:szCs w:val="20"/>
                <w:lang w:eastAsia="en-GB"/>
              </w:rPr>
              <w:t>52</w:t>
            </w:r>
            <w:r w:rsidRPr="00421152">
              <w:rPr>
                <w:rFonts w:asciiTheme="minorHAnsi" w:eastAsia="Times New Roman" w:hAnsiTheme="minorHAnsi" w:cs="Arial"/>
                <w:b/>
                <w:sz w:val="20"/>
                <w:szCs w:val="20"/>
                <w:lang w:eastAsia="en-GB"/>
              </w:rPr>
              <w:t>K to be spent in 2019</w:t>
            </w:r>
            <w:r w:rsidRPr="00421152">
              <w:rPr>
                <w:rFonts w:asciiTheme="minorHAnsi" w:eastAsia="Times New Roman" w:hAnsiTheme="minorHAnsi" w:cs="Arial"/>
                <w:sz w:val="20"/>
                <w:szCs w:val="20"/>
                <w:lang w:eastAsia="en-GB"/>
              </w:rPr>
              <w:t xml:space="preserve">); </w:t>
            </w:r>
            <w:r w:rsidR="002468FA" w:rsidRPr="00421152">
              <w:rPr>
                <w:rFonts w:asciiTheme="minorHAnsi" w:eastAsia="Times New Roman" w:hAnsiTheme="minorHAnsi" w:cs="Arial"/>
                <w:sz w:val="20"/>
                <w:szCs w:val="20"/>
                <w:lang w:eastAsia="en-GB"/>
              </w:rPr>
              <w:t>7</w:t>
            </w:r>
            <w:r w:rsidRPr="00421152">
              <w:rPr>
                <w:rFonts w:asciiTheme="minorHAnsi" w:eastAsia="Times New Roman" w:hAnsiTheme="minorHAnsi" w:cs="Arial"/>
                <w:sz w:val="20"/>
                <w:szCs w:val="20"/>
                <w:lang w:eastAsia="en-GB"/>
              </w:rPr>
              <w:t>1</w:t>
            </w:r>
            <w:r w:rsidR="002468FA" w:rsidRPr="00421152">
              <w:rPr>
                <w:rFonts w:asciiTheme="minorHAnsi" w:eastAsia="Times New Roman" w:hAnsiTheme="minorHAnsi" w:cs="Arial"/>
                <w:sz w:val="20"/>
                <w:szCs w:val="20"/>
                <w:lang w:eastAsia="en-GB"/>
              </w:rPr>
              <w:t xml:space="preserve">K balance in RSIS and </w:t>
            </w:r>
            <w:r w:rsidRPr="00421152">
              <w:rPr>
                <w:rFonts w:asciiTheme="minorHAnsi" w:eastAsia="Times New Roman" w:hAnsiTheme="minorHAnsi" w:cs="Arial"/>
                <w:sz w:val="20"/>
                <w:szCs w:val="20"/>
                <w:lang w:eastAsia="en-GB"/>
              </w:rPr>
              <w:t>4</w:t>
            </w:r>
            <w:r w:rsidR="002468FA" w:rsidRPr="00421152">
              <w:rPr>
                <w:rFonts w:asciiTheme="minorHAnsi" w:eastAsia="Times New Roman" w:hAnsiTheme="minorHAnsi" w:cs="Arial"/>
                <w:sz w:val="20"/>
                <w:szCs w:val="20"/>
                <w:lang w:eastAsia="en-GB"/>
              </w:rPr>
              <w:t>2K balance in web support and development due to reduced needs in systems development</w:t>
            </w:r>
            <w:r w:rsidR="003B0BC9">
              <w:rPr>
                <w:rFonts w:asciiTheme="minorHAnsi" w:eastAsia="Times New Roman" w:hAnsiTheme="minorHAnsi" w:cs="Arial"/>
                <w:sz w:val="20"/>
                <w:szCs w:val="20"/>
                <w:lang w:eastAsia="en-GB"/>
              </w:rPr>
              <w:t>.</w:t>
            </w:r>
          </w:p>
        </w:tc>
      </w:tr>
      <w:tr w:rsidR="002468FA" w:rsidRPr="00421152" w14:paraId="64B80BE0" w14:textId="77777777" w:rsidTr="003B0BC9">
        <w:trPr>
          <w:cantSplit/>
        </w:trPr>
        <w:tc>
          <w:tcPr>
            <w:tcW w:w="2410" w:type="dxa"/>
            <w:tcBorders>
              <w:right w:val="single" w:sz="4" w:space="0" w:color="auto"/>
            </w:tcBorders>
            <w:shd w:val="clear" w:color="auto" w:fill="auto"/>
            <w:noWrap/>
            <w:hideMark/>
          </w:tcPr>
          <w:p w14:paraId="649EEA8E"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Operating Costs</w:t>
            </w:r>
          </w:p>
        </w:tc>
        <w:tc>
          <w:tcPr>
            <w:tcW w:w="1418" w:type="dxa"/>
            <w:tcBorders>
              <w:left w:val="single" w:sz="4" w:space="0" w:color="auto"/>
            </w:tcBorders>
            <w:shd w:val="clear" w:color="auto" w:fill="auto"/>
            <w:noWrap/>
            <w:hideMark/>
          </w:tcPr>
          <w:p w14:paraId="3F994358" w14:textId="77777777" w:rsidR="002468FA" w:rsidRPr="00421152" w:rsidRDefault="007C7095"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90</w:t>
            </w:r>
          </w:p>
        </w:tc>
        <w:tc>
          <w:tcPr>
            <w:tcW w:w="5465" w:type="dxa"/>
            <w:tcBorders>
              <w:right w:val="single" w:sz="4" w:space="0" w:color="auto"/>
            </w:tcBorders>
            <w:shd w:val="clear" w:color="auto" w:fill="auto"/>
            <w:noWrap/>
            <w:hideMark/>
          </w:tcPr>
          <w:p w14:paraId="75B9672C" w14:textId="4F101C9F" w:rsidR="002468FA" w:rsidRPr="00421152" w:rsidRDefault="007C7095" w:rsidP="003B0BC9">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b/>
                <w:sz w:val="20"/>
                <w:szCs w:val="20"/>
                <w:lang w:eastAsia="en-GB"/>
              </w:rPr>
              <w:t>81</w:t>
            </w:r>
            <w:r w:rsidR="002468FA" w:rsidRPr="00421152">
              <w:rPr>
                <w:rFonts w:asciiTheme="minorHAnsi" w:eastAsia="Times New Roman" w:hAnsiTheme="minorHAnsi" w:cs="Arial"/>
                <w:b/>
                <w:sz w:val="20"/>
                <w:szCs w:val="20"/>
                <w:lang w:eastAsia="en-GB"/>
              </w:rPr>
              <w:t>K planning and capacity</w:t>
            </w:r>
            <w:r w:rsidR="003B0BC9">
              <w:rPr>
                <w:rFonts w:asciiTheme="minorHAnsi" w:eastAsia="Times New Roman" w:hAnsiTheme="minorHAnsi" w:cs="Arial"/>
                <w:b/>
                <w:sz w:val="20"/>
                <w:szCs w:val="20"/>
                <w:lang w:eastAsia="en-GB"/>
              </w:rPr>
              <w:t xml:space="preserve"> </w:t>
            </w:r>
            <w:r w:rsidR="002468FA" w:rsidRPr="00421152">
              <w:rPr>
                <w:rFonts w:asciiTheme="minorHAnsi" w:eastAsia="Times New Roman" w:hAnsiTheme="minorHAnsi" w:cs="Arial"/>
                <w:b/>
                <w:sz w:val="20"/>
                <w:szCs w:val="20"/>
                <w:lang w:eastAsia="en-GB"/>
              </w:rPr>
              <w:t>building to be spent in 201</w:t>
            </w:r>
            <w:r w:rsidRPr="00421152">
              <w:rPr>
                <w:rFonts w:asciiTheme="minorHAnsi" w:eastAsia="Times New Roman" w:hAnsiTheme="minorHAnsi" w:cs="Arial"/>
                <w:b/>
                <w:sz w:val="20"/>
                <w:szCs w:val="20"/>
                <w:lang w:eastAsia="en-GB"/>
              </w:rPr>
              <w:t>9</w:t>
            </w:r>
            <w:r w:rsidR="00B3105C" w:rsidRPr="00421152">
              <w:rPr>
                <w:rFonts w:asciiTheme="minorHAnsi" w:eastAsia="Times New Roman" w:hAnsiTheme="minorHAnsi" w:cs="Arial"/>
                <w:b/>
                <w:sz w:val="20"/>
                <w:szCs w:val="20"/>
                <w:lang w:eastAsia="en-GB"/>
              </w:rPr>
              <w:t xml:space="preserve"> as it was </w:t>
            </w:r>
            <w:r w:rsidR="00A446A5">
              <w:rPr>
                <w:rFonts w:asciiTheme="minorHAnsi" w:eastAsia="Times New Roman" w:hAnsiTheme="minorHAnsi" w:cs="Arial"/>
                <w:b/>
                <w:sz w:val="20"/>
                <w:szCs w:val="20"/>
                <w:lang w:eastAsia="en-GB"/>
              </w:rPr>
              <w:t xml:space="preserve">not possible </w:t>
            </w:r>
            <w:r w:rsidR="00B3105C" w:rsidRPr="00421152">
              <w:rPr>
                <w:rFonts w:asciiTheme="minorHAnsi" w:eastAsia="Times New Roman" w:hAnsiTheme="minorHAnsi" w:cs="Arial"/>
                <w:b/>
                <w:sz w:val="20"/>
                <w:szCs w:val="20"/>
                <w:lang w:eastAsia="en-GB"/>
              </w:rPr>
              <w:t>to implement in a COP year.</w:t>
            </w:r>
          </w:p>
        </w:tc>
      </w:tr>
      <w:tr w:rsidR="002468FA" w:rsidRPr="00421152" w14:paraId="66051FE4" w14:textId="77777777" w:rsidTr="003B0BC9">
        <w:trPr>
          <w:cantSplit/>
        </w:trPr>
        <w:tc>
          <w:tcPr>
            <w:tcW w:w="2410" w:type="dxa"/>
            <w:tcBorders>
              <w:right w:val="single" w:sz="4" w:space="0" w:color="auto"/>
            </w:tcBorders>
            <w:shd w:val="clear" w:color="auto" w:fill="auto"/>
            <w:noWrap/>
            <w:hideMark/>
          </w:tcPr>
          <w:p w14:paraId="03AC8B30"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lastRenderedPageBreak/>
              <w:t>Standing Committee Services</w:t>
            </w:r>
          </w:p>
        </w:tc>
        <w:tc>
          <w:tcPr>
            <w:tcW w:w="1418" w:type="dxa"/>
            <w:tcBorders>
              <w:left w:val="single" w:sz="4" w:space="0" w:color="auto"/>
            </w:tcBorders>
            <w:shd w:val="clear" w:color="auto" w:fill="auto"/>
            <w:noWrap/>
            <w:hideMark/>
          </w:tcPr>
          <w:p w14:paraId="0D6458C1" w14:textId="77777777" w:rsidR="002468FA" w:rsidRPr="00421152" w:rsidRDefault="007C7095"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-4</w:t>
            </w:r>
          </w:p>
        </w:tc>
        <w:tc>
          <w:tcPr>
            <w:tcW w:w="5465" w:type="dxa"/>
            <w:tcBorders>
              <w:right w:val="single" w:sz="4" w:space="0" w:color="auto"/>
            </w:tcBorders>
            <w:shd w:val="clear" w:color="auto" w:fill="auto"/>
            <w:hideMark/>
          </w:tcPr>
          <w:p w14:paraId="5DAD8CF3" w14:textId="77777777" w:rsidR="002468FA" w:rsidRPr="00421152" w:rsidRDefault="002468FA" w:rsidP="002468FA">
            <w:pPr>
              <w:ind w:left="0" w:firstLine="0"/>
              <w:rPr>
                <w:rFonts w:asciiTheme="minorHAnsi" w:eastAsia="Times New Roman" w:hAnsiTheme="minorHAnsi" w:cs="Arial"/>
                <w:sz w:val="20"/>
                <w:szCs w:val="20"/>
                <w:lang w:eastAsia="en-GB"/>
              </w:rPr>
            </w:pPr>
          </w:p>
        </w:tc>
      </w:tr>
      <w:tr w:rsidR="002468FA" w:rsidRPr="00421152" w14:paraId="4952D2E6" w14:textId="77777777" w:rsidTr="003B0BC9">
        <w:trPr>
          <w:cantSplit/>
        </w:trPr>
        <w:tc>
          <w:tcPr>
            <w:tcW w:w="2410" w:type="dxa"/>
            <w:tcBorders>
              <w:right w:val="single" w:sz="4" w:space="0" w:color="auto"/>
            </w:tcBorders>
            <w:shd w:val="clear" w:color="auto" w:fill="auto"/>
            <w:noWrap/>
            <w:hideMark/>
          </w:tcPr>
          <w:p w14:paraId="6DA550F5"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IUCN Administrative Service Charges</w:t>
            </w:r>
          </w:p>
        </w:tc>
        <w:tc>
          <w:tcPr>
            <w:tcW w:w="1418" w:type="dxa"/>
            <w:tcBorders>
              <w:left w:val="single" w:sz="4" w:space="0" w:color="auto"/>
            </w:tcBorders>
            <w:shd w:val="clear" w:color="auto" w:fill="auto"/>
            <w:noWrap/>
            <w:hideMark/>
          </w:tcPr>
          <w:p w14:paraId="7A1FACC1" w14:textId="77777777" w:rsidR="002468FA" w:rsidRPr="00421152" w:rsidRDefault="007C7095"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-15</w:t>
            </w:r>
          </w:p>
        </w:tc>
        <w:tc>
          <w:tcPr>
            <w:tcW w:w="5465" w:type="dxa"/>
            <w:tcBorders>
              <w:right w:val="single" w:sz="4" w:space="0" w:color="auto"/>
            </w:tcBorders>
            <w:shd w:val="clear" w:color="auto" w:fill="auto"/>
            <w:noWrap/>
            <w:hideMark/>
          </w:tcPr>
          <w:p w14:paraId="2C335BBB" w14:textId="412CA75A" w:rsidR="002468FA" w:rsidRPr="00421152" w:rsidRDefault="007C7095"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SC54 forecast too low due to HRG travel implant</w:t>
            </w:r>
            <w:r w:rsidR="000844F9">
              <w:rPr>
                <w:rFonts w:asciiTheme="minorHAnsi" w:eastAsia="Times New Roman" w:hAnsiTheme="minorHAnsi" w:cs="Arial"/>
                <w:sz w:val="20"/>
                <w:szCs w:val="20"/>
                <w:lang w:eastAsia="en-GB"/>
              </w:rPr>
              <w:t>.</w:t>
            </w:r>
          </w:p>
        </w:tc>
      </w:tr>
      <w:tr w:rsidR="002468FA" w:rsidRPr="00421152" w14:paraId="0521F315" w14:textId="77777777" w:rsidTr="003B0BC9">
        <w:trPr>
          <w:cantSplit/>
        </w:trPr>
        <w:tc>
          <w:tcPr>
            <w:tcW w:w="2410" w:type="dxa"/>
            <w:tcBorders>
              <w:right w:val="single" w:sz="4" w:space="0" w:color="auto"/>
            </w:tcBorders>
            <w:shd w:val="clear" w:color="auto" w:fill="auto"/>
            <w:noWrap/>
            <w:hideMark/>
          </w:tcPr>
          <w:p w14:paraId="0971A3B7"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Provisions, exchange difference and legal services</w:t>
            </w:r>
          </w:p>
        </w:tc>
        <w:tc>
          <w:tcPr>
            <w:tcW w:w="1418" w:type="dxa"/>
            <w:tcBorders>
              <w:left w:val="single" w:sz="4" w:space="0" w:color="auto"/>
            </w:tcBorders>
            <w:shd w:val="clear" w:color="auto" w:fill="auto"/>
            <w:noWrap/>
            <w:hideMark/>
          </w:tcPr>
          <w:p w14:paraId="67A25502" w14:textId="77777777" w:rsidR="002468FA" w:rsidRPr="00421152" w:rsidRDefault="007C7095"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49</w:t>
            </w:r>
          </w:p>
        </w:tc>
        <w:tc>
          <w:tcPr>
            <w:tcW w:w="5465" w:type="dxa"/>
            <w:tcBorders>
              <w:right w:val="single" w:sz="4" w:space="0" w:color="auto"/>
            </w:tcBorders>
            <w:shd w:val="clear" w:color="auto" w:fill="auto"/>
            <w:noWrap/>
            <w:hideMark/>
          </w:tcPr>
          <w:p w14:paraId="59A40A09" w14:textId="43A9CB1E" w:rsidR="002468FA" w:rsidRPr="00421152" w:rsidRDefault="007C7095" w:rsidP="00F212AF">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Increase in staff provisions (</w:t>
            </w:r>
            <w:r w:rsidR="00466E1C" w:rsidRPr="00421152">
              <w:rPr>
                <w:rFonts w:asciiTheme="minorHAnsi" w:eastAsia="Times New Roman" w:hAnsiTheme="minorHAnsi" w:cs="Arial"/>
                <w:sz w:val="20"/>
                <w:szCs w:val="20"/>
                <w:lang w:eastAsia="en-GB"/>
              </w:rPr>
              <w:t>56</w:t>
            </w:r>
            <w:r w:rsidRPr="00421152">
              <w:rPr>
                <w:rFonts w:asciiTheme="minorHAnsi" w:eastAsia="Times New Roman" w:hAnsiTheme="minorHAnsi" w:cs="Arial"/>
                <w:sz w:val="20"/>
                <w:szCs w:val="20"/>
                <w:lang w:eastAsia="en-GB"/>
              </w:rPr>
              <w:t xml:space="preserve">K) offset by reduction of outstanding contributions provision </w:t>
            </w:r>
            <w:r w:rsidR="00466E1C" w:rsidRPr="00421152">
              <w:rPr>
                <w:rFonts w:asciiTheme="minorHAnsi" w:eastAsia="Times New Roman" w:hAnsiTheme="minorHAnsi" w:cs="Arial"/>
                <w:b/>
                <w:sz w:val="20"/>
                <w:szCs w:val="20"/>
                <w:lang w:eastAsia="en-GB"/>
              </w:rPr>
              <w:t>57</w:t>
            </w:r>
            <w:r w:rsidRPr="00421152">
              <w:rPr>
                <w:rFonts w:asciiTheme="minorHAnsi" w:eastAsia="Times New Roman" w:hAnsiTheme="minorHAnsi" w:cs="Arial"/>
                <w:b/>
                <w:sz w:val="20"/>
                <w:szCs w:val="20"/>
                <w:lang w:eastAsia="en-GB"/>
              </w:rPr>
              <w:t>K</w:t>
            </w:r>
            <w:r w:rsidR="00466E1C" w:rsidRPr="00421152">
              <w:rPr>
                <w:rFonts w:asciiTheme="minorHAnsi" w:eastAsia="Times New Roman" w:hAnsiTheme="minorHAnsi" w:cs="Arial"/>
                <w:b/>
                <w:sz w:val="20"/>
                <w:szCs w:val="20"/>
                <w:lang w:eastAsia="en-GB"/>
              </w:rPr>
              <w:t xml:space="preserve"> </w:t>
            </w:r>
            <w:r w:rsidR="00F212AF" w:rsidRPr="00421152">
              <w:rPr>
                <w:rFonts w:asciiTheme="minorHAnsi" w:eastAsia="Times New Roman" w:hAnsiTheme="minorHAnsi" w:cs="Arial"/>
                <w:b/>
                <w:sz w:val="20"/>
                <w:szCs w:val="20"/>
                <w:lang w:eastAsia="en-GB"/>
              </w:rPr>
              <w:t>(to be used in 2019)</w:t>
            </w:r>
            <w:r w:rsidR="00ED49D6" w:rsidRPr="00421152">
              <w:rPr>
                <w:rFonts w:asciiTheme="minorHAnsi" w:eastAsia="Times New Roman" w:hAnsiTheme="minorHAnsi" w:cs="Arial"/>
                <w:b/>
                <w:sz w:val="20"/>
                <w:szCs w:val="20"/>
                <w:lang w:eastAsia="en-GB"/>
              </w:rPr>
              <w:t xml:space="preserve"> </w:t>
            </w:r>
            <w:r w:rsidR="00466E1C" w:rsidRPr="00421152">
              <w:rPr>
                <w:rFonts w:asciiTheme="minorHAnsi" w:eastAsia="Times New Roman" w:hAnsiTheme="minorHAnsi" w:cs="Arial"/>
                <w:sz w:val="20"/>
                <w:szCs w:val="20"/>
                <w:lang w:eastAsia="en-GB"/>
              </w:rPr>
              <w:t xml:space="preserve">– combined with a net exchange loss of 33K and underspend for legal services </w:t>
            </w:r>
            <w:r w:rsidR="00F212AF" w:rsidRPr="00421152">
              <w:rPr>
                <w:rFonts w:asciiTheme="minorHAnsi" w:eastAsia="Times New Roman" w:hAnsiTheme="minorHAnsi" w:cs="Arial"/>
                <w:b/>
                <w:sz w:val="20"/>
                <w:szCs w:val="20"/>
                <w:lang w:eastAsia="en-GB"/>
              </w:rPr>
              <w:t>31K (to be spent in 2019)</w:t>
            </w:r>
            <w:r w:rsidR="000844F9">
              <w:rPr>
                <w:rFonts w:asciiTheme="minorHAnsi" w:eastAsia="Times New Roman" w:hAnsiTheme="minorHAnsi" w:cs="Arial"/>
                <w:b/>
                <w:sz w:val="20"/>
                <w:szCs w:val="20"/>
                <w:lang w:eastAsia="en-GB"/>
              </w:rPr>
              <w:t>.</w:t>
            </w:r>
          </w:p>
        </w:tc>
      </w:tr>
      <w:tr w:rsidR="002468FA" w:rsidRPr="00421152" w14:paraId="1A822929" w14:textId="77777777" w:rsidTr="003B0BC9">
        <w:trPr>
          <w:cantSplit/>
        </w:trPr>
        <w:tc>
          <w:tcPr>
            <w:tcW w:w="2410" w:type="dxa"/>
            <w:tcBorders>
              <w:right w:val="single" w:sz="4" w:space="0" w:color="auto"/>
            </w:tcBorders>
            <w:shd w:val="clear" w:color="auto" w:fill="auto"/>
            <w:noWrap/>
            <w:hideMark/>
          </w:tcPr>
          <w:p w14:paraId="0277311E"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418" w:type="dxa"/>
            <w:tcBorders>
              <w:left w:val="single" w:sz="4" w:space="0" w:color="auto"/>
            </w:tcBorders>
            <w:shd w:val="clear" w:color="auto" w:fill="auto"/>
            <w:noWrap/>
            <w:hideMark/>
          </w:tcPr>
          <w:p w14:paraId="31A40020" w14:textId="77777777" w:rsidR="002468FA" w:rsidRPr="00421152" w:rsidRDefault="002468FA"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 </w:t>
            </w:r>
            <w:r w:rsidR="0040226B" w:rsidRPr="00421152">
              <w:rPr>
                <w:rFonts w:asciiTheme="minorHAnsi" w:hAnsiTheme="minorHAnsi" w:cs="Arial"/>
                <w:color w:val="000000"/>
                <w:sz w:val="20"/>
                <w:szCs w:val="20"/>
              </w:rPr>
              <w:t>-1</w:t>
            </w:r>
          </w:p>
        </w:tc>
        <w:tc>
          <w:tcPr>
            <w:tcW w:w="5465" w:type="dxa"/>
            <w:tcBorders>
              <w:right w:val="single" w:sz="4" w:space="0" w:color="auto"/>
            </w:tcBorders>
            <w:shd w:val="clear" w:color="auto" w:fill="auto"/>
            <w:noWrap/>
            <w:hideMark/>
          </w:tcPr>
          <w:p w14:paraId="7BA59641" w14:textId="586F81F0" w:rsidR="002468FA" w:rsidRPr="00421152" w:rsidRDefault="000844F9" w:rsidP="002468FA">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R</w:t>
            </w:r>
            <w:r w:rsidR="0040226B" w:rsidRPr="00421152">
              <w:rPr>
                <w:rFonts w:asciiTheme="minorHAnsi" w:eastAsia="Times New Roman" w:hAnsiTheme="minorHAnsi" w:cs="Arial"/>
                <w:sz w:val="20"/>
                <w:szCs w:val="20"/>
                <w:lang w:eastAsia="en-GB"/>
              </w:rPr>
              <w:t>ounding</w:t>
            </w:r>
            <w:r>
              <w:rPr>
                <w:rFonts w:asciiTheme="minorHAnsi" w:eastAsia="Times New Roman" w:hAnsiTheme="minorHAnsi" w:cs="Arial"/>
                <w:sz w:val="20"/>
                <w:szCs w:val="20"/>
                <w:lang w:eastAsia="en-GB"/>
              </w:rPr>
              <w:t>.</w:t>
            </w:r>
          </w:p>
        </w:tc>
      </w:tr>
      <w:tr w:rsidR="002468FA" w:rsidRPr="00421152" w14:paraId="397F60DA" w14:textId="77777777" w:rsidTr="003B0BC9">
        <w:trPr>
          <w:cantSplit/>
        </w:trPr>
        <w:tc>
          <w:tcPr>
            <w:tcW w:w="2410" w:type="dxa"/>
            <w:tcBorders>
              <w:right w:val="single" w:sz="4" w:space="0" w:color="auto"/>
            </w:tcBorders>
            <w:shd w:val="clear" w:color="auto" w:fill="DBE5F1" w:themeFill="accent1" w:themeFillTint="33"/>
            <w:noWrap/>
            <w:hideMark/>
          </w:tcPr>
          <w:p w14:paraId="0E71D2F4" w14:textId="77777777" w:rsidR="002468FA" w:rsidRPr="00421152" w:rsidRDefault="002468FA" w:rsidP="002468FA">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Total</w:t>
            </w:r>
          </w:p>
        </w:tc>
        <w:tc>
          <w:tcPr>
            <w:tcW w:w="1418" w:type="dxa"/>
            <w:tcBorders>
              <w:left w:val="single" w:sz="4" w:space="0" w:color="auto"/>
            </w:tcBorders>
            <w:shd w:val="clear" w:color="auto" w:fill="DBE5F1" w:themeFill="accent1" w:themeFillTint="33"/>
            <w:noWrap/>
            <w:hideMark/>
          </w:tcPr>
          <w:p w14:paraId="3FB691F0" w14:textId="77777777" w:rsidR="002468FA" w:rsidRPr="00421152" w:rsidRDefault="002468FA" w:rsidP="00A523BE">
            <w:pPr>
              <w:ind w:left="0" w:firstLine="0"/>
              <w:jc w:val="right"/>
              <w:rPr>
                <w:rFonts w:asciiTheme="minorHAnsi" w:eastAsia="Times New Roman" w:hAnsiTheme="minorHAnsi" w:cs="Arial"/>
                <w:b/>
                <w:bCs/>
                <w:sz w:val="20"/>
                <w:szCs w:val="20"/>
                <w:lang w:eastAsia="en-GB"/>
              </w:rPr>
            </w:pPr>
            <w:r w:rsidRPr="00421152">
              <w:rPr>
                <w:rFonts w:asciiTheme="minorHAnsi" w:hAnsiTheme="minorHAnsi" w:cs="Arial"/>
                <w:b/>
                <w:bCs/>
                <w:sz w:val="20"/>
                <w:szCs w:val="20"/>
              </w:rPr>
              <w:t>8</w:t>
            </w:r>
            <w:r w:rsidR="0040226B" w:rsidRPr="00421152">
              <w:rPr>
                <w:rFonts w:asciiTheme="minorHAnsi" w:hAnsiTheme="minorHAnsi" w:cs="Arial"/>
                <w:b/>
                <w:bCs/>
                <w:sz w:val="20"/>
                <w:szCs w:val="20"/>
              </w:rPr>
              <w:t>19</w:t>
            </w:r>
          </w:p>
        </w:tc>
        <w:tc>
          <w:tcPr>
            <w:tcW w:w="5465" w:type="dxa"/>
            <w:tcBorders>
              <w:right w:val="single" w:sz="4" w:space="0" w:color="auto"/>
            </w:tcBorders>
            <w:shd w:val="clear" w:color="auto" w:fill="DBE5F1" w:themeFill="accent1" w:themeFillTint="33"/>
            <w:noWrap/>
            <w:hideMark/>
          </w:tcPr>
          <w:p w14:paraId="5A097FF9" w14:textId="77777777" w:rsidR="002468FA" w:rsidRPr="00703094" w:rsidRDefault="002468FA" w:rsidP="002468FA">
            <w:pPr>
              <w:ind w:left="0" w:firstLine="0"/>
              <w:rPr>
                <w:rFonts w:asciiTheme="minorHAnsi" w:eastAsia="Times New Roman" w:hAnsiTheme="minorHAnsi" w:cs="Arial"/>
                <w:bCs/>
                <w:sz w:val="20"/>
                <w:szCs w:val="20"/>
                <w:lang w:eastAsia="en-GB"/>
              </w:rPr>
            </w:pPr>
            <w:r w:rsidRPr="00703094">
              <w:rPr>
                <w:rFonts w:asciiTheme="minorHAnsi" w:eastAsia="Times New Roman" w:hAnsiTheme="minorHAnsi" w:cs="Arial"/>
                <w:bCs/>
                <w:sz w:val="20"/>
                <w:szCs w:val="20"/>
                <w:lang w:eastAsia="en-GB"/>
              </w:rPr>
              <w:t>Overa</w:t>
            </w:r>
            <w:r w:rsidR="007C7095" w:rsidRPr="00703094">
              <w:rPr>
                <w:rFonts w:asciiTheme="minorHAnsi" w:eastAsia="Times New Roman" w:hAnsiTheme="minorHAnsi" w:cs="Arial"/>
                <w:bCs/>
                <w:sz w:val="20"/>
                <w:szCs w:val="20"/>
                <w:lang w:eastAsia="en-GB"/>
              </w:rPr>
              <w:t>ll projected budget savings 2018</w:t>
            </w:r>
          </w:p>
        </w:tc>
      </w:tr>
      <w:tr w:rsidR="002468FA" w:rsidRPr="00421152" w14:paraId="7AD7910D" w14:textId="77777777" w:rsidTr="003B0BC9">
        <w:trPr>
          <w:cantSplit/>
        </w:trPr>
        <w:tc>
          <w:tcPr>
            <w:tcW w:w="2410" w:type="dxa"/>
            <w:tcBorders>
              <w:right w:val="single" w:sz="4" w:space="0" w:color="auto"/>
            </w:tcBorders>
            <w:shd w:val="clear" w:color="auto" w:fill="auto"/>
            <w:noWrap/>
            <w:hideMark/>
          </w:tcPr>
          <w:p w14:paraId="66B36C86"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418" w:type="dxa"/>
            <w:tcBorders>
              <w:left w:val="single" w:sz="4" w:space="0" w:color="auto"/>
            </w:tcBorders>
            <w:shd w:val="clear" w:color="auto" w:fill="auto"/>
            <w:noWrap/>
            <w:hideMark/>
          </w:tcPr>
          <w:p w14:paraId="0C574F03" w14:textId="77777777" w:rsidR="002468FA" w:rsidRPr="00421152" w:rsidRDefault="002468FA"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 </w:t>
            </w:r>
          </w:p>
        </w:tc>
        <w:tc>
          <w:tcPr>
            <w:tcW w:w="5465" w:type="dxa"/>
            <w:tcBorders>
              <w:right w:val="single" w:sz="4" w:space="0" w:color="auto"/>
            </w:tcBorders>
            <w:shd w:val="clear" w:color="auto" w:fill="auto"/>
            <w:noWrap/>
            <w:hideMark/>
          </w:tcPr>
          <w:p w14:paraId="0C7EE303"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2468FA" w:rsidRPr="00421152" w14:paraId="58BB347E" w14:textId="77777777" w:rsidTr="003B0BC9">
        <w:trPr>
          <w:cantSplit/>
        </w:trPr>
        <w:tc>
          <w:tcPr>
            <w:tcW w:w="2410" w:type="dxa"/>
            <w:tcBorders>
              <w:right w:val="single" w:sz="4" w:space="0" w:color="auto"/>
            </w:tcBorders>
            <w:shd w:val="clear" w:color="auto" w:fill="auto"/>
            <w:noWrap/>
            <w:hideMark/>
          </w:tcPr>
          <w:p w14:paraId="3AE48AF2" w14:textId="77777777" w:rsidR="002468FA" w:rsidRPr="00421152" w:rsidRDefault="00D10CBB" w:rsidP="00D10CBB">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S</w:t>
            </w:r>
            <w:r w:rsidR="002468FA" w:rsidRPr="00421152">
              <w:rPr>
                <w:rFonts w:asciiTheme="minorHAnsi" w:eastAsia="Times New Roman" w:hAnsiTheme="minorHAnsi" w:cs="Arial"/>
                <w:sz w:val="20"/>
                <w:szCs w:val="20"/>
                <w:lang w:eastAsia="en-GB"/>
              </w:rPr>
              <w:t>hortfall in income compared to budget</w:t>
            </w:r>
          </w:p>
        </w:tc>
        <w:tc>
          <w:tcPr>
            <w:tcW w:w="1418" w:type="dxa"/>
            <w:tcBorders>
              <w:left w:val="single" w:sz="4" w:space="0" w:color="auto"/>
            </w:tcBorders>
            <w:shd w:val="clear" w:color="auto" w:fill="auto"/>
            <w:noWrap/>
            <w:hideMark/>
          </w:tcPr>
          <w:p w14:paraId="6CB33D0E" w14:textId="77777777" w:rsidR="002468FA" w:rsidRPr="00421152" w:rsidRDefault="002468FA"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-1</w:t>
            </w:r>
            <w:r w:rsidR="0040226B" w:rsidRPr="00421152">
              <w:rPr>
                <w:rFonts w:asciiTheme="minorHAnsi" w:hAnsiTheme="minorHAnsi" w:cs="Arial"/>
                <w:color w:val="000000"/>
                <w:sz w:val="20"/>
                <w:szCs w:val="20"/>
              </w:rPr>
              <w:t>1</w:t>
            </w:r>
          </w:p>
        </w:tc>
        <w:tc>
          <w:tcPr>
            <w:tcW w:w="5465" w:type="dxa"/>
            <w:tcBorders>
              <w:right w:val="single" w:sz="4" w:space="0" w:color="auto"/>
            </w:tcBorders>
            <w:shd w:val="clear" w:color="auto" w:fill="auto"/>
            <w:noWrap/>
            <w:hideMark/>
          </w:tcPr>
          <w:p w14:paraId="333A2571" w14:textId="201EF592" w:rsidR="002468FA" w:rsidRPr="00421152" w:rsidRDefault="0040226B"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4</w:t>
            </w:r>
            <w:r w:rsidR="002468FA" w:rsidRPr="00421152">
              <w:rPr>
                <w:rFonts w:asciiTheme="minorHAnsi" w:eastAsia="Times New Roman" w:hAnsiTheme="minorHAnsi" w:cs="Arial"/>
                <w:sz w:val="20"/>
                <w:szCs w:val="20"/>
                <w:lang w:eastAsia="en-GB"/>
              </w:rPr>
              <w:t>K less income tax and 8K less other income (such as interest income)</w:t>
            </w:r>
            <w:r w:rsidR="000844F9">
              <w:rPr>
                <w:rFonts w:asciiTheme="minorHAnsi" w:eastAsia="Times New Roman" w:hAnsiTheme="minorHAnsi" w:cs="Arial"/>
                <w:sz w:val="20"/>
                <w:szCs w:val="20"/>
                <w:lang w:eastAsia="en-GB"/>
              </w:rPr>
              <w:t>.</w:t>
            </w:r>
          </w:p>
        </w:tc>
      </w:tr>
      <w:tr w:rsidR="002468FA" w:rsidRPr="00421152" w14:paraId="16BCBB46" w14:textId="77777777" w:rsidTr="003B0BC9">
        <w:trPr>
          <w:cantSplit/>
        </w:trPr>
        <w:tc>
          <w:tcPr>
            <w:tcW w:w="2410" w:type="dxa"/>
            <w:tcBorders>
              <w:right w:val="single" w:sz="4" w:space="0" w:color="auto"/>
            </w:tcBorders>
            <w:shd w:val="clear" w:color="auto" w:fill="auto"/>
            <w:noWrap/>
            <w:hideMark/>
          </w:tcPr>
          <w:p w14:paraId="20D9BAD0"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418" w:type="dxa"/>
            <w:tcBorders>
              <w:left w:val="single" w:sz="4" w:space="0" w:color="auto"/>
            </w:tcBorders>
            <w:shd w:val="clear" w:color="auto" w:fill="auto"/>
            <w:noWrap/>
            <w:hideMark/>
          </w:tcPr>
          <w:p w14:paraId="5BE08CC3" w14:textId="77777777" w:rsidR="002468FA" w:rsidRPr="00421152" w:rsidRDefault="002468FA" w:rsidP="00A523BE">
            <w:pPr>
              <w:ind w:left="0" w:firstLine="0"/>
              <w:jc w:val="right"/>
              <w:rPr>
                <w:rFonts w:asciiTheme="minorHAnsi" w:eastAsia="Times New Roman" w:hAnsiTheme="minorHAnsi" w:cs="Arial"/>
                <w:sz w:val="20"/>
                <w:szCs w:val="20"/>
                <w:lang w:eastAsia="en-GB"/>
              </w:rPr>
            </w:pPr>
            <w:r w:rsidRPr="00421152">
              <w:rPr>
                <w:rFonts w:asciiTheme="minorHAnsi" w:hAnsiTheme="minorHAnsi" w:cs="Arial"/>
                <w:color w:val="000000"/>
                <w:sz w:val="20"/>
                <w:szCs w:val="20"/>
              </w:rPr>
              <w:t> </w:t>
            </w:r>
            <w:r w:rsidR="0040226B" w:rsidRPr="00421152">
              <w:rPr>
                <w:rFonts w:asciiTheme="minorHAnsi" w:hAnsiTheme="minorHAnsi" w:cs="Arial"/>
                <w:color w:val="000000"/>
                <w:sz w:val="20"/>
                <w:szCs w:val="20"/>
              </w:rPr>
              <w:t>1</w:t>
            </w:r>
          </w:p>
        </w:tc>
        <w:tc>
          <w:tcPr>
            <w:tcW w:w="5465" w:type="dxa"/>
            <w:tcBorders>
              <w:right w:val="single" w:sz="4" w:space="0" w:color="auto"/>
            </w:tcBorders>
            <w:shd w:val="clear" w:color="auto" w:fill="auto"/>
            <w:noWrap/>
            <w:hideMark/>
          </w:tcPr>
          <w:p w14:paraId="5084EE74" w14:textId="0EA02AF2" w:rsidR="002468FA" w:rsidRPr="00421152" w:rsidRDefault="000844F9" w:rsidP="002468FA">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R</w:t>
            </w:r>
            <w:r w:rsidR="0040226B" w:rsidRPr="00421152">
              <w:rPr>
                <w:rFonts w:asciiTheme="minorHAnsi" w:eastAsia="Times New Roman" w:hAnsiTheme="minorHAnsi" w:cs="Arial"/>
                <w:sz w:val="20"/>
                <w:szCs w:val="20"/>
                <w:lang w:eastAsia="en-GB"/>
              </w:rPr>
              <w:t>ounding</w:t>
            </w:r>
            <w:r w:rsidR="00703094">
              <w:rPr>
                <w:rFonts w:asciiTheme="minorHAnsi" w:eastAsia="Times New Roman" w:hAnsiTheme="minorHAnsi" w:cs="Arial"/>
                <w:sz w:val="20"/>
                <w:szCs w:val="20"/>
                <w:lang w:eastAsia="en-GB"/>
              </w:rPr>
              <w:t>.</w:t>
            </w:r>
          </w:p>
        </w:tc>
      </w:tr>
      <w:tr w:rsidR="002468FA" w:rsidRPr="00421152" w14:paraId="16C5EB60" w14:textId="77777777" w:rsidTr="003B0BC9">
        <w:trPr>
          <w:cantSplit/>
        </w:trPr>
        <w:tc>
          <w:tcPr>
            <w:tcW w:w="2410" w:type="dxa"/>
            <w:tcBorders>
              <w:right w:val="single" w:sz="4" w:space="0" w:color="auto"/>
            </w:tcBorders>
            <w:shd w:val="clear" w:color="auto" w:fill="DBE5F1" w:themeFill="accent1" w:themeFillTint="33"/>
            <w:noWrap/>
            <w:hideMark/>
          </w:tcPr>
          <w:p w14:paraId="61692BD1" w14:textId="0E00E052" w:rsidR="002468FA" w:rsidRPr="00421152" w:rsidRDefault="00B26242" w:rsidP="00B26242">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Core budget</w:t>
            </w:r>
            <w:r w:rsidR="002468FA" w:rsidRPr="00421152">
              <w:rPr>
                <w:rFonts w:asciiTheme="minorHAnsi" w:eastAsia="Times New Roman" w:hAnsiTheme="minorHAnsi" w:cs="Arial"/>
                <w:b/>
                <w:bCs/>
                <w:sz w:val="20"/>
                <w:szCs w:val="20"/>
                <w:lang w:eastAsia="en-GB"/>
              </w:rPr>
              <w:t xml:space="preserve"> </w:t>
            </w:r>
            <w:r w:rsidRPr="00421152">
              <w:rPr>
                <w:rFonts w:asciiTheme="minorHAnsi" w:eastAsia="Times New Roman" w:hAnsiTheme="minorHAnsi" w:cs="Arial"/>
                <w:b/>
                <w:bCs/>
                <w:sz w:val="20"/>
                <w:szCs w:val="20"/>
                <w:lang w:eastAsia="en-GB"/>
              </w:rPr>
              <w:t>balance 2018</w:t>
            </w:r>
          </w:p>
        </w:tc>
        <w:tc>
          <w:tcPr>
            <w:tcW w:w="1418" w:type="dxa"/>
            <w:tcBorders>
              <w:left w:val="single" w:sz="4" w:space="0" w:color="auto"/>
            </w:tcBorders>
            <w:shd w:val="clear" w:color="auto" w:fill="DBE5F1" w:themeFill="accent1" w:themeFillTint="33"/>
            <w:noWrap/>
            <w:hideMark/>
          </w:tcPr>
          <w:p w14:paraId="1AC2E465" w14:textId="77777777" w:rsidR="002468FA" w:rsidRPr="00421152" w:rsidRDefault="002468FA" w:rsidP="00A523BE">
            <w:pPr>
              <w:ind w:left="0" w:firstLine="0"/>
              <w:jc w:val="right"/>
              <w:rPr>
                <w:rFonts w:asciiTheme="minorHAnsi" w:eastAsia="Times New Roman" w:hAnsiTheme="minorHAnsi" w:cs="Arial"/>
                <w:b/>
                <w:bCs/>
                <w:sz w:val="20"/>
                <w:szCs w:val="20"/>
                <w:lang w:eastAsia="en-GB"/>
              </w:rPr>
            </w:pPr>
            <w:r w:rsidRPr="00421152">
              <w:rPr>
                <w:rFonts w:asciiTheme="minorHAnsi" w:hAnsiTheme="minorHAnsi" w:cs="Arial"/>
                <w:b/>
                <w:bCs/>
                <w:sz w:val="20"/>
                <w:szCs w:val="20"/>
              </w:rPr>
              <w:t>8</w:t>
            </w:r>
            <w:r w:rsidR="0040226B" w:rsidRPr="00421152">
              <w:rPr>
                <w:rFonts w:asciiTheme="minorHAnsi" w:hAnsiTheme="minorHAnsi" w:cs="Arial"/>
                <w:b/>
                <w:bCs/>
                <w:sz w:val="20"/>
                <w:szCs w:val="20"/>
              </w:rPr>
              <w:t>09</w:t>
            </w:r>
          </w:p>
        </w:tc>
        <w:tc>
          <w:tcPr>
            <w:tcW w:w="5465" w:type="dxa"/>
            <w:tcBorders>
              <w:right w:val="single" w:sz="4" w:space="0" w:color="auto"/>
            </w:tcBorders>
            <w:shd w:val="clear" w:color="auto" w:fill="DBE5F1" w:themeFill="accent1" w:themeFillTint="33"/>
            <w:noWrap/>
            <w:hideMark/>
          </w:tcPr>
          <w:p w14:paraId="41C0A6A5" w14:textId="77777777" w:rsidR="002468FA" w:rsidRPr="00421152" w:rsidRDefault="002468FA" w:rsidP="002468FA">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bl>
    <w:p w14:paraId="41E376C6" w14:textId="77777777" w:rsidR="002468FA" w:rsidRPr="00421152" w:rsidRDefault="002468FA" w:rsidP="002468FA">
      <w:pPr>
        <w:rPr>
          <w:rFonts w:cs="Arial"/>
          <w:sz w:val="20"/>
          <w:szCs w:val="20"/>
        </w:rPr>
      </w:pPr>
      <w:r w:rsidRPr="00421152">
        <w:rPr>
          <w:rFonts w:cs="Arial"/>
          <w:sz w:val="20"/>
          <w:szCs w:val="20"/>
        </w:rPr>
        <w:t>Note: Includes the a</w:t>
      </w:r>
      <w:r w:rsidR="007C7095" w:rsidRPr="00421152">
        <w:rPr>
          <w:rFonts w:cs="Arial"/>
          <w:sz w:val="20"/>
          <w:szCs w:val="20"/>
        </w:rPr>
        <w:t xml:space="preserve">uthorized use of </w:t>
      </w:r>
      <w:r w:rsidR="002E0DFE" w:rsidRPr="00421152">
        <w:rPr>
          <w:rFonts w:cs="Arial"/>
          <w:sz w:val="20"/>
          <w:szCs w:val="20"/>
        </w:rPr>
        <w:t xml:space="preserve">CHF 414K </w:t>
      </w:r>
      <w:r w:rsidR="007C7095" w:rsidRPr="00421152">
        <w:rPr>
          <w:rFonts w:cs="Arial"/>
          <w:sz w:val="20"/>
          <w:szCs w:val="20"/>
        </w:rPr>
        <w:t>surplus in 2018</w:t>
      </w:r>
    </w:p>
    <w:p w14:paraId="4E506CE9" w14:textId="21643891" w:rsidR="002468FA" w:rsidRPr="00421152" w:rsidRDefault="002468FA" w:rsidP="002468FA">
      <w:pPr>
        <w:rPr>
          <w:rFonts w:cs="Arial"/>
          <w:sz w:val="20"/>
          <w:szCs w:val="20"/>
        </w:rPr>
      </w:pPr>
      <w:r w:rsidRPr="00421152">
        <w:rPr>
          <w:rFonts w:cs="Arial"/>
          <w:b/>
          <w:sz w:val="20"/>
          <w:szCs w:val="20"/>
        </w:rPr>
        <w:t>bold text</w:t>
      </w:r>
      <w:r w:rsidRPr="00421152">
        <w:rPr>
          <w:rFonts w:cs="Arial"/>
          <w:sz w:val="20"/>
          <w:szCs w:val="20"/>
        </w:rPr>
        <w:t xml:space="preserve">: Committed from </w:t>
      </w:r>
      <w:r w:rsidR="007C7095" w:rsidRPr="00421152">
        <w:rPr>
          <w:rFonts w:cs="Arial"/>
          <w:sz w:val="20"/>
          <w:szCs w:val="20"/>
        </w:rPr>
        <w:t>2016</w:t>
      </w:r>
      <w:r w:rsidR="00DE63F0" w:rsidRPr="00421152">
        <w:rPr>
          <w:rFonts w:cs="Arial"/>
          <w:sz w:val="20"/>
          <w:szCs w:val="20"/>
        </w:rPr>
        <w:t>-2018</w:t>
      </w:r>
      <w:r w:rsidR="007C7095" w:rsidRPr="00421152">
        <w:rPr>
          <w:rFonts w:cs="Arial"/>
          <w:sz w:val="20"/>
          <w:szCs w:val="20"/>
        </w:rPr>
        <w:t xml:space="preserve"> </w:t>
      </w:r>
      <w:r w:rsidR="006A4032" w:rsidRPr="00421152">
        <w:rPr>
          <w:rFonts w:cs="Arial"/>
          <w:sz w:val="20"/>
          <w:szCs w:val="20"/>
        </w:rPr>
        <w:t xml:space="preserve">triennium </w:t>
      </w:r>
      <w:r w:rsidR="007C7095" w:rsidRPr="00421152">
        <w:rPr>
          <w:rFonts w:cs="Arial"/>
          <w:sz w:val="20"/>
          <w:szCs w:val="20"/>
        </w:rPr>
        <w:t>surplus to be spent in 2019</w:t>
      </w:r>
      <w:r w:rsidRPr="00421152">
        <w:rPr>
          <w:rFonts w:cs="Arial"/>
          <w:sz w:val="20"/>
          <w:szCs w:val="20"/>
        </w:rPr>
        <w:t xml:space="preserve"> - total of CHF </w:t>
      </w:r>
      <w:r w:rsidR="00F212AF" w:rsidRPr="00421152">
        <w:rPr>
          <w:rFonts w:cs="Arial"/>
          <w:sz w:val="20"/>
          <w:szCs w:val="20"/>
        </w:rPr>
        <w:t>437</w:t>
      </w:r>
      <w:r w:rsidRPr="00421152">
        <w:rPr>
          <w:rFonts w:cs="Arial"/>
          <w:sz w:val="20"/>
          <w:szCs w:val="20"/>
        </w:rPr>
        <w:t>K</w:t>
      </w:r>
    </w:p>
    <w:p w14:paraId="7E6EFE75" w14:textId="77777777" w:rsidR="004A2ABC" w:rsidRPr="00421152" w:rsidRDefault="004A2ABC" w:rsidP="00633DD5">
      <w:pPr>
        <w:pStyle w:val="NoSpacing"/>
      </w:pPr>
    </w:p>
    <w:p w14:paraId="0324CA37" w14:textId="77777777" w:rsidR="00E74FC5" w:rsidRPr="00421152" w:rsidRDefault="00E74FC5" w:rsidP="00633DD5"/>
    <w:p w14:paraId="356E4F43" w14:textId="45CFEA53" w:rsidR="004753C0" w:rsidRPr="00421152" w:rsidRDefault="00A523BE" w:rsidP="00633DD5">
      <w:r>
        <w:t>6</w:t>
      </w:r>
      <w:r w:rsidR="00112F62" w:rsidRPr="00421152">
        <w:t>.</w:t>
      </w:r>
      <w:r w:rsidR="00112F62" w:rsidRPr="00421152">
        <w:tab/>
      </w:r>
      <w:r w:rsidR="004753C0" w:rsidRPr="00421152">
        <w:t xml:space="preserve">The following points are highlighted for the Standing Committee’s </w:t>
      </w:r>
      <w:r w:rsidR="008825A0" w:rsidRPr="00421152">
        <w:t>consideration</w:t>
      </w:r>
      <w:r w:rsidR="00ED1F5E" w:rsidRPr="00421152">
        <w:t>:</w:t>
      </w:r>
    </w:p>
    <w:p w14:paraId="63E3886B" w14:textId="77777777" w:rsidR="00112F62" w:rsidRPr="00421152" w:rsidRDefault="00112F62" w:rsidP="00633DD5">
      <w:pPr>
        <w:pStyle w:val="NoSpacing"/>
        <w:ind w:left="850"/>
      </w:pPr>
    </w:p>
    <w:p w14:paraId="2AF561DD" w14:textId="77777777" w:rsidR="004753C0" w:rsidRPr="00421152" w:rsidRDefault="00112F62" w:rsidP="00633DD5">
      <w:pPr>
        <w:pStyle w:val="NoSpacing"/>
        <w:ind w:left="850"/>
      </w:pPr>
      <w:r w:rsidRPr="00421152">
        <w:t>a.</w:t>
      </w:r>
      <w:r w:rsidRPr="00421152">
        <w:tab/>
      </w:r>
      <w:r w:rsidR="004A2ABC" w:rsidRPr="00421152">
        <w:t>Projected i</w:t>
      </w:r>
      <w:r w:rsidR="008D5BB1" w:rsidRPr="00421152">
        <w:t>ncome</w:t>
      </w:r>
      <w:r w:rsidR="004A2ABC" w:rsidRPr="00421152">
        <w:t xml:space="preserve"> was generally as budgeted except for income tax, which was CHF </w:t>
      </w:r>
      <w:r w:rsidR="002E0DFE" w:rsidRPr="00421152">
        <w:t>4</w:t>
      </w:r>
      <w:r w:rsidR="004A2ABC" w:rsidRPr="00421152">
        <w:t>K under budget</w:t>
      </w:r>
      <w:r w:rsidR="005215EB" w:rsidRPr="00421152">
        <w:t xml:space="preserve"> due to vacancies </w:t>
      </w:r>
      <w:r w:rsidR="004A2ABC" w:rsidRPr="00421152">
        <w:t xml:space="preserve">as well as other income, including interest income, which was CHF </w:t>
      </w:r>
      <w:r w:rsidR="002E0DFE" w:rsidRPr="00421152">
        <w:t>8</w:t>
      </w:r>
      <w:r w:rsidR="004A2ABC" w:rsidRPr="00421152">
        <w:t>K lower than budgeted.</w:t>
      </w:r>
    </w:p>
    <w:p w14:paraId="22B831D4" w14:textId="77777777" w:rsidR="00126808" w:rsidRPr="00421152" w:rsidRDefault="00126808" w:rsidP="00633DD5">
      <w:pPr>
        <w:pStyle w:val="NoSpacing"/>
        <w:ind w:left="850"/>
      </w:pPr>
    </w:p>
    <w:p w14:paraId="0F5C63FE" w14:textId="24F89C5A" w:rsidR="004753C0" w:rsidRPr="00421152" w:rsidRDefault="00112F62" w:rsidP="00633DD5">
      <w:pPr>
        <w:pStyle w:val="NoSpacing"/>
        <w:ind w:left="850"/>
      </w:pPr>
      <w:r w:rsidRPr="00421152">
        <w:t>b.</w:t>
      </w:r>
      <w:r w:rsidRPr="00421152">
        <w:tab/>
      </w:r>
      <w:r w:rsidR="008D5BB1" w:rsidRPr="00421152">
        <w:t>Overall salary costs</w:t>
      </w:r>
      <w:r w:rsidR="004A2ABC" w:rsidRPr="00421152">
        <w:t xml:space="preserve"> </w:t>
      </w:r>
      <w:r w:rsidR="000844F9">
        <w:t>of</w:t>
      </w:r>
      <w:r w:rsidR="004A2ABC" w:rsidRPr="00421152">
        <w:t xml:space="preserve"> CHF 3,</w:t>
      </w:r>
      <w:r w:rsidR="002E0DFE" w:rsidRPr="00421152">
        <w:t>215</w:t>
      </w:r>
      <w:r w:rsidR="004A2ABC" w:rsidRPr="00421152">
        <w:t>K correspond</w:t>
      </w:r>
      <w:r w:rsidR="000844F9">
        <w:t>ed</w:t>
      </w:r>
      <w:r w:rsidR="004A2ABC" w:rsidRPr="00421152">
        <w:t xml:space="preserve"> to a budget implementation rate of </w:t>
      </w:r>
      <w:r w:rsidR="002E0DFE" w:rsidRPr="00421152">
        <w:t>92</w:t>
      </w:r>
      <w:r w:rsidR="004A2ABC" w:rsidRPr="00421152">
        <w:t xml:space="preserve">% and salary costs </w:t>
      </w:r>
      <w:r w:rsidR="000844F9" w:rsidRPr="00421152">
        <w:t>amount</w:t>
      </w:r>
      <w:r w:rsidR="000844F9">
        <w:t>ed</w:t>
      </w:r>
      <w:r w:rsidR="000844F9" w:rsidRPr="00421152">
        <w:t xml:space="preserve"> </w:t>
      </w:r>
      <w:r w:rsidR="004A2ABC" w:rsidRPr="00421152">
        <w:t>to 6</w:t>
      </w:r>
      <w:r w:rsidR="002E0DFE" w:rsidRPr="00421152">
        <w:t>9</w:t>
      </w:r>
      <w:r w:rsidR="004A2ABC" w:rsidRPr="00421152">
        <w:t>% of overall expenditure.</w:t>
      </w:r>
    </w:p>
    <w:p w14:paraId="6674AFCF" w14:textId="77777777" w:rsidR="00112F62" w:rsidRPr="00421152" w:rsidRDefault="00112F62" w:rsidP="00633DD5">
      <w:pPr>
        <w:pStyle w:val="NoSpacing"/>
        <w:ind w:left="850"/>
      </w:pPr>
    </w:p>
    <w:p w14:paraId="25897C4E" w14:textId="66FB50DB" w:rsidR="008D5BB1" w:rsidRPr="00421152" w:rsidRDefault="00112F62" w:rsidP="00633DD5">
      <w:pPr>
        <w:pStyle w:val="NoSpacing"/>
        <w:ind w:left="850"/>
      </w:pPr>
      <w:r w:rsidRPr="00421152">
        <w:t>c.</w:t>
      </w:r>
      <w:r w:rsidRPr="00421152">
        <w:tab/>
      </w:r>
      <w:r w:rsidR="008D5BB1" w:rsidRPr="00421152">
        <w:t>No IUCN-imposed cost-of-living increases have come into effect since 2011.</w:t>
      </w:r>
      <w:r w:rsidR="004A2ABC" w:rsidRPr="00421152">
        <w:t xml:space="preserve"> Pe</w:t>
      </w:r>
      <w:r w:rsidR="008D5BB1" w:rsidRPr="00421152">
        <w:t>rformance-based</w:t>
      </w:r>
      <w:r w:rsidR="004A2ABC" w:rsidRPr="00421152">
        <w:t xml:space="preserve"> salary</w:t>
      </w:r>
      <w:r w:rsidR="008D5BB1" w:rsidRPr="00421152">
        <w:t xml:space="preserve"> increases implemented by IUCN in 2017 </w:t>
      </w:r>
      <w:r w:rsidR="00E61CC2" w:rsidRPr="00421152">
        <w:t>are being</w:t>
      </w:r>
      <w:r w:rsidR="00E91F83" w:rsidRPr="00421152">
        <w:t xml:space="preserve"> </w:t>
      </w:r>
      <w:r w:rsidR="00903E7A" w:rsidRPr="00421152">
        <w:t>put in place</w:t>
      </w:r>
      <w:r w:rsidR="005215EB" w:rsidRPr="00421152">
        <w:t xml:space="preserve"> in </w:t>
      </w:r>
      <w:r w:rsidR="008D5BB1" w:rsidRPr="00421152">
        <w:t>Ramsar</w:t>
      </w:r>
      <w:r w:rsidR="005215EB" w:rsidRPr="00421152">
        <w:t xml:space="preserve"> in 2019</w:t>
      </w:r>
      <w:r w:rsidR="008D5BB1" w:rsidRPr="00421152">
        <w:t xml:space="preserve"> </w:t>
      </w:r>
      <w:r w:rsidR="00E61CC2" w:rsidRPr="00421152">
        <w:t>after the</w:t>
      </w:r>
      <w:r w:rsidR="00E91F83" w:rsidRPr="00421152">
        <w:t xml:space="preserve"> </w:t>
      </w:r>
      <w:r w:rsidR="000C57BA" w:rsidRPr="00421152">
        <w:t xml:space="preserve">Secretariat </w:t>
      </w:r>
      <w:r w:rsidR="00E61CC2" w:rsidRPr="00421152">
        <w:t xml:space="preserve">started to </w:t>
      </w:r>
      <w:r w:rsidR="00ED1F5E" w:rsidRPr="00421152">
        <w:t>implement</w:t>
      </w:r>
      <w:r w:rsidR="000C57BA" w:rsidRPr="00421152">
        <w:t xml:space="preserve"> the new on-line performance system</w:t>
      </w:r>
      <w:r w:rsidR="00A446A5">
        <w:t>. This increase was included in the approved budget for the triennium</w:t>
      </w:r>
      <w:r w:rsidR="0086305C" w:rsidRPr="00421152">
        <w:t xml:space="preserve"> (see </w:t>
      </w:r>
      <w:r w:rsidR="00756669" w:rsidRPr="00421152">
        <w:t xml:space="preserve">Resolution XIII.2, paragraph </w:t>
      </w:r>
      <w:r w:rsidR="00A446A5">
        <w:t>14</w:t>
      </w:r>
      <w:r w:rsidR="000844F9">
        <w:t xml:space="preserve"> and Annex 1</w:t>
      </w:r>
      <w:r w:rsidR="0086305C" w:rsidRPr="00421152">
        <w:t>).</w:t>
      </w:r>
    </w:p>
    <w:p w14:paraId="26728997" w14:textId="77777777" w:rsidR="00112F62" w:rsidRPr="00421152" w:rsidRDefault="00112F62" w:rsidP="00633DD5">
      <w:pPr>
        <w:pStyle w:val="NoSpacing"/>
        <w:ind w:left="850"/>
      </w:pPr>
    </w:p>
    <w:p w14:paraId="131523C0" w14:textId="4A510904" w:rsidR="004753C0" w:rsidRPr="00421152" w:rsidRDefault="00112F62" w:rsidP="00633DD5">
      <w:pPr>
        <w:pStyle w:val="NoSpacing"/>
        <w:ind w:left="850"/>
      </w:pPr>
      <w:r w:rsidRPr="00421152">
        <w:t>d.</w:t>
      </w:r>
      <w:r w:rsidRPr="00421152">
        <w:tab/>
      </w:r>
      <w:r w:rsidR="0024781C" w:rsidRPr="00421152">
        <w:t xml:space="preserve">Provisions were </w:t>
      </w:r>
      <w:r w:rsidR="00F117D1" w:rsidRPr="00421152">
        <w:t>under</w:t>
      </w:r>
      <w:r w:rsidR="0024781C" w:rsidRPr="00421152">
        <w:t xml:space="preserve"> budget, mainly as a result of the </w:t>
      </w:r>
      <w:r w:rsidR="00F117D1" w:rsidRPr="00421152">
        <w:t>reduction</w:t>
      </w:r>
      <w:r w:rsidR="0024781C" w:rsidRPr="00421152">
        <w:t xml:space="preserve"> in bad debt provision of CHF </w:t>
      </w:r>
      <w:r w:rsidR="00466E1C" w:rsidRPr="00421152">
        <w:t>5</w:t>
      </w:r>
      <w:r w:rsidR="0024781C" w:rsidRPr="00421152">
        <w:t>7K compared to 201</w:t>
      </w:r>
      <w:r w:rsidR="00F117D1" w:rsidRPr="00421152">
        <w:t>7 offset by</w:t>
      </w:r>
      <w:r w:rsidR="0024781C" w:rsidRPr="00421152">
        <w:t xml:space="preserve"> increase in </w:t>
      </w:r>
      <w:r w:rsidR="00F117D1" w:rsidRPr="00421152">
        <w:t>staff</w:t>
      </w:r>
      <w:r w:rsidR="0024781C" w:rsidRPr="00421152">
        <w:t xml:space="preserve"> provision</w:t>
      </w:r>
      <w:r w:rsidR="00F117D1" w:rsidRPr="00421152">
        <w:t>s</w:t>
      </w:r>
      <w:r w:rsidR="0024781C" w:rsidRPr="00421152">
        <w:t xml:space="preserve"> of CHF </w:t>
      </w:r>
      <w:r w:rsidR="00466E1C" w:rsidRPr="00421152">
        <w:t>56</w:t>
      </w:r>
      <w:r w:rsidR="0024781C" w:rsidRPr="00421152">
        <w:t>K</w:t>
      </w:r>
      <w:r w:rsidR="007F5D74" w:rsidRPr="00421152">
        <w:t xml:space="preserve"> </w:t>
      </w:r>
      <w:r w:rsidR="00F117D1" w:rsidRPr="00421152">
        <w:t>compared to 2017</w:t>
      </w:r>
      <w:r w:rsidR="0024781C" w:rsidRPr="00421152">
        <w:t>.</w:t>
      </w:r>
      <w:r w:rsidR="00A050C4" w:rsidRPr="00421152">
        <w:t xml:space="preserve"> There was </w:t>
      </w:r>
      <w:r w:rsidR="002D6DD5" w:rsidRPr="00421152">
        <w:t xml:space="preserve">underspending </w:t>
      </w:r>
      <w:r w:rsidR="00E61CC2" w:rsidRPr="00421152">
        <w:t xml:space="preserve">from the </w:t>
      </w:r>
      <w:r w:rsidR="002D6DD5" w:rsidRPr="00421152">
        <w:t xml:space="preserve">legal services </w:t>
      </w:r>
      <w:r w:rsidR="000844F9" w:rsidRPr="00421152">
        <w:t xml:space="preserve">budget line </w:t>
      </w:r>
      <w:r w:rsidR="00CB6134" w:rsidRPr="00421152">
        <w:t xml:space="preserve">of </w:t>
      </w:r>
      <w:r w:rsidR="002D6DD5" w:rsidRPr="00421152">
        <w:t xml:space="preserve">CHF </w:t>
      </w:r>
      <w:r w:rsidR="00C473F6" w:rsidRPr="00421152">
        <w:t xml:space="preserve">31K </w:t>
      </w:r>
      <w:r w:rsidR="002D6DD5" w:rsidRPr="00421152">
        <w:t xml:space="preserve">and </w:t>
      </w:r>
      <w:r w:rsidR="00A050C4" w:rsidRPr="00421152">
        <w:t xml:space="preserve">an overall exchange </w:t>
      </w:r>
      <w:r w:rsidR="002D6DD5" w:rsidRPr="00421152">
        <w:t>loss</w:t>
      </w:r>
      <w:r w:rsidR="00A050C4" w:rsidRPr="00421152">
        <w:t xml:space="preserve"> of CHF </w:t>
      </w:r>
      <w:r w:rsidR="00F117D1" w:rsidRPr="00421152">
        <w:t>33</w:t>
      </w:r>
      <w:r w:rsidR="00A050C4" w:rsidRPr="00421152">
        <w:t>K.</w:t>
      </w:r>
      <w:r w:rsidR="0024781C" w:rsidRPr="00421152">
        <w:t xml:space="preserve"> </w:t>
      </w:r>
    </w:p>
    <w:p w14:paraId="2D093193" w14:textId="77777777" w:rsidR="000F435C" w:rsidRPr="00421152" w:rsidRDefault="000F435C" w:rsidP="00633DD5">
      <w:pPr>
        <w:pStyle w:val="NoSpacing"/>
        <w:ind w:left="850"/>
      </w:pPr>
    </w:p>
    <w:p w14:paraId="54B796D8" w14:textId="0B39B90C" w:rsidR="00E02B6E" w:rsidRPr="00421152" w:rsidRDefault="00A523BE" w:rsidP="000F435C">
      <w:pPr>
        <w:pStyle w:val="NoSpacing"/>
      </w:pPr>
      <w:r>
        <w:t>7</w:t>
      </w:r>
      <w:r w:rsidR="000F435C" w:rsidRPr="00421152">
        <w:t>.</w:t>
      </w:r>
      <w:r w:rsidR="000F435C" w:rsidRPr="00421152">
        <w:tab/>
      </w:r>
      <w:r w:rsidR="00E61CC2" w:rsidRPr="00421152">
        <w:t>In line with the decisions taken by the S</w:t>
      </w:r>
      <w:r w:rsidR="0058398D">
        <w:t xml:space="preserve">tanding </w:t>
      </w:r>
      <w:r w:rsidR="00E61CC2" w:rsidRPr="00421152">
        <w:t>C</w:t>
      </w:r>
      <w:r w:rsidR="0058398D">
        <w:t>ommittee</w:t>
      </w:r>
      <w:r w:rsidR="00E61CC2" w:rsidRPr="00421152">
        <w:t xml:space="preserve"> mentioned above, the total pre-committed funds will be carried forward to 2019</w:t>
      </w:r>
      <w:r w:rsidR="00457280" w:rsidRPr="00421152">
        <w:t xml:space="preserve">. The total sum pre-committed is </w:t>
      </w:r>
      <w:r w:rsidR="001968D7" w:rsidRPr="00421152">
        <w:t xml:space="preserve">CHF </w:t>
      </w:r>
      <w:r w:rsidR="00CE5886" w:rsidRPr="00421152">
        <w:t>4</w:t>
      </w:r>
      <w:r w:rsidR="00542F90" w:rsidRPr="00421152">
        <w:t>37</w:t>
      </w:r>
      <w:r w:rsidR="001968D7" w:rsidRPr="00421152">
        <w:t>K</w:t>
      </w:r>
      <w:r w:rsidR="0058398D">
        <w:t>, as</w:t>
      </w:r>
      <w:r w:rsidR="00E91F83" w:rsidRPr="00421152">
        <w:t xml:space="preserve"> </w:t>
      </w:r>
      <w:r w:rsidR="00515275" w:rsidRPr="00421152">
        <w:t xml:space="preserve">noted above in </w:t>
      </w:r>
      <w:r w:rsidR="0058398D">
        <w:t>T</w:t>
      </w:r>
      <w:r w:rsidR="00515275" w:rsidRPr="00421152">
        <w:t>able 1</w:t>
      </w:r>
      <w:r w:rsidR="0058398D">
        <w:t xml:space="preserve"> in bold text</w:t>
      </w:r>
      <w:r w:rsidR="00457280" w:rsidRPr="00421152">
        <w:t xml:space="preserve">. </w:t>
      </w:r>
    </w:p>
    <w:p w14:paraId="14318ACF" w14:textId="77777777" w:rsidR="00E02B6E" w:rsidRPr="00421152" w:rsidRDefault="00E02B6E" w:rsidP="000F435C">
      <w:pPr>
        <w:pStyle w:val="NoSpacing"/>
      </w:pPr>
    </w:p>
    <w:p w14:paraId="66E4E704" w14:textId="2B4866C4" w:rsidR="002B0D26" w:rsidRPr="00421152" w:rsidRDefault="00A523BE" w:rsidP="009D425A">
      <w:pPr>
        <w:pStyle w:val="NoSpacing"/>
      </w:pPr>
      <w:r>
        <w:t>8.</w:t>
      </w:r>
      <w:r>
        <w:tab/>
      </w:r>
      <w:r w:rsidR="002B0D26" w:rsidRPr="00421152">
        <w:t>Funds which had</w:t>
      </w:r>
      <w:r w:rsidR="008B1247" w:rsidRPr="00421152">
        <w:t xml:space="preserve">, prior to 2017, </w:t>
      </w:r>
      <w:r w:rsidR="002B0D26" w:rsidRPr="00421152">
        <w:t>been transferred to non-core</w:t>
      </w:r>
      <w:r w:rsidR="008B1247" w:rsidRPr="00421152">
        <w:t xml:space="preserve"> projects</w:t>
      </w:r>
      <w:r w:rsidR="00A8663A" w:rsidRPr="00421152">
        <w:t>,</w:t>
      </w:r>
      <w:r w:rsidR="002B0D26" w:rsidRPr="00421152">
        <w:t xml:space="preserve"> remain under</w:t>
      </w:r>
      <w:r w:rsidR="008B1247" w:rsidRPr="00421152">
        <w:t xml:space="preserve"> the</w:t>
      </w:r>
      <w:r w:rsidR="002B0D26" w:rsidRPr="00421152">
        <w:t xml:space="preserve"> non-core</w:t>
      </w:r>
      <w:r w:rsidR="008B1247" w:rsidRPr="00421152">
        <w:t xml:space="preserve"> funding category</w:t>
      </w:r>
      <w:r w:rsidR="002B0D26" w:rsidRPr="00421152">
        <w:t xml:space="preserve"> and are being used up</w:t>
      </w:r>
      <w:r w:rsidR="0024781C" w:rsidRPr="00421152">
        <w:t xml:space="preserve"> for the specified purpose</w:t>
      </w:r>
      <w:r w:rsidR="00C14316" w:rsidRPr="00421152">
        <w:t xml:space="preserve"> approved by</w:t>
      </w:r>
      <w:r w:rsidR="007A3CB6" w:rsidRPr="00421152">
        <w:t xml:space="preserve"> </w:t>
      </w:r>
      <w:r w:rsidR="00A446A5">
        <w:t>D</w:t>
      </w:r>
      <w:r w:rsidR="0004214F" w:rsidRPr="00421152">
        <w:t>ecision SC54-26</w:t>
      </w:r>
      <w:r w:rsidR="002B0D26" w:rsidRPr="00421152">
        <w:t xml:space="preserve">. An overview </w:t>
      </w:r>
      <w:r w:rsidR="00BA0F3C">
        <w:t>of</w:t>
      </w:r>
      <w:r w:rsidR="00BA0F3C" w:rsidRPr="00421152">
        <w:t xml:space="preserve"> </w:t>
      </w:r>
      <w:r w:rsidR="00465271" w:rsidRPr="00421152">
        <w:t xml:space="preserve">these </w:t>
      </w:r>
      <w:r w:rsidR="002B0D26" w:rsidRPr="00421152">
        <w:t xml:space="preserve">can be found under the non-core funds report </w:t>
      </w:r>
      <w:r w:rsidR="001D0B77">
        <w:t>at</w:t>
      </w:r>
      <w:r w:rsidR="001D0B77" w:rsidRPr="00421152">
        <w:t xml:space="preserve"> </w:t>
      </w:r>
      <w:r w:rsidR="002B0D26" w:rsidRPr="00421152">
        <w:t xml:space="preserve">Annex </w:t>
      </w:r>
      <w:r w:rsidR="00A8663A" w:rsidRPr="00421152">
        <w:t>3</w:t>
      </w:r>
      <w:r w:rsidR="002B0D26" w:rsidRPr="00421152">
        <w:t>.</w:t>
      </w:r>
      <w:r w:rsidR="00A446A5">
        <w:t xml:space="preserve"> The practice of such transfers was discontinued in 2017.</w:t>
      </w:r>
    </w:p>
    <w:p w14:paraId="206DD118" w14:textId="323E93C4" w:rsidR="001968D7" w:rsidRPr="00421152" w:rsidRDefault="001968D7" w:rsidP="00633DD5"/>
    <w:p w14:paraId="0FAD30C8" w14:textId="681AD208" w:rsidR="00E32440" w:rsidRPr="00421152" w:rsidRDefault="00E32440" w:rsidP="0058398D">
      <w:pPr>
        <w:pStyle w:val="NoSpacing"/>
        <w:keepNext/>
        <w:ind w:left="0" w:firstLine="0"/>
        <w:rPr>
          <w:b/>
        </w:rPr>
      </w:pPr>
      <w:r w:rsidRPr="00421152">
        <w:rPr>
          <w:b/>
        </w:rPr>
        <w:lastRenderedPageBreak/>
        <w:t>201</w:t>
      </w:r>
      <w:r w:rsidR="00467887" w:rsidRPr="00421152">
        <w:rPr>
          <w:b/>
        </w:rPr>
        <w:t>8</w:t>
      </w:r>
      <w:r w:rsidRPr="00421152">
        <w:rPr>
          <w:b/>
        </w:rPr>
        <w:t xml:space="preserve"> surplus</w:t>
      </w:r>
    </w:p>
    <w:p w14:paraId="4EC14AA2" w14:textId="642F6BE8" w:rsidR="008F4DA8" w:rsidRPr="00421152" w:rsidRDefault="008F4DA8" w:rsidP="0058398D">
      <w:pPr>
        <w:keepNext/>
      </w:pPr>
    </w:p>
    <w:p w14:paraId="0A4B8178" w14:textId="00FC00F4" w:rsidR="008F4DA8" w:rsidRPr="00AA3DF1" w:rsidRDefault="00A523BE" w:rsidP="00AE5291">
      <w:r>
        <w:t>9</w:t>
      </w:r>
      <w:r w:rsidR="008F4DA8" w:rsidRPr="00421152">
        <w:t>.</w:t>
      </w:r>
      <w:r w:rsidR="008F4DA8" w:rsidRPr="00421152">
        <w:tab/>
      </w:r>
      <w:r w:rsidR="00063F47" w:rsidRPr="00421152">
        <w:t xml:space="preserve">The statement of income and expenditures for </w:t>
      </w:r>
      <w:r w:rsidR="00B35466">
        <w:t>2018</w:t>
      </w:r>
      <w:r w:rsidR="00063F47" w:rsidRPr="00421152">
        <w:t xml:space="preserve"> in the audited financial statements (</w:t>
      </w:r>
      <w:r w:rsidR="00326625">
        <w:t xml:space="preserve">see </w:t>
      </w:r>
      <w:r w:rsidR="00063F47" w:rsidRPr="00421152">
        <w:t>Annex 1</w:t>
      </w:r>
      <w:r w:rsidR="00326625">
        <w:t>, table II</w:t>
      </w:r>
      <w:r w:rsidR="00063F47" w:rsidRPr="00421152">
        <w:t xml:space="preserve">) shows that the fund balance at the end of the year </w:t>
      </w:r>
      <w:r w:rsidR="006A4C5B">
        <w:t>was</w:t>
      </w:r>
      <w:r w:rsidR="006A4C5B" w:rsidRPr="00421152">
        <w:t xml:space="preserve"> </w:t>
      </w:r>
      <w:r w:rsidR="008F4DA8" w:rsidRPr="00421152">
        <w:t>CHF 2,196K. This includes</w:t>
      </w:r>
      <w:r w:rsidR="00AE5291" w:rsidRPr="00421152">
        <w:t xml:space="preserve"> the 2017 fund balance (at the beginning of 2018)</w:t>
      </w:r>
      <w:r w:rsidR="00B35466" w:rsidRPr="00B35466">
        <w:t xml:space="preserve"> </w:t>
      </w:r>
      <w:r w:rsidR="00B35466">
        <w:t>of CHF 1,801K</w:t>
      </w:r>
      <w:r w:rsidR="00AE5291" w:rsidRPr="00421152">
        <w:t xml:space="preserve"> and the</w:t>
      </w:r>
      <w:r w:rsidR="002B27B1" w:rsidRPr="00421152">
        <w:t xml:space="preserve"> </w:t>
      </w:r>
      <w:r w:rsidR="00AE5291" w:rsidRPr="00421152">
        <w:t>net</w:t>
      </w:r>
      <w:r w:rsidR="002B27B1" w:rsidRPr="00421152">
        <w:t xml:space="preserve"> income </w:t>
      </w:r>
      <w:r w:rsidR="002B27B1" w:rsidRPr="00AA3DF1">
        <w:t xml:space="preserve">over expenditures for 2018 </w:t>
      </w:r>
      <w:r w:rsidR="00273EDF" w:rsidRPr="00AA3DF1">
        <w:t xml:space="preserve">of CHF 395K </w:t>
      </w:r>
      <w:r w:rsidR="002B27B1" w:rsidRPr="00AA3DF1">
        <w:t xml:space="preserve">as per the </w:t>
      </w:r>
      <w:r w:rsidR="00847570" w:rsidRPr="00AA3DF1">
        <w:t xml:space="preserve">audited </w:t>
      </w:r>
      <w:r w:rsidR="002B27B1" w:rsidRPr="00AA3DF1">
        <w:t xml:space="preserve">financial statements </w:t>
      </w:r>
      <w:r w:rsidR="00273EDF" w:rsidRPr="00AA3DF1">
        <w:t xml:space="preserve">and 2018 </w:t>
      </w:r>
      <w:r w:rsidR="00FD2E2F" w:rsidRPr="00AA3DF1">
        <w:t>core results</w:t>
      </w:r>
      <w:r w:rsidR="00273EDF" w:rsidRPr="00AA3DF1">
        <w:t xml:space="preserve"> for the period 01 January to 31 December 2018 </w:t>
      </w:r>
      <w:r w:rsidR="002B27B1" w:rsidRPr="00AA3DF1">
        <w:t>(Annex</w:t>
      </w:r>
      <w:r w:rsidRPr="00AA3DF1">
        <w:t xml:space="preserve"> 2</w:t>
      </w:r>
      <w:r w:rsidR="002B27B1" w:rsidRPr="00AA3DF1">
        <w:t>).</w:t>
      </w:r>
    </w:p>
    <w:p w14:paraId="1D8AC35B" w14:textId="77777777" w:rsidR="00AE5291" w:rsidRPr="00AA3DF1" w:rsidRDefault="00AE5291" w:rsidP="00AE5291">
      <w:pPr>
        <w:ind w:left="0" w:firstLine="0"/>
      </w:pPr>
    </w:p>
    <w:p w14:paraId="434AF524" w14:textId="69513D98" w:rsidR="00AE5291" w:rsidRPr="00AA3DF1" w:rsidRDefault="00A523BE" w:rsidP="00A523BE">
      <w:r w:rsidRPr="00AA3DF1">
        <w:t>10.</w:t>
      </w:r>
      <w:r w:rsidRPr="00AA3DF1">
        <w:tab/>
      </w:r>
      <w:r w:rsidR="00AE5291" w:rsidRPr="00AA3DF1">
        <w:t>The fund balance at the beginning of 2018 includes t</w:t>
      </w:r>
      <w:r w:rsidR="008E3029" w:rsidRPr="00AA3DF1">
        <w:t xml:space="preserve">he </w:t>
      </w:r>
      <w:r w:rsidR="00302FEE" w:rsidRPr="00AA3DF1">
        <w:t xml:space="preserve">reserve fund </w:t>
      </w:r>
      <w:r w:rsidR="00AE5291" w:rsidRPr="00AA3DF1">
        <w:t>at CHF 762K corresponding to 15% of the annual core budget approved by COP13, in line with Resolution XIII.2, paragraph 33.</w:t>
      </w:r>
      <w:r w:rsidRPr="00AA3DF1">
        <w:t xml:space="preserve"> </w:t>
      </w:r>
      <w:r w:rsidR="00AE5291" w:rsidRPr="00AA3DF1">
        <w:t>Given that this is the target maximum level approved by the COP, there is no need to reallocate resources for this purpose.</w:t>
      </w:r>
    </w:p>
    <w:p w14:paraId="06F23491" w14:textId="20F75BFB" w:rsidR="00AE5291" w:rsidRPr="00AA3DF1" w:rsidRDefault="00AE5291" w:rsidP="00A523BE"/>
    <w:p w14:paraId="641AE879" w14:textId="547946C2" w:rsidR="000B6881" w:rsidRPr="00AA3DF1" w:rsidRDefault="00A523BE" w:rsidP="00A523BE">
      <w:r w:rsidRPr="00AA3DF1">
        <w:t>11.</w:t>
      </w:r>
      <w:r w:rsidRPr="00AA3DF1">
        <w:tab/>
      </w:r>
      <w:r w:rsidR="00AE5291" w:rsidRPr="00AA3DF1">
        <w:t xml:space="preserve">This balance also includes pre-committed funds that had been approved by the </w:t>
      </w:r>
      <w:r w:rsidR="00716705" w:rsidRPr="00AA3DF1">
        <w:t xml:space="preserve">COP and </w:t>
      </w:r>
      <w:r w:rsidR="00AE5291" w:rsidRPr="00AA3DF1">
        <w:t>Standing Committee as shown in</w:t>
      </w:r>
      <w:r w:rsidR="00E91F83" w:rsidRPr="00AA3DF1">
        <w:t xml:space="preserve"> </w:t>
      </w:r>
      <w:r w:rsidR="00AE5291" w:rsidRPr="00AA3DF1">
        <w:t>Table 1</w:t>
      </w:r>
      <w:r w:rsidR="00716705" w:rsidRPr="00AA3DF1">
        <w:t xml:space="preserve"> </w:t>
      </w:r>
      <w:r w:rsidR="003C048D" w:rsidRPr="00AA3DF1">
        <w:t xml:space="preserve">above </w:t>
      </w:r>
      <w:r w:rsidR="00716705" w:rsidRPr="00AA3DF1">
        <w:t>for a total of CHF 437</w:t>
      </w:r>
      <w:r w:rsidR="003C048D" w:rsidRPr="00AA3DF1">
        <w:t>K</w:t>
      </w:r>
      <w:r w:rsidR="00716705" w:rsidRPr="00AA3DF1">
        <w:t>.</w:t>
      </w:r>
      <w:r w:rsidR="00E91F83" w:rsidRPr="00AA3DF1">
        <w:t xml:space="preserve"> </w:t>
      </w:r>
      <w:r w:rsidR="000B6881" w:rsidRPr="00AA3DF1">
        <w:t>These funds are to be spent in 2019.</w:t>
      </w:r>
    </w:p>
    <w:p w14:paraId="29BA87F2" w14:textId="77777777" w:rsidR="000B6881" w:rsidRPr="00AA3DF1" w:rsidRDefault="000B6881" w:rsidP="00A523BE"/>
    <w:p w14:paraId="0269177A" w14:textId="4BCDC594" w:rsidR="000B6881" w:rsidRPr="00AA3DF1" w:rsidRDefault="00A523BE" w:rsidP="00A523BE">
      <w:r w:rsidRPr="00AA3DF1">
        <w:t>12.</w:t>
      </w:r>
      <w:r w:rsidRPr="00AA3DF1">
        <w:tab/>
      </w:r>
      <w:r w:rsidR="00716705" w:rsidRPr="00AA3DF1">
        <w:t>It also includes the</w:t>
      </w:r>
      <w:r w:rsidR="000B6881" w:rsidRPr="00AA3DF1">
        <w:t xml:space="preserve"> funds approved intersessionally, on </w:t>
      </w:r>
      <w:r w:rsidR="00AB0CA9" w:rsidRPr="00AA3DF1">
        <w:t xml:space="preserve">30 </w:t>
      </w:r>
      <w:r w:rsidR="000B6881" w:rsidRPr="00AA3DF1">
        <w:t>April 20</w:t>
      </w:r>
      <w:r w:rsidR="001D3FD1" w:rsidRPr="00AA3DF1">
        <w:t>1</w:t>
      </w:r>
      <w:r w:rsidR="000B6881" w:rsidRPr="00AA3DF1">
        <w:t>8, by the Subgroup on Finance to complement voluntary funding for COP13 delegate support. The Subgroup authorized the use of up to CHF 300K</w:t>
      </w:r>
      <w:r w:rsidR="00AB0CA9" w:rsidRPr="00AA3DF1">
        <w:t>,</w:t>
      </w:r>
      <w:r w:rsidR="000B6881" w:rsidRPr="00AA3DF1">
        <w:t xml:space="preserve"> and the amount </w:t>
      </w:r>
      <w:r w:rsidR="00C57F39" w:rsidRPr="00AA3DF1">
        <w:t xml:space="preserve">that was used after fundraising efforts </w:t>
      </w:r>
      <w:r w:rsidR="00AB0CA9" w:rsidRPr="00AA3DF1">
        <w:t>was</w:t>
      </w:r>
      <w:r w:rsidR="000B6881" w:rsidRPr="00AA3DF1">
        <w:t xml:space="preserve"> CHF 94K. </w:t>
      </w:r>
    </w:p>
    <w:p w14:paraId="6DD7AE4D" w14:textId="77777777" w:rsidR="000B6881" w:rsidRPr="00AA3DF1" w:rsidRDefault="000B6881" w:rsidP="00A523BE"/>
    <w:p w14:paraId="39A79A6A" w14:textId="423476EC" w:rsidR="00A146A7" w:rsidRPr="00421152" w:rsidRDefault="00A523BE" w:rsidP="00A523BE">
      <w:r w:rsidRPr="00AA3DF1">
        <w:t>13.</w:t>
      </w:r>
      <w:r w:rsidRPr="00AA3DF1">
        <w:tab/>
      </w:r>
      <w:r w:rsidR="000B6881" w:rsidRPr="00AA3DF1">
        <w:t xml:space="preserve">The balance also includes the use of </w:t>
      </w:r>
      <w:r w:rsidR="00A146A7" w:rsidRPr="00AA3DF1">
        <w:t>CHF 2</w:t>
      </w:r>
      <w:r w:rsidR="001D3FD1" w:rsidRPr="00AA3DF1">
        <w:t>2</w:t>
      </w:r>
      <w:r w:rsidR="00A146A7" w:rsidRPr="00AA3DF1">
        <w:t xml:space="preserve">8K from </w:t>
      </w:r>
      <w:r w:rsidR="00441474" w:rsidRPr="00AA3DF1">
        <w:t xml:space="preserve">the </w:t>
      </w:r>
      <w:r w:rsidR="00A146A7" w:rsidRPr="00AA3DF1">
        <w:t xml:space="preserve">2017 surplus approved </w:t>
      </w:r>
      <w:r w:rsidR="00441474" w:rsidRPr="00AA3DF1">
        <w:t xml:space="preserve">through </w:t>
      </w:r>
      <w:r w:rsidR="00A146A7" w:rsidRPr="00AA3DF1">
        <w:t>Resolution XIII.2</w:t>
      </w:r>
      <w:r w:rsidR="00134BDB" w:rsidRPr="00AA3DF1">
        <w:t>,</w:t>
      </w:r>
      <w:r w:rsidR="00A146A7" w:rsidRPr="00AA3DF1">
        <w:t xml:space="preserve"> </w:t>
      </w:r>
      <w:r w:rsidR="00A51FC7" w:rsidRPr="00AA3DF1">
        <w:t>paragraph 15</w:t>
      </w:r>
      <w:r w:rsidR="00441474" w:rsidRPr="00AA3DF1">
        <w:t>,</w:t>
      </w:r>
      <w:r w:rsidR="00A51FC7" w:rsidRPr="00AA3DF1">
        <w:t xml:space="preserve"> </w:t>
      </w:r>
      <w:r w:rsidR="00A146A7" w:rsidRPr="00AA3DF1">
        <w:t xml:space="preserve">to cover the gap created in the 2016-2018 budget to cover the cost of a new position of Finance and Accounting </w:t>
      </w:r>
      <w:r w:rsidR="00A446A5" w:rsidRPr="00AA3DF1">
        <w:t>A</w:t>
      </w:r>
      <w:r w:rsidR="00A146A7" w:rsidRPr="00AA3DF1">
        <w:t>ssistant in the core budget (cuts were made to communications, travel, STRP and planning a</w:t>
      </w:r>
      <w:r w:rsidR="001D3FD1" w:rsidRPr="00AA3DF1">
        <w:t>nd</w:t>
      </w:r>
      <w:r w:rsidR="00A146A7" w:rsidRPr="00AA3DF1">
        <w:t xml:space="preserve"> </w:t>
      </w:r>
      <w:r w:rsidR="003204BB" w:rsidRPr="00AA3DF1">
        <w:t>capacity-</w:t>
      </w:r>
      <w:r w:rsidR="00A146A7" w:rsidRPr="00AA3DF1">
        <w:t xml:space="preserve">building </w:t>
      </w:r>
      <w:r w:rsidR="001B20EC" w:rsidRPr="00AA3DF1">
        <w:t xml:space="preserve">budget lines </w:t>
      </w:r>
      <w:r w:rsidR="00A146A7" w:rsidRPr="00AA3DF1">
        <w:t>that were filled with this surplus).</w:t>
      </w:r>
      <w:r w:rsidR="00A146A7" w:rsidRPr="00421152">
        <w:t xml:space="preserve"> </w:t>
      </w:r>
    </w:p>
    <w:p w14:paraId="5D5DDB65" w14:textId="77777777" w:rsidR="00A146A7" w:rsidRPr="00421152" w:rsidRDefault="00A146A7" w:rsidP="00A523BE"/>
    <w:p w14:paraId="60449874" w14:textId="55110475" w:rsidR="00A146A7" w:rsidRPr="00421152" w:rsidRDefault="00A523BE" w:rsidP="00A523BE">
      <w:r>
        <w:t>14.</w:t>
      </w:r>
      <w:r>
        <w:tab/>
      </w:r>
      <w:r w:rsidR="000B2759" w:rsidRPr="00421152">
        <w:t>Additionally</w:t>
      </w:r>
      <w:r w:rsidR="00A146A7" w:rsidRPr="00421152">
        <w:t>, CHF 70</w:t>
      </w:r>
      <w:r w:rsidR="00656BBF">
        <w:t>K</w:t>
      </w:r>
      <w:r w:rsidR="00A146A7" w:rsidRPr="00421152">
        <w:t xml:space="preserve"> </w:t>
      </w:r>
      <w:r w:rsidR="00965B6F">
        <w:t>was</w:t>
      </w:r>
      <w:r w:rsidR="00A146A7" w:rsidRPr="00421152">
        <w:t xml:space="preserve"> approved </w:t>
      </w:r>
      <w:r w:rsidR="00965B6F">
        <w:t>through</w:t>
      </w:r>
      <w:r w:rsidR="00965B6F" w:rsidRPr="00421152">
        <w:t xml:space="preserve"> </w:t>
      </w:r>
      <w:r w:rsidR="00134BDB" w:rsidRPr="00421152">
        <w:t xml:space="preserve">Resolution XIII.2, paragraph 16, </w:t>
      </w:r>
      <w:r w:rsidR="00A146A7" w:rsidRPr="00421152">
        <w:t>to support the work of the Effectiveness Working Group</w:t>
      </w:r>
      <w:r w:rsidR="00A51FC7" w:rsidRPr="00421152">
        <w:t xml:space="preserve"> </w:t>
      </w:r>
      <w:r w:rsidR="00A146A7" w:rsidRPr="00421152">
        <w:t xml:space="preserve">. </w:t>
      </w:r>
    </w:p>
    <w:p w14:paraId="79CB0EE8" w14:textId="77777777" w:rsidR="00A146A7" w:rsidRPr="00421152" w:rsidRDefault="00A146A7" w:rsidP="00A523BE"/>
    <w:p w14:paraId="35631A69" w14:textId="184B769E" w:rsidR="00A146A7" w:rsidRPr="00421152" w:rsidRDefault="00A523BE" w:rsidP="00A523BE">
      <w:r>
        <w:t>15.</w:t>
      </w:r>
      <w:r>
        <w:tab/>
      </w:r>
      <w:r w:rsidR="00A146A7" w:rsidRPr="00421152">
        <w:t xml:space="preserve">The </w:t>
      </w:r>
      <w:r w:rsidR="00134BDB" w:rsidRPr="00421152">
        <w:t xml:space="preserve">two </w:t>
      </w:r>
      <w:r w:rsidR="00A146A7" w:rsidRPr="00421152">
        <w:t>above approved amounts</w:t>
      </w:r>
      <w:r w:rsidR="00B21D97">
        <w:t>,</w:t>
      </w:r>
      <w:r w:rsidR="00A146A7" w:rsidRPr="00421152">
        <w:t xml:space="preserve"> </w:t>
      </w:r>
      <w:r w:rsidR="00B21D97">
        <w:t>totalling</w:t>
      </w:r>
      <w:r w:rsidR="00134BDB" w:rsidRPr="00421152">
        <w:t xml:space="preserve"> </w:t>
      </w:r>
      <w:r w:rsidR="001D3FD1" w:rsidRPr="00421152">
        <w:t>CHF 298K</w:t>
      </w:r>
      <w:r w:rsidR="00B21D97">
        <w:t>,</w:t>
      </w:r>
      <w:r w:rsidR="001D3FD1" w:rsidRPr="00421152">
        <w:t xml:space="preserve"> </w:t>
      </w:r>
      <w:r w:rsidR="00A146A7" w:rsidRPr="00421152">
        <w:t>will be spent in 2019</w:t>
      </w:r>
      <w:r w:rsidR="00134BDB" w:rsidRPr="00421152">
        <w:t>-2021</w:t>
      </w:r>
      <w:r w:rsidR="00A146A7" w:rsidRPr="00421152">
        <w:t xml:space="preserve"> and have been included in the </w:t>
      </w:r>
      <w:r w:rsidR="00AA3DF1">
        <w:t xml:space="preserve">2019 </w:t>
      </w:r>
      <w:r w:rsidR="00A146A7" w:rsidRPr="00421152">
        <w:t xml:space="preserve">budget (see Annex </w:t>
      </w:r>
      <w:r w:rsidR="001D3FD1" w:rsidRPr="00421152">
        <w:t>4</w:t>
      </w:r>
      <w:r w:rsidR="00A146A7" w:rsidRPr="00421152">
        <w:t>)</w:t>
      </w:r>
      <w:r w:rsidR="00134BDB" w:rsidRPr="00421152">
        <w:t>.</w:t>
      </w:r>
    </w:p>
    <w:p w14:paraId="23F32F68" w14:textId="420C793C" w:rsidR="000B2759" w:rsidRPr="00421152" w:rsidRDefault="000B2759" w:rsidP="00A523BE"/>
    <w:p w14:paraId="18397A56" w14:textId="55CB9993" w:rsidR="00216155" w:rsidRDefault="00A523BE" w:rsidP="00216155">
      <w:r>
        <w:t>16.</w:t>
      </w:r>
      <w:r>
        <w:tab/>
      </w:r>
      <w:r w:rsidR="00216155" w:rsidRPr="00562220">
        <w:t>Lastly,</w:t>
      </w:r>
      <w:r w:rsidR="00216155">
        <w:t xml:space="preserve"> a correction needs to be made regarding the </w:t>
      </w:r>
      <w:r w:rsidR="002253A7">
        <w:t xml:space="preserve">Ramsar Regional Initiative </w:t>
      </w:r>
      <w:r w:rsidR="003165A3">
        <w:t xml:space="preserve">(RRI) </w:t>
      </w:r>
      <w:r w:rsidR="002253A7">
        <w:t>for the Amazon River Basin</w:t>
      </w:r>
      <w:r w:rsidR="00656BBF">
        <w:t>,</w:t>
      </w:r>
      <w:r w:rsidR="002253A7" w:rsidDel="002253A7">
        <w:t xml:space="preserve"> </w:t>
      </w:r>
      <w:r w:rsidR="00216155">
        <w:t xml:space="preserve">as the 2017 surplus of CHF 28K reported in document </w:t>
      </w:r>
      <w:r w:rsidR="003165A3">
        <w:t xml:space="preserve">Doc. </w:t>
      </w:r>
      <w:r w:rsidR="00AA3DF1">
        <w:t>SC54-7.1 Rev.</w:t>
      </w:r>
      <w:r w:rsidR="00216155">
        <w:t xml:space="preserve">1 was accidentally excluded from the details of Decision SC54-26 and was thus carried forward to 2018. This was due to the transition away from the past practice, now discontinued, of transferring </w:t>
      </w:r>
      <w:r w:rsidR="003165A3">
        <w:t xml:space="preserve">funds </w:t>
      </w:r>
      <w:r w:rsidR="00216155">
        <w:t xml:space="preserve">from </w:t>
      </w:r>
      <w:r w:rsidR="003165A3">
        <w:t xml:space="preserve">core to non-core </w:t>
      </w:r>
      <w:r w:rsidR="00216155">
        <w:t xml:space="preserve">for </w:t>
      </w:r>
      <w:r w:rsidR="003165A3">
        <w:t>RRIs</w:t>
      </w:r>
      <w:r w:rsidR="00216155">
        <w:t xml:space="preserve">. An allocation of 28k is thus required to cover this gap. </w:t>
      </w:r>
    </w:p>
    <w:p w14:paraId="14D6F385" w14:textId="2B73E589" w:rsidR="00216155" w:rsidRDefault="00216155" w:rsidP="00A523BE"/>
    <w:p w14:paraId="5D658135" w14:textId="2D35251D" w:rsidR="000B2759" w:rsidRPr="00421152" w:rsidRDefault="00255D02" w:rsidP="00A523BE">
      <w:r w:rsidRPr="00255D02">
        <w:t>17</w:t>
      </w:r>
      <w:r w:rsidR="00216155" w:rsidRPr="00255D02">
        <w:t>.</w:t>
      </w:r>
      <w:r w:rsidR="00216155" w:rsidRPr="00255D02">
        <w:tab/>
      </w:r>
      <w:r w:rsidR="000B2759" w:rsidRPr="00255D02">
        <w:t>The</w:t>
      </w:r>
      <w:r w:rsidR="000B2759" w:rsidRPr="00216155">
        <w:t xml:space="preserve"> 2018 R</w:t>
      </w:r>
      <w:r w:rsidR="003165A3">
        <w:t>R</w:t>
      </w:r>
      <w:r w:rsidR="000B2759" w:rsidRPr="00216155">
        <w:t xml:space="preserve">I surplus of CHF 36k (Table 1 above) includes CHF 21K </w:t>
      </w:r>
      <w:r w:rsidR="00216155" w:rsidRPr="00216155">
        <w:t xml:space="preserve">from </w:t>
      </w:r>
      <w:r w:rsidR="003165A3">
        <w:t xml:space="preserve">the </w:t>
      </w:r>
      <w:r w:rsidR="00216155" w:rsidRPr="00216155">
        <w:t xml:space="preserve">2016 surplus </w:t>
      </w:r>
      <w:r w:rsidR="000B2759" w:rsidRPr="00216155">
        <w:t xml:space="preserve">not allocated to any specific Regional Initiative. </w:t>
      </w:r>
      <w:r w:rsidR="00216155" w:rsidRPr="00216155">
        <w:t>The Standing Committee is invited to consider how to use this CHF 21K balance.</w:t>
      </w:r>
    </w:p>
    <w:p w14:paraId="7393D793" w14:textId="77777777" w:rsidR="000B2759" w:rsidRPr="00421152" w:rsidRDefault="000B2759" w:rsidP="00A146A7">
      <w:pPr>
        <w:ind w:left="0" w:firstLine="0"/>
      </w:pPr>
    </w:p>
    <w:p w14:paraId="24DBE7F4" w14:textId="65662A03" w:rsidR="0089261A" w:rsidRPr="00421152" w:rsidRDefault="00255D02" w:rsidP="00FD47F3">
      <w:r>
        <w:t>18</w:t>
      </w:r>
      <w:r w:rsidR="002B27B1" w:rsidRPr="00421152">
        <w:t>.</w:t>
      </w:r>
      <w:r w:rsidR="002B27B1" w:rsidRPr="00421152">
        <w:tab/>
        <w:t>The</w:t>
      </w:r>
      <w:r w:rsidR="00E91F83" w:rsidRPr="00421152">
        <w:t xml:space="preserve"> </w:t>
      </w:r>
      <w:r w:rsidR="00716705" w:rsidRPr="00421152">
        <w:t>c</w:t>
      </w:r>
      <w:r w:rsidR="00B21D97">
        <w:t>ore</w:t>
      </w:r>
      <w:r w:rsidR="00E91F83" w:rsidRPr="00421152">
        <w:t xml:space="preserve"> </w:t>
      </w:r>
      <w:r w:rsidR="00A146A7" w:rsidRPr="00421152">
        <w:t xml:space="preserve">2018 </w:t>
      </w:r>
      <w:r w:rsidR="00847570" w:rsidRPr="00421152">
        <w:t xml:space="preserve">surplus </w:t>
      </w:r>
      <w:r w:rsidR="00716705" w:rsidRPr="00421152">
        <w:t xml:space="preserve">thus </w:t>
      </w:r>
      <w:r w:rsidR="002B27B1" w:rsidRPr="00421152">
        <w:t>available</w:t>
      </w:r>
      <w:r w:rsidR="00716705" w:rsidRPr="00421152">
        <w:t xml:space="preserve"> for consideration and allocation by</w:t>
      </w:r>
      <w:r w:rsidR="002B27B1" w:rsidRPr="00421152">
        <w:t xml:space="preserve"> Standing Committee is CHF </w:t>
      </w:r>
      <w:r w:rsidR="00216155" w:rsidRPr="00421152">
        <w:t>5</w:t>
      </w:r>
      <w:r w:rsidR="00216155">
        <w:t>77</w:t>
      </w:r>
      <w:r w:rsidR="00216155" w:rsidRPr="00421152">
        <w:t>K</w:t>
      </w:r>
      <w:r w:rsidR="00716705" w:rsidRPr="00421152">
        <w:t>.</w:t>
      </w:r>
      <w:r w:rsidR="00306F34" w:rsidRPr="00421152">
        <w:t xml:space="preserve"> </w:t>
      </w:r>
      <w:r w:rsidR="006D4FE3" w:rsidRPr="00421152">
        <w:t xml:space="preserve">The Standing Committee is invited to decide on the use of this surplus. </w:t>
      </w:r>
    </w:p>
    <w:p w14:paraId="3FCA1677" w14:textId="77777777" w:rsidR="0089261A" w:rsidRPr="00421152" w:rsidRDefault="0089261A" w:rsidP="00FD47F3"/>
    <w:p w14:paraId="2D3E315B" w14:textId="671522A1" w:rsidR="00E9130A" w:rsidRPr="00421152" w:rsidRDefault="00255D02" w:rsidP="00A523BE">
      <w:r>
        <w:t>19</w:t>
      </w:r>
      <w:r w:rsidR="00A523BE">
        <w:t>.</w:t>
      </w:r>
      <w:r w:rsidR="00A523BE">
        <w:tab/>
      </w:r>
      <w:r w:rsidR="00B460F5" w:rsidRPr="00421152">
        <w:t>The Secretariat will propos</w:t>
      </w:r>
      <w:r w:rsidR="003A3AE1">
        <w:t>e</w:t>
      </w:r>
      <w:r w:rsidR="00B460F5" w:rsidRPr="00421152">
        <w:t xml:space="preserve"> to SC57 </w:t>
      </w:r>
      <w:r w:rsidR="003A3AE1">
        <w:t xml:space="preserve">a </w:t>
      </w:r>
      <w:r w:rsidR="00B460F5" w:rsidRPr="00421152">
        <w:t xml:space="preserve">possible allocation </w:t>
      </w:r>
      <w:r w:rsidR="003A3AE1">
        <w:t xml:space="preserve">of </w:t>
      </w:r>
      <w:r w:rsidR="00B460F5" w:rsidRPr="00421152">
        <w:t xml:space="preserve">the 2018 surplus. Possible areas include: </w:t>
      </w:r>
      <w:r w:rsidR="003A168F">
        <w:t xml:space="preserve">a </w:t>
      </w:r>
      <w:r w:rsidR="00B460F5" w:rsidRPr="00421152">
        <w:t>consultancy to</w:t>
      </w:r>
      <w:r w:rsidR="00CC0661">
        <w:t xml:space="preserve"> support the review of previous Resolutions and decisions requested through Resolution XIII.4</w:t>
      </w:r>
      <w:r w:rsidR="00656BBF">
        <w:t xml:space="preserve"> </w:t>
      </w:r>
      <w:r w:rsidR="00CC0661">
        <w:t xml:space="preserve">as per the Secretariat proposal in </w:t>
      </w:r>
      <w:r w:rsidR="00CC0661" w:rsidRPr="00020298">
        <w:t>document SC57 Doc.14</w:t>
      </w:r>
      <w:r w:rsidR="00B460F5" w:rsidRPr="00421152">
        <w:t xml:space="preserve">; support </w:t>
      </w:r>
      <w:r w:rsidR="003A168F">
        <w:t xml:space="preserve">to </w:t>
      </w:r>
      <w:r w:rsidR="00D812B8" w:rsidRPr="00421152">
        <w:lastRenderedPageBreak/>
        <w:t>Contracting Parties</w:t>
      </w:r>
      <w:r w:rsidR="00B460F5" w:rsidRPr="00421152">
        <w:t>’ work on inventories; staff travel; roll-out of competency framework and promotion guidelines (</w:t>
      </w:r>
      <w:r w:rsidR="003A168F">
        <w:t>approved by the Standing Committee through Decision</w:t>
      </w:r>
      <w:r w:rsidR="00B460F5" w:rsidRPr="00421152">
        <w:t xml:space="preserve"> SC</w:t>
      </w:r>
      <w:r w:rsidR="00601404" w:rsidRPr="00421152">
        <w:t>54</w:t>
      </w:r>
      <w:r w:rsidR="003A168F">
        <w:t>-26</w:t>
      </w:r>
      <w:r w:rsidR="00B460F5" w:rsidRPr="00421152">
        <w:t xml:space="preserve">); </w:t>
      </w:r>
      <w:r w:rsidR="003A168F">
        <w:t xml:space="preserve">the </w:t>
      </w:r>
      <w:r w:rsidR="00B460F5" w:rsidRPr="00421152">
        <w:t xml:space="preserve">annual planning and review process; </w:t>
      </w:r>
      <w:r w:rsidR="003A168F">
        <w:t>Ramsar Advisory Mission</w:t>
      </w:r>
      <w:r w:rsidR="003A168F" w:rsidRPr="00421152">
        <w:t>s</w:t>
      </w:r>
      <w:r w:rsidR="00B460F5" w:rsidRPr="00421152">
        <w:t>; 50</w:t>
      </w:r>
      <w:r w:rsidR="00B460F5" w:rsidRPr="00A523BE">
        <w:t>th</w:t>
      </w:r>
      <w:r w:rsidR="00B460F5" w:rsidRPr="00421152">
        <w:t xml:space="preserve"> anniversary </w:t>
      </w:r>
      <w:r w:rsidR="00F376CC">
        <w:t xml:space="preserve">and </w:t>
      </w:r>
      <w:r w:rsidR="00B460F5" w:rsidRPr="00421152">
        <w:t xml:space="preserve">funding gap for </w:t>
      </w:r>
      <w:r w:rsidR="00F376CC" w:rsidRPr="00562220">
        <w:t>W</w:t>
      </w:r>
      <w:r w:rsidR="00F376CC">
        <w:t xml:space="preserve">orld </w:t>
      </w:r>
      <w:r w:rsidR="00F376CC" w:rsidRPr="00562220">
        <w:t>W</w:t>
      </w:r>
      <w:r w:rsidR="00F376CC">
        <w:t xml:space="preserve">etlands </w:t>
      </w:r>
      <w:r w:rsidR="00F376CC" w:rsidRPr="00562220">
        <w:t>D</w:t>
      </w:r>
      <w:r w:rsidR="00F376CC">
        <w:t>ay (carrying forward savings in communications budget);</w:t>
      </w:r>
      <w:r w:rsidR="00F376CC" w:rsidRPr="00562220">
        <w:t xml:space="preserve"> </w:t>
      </w:r>
      <w:r w:rsidR="00B460F5" w:rsidRPr="00421152">
        <w:t>and capacity building.</w:t>
      </w:r>
    </w:p>
    <w:p w14:paraId="6BF315BA" w14:textId="3A82283B" w:rsidR="00133C51" w:rsidRPr="00421152" w:rsidRDefault="00133C51" w:rsidP="00FD47F3"/>
    <w:p w14:paraId="4E2DD5A9" w14:textId="3D0164F3" w:rsidR="00916078" w:rsidRPr="00421152" w:rsidRDefault="00255D02" w:rsidP="00A523BE">
      <w:r w:rsidRPr="00A0434C">
        <w:t>20</w:t>
      </w:r>
      <w:r w:rsidR="00A523BE" w:rsidRPr="00A0434C">
        <w:t>.</w:t>
      </w:r>
      <w:r w:rsidR="00A523BE" w:rsidRPr="00A0434C">
        <w:tab/>
      </w:r>
      <w:r w:rsidR="00C07033" w:rsidRPr="00A0434C">
        <w:t>Further</w:t>
      </w:r>
      <w:r w:rsidR="003A168F" w:rsidRPr="00A0434C">
        <w:t>more</w:t>
      </w:r>
      <w:r w:rsidR="00C07033" w:rsidRPr="00A0434C">
        <w:t>, t</w:t>
      </w:r>
      <w:r w:rsidR="00024E01" w:rsidRPr="00A0434C">
        <w:t>he Secretariat draws the attention of the S</w:t>
      </w:r>
      <w:r w:rsidR="003A168F" w:rsidRPr="00A0434C">
        <w:t xml:space="preserve">tanding </w:t>
      </w:r>
      <w:r w:rsidR="00024E01" w:rsidRPr="00A0434C">
        <w:t>C</w:t>
      </w:r>
      <w:r w:rsidR="003A168F" w:rsidRPr="00A0434C">
        <w:t>ommittee</w:t>
      </w:r>
      <w:r w:rsidR="00024E01" w:rsidRPr="00A0434C">
        <w:t xml:space="preserve"> to the decision of </w:t>
      </w:r>
      <w:r w:rsidR="003A168F" w:rsidRPr="00A0434C">
        <w:t xml:space="preserve">the Contracting Parties </w:t>
      </w:r>
      <w:r w:rsidR="00024E01" w:rsidRPr="00A0434C">
        <w:t>in Resolution XIII.2, paragraph 15</w:t>
      </w:r>
      <w:r w:rsidR="003A168F" w:rsidRPr="00A0434C">
        <w:t>,</w:t>
      </w:r>
      <w:r w:rsidR="00024E01" w:rsidRPr="00A0434C">
        <w:t xml:space="preserve"> to use CHF 228k of surplus to </w:t>
      </w:r>
      <w:r w:rsidR="00CC0661" w:rsidRPr="00A0434C">
        <w:t>fill</w:t>
      </w:r>
      <w:r w:rsidR="00024E01" w:rsidRPr="00A0434C">
        <w:t xml:space="preserve"> the gap created in the regular budget of the Secretariat (communications, travel, STRP, planning and capacity building</w:t>
      </w:r>
      <w:r w:rsidR="00133C51" w:rsidRPr="00A0434C">
        <w:t>)</w:t>
      </w:r>
      <w:r w:rsidR="00024E01" w:rsidRPr="00A0434C">
        <w:t xml:space="preserve"> to cover the inclusion of a new position of Finance and Accounting Assistant in the core budget. This gap will remain in the next triennium unless Contracting Parties increase the total budget</w:t>
      </w:r>
      <w:r w:rsidR="00A0143B" w:rsidRPr="00A0434C">
        <w:t xml:space="preserve"> and thus their contributions</w:t>
      </w:r>
      <w:r w:rsidR="00024E01" w:rsidRPr="00A0434C">
        <w:t xml:space="preserve">. An alternative would be to keep CHF 228k from the 2018 surplus which could be used </w:t>
      </w:r>
      <w:r w:rsidR="0076745F" w:rsidRPr="00A0434C">
        <w:t xml:space="preserve">for this purpose </w:t>
      </w:r>
      <w:r w:rsidR="00024E01" w:rsidRPr="00A0434C">
        <w:t xml:space="preserve">in the next triennium if Parties </w:t>
      </w:r>
      <w:r w:rsidR="0076745F" w:rsidRPr="00A0434C">
        <w:t xml:space="preserve">are </w:t>
      </w:r>
      <w:r w:rsidR="00024E01" w:rsidRPr="00A0434C">
        <w:t xml:space="preserve">not in a position to increase the budget. </w:t>
      </w:r>
      <w:r w:rsidR="00A0143B" w:rsidRPr="00A0434C">
        <w:t>The Secretariat propose</w:t>
      </w:r>
      <w:r w:rsidR="00385FC5" w:rsidRPr="00A0434C">
        <w:t>s</w:t>
      </w:r>
      <w:r w:rsidR="00A0143B" w:rsidRPr="00A0434C">
        <w:t xml:space="preserve"> to keep this </w:t>
      </w:r>
      <w:r w:rsidR="005E761F" w:rsidRPr="00A0434C">
        <w:t xml:space="preserve">amount </w:t>
      </w:r>
      <w:r w:rsidR="00A0143B" w:rsidRPr="00A0434C">
        <w:t>as a</w:t>
      </w:r>
      <w:r w:rsidR="005E761F" w:rsidRPr="00A0434C">
        <w:t>n</w:t>
      </w:r>
      <w:r w:rsidR="00A0143B" w:rsidRPr="00A0434C">
        <w:t xml:space="preserve"> </w:t>
      </w:r>
      <w:r w:rsidR="00F228A7" w:rsidRPr="00A0434C">
        <w:t>operational r</w:t>
      </w:r>
      <w:r w:rsidR="00A0143B" w:rsidRPr="00A0434C">
        <w:t xml:space="preserve">eserve. </w:t>
      </w:r>
      <w:r w:rsidR="00720F75" w:rsidRPr="00A0434C">
        <w:t xml:space="preserve">In </w:t>
      </w:r>
      <w:r w:rsidR="00385FC5" w:rsidRPr="00A0434C">
        <w:t xml:space="preserve">Decision SC53-31 the Standing Committee </w:t>
      </w:r>
      <w:r w:rsidR="00720F75" w:rsidRPr="00A0434C">
        <w:t>instructed</w:t>
      </w:r>
      <w:r w:rsidR="00385FC5" w:rsidRPr="00A0434C">
        <w:t xml:space="preserve"> the Secretariat </w:t>
      </w:r>
      <w:r w:rsidR="00720F75" w:rsidRPr="00A0434C">
        <w:t xml:space="preserve">to create an operational reserve on a pilot basis, if needed, </w:t>
      </w:r>
      <w:r w:rsidR="00385FC5" w:rsidRPr="00A0434C">
        <w:t xml:space="preserve">and report back to SC54. In </w:t>
      </w:r>
      <w:r w:rsidR="005E761F" w:rsidRPr="00A0434C">
        <w:t>D</w:t>
      </w:r>
      <w:r w:rsidR="00F376CC" w:rsidRPr="00A0434C">
        <w:t>ocument Doc.</w:t>
      </w:r>
      <w:r w:rsidR="005E761F" w:rsidRPr="00A0434C">
        <w:t>S</w:t>
      </w:r>
      <w:r w:rsidR="00385FC5" w:rsidRPr="00A0434C">
        <w:t>C54-7.1</w:t>
      </w:r>
      <w:r w:rsidR="00F376CC" w:rsidRPr="00A0434C">
        <w:t xml:space="preserve"> </w:t>
      </w:r>
      <w:r w:rsidR="00385FC5" w:rsidRPr="00A0434C">
        <w:t>Rev</w:t>
      </w:r>
      <w:r w:rsidR="00720F75" w:rsidRPr="00A0434C">
        <w:t>.</w:t>
      </w:r>
      <w:r w:rsidR="00385FC5" w:rsidRPr="00A0434C">
        <w:t>1</w:t>
      </w:r>
      <w:r w:rsidR="00F228A7" w:rsidRPr="00A0434C">
        <w:t>, paragraph 11</w:t>
      </w:r>
      <w:r w:rsidR="00F376CC" w:rsidRPr="00A0434C">
        <w:t>,</w:t>
      </w:r>
      <w:r w:rsidR="00F228A7" w:rsidRPr="00A0434C">
        <w:t xml:space="preserve"> this type of reserve was not seen as necessary</w:t>
      </w:r>
      <w:r w:rsidR="007558F4" w:rsidRPr="00A0434C">
        <w:t>; however</w:t>
      </w:r>
      <w:r w:rsidR="00B77650" w:rsidRPr="00A0434C">
        <w:t xml:space="preserve"> the </w:t>
      </w:r>
      <w:r w:rsidR="00F228A7" w:rsidRPr="00A0434C">
        <w:t xml:space="preserve">Secretariat </w:t>
      </w:r>
      <w:r w:rsidR="00B77650" w:rsidRPr="00A0434C">
        <w:t>suggest</w:t>
      </w:r>
      <w:r w:rsidR="00F376CC" w:rsidRPr="00A0434C">
        <w:t>s</w:t>
      </w:r>
      <w:r w:rsidR="00B77650" w:rsidRPr="00A0434C">
        <w:t xml:space="preserve"> that this type of reserve could be appropriate for </w:t>
      </w:r>
      <w:r w:rsidR="007558F4" w:rsidRPr="00A0434C">
        <w:t xml:space="preserve">the present </w:t>
      </w:r>
      <w:r w:rsidR="00B77650" w:rsidRPr="00A0434C">
        <w:t>purpose</w:t>
      </w:r>
      <w:r w:rsidR="007558F4" w:rsidRPr="00A0434C">
        <w:t xml:space="preserve">, and proposes </w:t>
      </w:r>
      <w:r w:rsidR="00B77650" w:rsidRPr="00A0434C">
        <w:t xml:space="preserve">that the </w:t>
      </w:r>
      <w:r w:rsidR="00F228A7" w:rsidRPr="00A0434C">
        <w:t xml:space="preserve">Standing Committee </w:t>
      </w:r>
      <w:r w:rsidR="00F376CC" w:rsidRPr="00A0434C">
        <w:t>consider setting</w:t>
      </w:r>
      <w:r w:rsidR="005E761F" w:rsidRPr="00A0434C">
        <w:t xml:space="preserve"> an operational reserve </w:t>
      </w:r>
      <w:r w:rsidR="007558F4" w:rsidRPr="00A0434C">
        <w:t xml:space="preserve">of </w:t>
      </w:r>
      <w:r w:rsidR="005E761F" w:rsidRPr="00A0434C">
        <w:t>CHF 228K for this purpose.</w:t>
      </w:r>
      <w:r w:rsidR="005E761F" w:rsidRPr="00421152">
        <w:t xml:space="preserve"> </w:t>
      </w:r>
    </w:p>
    <w:p w14:paraId="3B8627EB" w14:textId="77777777" w:rsidR="00916078" w:rsidRPr="00421152" w:rsidRDefault="00916078" w:rsidP="00A523BE"/>
    <w:p w14:paraId="2E4E378E" w14:textId="03A51AD2" w:rsidR="00133C51" w:rsidRPr="00421152" w:rsidRDefault="00255D02" w:rsidP="00A523BE">
      <w:r>
        <w:t>21</w:t>
      </w:r>
      <w:r w:rsidR="00A523BE">
        <w:t>.</w:t>
      </w:r>
      <w:r w:rsidR="00A523BE">
        <w:tab/>
      </w:r>
      <w:r w:rsidR="00916078" w:rsidRPr="00421152">
        <w:t xml:space="preserve">In addition, the Secretariat </w:t>
      </w:r>
      <w:r w:rsidR="002E5B1D" w:rsidRPr="00421152">
        <w:t xml:space="preserve">proposes to </w:t>
      </w:r>
      <w:r w:rsidR="00C34747" w:rsidRPr="00421152">
        <w:t>retain</w:t>
      </w:r>
      <w:r w:rsidR="002E5B1D" w:rsidRPr="00421152">
        <w:t xml:space="preserve"> CHF 33K to replenish the non-core AVC project (</w:t>
      </w:r>
      <w:r w:rsidR="002E5B1D" w:rsidRPr="00F376CC">
        <w:rPr>
          <w:i/>
        </w:rPr>
        <w:t xml:space="preserve">IUCN </w:t>
      </w:r>
      <w:r w:rsidR="00F376CC" w:rsidRPr="00F376CC">
        <w:rPr>
          <w:i/>
        </w:rPr>
        <w:t>Oversight Review</w:t>
      </w:r>
      <w:r w:rsidR="002E5B1D" w:rsidRPr="00421152">
        <w:t xml:space="preserve">) as stipulated in </w:t>
      </w:r>
      <w:r w:rsidR="007558F4">
        <w:t xml:space="preserve">document </w:t>
      </w:r>
      <w:r w:rsidR="002E5B1D" w:rsidRPr="00421152">
        <w:t>SC57</w:t>
      </w:r>
      <w:r w:rsidR="007558F4" w:rsidRPr="007558F4">
        <w:t xml:space="preserve"> </w:t>
      </w:r>
      <w:r w:rsidR="007558F4">
        <w:t>Doc.</w:t>
      </w:r>
      <w:r w:rsidR="002E5B1D" w:rsidRPr="00421152">
        <w:t>7.3</w:t>
      </w:r>
      <w:r w:rsidR="007558F4">
        <w:t>,</w:t>
      </w:r>
      <w:r w:rsidR="002E5B1D" w:rsidRPr="00421152">
        <w:t xml:space="preserve"> </w:t>
      </w:r>
      <w:r w:rsidR="007558F4">
        <w:t>p</w:t>
      </w:r>
      <w:r w:rsidR="002E5B1D" w:rsidRPr="00421152">
        <w:t>aragraph 18.</w:t>
      </w:r>
    </w:p>
    <w:p w14:paraId="2A087425" w14:textId="610C6F4D" w:rsidR="00E9130A" w:rsidRPr="00421152" w:rsidRDefault="00E9130A" w:rsidP="00FD47F3"/>
    <w:p w14:paraId="3516C3A0" w14:textId="02EA803C" w:rsidR="0023713D" w:rsidRPr="00421152" w:rsidRDefault="00255D02" w:rsidP="00FD47F3">
      <w:r>
        <w:t>22</w:t>
      </w:r>
      <w:r w:rsidR="00A523BE">
        <w:t>.</w:t>
      </w:r>
      <w:r w:rsidR="00A523BE">
        <w:tab/>
      </w:r>
      <w:r w:rsidR="00916078" w:rsidRPr="00421152">
        <w:t>Finally</w:t>
      </w:r>
      <w:r w:rsidR="0023713D" w:rsidRPr="00421152">
        <w:t xml:space="preserve">, </w:t>
      </w:r>
      <w:r w:rsidR="00711BC0" w:rsidRPr="00421152">
        <w:t xml:space="preserve">the Standing Committee </w:t>
      </w:r>
      <w:r w:rsidR="00A0434C">
        <w:t>is invited</w:t>
      </w:r>
      <w:r w:rsidR="00711BC0" w:rsidRPr="00421152">
        <w:t xml:space="preserve"> to consider the proposed revision </w:t>
      </w:r>
      <w:r w:rsidR="00C5783B" w:rsidRPr="00421152">
        <w:t xml:space="preserve">made </w:t>
      </w:r>
      <w:r w:rsidR="00711BC0" w:rsidRPr="00421152">
        <w:t xml:space="preserve">of the methodology for the provisions against outstanding dues receivable (see paragraphs </w:t>
      </w:r>
      <w:r w:rsidR="00DB787B">
        <w:t xml:space="preserve">42 and </w:t>
      </w:r>
      <w:r w:rsidR="00A67F12" w:rsidRPr="00DB787B">
        <w:t>43</w:t>
      </w:r>
      <w:r w:rsidR="00DB787B" w:rsidRPr="00DB787B">
        <w:t xml:space="preserve"> of the present document</w:t>
      </w:r>
      <w:r w:rsidR="00711BC0" w:rsidRPr="00421152">
        <w:t xml:space="preserve">). If it were to accept the proposal </w:t>
      </w:r>
      <w:r w:rsidR="00C5783B">
        <w:t>of</w:t>
      </w:r>
      <w:r w:rsidR="00C5783B" w:rsidRPr="00421152">
        <w:t xml:space="preserve"> </w:t>
      </w:r>
      <w:r w:rsidR="00711BC0" w:rsidRPr="00421152">
        <w:t xml:space="preserve">the auditor, the provision would need to be increased. An option could be to </w:t>
      </w:r>
      <w:r w:rsidR="0023713D" w:rsidRPr="00A523BE">
        <w:t xml:space="preserve">increase </w:t>
      </w:r>
      <w:r w:rsidR="00711BC0" w:rsidRPr="00A523BE">
        <w:t>the</w:t>
      </w:r>
      <w:r w:rsidR="0023713D" w:rsidRPr="00A523BE">
        <w:t xml:space="preserve"> provision against outstanding dues receivable from </w:t>
      </w:r>
      <w:r w:rsidR="00F376CC" w:rsidRPr="00A523BE">
        <w:t>Contracting Parties</w:t>
      </w:r>
      <w:r w:rsidR="003254DB" w:rsidRPr="00A523BE">
        <w:t xml:space="preserve">. </w:t>
      </w:r>
    </w:p>
    <w:p w14:paraId="6A35151D" w14:textId="77777777" w:rsidR="00541F61" w:rsidRPr="00421152" w:rsidRDefault="00541F61" w:rsidP="0056228F"/>
    <w:p w14:paraId="0CAA1FD8" w14:textId="0D3698F9" w:rsidR="00445E61" w:rsidRPr="00A523BE" w:rsidRDefault="00445E61" w:rsidP="00445E61">
      <w:pPr>
        <w:ind w:left="0" w:firstLine="0"/>
        <w:rPr>
          <w:rFonts w:asciiTheme="minorHAnsi" w:eastAsia="Times New Roman" w:hAnsiTheme="minorHAnsi" w:cs="Arial"/>
          <w:bCs/>
          <w:i/>
          <w:color w:val="000000"/>
          <w:sz w:val="20"/>
          <w:szCs w:val="20"/>
          <w:lang w:eastAsia="en-GB"/>
        </w:rPr>
      </w:pPr>
      <w:r w:rsidRPr="00A523BE">
        <w:rPr>
          <w:rFonts w:asciiTheme="minorHAnsi" w:eastAsia="Times New Roman" w:hAnsiTheme="minorHAnsi" w:cs="Arial"/>
          <w:bCs/>
          <w:i/>
          <w:color w:val="000000"/>
          <w:sz w:val="20"/>
          <w:szCs w:val="20"/>
          <w:lang w:eastAsia="en-GB"/>
        </w:rPr>
        <w:t xml:space="preserve">Table 2: 2018 </w:t>
      </w:r>
      <w:r w:rsidR="008E3029" w:rsidRPr="00A523BE">
        <w:rPr>
          <w:rFonts w:asciiTheme="minorHAnsi" w:eastAsia="Times New Roman" w:hAnsiTheme="minorHAnsi" w:cs="Arial"/>
          <w:bCs/>
          <w:i/>
          <w:color w:val="000000"/>
          <w:sz w:val="20"/>
          <w:szCs w:val="20"/>
          <w:lang w:eastAsia="en-GB"/>
        </w:rPr>
        <w:t>c</w:t>
      </w:r>
      <w:r w:rsidR="00FD47F3" w:rsidRPr="00A523BE">
        <w:rPr>
          <w:rFonts w:asciiTheme="minorHAnsi" w:eastAsia="Times New Roman" w:hAnsiTheme="minorHAnsi" w:cs="Arial"/>
          <w:bCs/>
          <w:i/>
          <w:color w:val="000000"/>
          <w:sz w:val="20"/>
          <w:szCs w:val="20"/>
          <w:lang w:eastAsia="en-GB"/>
        </w:rPr>
        <w:t xml:space="preserve">ore </w:t>
      </w:r>
      <w:r w:rsidRPr="00A523BE">
        <w:rPr>
          <w:rFonts w:asciiTheme="minorHAnsi" w:eastAsia="Times New Roman" w:hAnsiTheme="minorHAnsi" w:cs="Arial"/>
          <w:bCs/>
          <w:i/>
          <w:color w:val="000000"/>
          <w:sz w:val="20"/>
          <w:szCs w:val="20"/>
          <w:lang w:eastAsia="en-GB"/>
        </w:rPr>
        <w:t>surplus</w:t>
      </w:r>
      <w:r w:rsidR="00676F93" w:rsidRPr="00A523BE">
        <w:rPr>
          <w:rFonts w:asciiTheme="minorHAnsi" w:eastAsia="Times New Roman" w:hAnsiTheme="minorHAnsi" w:cs="Arial"/>
          <w:bCs/>
          <w:i/>
          <w:color w:val="000000"/>
          <w:sz w:val="20"/>
          <w:szCs w:val="20"/>
          <w:lang w:eastAsia="en-GB"/>
        </w:rPr>
        <w:t xml:space="preserve"> to be allocated</w:t>
      </w:r>
      <w:r w:rsidRPr="00A523BE">
        <w:rPr>
          <w:rFonts w:asciiTheme="minorHAnsi" w:eastAsia="Times New Roman" w:hAnsiTheme="minorHAnsi" w:cs="Arial"/>
          <w:bCs/>
          <w:i/>
          <w:color w:val="000000"/>
          <w:sz w:val="20"/>
          <w:szCs w:val="20"/>
          <w:lang w:eastAsia="en-GB"/>
        </w:rPr>
        <w:t xml:space="preserve"> (in '000 CHF)</w:t>
      </w:r>
    </w:p>
    <w:tbl>
      <w:tblPr>
        <w:tblW w:w="8990" w:type="dxa"/>
        <w:tblLook w:val="04A0" w:firstRow="1" w:lastRow="0" w:firstColumn="1" w:lastColumn="0" w:noHBand="0" w:noVBand="1"/>
      </w:tblPr>
      <w:tblGrid>
        <w:gridCol w:w="6488"/>
        <w:gridCol w:w="2502"/>
      </w:tblGrid>
      <w:tr w:rsidR="00445E61" w:rsidRPr="00421152" w14:paraId="454051F9" w14:textId="77777777" w:rsidTr="00E27EBA">
        <w:trPr>
          <w:trHeight w:val="288"/>
        </w:trPr>
        <w:tc>
          <w:tcPr>
            <w:tcW w:w="648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D10D6CE" w14:textId="530CC307" w:rsidR="00445E61" w:rsidRPr="00421152" w:rsidRDefault="008E3029" w:rsidP="00E27EBA">
            <w:pPr>
              <w:ind w:left="0" w:firstLine="0"/>
              <w:rPr>
                <w:rFonts w:asciiTheme="minorHAnsi" w:eastAsia="Times New Roman" w:hAnsiTheme="minorHAnsi" w:cs="Arial"/>
                <w:b/>
                <w:bCs/>
                <w:color w:val="000000"/>
                <w:sz w:val="20"/>
                <w:szCs w:val="20"/>
                <w:lang w:eastAsia="en-GB"/>
              </w:rPr>
            </w:pPr>
            <w:r w:rsidRPr="00421152">
              <w:rPr>
                <w:rFonts w:asciiTheme="minorHAnsi" w:eastAsia="Times New Roman" w:hAnsiTheme="minorHAnsi" w:cs="Arial"/>
                <w:b/>
                <w:bCs/>
                <w:color w:val="000000"/>
                <w:sz w:val="20"/>
                <w:szCs w:val="20"/>
                <w:lang w:eastAsia="en-GB"/>
              </w:rPr>
              <w:t xml:space="preserve">Fund balance at </w:t>
            </w:r>
            <w:r w:rsidR="00732B82" w:rsidRPr="00421152">
              <w:rPr>
                <w:rFonts w:asciiTheme="minorHAnsi" w:eastAsia="Times New Roman" w:hAnsiTheme="minorHAnsi" w:cs="Arial"/>
                <w:b/>
                <w:bCs/>
                <w:color w:val="000000"/>
                <w:sz w:val="20"/>
                <w:szCs w:val="20"/>
                <w:lang w:eastAsia="en-GB"/>
              </w:rPr>
              <w:t xml:space="preserve">31 December 2018 </w:t>
            </w:r>
            <w:r w:rsidRPr="00421152">
              <w:rPr>
                <w:rFonts w:asciiTheme="minorHAnsi" w:eastAsia="Times New Roman" w:hAnsiTheme="minorHAnsi" w:cs="Arial"/>
                <w:b/>
                <w:bCs/>
                <w:color w:val="000000"/>
                <w:sz w:val="20"/>
                <w:szCs w:val="20"/>
                <w:lang w:eastAsia="en-GB"/>
              </w:rPr>
              <w:t>per audited statement</w:t>
            </w:r>
            <w:r w:rsidR="00302FEE">
              <w:rPr>
                <w:rFonts w:asciiTheme="minorHAnsi" w:eastAsia="Times New Roman" w:hAnsiTheme="minorHAnsi" w:cs="Arial"/>
                <w:b/>
                <w:bCs/>
                <w:color w:val="000000"/>
                <w:sz w:val="20"/>
                <w:szCs w:val="20"/>
                <w:lang w:eastAsia="en-GB"/>
              </w:rPr>
              <w:t xml:space="preserve"> </w:t>
            </w:r>
            <w:r w:rsidR="00445E61" w:rsidRPr="00421152">
              <w:rPr>
                <w:rFonts w:asciiTheme="minorHAnsi" w:eastAsia="Times New Roman" w:hAnsiTheme="minorHAnsi" w:cs="Arial"/>
                <w:b/>
                <w:bCs/>
                <w:color w:val="000000"/>
                <w:sz w:val="20"/>
                <w:szCs w:val="20"/>
                <w:lang w:eastAsia="en-GB"/>
              </w:rPr>
              <w:t>(I)</w:t>
            </w:r>
          </w:p>
        </w:tc>
        <w:tc>
          <w:tcPr>
            <w:tcW w:w="2502"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0A0D8F54" w14:textId="2F49FBEA" w:rsidR="00445E61" w:rsidRPr="00421152" w:rsidRDefault="00445E61" w:rsidP="00E27EBA">
            <w:pPr>
              <w:ind w:left="0" w:firstLine="0"/>
              <w:jc w:val="right"/>
              <w:rPr>
                <w:rFonts w:asciiTheme="minorHAnsi" w:eastAsia="Times New Roman" w:hAnsiTheme="minorHAnsi" w:cs="Arial"/>
                <w:b/>
                <w:bCs/>
                <w:color w:val="000000"/>
                <w:sz w:val="20"/>
                <w:szCs w:val="20"/>
                <w:lang w:eastAsia="en-GB"/>
              </w:rPr>
            </w:pPr>
            <w:r w:rsidRPr="00421152">
              <w:rPr>
                <w:rFonts w:asciiTheme="minorHAnsi" w:eastAsia="Times New Roman" w:hAnsiTheme="minorHAnsi" w:cs="Arial"/>
                <w:b/>
                <w:bCs/>
                <w:color w:val="000000"/>
                <w:sz w:val="20"/>
                <w:szCs w:val="20"/>
                <w:lang w:eastAsia="en-GB"/>
              </w:rPr>
              <w:t>2,196</w:t>
            </w:r>
          </w:p>
        </w:tc>
      </w:tr>
      <w:tr w:rsidR="00732B82" w:rsidRPr="00421152" w14:paraId="28FF8FAF"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15F10C78" w14:textId="68D21524" w:rsidR="00732B82" w:rsidRPr="00421152" w:rsidRDefault="00732B82" w:rsidP="00E27EBA">
            <w:pPr>
              <w:ind w:left="0" w:firstLine="0"/>
              <w:rPr>
                <w:rFonts w:asciiTheme="minorHAnsi" w:eastAsia="Times New Roman" w:hAnsiTheme="minorHAnsi" w:cs="Arial"/>
                <w:b/>
                <w:bCs/>
                <w:color w:val="000000"/>
                <w:sz w:val="20"/>
                <w:szCs w:val="20"/>
                <w:lang w:eastAsia="en-GB"/>
              </w:rPr>
            </w:pPr>
            <w:r w:rsidRPr="00421152">
              <w:rPr>
                <w:rFonts w:asciiTheme="minorHAnsi" w:eastAsia="Times New Roman" w:hAnsiTheme="minorHAnsi" w:cs="Arial"/>
                <w:b/>
                <w:bCs/>
                <w:color w:val="000000"/>
                <w:sz w:val="20"/>
                <w:szCs w:val="20"/>
                <w:lang w:eastAsia="en-GB"/>
              </w:rPr>
              <w:t xml:space="preserve">Approved and pre-committed </w:t>
            </w:r>
          </w:p>
        </w:tc>
        <w:tc>
          <w:tcPr>
            <w:tcW w:w="2502" w:type="dxa"/>
            <w:tcBorders>
              <w:top w:val="nil"/>
              <w:left w:val="nil"/>
              <w:bottom w:val="single" w:sz="4" w:space="0" w:color="auto"/>
              <w:right w:val="single" w:sz="4" w:space="0" w:color="auto"/>
            </w:tcBorders>
            <w:shd w:val="clear" w:color="auto" w:fill="auto"/>
            <w:noWrap/>
          </w:tcPr>
          <w:p w14:paraId="5B781662" w14:textId="77777777" w:rsidR="00732B82" w:rsidRPr="00421152" w:rsidRDefault="00732B82" w:rsidP="00E27EBA">
            <w:pPr>
              <w:ind w:left="0" w:firstLine="0"/>
              <w:jc w:val="right"/>
              <w:rPr>
                <w:rFonts w:asciiTheme="minorHAnsi" w:eastAsia="Times New Roman" w:hAnsiTheme="minorHAnsi" w:cs="Arial"/>
                <w:b/>
                <w:bCs/>
                <w:color w:val="000000"/>
                <w:sz w:val="20"/>
                <w:szCs w:val="20"/>
                <w:lang w:eastAsia="en-GB"/>
              </w:rPr>
            </w:pPr>
          </w:p>
        </w:tc>
      </w:tr>
      <w:tr w:rsidR="00445E61" w:rsidRPr="00421152" w14:paraId="7EDE265E"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239A6796" w14:textId="6000713B" w:rsidR="00445E61" w:rsidRPr="00421152" w:rsidRDefault="008E3029" w:rsidP="00E27EBA">
            <w:pPr>
              <w:ind w:left="0" w:firstLine="0"/>
              <w:rPr>
                <w:rFonts w:asciiTheme="minorHAnsi" w:eastAsia="Times New Roman" w:hAnsiTheme="minorHAnsi" w:cs="Arial"/>
                <w:bCs/>
                <w:color w:val="000000"/>
                <w:sz w:val="20"/>
                <w:szCs w:val="20"/>
                <w:lang w:eastAsia="en-GB"/>
              </w:rPr>
            </w:pPr>
            <w:r w:rsidRPr="00421152">
              <w:rPr>
                <w:rFonts w:asciiTheme="minorHAnsi" w:eastAsia="Times New Roman" w:hAnsiTheme="minorHAnsi" w:cs="Arial"/>
                <w:bCs/>
                <w:color w:val="000000"/>
                <w:sz w:val="20"/>
                <w:szCs w:val="20"/>
                <w:lang w:eastAsia="en-GB"/>
              </w:rPr>
              <w:t xml:space="preserve">Reserve </w:t>
            </w:r>
            <w:r w:rsidR="00302FEE">
              <w:rPr>
                <w:rFonts w:asciiTheme="minorHAnsi" w:eastAsia="Times New Roman" w:hAnsiTheme="minorHAnsi" w:cs="Arial"/>
                <w:bCs/>
                <w:color w:val="000000"/>
                <w:sz w:val="20"/>
                <w:szCs w:val="20"/>
                <w:lang w:eastAsia="en-GB"/>
              </w:rPr>
              <w:t>f</w:t>
            </w:r>
            <w:r w:rsidR="00302FEE" w:rsidRPr="00421152">
              <w:rPr>
                <w:rFonts w:asciiTheme="minorHAnsi" w:eastAsia="Times New Roman" w:hAnsiTheme="minorHAnsi" w:cs="Arial"/>
                <w:bCs/>
                <w:color w:val="000000"/>
                <w:sz w:val="20"/>
                <w:szCs w:val="20"/>
                <w:lang w:eastAsia="en-GB"/>
              </w:rPr>
              <w:t xml:space="preserve">und </w:t>
            </w:r>
            <w:r w:rsidRPr="00421152">
              <w:rPr>
                <w:rFonts w:asciiTheme="minorHAnsi" w:eastAsia="Times New Roman" w:hAnsiTheme="minorHAnsi" w:cs="Arial"/>
                <w:bCs/>
                <w:color w:val="000000"/>
                <w:sz w:val="20"/>
                <w:szCs w:val="20"/>
                <w:lang w:eastAsia="en-GB"/>
              </w:rPr>
              <w:t>at 15%</w:t>
            </w:r>
            <w:r w:rsidR="00732B82" w:rsidRPr="00421152">
              <w:rPr>
                <w:rFonts w:asciiTheme="minorHAnsi" w:eastAsia="Times New Roman" w:hAnsiTheme="minorHAnsi" w:cs="Arial"/>
                <w:bCs/>
                <w:color w:val="000000"/>
                <w:sz w:val="20"/>
                <w:szCs w:val="20"/>
                <w:lang w:eastAsia="en-GB"/>
              </w:rPr>
              <w:t xml:space="preserve"> (Resolution XIII.2</w:t>
            </w:r>
            <w:r w:rsidR="00C5783B">
              <w:rPr>
                <w:rFonts w:asciiTheme="minorHAnsi" w:eastAsia="Times New Roman" w:hAnsiTheme="minorHAnsi" w:cs="Arial"/>
                <w:bCs/>
                <w:color w:val="000000"/>
                <w:sz w:val="20"/>
                <w:szCs w:val="20"/>
                <w:lang w:eastAsia="en-GB"/>
              </w:rPr>
              <w:t>,</w:t>
            </w:r>
            <w:r w:rsidR="00732B82" w:rsidRPr="00421152">
              <w:rPr>
                <w:rFonts w:asciiTheme="minorHAnsi" w:eastAsia="Times New Roman" w:hAnsiTheme="minorHAnsi" w:cs="Arial"/>
                <w:bCs/>
                <w:color w:val="000000"/>
                <w:sz w:val="20"/>
                <w:szCs w:val="20"/>
                <w:lang w:eastAsia="en-GB"/>
              </w:rPr>
              <w:t xml:space="preserve"> </w:t>
            </w:r>
            <w:r w:rsidR="00C5783B">
              <w:rPr>
                <w:rFonts w:asciiTheme="minorHAnsi" w:eastAsia="Times New Roman" w:hAnsiTheme="minorHAnsi" w:cs="Arial"/>
                <w:bCs/>
                <w:color w:val="000000"/>
                <w:sz w:val="20"/>
                <w:szCs w:val="20"/>
                <w:lang w:eastAsia="en-GB"/>
              </w:rPr>
              <w:t>p</w:t>
            </w:r>
            <w:r w:rsidR="00732B82" w:rsidRPr="00421152">
              <w:rPr>
                <w:rFonts w:asciiTheme="minorHAnsi" w:eastAsia="Times New Roman" w:hAnsiTheme="minorHAnsi" w:cs="Arial"/>
                <w:bCs/>
                <w:color w:val="000000"/>
                <w:sz w:val="20"/>
                <w:szCs w:val="20"/>
                <w:lang w:eastAsia="en-GB"/>
              </w:rPr>
              <w:t>aragraph 33)</w:t>
            </w:r>
          </w:p>
        </w:tc>
        <w:tc>
          <w:tcPr>
            <w:tcW w:w="2502" w:type="dxa"/>
            <w:tcBorders>
              <w:top w:val="nil"/>
              <w:left w:val="nil"/>
              <w:bottom w:val="single" w:sz="4" w:space="0" w:color="auto"/>
              <w:right w:val="single" w:sz="4" w:space="0" w:color="auto"/>
            </w:tcBorders>
            <w:shd w:val="clear" w:color="auto" w:fill="auto"/>
            <w:noWrap/>
          </w:tcPr>
          <w:p w14:paraId="7584B344" w14:textId="06D9920E" w:rsidR="00445E61" w:rsidRPr="00421152" w:rsidRDefault="004B185D" w:rsidP="00E27EBA">
            <w:pPr>
              <w:ind w:left="0" w:firstLine="0"/>
              <w:jc w:val="right"/>
              <w:rPr>
                <w:rFonts w:asciiTheme="minorHAnsi" w:eastAsia="Times New Roman" w:hAnsiTheme="minorHAnsi" w:cs="Arial"/>
                <w:bCs/>
                <w:color w:val="000000"/>
                <w:sz w:val="20"/>
                <w:szCs w:val="20"/>
                <w:lang w:eastAsia="en-GB"/>
              </w:rPr>
            </w:pPr>
            <w:r w:rsidRPr="00421152">
              <w:rPr>
                <w:rFonts w:asciiTheme="minorHAnsi" w:eastAsia="Times New Roman" w:hAnsiTheme="minorHAnsi" w:cs="Arial"/>
                <w:bCs/>
                <w:color w:val="000000"/>
                <w:sz w:val="20"/>
                <w:szCs w:val="20"/>
                <w:lang w:eastAsia="en-GB"/>
              </w:rPr>
              <w:t>762</w:t>
            </w:r>
          </w:p>
        </w:tc>
      </w:tr>
      <w:tr w:rsidR="00BF2BE8" w:rsidRPr="00421152" w14:paraId="42736AAA"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6C3C4340" w14:textId="269198C9" w:rsidR="00BF2BE8" w:rsidRPr="00421152" w:rsidRDefault="00732B82" w:rsidP="00E27EBA">
            <w:pPr>
              <w:ind w:left="0" w:firstLine="0"/>
              <w:rPr>
                <w:rFonts w:asciiTheme="minorHAnsi" w:eastAsia="Times New Roman" w:hAnsiTheme="minorHAnsi" w:cs="Arial"/>
                <w:bCs/>
                <w:color w:val="000000"/>
                <w:sz w:val="20"/>
                <w:szCs w:val="20"/>
                <w:lang w:eastAsia="en-GB"/>
              </w:rPr>
            </w:pPr>
            <w:r w:rsidRPr="00421152">
              <w:rPr>
                <w:rFonts w:asciiTheme="minorHAnsi" w:eastAsia="Times New Roman" w:hAnsiTheme="minorHAnsi" w:cs="Arial"/>
                <w:bCs/>
                <w:color w:val="000000"/>
                <w:sz w:val="20"/>
                <w:szCs w:val="20"/>
                <w:lang w:eastAsia="en-GB"/>
              </w:rPr>
              <w:t>Pre-committed balances of CHF 437K (Table 1)</w:t>
            </w:r>
          </w:p>
        </w:tc>
        <w:tc>
          <w:tcPr>
            <w:tcW w:w="2502" w:type="dxa"/>
            <w:tcBorders>
              <w:top w:val="nil"/>
              <w:left w:val="nil"/>
              <w:bottom w:val="single" w:sz="4" w:space="0" w:color="auto"/>
              <w:right w:val="single" w:sz="4" w:space="0" w:color="auto"/>
            </w:tcBorders>
            <w:shd w:val="clear" w:color="auto" w:fill="auto"/>
            <w:noWrap/>
          </w:tcPr>
          <w:p w14:paraId="5EECEE00" w14:textId="46140CE3" w:rsidR="00BF2BE8" w:rsidRPr="00421152" w:rsidRDefault="005C102F" w:rsidP="00E27EBA">
            <w:pPr>
              <w:ind w:left="0" w:firstLine="0"/>
              <w:jc w:val="right"/>
              <w:rPr>
                <w:rFonts w:asciiTheme="minorHAnsi" w:eastAsia="Times New Roman" w:hAnsiTheme="minorHAnsi" w:cs="Arial"/>
                <w:bCs/>
                <w:color w:val="000000"/>
                <w:sz w:val="20"/>
                <w:szCs w:val="20"/>
                <w:lang w:eastAsia="en-GB"/>
              </w:rPr>
            </w:pPr>
            <w:r w:rsidRPr="00421152">
              <w:rPr>
                <w:rFonts w:asciiTheme="minorHAnsi" w:eastAsia="Times New Roman" w:hAnsiTheme="minorHAnsi" w:cs="Arial"/>
                <w:bCs/>
                <w:color w:val="000000"/>
                <w:sz w:val="20"/>
                <w:szCs w:val="20"/>
                <w:lang w:eastAsia="en-GB"/>
              </w:rPr>
              <w:t>437</w:t>
            </w:r>
          </w:p>
        </w:tc>
      </w:tr>
      <w:tr w:rsidR="00445E61" w:rsidRPr="00421152" w14:paraId="28E69556"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hideMark/>
          </w:tcPr>
          <w:p w14:paraId="4F9589BC" w14:textId="41A17404" w:rsidR="00445E61" w:rsidRPr="00421152" w:rsidRDefault="00732B82" w:rsidP="00E27EBA">
            <w:pPr>
              <w:ind w:left="0" w:firstLine="0"/>
              <w:rPr>
                <w:rFonts w:asciiTheme="minorHAnsi" w:eastAsia="Times New Roman" w:hAnsiTheme="minorHAnsi" w:cs="Arial"/>
                <w:bCs/>
                <w:color w:val="000000"/>
                <w:sz w:val="20"/>
                <w:szCs w:val="20"/>
                <w:lang w:eastAsia="en-GB"/>
              </w:rPr>
            </w:pPr>
            <w:r w:rsidRPr="00A0434C">
              <w:rPr>
                <w:rFonts w:asciiTheme="minorHAnsi" w:eastAsia="Times New Roman" w:hAnsiTheme="minorHAnsi" w:cs="Arial"/>
                <w:bCs/>
                <w:color w:val="000000"/>
                <w:sz w:val="20"/>
                <w:szCs w:val="20"/>
                <w:lang w:eastAsia="en-GB"/>
              </w:rPr>
              <w:t xml:space="preserve">Complement to voluntary funding for COP13 delegate support </w:t>
            </w:r>
            <w:r w:rsidR="00DA578B" w:rsidRPr="00A0434C">
              <w:rPr>
                <w:rFonts w:asciiTheme="minorHAnsi" w:eastAsia="Times New Roman" w:hAnsiTheme="minorHAnsi" w:cs="Arial"/>
                <w:bCs/>
                <w:color w:val="000000"/>
                <w:sz w:val="20"/>
                <w:szCs w:val="20"/>
                <w:lang w:eastAsia="en-GB"/>
              </w:rPr>
              <w:t>approved by Subgroup on Finance)</w:t>
            </w:r>
          </w:p>
        </w:tc>
        <w:tc>
          <w:tcPr>
            <w:tcW w:w="2502" w:type="dxa"/>
            <w:tcBorders>
              <w:top w:val="nil"/>
              <w:left w:val="nil"/>
              <w:bottom w:val="single" w:sz="4" w:space="0" w:color="auto"/>
              <w:right w:val="single" w:sz="4" w:space="0" w:color="auto"/>
            </w:tcBorders>
            <w:shd w:val="clear" w:color="auto" w:fill="auto"/>
            <w:noWrap/>
            <w:hideMark/>
          </w:tcPr>
          <w:p w14:paraId="36D1C7B1" w14:textId="2FAC4626" w:rsidR="00445E61" w:rsidRPr="00421152" w:rsidRDefault="005C102F" w:rsidP="00E27EBA">
            <w:pPr>
              <w:ind w:left="0" w:firstLine="0"/>
              <w:jc w:val="right"/>
              <w:rPr>
                <w:rFonts w:asciiTheme="minorHAnsi" w:eastAsia="Times New Roman" w:hAnsiTheme="minorHAnsi" w:cs="Arial"/>
                <w:bCs/>
                <w:color w:val="000000"/>
                <w:sz w:val="20"/>
                <w:szCs w:val="20"/>
                <w:lang w:eastAsia="en-GB"/>
              </w:rPr>
            </w:pPr>
            <w:r w:rsidRPr="00421152">
              <w:rPr>
                <w:rFonts w:asciiTheme="minorHAnsi" w:eastAsia="Times New Roman" w:hAnsiTheme="minorHAnsi" w:cs="Arial"/>
                <w:bCs/>
                <w:color w:val="000000"/>
                <w:sz w:val="20"/>
                <w:szCs w:val="20"/>
                <w:lang w:eastAsia="en-GB"/>
              </w:rPr>
              <w:t>94</w:t>
            </w:r>
          </w:p>
        </w:tc>
      </w:tr>
      <w:tr w:rsidR="005C102F" w:rsidRPr="00421152" w14:paraId="6C7E23E1"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2F4AD1BF" w14:textId="6C8AF1FD" w:rsidR="005C102F" w:rsidRPr="00421152" w:rsidRDefault="00B77650" w:rsidP="00E27EBA">
            <w:pPr>
              <w:ind w:left="0" w:firstLine="0"/>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A</w:t>
            </w:r>
            <w:r w:rsidR="005C102F" w:rsidRPr="00421152">
              <w:rPr>
                <w:rFonts w:asciiTheme="minorHAnsi" w:eastAsia="Times New Roman" w:hAnsiTheme="minorHAnsi" w:cs="Arial"/>
                <w:color w:val="000000"/>
                <w:sz w:val="20"/>
                <w:szCs w:val="20"/>
                <w:lang w:eastAsia="en-GB"/>
              </w:rPr>
              <w:t xml:space="preserve">pproved use of 2016-2018 </w:t>
            </w:r>
            <w:r w:rsidR="006A4032" w:rsidRPr="00421152">
              <w:rPr>
                <w:rFonts w:asciiTheme="minorHAnsi" w:eastAsia="Times New Roman" w:hAnsiTheme="minorHAnsi" w:cs="Arial"/>
                <w:color w:val="000000"/>
                <w:sz w:val="20"/>
                <w:szCs w:val="20"/>
                <w:lang w:eastAsia="en-GB"/>
              </w:rPr>
              <w:t xml:space="preserve">triennium </w:t>
            </w:r>
            <w:r w:rsidR="005C102F" w:rsidRPr="00421152">
              <w:rPr>
                <w:rFonts w:asciiTheme="minorHAnsi" w:eastAsia="Times New Roman" w:hAnsiTheme="minorHAnsi" w:cs="Arial"/>
                <w:color w:val="000000"/>
                <w:sz w:val="20"/>
                <w:szCs w:val="20"/>
                <w:lang w:eastAsia="en-GB"/>
              </w:rPr>
              <w:t>surplus for the 2019-2021</w:t>
            </w:r>
            <w:r w:rsidR="006A4032" w:rsidRPr="00421152">
              <w:rPr>
                <w:rFonts w:asciiTheme="minorHAnsi" w:eastAsia="Times New Roman" w:hAnsiTheme="minorHAnsi" w:cs="Arial"/>
                <w:color w:val="000000"/>
                <w:sz w:val="20"/>
                <w:szCs w:val="20"/>
                <w:lang w:eastAsia="en-GB"/>
              </w:rPr>
              <w:t xml:space="preserve"> </w:t>
            </w:r>
            <w:r w:rsidR="005C102F" w:rsidRPr="00421152">
              <w:rPr>
                <w:rFonts w:asciiTheme="minorHAnsi" w:eastAsia="Times New Roman" w:hAnsiTheme="minorHAnsi" w:cs="Arial"/>
                <w:color w:val="000000"/>
                <w:sz w:val="20"/>
                <w:szCs w:val="20"/>
                <w:lang w:eastAsia="en-GB"/>
              </w:rPr>
              <w:t xml:space="preserve">triennium </w:t>
            </w:r>
            <w:r w:rsidRPr="00421152">
              <w:rPr>
                <w:rFonts w:asciiTheme="minorHAnsi" w:eastAsia="Times New Roman" w:hAnsiTheme="minorHAnsi" w:cs="Arial"/>
                <w:color w:val="000000"/>
                <w:sz w:val="20"/>
                <w:szCs w:val="20"/>
                <w:lang w:eastAsia="en-GB"/>
              </w:rPr>
              <w:t>(Resolution XIII.2</w:t>
            </w:r>
            <w:r w:rsidR="00C5783B">
              <w:rPr>
                <w:rFonts w:asciiTheme="minorHAnsi" w:eastAsia="Times New Roman" w:hAnsiTheme="minorHAnsi" w:cs="Arial"/>
                <w:color w:val="000000"/>
                <w:sz w:val="20"/>
                <w:szCs w:val="20"/>
                <w:lang w:eastAsia="en-GB"/>
              </w:rPr>
              <w:t>, p</w:t>
            </w:r>
            <w:r w:rsidRPr="00421152">
              <w:rPr>
                <w:rFonts w:asciiTheme="minorHAnsi" w:eastAsia="Times New Roman" w:hAnsiTheme="minorHAnsi" w:cs="Arial"/>
                <w:color w:val="000000"/>
                <w:sz w:val="20"/>
                <w:szCs w:val="20"/>
                <w:lang w:eastAsia="en-GB"/>
              </w:rPr>
              <w:t xml:space="preserve">aragraph 15) </w:t>
            </w:r>
            <w:r w:rsidR="005C102F" w:rsidRPr="00421152">
              <w:rPr>
                <w:rFonts w:asciiTheme="minorHAnsi" w:eastAsia="Times New Roman" w:hAnsiTheme="minorHAnsi" w:cs="Arial"/>
                <w:color w:val="000000"/>
                <w:sz w:val="20"/>
                <w:szCs w:val="20"/>
                <w:lang w:eastAsia="en-GB"/>
              </w:rPr>
              <w:t>to supplement the 2019-2021 budget</w:t>
            </w:r>
          </w:p>
        </w:tc>
        <w:tc>
          <w:tcPr>
            <w:tcW w:w="2502" w:type="dxa"/>
            <w:tcBorders>
              <w:top w:val="nil"/>
              <w:left w:val="nil"/>
              <w:bottom w:val="single" w:sz="4" w:space="0" w:color="auto"/>
              <w:right w:val="single" w:sz="4" w:space="0" w:color="auto"/>
            </w:tcBorders>
            <w:shd w:val="clear" w:color="auto" w:fill="auto"/>
            <w:noWrap/>
          </w:tcPr>
          <w:p w14:paraId="645D5B22" w14:textId="362F42EA" w:rsidR="005C102F" w:rsidRPr="00421152" w:rsidRDefault="00BA5C94" w:rsidP="00E27EBA">
            <w:pPr>
              <w:ind w:left="0" w:firstLine="0"/>
              <w:jc w:val="right"/>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228</w:t>
            </w:r>
          </w:p>
        </w:tc>
      </w:tr>
      <w:tr w:rsidR="00BA5C94" w:rsidRPr="00421152" w14:paraId="24A65E72"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674186EF" w14:textId="4D53A8CF" w:rsidR="00BA5C94" w:rsidRPr="00421152" w:rsidRDefault="00B77650" w:rsidP="00E27EBA">
            <w:pPr>
              <w:ind w:left="0" w:firstLine="0"/>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A</w:t>
            </w:r>
            <w:r w:rsidR="00BA5C94" w:rsidRPr="00421152">
              <w:rPr>
                <w:rFonts w:asciiTheme="minorHAnsi" w:eastAsia="Times New Roman" w:hAnsiTheme="minorHAnsi" w:cs="Arial"/>
                <w:color w:val="000000"/>
                <w:sz w:val="20"/>
                <w:szCs w:val="20"/>
                <w:lang w:eastAsia="en-GB"/>
              </w:rPr>
              <w:t>pproved use of 2016-2018 triennium surplus for the 2019-2021 triennium to support the work of the Effectiveness Working Group</w:t>
            </w:r>
            <w:r w:rsidRPr="00421152">
              <w:rPr>
                <w:rFonts w:asciiTheme="minorHAnsi" w:eastAsia="Times New Roman" w:hAnsiTheme="minorHAnsi" w:cs="Arial"/>
                <w:color w:val="000000"/>
                <w:sz w:val="20"/>
                <w:szCs w:val="20"/>
                <w:lang w:eastAsia="en-GB"/>
              </w:rPr>
              <w:t xml:space="preserve"> (Resolution XIII.2</w:t>
            </w:r>
            <w:r w:rsidR="00C5783B">
              <w:rPr>
                <w:rFonts w:asciiTheme="minorHAnsi" w:eastAsia="Times New Roman" w:hAnsiTheme="minorHAnsi" w:cs="Arial"/>
                <w:color w:val="000000"/>
                <w:sz w:val="20"/>
                <w:szCs w:val="20"/>
                <w:lang w:eastAsia="en-GB"/>
              </w:rPr>
              <w:t>, p</w:t>
            </w:r>
            <w:r w:rsidRPr="00421152">
              <w:rPr>
                <w:rFonts w:asciiTheme="minorHAnsi" w:eastAsia="Times New Roman" w:hAnsiTheme="minorHAnsi" w:cs="Arial"/>
                <w:color w:val="000000"/>
                <w:sz w:val="20"/>
                <w:szCs w:val="20"/>
                <w:lang w:eastAsia="en-GB"/>
              </w:rPr>
              <w:t>aragraph 16)</w:t>
            </w:r>
          </w:p>
        </w:tc>
        <w:tc>
          <w:tcPr>
            <w:tcW w:w="2502" w:type="dxa"/>
            <w:tcBorders>
              <w:top w:val="nil"/>
              <w:left w:val="nil"/>
              <w:bottom w:val="single" w:sz="4" w:space="0" w:color="auto"/>
              <w:right w:val="single" w:sz="4" w:space="0" w:color="auto"/>
            </w:tcBorders>
            <w:shd w:val="clear" w:color="auto" w:fill="auto"/>
            <w:noWrap/>
          </w:tcPr>
          <w:p w14:paraId="57E26E17" w14:textId="7172605C" w:rsidR="00BA5C94" w:rsidRPr="00421152" w:rsidRDefault="00BA5C94" w:rsidP="00E27EBA">
            <w:pPr>
              <w:ind w:left="0" w:firstLine="0"/>
              <w:jc w:val="right"/>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70</w:t>
            </w:r>
          </w:p>
        </w:tc>
      </w:tr>
      <w:tr w:rsidR="00105D6D" w:rsidRPr="00421152" w14:paraId="32B8BF3C"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7284E114" w14:textId="05263F83" w:rsidR="00105D6D" w:rsidRPr="00421152" w:rsidRDefault="00105D6D" w:rsidP="00E27EBA">
            <w:pPr>
              <w:ind w:left="0" w:firstLine="0"/>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 xml:space="preserve">Correction for </w:t>
            </w:r>
            <w:r w:rsidR="00273609">
              <w:rPr>
                <w:rFonts w:asciiTheme="minorHAnsi" w:eastAsia="Times New Roman" w:hAnsiTheme="minorHAnsi" w:cs="Arial"/>
                <w:color w:val="000000"/>
                <w:sz w:val="20"/>
                <w:szCs w:val="20"/>
                <w:lang w:eastAsia="en-GB"/>
              </w:rPr>
              <w:t xml:space="preserve">the </w:t>
            </w:r>
            <w:r w:rsidR="00273609" w:rsidRPr="00273609">
              <w:rPr>
                <w:rFonts w:asciiTheme="minorHAnsi" w:eastAsia="Times New Roman" w:hAnsiTheme="minorHAnsi" w:cs="Arial"/>
                <w:color w:val="000000"/>
                <w:sz w:val="20"/>
                <w:szCs w:val="20"/>
                <w:lang w:eastAsia="en-GB"/>
              </w:rPr>
              <w:t>Ramsar Regional Initiative (RRI) for the Amazon River Basin</w:t>
            </w:r>
          </w:p>
        </w:tc>
        <w:tc>
          <w:tcPr>
            <w:tcW w:w="2502" w:type="dxa"/>
            <w:tcBorders>
              <w:top w:val="nil"/>
              <w:left w:val="nil"/>
              <w:bottom w:val="single" w:sz="4" w:space="0" w:color="auto"/>
              <w:right w:val="single" w:sz="4" w:space="0" w:color="auto"/>
            </w:tcBorders>
            <w:shd w:val="clear" w:color="auto" w:fill="auto"/>
            <w:noWrap/>
          </w:tcPr>
          <w:p w14:paraId="6EBBB918" w14:textId="39EB2D38" w:rsidR="00105D6D" w:rsidRPr="00421152" w:rsidRDefault="00F376CC" w:rsidP="00E27EBA">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28</w:t>
            </w:r>
          </w:p>
        </w:tc>
      </w:tr>
      <w:tr w:rsidR="00105D6D" w:rsidRPr="00421152" w14:paraId="41DEEE2C"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auto"/>
            <w:noWrap/>
          </w:tcPr>
          <w:p w14:paraId="0C8AC8F1" w14:textId="34C115AD" w:rsidR="00105D6D" w:rsidRPr="00421152" w:rsidRDefault="00105D6D" w:rsidP="00E27EBA">
            <w:pPr>
              <w:ind w:left="0" w:firstLine="0"/>
              <w:rPr>
                <w:rFonts w:asciiTheme="minorHAnsi" w:eastAsia="Times New Roman" w:hAnsiTheme="minorHAnsi" w:cs="Arial"/>
                <w:color w:val="000000"/>
                <w:sz w:val="20"/>
                <w:szCs w:val="20"/>
                <w:lang w:eastAsia="en-GB"/>
              </w:rPr>
            </w:pPr>
            <w:r w:rsidRPr="00421152">
              <w:rPr>
                <w:rFonts w:asciiTheme="minorHAnsi" w:eastAsia="Times New Roman" w:hAnsiTheme="minorHAnsi" w:cs="Arial"/>
                <w:b/>
                <w:bCs/>
                <w:color w:val="000000"/>
                <w:sz w:val="20"/>
                <w:szCs w:val="20"/>
                <w:lang w:eastAsia="en-GB"/>
              </w:rPr>
              <w:t>Total approved and pre-committed (II)</w:t>
            </w:r>
          </w:p>
        </w:tc>
        <w:tc>
          <w:tcPr>
            <w:tcW w:w="2502" w:type="dxa"/>
            <w:tcBorders>
              <w:top w:val="nil"/>
              <w:left w:val="nil"/>
              <w:bottom w:val="single" w:sz="4" w:space="0" w:color="auto"/>
              <w:right w:val="single" w:sz="4" w:space="0" w:color="auto"/>
            </w:tcBorders>
            <w:shd w:val="clear" w:color="auto" w:fill="auto"/>
            <w:noWrap/>
          </w:tcPr>
          <w:p w14:paraId="434B7BF3" w14:textId="45AF65A8" w:rsidR="00105D6D" w:rsidRPr="00421152" w:rsidRDefault="00105D6D" w:rsidP="00E27EBA">
            <w:pPr>
              <w:ind w:left="0" w:firstLine="0"/>
              <w:jc w:val="right"/>
              <w:rPr>
                <w:rFonts w:asciiTheme="minorHAnsi" w:eastAsia="Times New Roman" w:hAnsiTheme="minorHAnsi" w:cs="Arial"/>
                <w:b/>
                <w:color w:val="000000"/>
                <w:sz w:val="20"/>
                <w:szCs w:val="20"/>
                <w:lang w:eastAsia="en-GB"/>
              </w:rPr>
            </w:pPr>
            <w:r w:rsidRPr="00421152">
              <w:rPr>
                <w:rFonts w:asciiTheme="minorHAnsi" w:eastAsia="Times New Roman" w:hAnsiTheme="minorHAnsi" w:cs="Arial"/>
                <w:b/>
                <w:color w:val="000000"/>
                <w:sz w:val="20"/>
                <w:szCs w:val="20"/>
                <w:lang w:eastAsia="en-GB"/>
              </w:rPr>
              <w:t>1,</w:t>
            </w:r>
            <w:r w:rsidR="00C33E5A" w:rsidRPr="00421152">
              <w:rPr>
                <w:rFonts w:asciiTheme="minorHAnsi" w:eastAsia="Times New Roman" w:hAnsiTheme="minorHAnsi" w:cs="Arial"/>
                <w:b/>
                <w:color w:val="000000"/>
                <w:sz w:val="20"/>
                <w:szCs w:val="20"/>
                <w:lang w:eastAsia="en-GB"/>
              </w:rPr>
              <w:t>598</w:t>
            </w:r>
          </w:p>
        </w:tc>
      </w:tr>
      <w:tr w:rsidR="00105D6D" w:rsidRPr="00421152" w14:paraId="35A2326A" w14:textId="77777777" w:rsidTr="00E27EBA">
        <w:trPr>
          <w:trHeight w:val="288"/>
        </w:trPr>
        <w:tc>
          <w:tcPr>
            <w:tcW w:w="6488"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5B6E88F5" w14:textId="5735BF75" w:rsidR="00105D6D" w:rsidRPr="00421152" w:rsidRDefault="00105D6D" w:rsidP="00E27EBA">
            <w:pPr>
              <w:ind w:left="0" w:firstLine="0"/>
              <w:rPr>
                <w:rFonts w:asciiTheme="minorHAnsi" w:eastAsia="Times New Roman" w:hAnsiTheme="minorHAnsi" w:cs="Arial"/>
                <w:b/>
                <w:bCs/>
                <w:color w:val="000000"/>
                <w:sz w:val="20"/>
                <w:szCs w:val="20"/>
                <w:lang w:eastAsia="en-GB"/>
              </w:rPr>
            </w:pPr>
            <w:r w:rsidRPr="00421152">
              <w:rPr>
                <w:rFonts w:asciiTheme="minorHAnsi" w:eastAsia="Times New Roman" w:hAnsiTheme="minorHAnsi" w:cs="Arial"/>
                <w:b/>
                <w:bCs/>
                <w:color w:val="000000"/>
                <w:sz w:val="20"/>
                <w:szCs w:val="20"/>
                <w:lang w:eastAsia="en-GB"/>
              </w:rPr>
              <w:t xml:space="preserve">2018 core surplus after approved and pre-committed </w:t>
            </w:r>
            <w:r w:rsidR="002E5B1D" w:rsidRPr="00421152">
              <w:rPr>
                <w:rFonts w:asciiTheme="minorHAnsi" w:eastAsia="Times New Roman" w:hAnsiTheme="minorHAnsi" w:cs="Arial"/>
                <w:b/>
                <w:bCs/>
                <w:color w:val="000000"/>
                <w:sz w:val="20"/>
                <w:szCs w:val="20"/>
                <w:lang w:eastAsia="en-GB"/>
              </w:rPr>
              <w:t>–</w:t>
            </w:r>
            <w:r w:rsidRPr="00421152">
              <w:rPr>
                <w:rFonts w:asciiTheme="minorHAnsi" w:eastAsia="Times New Roman" w:hAnsiTheme="minorHAnsi" w:cs="Arial"/>
                <w:b/>
                <w:bCs/>
                <w:color w:val="000000"/>
                <w:sz w:val="20"/>
                <w:szCs w:val="20"/>
                <w:lang w:eastAsia="en-GB"/>
              </w:rPr>
              <w:t xml:space="preserve"> </w:t>
            </w:r>
            <w:r w:rsidR="002E5B1D" w:rsidRPr="00421152">
              <w:rPr>
                <w:rFonts w:asciiTheme="minorHAnsi" w:eastAsia="Times New Roman" w:hAnsiTheme="minorHAnsi" w:cs="Arial"/>
                <w:b/>
                <w:bCs/>
                <w:color w:val="000000"/>
                <w:sz w:val="20"/>
                <w:szCs w:val="20"/>
                <w:lang w:eastAsia="en-GB"/>
              </w:rPr>
              <w:t xml:space="preserve">to be allocated </w:t>
            </w:r>
            <w:r w:rsidRPr="00421152">
              <w:rPr>
                <w:rFonts w:asciiTheme="minorHAnsi" w:eastAsia="Times New Roman" w:hAnsiTheme="minorHAnsi" w:cs="Arial"/>
                <w:b/>
                <w:bCs/>
                <w:color w:val="000000"/>
                <w:sz w:val="20"/>
                <w:szCs w:val="20"/>
                <w:lang w:eastAsia="en-GB"/>
              </w:rPr>
              <w:t>(III = I – II)</w:t>
            </w:r>
          </w:p>
        </w:tc>
        <w:tc>
          <w:tcPr>
            <w:tcW w:w="2502" w:type="dxa"/>
            <w:tcBorders>
              <w:top w:val="nil"/>
              <w:left w:val="nil"/>
              <w:bottom w:val="single" w:sz="4" w:space="0" w:color="auto"/>
              <w:right w:val="single" w:sz="4" w:space="0" w:color="auto"/>
            </w:tcBorders>
            <w:shd w:val="clear" w:color="auto" w:fill="DBE5F1" w:themeFill="accent1" w:themeFillTint="33"/>
            <w:noWrap/>
            <w:hideMark/>
          </w:tcPr>
          <w:p w14:paraId="3A89056E" w14:textId="6DB1B384" w:rsidR="00105D6D" w:rsidRPr="00421152" w:rsidRDefault="00F376CC" w:rsidP="00E27EBA">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577</w:t>
            </w:r>
          </w:p>
        </w:tc>
      </w:tr>
    </w:tbl>
    <w:p w14:paraId="4EF7BA8F" w14:textId="159AD399" w:rsidR="003672B9" w:rsidRPr="00421152" w:rsidRDefault="008A73A2" w:rsidP="000279C5">
      <w:pPr>
        <w:ind w:left="0" w:firstLine="0"/>
      </w:pPr>
      <w:r w:rsidRPr="00421152">
        <w:rPr>
          <w:rFonts w:cs="Arial"/>
          <w:sz w:val="20"/>
          <w:szCs w:val="20"/>
        </w:rPr>
        <w:t>Note:</w:t>
      </w:r>
      <w:r w:rsidR="00947DA1" w:rsidRPr="00421152">
        <w:rPr>
          <w:rFonts w:cs="Arial"/>
          <w:sz w:val="20"/>
          <w:szCs w:val="20"/>
        </w:rPr>
        <w:t xml:space="preserve"> CHF 8K i</w:t>
      </w:r>
      <w:r w:rsidR="00B153DB" w:rsidRPr="00421152">
        <w:rPr>
          <w:rFonts w:cs="Arial"/>
          <w:sz w:val="20"/>
          <w:szCs w:val="20"/>
        </w:rPr>
        <w:t xml:space="preserve">n addition to the above </w:t>
      </w:r>
      <w:r w:rsidRPr="00421152">
        <w:rPr>
          <w:rFonts w:cs="Arial"/>
          <w:sz w:val="20"/>
          <w:szCs w:val="20"/>
        </w:rPr>
        <w:t xml:space="preserve">to be reimbursed from </w:t>
      </w:r>
      <w:r w:rsidR="002A1BB6" w:rsidRPr="00421152">
        <w:rPr>
          <w:rFonts w:cs="Arial"/>
          <w:sz w:val="20"/>
          <w:szCs w:val="20"/>
        </w:rPr>
        <w:t>STRP</w:t>
      </w:r>
      <w:r w:rsidRPr="00421152">
        <w:rPr>
          <w:rFonts w:cs="Arial"/>
          <w:sz w:val="20"/>
          <w:szCs w:val="20"/>
        </w:rPr>
        <w:t xml:space="preserve"> non-core (see </w:t>
      </w:r>
      <w:r w:rsidR="001653A7">
        <w:rPr>
          <w:rFonts w:asciiTheme="minorHAnsi" w:eastAsia="Times New Roman" w:hAnsiTheme="minorHAnsi" w:cs="Arial"/>
          <w:sz w:val="20"/>
          <w:szCs w:val="20"/>
          <w:lang w:eastAsia="en-GB"/>
        </w:rPr>
        <w:t>“</w:t>
      </w:r>
      <w:r w:rsidR="001653A7" w:rsidRPr="00421152">
        <w:rPr>
          <w:rFonts w:asciiTheme="minorHAnsi" w:eastAsia="Times New Roman" w:hAnsiTheme="minorHAnsi" w:cs="Arial"/>
          <w:sz w:val="20"/>
          <w:szCs w:val="20"/>
          <w:lang w:eastAsia="en-GB"/>
        </w:rPr>
        <w:t>Scientific and Technical Services</w:t>
      </w:r>
      <w:r w:rsidR="001653A7">
        <w:rPr>
          <w:rFonts w:asciiTheme="minorHAnsi" w:eastAsia="Times New Roman" w:hAnsiTheme="minorHAnsi" w:cs="Arial"/>
          <w:sz w:val="20"/>
          <w:szCs w:val="20"/>
          <w:lang w:eastAsia="en-GB"/>
        </w:rPr>
        <w:t>”</w:t>
      </w:r>
      <w:r w:rsidR="00B153DB" w:rsidRPr="00421152">
        <w:rPr>
          <w:rFonts w:cs="Arial"/>
          <w:sz w:val="20"/>
          <w:szCs w:val="20"/>
        </w:rPr>
        <w:t xml:space="preserve"> line in </w:t>
      </w:r>
      <w:r w:rsidR="001808B3" w:rsidRPr="00421152">
        <w:rPr>
          <w:rFonts w:cs="Arial"/>
          <w:sz w:val="20"/>
          <w:szCs w:val="20"/>
        </w:rPr>
        <w:t>T</w:t>
      </w:r>
      <w:r w:rsidR="00B153DB" w:rsidRPr="00421152">
        <w:rPr>
          <w:rFonts w:cs="Arial"/>
          <w:sz w:val="20"/>
          <w:szCs w:val="20"/>
        </w:rPr>
        <w:t>able 1</w:t>
      </w:r>
      <w:r w:rsidRPr="00421152">
        <w:rPr>
          <w:rFonts w:cs="Arial"/>
          <w:sz w:val="20"/>
          <w:szCs w:val="20"/>
        </w:rPr>
        <w:t>)</w:t>
      </w:r>
    </w:p>
    <w:p w14:paraId="0A172F8C" w14:textId="52BDA92C" w:rsidR="001808B3" w:rsidRDefault="001808B3" w:rsidP="00D340BA">
      <w:pPr>
        <w:pStyle w:val="NoSpacing"/>
        <w:keepNext/>
        <w:rPr>
          <w:b/>
        </w:rPr>
      </w:pPr>
    </w:p>
    <w:p w14:paraId="03443FEC" w14:textId="45E15027" w:rsidR="001653A7" w:rsidRDefault="001653A7">
      <w:pPr>
        <w:rPr>
          <w:b/>
        </w:rPr>
      </w:pPr>
      <w:r>
        <w:rPr>
          <w:b/>
        </w:rPr>
        <w:br w:type="page"/>
      </w:r>
    </w:p>
    <w:p w14:paraId="10BCD7EB" w14:textId="5E735881" w:rsidR="00FF0082" w:rsidRPr="00421152" w:rsidRDefault="00FF0082" w:rsidP="001653A7">
      <w:pPr>
        <w:pStyle w:val="NoSpacing"/>
        <w:keepNext/>
        <w:rPr>
          <w:b/>
        </w:rPr>
      </w:pPr>
      <w:r w:rsidRPr="00421152">
        <w:rPr>
          <w:b/>
        </w:rPr>
        <w:lastRenderedPageBreak/>
        <w:t>201</w:t>
      </w:r>
      <w:r w:rsidR="000A212C" w:rsidRPr="00421152">
        <w:rPr>
          <w:b/>
        </w:rPr>
        <w:t>8</w:t>
      </w:r>
      <w:r w:rsidRPr="00421152">
        <w:rPr>
          <w:b/>
        </w:rPr>
        <w:t xml:space="preserve"> results: non-core budget and voluntary contributions </w:t>
      </w:r>
    </w:p>
    <w:p w14:paraId="37B40F4A" w14:textId="77777777" w:rsidR="00C73471" w:rsidRPr="00421152" w:rsidRDefault="00C73471" w:rsidP="001653A7">
      <w:pPr>
        <w:pStyle w:val="NoSpacing"/>
        <w:keepNext/>
        <w:rPr>
          <w:b/>
        </w:rPr>
      </w:pPr>
    </w:p>
    <w:p w14:paraId="11BB5736" w14:textId="30F5D82F" w:rsidR="002A1D70" w:rsidRPr="00421152" w:rsidRDefault="00255D02" w:rsidP="001653A7">
      <w:pPr>
        <w:keepNext/>
      </w:pPr>
      <w:r>
        <w:t>23</w:t>
      </w:r>
      <w:r w:rsidR="00112F62" w:rsidRPr="00421152">
        <w:t>.</w:t>
      </w:r>
      <w:r w:rsidR="00112F62" w:rsidRPr="00421152">
        <w:tab/>
      </w:r>
      <w:r w:rsidR="0075376A" w:rsidRPr="00421152">
        <w:t xml:space="preserve">The status of non-core funding as </w:t>
      </w:r>
      <w:r w:rsidR="002A1D70" w:rsidRPr="00421152">
        <w:t>of</w:t>
      </w:r>
      <w:r w:rsidR="0075376A" w:rsidRPr="00421152">
        <w:t xml:space="preserve"> 31 December 201</w:t>
      </w:r>
      <w:r w:rsidR="00467887" w:rsidRPr="00421152">
        <w:t>8</w:t>
      </w:r>
      <w:r w:rsidR="0075376A" w:rsidRPr="00421152">
        <w:t xml:space="preserve"> can be found in Annex </w:t>
      </w:r>
      <w:r w:rsidR="00A8663A" w:rsidRPr="00421152">
        <w:t>3</w:t>
      </w:r>
      <w:r w:rsidR="0075376A" w:rsidRPr="00421152">
        <w:t xml:space="preserve">. In </w:t>
      </w:r>
      <w:r w:rsidR="002A1D70" w:rsidRPr="00421152">
        <w:t>201</w:t>
      </w:r>
      <w:r w:rsidR="000A212C" w:rsidRPr="00421152">
        <w:t>8</w:t>
      </w:r>
      <w:r w:rsidR="002A1D70" w:rsidRPr="00421152">
        <w:t xml:space="preserve">, as shown in Annex </w:t>
      </w:r>
      <w:r w:rsidR="00A8663A" w:rsidRPr="00421152">
        <w:t>3</w:t>
      </w:r>
      <w:r w:rsidR="002A1D70" w:rsidRPr="00421152">
        <w:t xml:space="preserve">, </w:t>
      </w:r>
      <w:r w:rsidR="0075376A" w:rsidRPr="00421152">
        <w:t xml:space="preserve">voluntary contributions of CHF </w:t>
      </w:r>
      <w:r w:rsidR="000A212C" w:rsidRPr="00421152">
        <w:t>1,657K</w:t>
      </w:r>
      <w:r w:rsidR="0075376A" w:rsidRPr="00421152">
        <w:t xml:space="preserve"> </w:t>
      </w:r>
      <w:r w:rsidR="002A1D70" w:rsidRPr="00421152">
        <w:t xml:space="preserve">and </w:t>
      </w:r>
      <w:r w:rsidR="00A167E4" w:rsidRPr="00421152">
        <w:t xml:space="preserve">net </w:t>
      </w:r>
      <w:r w:rsidR="002A1D70" w:rsidRPr="00421152">
        <w:t xml:space="preserve">African voluntary contributions of CHF </w:t>
      </w:r>
      <w:r w:rsidR="000A212C" w:rsidRPr="00421152">
        <w:t>7</w:t>
      </w:r>
      <w:r w:rsidR="002A1D70" w:rsidRPr="00421152">
        <w:t xml:space="preserve">K </w:t>
      </w:r>
      <w:r w:rsidR="0075376A" w:rsidRPr="00421152">
        <w:t>were received</w:t>
      </w:r>
      <w:r w:rsidR="002A1D70" w:rsidRPr="00421152">
        <w:t>. Together with exchange gain</w:t>
      </w:r>
      <w:r w:rsidR="000A212C" w:rsidRPr="00421152">
        <w:t>s and</w:t>
      </w:r>
      <w:r w:rsidR="002A1D70" w:rsidRPr="00421152">
        <w:t xml:space="preserve"> losses, this resulted in a total income of non-core funding of CHF </w:t>
      </w:r>
      <w:r w:rsidR="000A212C" w:rsidRPr="00421152">
        <w:t>1,667</w:t>
      </w:r>
      <w:r w:rsidR="002A1D70" w:rsidRPr="00421152">
        <w:t xml:space="preserve">K. </w:t>
      </w:r>
    </w:p>
    <w:p w14:paraId="5B0D777A" w14:textId="77777777" w:rsidR="00112F62" w:rsidRPr="00421152" w:rsidRDefault="00112F62" w:rsidP="00633DD5"/>
    <w:p w14:paraId="2EAD5A63" w14:textId="0F6AA662" w:rsidR="0075376A" w:rsidRPr="00421152" w:rsidRDefault="00255D02" w:rsidP="00633DD5">
      <w:r>
        <w:t>24</w:t>
      </w:r>
      <w:r w:rsidR="00112F62" w:rsidRPr="00421152">
        <w:t>.</w:t>
      </w:r>
      <w:r w:rsidR="00112F62" w:rsidRPr="00421152">
        <w:tab/>
      </w:r>
      <w:r w:rsidR="0075376A" w:rsidRPr="00421152">
        <w:t>The</w:t>
      </w:r>
      <w:r w:rsidR="002A1D70" w:rsidRPr="00421152">
        <w:t xml:space="preserve"> voluntary </w:t>
      </w:r>
      <w:r w:rsidR="0075376A" w:rsidRPr="00421152">
        <w:t xml:space="preserve">contributions </w:t>
      </w:r>
      <w:r w:rsidR="002A1D70" w:rsidRPr="00421152">
        <w:t>received in 201</w:t>
      </w:r>
      <w:r w:rsidR="00467887" w:rsidRPr="00421152">
        <w:t>8</w:t>
      </w:r>
      <w:r w:rsidR="002A1D70" w:rsidRPr="00421152">
        <w:t xml:space="preserve"> </w:t>
      </w:r>
      <w:r w:rsidR="0075376A" w:rsidRPr="00421152">
        <w:t xml:space="preserve">are outlined in </w:t>
      </w:r>
      <w:r w:rsidR="003A0924">
        <w:t>T</w:t>
      </w:r>
      <w:r w:rsidR="0075376A" w:rsidRPr="00421152">
        <w:t xml:space="preserve">able </w:t>
      </w:r>
      <w:r w:rsidR="00213C8C" w:rsidRPr="00421152">
        <w:t>3</w:t>
      </w:r>
      <w:r w:rsidR="00E91F83" w:rsidRPr="00421152">
        <w:t xml:space="preserve"> </w:t>
      </w:r>
      <w:r w:rsidR="0075376A" w:rsidRPr="00421152">
        <w:t>below</w:t>
      </w:r>
      <w:r w:rsidR="002A1D70" w:rsidRPr="00421152">
        <w:t>.</w:t>
      </w:r>
      <w:r w:rsidR="00A8663A" w:rsidRPr="00421152">
        <w:t xml:space="preserve"> As </w:t>
      </w:r>
      <w:r w:rsidR="003A0924">
        <w:t>instructed by the Standing Committee through</w:t>
      </w:r>
      <w:r w:rsidR="003A0924" w:rsidRPr="00421152">
        <w:t xml:space="preserve"> </w:t>
      </w:r>
      <w:r w:rsidR="00A8663A" w:rsidRPr="00421152">
        <w:t>D</w:t>
      </w:r>
      <w:r w:rsidR="0075376A" w:rsidRPr="00421152">
        <w:t xml:space="preserve">ecision SC53-32, </w:t>
      </w:r>
      <w:r w:rsidR="00A8663A" w:rsidRPr="00421152">
        <w:t>T</w:t>
      </w:r>
      <w:r w:rsidR="0075376A" w:rsidRPr="00421152">
        <w:t xml:space="preserve">able </w:t>
      </w:r>
      <w:r w:rsidR="00213C8C" w:rsidRPr="00421152">
        <w:t xml:space="preserve">3 </w:t>
      </w:r>
      <w:r w:rsidR="0075376A" w:rsidRPr="00421152">
        <w:t>provides an overview o</w:t>
      </w:r>
      <w:r w:rsidR="00883712" w:rsidRPr="00421152">
        <w:t>f</w:t>
      </w:r>
      <w:r w:rsidR="0075376A" w:rsidRPr="00421152">
        <w:t xml:space="preserve"> voluntary contributions received in 201</w:t>
      </w:r>
      <w:r w:rsidR="00FB187B" w:rsidRPr="00421152">
        <w:t>8</w:t>
      </w:r>
      <w:r w:rsidR="001032EA" w:rsidRPr="00421152">
        <w:t xml:space="preserve"> and how they were used. Reference is made to the priorities for fundraising </w:t>
      </w:r>
      <w:r w:rsidR="003A0924">
        <w:t xml:space="preserve">of the Contracting Parties </w:t>
      </w:r>
      <w:r w:rsidR="001032EA" w:rsidRPr="00421152">
        <w:t xml:space="preserve">provided in </w:t>
      </w:r>
      <w:r w:rsidR="0075376A" w:rsidRPr="00421152">
        <w:t>Annex 3 of Resolution XII.1.</w:t>
      </w:r>
    </w:p>
    <w:p w14:paraId="2620DE98" w14:textId="77777777" w:rsidR="00A968DF" w:rsidRDefault="00A968DF" w:rsidP="00633DD5">
      <w:pPr>
        <w:pStyle w:val="NoSpacing"/>
        <w:rPr>
          <w:i/>
        </w:rPr>
      </w:pPr>
    </w:p>
    <w:p w14:paraId="5823A91C" w14:textId="25F79521" w:rsidR="00A8663A" w:rsidRPr="00421152" w:rsidRDefault="00A8663A" w:rsidP="00633DD5">
      <w:pPr>
        <w:pStyle w:val="NoSpacing"/>
        <w:rPr>
          <w:i/>
        </w:rPr>
      </w:pPr>
      <w:r w:rsidRPr="00421152">
        <w:rPr>
          <w:i/>
        </w:rPr>
        <w:t xml:space="preserve">Table </w:t>
      </w:r>
      <w:r w:rsidR="00511834" w:rsidRPr="00421152">
        <w:rPr>
          <w:i/>
        </w:rPr>
        <w:t>3</w:t>
      </w:r>
      <w:r w:rsidRPr="00421152">
        <w:rPr>
          <w:i/>
        </w:rPr>
        <w:t>: Voluntary non-core contributions received in 201</w:t>
      </w:r>
      <w:r w:rsidR="003802F2" w:rsidRPr="00421152">
        <w:rPr>
          <w:i/>
        </w:rPr>
        <w:t>8</w:t>
      </w:r>
      <w:r w:rsidRPr="00421152">
        <w:rPr>
          <w:i/>
        </w:rPr>
        <w:t xml:space="preserve"> (in ‘000 CHFs)</w:t>
      </w:r>
    </w:p>
    <w:tbl>
      <w:tblPr>
        <w:tblStyle w:val="TableGrid"/>
        <w:tblW w:w="0" w:type="auto"/>
        <w:tblInd w:w="-5" w:type="dxa"/>
        <w:tblCellMar>
          <w:top w:w="17" w:type="dxa"/>
          <w:bottom w:w="17" w:type="dxa"/>
        </w:tblCellMar>
        <w:tblLook w:val="04A0" w:firstRow="1" w:lastRow="0" w:firstColumn="1" w:lastColumn="0" w:noHBand="0" w:noVBand="1"/>
      </w:tblPr>
      <w:tblGrid>
        <w:gridCol w:w="1532"/>
        <w:gridCol w:w="892"/>
        <w:gridCol w:w="2396"/>
        <w:gridCol w:w="4175"/>
      </w:tblGrid>
      <w:tr w:rsidR="00A653DC" w:rsidRPr="00421152" w14:paraId="56B14E65" w14:textId="77777777" w:rsidTr="00E27EBA">
        <w:tc>
          <w:tcPr>
            <w:tcW w:w="1532" w:type="dxa"/>
            <w:shd w:val="clear" w:color="auto" w:fill="DBE5F1" w:themeFill="accent1" w:themeFillTint="33"/>
            <w:vAlign w:val="center"/>
          </w:tcPr>
          <w:p w14:paraId="6B1B7DE5" w14:textId="77777777" w:rsidR="009232F2" w:rsidRPr="00421152" w:rsidRDefault="009232F2" w:rsidP="00511834">
            <w:pPr>
              <w:ind w:left="0" w:firstLine="0"/>
              <w:jc w:val="center"/>
              <w:rPr>
                <w:rFonts w:asciiTheme="minorHAnsi" w:hAnsiTheme="minorHAnsi" w:cs="Arial"/>
                <w:b/>
                <w:bCs/>
                <w:color w:val="000000"/>
                <w:sz w:val="20"/>
                <w:szCs w:val="20"/>
              </w:rPr>
            </w:pPr>
            <w:r w:rsidRPr="00421152">
              <w:rPr>
                <w:rFonts w:asciiTheme="minorHAnsi" w:hAnsiTheme="minorHAnsi" w:cs="Arial"/>
                <w:b/>
                <w:bCs/>
                <w:color w:val="000000"/>
                <w:sz w:val="20"/>
                <w:szCs w:val="20"/>
              </w:rPr>
              <w:t>Donor</w:t>
            </w:r>
          </w:p>
        </w:tc>
        <w:tc>
          <w:tcPr>
            <w:tcW w:w="892" w:type="dxa"/>
            <w:shd w:val="clear" w:color="auto" w:fill="DBE5F1" w:themeFill="accent1" w:themeFillTint="33"/>
            <w:vAlign w:val="center"/>
          </w:tcPr>
          <w:p w14:paraId="18B9BB85" w14:textId="77777777" w:rsidR="009232F2" w:rsidRPr="00421152" w:rsidRDefault="009232F2" w:rsidP="00633DD5">
            <w:pPr>
              <w:ind w:left="0" w:firstLine="0"/>
              <w:jc w:val="center"/>
              <w:rPr>
                <w:rFonts w:asciiTheme="minorHAnsi" w:hAnsiTheme="minorHAnsi" w:cs="Arial"/>
                <w:b/>
                <w:bCs/>
                <w:color w:val="000000"/>
                <w:sz w:val="20"/>
                <w:szCs w:val="20"/>
              </w:rPr>
            </w:pPr>
            <w:r w:rsidRPr="00421152">
              <w:rPr>
                <w:rFonts w:asciiTheme="minorHAnsi" w:hAnsiTheme="minorHAnsi" w:cs="Arial"/>
                <w:b/>
                <w:bCs/>
                <w:color w:val="000000"/>
                <w:sz w:val="20"/>
                <w:szCs w:val="20"/>
              </w:rPr>
              <w:t>Amount</w:t>
            </w:r>
          </w:p>
        </w:tc>
        <w:tc>
          <w:tcPr>
            <w:tcW w:w="2396" w:type="dxa"/>
            <w:shd w:val="clear" w:color="auto" w:fill="DBE5F1" w:themeFill="accent1" w:themeFillTint="33"/>
            <w:vAlign w:val="center"/>
          </w:tcPr>
          <w:p w14:paraId="285BA493" w14:textId="77777777" w:rsidR="009232F2" w:rsidRPr="00421152" w:rsidRDefault="009232F2" w:rsidP="00633DD5">
            <w:pPr>
              <w:ind w:left="0" w:firstLine="0"/>
              <w:jc w:val="center"/>
              <w:rPr>
                <w:rFonts w:asciiTheme="minorHAnsi" w:hAnsiTheme="minorHAnsi" w:cs="Arial"/>
                <w:b/>
                <w:bCs/>
                <w:color w:val="000000"/>
                <w:sz w:val="20"/>
                <w:szCs w:val="20"/>
              </w:rPr>
            </w:pPr>
            <w:r w:rsidRPr="00421152">
              <w:rPr>
                <w:rFonts w:asciiTheme="minorHAnsi" w:hAnsiTheme="minorHAnsi" w:cs="Arial"/>
                <w:b/>
                <w:bCs/>
                <w:color w:val="000000"/>
                <w:sz w:val="20"/>
                <w:szCs w:val="20"/>
              </w:rPr>
              <w:t>Comment</w:t>
            </w:r>
          </w:p>
        </w:tc>
        <w:tc>
          <w:tcPr>
            <w:tcW w:w="4175" w:type="dxa"/>
            <w:shd w:val="clear" w:color="auto" w:fill="DBE5F1" w:themeFill="accent1" w:themeFillTint="33"/>
            <w:vAlign w:val="center"/>
          </w:tcPr>
          <w:p w14:paraId="5EC56B46" w14:textId="77777777" w:rsidR="009232F2" w:rsidRPr="00421152" w:rsidRDefault="00B6428C" w:rsidP="00633DD5">
            <w:pPr>
              <w:ind w:left="0" w:firstLine="0"/>
              <w:jc w:val="center"/>
              <w:rPr>
                <w:rFonts w:asciiTheme="minorHAnsi" w:hAnsiTheme="minorHAnsi" w:cs="Arial"/>
                <w:b/>
                <w:bCs/>
                <w:color w:val="000000"/>
                <w:sz w:val="20"/>
                <w:szCs w:val="20"/>
              </w:rPr>
            </w:pPr>
            <w:r w:rsidRPr="00421152">
              <w:rPr>
                <w:rFonts w:asciiTheme="minorHAnsi" w:hAnsiTheme="minorHAnsi" w:cs="Arial"/>
                <w:b/>
                <w:bCs/>
                <w:color w:val="000000"/>
                <w:sz w:val="20"/>
                <w:szCs w:val="20"/>
              </w:rPr>
              <w:t xml:space="preserve">Non-core priority as per </w:t>
            </w:r>
            <w:r w:rsidR="009232F2" w:rsidRPr="00421152">
              <w:rPr>
                <w:rFonts w:asciiTheme="minorHAnsi" w:hAnsiTheme="minorHAnsi" w:cs="Arial"/>
                <w:b/>
                <w:bCs/>
                <w:color w:val="000000"/>
                <w:sz w:val="20"/>
                <w:szCs w:val="20"/>
              </w:rPr>
              <w:t xml:space="preserve">Annex 3 of </w:t>
            </w:r>
            <w:r w:rsidR="00273B0B" w:rsidRPr="00421152">
              <w:rPr>
                <w:rFonts w:asciiTheme="minorHAnsi" w:hAnsiTheme="minorHAnsi" w:cs="Arial"/>
                <w:b/>
                <w:bCs/>
                <w:color w:val="000000"/>
                <w:sz w:val="20"/>
                <w:szCs w:val="20"/>
              </w:rPr>
              <w:br/>
            </w:r>
            <w:r w:rsidR="009232F2" w:rsidRPr="00421152">
              <w:rPr>
                <w:rFonts w:asciiTheme="minorHAnsi" w:hAnsiTheme="minorHAnsi" w:cs="Arial"/>
                <w:b/>
                <w:bCs/>
                <w:color w:val="000000"/>
                <w:sz w:val="20"/>
                <w:szCs w:val="20"/>
              </w:rPr>
              <w:t>Resolution XII.1</w:t>
            </w:r>
          </w:p>
        </w:tc>
      </w:tr>
      <w:tr w:rsidR="00273B0B" w:rsidRPr="00421152" w14:paraId="2A1270A6" w14:textId="77777777" w:rsidTr="00E27EBA">
        <w:tc>
          <w:tcPr>
            <w:tcW w:w="1532" w:type="dxa"/>
          </w:tcPr>
          <w:p w14:paraId="6B195D18" w14:textId="408363EB" w:rsidR="009232F2" w:rsidRPr="00421152" w:rsidRDefault="00380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U</w:t>
            </w:r>
            <w:r w:rsidR="006E735B">
              <w:rPr>
                <w:rFonts w:asciiTheme="minorHAnsi" w:hAnsiTheme="minorHAnsi" w:cs="Arial"/>
                <w:color w:val="000000"/>
                <w:sz w:val="20"/>
                <w:szCs w:val="20"/>
              </w:rPr>
              <w:t xml:space="preserve">nited </w:t>
            </w:r>
            <w:r w:rsidRPr="00421152">
              <w:rPr>
                <w:rFonts w:asciiTheme="minorHAnsi" w:hAnsiTheme="minorHAnsi" w:cs="Arial"/>
                <w:color w:val="000000"/>
                <w:sz w:val="20"/>
                <w:szCs w:val="20"/>
              </w:rPr>
              <w:t>A</w:t>
            </w:r>
            <w:r w:rsidR="006E735B">
              <w:rPr>
                <w:rFonts w:asciiTheme="minorHAnsi" w:hAnsiTheme="minorHAnsi" w:cs="Arial"/>
                <w:color w:val="000000"/>
                <w:sz w:val="20"/>
                <w:szCs w:val="20"/>
              </w:rPr>
              <w:t xml:space="preserve">rab </w:t>
            </w:r>
            <w:r w:rsidRPr="00421152">
              <w:rPr>
                <w:rFonts w:asciiTheme="minorHAnsi" w:hAnsiTheme="minorHAnsi" w:cs="Arial"/>
                <w:color w:val="000000"/>
                <w:sz w:val="20"/>
                <w:szCs w:val="20"/>
              </w:rPr>
              <w:t>E</w:t>
            </w:r>
            <w:r w:rsidR="006E735B">
              <w:rPr>
                <w:rFonts w:asciiTheme="minorHAnsi" w:hAnsiTheme="minorHAnsi" w:cs="Arial"/>
                <w:color w:val="000000"/>
                <w:sz w:val="20"/>
                <w:szCs w:val="20"/>
              </w:rPr>
              <w:t>mirates</w:t>
            </w:r>
          </w:p>
        </w:tc>
        <w:tc>
          <w:tcPr>
            <w:tcW w:w="892" w:type="dxa"/>
          </w:tcPr>
          <w:p w14:paraId="47154AD8"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842</w:t>
            </w:r>
          </w:p>
        </w:tc>
        <w:tc>
          <w:tcPr>
            <w:tcW w:w="2396" w:type="dxa"/>
          </w:tcPr>
          <w:p w14:paraId="16E51451" w14:textId="77777777" w:rsidR="009232F2" w:rsidRPr="00421152" w:rsidRDefault="00923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w:t>
            </w:r>
            <w:r w:rsidR="00A22579" w:rsidRPr="00421152">
              <w:rPr>
                <w:rFonts w:asciiTheme="minorHAnsi" w:hAnsiTheme="minorHAnsi" w:cs="Arial"/>
                <w:color w:val="000000"/>
                <w:sz w:val="20"/>
                <w:szCs w:val="20"/>
              </w:rPr>
              <w:t>COP13 (2018)</w:t>
            </w:r>
          </w:p>
        </w:tc>
        <w:tc>
          <w:tcPr>
            <w:tcW w:w="4175" w:type="dxa"/>
          </w:tcPr>
          <w:p w14:paraId="6D4924B7" w14:textId="77777777" w:rsidR="009232F2" w:rsidRPr="00421152" w:rsidRDefault="009232F2" w:rsidP="00633DD5">
            <w:pPr>
              <w:ind w:left="0" w:firstLine="0"/>
              <w:rPr>
                <w:rFonts w:asciiTheme="minorHAnsi" w:hAnsiTheme="minorHAnsi" w:cs="Arial"/>
                <w:color w:val="000000"/>
                <w:sz w:val="20"/>
                <w:szCs w:val="20"/>
              </w:rPr>
            </w:pPr>
          </w:p>
        </w:tc>
      </w:tr>
      <w:tr w:rsidR="00273B0B" w:rsidRPr="00421152" w14:paraId="4E148468" w14:textId="77777777" w:rsidTr="00E27EBA">
        <w:tc>
          <w:tcPr>
            <w:tcW w:w="1532" w:type="dxa"/>
          </w:tcPr>
          <w:p w14:paraId="20786700" w14:textId="77777777" w:rsidR="009232F2" w:rsidRPr="00421152" w:rsidRDefault="003802F2" w:rsidP="00D418B6">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S</w:t>
            </w:r>
            <w:r w:rsidR="00D418B6" w:rsidRPr="00421152">
              <w:rPr>
                <w:rFonts w:asciiTheme="minorHAnsi" w:hAnsiTheme="minorHAnsi" w:cs="Arial"/>
                <w:color w:val="000000"/>
                <w:sz w:val="20"/>
                <w:szCs w:val="20"/>
              </w:rPr>
              <w:t>weden</w:t>
            </w:r>
          </w:p>
        </w:tc>
        <w:tc>
          <w:tcPr>
            <w:tcW w:w="892" w:type="dxa"/>
          </w:tcPr>
          <w:p w14:paraId="4614248B"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87</w:t>
            </w:r>
          </w:p>
        </w:tc>
        <w:tc>
          <w:tcPr>
            <w:tcW w:w="2396" w:type="dxa"/>
          </w:tcPr>
          <w:p w14:paraId="0DCAD585" w14:textId="77777777" w:rsidR="009232F2" w:rsidRPr="00421152" w:rsidRDefault="00923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w:t>
            </w:r>
          </w:p>
        </w:tc>
        <w:tc>
          <w:tcPr>
            <w:tcW w:w="4175" w:type="dxa"/>
          </w:tcPr>
          <w:p w14:paraId="396E0DCF" w14:textId="77777777" w:rsidR="009232F2" w:rsidRPr="00421152" w:rsidRDefault="00A22579"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COP13 (2018) sponsorship to eligible delegates</w:t>
            </w:r>
          </w:p>
        </w:tc>
      </w:tr>
      <w:tr w:rsidR="00273B0B" w:rsidRPr="00421152" w14:paraId="0E3794C7" w14:textId="77777777" w:rsidTr="00E27EBA">
        <w:tc>
          <w:tcPr>
            <w:tcW w:w="1532" w:type="dxa"/>
          </w:tcPr>
          <w:p w14:paraId="04286B31" w14:textId="77777777" w:rsidR="009232F2" w:rsidRPr="00421152" w:rsidRDefault="00380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Canada</w:t>
            </w:r>
          </w:p>
        </w:tc>
        <w:tc>
          <w:tcPr>
            <w:tcW w:w="892" w:type="dxa"/>
          </w:tcPr>
          <w:p w14:paraId="1DA4EF60"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36</w:t>
            </w:r>
          </w:p>
        </w:tc>
        <w:tc>
          <w:tcPr>
            <w:tcW w:w="2396" w:type="dxa"/>
          </w:tcPr>
          <w:p w14:paraId="5B7FEEAB" w14:textId="77777777" w:rsidR="009232F2" w:rsidRPr="00421152" w:rsidRDefault="009232F2" w:rsidP="00633DD5">
            <w:pPr>
              <w:ind w:left="0" w:firstLine="0"/>
              <w:rPr>
                <w:rFonts w:asciiTheme="minorHAnsi" w:hAnsiTheme="minorHAnsi" w:cs="Arial"/>
                <w:color w:val="000000"/>
                <w:sz w:val="20"/>
                <w:szCs w:val="20"/>
              </w:rPr>
            </w:pPr>
          </w:p>
        </w:tc>
        <w:tc>
          <w:tcPr>
            <w:tcW w:w="4175" w:type="dxa"/>
          </w:tcPr>
          <w:p w14:paraId="55F40A2F" w14:textId="77777777" w:rsidR="009232F2" w:rsidRPr="00421152" w:rsidRDefault="00A22579"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COP13 (2018) sponsorship to eligible delegates</w:t>
            </w:r>
          </w:p>
        </w:tc>
      </w:tr>
      <w:tr w:rsidR="00273B0B" w:rsidRPr="00421152" w14:paraId="3CCA0D54" w14:textId="77777777" w:rsidTr="00E27EBA">
        <w:tc>
          <w:tcPr>
            <w:tcW w:w="1532" w:type="dxa"/>
          </w:tcPr>
          <w:p w14:paraId="055358C2" w14:textId="77777777" w:rsidR="009232F2" w:rsidRPr="00421152" w:rsidRDefault="00380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Norway</w:t>
            </w:r>
          </w:p>
        </w:tc>
        <w:tc>
          <w:tcPr>
            <w:tcW w:w="892" w:type="dxa"/>
          </w:tcPr>
          <w:p w14:paraId="6980C25F"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30</w:t>
            </w:r>
          </w:p>
        </w:tc>
        <w:tc>
          <w:tcPr>
            <w:tcW w:w="2396" w:type="dxa"/>
          </w:tcPr>
          <w:p w14:paraId="0BADA3B0" w14:textId="77777777" w:rsidR="009232F2" w:rsidRPr="00421152" w:rsidRDefault="00923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w:t>
            </w:r>
          </w:p>
        </w:tc>
        <w:tc>
          <w:tcPr>
            <w:tcW w:w="4175" w:type="dxa"/>
          </w:tcPr>
          <w:p w14:paraId="1F6D3D01" w14:textId="77777777" w:rsidR="009232F2" w:rsidRPr="00421152" w:rsidRDefault="00A22579"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COP13 (2018) sponsorship to eligible delegates</w:t>
            </w:r>
          </w:p>
        </w:tc>
      </w:tr>
      <w:tr w:rsidR="00273B0B" w:rsidRPr="00421152" w14:paraId="1B8510F4" w14:textId="77777777" w:rsidTr="00E27EBA">
        <w:tc>
          <w:tcPr>
            <w:tcW w:w="1532" w:type="dxa"/>
          </w:tcPr>
          <w:p w14:paraId="2E6E31AC" w14:textId="77777777" w:rsidR="009232F2" w:rsidRPr="00421152" w:rsidRDefault="00380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Germany</w:t>
            </w:r>
          </w:p>
        </w:tc>
        <w:tc>
          <w:tcPr>
            <w:tcW w:w="892" w:type="dxa"/>
          </w:tcPr>
          <w:p w14:paraId="54746B60"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23</w:t>
            </w:r>
          </w:p>
        </w:tc>
        <w:tc>
          <w:tcPr>
            <w:tcW w:w="2396" w:type="dxa"/>
          </w:tcPr>
          <w:p w14:paraId="11481E31" w14:textId="77777777" w:rsidR="009232F2" w:rsidRPr="00421152" w:rsidRDefault="00923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w:t>
            </w:r>
          </w:p>
        </w:tc>
        <w:tc>
          <w:tcPr>
            <w:tcW w:w="4175" w:type="dxa"/>
          </w:tcPr>
          <w:p w14:paraId="16BAE8E3" w14:textId="77777777" w:rsidR="009232F2" w:rsidRPr="00421152" w:rsidRDefault="00A22579"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COP13 (2018) sponsorship to eligible delegates</w:t>
            </w:r>
          </w:p>
        </w:tc>
      </w:tr>
      <w:tr w:rsidR="00273B0B" w:rsidRPr="00421152" w14:paraId="5CED3707" w14:textId="77777777" w:rsidTr="00E27EBA">
        <w:tc>
          <w:tcPr>
            <w:tcW w:w="1532" w:type="dxa"/>
          </w:tcPr>
          <w:p w14:paraId="5AE814DD" w14:textId="406CC0A8" w:rsidR="009232F2" w:rsidRPr="00421152" w:rsidRDefault="006E735B" w:rsidP="00633DD5">
            <w:pPr>
              <w:ind w:left="0" w:firstLine="0"/>
              <w:rPr>
                <w:rFonts w:asciiTheme="minorHAnsi" w:hAnsiTheme="minorHAnsi" w:cs="Arial"/>
                <w:color w:val="000000"/>
                <w:sz w:val="20"/>
                <w:szCs w:val="20"/>
              </w:rPr>
            </w:pPr>
            <w:r>
              <w:rPr>
                <w:rFonts w:asciiTheme="minorHAnsi" w:hAnsiTheme="minorHAnsi" w:cs="Arial"/>
                <w:color w:val="000000"/>
                <w:sz w:val="20"/>
                <w:szCs w:val="20"/>
              </w:rPr>
              <w:t xml:space="preserve">The </w:t>
            </w:r>
            <w:r w:rsidR="003802F2" w:rsidRPr="00421152">
              <w:rPr>
                <w:rFonts w:asciiTheme="minorHAnsi" w:hAnsiTheme="minorHAnsi" w:cs="Arial"/>
                <w:color w:val="000000"/>
                <w:sz w:val="20"/>
                <w:szCs w:val="20"/>
              </w:rPr>
              <w:t>Netherlands</w:t>
            </w:r>
          </w:p>
        </w:tc>
        <w:tc>
          <w:tcPr>
            <w:tcW w:w="892" w:type="dxa"/>
          </w:tcPr>
          <w:p w14:paraId="14755348"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12</w:t>
            </w:r>
          </w:p>
        </w:tc>
        <w:tc>
          <w:tcPr>
            <w:tcW w:w="2396" w:type="dxa"/>
          </w:tcPr>
          <w:p w14:paraId="7408A155" w14:textId="77777777" w:rsidR="009232F2" w:rsidRPr="00421152" w:rsidRDefault="00923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w:t>
            </w:r>
          </w:p>
        </w:tc>
        <w:tc>
          <w:tcPr>
            <w:tcW w:w="4175" w:type="dxa"/>
          </w:tcPr>
          <w:p w14:paraId="0A223238" w14:textId="77777777" w:rsidR="009232F2" w:rsidRPr="00421152" w:rsidRDefault="00A22579"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COP13 (2018) sponsorship to eligible delegates</w:t>
            </w:r>
          </w:p>
        </w:tc>
      </w:tr>
      <w:tr w:rsidR="00273B0B" w:rsidRPr="00421152" w14:paraId="768E79E3" w14:textId="77777777" w:rsidTr="00E27EBA">
        <w:tc>
          <w:tcPr>
            <w:tcW w:w="1532" w:type="dxa"/>
          </w:tcPr>
          <w:p w14:paraId="1364F996" w14:textId="77777777" w:rsidR="009232F2" w:rsidRPr="00421152" w:rsidRDefault="00380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Finland</w:t>
            </w:r>
          </w:p>
        </w:tc>
        <w:tc>
          <w:tcPr>
            <w:tcW w:w="892" w:type="dxa"/>
          </w:tcPr>
          <w:p w14:paraId="23C7B481"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11</w:t>
            </w:r>
          </w:p>
        </w:tc>
        <w:tc>
          <w:tcPr>
            <w:tcW w:w="2396" w:type="dxa"/>
          </w:tcPr>
          <w:p w14:paraId="3F647781" w14:textId="77777777" w:rsidR="009232F2" w:rsidRPr="00421152" w:rsidRDefault="009232F2" w:rsidP="00633DD5">
            <w:pPr>
              <w:ind w:left="0" w:firstLine="0"/>
              <w:rPr>
                <w:rFonts w:asciiTheme="minorHAnsi" w:hAnsiTheme="minorHAnsi" w:cs="Arial"/>
                <w:color w:val="000000"/>
                <w:sz w:val="20"/>
                <w:szCs w:val="20"/>
              </w:rPr>
            </w:pPr>
          </w:p>
        </w:tc>
        <w:tc>
          <w:tcPr>
            <w:tcW w:w="4175" w:type="dxa"/>
          </w:tcPr>
          <w:p w14:paraId="0C496403" w14:textId="77777777" w:rsidR="009232F2" w:rsidRPr="00421152" w:rsidRDefault="00A22579"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COP13 (2018) sponsorship to eligible delegates</w:t>
            </w:r>
          </w:p>
        </w:tc>
      </w:tr>
      <w:tr w:rsidR="00273B0B" w:rsidRPr="00421152" w14:paraId="5887F64A" w14:textId="77777777" w:rsidTr="00E27EBA">
        <w:tc>
          <w:tcPr>
            <w:tcW w:w="1532" w:type="dxa"/>
          </w:tcPr>
          <w:p w14:paraId="52E6FF83" w14:textId="77777777" w:rsidR="009232F2" w:rsidRPr="00421152" w:rsidRDefault="00380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Switzerland</w:t>
            </w:r>
            <w:r w:rsidR="0084654B" w:rsidRPr="00421152">
              <w:rPr>
                <w:rFonts w:asciiTheme="minorHAnsi" w:hAnsiTheme="minorHAnsi" w:cs="Arial"/>
                <w:color w:val="000000"/>
                <w:sz w:val="20"/>
                <w:szCs w:val="20"/>
              </w:rPr>
              <w:t>*</w:t>
            </w:r>
          </w:p>
        </w:tc>
        <w:tc>
          <w:tcPr>
            <w:tcW w:w="892" w:type="dxa"/>
          </w:tcPr>
          <w:p w14:paraId="02E51CC9"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10</w:t>
            </w:r>
          </w:p>
        </w:tc>
        <w:tc>
          <w:tcPr>
            <w:tcW w:w="2396" w:type="dxa"/>
          </w:tcPr>
          <w:p w14:paraId="2A8DF67B" w14:textId="77777777" w:rsidR="009232F2" w:rsidRPr="00421152" w:rsidRDefault="009232F2" w:rsidP="00633DD5">
            <w:pPr>
              <w:ind w:left="0" w:firstLine="0"/>
              <w:rPr>
                <w:rFonts w:asciiTheme="minorHAnsi" w:hAnsiTheme="minorHAnsi" w:cs="Arial"/>
                <w:color w:val="000000"/>
                <w:sz w:val="20"/>
                <w:szCs w:val="20"/>
              </w:rPr>
            </w:pPr>
          </w:p>
        </w:tc>
        <w:tc>
          <w:tcPr>
            <w:tcW w:w="4175" w:type="dxa"/>
          </w:tcPr>
          <w:p w14:paraId="23358DA7" w14:textId="77777777" w:rsidR="009232F2" w:rsidRPr="00421152" w:rsidRDefault="00A22579"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COP13 (2018) sponsorship to eligible delegates</w:t>
            </w:r>
          </w:p>
        </w:tc>
      </w:tr>
      <w:tr w:rsidR="00273B0B" w:rsidRPr="00421152" w14:paraId="20FD7E2B" w14:textId="77777777" w:rsidTr="00E27EBA">
        <w:tc>
          <w:tcPr>
            <w:tcW w:w="1532" w:type="dxa"/>
          </w:tcPr>
          <w:p w14:paraId="73005EAE" w14:textId="77777777" w:rsidR="009232F2" w:rsidRPr="00421152" w:rsidRDefault="003802F2"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New Zealand</w:t>
            </w:r>
          </w:p>
        </w:tc>
        <w:tc>
          <w:tcPr>
            <w:tcW w:w="892" w:type="dxa"/>
          </w:tcPr>
          <w:p w14:paraId="703D2554" w14:textId="77777777" w:rsidR="009232F2" w:rsidRPr="00421152" w:rsidRDefault="003802F2"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13</w:t>
            </w:r>
          </w:p>
        </w:tc>
        <w:tc>
          <w:tcPr>
            <w:tcW w:w="2396" w:type="dxa"/>
          </w:tcPr>
          <w:p w14:paraId="74CE0BE9" w14:textId="77777777" w:rsidR="009232F2" w:rsidRPr="00421152" w:rsidRDefault="009232F2" w:rsidP="00633DD5">
            <w:pPr>
              <w:ind w:left="0" w:firstLine="0"/>
              <w:rPr>
                <w:rFonts w:asciiTheme="minorHAnsi" w:hAnsiTheme="minorHAnsi" w:cs="Arial"/>
                <w:color w:val="000000"/>
                <w:sz w:val="20"/>
                <w:szCs w:val="20"/>
              </w:rPr>
            </w:pPr>
          </w:p>
        </w:tc>
        <w:tc>
          <w:tcPr>
            <w:tcW w:w="4175" w:type="dxa"/>
          </w:tcPr>
          <w:p w14:paraId="1FABE85A" w14:textId="77777777" w:rsidR="009232F2" w:rsidRPr="00421152" w:rsidRDefault="00DA5D46"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Pre-COP13 regional meetings (delegates support and meeting costs for preparatory meetings)</w:t>
            </w:r>
          </w:p>
        </w:tc>
      </w:tr>
      <w:tr w:rsidR="00DA5D46" w:rsidRPr="00421152" w14:paraId="06216E42" w14:textId="77777777" w:rsidTr="00E27EBA">
        <w:tc>
          <w:tcPr>
            <w:tcW w:w="1532" w:type="dxa"/>
          </w:tcPr>
          <w:p w14:paraId="37DDF750" w14:textId="77777777" w:rsidR="00DA5D46" w:rsidRPr="00421152" w:rsidRDefault="00DA5D46"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Germany</w:t>
            </w:r>
          </w:p>
        </w:tc>
        <w:tc>
          <w:tcPr>
            <w:tcW w:w="892" w:type="dxa"/>
          </w:tcPr>
          <w:p w14:paraId="59657AAC" w14:textId="77777777" w:rsidR="00DA5D46" w:rsidRPr="00421152" w:rsidRDefault="00DA5D46"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4</w:t>
            </w:r>
          </w:p>
        </w:tc>
        <w:tc>
          <w:tcPr>
            <w:tcW w:w="2396" w:type="dxa"/>
          </w:tcPr>
          <w:p w14:paraId="252004AF" w14:textId="77777777" w:rsidR="00DA5D46" w:rsidRPr="00421152" w:rsidRDefault="00DA5D46"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Net contribution after return of surplus</w:t>
            </w:r>
          </w:p>
        </w:tc>
        <w:tc>
          <w:tcPr>
            <w:tcW w:w="4175" w:type="dxa"/>
          </w:tcPr>
          <w:p w14:paraId="58606C23" w14:textId="77777777" w:rsidR="00DA5D46" w:rsidRPr="00421152" w:rsidRDefault="00DA5D46"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Pre-COP13 regional meetings (delegates support and meeting costs for preparatory meetings)</w:t>
            </w:r>
          </w:p>
        </w:tc>
      </w:tr>
      <w:tr w:rsidR="00DA5D46" w:rsidRPr="00421152" w14:paraId="0BD72961" w14:textId="77777777" w:rsidTr="00E27EBA">
        <w:tc>
          <w:tcPr>
            <w:tcW w:w="1532" w:type="dxa"/>
          </w:tcPr>
          <w:p w14:paraId="4B8F90E6" w14:textId="77777777" w:rsidR="00DA5D46" w:rsidRPr="00421152" w:rsidRDefault="00DA5D46"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Canada</w:t>
            </w:r>
          </w:p>
        </w:tc>
        <w:tc>
          <w:tcPr>
            <w:tcW w:w="892" w:type="dxa"/>
          </w:tcPr>
          <w:p w14:paraId="5DB6A6DD" w14:textId="77777777" w:rsidR="00DA5D46" w:rsidRPr="00421152" w:rsidRDefault="00DA5D46"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3</w:t>
            </w:r>
          </w:p>
        </w:tc>
        <w:tc>
          <w:tcPr>
            <w:tcW w:w="2396" w:type="dxa"/>
          </w:tcPr>
          <w:p w14:paraId="432C47EC" w14:textId="77777777" w:rsidR="00DA5D46" w:rsidRPr="00421152" w:rsidRDefault="00DA5D46" w:rsidP="00633DD5">
            <w:pPr>
              <w:ind w:left="0" w:firstLine="0"/>
              <w:rPr>
                <w:rFonts w:asciiTheme="minorHAnsi" w:hAnsiTheme="minorHAnsi" w:cs="Arial"/>
                <w:color w:val="000000"/>
                <w:sz w:val="20"/>
                <w:szCs w:val="20"/>
              </w:rPr>
            </w:pPr>
          </w:p>
        </w:tc>
        <w:tc>
          <w:tcPr>
            <w:tcW w:w="4175" w:type="dxa"/>
          </w:tcPr>
          <w:p w14:paraId="14D00832" w14:textId="77777777" w:rsidR="00DA5D46" w:rsidRPr="00421152" w:rsidRDefault="00DA5D46"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Pre-COP13 regional meetings (delegates support and meeting costs for preparatory meetings)</w:t>
            </w:r>
          </w:p>
        </w:tc>
      </w:tr>
      <w:tr w:rsidR="00DA5D46" w:rsidRPr="00421152" w14:paraId="3FAE0430" w14:textId="77777777" w:rsidTr="00E27EBA">
        <w:tc>
          <w:tcPr>
            <w:tcW w:w="1532" w:type="dxa"/>
          </w:tcPr>
          <w:p w14:paraId="585B1F17"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Danone</w:t>
            </w:r>
          </w:p>
        </w:tc>
        <w:tc>
          <w:tcPr>
            <w:tcW w:w="892" w:type="dxa"/>
          </w:tcPr>
          <w:p w14:paraId="3AC49FAE" w14:textId="77777777" w:rsidR="00DA5D46"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468</w:t>
            </w:r>
          </w:p>
        </w:tc>
        <w:tc>
          <w:tcPr>
            <w:tcW w:w="2396" w:type="dxa"/>
          </w:tcPr>
          <w:p w14:paraId="242EA663"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xml:space="preserve">Contribution for 2017 and 2018 </w:t>
            </w:r>
            <w:r w:rsidR="00586C35" w:rsidRPr="00421152">
              <w:rPr>
                <w:rFonts w:asciiTheme="minorHAnsi" w:hAnsiTheme="minorHAnsi" w:cs="Arial"/>
                <w:color w:val="000000"/>
                <w:sz w:val="20"/>
                <w:szCs w:val="20"/>
              </w:rPr>
              <w:t xml:space="preserve">Danone project </w:t>
            </w:r>
            <w:r w:rsidRPr="00421152">
              <w:rPr>
                <w:rFonts w:asciiTheme="minorHAnsi" w:hAnsiTheme="minorHAnsi" w:cs="Arial"/>
                <w:color w:val="000000"/>
                <w:sz w:val="20"/>
                <w:szCs w:val="20"/>
              </w:rPr>
              <w:t>activities</w:t>
            </w:r>
          </w:p>
        </w:tc>
        <w:tc>
          <w:tcPr>
            <w:tcW w:w="4175" w:type="dxa"/>
          </w:tcPr>
          <w:p w14:paraId="2CB1E514" w14:textId="77777777" w:rsidR="00DA5D46" w:rsidRPr="00421152" w:rsidRDefault="00DA5D46" w:rsidP="00633DD5">
            <w:pPr>
              <w:ind w:left="0" w:firstLine="0"/>
              <w:rPr>
                <w:rFonts w:asciiTheme="minorHAnsi" w:hAnsiTheme="minorHAnsi" w:cs="Arial"/>
                <w:color w:val="000000"/>
                <w:sz w:val="20"/>
                <w:szCs w:val="20"/>
              </w:rPr>
            </w:pPr>
          </w:p>
        </w:tc>
      </w:tr>
      <w:tr w:rsidR="00DA5D46" w:rsidRPr="00421152" w14:paraId="02B27E65" w14:textId="77777777" w:rsidTr="00E27EBA">
        <w:tc>
          <w:tcPr>
            <w:tcW w:w="1532" w:type="dxa"/>
          </w:tcPr>
          <w:p w14:paraId="11E369B3"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Japan</w:t>
            </w:r>
          </w:p>
        </w:tc>
        <w:tc>
          <w:tcPr>
            <w:tcW w:w="892" w:type="dxa"/>
          </w:tcPr>
          <w:p w14:paraId="5C5ABDB6" w14:textId="77777777" w:rsidR="00DA5D46"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88</w:t>
            </w:r>
          </w:p>
        </w:tc>
        <w:tc>
          <w:tcPr>
            <w:tcW w:w="2396" w:type="dxa"/>
          </w:tcPr>
          <w:p w14:paraId="202CC61C"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Nagao Wetland Fund</w:t>
            </w:r>
          </w:p>
        </w:tc>
        <w:tc>
          <w:tcPr>
            <w:tcW w:w="4175" w:type="dxa"/>
          </w:tcPr>
          <w:p w14:paraId="70B8F596" w14:textId="77777777" w:rsidR="00DA5D46" w:rsidRPr="00421152" w:rsidRDefault="00DA5D46" w:rsidP="00633DD5">
            <w:pPr>
              <w:ind w:left="0" w:firstLine="0"/>
              <w:rPr>
                <w:rFonts w:asciiTheme="minorHAnsi" w:hAnsiTheme="minorHAnsi" w:cs="Arial"/>
                <w:color w:val="000000"/>
                <w:sz w:val="20"/>
                <w:szCs w:val="20"/>
              </w:rPr>
            </w:pPr>
          </w:p>
        </w:tc>
      </w:tr>
      <w:tr w:rsidR="00DA5D46" w:rsidRPr="00421152" w14:paraId="1B113359" w14:textId="77777777" w:rsidTr="00E27EBA">
        <w:tc>
          <w:tcPr>
            <w:tcW w:w="1532" w:type="dxa"/>
          </w:tcPr>
          <w:p w14:paraId="14A7A8C2"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Japan</w:t>
            </w:r>
          </w:p>
        </w:tc>
        <w:tc>
          <w:tcPr>
            <w:tcW w:w="892" w:type="dxa"/>
          </w:tcPr>
          <w:p w14:paraId="7F01D991" w14:textId="77777777" w:rsidR="00DA5D46"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28</w:t>
            </w:r>
          </w:p>
        </w:tc>
        <w:tc>
          <w:tcPr>
            <w:tcW w:w="2396" w:type="dxa"/>
          </w:tcPr>
          <w:p w14:paraId="05047E46" w14:textId="77777777" w:rsidR="00DA5D46" w:rsidRPr="00421152" w:rsidRDefault="00DA5D46" w:rsidP="00633DD5">
            <w:pPr>
              <w:ind w:left="0" w:firstLine="0"/>
              <w:rPr>
                <w:rFonts w:asciiTheme="minorHAnsi" w:hAnsiTheme="minorHAnsi" w:cs="Arial"/>
                <w:color w:val="000000"/>
                <w:sz w:val="20"/>
                <w:szCs w:val="20"/>
              </w:rPr>
            </w:pPr>
          </w:p>
        </w:tc>
        <w:tc>
          <w:tcPr>
            <w:tcW w:w="4175" w:type="dxa"/>
          </w:tcPr>
          <w:p w14:paraId="186CFACE" w14:textId="77777777" w:rsidR="000C10F5" w:rsidRPr="00421152" w:rsidRDefault="000C10F5" w:rsidP="000C10F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Ramsar Advisory Missions for Parties requiring</w:t>
            </w:r>
          </w:p>
          <w:p w14:paraId="27DE6D3B" w14:textId="77777777" w:rsidR="00DA5D46" w:rsidRPr="00421152" w:rsidRDefault="000C10F5" w:rsidP="000C10F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assistance</w:t>
            </w:r>
          </w:p>
        </w:tc>
      </w:tr>
      <w:tr w:rsidR="00DA5D46" w:rsidRPr="00421152" w14:paraId="4487907B" w14:textId="77777777" w:rsidTr="00E27EBA">
        <w:tc>
          <w:tcPr>
            <w:tcW w:w="1532" w:type="dxa"/>
          </w:tcPr>
          <w:p w14:paraId="7DEB98AC"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Finland</w:t>
            </w:r>
          </w:p>
        </w:tc>
        <w:tc>
          <w:tcPr>
            <w:tcW w:w="892" w:type="dxa"/>
          </w:tcPr>
          <w:p w14:paraId="524CF94B" w14:textId="77777777" w:rsidR="00DA5D46"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8</w:t>
            </w:r>
          </w:p>
        </w:tc>
        <w:tc>
          <w:tcPr>
            <w:tcW w:w="2396" w:type="dxa"/>
          </w:tcPr>
          <w:p w14:paraId="6E0480FE"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STRP workplan</w:t>
            </w:r>
          </w:p>
        </w:tc>
        <w:tc>
          <w:tcPr>
            <w:tcW w:w="4175" w:type="dxa"/>
          </w:tcPr>
          <w:p w14:paraId="3DD58CCE" w14:textId="77777777" w:rsidR="00DA5D46" w:rsidRPr="00421152" w:rsidRDefault="00DA5D46" w:rsidP="00633DD5">
            <w:pPr>
              <w:ind w:left="0" w:firstLine="0"/>
              <w:rPr>
                <w:rFonts w:asciiTheme="minorHAnsi" w:hAnsiTheme="minorHAnsi" w:cs="Arial"/>
                <w:color w:val="000000"/>
                <w:sz w:val="20"/>
                <w:szCs w:val="20"/>
              </w:rPr>
            </w:pPr>
          </w:p>
        </w:tc>
      </w:tr>
      <w:tr w:rsidR="00DA5D46" w:rsidRPr="00421152" w14:paraId="04470268" w14:textId="77777777" w:rsidTr="00E27EBA">
        <w:tc>
          <w:tcPr>
            <w:tcW w:w="1532" w:type="dxa"/>
          </w:tcPr>
          <w:p w14:paraId="1FBE89C4"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Norway</w:t>
            </w:r>
          </w:p>
        </w:tc>
        <w:tc>
          <w:tcPr>
            <w:tcW w:w="892" w:type="dxa"/>
          </w:tcPr>
          <w:p w14:paraId="6BB7D7D4" w14:textId="77777777" w:rsidR="00DA5D46"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7</w:t>
            </w:r>
          </w:p>
        </w:tc>
        <w:tc>
          <w:tcPr>
            <w:tcW w:w="2396" w:type="dxa"/>
          </w:tcPr>
          <w:p w14:paraId="06DFBFA1"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Workshop on Ramsar, wetlands and climate change</w:t>
            </w:r>
          </w:p>
        </w:tc>
        <w:tc>
          <w:tcPr>
            <w:tcW w:w="4175" w:type="dxa"/>
          </w:tcPr>
          <w:p w14:paraId="50C72E46" w14:textId="77777777" w:rsidR="00DA5D46" w:rsidRPr="00421152" w:rsidRDefault="00DA5D46" w:rsidP="00633DD5">
            <w:pPr>
              <w:ind w:left="0" w:firstLine="0"/>
              <w:rPr>
                <w:rFonts w:asciiTheme="minorHAnsi" w:hAnsiTheme="minorHAnsi" w:cs="Arial"/>
                <w:color w:val="000000"/>
                <w:sz w:val="20"/>
                <w:szCs w:val="20"/>
              </w:rPr>
            </w:pPr>
          </w:p>
        </w:tc>
      </w:tr>
      <w:tr w:rsidR="00DA5D46" w:rsidRPr="00421152" w14:paraId="08DEE453" w14:textId="77777777" w:rsidTr="00E27EBA">
        <w:tc>
          <w:tcPr>
            <w:tcW w:w="1532" w:type="dxa"/>
          </w:tcPr>
          <w:p w14:paraId="3334147E"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Finland</w:t>
            </w:r>
          </w:p>
        </w:tc>
        <w:tc>
          <w:tcPr>
            <w:tcW w:w="892" w:type="dxa"/>
          </w:tcPr>
          <w:p w14:paraId="7002EEE7" w14:textId="77777777" w:rsidR="00DA5D46"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4</w:t>
            </w:r>
          </w:p>
        </w:tc>
        <w:tc>
          <w:tcPr>
            <w:tcW w:w="2396" w:type="dxa"/>
          </w:tcPr>
          <w:p w14:paraId="3B93F88C"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CEPA workplan</w:t>
            </w:r>
          </w:p>
        </w:tc>
        <w:tc>
          <w:tcPr>
            <w:tcW w:w="4175" w:type="dxa"/>
          </w:tcPr>
          <w:p w14:paraId="36B2EA9A" w14:textId="77777777" w:rsidR="00DA5D46" w:rsidRPr="00421152" w:rsidRDefault="000C10F5" w:rsidP="000C10F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Ramsar CEPA P</w:t>
            </w:r>
            <w:r w:rsidR="007231DF" w:rsidRPr="00421152">
              <w:rPr>
                <w:rFonts w:asciiTheme="minorHAnsi" w:hAnsiTheme="minorHAnsi" w:cs="Arial"/>
                <w:color w:val="000000"/>
                <w:sz w:val="20"/>
                <w:szCs w:val="20"/>
              </w:rPr>
              <w:t xml:space="preserve">rogramme (2016-2021), exclusion </w:t>
            </w:r>
            <w:r w:rsidRPr="00421152">
              <w:rPr>
                <w:rFonts w:asciiTheme="minorHAnsi" w:hAnsiTheme="minorHAnsi" w:cs="Arial"/>
                <w:color w:val="000000"/>
                <w:sz w:val="20"/>
                <w:szCs w:val="20"/>
              </w:rPr>
              <w:t>of World Wetlands Day</w:t>
            </w:r>
          </w:p>
        </w:tc>
      </w:tr>
      <w:tr w:rsidR="00DA5D46" w:rsidRPr="00421152" w14:paraId="0A579168" w14:textId="77777777" w:rsidTr="00E27EBA">
        <w:tc>
          <w:tcPr>
            <w:tcW w:w="1532" w:type="dxa"/>
          </w:tcPr>
          <w:p w14:paraId="69E9F77A"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Norad</w:t>
            </w:r>
          </w:p>
        </w:tc>
        <w:tc>
          <w:tcPr>
            <w:tcW w:w="892" w:type="dxa"/>
          </w:tcPr>
          <w:p w14:paraId="4FC7ED6B" w14:textId="77777777" w:rsidR="00DA5D46"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-19</w:t>
            </w:r>
          </w:p>
        </w:tc>
        <w:tc>
          <w:tcPr>
            <w:tcW w:w="2396" w:type="dxa"/>
          </w:tcPr>
          <w:p w14:paraId="43EC0381" w14:textId="77777777" w:rsidR="00DA5D46"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xml:space="preserve">Return of </w:t>
            </w:r>
            <w:r w:rsidR="0084654B" w:rsidRPr="00421152">
              <w:rPr>
                <w:rFonts w:asciiTheme="minorHAnsi" w:hAnsiTheme="minorHAnsi" w:cs="Arial"/>
                <w:color w:val="000000"/>
                <w:sz w:val="20"/>
                <w:szCs w:val="20"/>
              </w:rPr>
              <w:t xml:space="preserve">project </w:t>
            </w:r>
            <w:r w:rsidRPr="00421152">
              <w:rPr>
                <w:rFonts w:asciiTheme="minorHAnsi" w:hAnsiTheme="minorHAnsi" w:cs="Arial"/>
                <w:color w:val="000000"/>
                <w:sz w:val="20"/>
                <w:szCs w:val="20"/>
              </w:rPr>
              <w:t>surplus</w:t>
            </w:r>
          </w:p>
        </w:tc>
        <w:tc>
          <w:tcPr>
            <w:tcW w:w="4175" w:type="dxa"/>
          </w:tcPr>
          <w:p w14:paraId="504F3957" w14:textId="77777777" w:rsidR="00DA5D46" w:rsidRPr="00421152" w:rsidRDefault="00DA5D46" w:rsidP="00633DD5">
            <w:pPr>
              <w:ind w:left="0" w:firstLine="0"/>
              <w:rPr>
                <w:rFonts w:asciiTheme="minorHAnsi" w:hAnsiTheme="minorHAnsi" w:cs="Arial"/>
                <w:color w:val="000000"/>
                <w:sz w:val="20"/>
                <w:szCs w:val="20"/>
              </w:rPr>
            </w:pPr>
          </w:p>
        </w:tc>
      </w:tr>
      <w:tr w:rsidR="000C10F5" w:rsidRPr="00421152" w14:paraId="3E573D57" w14:textId="77777777" w:rsidTr="00E27EBA">
        <w:tc>
          <w:tcPr>
            <w:tcW w:w="1532" w:type="dxa"/>
          </w:tcPr>
          <w:p w14:paraId="5C71EB3E" w14:textId="77777777" w:rsidR="000C10F5" w:rsidRPr="00421152" w:rsidRDefault="000C10F5" w:rsidP="00633DD5">
            <w:pPr>
              <w:ind w:left="0" w:firstLine="0"/>
              <w:rPr>
                <w:rFonts w:asciiTheme="minorHAnsi" w:hAnsiTheme="minorHAnsi" w:cs="Arial"/>
                <w:color w:val="000000"/>
                <w:sz w:val="20"/>
                <w:szCs w:val="20"/>
              </w:rPr>
            </w:pPr>
          </w:p>
        </w:tc>
        <w:tc>
          <w:tcPr>
            <w:tcW w:w="892" w:type="dxa"/>
          </w:tcPr>
          <w:p w14:paraId="195A86A9" w14:textId="77777777" w:rsidR="000C10F5" w:rsidRPr="00421152" w:rsidRDefault="000C10F5" w:rsidP="00633DD5">
            <w:pPr>
              <w:ind w:left="0" w:firstLine="0"/>
              <w:jc w:val="right"/>
              <w:rPr>
                <w:rFonts w:asciiTheme="minorHAnsi" w:hAnsiTheme="minorHAnsi" w:cs="Arial"/>
                <w:color w:val="000000"/>
                <w:sz w:val="20"/>
                <w:szCs w:val="20"/>
              </w:rPr>
            </w:pPr>
            <w:r w:rsidRPr="00421152">
              <w:rPr>
                <w:rFonts w:asciiTheme="minorHAnsi" w:hAnsiTheme="minorHAnsi" w:cs="Arial"/>
                <w:color w:val="000000"/>
                <w:sz w:val="20"/>
                <w:szCs w:val="20"/>
              </w:rPr>
              <w:t>2</w:t>
            </w:r>
          </w:p>
        </w:tc>
        <w:tc>
          <w:tcPr>
            <w:tcW w:w="2396" w:type="dxa"/>
          </w:tcPr>
          <w:p w14:paraId="40ECD2C4" w14:textId="77777777" w:rsidR="000C10F5" w:rsidRPr="00421152" w:rsidRDefault="000C10F5" w:rsidP="00633DD5">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Rounding</w:t>
            </w:r>
          </w:p>
        </w:tc>
        <w:tc>
          <w:tcPr>
            <w:tcW w:w="4175" w:type="dxa"/>
          </w:tcPr>
          <w:p w14:paraId="585E8D15" w14:textId="77777777" w:rsidR="000C10F5" w:rsidRPr="00421152" w:rsidRDefault="000C10F5" w:rsidP="00633DD5">
            <w:pPr>
              <w:ind w:left="0" w:firstLine="0"/>
              <w:rPr>
                <w:rFonts w:asciiTheme="minorHAnsi" w:hAnsiTheme="minorHAnsi" w:cs="Arial"/>
                <w:color w:val="000000"/>
                <w:sz w:val="20"/>
                <w:szCs w:val="20"/>
              </w:rPr>
            </w:pPr>
          </w:p>
        </w:tc>
      </w:tr>
      <w:tr w:rsidR="00B6428C" w:rsidRPr="00421152" w14:paraId="5D1A5904" w14:textId="77777777" w:rsidTr="00E27EBA">
        <w:tc>
          <w:tcPr>
            <w:tcW w:w="1532" w:type="dxa"/>
            <w:shd w:val="clear" w:color="auto" w:fill="DBE5F1" w:themeFill="accent1" w:themeFillTint="33"/>
          </w:tcPr>
          <w:p w14:paraId="33D8FCDC" w14:textId="77777777" w:rsidR="00B6428C" w:rsidRPr="00421152" w:rsidRDefault="00B6428C" w:rsidP="00633DD5">
            <w:pPr>
              <w:ind w:left="0" w:firstLine="0"/>
              <w:rPr>
                <w:rFonts w:asciiTheme="minorHAnsi" w:hAnsiTheme="minorHAnsi" w:cs="Arial"/>
                <w:b/>
                <w:bCs/>
                <w:color w:val="000000"/>
                <w:sz w:val="20"/>
                <w:szCs w:val="20"/>
              </w:rPr>
            </w:pPr>
            <w:r w:rsidRPr="00421152">
              <w:rPr>
                <w:rFonts w:asciiTheme="minorHAnsi" w:hAnsiTheme="minorHAnsi" w:cs="Arial"/>
                <w:b/>
                <w:bCs/>
                <w:color w:val="000000"/>
                <w:sz w:val="20"/>
                <w:szCs w:val="20"/>
              </w:rPr>
              <w:t>Total</w:t>
            </w:r>
          </w:p>
        </w:tc>
        <w:tc>
          <w:tcPr>
            <w:tcW w:w="892" w:type="dxa"/>
            <w:shd w:val="clear" w:color="auto" w:fill="DBE5F1" w:themeFill="accent1" w:themeFillTint="33"/>
          </w:tcPr>
          <w:p w14:paraId="26695DFD" w14:textId="77777777" w:rsidR="00B6428C" w:rsidRPr="00421152" w:rsidRDefault="0070238D" w:rsidP="00633DD5">
            <w:pPr>
              <w:ind w:left="0" w:firstLine="0"/>
              <w:jc w:val="right"/>
              <w:rPr>
                <w:rFonts w:asciiTheme="minorHAnsi" w:hAnsiTheme="minorHAnsi" w:cs="Arial"/>
                <w:b/>
                <w:bCs/>
                <w:color w:val="000000"/>
                <w:sz w:val="20"/>
                <w:szCs w:val="20"/>
              </w:rPr>
            </w:pPr>
            <w:r w:rsidRPr="00421152">
              <w:rPr>
                <w:rFonts w:asciiTheme="minorHAnsi" w:hAnsiTheme="minorHAnsi" w:cs="Arial"/>
                <w:b/>
                <w:bCs/>
                <w:color w:val="000000"/>
                <w:sz w:val="20"/>
                <w:szCs w:val="20"/>
              </w:rPr>
              <w:t>1,657</w:t>
            </w:r>
          </w:p>
        </w:tc>
        <w:tc>
          <w:tcPr>
            <w:tcW w:w="2396" w:type="dxa"/>
            <w:shd w:val="clear" w:color="auto" w:fill="DBE5F1" w:themeFill="accent1" w:themeFillTint="33"/>
          </w:tcPr>
          <w:p w14:paraId="33477320" w14:textId="77777777" w:rsidR="00B6428C" w:rsidRPr="00421152" w:rsidRDefault="00B6428C" w:rsidP="00633DD5">
            <w:pPr>
              <w:ind w:left="0" w:firstLine="0"/>
              <w:rPr>
                <w:rFonts w:asciiTheme="minorHAnsi" w:hAnsiTheme="minorHAnsi" w:cs="Arial"/>
                <w:b/>
                <w:bCs/>
                <w:color w:val="000000"/>
                <w:sz w:val="20"/>
                <w:szCs w:val="20"/>
              </w:rPr>
            </w:pPr>
          </w:p>
        </w:tc>
        <w:tc>
          <w:tcPr>
            <w:tcW w:w="4175" w:type="dxa"/>
            <w:shd w:val="clear" w:color="auto" w:fill="DBE5F1" w:themeFill="accent1" w:themeFillTint="33"/>
          </w:tcPr>
          <w:p w14:paraId="57185FA6" w14:textId="77777777" w:rsidR="00B6428C" w:rsidRPr="00421152" w:rsidRDefault="00B6428C" w:rsidP="00633DD5">
            <w:pPr>
              <w:ind w:left="0" w:firstLine="0"/>
              <w:rPr>
                <w:rFonts w:asciiTheme="minorHAnsi" w:hAnsiTheme="minorHAnsi" w:cs="Arial"/>
                <w:b/>
                <w:bCs/>
                <w:color w:val="000000"/>
                <w:sz w:val="20"/>
                <w:szCs w:val="20"/>
              </w:rPr>
            </w:pPr>
          </w:p>
        </w:tc>
      </w:tr>
    </w:tbl>
    <w:p w14:paraId="647FBF40" w14:textId="2ED67084" w:rsidR="0068385F" w:rsidRPr="00421152" w:rsidRDefault="0068385F" w:rsidP="0068385F">
      <w:pPr>
        <w:ind w:left="0" w:firstLine="0"/>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 xml:space="preserve">* </w:t>
      </w:r>
      <w:r w:rsidR="0084654B" w:rsidRPr="00421152">
        <w:rPr>
          <w:rFonts w:asciiTheme="minorHAnsi" w:eastAsia="Times New Roman" w:hAnsiTheme="minorHAnsi" w:cs="Arial"/>
          <w:color w:val="000000"/>
          <w:sz w:val="20"/>
          <w:szCs w:val="20"/>
          <w:lang w:eastAsia="en-GB"/>
        </w:rPr>
        <w:t xml:space="preserve">Switzerland also </w:t>
      </w:r>
      <w:r w:rsidR="003A0924" w:rsidRPr="00421152">
        <w:rPr>
          <w:rFonts w:asciiTheme="minorHAnsi" w:eastAsia="Times New Roman" w:hAnsiTheme="minorHAnsi" w:cs="Arial"/>
          <w:color w:val="000000"/>
          <w:sz w:val="20"/>
          <w:szCs w:val="20"/>
          <w:lang w:eastAsia="en-GB"/>
        </w:rPr>
        <w:t>authori</w:t>
      </w:r>
      <w:r w:rsidR="003A0924">
        <w:rPr>
          <w:rFonts w:asciiTheme="minorHAnsi" w:eastAsia="Times New Roman" w:hAnsiTheme="minorHAnsi" w:cs="Arial"/>
          <w:color w:val="000000"/>
          <w:sz w:val="20"/>
          <w:szCs w:val="20"/>
          <w:lang w:eastAsia="en-GB"/>
        </w:rPr>
        <w:t>z</w:t>
      </w:r>
      <w:r w:rsidR="003A0924" w:rsidRPr="00421152">
        <w:rPr>
          <w:rFonts w:asciiTheme="minorHAnsi" w:eastAsia="Times New Roman" w:hAnsiTheme="minorHAnsi" w:cs="Arial"/>
          <w:color w:val="000000"/>
          <w:sz w:val="20"/>
          <w:szCs w:val="20"/>
          <w:lang w:eastAsia="en-GB"/>
        </w:rPr>
        <w:t xml:space="preserve">ed </w:t>
      </w:r>
      <w:r w:rsidR="0084654B" w:rsidRPr="00421152">
        <w:rPr>
          <w:rFonts w:asciiTheme="minorHAnsi" w:eastAsia="Times New Roman" w:hAnsiTheme="minorHAnsi" w:cs="Arial"/>
          <w:color w:val="000000"/>
          <w:sz w:val="20"/>
          <w:szCs w:val="20"/>
          <w:lang w:eastAsia="en-GB"/>
        </w:rPr>
        <w:t>the use of CHF 100K of the pre-2016 S</w:t>
      </w:r>
      <w:r w:rsidR="003A0924">
        <w:rPr>
          <w:rFonts w:asciiTheme="minorHAnsi" w:eastAsia="Times New Roman" w:hAnsiTheme="minorHAnsi" w:cs="Arial"/>
          <w:color w:val="000000"/>
          <w:sz w:val="20"/>
          <w:szCs w:val="20"/>
          <w:lang w:eastAsia="en-GB"/>
        </w:rPr>
        <w:t xml:space="preserve">wiss Grants for </w:t>
      </w:r>
      <w:r w:rsidR="0084654B" w:rsidRPr="00421152">
        <w:rPr>
          <w:rFonts w:asciiTheme="minorHAnsi" w:eastAsia="Times New Roman" w:hAnsiTheme="minorHAnsi" w:cs="Arial"/>
          <w:color w:val="000000"/>
          <w:sz w:val="20"/>
          <w:szCs w:val="20"/>
          <w:lang w:eastAsia="en-GB"/>
        </w:rPr>
        <w:t>A</w:t>
      </w:r>
      <w:r w:rsidR="003A0924">
        <w:rPr>
          <w:rFonts w:asciiTheme="minorHAnsi" w:eastAsia="Times New Roman" w:hAnsiTheme="minorHAnsi" w:cs="Arial"/>
          <w:color w:val="000000"/>
          <w:sz w:val="20"/>
          <w:szCs w:val="20"/>
          <w:lang w:eastAsia="en-GB"/>
        </w:rPr>
        <w:t>frica</w:t>
      </w:r>
      <w:r w:rsidR="0084654B" w:rsidRPr="00421152">
        <w:rPr>
          <w:rFonts w:asciiTheme="minorHAnsi" w:eastAsia="Times New Roman" w:hAnsiTheme="minorHAnsi" w:cs="Arial"/>
          <w:color w:val="000000"/>
          <w:sz w:val="20"/>
          <w:szCs w:val="20"/>
          <w:lang w:eastAsia="en-GB"/>
        </w:rPr>
        <w:t xml:space="preserve"> surplus</w:t>
      </w:r>
      <w:r w:rsidR="00586C35" w:rsidRPr="00421152">
        <w:rPr>
          <w:rFonts w:asciiTheme="minorHAnsi" w:eastAsia="Times New Roman" w:hAnsiTheme="minorHAnsi" w:cs="Arial"/>
          <w:color w:val="000000"/>
          <w:sz w:val="20"/>
          <w:szCs w:val="20"/>
          <w:lang w:eastAsia="en-GB"/>
        </w:rPr>
        <w:t xml:space="preserve"> for </w:t>
      </w:r>
      <w:r w:rsidR="003A0924">
        <w:rPr>
          <w:rFonts w:asciiTheme="minorHAnsi" w:eastAsia="Times New Roman" w:hAnsiTheme="minorHAnsi" w:cs="Arial"/>
          <w:color w:val="000000"/>
          <w:sz w:val="20"/>
          <w:szCs w:val="20"/>
          <w:lang w:eastAsia="en-GB"/>
        </w:rPr>
        <w:t>p</w:t>
      </w:r>
      <w:r w:rsidR="00586C35" w:rsidRPr="00421152">
        <w:rPr>
          <w:rFonts w:asciiTheme="minorHAnsi" w:eastAsia="Times New Roman" w:hAnsiTheme="minorHAnsi" w:cs="Arial"/>
          <w:color w:val="000000"/>
          <w:sz w:val="20"/>
          <w:szCs w:val="20"/>
          <w:lang w:eastAsia="en-GB"/>
        </w:rPr>
        <w:t>re-COP13 regional meetings (delegates support and meeting costs for preparatory meetings)</w:t>
      </w:r>
      <w:r w:rsidRPr="00421152">
        <w:rPr>
          <w:rFonts w:asciiTheme="minorHAnsi" w:eastAsia="Times New Roman" w:hAnsiTheme="minorHAnsi" w:cs="Arial"/>
          <w:color w:val="000000"/>
          <w:sz w:val="20"/>
          <w:szCs w:val="20"/>
          <w:lang w:eastAsia="en-GB"/>
        </w:rPr>
        <w:t>.</w:t>
      </w:r>
    </w:p>
    <w:p w14:paraId="0B852D80" w14:textId="1313566A" w:rsidR="00E27EBA" w:rsidRDefault="00FC5AAA" w:rsidP="00E27EBA">
      <w:pPr>
        <w:ind w:left="0" w:firstLine="0"/>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Note:</w:t>
      </w:r>
      <w:r w:rsidRPr="00421152">
        <w:rPr>
          <w:rFonts w:asciiTheme="minorHAnsi" w:eastAsia="Times New Roman" w:hAnsiTheme="minorHAnsi" w:cs="Arial"/>
          <w:color w:val="000000"/>
          <w:sz w:val="20"/>
          <w:szCs w:val="20"/>
          <w:lang w:eastAsia="en-GB"/>
        </w:rPr>
        <w:t xml:space="preserve"> </w:t>
      </w:r>
      <w:r w:rsidR="008A23C2" w:rsidRPr="00421152">
        <w:rPr>
          <w:rFonts w:asciiTheme="minorHAnsi" w:eastAsia="Times New Roman" w:hAnsiTheme="minorHAnsi" w:cs="Arial"/>
          <w:color w:val="000000"/>
          <w:sz w:val="20"/>
          <w:szCs w:val="20"/>
          <w:lang w:eastAsia="en-GB"/>
        </w:rPr>
        <w:t xml:space="preserve">In addition to the above </w:t>
      </w:r>
      <w:r w:rsidRPr="00421152">
        <w:rPr>
          <w:rFonts w:asciiTheme="minorHAnsi" w:eastAsia="Times New Roman" w:hAnsiTheme="minorHAnsi" w:cs="Arial"/>
          <w:color w:val="000000"/>
          <w:sz w:val="20"/>
          <w:szCs w:val="20"/>
          <w:lang w:eastAsia="en-GB"/>
        </w:rPr>
        <w:t>voluntary contributions received in 2018</w:t>
      </w:r>
      <w:r>
        <w:rPr>
          <w:rFonts w:asciiTheme="minorHAnsi" w:eastAsia="Times New Roman" w:hAnsiTheme="minorHAnsi" w:cs="Arial"/>
          <w:color w:val="000000"/>
          <w:sz w:val="20"/>
          <w:szCs w:val="20"/>
          <w:lang w:eastAsia="en-GB"/>
        </w:rPr>
        <w:t xml:space="preserve"> for p</w:t>
      </w:r>
      <w:r w:rsidRPr="00421152">
        <w:rPr>
          <w:rFonts w:asciiTheme="minorHAnsi" w:eastAsia="Times New Roman" w:hAnsiTheme="minorHAnsi" w:cs="Arial"/>
          <w:color w:val="000000"/>
          <w:sz w:val="20"/>
          <w:szCs w:val="20"/>
          <w:lang w:eastAsia="en-GB"/>
        </w:rPr>
        <w:t>re</w:t>
      </w:r>
      <w:r w:rsidR="00502524" w:rsidRPr="00421152">
        <w:rPr>
          <w:rFonts w:asciiTheme="minorHAnsi" w:eastAsia="Times New Roman" w:hAnsiTheme="minorHAnsi" w:cs="Arial"/>
          <w:color w:val="000000"/>
          <w:sz w:val="20"/>
          <w:szCs w:val="20"/>
          <w:lang w:eastAsia="en-GB"/>
        </w:rPr>
        <w:t>-COP13 regional meetings (delegates support and meeting costs for preparatory meetings)</w:t>
      </w:r>
      <w:r w:rsidR="008A23C2" w:rsidRPr="00421152">
        <w:rPr>
          <w:rFonts w:asciiTheme="minorHAnsi" w:eastAsia="Times New Roman" w:hAnsiTheme="minorHAnsi" w:cs="Arial"/>
          <w:color w:val="000000"/>
          <w:sz w:val="20"/>
          <w:szCs w:val="20"/>
          <w:lang w:eastAsia="en-GB"/>
        </w:rPr>
        <w:t xml:space="preserve">, </w:t>
      </w:r>
      <w:r w:rsidR="007239DA" w:rsidRPr="00421152">
        <w:rPr>
          <w:rFonts w:asciiTheme="minorHAnsi" w:eastAsia="Times New Roman" w:hAnsiTheme="minorHAnsi" w:cs="Arial"/>
          <w:color w:val="000000"/>
          <w:sz w:val="20"/>
          <w:szCs w:val="20"/>
          <w:lang w:eastAsia="en-GB"/>
        </w:rPr>
        <w:t xml:space="preserve">voluntary </w:t>
      </w:r>
      <w:r w:rsidR="00502524" w:rsidRPr="00421152">
        <w:rPr>
          <w:rFonts w:asciiTheme="minorHAnsi" w:eastAsia="Times New Roman" w:hAnsiTheme="minorHAnsi" w:cs="Arial"/>
          <w:color w:val="000000"/>
          <w:sz w:val="20"/>
          <w:szCs w:val="20"/>
          <w:lang w:eastAsia="en-GB"/>
        </w:rPr>
        <w:t xml:space="preserve">contributions of CHF 45K </w:t>
      </w:r>
      <w:r>
        <w:rPr>
          <w:rFonts w:asciiTheme="minorHAnsi" w:eastAsia="Times New Roman" w:hAnsiTheme="minorHAnsi" w:cs="Arial"/>
          <w:color w:val="000000"/>
          <w:sz w:val="20"/>
          <w:szCs w:val="20"/>
          <w:lang w:eastAsia="en-GB"/>
        </w:rPr>
        <w:t xml:space="preserve">were </w:t>
      </w:r>
      <w:r w:rsidR="00502524" w:rsidRPr="00421152">
        <w:rPr>
          <w:rFonts w:asciiTheme="minorHAnsi" w:eastAsia="Times New Roman" w:hAnsiTheme="minorHAnsi" w:cs="Arial"/>
          <w:color w:val="000000"/>
          <w:sz w:val="20"/>
          <w:szCs w:val="20"/>
          <w:lang w:eastAsia="en-GB"/>
        </w:rPr>
        <w:lastRenderedPageBreak/>
        <w:t>received in 2017 (CHF 7K from Australia, CHF 31K from Canada and CHF 7K from Norway)</w:t>
      </w:r>
      <w:r w:rsidR="00814C9F" w:rsidRPr="00421152">
        <w:rPr>
          <w:rFonts w:asciiTheme="minorHAnsi" w:eastAsia="Times New Roman" w:hAnsiTheme="minorHAnsi" w:cs="Arial"/>
          <w:color w:val="000000"/>
          <w:sz w:val="20"/>
          <w:szCs w:val="20"/>
          <w:lang w:eastAsia="en-GB"/>
        </w:rPr>
        <w:t xml:space="preserve"> (see </w:t>
      </w:r>
      <w:r>
        <w:rPr>
          <w:rFonts w:asciiTheme="minorHAnsi" w:eastAsia="Times New Roman" w:hAnsiTheme="minorHAnsi" w:cs="Arial"/>
          <w:color w:val="000000"/>
          <w:sz w:val="20"/>
          <w:szCs w:val="20"/>
          <w:lang w:eastAsia="en-GB"/>
        </w:rPr>
        <w:t xml:space="preserve">document </w:t>
      </w:r>
      <w:r w:rsidRPr="00421152">
        <w:rPr>
          <w:rFonts w:asciiTheme="minorHAnsi" w:eastAsia="Times New Roman" w:hAnsiTheme="minorHAnsi" w:cs="Arial"/>
          <w:color w:val="000000"/>
          <w:sz w:val="20"/>
          <w:szCs w:val="20"/>
          <w:lang w:eastAsia="en-GB"/>
        </w:rPr>
        <w:t>D</w:t>
      </w:r>
      <w:r>
        <w:rPr>
          <w:rFonts w:asciiTheme="minorHAnsi" w:eastAsia="Times New Roman" w:hAnsiTheme="minorHAnsi" w:cs="Arial"/>
          <w:color w:val="000000"/>
          <w:sz w:val="20"/>
          <w:szCs w:val="20"/>
          <w:lang w:eastAsia="en-GB"/>
        </w:rPr>
        <w:t>oc</w:t>
      </w:r>
      <w:r w:rsidR="00814C9F" w:rsidRPr="00421152">
        <w:rPr>
          <w:rFonts w:asciiTheme="minorHAnsi" w:eastAsia="Times New Roman" w:hAnsiTheme="minorHAnsi" w:cs="Arial"/>
          <w:color w:val="000000"/>
          <w:sz w:val="20"/>
          <w:szCs w:val="20"/>
          <w:lang w:eastAsia="en-GB"/>
        </w:rPr>
        <w:t>. SC54-7.1 Rev.1, Table 2)</w:t>
      </w:r>
      <w:r>
        <w:rPr>
          <w:rFonts w:asciiTheme="minorHAnsi" w:eastAsia="Times New Roman" w:hAnsiTheme="minorHAnsi" w:cs="Arial"/>
          <w:color w:val="000000"/>
          <w:sz w:val="20"/>
          <w:szCs w:val="20"/>
          <w:lang w:eastAsia="en-GB"/>
        </w:rPr>
        <w:t>.</w:t>
      </w:r>
      <w:r w:rsidR="00E27EBA">
        <w:rPr>
          <w:rFonts w:asciiTheme="minorHAnsi" w:eastAsia="Times New Roman" w:hAnsiTheme="minorHAnsi" w:cs="Arial"/>
          <w:color w:val="000000"/>
          <w:sz w:val="20"/>
          <w:szCs w:val="20"/>
          <w:lang w:eastAsia="en-GB"/>
        </w:rPr>
        <w:br w:type="page"/>
      </w:r>
    </w:p>
    <w:p w14:paraId="466FD5C8" w14:textId="46CAFAEC" w:rsidR="00CA08CF" w:rsidRPr="00421152" w:rsidRDefault="00255D02" w:rsidP="00E27EBA">
      <w:pPr>
        <w:ind w:left="0" w:firstLine="0"/>
      </w:pPr>
      <w:r>
        <w:t>25</w:t>
      </w:r>
      <w:r w:rsidR="00B10EA9" w:rsidRPr="00421152">
        <w:t>.</w:t>
      </w:r>
      <w:r w:rsidR="00B10EA9" w:rsidRPr="00421152">
        <w:tab/>
      </w:r>
      <w:r w:rsidR="00FC5AAA">
        <w:t>From</w:t>
      </w:r>
      <w:r w:rsidR="00FC5AAA" w:rsidRPr="00421152">
        <w:t xml:space="preserve"> </w:t>
      </w:r>
      <w:r w:rsidR="00CA08CF" w:rsidRPr="00421152">
        <w:t xml:space="preserve">Danone, </w:t>
      </w:r>
      <w:r w:rsidR="00CC01F6" w:rsidRPr="00421152">
        <w:t xml:space="preserve">a </w:t>
      </w:r>
      <w:r w:rsidR="00CC01F6" w:rsidRPr="004B6DE6">
        <w:t xml:space="preserve">total of </w:t>
      </w:r>
      <w:r w:rsidR="00CA08CF" w:rsidRPr="004B6DE6">
        <w:t xml:space="preserve">EUR </w:t>
      </w:r>
      <w:r w:rsidR="00FA553B" w:rsidRPr="004B6DE6">
        <w:t>400,500</w:t>
      </w:r>
      <w:r w:rsidR="00FB187B" w:rsidRPr="004B6DE6">
        <w:t xml:space="preserve"> was received in 2018 (EUR 2</w:t>
      </w:r>
      <w:r w:rsidR="00FA553B" w:rsidRPr="004B6DE6">
        <w:t>3</w:t>
      </w:r>
      <w:r w:rsidR="00FB187B" w:rsidRPr="004B6DE6">
        <w:t xml:space="preserve">2,000 relating to 2017 and EUR </w:t>
      </w:r>
      <w:r w:rsidR="00FA553B" w:rsidRPr="004B6DE6">
        <w:t xml:space="preserve">168,500 </w:t>
      </w:r>
      <w:r w:rsidR="00FB187B" w:rsidRPr="004B6DE6">
        <w:t>relating to 2018)</w:t>
      </w:r>
      <w:r w:rsidR="00CA08CF" w:rsidRPr="004B6DE6">
        <w:t>. Danone</w:t>
      </w:r>
      <w:r w:rsidR="00F9197D" w:rsidRPr="004B6DE6">
        <w:t>’s shifting in priorities resulted in</w:t>
      </w:r>
      <w:r w:rsidR="00CA08CF" w:rsidRPr="004B6DE6">
        <w:t xml:space="preserve"> reduced</w:t>
      </w:r>
      <w:r w:rsidR="00CA08CF" w:rsidRPr="00421152">
        <w:t xml:space="preserve"> funding for World Wetlands Day from CHF 42,500 in 2018 </w:t>
      </w:r>
      <w:r w:rsidR="00FB187B" w:rsidRPr="00421152">
        <w:t>to</w:t>
      </w:r>
      <w:r w:rsidR="00CA08CF" w:rsidRPr="00421152">
        <w:t xml:space="preserve"> CHF 28,080 in 2019.</w:t>
      </w:r>
      <w:r w:rsidR="001032EA" w:rsidRPr="00421152">
        <w:t xml:space="preserve"> The Secretariat is approaching possible donors to seek alternative resources. </w:t>
      </w:r>
      <w:r w:rsidR="00FC5AAA">
        <w:t>Efforts</w:t>
      </w:r>
      <w:r w:rsidR="00FC5AAA" w:rsidRPr="00421152">
        <w:t xml:space="preserve"> will continue to secure funding for the next years </w:t>
      </w:r>
      <w:r w:rsidR="001032EA" w:rsidRPr="00421152">
        <w:t>for this important area of work and for the</w:t>
      </w:r>
      <w:r w:rsidR="00E91F83" w:rsidRPr="00421152">
        <w:t xml:space="preserve"> </w:t>
      </w:r>
      <w:r w:rsidR="0002452B" w:rsidRPr="00421152">
        <w:t>Ramsar Awards</w:t>
      </w:r>
      <w:r w:rsidR="00CA08CF" w:rsidRPr="00421152">
        <w:t>.</w:t>
      </w:r>
    </w:p>
    <w:p w14:paraId="4B694507" w14:textId="77777777" w:rsidR="00B10EA9" w:rsidRPr="00421152" w:rsidRDefault="00B10EA9" w:rsidP="00633DD5"/>
    <w:p w14:paraId="208A028C" w14:textId="7220D242" w:rsidR="008B157F" w:rsidRPr="00421152" w:rsidRDefault="00255D02" w:rsidP="00633DD5">
      <w:r>
        <w:t>26</w:t>
      </w:r>
      <w:r w:rsidR="00B10EA9" w:rsidRPr="00421152">
        <w:t>.</w:t>
      </w:r>
      <w:r w:rsidR="00B10EA9" w:rsidRPr="00421152">
        <w:tab/>
      </w:r>
      <w:r w:rsidR="008B157F" w:rsidRPr="00421152">
        <w:t xml:space="preserve">Outreach has been made to </w:t>
      </w:r>
      <w:r w:rsidR="00FC5AAA">
        <w:t xml:space="preserve">Contracting </w:t>
      </w:r>
      <w:r w:rsidR="008B157F" w:rsidRPr="00421152">
        <w:t xml:space="preserve">Parties and other </w:t>
      </w:r>
      <w:r w:rsidR="00FC5AAA">
        <w:t>potential donors</w:t>
      </w:r>
      <w:r w:rsidR="00FC5AAA" w:rsidRPr="00421152">
        <w:t xml:space="preserve"> </w:t>
      </w:r>
      <w:r w:rsidR="008B157F" w:rsidRPr="00421152">
        <w:t>regarding funding of</w:t>
      </w:r>
      <w:r w:rsidR="00E215B3" w:rsidRPr="00421152">
        <w:t xml:space="preserve"> </w:t>
      </w:r>
      <w:r w:rsidR="003D1E05" w:rsidRPr="00421152">
        <w:t>other</w:t>
      </w:r>
      <w:r w:rsidR="00E91F83" w:rsidRPr="00421152">
        <w:t xml:space="preserve"> </w:t>
      </w:r>
      <w:r w:rsidR="008B157F" w:rsidRPr="00421152">
        <w:t>budgeted non-core priority items identified in Resolution XIII.2</w:t>
      </w:r>
      <w:r w:rsidR="009153D4">
        <w:t>,</w:t>
      </w:r>
      <w:r w:rsidR="008B157F" w:rsidRPr="00421152">
        <w:t xml:space="preserve"> Annex 3. </w:t>
      </w:r>
    </w:p>
    <w:p w14:paraId="69908900" w14:textId="77777777" w:rsidR="00B10EA9" w:rsidRPr="00421152" w:rsidRDefault="008B157F" w:rsidP="00633DD5">
      <w:r w:rsidRPr="00421152">
        <w:t xml:space="preserve"> </w:t>
      </w:r>
    </w:p>
    <w:p w14:paraId="68E4C487" w14:textId="2F467286" w:rsidR="0075376A" w:rsidRPr="00421152" w:rsidRDefault="00255D02" w:rsidP="00633DD5">
      <w:r>
        <w:t>27</w:t>
      </w:r>
      <w:r w:rsidR="00B10EA9" w:rsidRPr="00421152">
        <w:t>.</w:t>
      </w:r>
      <w:r w:rsidR="00B10EA9" w:rsidRPr="00421152">
        <w:tab/>
      </w:r>
      <w:r w:rsidR="0075376A" w:rsidRPr="00421152">
        <w:t>The Secretariat would like to express its sincere appreciation to Contracting Parties and donors for voluntary contributions to non-core activities of the Convention.</w:t>
      </w:r>
    </w:p>
    <w:p w14:paraId="2B544EBA" w14:textId="77777777" w:rsidR="0075376A" w:rsidRPr="00421152" w:rsidRDefault="0075376A" w:rsidP="00633DD5">
      <w:pPr>
        <w:pStyle w:val="NoSpacing"/>
        <w:ind w:left="360" w:firstLine="0"/>
        <w:rPr>
          <w:b/>
        </w:rPr>
      </w:pPr>
    </w:p>
    <w:p w14:paraId="5C5D0DAF" w14:textId="77777777" w:rsidR="0075376A" w:rsidRPr="00421152" w:rsidRDefault="0075376A" w:rsidP="00633DD5">
      <w:pPr>
        <w:pStyle w:val="NoSpacing"/>
        <w:rPr>
          <w:i/>
        </w:rPr>
      </w:pPr>
      <w:r w:rsidRPr="00421152">
        <w:rPr>
          <w:i/>
        </w:rPr>
        <w:t>African voluntary contributions</w:t>
      </w:r>
    </w:p>
    <w:p w14:paraId="78E2E3CA" w14:textId="77777777" w:rsidR="00A42238" w:rsidRPr="00421152" w:rsidRDefault="00A42238" w:rsidP="00633DD5">
      <w:pPr>
        <w:pStyle w:val="NoSpacing"/>
        <w:ind w:left="360" w:firstLine="0"/>
        <w:rPr>
          <w:b/>
          <w:i/>
        </w:rPr>
      </w:pPr>
    </w:p>
    <w:p w14:paraId="3349A7D5" w14:textId="702F2ABB" w:rsidR="00B00E07" w:rsidRPr="00421152" w:rsidRDefault="00255D02" w:rsidP="00633DD5">
      <w:r>
        <w:t>28</w:t>
      </w:r>
      <w:r w:rsidR="00B10EA9" w:rsidRPr="00421152">
        <w:t>.</w:t>
      </w:r>
      <w:r w:rsidR="00B10EA9" w:rsidRPr="00421152">
        <w:tab/>
      </w:r>
      <w:r w:rsidR="007C47AE" w:rsidRPr="00421152">
        <w:t xml:space="preserve">Net voluntary </w:t>
      </w:r>
      <w:r w:rsidR="0075376A" w:rsidRPr="00421152">
        <w:t xml:space="preserve">contributions of CHF </w:t>
      </w:r>
      <w:r w:rsidR="007C47AE" w:rsidRPr="00421152">
        <w:t>7K</w:t>
      </w:r>
      <w:r w:rsidR="0075376A" w:rsidRPr="00421152">
        <w:t xml:space="preserve"> were r</w:t>
      </w:r>
      <w:r w:rsidR="00880FB8" w:rsidRPr="00421152">
        <w:t>eceived</w:t>
      </w:r>
      <w:r w:rsidR="0075376A" w:rsidRPr="00421152">
        <w:t xml:space="preserve"> from Contracting Parties in the Africa region, relating to 201</w:t>
      </w:r>
      <w:r w:rsidR="009A3EEF" w:rsidRPr="00421152">
        <w:t>8</w:t>
      </w:r>
      <w:r w:rsidR="0075376A" w:rsidRPr="00421152">
        <w:t xml:space="preserve"> and prior years</w:t>
      </w:r>
      <w:r w:rsidR="00B00E07" w:rsidRPr="00421152">
        <w:t>.</w:t>
      </w:r>
      <w:r w:rsidR="00E91F83" w:rsidRPr="00421152">
        <w:t xml:space="preserve"> </w:t>
      </w:r>
      <w:r w:rsidR="003D02F4" w:rsidRPr="00421152">
        <w:t>See document SC57</w:t>
      </w:r>
      <w:r w:rsidR="009153D4">
        <w:t xml:space="preserve"> Doc.</w:t>
      </w:r>
      <w:r w:rsidR="003D02F4" w:rsidRPr="00421152">
        <w:t>7.3 for a summary of the status of Africa</w:t>
      </w:r>
      <w:r w:rsidR="009153D4">
        <w:t>n</w:t>
      </w:r>
      <w:r w:rsidR="003D02F4" w:rsidRPr="00421152">
        <w:t xml:space="preserve"> voluntary contributions.</w:t>
      </w:r>
    </w:p>
    <w:p w14:paraId="2BB85C24" w14:textId="77777777" w:rsidR="00B10EA9" w:rsidRPr="00421152" w:rsidRDefault="00B10EA9" w:rsidP="00633DD5"/>
    <w:p w14:paraId="72B7365A" w14:textId="77777777" w:rsidR="00BA5048" w:rsidRPr="00421152" w:rsidRDefault="00BA5048" w:rsidP="00633DD5">
      <w:pPr>
        <w:pStyle w:val="NoSpacing"/>
      </w:pPr>
      <w:r w:rsidRPr="00421152">
        <w:rPr>
          <w:b/>
        </w:rPr>
        <w:t>Core budget 201</w:t>
      </w:r>
      <w:r w:rsidR="00450A97" w:rsidRPr="00421152">
        <w:rPr>
          <w:b/>
        </w:rPr>
        <w:t>9</w:t>
      </w:r>
    </w:p>
    <w:p w14:paraId="79ACFD86" w14:textId="77777777" w:rsidR="00F70F19" w:rsidRPr="00421152" w:rsidRDefault="00F70F19" w:rsidP="00633DD5">
      <w:pPr>
        <w:pStyle w:val="NoSpacing"/>
        <w:ind w:left="360" w:firstLine="0"/>
      </w:pPr>
    </w:p>
    <w:p w14:paraId="7C86EDFE" w14:textId="0DD4C41A" w:rsidR="008D5BB1" w:rsidRPr="00421152" w:rsidRDefault="00255D02" w:rsidP="00633DD5">
      <w:r>
        <w:t>29</w:t>
      </w:r>
      <w:r w:rsidR="00B10EA9" w:rsidRPr="00421152">
        <w:t>.</w:t>
      </w:r>
      <w:r w:rsidR="00B10EA9" w:rsidRPr="00421152">
        <w:tab/>
      </w:r>
      <w:r w:rsidR="00722C56" w:rsidRPr="00421152">
        <w:t xml:space="preserve">An overview </w:t>
      </w:r>
      <w:r w:rsidR="009153D4">
        <w:t>of</w:t>
      </w:r>
      <w:r w:rsidR="009153D4" w:rsidRPr="00421152">
        <w:t xml:space="preserve"> </w:t>
      </w:r>
      <w:r w:rsidR="00722C56" w:rsidRPr="00421152">
        <w:t>the 201</w:t>
      </w:r>
      <w:r w:rsidR="00900A1A" w:rsidRPr="00421152">
        <w:t>9</w:t>
      </w:r>
      <w:r w:rsidR="00722C56" w:rsidRPr="00421152">
        <w:t xml:space="preserve"> budget approved by </w:t>
      </w:r>
      <w:r w:rsidR="00722C56" w:rsidRPr="004B6DE6">
        <w:t>COP1</w:t>
      </w:r>
      <w:r w:rsidR="00900A1A" w:rsidRPr="004B6DE6">
        <w:t>3</w:t>
      </w:r>
      <w:r w:rsidR="00722C56" w:rsidRPr="004B6DE6">
        <w:t xml:space="preserve"> is provided </w:t>
      </w:r>
      <w:r w:rsidR="009153D4" w:rsidRPr="004B6DE6">
        <w:t xml:space="preserve">at </w:t>
      </w:r>
      <w:r w:rsidR="00722C56" w:rsidRPr="004B6DE6">
        <w:t>Annex</w:t>
      </w:r>
      <w:r w:rsidR="00A5797D" w:rsidRPr="004B6DE6">
        <w:t xml:space="preserve"> </w:t>
      </w:r>
      <w:r w:rsidR="00172AC9" w:rsidRPr="004B6DE6">
        <w:t>4</w:t>
      </w:r>
      <w:r w:rsidR="00722C56" w:rsidRPr="004B6DE6">
        <w:t xml:space="preserve">. </w:t>
      </w:r>
      <w:r w:rsidR="00A5797D" w:rsidRPr="004B6DE6">
        <w:t xml:space="preserve">This </w:t>
      </w:r>
      <w:r w:rsidR="003672B9" w:rsidRPr="004B6DE6">
        <w:t xml:space="preserve">Annex includes the </w:t>
      </w:r>
      <w:r w:rsidR="00097C4A" w:rsidRPr="004B6DE6">
        <w:t>use of 201</w:t>
      </w:r>
      <w:r w:rsidR="00900A1A" w:rsidRPr="004B6DE6">
        <w:t>7</w:t>
      </w:r>
      <w:r w:rsidR="00097C4A" w:rsidRPr="004B6DE6">
        <w:t xml:space="preserve"> surplus</w:t>
      </w:r>
      <w:r w:rsidR="00460BC0" w:rsidRPr="004B6DE6">
        <w:t xml:space="preserve"> of CHF </w:t>
      </w:r>
      <w:r w:rsidR="000D6AC7" w:rsidRPr="004B6DE6">
        <w:t>298</w:t>
      </w:r>
      <w:r w:rsidR="00460BC0" w:rsidRPr="004B6DE6">
        <w:t>K</w:t>
      </w:r>
      <w:r w:rsidR="003672B9" w:rsidRPr="004B6DE6">
        <w:t xml:space="preserve"> </w:t>
      </w:r>
      <w:r w:rsidR="009A4759" w:rsidRPr="004B6DE6">
        <w:t xml:space="preserve">for </w:t>
      </w:r>
      <w:r w:rsidR="003672B9" w:rsidRPr="004B6DE6">
        <w:t>201</w:t>
      </w:r>
      <w:r w:rsidR="00900A1A" w:rsidRPr="004B6DE6">
        <w:t>9</w:t>
      </w:r>
      <w:r w:rsidR="000D6AC7" w:rsidRPr="004B6DE6">
        <w:t>-2021</w:t>
      </w:r>
      <w:r w:rsidR="00097C4A" w:rsidRPr="004B6DE6">
        <w:t xml:space="preserve"> </w:t>
      </w:r>
      <w:r w:rsidR="003D1E05" w:rsidRPr="004B6DE6">
        <w:t>to fill the gap created by the</w:t>
      </w:r>
      <w:r w:rsidR="003D1E05" w:rsidRPr="00421152">
        <w:t xml:space="preserve"> inclusion of a new position of Finance and Accounting Assistant </w:t>
      </w:r>
      <w:r w:rsidR="009153D4">
        <w:t>and</w:t>
      </w:r>
      <w:r w:rsidR="009153D4" w:rsidRPr="00421152">
        <w:t xml:space="preserve"> </w:t>
      </w:r>
      <w:r w:rsidR="00F02552" w:rsidRPr="00421152">
        <w:t xml:space="preserve">the support for the Effectiveness Working Group </w:t>
      </w:r>
      <w:r w:rsidR="003D1E05" w:rsidRPr="00421152">
        <w:t xml:space="preserve">requested by </w:t>
      </w:r>
      <w:r w:rsidR="00F02552" w:rsidRPr="00421152">
        <w:t>Contracting</w:t>
      </w:r>
      <w:r w:rsidR="003D1E05" w:rsidRPr="00421152">
        <w:t xml:space="preserve"> Parties and </w:t>
      </w:r>
      <w:r w:rsidR="00097C4A" w:rsidRPr="00421152">
        <w:t xml:space="preserve">as authorized by </w:t>
      </w:r>
      <w:r w:rsidR="00900A1A" w:rsidRPr="00421152">
        <w:t>Resolution</w:t>
      </w:r>
      <w:r w:rsidR="00A8663A" w:rsidRPr="00421152">
        <w:t xml:space="preserve"> </w:t>
      </w:r>
      <w:r w:rsidR="00900A1A" w:rsidRPr="00421152">
        <w:t>XIII.2.</w:t>
      </w:r>
    </w:p>
    <w:p w14:paraId="5F653444" w14:textId="77777777" w:rsidR="00B10EA9" w:rsidRPr="00421152" w:rsidRDefault="00B10EA9" w:rsidP="00633DD5"/>
    <w:p w14:paraId="4892EC72" w14:textId="25A258E8" w:rsidR="00460BC0" w:rsidRPr="004D23F7" w:rsidRDefault="00255D02" w:rsidP="00633DD5">
      <w:pPr>
        <w:rPr>
          <w:spacing w:val="-2"/>
        </w:rPr>
      </w:pPr>
      <w:r w:rsidRPr="004D23F7">
        <w:rPr>
          <w:spacing w:val="-2"/>
        </w:rPr>
        <w:t>30</w:t>
      </w:r>
      <w:r w:rsidR="00B10EA9" w:rsidRPr="004D23F7">
        <w:rPr>
          <w:spacing w:val="-2"/>
        </w:rPr>
        <w:t>.</w:t>
      </w:r>
      <w:r w:rsidR="00B10EA9" w:rsidRPr="004D23F7">
        <w:rPr>
          <w:spacing w:val="-2"/>
        </w:rPr>
        <w:tab/>
      </w:r>
      <w:r w:rsidR="00034C8A" w:rsidRPr="004D23F7">
        <w:rPr>
          <w:spacing w:val="-2"/>
        </w:rPr>
        <w:t xml:space="preserve">In addition, the pre-committed balances from Table 1 </w:t>
      </w:r>
      <w:r w:rsidR="009153D4" w:rsidRPr="004D23F7">
        <w:rPr>
          <w:spacing w:val="-2"/>
        </w:rPr>
        <w:t>totalling</w:t>
      </w:r>
      <w:r w:rsidR="00034C8A" w:rsidRPr="004D23F7">
        <w:rPr>
          <w:spacing w:val="-2"/>
        </w:rPr>
        <w:t xml:space="preserve"> CHF 437K are included in Annex</w:t>
      </w:r>
      <w:r w:rsidR="004D23F7">
        <w:rPr>
          <w:spacing w:val="-2"/>
        </w:rPr>
        <w:t xml:space="preserve"> </w:t>
      </w:r>
      <w:r w:rsidR="00034C8A" w:rsidRPr="004D23F7">
        <w:rPr>
          <w:spacing w:val="-2"/>
        </w:rPr>
        <w:t>4.</w:t>
      </w:r>
    </w:p>
    <w:p w14:paraId="47859FCA" w14:textId="77777777" w:rsidR="00B10EA9" w:rsidRPr="00421152" w:rsidRDefault="00B10EA9" w:rsidP="00633DD5"/>
    <w:p w14:paraId="24E4CF60" w14:textId="1902C1D2" w:rsidR="0075376A" w:rsidRPr="00421152" w:rsidRDefault="0075376A" w:rsidP="00633DD5">
      <w:r w:rsidRPr="00421152">
        <w:rPr>
          <w:b/>
        </w:rPr>
        <w:t>Review of non-core balances</w:t>
      </w:r>
      <w:r w:rsidR="00C04BC6" w:rsidRPr="00421152">
        <w:rPr>
          <w:b/>
        </w:rPr>
        <w:t xml:space="preserve"> (Annex 3)</w:t>
      </w:r>
      <w:r w:rsidRPr="00421152">
        <w:rPr>
          <w:b/>
        </w:rPr>
        <w:t xml:space="preserve"> </w:t>
      </w:r>
    </w:p>
    <w:p w14:paraId="78F4631F" w14:textId="77777777" w:rsidR="0075376A" w:rsidRPr="00421152" w:rsidRDefault="0075376A" w:rsidP="00633DD5">
      <w:pPr>
        <w:pStyle w:val="NoSpacing"/>
        <w:rPr>
          <w:b/>
        </w:rPr>
      </w:pPr>
    </w:p>
    <w:p w14:paraId="528BA6E1" w14:textId="43FC1A2C" w:rsidR="0075376A" w:rsidRPr="00421152" w:rsidRDefault="00196992" w:rsidP="00633DD5">
      <w:pPr>
        <w:pStyle w:val="NoSpacing"/>
        <w:rPr>
          <w:i/>
        </w:rPr>
      </w:pPr>
      <w:r w:rsidRPr="00421152">
        <w:rPr>
          <w:i/>
        </w:rPr>
        <w:t xml:space="preserve">COP13, </w:t>
      </w:r>
      <w:r w:rsidR="0075376A" w:rsidRPr="00421152">
        <w:rPr>
          <w:i/>
        </w:rPr>
        <w:t xml:space="preserve">COP13 </w:t>
      </w:r>
      <w:r w:rsidR="009153D4" w:rsidRPr="00421152">
        <w:rPr>
          <w:i/>
        </w:rPr>
        <w:t xml:space="preserve">delegate support </w:t>
      </w:r>
      <w:r w:rsidR="0075376A" w:rsidRPr="00421152">
        <w:rPr>
          <w:i/>
        </w:rPr>
        <w:t>and pre-COP funding</w:t>
      </w:r>
    </w:p>
    <w:p w14:paraId="528DE113" w14:textId="77777777" w:rsidR="0075376A" w:rsidRPr="00421152" w:rsidRDefault="0075376A" w:rsidP="00633DD5">
      <w:pPr>
        <w:pStyle w:val="NoSpacing"/>
      </w:pPr>
    </w:p>
    <w:p w14:paraId="2C671FDE" w14:textId="534609E5" w:rsidR="00AE2D1A" w:rsidRPr="00421152" w:rsidRDefault="00255D02" w:rsidP="00AE2D1A">
      <w:pPr>
        <w:pStyle w:val="NoSpacing"/>
      </w:pPr>
      <w:r>
        <w:t>31</w:t>
      </w:r>
      <w:r w:rsidR="008A23C2" w:rsidRPr="00421152">
        <w:t>.</w:t>
      </w:r>
      <w:r w:rsidR="008A23C2" w:rsidRPr="00421152">
        <w:tab/>
      </w:r>
      <w:r w:rsidR="00AE2D1A" w:rsidRPr="00421152">
        <w:t xml:space="preserve">The budget of CHF 842K for COP13 in Dubai generously provided by </w:t>
      </w:r>
      <w:r w:rsidR="006E735B">
        <w:t xml:space="preserve">the </w:t>
      </w:r>
      <w:r w:rsidR="00AE2D1A" w:rsidRPr="00421152">
        <w:t>U</w:t>
      </w:r>
      <w:r w:rsidR="006E735B">
        <w:t xml:space="preserve">nited </w:t>
      </w:r>
      <w:r w:rsidR="00AE2D1A" w:rsidRPr="00421152">
        <w:t>A</w:t>
      </w:r>
      <w:r w:rsidR="006E735B">
        <w:t xml:space="preserve">rab Emirates </w:t>
      </w:r>
      <w:r w:rsidR="00AE2D1A" w:rsidRPr="00421152">
        <w:t xml:space="preserve">was underspent by CHF 206K. Total expenses incurred by the Secretariat totalled CHF 636K. Attention given to cost management and eliminating unnecessary expenses resulted in the Secretariat’s ability to fulfil its responsibilities under budget. As requested, the surplus will be returned to the UAE in 2019. </w:t>
      </w:r>
    </w:p>
    <w:p w14:paraId="0B3E48FD" w14:textId="77777777" w:rsidR="00AE2D1A" w:rsidRPr="00421152" w:rsidRDefault="00AE2D1A" w:rsidP="00AE2D1A">
      <w:pPr>
        <w:pStyle w:val="NoSpacing"/>
      </w:pPr>
    </w:p>
    <w:p w14:paraId="42907D8C" w14:textId="5FF3BF2C" w:rsidR="00502524" w:rsidRPr="00421152" w:rsidRDefault="00255D02" w:rsidP="0042598C">
      <w:pPr>
        <w:pStyle w:val="NoSpacing"/>
      </w:pPr>
      <w:r>
        <w:t>32</w:t>
      </w:r>
      <w:r w:rsidR="0042598C">
        <w:t>.</w:t>
      </w:r>
      <w:r w:rsidR="0042598C">
        <w:tab/>
      </w:r>
      <w:r w:rsidR="008A23C2" w:rsidRPr="00421152">
        <w:t xml:space="preserve">The Secretariat had a challenging task of fundraising for </w:t>
      </w:r>
      <w:r w:rsidR="006E735B" w:rsidRPr="00421152">
        <w:t xml:space="preserve">eligible </w:t>
      </w:r>
      <w:r w:rsidR="00AE2D1A" w:rsidRPr="00421152">
        <w:t xml:space="preserve">sponsored delegates for </w:t>
      </w:r>
      <w:r w:rsidR="008A23C2" w:rsidRPr="00421152">
        <w:t xml:space="preserve">both COP13 and five pre-COP meetings </w:t>
      </w:r>
      <w:r w:rsidR="00AE2D1A" w:rsidRPr="00421152">
        <w:t>during the same year</w:t>
      </w:r>
      <w:r w:rsidR="00206AF7" w:rsidRPr="00421152">
        <w:t>. A total of CHF 2</w:t>
      </w:r>
      <w:r w:rsidR="00660691" w:rsidRPr="00421152">
        <w:t>09K</w:t>
      </w:r>
      <w:r w:rsidR="00206AF7" w:rsidRPr="00421152">
        <w:t xml:space="preserve"> was received in voluntary contributions from seven countries. These contributions coupled with </w:t>
      </w:r>
      <w:r w:rsidR="00C00A25" w:rsidRPr="00421152">
        <w:t xml:space="preserve">use of </w:t>
      </w:r>
      <w:r w:rsidR="00206AF7" w:rsidRPr="00421152">
        <w:t xml:space="preserve">surplus funds </w:t>
      </w:r>
      <w:r w:rsidR="00C00A25" w:rsidRPr="00421152">
        <w:t xml:space="preserve">approved by the Subgroup </w:t>
      </w:r>
      <w:r w:rsidR="006E735B">
        <w:t xml:space="preserve">on </w:t>
      </w:r>
      <w:r w:rsidR="006E735B" w:rsidRPr="00421152">
        <w:t xml:space="preserve">Finance </w:t>
      </w:r>
      <w:r w:rsidR="00C00A25" w:rsidRPr="00421152">
        <w:t xml:space="preserve">and </w:t>
      </w:r>
      <w:r w:rsidR="006E735B">
        <w:t xml:space="preserve">the </w:t>
      </w:r>
      <w:r w:rsidR="00C00A25" w:rsidRPr="00421152">
        <w:t xml:space="preserve">Standing Committee </w:t>
      </w:r>
      <w:r w:rsidR="00206AF7" w:rsidRPr="00421152">
        <w:t xml:space="preserve">allowed the Secretariat to sponsor 113 delegates from eligible countries. The total amount spent on </w:t>
      </w:r>
      <w:r w:rsidR="00346BD5" w:rsidRPr="00421152">
        <w:t xml:space="preserve">sponsored travel </w:t>
      </w:r>
      <w:r w:rsidR="00346BD5">
        <w:t xml:space="preserve">under </w:t>
      </w:r>
      <w:r w:rsidR="00BB1A0B" w:rsidRPr="00421152">
        <w:t xml:space="preserve">COP13 </w:t>
      </w:r>
      <w:r w:rsidR="00346BD5" w:rsidRPr="00421152">
        <w:t xml:space="preserve">delegate support </w:t>
      </w:r>
      <w:r w:rsidR="00206AF7" w:rsidRPr="00421152">
        <w:t>was CHF 4</w:t>
      </w:r>
      <w:r w:rsidR="00660691" w:rsidRPr="00421152">
        <w:t>80K</w:t>
      </w:r>
      <w:r w:rsidR="00206AF7" w:rsidRPr="00421152">
        <w:t>.</w:t>
      </w:r>
      <w:r w:rsidR="00206AF7" w:rsidRPr="00421152" w:rsidDel="003C2E56">
        <w:t xml:space="preserve"> </w:t>
      </w:r>
      <w:r w:rsidR="005D43A8" w:rsidRPr="00421152">
        <w:t>The S</w:t>
      </w:r>
      <w:r w:rsidR="00DA2B5B" w:rsidRPr="00421152">
        <w:t>e</w:t>
      </w:r>
      <w:r w:rsidR="005D43A8" w:rsidRPr="00421152">
        <w:t>cretariat wishes to thank all Contracting Parties who made contribution</w:t>
      </w:r>
      <w:r w:rsidR="00DD11D8">
        <w:t xml:space="preserve">s to the COP13 delegate support </w:t>
      </w:r>
      <w:r w:rsidR="00DD11D8" w:rsidRPr="00421152">
        <w:t xml:space="preserve">(see </w:t>
      </w:r>
      <w:r w:rsidR="00DD11D8">
        <w:t>Table 3).</w:t>
      </w:r>
    </w:p>
    <w:p w14:paraId="3C2D35E8" w14:textId="77777777" w:rsidR="00502524" w:rsidRPr="00421152" w:rsidRDefault="00502524" w:rsidP="00502524">
      <w:pPr>
        <w:pStyle w:val="NoSpacing"/>
      </w:pPr>
    </w:p>
    <w:p w14:paraId="2D79DB27" w14:textId="0C755F61" w:rsidR="00502524" w:rsidRPr="00421152" w:rsidRDefault="00255D02" w:rsidP="00502524">
      <w:pPr>
        <w:pStyle w:val="NoSpacing"/>
      </w:pPr>
      <w:r>
        <w:lastRenderedPageBreak/>
        <w:t>33</w:t>
      </w:r>
      <w:r w:rsidR="00502524" w:rsidRPr="00421152">
        <w:t>.</w:t>
      </w:r>
      <w:r w:rsidR="00502524" w:rsidRPr="00421152">
        <w:tab/>
      </w:r>
      <w:r w:rsidR="000C3FCA" w:rsidRPr="00421152">
        <w:t xml:space="preserve">The Secretariat </w:t>
      </w:r>
      <w:r w:rsidR="00DC49DD" w:rsidRPr="00421152">
        <w:t xml:space="preserve">also </w:t>
      </w:r>
      <w:r w:rsidR="000C3FCA" w:rsidRPr="00421152">
        <w:t xml:space="preserve">appreciates the funds made available by donors </w:t>
      </w:r>
      <w:r w:rsidR="00DD11D8" w:rsidRPr="00421152">
        <w:t xml:space="preserve">(see </w:t>
      </w:r>
      <w:r w:rsidR="00DD11D8">
        <w:t xml:space="preserve">Table 3) </w:t>
      </w:r>
      <w:r w:rsidR="000C3FCA" w:rsidRPr="00421152">
        <w:t xml:space="preserve">for </w:t>
      </w:r>
      <w:r w:rsidR="00492D48" w:rsidRPr="00421152">
        <w:t>supporting</w:t>
      </w:r>
      <w:r w:rsidR="000C3FCA" w:rsidRPr="00421152">
        <w:t xml:space="preserve"> sponsored delegate travel to pre-COP13 meetings held in </w:t>
      </w:r>
      <w:r w:rsidR="00B5204A" w:rsidRPr="00421152">
        <w:t>Chilaw</w:t>
      </w:r>
      <w:r w:rsidR="00834C83">
        <w:t xml:space="preserve"> (</w:t>
      </w:r>
      <w:r w:rsidR="00B5204A" w:rsidRPr="00421152">
        <w:t>Sri Lanka</w:t>
      </w:r>
      <w:r w:rsidR="00834C83">
        <w:t>)</w:t>
      </w:r>
      <w:r w:rsidR="00B5204A" w:rsidRPr="00421152">
        <w:t xml:space="preserve">, </w:t>
      </w:r>
      <w:r w:rsidR="002E2EC4" w:rsidRPr="00421152">
        <w:t>Wellington</w:t>
      </w:r>
      <w:r w:rsidR="00834C83">
        <w:t xml:space="preserve"> (</w:t>
      </w:r>
      <w:r w:rsidR="002E2EC4" w:rsidRPr="00421152">
        <w:t>New Zealand</w:t>
      </w:r>
      <w:r w:rsidR="00834C83">
        <w:t>)</w:t>
      </w:r>
      <w:r w:rsidR="002E2EC4" w:rsidRPr="00421152">
        <w:t xml:space="preserve">, </w:t>
      </w:r>
      <w:r w:rsidR="00A64F9C" w:rsidRPr="00421152">
        <w:t>San Jose</w:t>
      </w:r>
      <w:r w:rsidR="00834C83">
        <w:t xml:space="preserve"> (</w:t>
      </w:r>
      <w:r w:rsidR="00A64F9C" w:rsidRPr="00421152">
        <w:t>Costa Rica</w:t>
      </w:r>
      <w:r w:rsidR="00834C83">
        <w:t>)</w:t>
      </w:r>
      <w:r w:rsidR="002E2EC4" w:rsidRPr="00421152">
        <w:t xml:space="preserve"> and </w:t>
      </w:r>
      <w:r w:rsidR="00B5204A" w:rsidRPr="00421152">
        <w:t>Dakar</w:t>
      </w:r>
      <w:r w:rsidR="00834C83">
        <w:t xml:space="preserve"> (</w:t>
      </w:r>
      <w:r w:rsidR="00B5204A" w:rsidRPr="00421152">
        <w:t>Senegal</w:t>
      </w:r>
      <w:r w:rsidR="00834C83">
        <w:t>)</w:t>
      </w:r>
      <w:r w:rsidR="000C3FCA" w:rsidRPr="00421152">
        <w:t>.</w:t>
      </w:r>
      <w:r w:rsidR="00E91F83" w:rsidRPr="00421152">
        <w:t xml:space="preserve"> </w:t>
      </w:r>
      <w:r w:rsidR="000C3FCA" w:rsidRPr="00421152">
        <w:t>A total of CHF 65K was received in voluntary contributions from six countries</w:t>
      </w:r>
      <w:r w:rsidR="00346BD5">
        <w:t>,</w:t>
      </w:r>
      <w:r w:rsidR="000C3FCA" w:rsidRPr="00421152">
        <w:t xml:space="preserve"> and </w:t>
      </w:r>
      <w:r w:rsidR="00B5204A" w:rsidRPr="00421152">
        <w:t xml:space="preserve">Switzerland </w:t>
      </w:r>
      <w:r w:rsidR="00346BD5" w:rsidRPr="00421152">
        <w:t>authori</w:t>
      </w:r>
      <w:r w:rsidR="00346BD5">
        <w:t>z</w:t>
      </w:r>
      <w:r w:rsidR="00346BD5" w:rsidRPr="00421152">
        <w:t xml:space="preserve">ed </w:t>
      </w:r>
      <w:r w:rsidR="00B5204A" w:rsidRPr="00421152">
        <w:t xml:space="preserve">the use of CHF 100K of the pre-2016 </w:t>
      </w:r>
      <w:r w:rsidR="00346BD5" w:rsidRPr="00DD11D8">
        <w:t xml:space="preserve">Swiss Grants for Africa </w:t>
      </w:r>
      <w:r w:rsidR="00B5204A" w:rsidRPr="00421152">
        <w:t>surplus</w:t>
      </w:r>
      <w:r w:rsidR="000C3FCA" w:rsidRPr="00421152">
        <w:t>. These contributions coupled</w:t>
      </w:r>
      <w:r w:rsidR="00842E75" w:rsidRPr="00421152">
        <w:t xml:space="preserve"> with</w:t>
      </w:r>
      <w:r w:rsidR="00834C83">
        <w:t xml:space="preserve"> surplus funds</w:t>
      </w:r>
      <w:r w:rsidR="005D43A8" w:rsidRPr="00421152">
        <w:t xml:space="preserve"> approved by the </w:t>
      </w:r>
      <w:r w:rsidR="00834C83">
        <w:t xml:space="preserve">Subgroup on Finance and the </w:t>
      </w:r>
      <w:r w:rsidR="005D43A8" w:rsidRPr="00421152">
        <w:t xml:space="preserve">Standing Committee </w:t>
      </w:r>
      <w:r w:rsidR="000C3FCA" w:rsidRPr="00421152">
        <w:t>all</w:t>
      </w:r>
      <w:r w:rsidR="00DC49DD" w:rsidRPr="00421152">
        <w:t>owed the Secretariat to sponsor</w:t>
      </w:r>
      <w:r w:rsidR="000C3FCA" w:rsidRPr="00421152">
        <w:t xml:space="preserve"> delegates from eligible countries</w:t>
      </w:r>
      <w:r w:rsidR="00B5204A" w:rsidRPr="00421152">
        <w:t xml:space="preserve">. The total amount spent on sponsored delegate travel </w:t>
      </w:r>
      <w:r w:rsidR="00834C83">
        <w:t xml:space="preserve">for regional preparatory meetings </w:t>
      </w:r>
      <w:r w:rsidR="00B5204A" w:rsidRPr="00421152">
        <w:t>was CHF 245K.</w:t>
      </w:r>
      <w:r w:rsidR="000C3FCA" w:rsidRPr="00421152">
        <w:t xml:space="preserve"> </w:t>
      </w:r>
    </w:p>
    <w:p w14:paraId="36D920CA" w14:textId="77777777" w:rsidR="008A23C2" w:rsidRPr="00421152" w:rsidRDefault="008A23C2" w:rsidP="00633DD5">
      <w:pPr>
        <w:pStyle w:val="NoSpacing"/>
      </w:pPr>
    </w:p>
    <w:p w14:paraId="73321E3F" w14:textId="2A299B57" w:rsidR="00C865B8" w:rsidRPr="00421152" w:rsidRDefault="00E33B83" w:rsidP="009A7727">
      <w:pPr>
        <w:pStyle w:val="NoSpacing"/>
        <w:keepNext/>
        <w:rPr>
          <w:i/>
        </w:rPr>
      </w:pPr>
      <w:r w:rsidRPr="00421152">
        <w:rPr>
          <w:i/>
        </w:rPr>
        <w:t xml:space="preserve">Review of </w:t>
      </w:r>
      <w:r w:rsidR="004C3CBA" w:rsidRPr="00421152">
        <w:rPr>
          <w:i/>
        </w:rPr>
        <w:t xml:space="preserve">other </w:t>
      </w:r>
      <w:r w:rsidRPr="00421152">
        <w:rPr>
          <w:i/>
        </w:rPr>
        <w:t>n</w:t>
      </w:r>
      <w:r w:rsidR="00C865B8" w:rsidRPr="00421152">
        <w:rPr>
          <w:i/>
        </w:rPr>
        <w:t xml:space="preserve">on-core balances </w:t>
      </w:r>
    </w:p>
    <w:p w14:paraId="64BF43AE" w14:textId="77777777" w:rsidR="00C865B8" w:rsidRPr="00421152" w:rsidRDefault="00C865B8" w:rsidP="009A7727">
      <w:pPr>
        <w:pStyle w:val="NoSpacing"/>
        <w:keepNext/>
        <w:rPr>
          <w:b/>
          <w:i/>
        </w:rPr>
      </w:pPr>
    </w:p>
    <w:p w14:paraId="18946087" w14:textId="1332D668" w:rsidR="00AA14FC" w:rsidRPr="00421152" w:rsidRDefault="00255D02" w:rsidP="00633DD5">
      <w:r>
        <w:t>34</w:t>
      </w:r>
      <w:r w:rsidR="00126808" w:rsidRPr="00421152">
        <w:t>.</w:t>
      </w:r>
      <w:r w:rsidR="00126808" w:rsidRPr="00421152">
        <w:tab/>
      </w:r>
      <w:r w:rsidR="004F4ED1" w:rsidRPr="00421152">
        <w:t>T</w:t>
      </w:r>
      <w:r w:rsidR="00E33B83" w:rsidRPr="00421152">
        <w:t>he</w:t>
      </w:r>
      <w:r w:rsidR="004F4ED1" w:rsidRPr="00421152">
        <w:t xml:space="preserve"> Secretary General</w:t>
      </w:r>
      <w:r w:rsidR="00E33B83" w:rsidRPr="00421152">
        <w:t xml:space="preserve"> reviewed the financial </w:t>
      </w:r>
      <w:r w:rsidR="00E33B83" w:rsidRPr="00421152">
        <w:t>management o</w:t>
      </w:r>
      <w:r w:rsidR="004F4ED1" w:rsidRPr="00421152">
        <w:t>f the Secretariat and reported</w:t>
      </w:r>
      <w:r w:rsidR="00E33B83" w:rsidRPr="00421152">
        <w:t xml:space="preserve"> issues of concern</w:t>
      </w:r>
      <w:r w:rsidR="004F4ED1" w:rsidRPr="00421152">
        <w:t xml:space="preserve"> and an action plan to the Executive Team, </w:t>
      </w:r>
      <w:r w:rsidR="004C7511">
        <w:t xml:space="preserve">the </w:t>
      </w:r>
      <w:r w:rsidR="004F4ED1" w:rsidRPr="00421152">
        <w:t>F</w:t>
      </w:r>
      <w:r w:rsidR="00346BD5">
        <w:t xml:space="preserve">acilitation </w:t>
      </w:r>
      <w:r w:rsidR="004F4ED1" w:rsidRPr="00421152">
        <w:t>W</w:t>
      </w:r>
      <w:r w:rsidR="00346BD5">
        <w:t xml:space="preserve">orking </w:t>
      </w:r>
      <w:r w:rsidR="004F4ED1" w:rsidRPr="00421152">
        <w:t>G</w:t>
      </w:r>
      <w:r w:rsidR="00346BD5">
        <w:t>roup</w:t>
      </w:r>
      <w:r w:rsidR="004F4ED1" w:rsidRPr="00421152">
        <w:t>,</w:t>
      </w:r>
      <w:r w:rsidR="00483CE3">
        <w:t xml:space="preserve"> the Subgroup on Finance,</w:t>
      </w:r>
      <w:r w:rsidR="004F4ED1" w:rsidRPr="00421152">
        <w:t xml:space="preserve"> </w:t>
      </w:r>
      <w:r w:rsidR="004C7511">
        <w:t xml:space="preserve">the Standing Committee at </w:t>
      </w:r>
      <w:r w:rsidR="004F4ED1" w:rsidRPr="00421152">
        <w:t xml:space="preserve">SC53 and the </w:t>
      </w:r>
      <w:r w:rsidR="004F4ED1" w:rsidRPr="00421152">
        <w:t>auditors</w:t>
      </w:r>
      <w:r w:rsidR="00EF0AB8" w:rsidRPr="00421152">
        <w:t xml:space="preserve"> in </w:t>
      </w:r>
      <w:r w:rsidR="00EF0AB8" w:rsidRPr="00421152">
        <w:t>2016</w:t>
      </w:r>
      <w:r w:rsidR="004C7511">
        <w:t>,</w:t>
      </w:r>
      <w:r w:rsidR="005D43A8" w:rsidRPr="00421152">
        <w:t xml:space="preserve"> and </w:t>
      </w:r>
      <w:r w:rsidR="004C7511">
        <w:t xml:space="preserve">has </w:t>
      </w:r>
      <w:r w:rsidR="005D43A8" w:rsidRPr="00421152">
        <w:t>provided regular updates since then</w:t>
      </w:r>
      <w:r w:rsidR="004F4ED1" w:rsidRPr="00421152">
        <w:t xml:space="preserve">. A main issue was the management of </w:t>
      </w:r>
      <w:r w:rsidR="00E33B83" w:rsidRPr="00421152">
        <w:t xml:space="preserve">non-core </w:t>
      </w:r>
      <w:r w:rsidR="004F4ED1" w:rsidRPr="00421152">
        <w:t xml:space="preserve">funds. </w:t>
      </w:r>
      <w:r w:rsidR="00E33B83" w:rsidRPr="00421152">
        <w:t xml:space="preserve">The Secretariat has continued the implementation of its action plan and has put in </w:t>
      </w:r>
      <w:r w:rsidR="00E33B83" w:rsidRPr="00421152">
        <w:t>place a more structured and transparent approach to the use of non-core funding and balances. The internal review of old non-core projects has continued and during 2017</w:t>
      </w:r>
      <w:r w:rsidR="00B8005A" w:rsidRPr="00421152">
        <w:t xml:space="preserve"> and 2018</w:t>
      </w:r>
      <w:r w:rsidR="00E33B83" w:rsidRPr="00421152">
        <w:t xml:space="preserve">, necessary closing actions were undertaken and as a result, </w:t>
      </w:r>
      <w:r w:rsidR="00206AF7" w:rsidRPr="00421152">
        <w:t xml:space="preserve">76 </w:t>
      </w:r>
      <w:r w:rsidR="00E33B83" w:rsidRPr="00421152">
        <w:t>projects have been closed in the financial system. Improvements are also being made in the processes and procedures as well as in the system, in close cooperation with IUCN</w:t>
      </w:r>
      <w:r w:rsidR="00BD75DB" w:rsidRPr="00421152">
        <w:t>.</w:t>
      </w:r>
      <w:r w:rsidR="00E33B83" w:rsidRPr="00421152">
        <w:t xml:space="preserve"> </w:t>
      </w:r>
    </w:p>
    <w:p w14:paraId="14EC010D" w14:textId="7B016DBA" w:rsidR="00301BD4" w:rsidRPr="00421152" w:rsidRDefault="00301BD4" w:rsidP="00633DD5"/>
    <w:p w14:paraId="488DCA7D" w14:textId="6ECA7C1E" w:rsidR="00301BD4" w:rsidRPr="00421152" w:rsidRDefault="00255D02" w:rsidP="00D32A47">
      <w:r>
        <w:t>35</w:t>
      </w:r>
      <w:r w:rsidR="00301BD4" w:rsidRPr="00421152">
        <w:t>.</w:t>
      </w:r>
      <w:r w:rsidR="00301BD4" w:rsidRPr="00421152">
        <w:tab/>
      </w:r>
      <w:r w:rsidR="00184E6B" w:rsidRPr="00421152">
        <w:t>An update on</w:t>
      </w:r>
      <w:r w:rsidR="005D43A8" w:rsidRPr="00421152">
        <w:t xml:space="preserve"> balances </w:t>
      </w:r>
      <w:r w:rsidR="005D43A8" w:rsidRPr="00421152">
        <w:t>related to</w:t>
      </w:r>
      <w:r w:rsidR="00184E6B" w:rsidRPr="00421152">
        <w:t xml:space="preserve"> </w:t>
      </w:r>
      <w:r w:rsidR="00301BD4" w:rsidRPr="00421152">
        <w:t xml:space="preserve">the Small Grants Fund Programme </w:t>
      </w:r>
      <w:r w:rsidR="00184E6B" w:rsidRPr="00421152">
        <w:t xml:space="preserve">is provided in </w:t>
      </w:r>
      <w:r w:rsidR="004C7511">
        <w:t xml:space="preserve">document </w:t>
      </w:r>
      <w:r w:rsidR="00184E6B" w:rsidRPr="00421152">
        <w:t>SC57</w:t>
      </w:r>
      <w:r w:rsidR="004C7511">
        <w:t xml:space="preserve"> Doc.</w:t>
      </w:r>
      <w:r w:rsidR="00184E6B" w:rsidRPr="00421152">
        <w:t>7.4</w:t>
      </w:r>
    </w:p>
    <w:p w14:paraId="60F7E2EF" w14:textId="10F4C8BE" w:rsidR="002E6166" w:rsidRPr="00421152" w:rsidRDefault="002E6166" w:rsidP="00633DD5"/>
    <w:p w14:paraId="19C5D2EE" w14:textId="69199686" w:rsidR="002E6166" w:rsidRPr="00421152" w:rsidRDefault="00255D02" w:rsidP="002E6166">
      <w:r>
        <w:t>36</w:t>
      </w:r>
      <w:r w:rsidR="002E6166" w:rsidRPr="00421152">
        <w:t>.</w:t>
      </w:r>
      <w:r w:rsidR="002E6166" w:rsidRPr="00421152">
        <w:tab/>
        <w:t xml:space="preserve">An update on </w:t>
      </w:r>
      <w:r w:rsidR="005D43A8" w:rsidRPr="00421152">
        <w:t xml:space="preserve">balances related to </w:t>
      </w:r>
      <w:r w:rsidR="002E6166" w:rsidRPr="00421152">
        <w:t>the Ramsar Regional Initiatives</w:t>
      </w:r>
      <w:r w:rsidR="00FE1016" w:rsidRPr="00421152">
        <w:t xml:space="preserve"> </w:t>
      </w:r>
      <w:r w:rsidR="002E6166" w:rsidRPr="00421152">
        <w:t>is provided in DOC. SC57-25</w:t>
      </w:r>
      <w:r w:rsidR="00FA07D3" w:rsidRPr="00421152">
        <w:t>.</w:t>
      </w:r>
      <w:r w:rsidR="002E6166" w:rsidRPr="00421152">
        <w:t xml:space="preserve"> </w:t>
      </w:r>
    </w:p>
    <w:p w14:paraId="71171A7C" w14:textId="0CDC83A7" w:rsidR="00FA07D3" w:rsidRPr="00421152" w:rsidRDefault="00FA07D3" w:rsidP="002E6166"/>
    <w:p w14:paraId="02B34FA6" w14:textId="703E5EE0" w:rsidR="00FA07D3" w:rsidRPr="00421152" w:rsidRDefault="00255D02" w:rsidP="00FA07D3">
      <w:r>
        <w:t>37</w:t>
      </w:r>
      <w:r w:rsidR="00FA07D3" w:rsidRPr="00421152">
        <w:t>.</w:t>
      </w:r>
      <w:r w:rsidR="00FA07D3" w:rsidRPr="00421152">
        <w:tab/>
        <w:t xml:space="preserve">Old surplus balances in the Admin. project have been transferred to other projects in accordance with SC54 decisions. A new Pre-2016 </w:t>
      </w:r>
      <w:r w:rsidR="00082D5E" w:rsidRPr="00421152">
        <w:t xml:space="preserve">Small Grants for Africa (SGA) </w:t>
      </w:r>
      <w:r w:rsidR="00301BD4" w:rsidRPr="00421152">
        <w:t xml:space="preserve">project </w:t>
      </w:r>
      <w:r w:rsidR="00082D5E" w:rsidRPr="00421152">
        <w:t xml:space="preserve">was set up with the remaining </w:t>
      </w:r>
      <w:r w:rsidR="00E27EBA">
        <w:t>p</w:t>
      </w:r>
      <w:r w:rsidR="00082D5E" w:rsidRPr="00421152">
        <w:t>re-2016 SGA surplus after the authorized transfer of CHF 100K</w:t>
      </w:r>
      <w:r w:rsidR="00FA07D3" w:rsidRPr="00421152">
        <w:t xml:space="preserve"> </w:t>
      </w:r>
      <w:r w:rsidR="00082D5E" w:rsidRPr="00421152">
        <w:t xml:space="preserve">to support </w:t>
      </w:r>
      <w:r w:rsidR="004C7511">
        <w:t>p</w:t>
      </w:r>
      <w:r w:rsidR="004C7511" w:rsidRPr="00421152">
        <w:t>re</w:t>
      </w:r>
      <w:r w:rsidR="00082D5E" w:rsidRPr="00421152">
        <w:t>-COP13 regional meetings</w:t>
      </w:r>
      <w:r w:rsidR="00082D5E" w:rsidRPr="00421152">
        <w:t>.</w:t>
      </w:r>
    </w:p>
    <w:p w14:paraId="796A896D" w14:textId="443C28E5" w:rsidR="00B03C55" w:rsidRPr="00421152" w:rsidRDefault="00B03C55" w:rsidP="00A77200">
      <w:pPr>
        <w:ind w:left="0" w:firstLine="0"/>
      </w:pPr>
    </w:p>
    <w:p w14:paraId="44E89A4E" w14:textId="77777777" w:rsidR="004E1047" w:rsidRPr="00421152" w:rsidRDefault="004E1047" w:rsidP="004E1047">
      <w:pPr>
        <w:ind w:left="0" w:firstLine="0"/>
      </w:pPr>
      <w:r w:rsidRPr="00421152">
        <w:rPr>
          <w:rFonts w:asciiTheme="minorHAnsi" w:hAnsiTheme="minorHAnsi" w:cs="Arial"/>
          <w:i/>
        </w:rPr>
        <w:t>Management review of non-core funds</w:t>
      </w:r>
      <w:r w:rsidRPr="00421152">
        <w:t xml:space="preserve"> </w:t>
      </w:r>
    </w:p>
    <w:p w14:paraId="2A7474D5" w14:textId="77777777" w:rsidR="004E1047" w:rsidRPr="00421152" w:rsidRDefault="004E1047" w:rsidP="004E1047">
      <w:pPr>
        <w:ind w:left="0" w:firstLine="0"/>
      </w:pPr>
    </w:p>
    <w:p w14:paraId="50B2E8B1" w14:textId="2135ECD9" w:rsidR="004E1047" w:rsidRPr="00421152" w:rsidRDefault="00255D02" w:rsidP="004E1047">
      <w:r>
        <w:t>38</w:t>
      </w:r>
      <w:r w:rsidR="004E1047" w:rsidRPr="00421152">
        <w:t>.</w:t>
      </w:r>
      <w:r w:rsidR="004E1047" w:rsidRPr="00421152">
        <w:tab/>
      </w:r>
      <w:r w:rsidR="005D43A8" w:rsidRPr="00421152">
        <w:t>As a follow up to the internal review conducted by the Secretary General, d</w:t>
      </w:r>
      <w:r w:rsidR="004E1047" w:rsidRPr="00421152">
        <w:t xml:space="preserve">ecision SC53-33, requested the Secretariat to take steps to conduct an external review of non-core projects. The Secretary General asked the </w:t>
      </w:r>
      <w:r w:rsidR="004E1047" w:rsidRPr="00421152">
        <w:t xml:space="preserve">IUCN Oversight Unit to undertake this management and financial review. The external auditors received favourably this initiative. The preliminary results of the review were presented at SC54 and the final results of the review were </w:t>
      </w:r>
      <w:r w:rsidR="006A7F7E" w:rsidRPr="00421152">
        <w:t xml:space="preserve">presented </w:t>
      </w:r>
      <w:r w:rsidR="005D43A8" w:rsidRPr="00421152">
        <w:t xml:space="preserve">to SC55 </w:t>
      </w:r>
      <w:r w:rsidR="006A7F7E" w:rsidRPr="00421152">
        <w:t xml:space="preserve">as document </w:t>
      </w:r>
      <w:r w:rsidR="00834C83">
        <w:t>SC55 Doc.</w:t>
      </w:r>
      <w:r w:rsidR="006A7F7E" w:rsidRPr="00421152">
        <w:t>8.2</w:t>
      </w:r>
      <w:r w:rsidR="004C7511">
        <w:t xml:space="preserve"> on </w:t>
      </w:r>
      <w:r w:rsidR="004C7511" w:rsidRPr="00710D2E">
        <w:rPr>
          <w:i/>
        </w:rPr>
        <w:t xml:space="preserve">Financial </w:t>
      </w:r>
      <w:r w:rsidR="004C7511" w:rsidRPr="00710D2E">
        <w:rPr>
          <w:rFonts w:cs="Calibri"/>
          <w:i/>
        </w:rPr>
        <w:t xml:space="preserve">Management </w:t>
      </w:r>
      <w:r w:rsidR="004C7511" w:rsidRPr="00710D2E">
        <w:rPr>
          <w:i/>
        </w:rPr>
        <w:t>Review of Non-core (Restricted) Fund Accounts</w:t>
      </w:r>
      <w:r w:rsidR="004C7511" w:rsidRPr="00421152">
        <w:t xml:space="preserve"> </w:t>
      </w:r>
      <w:r w:rsidR="00834C83">
        <w:rPr>
          <w:rStyle w:val="FootnoteReference"/>
        </w:rPr>
        <w:footnoteReference w:id="3"/>
      </w:r>
      <w:r w:rsidR="006C4E73" w:rsidRPr="00421152">
        <w:t xml:space="preserve">. The report includes the </w:t>
      </w:r>
      <w:r w:rsidR="00027FCD" w:rsidRPr="00421152">
        <w:t xml:space="preserve">management response </w:t>
      </w:r>
      <w:r w:rsidR="006C4E73" w:rsidRPr="00421152">
        <w:t>from the Secretariat</w:t>
      </w:r>
      <w:r w:rsidR="006A7F7E" w:rsidRPr="00421152">
        <w:t>.</w:t>
      </w:r>
      <w:r w:rsidR="004E1047" w:rsidRPr="00421152">
        <w:t xml:space="preserve"> </w:t>
      </w:r>
    </w:p>
    <w:p w14:paraId="4C004D61" w14:textId="024BF650" w:rsidR="006C4E73" w:rsidRPr="00421152" w:rsidRDefault="006C4E73" w:rsidP="006C4E73">
      <w:pPr>
        <w:ind w:left="0" w:firstLine="0"/>
      </w:pPr>
    </w:p>
    <w:p w14:paraId="42A55B54" w14:textId="2980C1DB" w:rsidR="006C4E73" w:rsidRPr="00421152" w:rsidRDefault="00255D02" w:rsidP="006C4E73">
      <w:r>
        <w:t>39</w:t>
      </w:r>
      <w:r w:rsidR="006C4E73" w:rsidRPr="00421152">
        <w:t>.</w:t>
      </w:r>
      <w:r w:rsidR="006C4E73" w:rsidRPr="00421152">
        <w:tab/>
        <w:t xml:space="preserve">The updated status of the management response and actions </w:t>
      </w:r>
      <w:r w:rsidR="00027FCD">
        <w:t>of</w:t>
      </w:r>
      <w:r w:rsidR="00027FCD" w:rsidRPr="00421152">
        <w:t xml:space="preserve"> </w:t>
      </w:r>
      <w:r w:rsidR="006C4E73" w:rsidRPr="00421152">
        <w:t>the Secre</w:t>
      </w:r>
      <w:r w:rsidR="005D43A8" w:rsidRPr="00421152">
        <w:t>tariat</w:t>
      </w:r>
      <w:r w:rsidR="006C4E73" w:rsidRPr="00421152">
        <w:t xml:space="preserve"> is that two of the ten recommendations have been fully implemented (recommendations 6 and 7). Progress has been made and will continue </w:t>
      </w:r>
      <w:r w:rsidR="00DF0404">
        <w:t>for R</w:t>
      </w:r>
      <w:r w:rsidR="00027FCD" w:rsidRPr="00421152">
        <w:t>ecommendations 2, 5, 8, 9 and 10</w:t>
      </w:r>
      <w:r w:rsidR="00027FCD">
        <w:t xml:space="preserve"> </w:t>
      </w:r>
      <w:r w:rsidR="006C4E73" w:rsidRPr="00421152">
        <w:t>now that the new Finance Officer has been hired</w:t>
      </w:r>
      <w:r w:rsidR="006C4E73" w:rsidRPr="00421152">
        <w:t xml:space="preserve">. </w:t>
      </w:r>
    </w:p>
    <w:p w14:paraId="5CAD7E3B" w14:textId="77777777" w:rsidR="006C4E73" w:rsidRPr="00421152" w:rsidRDefault="006C4E73" w:rsidP="006C4E73"/>
    <w:p w14:paraId="0A2BF41C" w14:textId="4F7EF3FD" w:rsidR="00C04BC6" w:rsidRDefault="00255D02" w:rsidP="006C4E73">
      <w:r>
        <w:t>40</w:t>
      </w:r>
      <w:r w:rsidR="006C4E73" w:rsidRPr="00421152">
        <w:t>.</w:t>
      </w:r>
      <w:r w:rsidR="006C4E73" w:rsidRPr="00421152">
        <w:tab/>
      </w:r>
      <w:r w:rsidR="00FE1016" w:rsidRPr="00421152">
        <w:t>The following recommendations require a decision from Standing Committee:</w:t>
      </w:r>
    </w:p>
    <w:p w14:paraId="1F9393B0" w14:textId="77777777" w:rsidR="0042598C" w:rsidRPr="00421152" w:rsidRDefault="0042598C" w:rsidP="006C4E73"/>
    <w:p w14:paraId="0223ABEB" w14:textId="57DA6E5C" w:rsidR="00C04BC6" w:rsidRPr="00421152" w:rsidRDefault="006C4E73" w:rsidP="0042598C">
      <w:pPr>
        <w:pStyle w:val="ListParagraph"/>
        <w:numPr>
          <w:ilvl w:val="0"/>
          <w:numId w:val="3"/>
        </w:numPr>
        <w:ind w:left="850" w:hanging="425"/>
      </w:pPr>
      <w:r w:rsidRPr="00421152">
        <w:lastRenderedPageBreak/>
        <w:t xml:space="preserve">Recommendation </w:t>
      </w:r>
      <w:r w:rsidR="00715CB9" w:rsidRPr="00421152">
        <w:t>1</w:t>
      </w:r>
      <w:r w:rsidR="00400F6E" w:rsidRPr="00421152">
        <w:t>:</w:t>
      </w:r>
      <w:r w:rsidRPr="00421152">
        <w:t xml:space="preserve"> </w:t>
      </w:r>
      <w:r w:rsidR="00027FCD">
        <w:rPr>
          <w:i/>
        </w:rPr>
        <w:t>T</w:t>
      </w:r>
      <w:r w:rsidRPr="00027FCD">
        <w:rPr>
          <w:i/>
        </w:rPr>
        <w:t>he Secretariat should consider adopting standard terms to describe its funds, either ‘core and non-core’ funds or ‘unrestricted and restricted’</w:t>
      </w:r>
      <w:r w:rsidRPr="00421152">
        <w:t xml:space="preserve">. The Secretariat proposes to use the terms </w:t>
      </w:r>
      <w:r w:rsidR="00027FCD">
        <w:t>“</w:t>
      </w:r>
      <w:r w:rsidRPr="00421152">
        <w:t>core</w:t>
      </w:r>
      <w:r w:rsidR="00027FCD">
        <w:t>”</w:t>
      </w:r>
      <w:r w:rsidRPr="00421152">
        <w:t xml:space="preserve"> and </w:t>
      </w:r>
      <w:r w:rsidR="00027FCD">
        <w:t>“</w:t>
      </w:r>
      <w:r w:rsidRPr="00421152">
        <w:t>non-core</w:t>
      </w:r>
      <w:r w:rsidR="00027FCD">
        <w:t>”</w:t>
      </w:r>
      <w:r w:rsidRPr="00421152">
        <w:t xml:space="preserve"> funds.</w:t>
      </w:r>
      <w:r w:rsidR="00A77200" w:rsidRPr="00421152">
        <w:t xml:space="preserve"> </w:t>
      </w:r>
      <w:r w:rsidR="00D32A47" w:rsidRPr="00421152">
        <w:t xml:space="preserve">The Secretariat </w:t>
      </w:r>
      <w:r w:rsidR="00ED555B">
        <w:t>invites</w:t>
      </w:r>
      <w:r w:rsidR="00ED555B" w:rsidRPr="00421152">
        <w:t xml:space="preserve"> </w:t>
      </w:r>
      <w:r w:rsidR="00D32A47" w:rsidRPr="00421152">
        <w:t xml:space="preserve">the Standing Committee to consider whether or not to adopt the use of the standard terms </w:t>
      </w:r>
      <w:r w:rsidR="00027FCD">
        <w:t>“</w:t>
      </w:r>
      <w:r w:rsidR="00D32A47" w:rsidRPr="00421152">
        <w:t>core</w:t>
      </w:r>
      <w:r w:rsidR="00027FCD">
        <w:t>”</w:t>
      </w:r>
      <w:r w:rsidR="00D32A47" w:rsidRPr="00421152">
        <w:t xml:space="preserve"> and </w:t>
      </w:r>
      <w:r w:rsidR="00027FCD">
        <w:t>“</w:t>
      </w:r>
      <w:r w:rsidR="00D32A47" w:rsidRPr="00421152">
        <w:t>non-core</w:t>
      </w:r>
      <w:r w:rsidR="00027FCD">
        <w:t>”</w:t>
      </w:r>
      <w:r w:rsidR="00D32A47" w:rsidRPr="00421152">
        <w:t xml:space="preserve"> to describe </w:t>
      </w:r>
      <w:r w:rsidR="00D103B6" w:rsidRPr="00421152">
        <w:t>Ramsar</w:t>
      </w:r>
      <w:r w:rsidR="00D32A47" w:rsidRPr="00421152">
        <w:t xml:space="preserve"> funds.</w:t>
      </w:r>
    </w:p>
    <w:p w14:paraId="0D4A8D65" w14:textId="77777777" w:rsidR="00C04BC6" w:rsidRPr="00421152" w:rsidRDefault="00C04BC6" w:rsidP="0042598C">
      <w:pPr>
        <w:ind w:left="850"/>
      </w:pPr>
    </w:p>
    <w:p w14:paraId="5C3317E2" w14:textId="125194C2" w:rsidR="0077681D" w:rsidRPr="00421152" w:rsidRDefault="006C4E73" w:rsidP="0042598C">
      <w:pPr>
        <w:pStyle w:val="ListParagraph"/>
        <w:numPr>
          <w:ilvl w:val="0"/>
          <w:numId w:val="3"/>
        </w:numPr>
        <w:ind w:left="850" w:hanging="425"/>
      </w:pPr>
      <w:r w:rsidRPr="00421152">
        <w:t>Recommendation 4</w:t>
      </w:r>
      <w:r w:rsidR="00400F6E" w:rsidRPr="00421152">
        <w:t>:</w:t>
      </w:r>
      <w:r w:rsidRPr="00421152">
        <w:t xml:space="preserve"> </w:t>
      </w:r>
      <w:r w:rsidR="00027FCD" w:rsidRPr="00027FCD">
        <w:rPr>
          <w:i/>
        </w:rPr>
        <w:t>The Secretariat should invite the external auditor to provide the Standing Committee, through the Subgroup on Finance, with an annual presentation and briefing on the audited financial statements</w:t>
      </w:r>
      <w:r w:rsidRPr="00421152">
        <w:t xml:space="preserve">. </w:t>
      </w:r>
      <w:r w:rsidRPr="00421152">
        <w:t xml:space="preserve">This </w:t>
      </w:r>
      <w:r w:rsidR="00025210" w:rsidRPr="00421152">
        <w:t>may</w:t>
      </w:r>
      <w:r w:rsidRPr="00421152">
        <w:t xml:space="preserve"> result in an increased annual audit fee. The Secretariat </w:t>
      </w:r>
      <w:r w:rsidR="00ED555B">
        <w:t>invites</w:t>
      </w:r>
      <w:r w:rsidRPr="00421152">
        <w:t xml:space="preserve"> the </w:t>
      </w:r>
      <w:r w:rsidRPr="00421152">
        <w:t xml:space="preserve">Standing Committee to </w:t>
      </w:r>
      <w:r w:rsidR="00877FE8" w:rsidRPr="00421152">
        <w:t>make a decision on this matter.</w:t>
      </w:r>
    </w:p>
    <w:p w14:paraId="7A95BBEB" w14:textId="77777777" w:rsidR="004E1047" w:rsidRPr="00421152" w:rsidRDefault="004E1047" w:rsidP="004E1047">
      <w:pPr>
        <w:ind w:left="0" w:firstLine="0"/>
      </w:pPr>
    </w:p>
    <w:p w14:paraId="7E08E9F4" w14:textId="448B7B9F" w:rsidR="00877FE8" w:rsidRPr="00421152" w:rsidRDefault="00255D02" w:rsidP="0042598C">
      <w:r>
        <w:t>41</w:t>
      </w:r>
      <w:r w:rsidR="009705DA" w:rsidRPr="00421152">
        <w:t>.</w:t>
      </w:r>
      <w:r w:rsidR="009705DA" w:rsidRPr="00421152">
        <w:tab/>
      </w:r>
      <w:r w:rsidR="00877FE8" w:rsidRPr="00421152">
        <w:t xml:space="preserve">Regarding </w:t>
      </w:r>
      <w:r w:rsidR="00DF0404">
        <w:t>R</w:t>
      </w:r>
      <w:r w:rsidR="00877FE8" w:rsidRPr="00421152">
        <w:t xml:space="preserve">ecommendation 3: </w:t>
      </w:r>
      <w:r w:rsidR="00DF0404" w:rsidRPr="00DF0404">
        <w:rPr>
          <w:i/>
        </w:rPr>
        <w:t>The Secretariat should present Appendix A: Projects Financed by Restricted Funds to the Standing Committee as a separate management report and remove it from the Convention’s financial statements starting with the fiscal year 2018</w:t>
      </w:r>
      <w:r w:rsidR="00877FE8" w:rsidRPr="00421152">
        <w:t xml:space="preserve">. </w:t>
      </w:r>
      <w:r w:rsidR="00877FE8" w:rsidRPr="00421152">
        <w:t xml:space="preserve">This has been </w:t>
      </w:r>
      <w:r w:rsidR="00877FE8" w:rsidRPr="00421152">
        <w:t xml:space="preserve">included in </w:t>
      </w:r>
      <w:r w:rsidR="009645BE">
        <w:t>this</w:t>
      </w:r>
      <w:r w:rsidR="00877FE8" w:rsidRPr="00421152">
        <w:t xml:space="preserve"> section and </w:t>
      </w:r>
      <w:r w:rsidR="009645BE">
        <w:t xml:space="preserve">in </w:t>
      </w:r>
      <w:r w:rsidR="00877FE8" w:rsidRPr="00421152">
        <w:t>Annex 3 of this document</w:t>
      </w:r>
      <w:r w:rsidR="009705DA" w:rsidRPr="00421152">
        <w:t xml:space="preserve">. The </w:t>
      </w:r>
      <w:r w:rsidR="00877FE8" w:rsidRPr="00421152">
        <w:t xml:space="preserve">2018 audited statements </w:t>
      </w:r>
      <w:r w:rsidR="00877FE8" w:rsidRPr="00421152">
        <w:t>do not include this annex</w:t>
      </w:r>
      <w:r w:rsidR="009705DA" w:rsidRPr="00421152">
        <w:t xml:space="preserve">, hence </w:t>
      </w:r>
      <w:r w:rsidR="001D0741" w:rsidRPr="00421152">
        <w:t>Standing Committee is invited to note this point.</w:t>
      </w:r>
    </w:p>
    <w:p w14:paraId="71F1586C" w14:textId="77777777" w:rsidR="004E1047" w:rsidRPr="00421152" w:rsidRDefault="004E1047" w:rsidP="0042598C">
      <w:pPr>
        <w:pStyle w:val="NoSpacing"/>
      </w:pPr>
    </w:p>
    <w:p w14:paraId="2A0D6E36" w14:textId="450A1544" w:rsidR="00507CA3" w:rsidRPr="00421152" w:rsidRDefault="006A7F7E" w:rsidP="00507CA3">
      <w:pPr>
        <w:ind w:left="0" w:firstLine="0"/>
      </w:pPr>
      <w:r w:rsidRPr="00421152">
        <w:rPr>
          <w:rFonts w:asciiTheme="minorHAnsi" w:hAnsiTheme="minorHAnsi" w:cs="Arial"/>
          <w:i/>
        </w:rPr>
        <w:t>External a</w:t>
      </w:r>
      <w:r w:rsidR="00507CA3" w:rsidRPr="00421152">
        <w:rPr>
          <w:rFonts w:asciiTheme="minorHAnsi" w:hAnsiTheme="minorHAnsi" w:cs="Arial"/>
          <w:i/>
        </w:rPr>
        <w:t xml:space="preserve">uditor’s proposed modification for the calculation of the provision for outstanding </w:t>
      </w:r>
      <w:r w:rsidR="00E27EBA" w:rsidRPr="00421152">
        <w:rPr>
          <w:rFonts w:asciiTheme="minorHAnsi" w:hAnsiTheme="minorHAnsi" w:cs="Arial"/>
          <w:i/>
        </w:rPr>
        <w:t xml:space="preserve">Contracting Party </w:t>
      </w:r>
      <w:r w:rsidR="00507CA3" w:rsidRPr="00421152">
        <w:rPr>
          <w:rFonts w:asciiTheme="minorHAnsi" w:hAnsiTheme="minorHAnsi" w:cs="Arial"/>
          <w:i/>
        </w:rPr>
        <w:t>contributions</w:t>
      </w:r>
      <w:r w:rsidR="00507CA3" w:rsidRPr="00421152">
        <w:t xml:space="preserve"> </w:t>
      </w:r>
    </w:p>
    <w:p w14:paraId="6049E5F5" w14:textId="77777777" w:rsidR="00507CA3" w:rsidRPr="00421152" w:rsidRDefault="00507CA3" w:rsidP="00507CA3">
      <w:pPr>
        <w:ind w:left="0" w:firstLine="0"/>
      </w:pPr>
    </w:p>
    <w:p w14:paraId="35A5ECEB" w14:textId="53763177" w:rsidR="0095098C" w:rsidRPr="00421152" w:rsidRDefault="00255D02" w:rsidP="0042598C">
      <w:r>
        <w:t>42</w:t>
      </w:r>
      <w:r w:rsidR="006A4032" w:rsidRPr="00421152">
        <w:t>.</w:t>
      </w:r>
      <w:r w:rsidR="006A4032" w:rsidRPr="00421152">
        <w:tab/>
      </w:r>
      <w:r w:rsidR="009715DE" w:rsidRPr="00421152">
        <w:t xml:space="preserve">The external auditors have </w:t>
      </w:r>
      <w:r w:rsidR="001D0741" w:rsidRPr="00421152">
        <w:t xml:space="preserve">expressed that the current methodology approved by </w:t>
      </w:r>
      <w:r w:rsidR="009645BE">
        <w:t>D</w:t>
      </w:r>
      <w:r w:rsidR="001D0741" w:rsidRPr="00421152">
        <w:t xml:space="preserve">ecision </w:t>
      </w:r>
      <w:r w:rsidR="00910060" w:rsidRPr="00421152">
        <w:t>SC53-36</w:t>
      </w:r>
      <w:r w:rsidR="001D0741" w:rsidRPr="00421152">
        <w:t xml:space="preserve"> does not </w:t>
      </w:r>
      <w:r w:rsidR="00910060" w:rsidRPr="00421152">
        <w:t xml:space="preserve">incorporate the notion of economic risk of the </w:t>
      </w:r>
      <w:r w:rsidR="009645BE" w:rsidRPr="00421152">
        <w:t xml:space="preserve">Contracting Parties </w:t>
      </w:r>
      <w:r w:rsidR="00910060" w:rsidRPr="00421152">
        <w:t xml:space="preserve">on </w:t>
      </w:r>
      <w:r w:rsidR="00144820">
        <w:t xml:space="preserve">an </w:t>
      </w:r>
      <w:r w:rsidR="00910060" w:rsidRPr="00421152">
        <w:t xml:space="preserve">individual basis and, thus, may result in a </w:t>
      </w:r>
      <w:r w:rsidR="00144820" w:rsidRPr="00421152">
        <w:t>less</w:t>
      </w:r>
      <w:r w:rsidR="00144820">
        <w:t>-</w:t>
      </w:r>
      <w:r w:rsidR="00144820" w:rsidRPr="00421152">
        <w:t>than</w:t>
      </w:r>
      <w:r w:rsidR="00144820">
        <w:t>-</w:t>
      </w:r>
      <w:r w:rsidR="00910060" w:rsidRPr="00421152">
        <w:t xml:space="preserve">prudent approach as it relates to </w:t>
      </w:r>
      <w:r w:rsidR="009645BE" w:rsidRPr="00421152">
        <w:t xml:space="preserve">Contracting Parties </w:t>
      </w:r>
      <w:r w:rsidR="00910060" w:rsidRPr="00421152">
        <w:t>known to delay payments for many years</w:t>
      </w:r>
      <w:r w:rsidR="001D0741" w:rsidRPr="00421152">
        <w:t xml:space="preserve">. </w:t>
      </w:r>
      <w:r w:rsidR="00910060" w:rsidRPr="00421152">
        <w:t xml:space="preserve">In order to fully comply with Swiss law, the external auditor requires </w:t>
      </w:r>
      <w:r w:rsidR="00144820">
        <w:t xml:space="preserve">that </w:t>
      </w:r>
      <w:r w:rsidR="00910060" w:rsidRPr="00421152">
        <w:t>the</w:t>
      </w:r>
      <w:r w:rsidR="001D0741" w:rsidRPr="00421152">
        <w:t xml:space="preserve"> methodology be reviewed for the 2019 audit. Options presented include the following: </w:t>
      </w:r>
    </w:p>
    <w:p w14:paraId="3C131DFB" w14:textId="77777777" w:rsidR="0095098C" w:rsidRPr="00421152" w:rsidRDefault="0095098C" w:rsidP="0042598C"/>
    <w:p w14:paraId="7B351978" w14:textId="5A713C1F" w:rsidR="00B821BB" w:rsidRPr="004D23F7" w:rsidRDefault="0095098C" w:rsidP="0042598C">
      <w:pPr>
        <w:pStyle w:val="ListParagraph"/>
        <w:numPr>
          <w:ilvl w:val="0"/>
          <w:numId w:val="5"/>
        </w:numPr>
        <w:ind w:left="850" w:hanging="425"/>
        <w:rPr>
          <w:spacing w:val="-2"/>
        </w:rPr>
      </w:pPr>
      <w:r w:rsidRPr="004D23F7">
        <w:rPr>
          <w:spacing w:val="-2"/>
        </w:rPr>
        <w:t xml:space="preserve">In order to continue to be audited </w:t>
      </w:r>
      <w:r w:rsidRPr="004D23F7">
        <w:rPr>
          <w:spacing w:val="-2"/>
        </w:rPr>
        <w:t xml:space="preserve">in accordance </w:t>
      </w:r>
      <w:r w:rsidR="00144820" w:rsidRPr="004D23F7">
        <w:rPr>
          <w:spacing w:val="-2"/>
        </w:rPr>
        <w:t xml:space="preserve">with </w:t>
      </w:r>
      <w:r w:rsidRPr="004D23F7">
        <w:rPr>
          <w:spacing w:val="-2"/>
        </w:rPr>
        <w:t xml:space="preserve">Swiss </w:t>
      </w:r>
      <w:r w:rsidR="00144820" w:rsidRPr="004D23F7">
        <w:rPr>
          <w:spacing w:val="-2"/>
        </w:rPr>
        <w:t>law</w:t>
      </w:r>
      <w:r w:rsidRPr="004D23F7">
        <w:rPr>
          <w:spacing w:val="-2"/>
        </w:rPr>
        <w:t xml:space="preserve">, </w:t>
      </w:r>
      <w:r w:rsidR="009715DE" w:rsidRPr="004D23F7">
        <w:rPr>
          <w:spacing w:val="-2"/>
        </w:rPr>
        <w:t xml:space="preserve">the annual calculation for the provision against dues receivable from </w:t>
      </w:r>
      <w:r w:rsidR="00ED555B" w:rsidRPr="004D23F7">
        <w:rPr>
          <w:spacing w:val="-2"/>
        </w:rPr>
        <w:t xml:space="preserve">Contracting Parties </w:t>
      </w:r>
      <w:r w:rsidRPr="004D23F7">
        <w:rPr>
          <w:spacing w:val="-2"/>
        </w:rPr>
        <w:t>would need to be expanded</w:t>
      </w:r>
      <w:r w:rsidR="009715DE" w:rsidRPr="004D23F7">
        <w:rPr>
          <w:spacing w:val="-2"/>
        </w:rPr>
        <w:t xml:space="preserve">. </w:t>
      </w:r>
      <w:r w:rsidR="00863425" w:rsidRPr="004D23F7">
        <w:rPr>
          <w:spacing w:val="-2"/>
        </w:rPr>
        <w:t xml:space="preserve">The requested change </w:t>
      </w:r>
      <w:r w:rsidRPr="004D23F7">
        <w:rPr>
          <w:spacing w:val="-2"/>
        </w:rPr>
        <w:t xml:space="preserve">would be </w:t>
      </w:r>
      <w:r w:rsidR="00863425" w:rsidRPr="004D23F7">
        <w:rPr>
          <w:spacing w:val="-2"/>
        </w:rPr>
        <w:t>to increase the provision to 100% for balances outstanding for less than five years</w:t>
      </w:r>
      <w:r w:rsidR="00144820" w:rsidRPr="004D23F7">
        <w:rPr>
          <w:spacing w:val="-2"/>
        </w:rPr>
        <w:t>,</w:t>
      </w:r>
      <w:r w:rsidR="00863425" w:rsidRPr="004D23F7">
        <w:rPr>
          <w:spacing w:val="-2"/>
        </w:rPr>
        <w:t xml:space="preserve"> for Contracting Parties who have not made a contribution payment in the past four years.</w:t>
      </w:r>
      <w:r w:rsidRPr="004D23F7">
        <w:rPr>
          <w:spacing w:val="-2"/>
        </w:rPr>
        <w:t xml:space="preserve"> This would represent an increase of </w:t>
      </w:r>
      <w:r w:rsidR="00792EB2" w:rsidRPr="004D23F7">
        <w:rPr>
          <w:spacing w:val="-2"/>
        </w:rPr>
        <w:t>CHF</w:t>
      </w:r>
      <w:r w:rsidR="00144820" w:rsidRPr="004D23F7">
        <w:rPr>
          <w:spacing w:val="-2"/>
        </w:rPr>
        <w:t xml:space="preserve"> </w:t>
      </w:r>
      <w:r w:rsidR="00792EB2" w:rsidRPr="004D23F7">
        <w:rPr>
          <w:spacing w:val="-2"/>
        </w:rPr>
        <w:t>178K.</w:t>
      </w:r>
    </w:p>
    <w:p w14:paraId="0355955B" w14:textId="77777777" w:rsidR="006A4032" w:rsidRPr="00421152" w:rsidRDefault="006A4032" w:rsidP="0042598C">
      <w:pPr>
        <w:ind w:left="850"/>
      </w:pPr>
    </w:p>
    <w:p w14:paraId="06C71AAA" w14:textId="77777777" w:rsidR="00144820" w:rsidRDefault="0042598C" w:rsidP="0042598C">
      <w:pPr>
        <w:ind w:left="850"/>
      </w:pPr>
      <w:r>
        <w:t>b</w:t>
      </w:r>
      <w:r w:rsidR="006A4032" w:rsidRPr="00421152">
        <w:t>.</w:t>
      </w:r>
      <w:r w:rsidR="006A4032" w:rsidRPr="00421152">
        <w:tab/>
      </w:r>
      <w:r w:rsidR="0095098C" w:rsidRPr="00421152">
        <w:t>Other alternatives would be:</w:t>
      </w:r>
    </w:p>
    <w:p w14:paraId="1D718B40" w14:textId="5B038A63" w:rsidR="00144820" w:rsidRDefault="00B821BB" w:rsidP="00144820">
      <w:pPr>
        <w:ind w:left="1276"/>
      </w:pPr>
      <w:r w:rsidRPr="00421152">
        <w:t>i</w:t>
      </w:r>
      <w:r w:rsidR="00144820">
        <w:t>.</w:t>
      </w:r>
      <w:r w:rsidRPr="00421152">
        <w:t xml:space="preserve"> </w:t>
      </w:r>
      <w:r w:rsidR="00144820">
        <w:tab/>
      </w:r>
      <w:r w:rsidR="00492D48" w:rsidRPr="00421152">
        <w:t>for the auditors to</w:t>
      </w:r>
      <w:r w:rsidRPr="00421152">
        <w:t xml:space="preserve"> include a qualification in the audit opinion stating that the financial statements comply with Swiss </w:t>
      </w:r>
      <w:r w:rsidR="00144820">
        <w:t>l</w:t>
      </w:r>
      <w:r w:rsidR="00144820" w:rsidRPr="00421152">
        <w:t xml:space="preserve">aw </w:t>
      </w:r>
      <w:r w:rsidRPr="00421152">
        <w:t xml:space="preserve">except for the provision against outstanding dues from </w:t>
      </w:r>
      <w:r w:rsidR="00144820" w:rsidRPr="00421152">
        <w:t>Contracting Parties</w:t>
      </w:r>
      <w:r w:rsidR="00144820">
        <w:t>;</w:t>
      </w:r>
      <w:r w:rsidR="00492D48" w:rsidRPr="00421152">
        <w:t xml:space="preserve"> </w:t>
      </w:r>
      <w:r w:rsidRPr="00421152">
        <w:t xml:space="preserve">or </w:t>
      </w:r>
    </w:p>
    <w:p w14:paraId="6F681068" w14:textId="0A078884" w:rsidR="0095098C" w:rsidRPr="00421152" w:rsidRDefault="00B821BB" w:rsidP="00144820">
      <w:pPr>
        <w:ind w:left="1276"/>
      </w:pPr>
      <w:r w:rsidRPr="00421152">
        <w:t>ii</w:t>
      </w:r>
      <w:r w:rsidR="00144820">
        <w:t>.</w:t>
      </w:r>
      <w:r w:rsidRPr="00421152">
        <w:t xml:space="preserve"> </w:t>
      </w:r>
      <w:r w:rsidR="00144820">
        <w:tab/>
      </w:r>
      <w:r w:rsidRPr="00421152">
        <w:t xml:space="preserve">Ramsar </w:t>
      </w:r>
      <w:r w:rsidR="0052275F" w:rsidRPr="00421152">
        <w:t>could adopt</w:t>
      </w:r>
      <w:r w:rsidRPr="00421152">
        <w:t xml:space="preserve"> its own accounting policies: preparation of financial statements by adopting its own accounting principles (described in the note</w:t>
      </w:r>
      <w:r w:rsidR="0052275F" w:rsidRPr="00421152">
        <w:t>s</w:t>
      </w:r>
      <w:r w:rsidRPr="00421152">
        <w:t xml:space="preserve"> </w:t>
      </w:r>
      <w:r w:rsidRPr="00421152">
        <w:t xml:space="preserve">to the financial statements). </w:t>
      </w:r>
      <w:r w:rsidR="0052275F" w:rsidRPr="00421152">
        <w:t>The auditors</w:t>
      </w:r>
      <w:r w:rsidRPr="00421152">
        <w:t xml:space="preserve"> w</w:t>
      </w:r>
      <w:r w:rsidR="0052275F" w:rsidRPr="00421152">
        <w:t>ould</w:t>
      </w:r>
      <w:r w:rsidRPr="00421152">
        <w:t xml:space="preserve"> opine on the financial statements </w:t>
      </w:r>
      <w:r w:rsidRPr="00421152">
        <w:t xml:space="preserve">prepared in accordance </w:t>
      </w:r>
      <w:r w:rsidR="00144820">
        <w:t>with</w:t>
      </w:r>
      <w:r w:rsidR="00144820" w:rsidRPr="00421152">
        <w:t xml:space="preserve"> </w:t>
      </w:r>
      <w:r w:rsidRPr="00421152">
        <w:t>the notes</w:t>
      </w:r>
      <w:r w:rsidR="00D95CBC">
        <w:t xml:space="preserve"> to the Financial Statements</w:t>
      </w:r>
      <w:r w:rsidRPr="00421152">
        <w:t>.</w:t>
      </w:r>
    </w:p>
    <w:p w14:paraId="22D77B61" w14:textId="77777777" w:rsidR="00792EB2" w:rsidRPr="00421152" w:rsidRDefault="00792EB2" w:rsidP="00792EB2">
      <w:pPr>
        <w:ind w:left="720" w:firstLine="0"/>
      </w:pPr>
    </w:p>
    <w:p w14:paraId="1F2B7A82" w14:textId="33BC303C" w:rsidR="0095098C" w:rsidRPr="00421152" w:rsidRDefault="0095098C" w:rsidP="0042598C">
      <w:pPr>
        <w:ind w:firstLine="0"/>
      </w:pPr>
      <w:r w:rsidRPr="00421152">
        <w:t xml:space="preserve">More details have been </w:t>
      </w:r>
      <w:r w:rsidRPr="00421152">
        <w:t xml:space="preserve">provided to the Subgroup </w:t>
      </w:r>
      <w:r w:rsidR="00FD67D3">
        <w:t xml:space="preserve">on </w:t>
      </w:r>
      <w:r w:rsidR="00FD67D3" w:rsidRPr="00421152">
        <w:t>Finance</w:t>
      </w:r>
      <w:r w:rsidR="00FD67D3">
        <w:t>,</w:t>
      </w:r>
      <w:r w:rsidR="00FD67D3" w:rsidRPr="00421152">
        <w:t xml:space="preserve"> </w:t>
      </w:r>
      <w:r w:rsidRPr="00421152">
        <w:t>including a note from the auditor</w:t>
      </w:r>
      <w:r w:rsidR="00FD67D3">
        <w:t>,</w:t>
      </w:r>
      <w:r w:rsidRPr="00421152">
        <w:t xml:space="preserve"> prepared at the request of and with input from the Secretariat.</w:t>
      </w:r>
    </w:p>
    <w:p w14:paraId="73EAE4D4" w14:textId="77777777" w:rsidR="004E1047" w:rsidRPr="00421152" w:rsidRDefault="004E1047" w:rsidP="00507CA3">
      <w:pPr>
        <w:ind w:left="0" w:firstLine="0"/>
      </w:pPr>
    </w:p>
    <w:p w14:paraId="62577091" w14:textId="456F2611" w:rsidR="006A4032" w:rsidRPr="00421152" w:rsidRDefault="006A7F7E" w:rsidP="004E1047">
      <w:pPr>
        <w:ind w:left="0" w:firstLine="0"/>
      </w:pPr>
      <w:r w:rsidRPr="00421152">
        <w:rPr>
          <w:rFonts w:asciiTheme="minorHAnsi" w:hAnsiTheme="minorHAnsi" w:cs="Arial"/>
          <w:i/>
        </w:rPr>
        <w:t>External a</w:t>
      </w:r>
      <w:r w:rsidR="004E1047" w:rsidRPr="00421152">
        <w:rPr>
          <w:rFonts w:asciiTheme="minorHAnsi" w:hAnsiTheme="minorHAnsi" w:cs="Arial"/>
          <w:i/>
        </w:rPr>
        <w:t xml:space="preserve">uditor’s requested modification of their audit approach for outstanding </w:t>
      </w:r>
      <w:r w:rsidR="00FD67D3" w:rsidRPr="00421152">
        <w:rPr>
          <w:rFonts w:asciiTheme="minorHAnsi" w:hAnsiTheme="minorHAnsi" w:cs="Arial"/>
          <w:i/>
        </w:rPr>
        <w:t xml:space="preserve">Contracting Party </w:t>
      </w:r>
      <w:r w:rsidR="004E1047" w:rsidRPr="00421152">
        <w:rPr>
          <w:rFonts w:asciiTheme="minorHAnsi" w:hAnsiTheme="minorHAnsi" w:cs="Arial"/>
          <w:i/>
        </w:rPr>
        <w:t>balances</w:t>
      </w:r>
      <w:r w:rsidR="00E91F83" w:rsidRPr="00421152">
        <w:rPr>
          <w:rFonts w:asciiTheme="minorHAnsi" w:hAnsiTheme="minorHAnsi" w:cs="Arial"/>
          <w:i/>
        </w:rPr>
        <w:t xml:space="preserve"> </w:t>
      </w:r>
    </w:p>
    <w:p w14:paraId="2E4D9C3C" w14:textId="4D3F1AEA" w:rsidR="009715DE" w:rsidRPr="00421152" w:rsidRDefault="009715DE" w:rsidP="004E1047">
      <w:pPr>
        <w:ind w:left="0" w:firstLine="0"/>
      </w:pPr>
    </w:p>
    <w:p w14:paraId="46B0EC0D" w14:textId="5DB2D05A" w:rsidR="00DC1D97" w:rsidRPr="004D23F7" w:rsidRDefault="00255D02" w:rsidP="004D23F7">
      <w:r>
        <w:t>43</w:t>
      </w:r>
      <w:r w:rsidR="006A4032" w:rsidRPr="00421152">
        <w:t>.</w:t>
      </w:r>
      <w:r w:rsidR="006A4032" w:rsidRPr="00421152">
        <w:tab/>
      </w:r>
      <w:r w:rsidR="009715DE" w:rsidRPr="00421152">
        <w:t xml:space="preserve">The </w:t>
      </w:r>
      <w:r w:rsidR="009715DE" w:rsidRPr="00421152">
        <w:t xml:space="preserve">external auditor </w:t>
      </w:r>
      <w:r w:rsidR="00FD67D3">
        <w:t>has</w:t>
      </w:r>
      <w:r w:rsidR="00FD67D3" w:rsidRPr="00421152">
        <w:t xml:space="preserve"> </w:t>
      </w:r>
      <w:r w:rsidR="009715DE" w:rsidRPr="00421152">
        <w:t xml:space="preserve">requested </w:t>
      </w:r>
      <w:r w:rsidR="009715DE" w:rsidRPr="00421152">
        <w:t>to send confirmation letters to a selection of Contracting Parties with outstanding contribution balances</w:t>
      </w:r>
      <w:r w:rsidR="00715CB9" w:rsidRPr="00421152">
        <w:t xml:space="preserve">, as a part of the standard audit procedures. The </w:t>
      </w:r>
      <w:r w:rsidR="00715CB9" w:rsidRPr="00421152">
        <w:lastRenderedPageBreak/>
        <w:t xml:space="preserve">process </w:t>
      </w:r>
      <w:r w:rsidR="00FD67D3">
        <w:t xml:space="preserve">would </w:t>
      </w:r>
      <w:r w:rsidR="00715CB9" w:rsidRPr="00421152">
        <w:t xml:space="preserve">consist </w:t>
      </w:r>
      <w:r w:rsidR="00FD67D3">
        <w:t xml:space="preserve">of </w:t>
      </w:r>
      <w:r w:rsidR="00715CB9" w:rsidRPr="00421152">
        <w:t xml:space="preserve">obtaining a direct communication from the Contracting Parties in response to a request for information about a particular item affecting financial statement assertions. </w:t>
      </w:r>
      <w:r w:rsidR="00444598" w:rsidRPr="00421152">
        <w:t xml:space="preserve">The external auditor </w:t>
      </w:r>
      <w:r w:rsidR="0095098C" w:rsidRPr="00421152">
        <w:t>propose</w:t>
      </w:r>
      <w:r w:rsidR="00FD67D3">
        <w:t>s</w:t>
      </w:r>
      <w:r w:rsidR="00715CB9" w:rsidRPr="00421152">
        <w:t xml:space="preserve"> starting in 2019 </w:t>
      </w:r>
      <w:r w:rsidR="00ED555B">
        <w:t xml:space="preserve">to send </w:t>
      </w:r>
      <w:r w:rsidR="00715CB9" w:rsidRPr="00421152">
        <w:t xml:space="preserve">letters or forms directly to a group of selected Contracting Parties to check the payable or receivable amounts to confirm the amounts recorded in </w:t>
      </w:r>
      <w:r w:rsidR="00FD67D3">
        <w:t>the financial</w:t>
      </w:r>
      <w:r w:rsidR="00FD67D3" w:rsidRPr="00421152">
        <w:t xml:space="preserve"> </w:t>
      </w:r>
      <w:r w:rsidR="00715CB9" w:rsidRPr="00421152">
        <w:t xml:space="preserve">system. This is a standard practice for the audit of entities that are audited in accordance with Swiss </w:t>
      </w:r>
      <w:r w:rsidR="00FD67D3">
        <w:t>l</w:t>
      </w:r>
      <w:r w:rsidR="00715CB9" w:rsidRPr="00421152">
        <w:t xml:space="preserve">aw. </w:t>
      </w:r>
      <w:r w:rsidR="0095098C" w:rsidRPr="00421152">
        <w:t xml:space="preserve">The Secretariat </w:t>
      </w:r>
      <w:r w:rsidR="00C45606">
        <w:t xml:space="preserve">has </w:t>
      </w:r>
      <w:r w:rsidR="0095098C" w:rsidRPr="00421152">
        <w:t xml:space="preserve">explained to the auditor the challenges arising from requesting such letters </w:t>
      </w:r>
      <w:r w:rsidR="00ED555B">
        <w:t>from</w:t>
      </w:r>
      <w:r w:rsidR="0095098C" w:rsidRPr="00421152">
        <w:t xml:space="preserve"> States.</w:t>
      </w:r>
      <w:r w:rsidR="00DC1D97">
        <w:rPr>
          <w:b/>
          <w:sz w:val="24"/>
          <w:szCs w:val="24"/>
        </w:rPr>
        <w:br w:type="page"/>
      </w:r>
    </w:p>
    <w:p w14:paraId="16FA2C6F" w14:textId="3B79B210" w:rsidR="001458BE" w:rsidRPr="00421152" w:rsidRDefault="001458BE" w:rsidP="00633DD5">
      <w:pPr>
        <w:pStyle w:val="NoSpacing"/>
        <w:rPr>
          <w:b/>
          <w:sz w:val="24"/>
          <w:szCs w:val="24"/>
        </w:rPr>
      </w:pPr>
      <w:r w:rsidRPr="00421152">
        <w:rPr>
          <w:b/>
          <w:sz w:val="24"/>
          <w:szCs w:val="24"/>
        </w:rPr>
        <w:lastRenderedPageBreak/>
        <w:t>Annex 1</w:t>
      </w:r>
    </w:p>
    <w:p w14:paraId="16876955" w14:textId="79C8E6FD" w:rsidR="00C54D5B" w:rsidRPr="00421152" w:rsidRDefault="00271D3D" w:rsidP="00BD2863">
      <w:pPr>
        <w:pStyle w:val="NoSpacing"/>
        <w:ind w:left="0" w:firstLine="0"/>
        <w:rPr>
          <w:b/>
          <w:sz w:val="24"/>
          <w:szCs w:val="24"/>
        </w:rPr>
      </w:pPr>
      <w:r w:rsidRPr="00421152">
        <w:rPr>
          <w:b/>
          <w:sz w:val="24"/>
          <w:szCs w:val="24"/>
        </w:rPr>
        <w:t xml:space="preserve">Audited </w:t>
      </w:r>
      <w:r w:rsidR="00C54D5B" w:rsidRPr="00421152">
        <w:rPr>
          <w:b/>
          <w:sz w:val="24"/>
          <w:szCs w:val="24"/>
        </w:rPr>
        <w:t>financial statements as of 31 December 201</w:t>
      </w:r>
      <w:r w:rsidR="00DE63F0" w:rsidRPr="00421152">
        <w:rPr>
          <w:b/>
          <w:sz w:val="24"/>
          <w:szCs w:val="24"/>
        </w:rPr>
        <w:t>8</w:t>
      </w:r>
      <w:r w:rsidR="00C54D5B" w:rsidRPr="00421152">
        <w:rPr>
          <w:b/>
          <w:sz w:val="24"/>
          <w:szCs w:val="24"/>
        </w:rPr>
        <w:t xml:space="preserve"> (Swiss reporting format)</w:t>
      </w:r>
    </w:p>
    <w:p w14:paraId="2B5261A3" w14:textId="3021FF68" w:rsidR="0074567B" w:rsidRPr="00421152" w:rsidRDefault="0074567B" w:rsidP="00BD2863">
      <w:pPr>
        <w:pStyle w:val="NoSpacing"/>
        <w:ind w:left="0" w:firstLine="0"/>
        <w:rPr>
          <w:b/>
          <w:sz w:val="24"/>
          <w:szCs w:val="24"/>
        </w:rPr>
      </w:pPr>
    </w:p>
    <w:p w14:paraId="235003DD" w14:textId="4EF559F4" w:rsidR="0074567B" w:rsidRPr="00421152" w:rsidRDefault="0074567B" w:rsidP="00BD2863">
      <w:pPr>
        <w:pStyle w:val="NoSpacing"/>
        <w:ind w:left="0" w:firstLine="0"/>
        <w:rPr>
          <w:b/>
          <w:sz w:val="24"/>
          <w:szCs w:val="24"/>
        </w:rPr>
      </w:pPr>
    </w:p>
    <w:p w14:paraId="38C90180" w14:textId="5983BB1B" w:rsidR="004C03D9" w:rsidRPr="00421152" w:rsidRDefault="003D733E" w:rsidP="00633DD5">
      <w:pPr>
        <w:pStyle w:val="NoSpacing"/>
        <w:rPr>
          <w:b/>
        </w:rPr>
      </w:pPr>
      <w:r w:rsidRPr="00421152">
        <w:rPr>
          <w:b/>
        </w:rPr>
        <w:t>I.</w:t>
      </w:r>
      <w:r w:rsidRPr="00421152">
        <w:rPr>
          <w:b/>
        </w:rPr>
        <w:tab/>
      </w:r>
      <w:r w:rsidR="00D418B6" w:rsidRPr="00421152">
        <w:rPr>
          <w:b/>
        </w:rPr>
        <w:t>Balance sheet as of 31 December</w:t>
      </w:r>
    </w:p>
    <w:p w14:paraId="2DADE7AE" w14:textId="1FF23D9E" w:rsidR="0074567B" w:rsidRPr="00421152" w:rsidRDefault="0074567B" w:rsidP="00633DD5">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40"/>
        <w:gridCol w:w="1280"/>
        <w:gridCol w:w="1180"/>
        <w:gridCol w:w="266"/>
        <w:gridCol w:w="266"/>
        <w:gridCol w:w="1180"/>
        <w:gridCol w:w="266"/>
      </w:tblGrid>
      <w:tr w:rsidR="00BF09C3" w:rsidRPr="00421152" w14:paraId="1350B3C5" w14:textId="77777777" w:rsidTr="001C5386">
        <w:trPr>
          <w:trHeight w:val="393"/>
        </w:trPr>
        <w:tc>
          <w:tcPr>
            <w:tcW w:w="4540" w:type="dxa"/>
            <w:tcBorders>
              <w:bottom w:val="single" w:sz="4" w:space="0" w:color="auto"/>
            </w:tcBorders>
            <w:noWrap/>
            <w:vAlign w:val="center"/>
            <w:hideMark/>
          </w:tcPr>
          <w:p w14:paraId="25C35A45" w14:textId="77777777" w:rsidR="0074567B" w:rsidRPr="00421152" w:rsidRDefault="0074567B" w:rsidP="001C5386">
            <w:pPr>
              <w:pStyle w:val="NoSpacing"/>
              <w:rPr>
                <w:rFonts w:asciiTheme="minorHAnsi" w:hAnsiTheme="minorHAnsi"/>
                <w:i/>
                <w:iCs/>
                <w:sz w:val="20"/>
                <w:szCs w:val="20"/>
              </w:rPr>
            </w:pPr>
            <w:r w:rsidRPr="00421152">
              <w:rPr>
                <w:rFonts w:asciiTheme="minorHAnsi" w:hAnsiTheme="minorHAnsi"/>
                <w:i/>
                <w:iCs/>
                <w:sz w:val="20"/>
                <w:szCs w:val="20"/>
              </w:rPr>
              <w:t>in thousands of Swiss Francs (CHF '000s)</w:t>
            </w:r>
          </w:p>
        </w:tc>
        <w:tc>
          <w:tcPr>
            <w:tcW w:w="1280" w:type="dxa"/>
            <w:tcBorders>
              <w:bottom w:val="single" w:sz="4" w:space="0" w:color="auto"/>
            </w:tcBorders>
            <w:noWrap/>
            <w:vAlign w:val="center"/>
            <w:hideMark/>
          </w:tcPr>
          <w:p w14:paraId="526AC4C9" w14:textId="420E64A2" w:rsidR="0074567B" w:rsidRPr="00326625" w:rsidRDefault="0074567B" w:rsidP="001C5386">
            <w:pPr>
              <w:pStyle w:val="NoSpacing"/>
              <w:jc w:val="center"/>
              <w:rPr>
                <w:rFonts w:asciiTheme="minorHAnsi" w:hAnsiTheme="minorHAnsi"/>
                <w:b/>
                <w:bCs/>
                <w:i/>
                <w:sz w:val="20"/>
                <w:szCs w:val="20"/>
              </w:rPr>
            </w:pPr>
            <w:r w:rsidRPr="00326625">
              <w:rPr>
                <w:rFonts w:asciiTheme="minorHAnsi" w:hAnsiTheme="minorHAnsi"/>
                <w:b/>
                <w:bCs/>
                <w:i/>
                <w:sz w:val="20"/>
                <w:szCs w:val="20"/>
              </w:rPr>
              <w:t>Notes</w:t>
            </w:r>
            <w:r w:rsidR="004D0F14">
              <w:rPr>
                <w:rStyle w:val="FootnoteReference"/>
                <w:rFonts w:asciiTheme="minorHAnsi" w:hAnsiTheme="minorHAnsi"/>
                <w:b/>
                <w:bCs/>
                <w:i/>
                <w:sz w:val="20"/>
                <w:szCs w:val="20"/>
              </w:rPr>
              <w:footnoteReference w:id="4"/>
            </w:r>
          </w:p>
        </w:tc>
        <w:tc>
          <w:tcPr>
            <w:tcW w:w="1446" w:type="dxa"/>
            <w:gridSpan w:val="2"/>
            <w:tcBorders>
              <w:bottom w:val="single" w:sz="4" w:space="0" w:color="auto"/>
            </w:tcBorders>
            <w:shd w:val="clear" w:color="auto" w:fill="C6D9F1" w:themeFill="text2" w:themeFillTint="33"/>
            <w:vAlign w:val="center"/>
            <w:hideMark/>
          </w:tcPr>
          <w:p w14:paraId="650C23F1" w14:textId="075923C5" w:rsidR="0074567B" w:rsidRPr="00421152" w:rsidRDefault="0074567B" w:rsidP="001C5386">
            <w:pPr>
              <w:pStyle w:val="NoSpacing"/>
              <w:jc w:val="center"/>
              <w:rPr>
                <w:rFonts w:asciiTheme="minorHAnsi" w:hAnsiTheme="minorHAnsi"/>
                <w:b/>
                <w:bCs/>
                <w:sz w:val="20"/>
                <w:szCs w:val="20"/>
              </w:rPr>
            </w:pPr>
            <w:r w:rsidRPr="00421152">
              <w:rPr>
                <w:rFonts w:asciiTheme="minorHAnsi" w:hAnsiTheme="minorHAnsi"/>
                <w:b/>
                <w:bCs/>
                <w:sz w:val="20"/>
                <w:szCs w:val="20"/>
              </w:rPr>
              <w:t>2018</w:t>
            </w:r>
          </w:p>
        </w:tc>
        <w:tc>
          <w:tcPr>
            <w:tcW w:w="266" w:type="dxa"/>
            <w:tcBorders>
              <w:bottom w:val="single" w:sz="4" w:space="0" w:color="auto"/>
            </w:tcBorders>
            <w:shd w:val="clear" w:color="auto" w:fill="D9D9D9" w:themeFill="background1" w:themeFillShade="D9"/>
            <w:noWrap/>
            <w:vAlign w:val="center"/>
            <w:hideMark/>
          </w:tcPr>
          <w:p w14:paraId="1DCBB4FC" w14:textId="01BDE0D6" w:rsidR="0074567B" w:rsidRPr="00421152" w:rsidRDefault="0074567B" w:rsidP="001C5386">
            <w:pPr>
              <w:pStyle w:val="NoSpacing"/>
              <w:jc w:val="center"/>
              <w:rPr>
                <w:rFonts w:asciiTheme="minorHAnsi" w:hAnsiTheme="minorHAnsi"/>
                <w:b/>
                <w:sz w:val="20"/>
                <w:szCs w:val="20"/>
              </w:rPr>
            </w:pPr>
          </w:p>
        </w:tc>
        <w:tc>
          <w:tcPr>
            <w:tcW w:w="1446" w:type="dxa"/>
            <w:gridSpan w:val="2"/>
            <w:tcBorders>
              <w:bottom w:val="single" w:sz="4" w:space="0" w:color="auto"/>
            </w:tcBorders>
            <w:shd w:val="clear" w:color="auto" w:fill="D6E3BC" w:themeFill="accent3" w:themeFillTint="66"/>
            <w:noWrap/>
            <w:vAlign w:val="center"/>
            <w:hideMark/>
          </w:tcPr>
          <w:p w14:paraId="2AEAF89F" w14:textId="4B8D2CB5" w:rsidR="0074567B" w:rsidRPr="00421152" w:rsidRDefault="0074567B" w:rsidP="001C5386">
            <w:pPr>
              <w:pStyle w:val="NoSpacing"/>
              <w:jc w:val="center"/>
              <w:rPr>
                <w:rFonts w:asciiTheme="minorHAnsi" w:hAnsiTheme="minorHAnsi"/>
                <w:b/>
                <w:bCs/>
                <w:sz w:val="20"/>
                <w:szCs w:val="20"/>
              </w:rPr>
            </w:pPr>
            <w:r w:rsidRPr="00421152">
              <w:rPr>
                <w:rFonts w:asciiTheme="minorHAnsi" w:hAnsiTheme="minorHAnsi"/>
                <w:b/>
                <w:bCs/>
                <w:sz w:val="20"/>
                <w:szCs w:val="20"/>
              </w:rPr>
              <w:t>2017</w:t>
            </w:r>
          </w:p>
        </w:tc>
      </w:tr>
      <w:tr w:rsidR="00BF09C3" w:rsidRPr="00421152" w14:paraId="6CBD5664" w14:textId="77777777" w:rsidTr="00BF09C3">
        <w:tc>
          <w:tcPr>
            <w:tcW w:w="4540" w:type="dxa"/>
            <w:tcBorders>
              <w:top w:val="single" w:sz="4" w:space="0" w:color="auto"/>
            </w:tcBorders>
            <w:hideMark/>
          </w:tcPr>
          <w:p w14:paraId="3DE56D2B" w14:textId="77777777" w:rsidR="00BF09C3" w:rsidRPr="00421152" w:rsidRDefault="00BF09C3" w:rsidP="0074567B">
            <w:pPr>
              <w:pStyle w:val="NoSpacing"/>
              <w:rPr>
                <w:rFonts w:asciiTheme="minorHAnsi" w:hAnsiTheme="minorHAnsi"/>
                <w:b/>
                <w:bCs/>
                <w:sz w:val="20"/>
                <w:szCs w:val="20"/>
              </w:rPr>
            </w:pPr>
          </w:p>
          <w:p w14:paraId="1A0D5566" w14:textId="009A6370"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ASSETS</w:t>
            </w:r>
          </w:p>
        </w:tc>
        <w:tc>
          <w:tcPr>
            <w:tcW w:w="1280" w:type="dxa"/>
            <w:tcBorders>
              <w:top w:val="single" w:sz="4" w:space="0" w:color="auto"/>
            </w:tcBorders>
            <w:noWrap/>
            <w:hideMark/>
          </w:tcPr>
          <w:p w14:paraId="0C91F2D0" w14:textId="2D220C01"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tcBorders>
            <w:noWrap/>
            <w:hideMark/>
          </w:tcPr>
          <w:p w14:paraId="561CD759"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266" w:type="dxa"/>
            <w:tcBorders>
              <w:top w:val="single" w:sz="4" w:space="0" w:color="auto"/>
            </w:tcBorders>
            <w:noWrap/>
            <w:hideMark/>
          </w:tcPr>
          <w:p w14:paraId="2B7E5D9B"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266" w:type="dxa"/>
            <w:tcBorders>
              <w:top w:val="single" w:sz="4" w:space="0" w:color="auto"/>
            </w:tcBorders>
            <w:shd w:val="clear" w:color="auto" w:fill="D9D9D9" w:themeFill="background1" w:themeFillShade="D9"/>
            <w:noWrap/>
            <w:hideMark/>
          </w:tcPr>
          <w:p w14:paraId="29D9C8D8"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1180" w:type="dxa"/>
            <w:tcBorders>
              <w:top w:val="single" w:sz="4" w:space="0" w:color="auto"/>
            </w:tcBorders>
            <w:noWrap/>
            <w:hideMark/>
          </w:tcPr>
          <w:p w14:paraId="22FACF87"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266" w:type="dxa"/>
            <w:tcBorders>
              <w:top w:val="single" w:sz="4" w:space="0" w:color="auto"/>
            </w:tcBorders>
            <w:noWrap/>
            <w:hideMark/>
          </w:tcPr>
          <w:p w14:paraId="0AF82558"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40B0159A" w14:textId="77777777" w:rsidTr="00BF09C3">
        <w:tc>
          <w:tcPr>
            <w:tcW w:w="4540" w:type="dxa"/>
            <w:hideMark/>
          </w:tcPr>
          <w:p w14:paraId="36A827B9"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Current assets</w:t>
            </w:r>
          </w:p>
        </w:tc>
        <w:tc>
          <w:tcPr>
            <w:tcW w:w="1280" w:type="dxa"/>
            <w:noWrap/>
            <w:hideMark/>
          </w:tcPr>
          <w:p w14:paraId="6C08C589" w14:textId="0E334FEB"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278F171A"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3775FD83"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266" w:type="dxa"/>
            <w:shd w:val="clear" w:color="auto" w:fill="D9D9D9" w:themeFill="background1" w:themeFillShade="D9"/>
            <w:noWrap/>
            <w:hideMark/>
          </w:tcPr>
          <w:p w14:paraId="448B65DA"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1180" w:type="dxa"/>
            <w:noWrap/>
            <w:hideMark/>
          </w:tcPr>
          <w:p w14:paraId="32CF3F2D"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53B7792A"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16BB6A48" w14:textId="77777777" w:rsidTr="00BF09C3">
        <w:tc>
          <w:tcPr>
            <w:tcW w:w="4540" w:type="dxa"/>
            <w:hideMark/>
          </w:tcPr>
          <w:p w14:paraId="3E398A84" w14:textId="0ABDFECE"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Cash and short term bank deposits</w:t>
            </w:r>
          </w:p>
        </w:tc>
        <w:tc>
          <w:tcPr>
            <w:tcW w:w="1280" w:type="dxa"/>
            <w:noWrap/>
            <w:hideMark/>
          </w:tcPr>
          <w:p w14:paraId="4083AE10" w14:textId="618D9DC5" w:rsidR="0074567B" w:rsidRPr="00326625" w:rsidRDefault="0074567B" w:rsidP="00BF09C3">
            <w:pPr>
              <w:pStyle w:val="NoSpacing"/>
              <w:jc w:val="center"/>
              <w:rPr>
                <w:rFonts w:asciiTheme="minorHAnsi" w:hAnsiTheme="minorHAnsi"/>
                <w:i/>
                <w:sz w:val="20"/>
                <w:szCs w:val="20"/>
              </w:rPr>
            </w:pPr>
          </w:p>
        </w:tc>
        <w:tc>
          <w:tcPr>
            <w:tcW w:w="1180" w:type="dxa"/>
            <w:noWrap/>
            <w:hideMark/>
          </w:tcPr>
          <w:p w14:paraId="16B979ED"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5,196</w:t>
            </w:r>
          </w:p>
        </w:tc>
        <w:tc>
          <w:tcPr>
            <w:tcW w:w="266" w:type="dxa"/>
            <w:noWrap/>
            <w:hideMark/>
          </w:tcPr>
          <w:p w14:paraId="648731F7"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shd w:val="clear" w:color="auto" w:fill="D9D9D9" w:themeFill="background1" w:themeFillShade="D9"/>
            <w:noWrap/>
            <w:hideMark/>
          </w:tcPr>
          <w:p w14:paraId="3194CBC4"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noWrap/>
            <w:hideMark/>
          </w:tcPr>
          <w:p w14:paraId="3459DB6C"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4,466</w:t>
            </w:r>
          </w:p>
        </w:tc>
        <w:tc>
          <w:tcPr>
            <w:tcW w:w="266" w:type="dxa"/>
            <w:noWrap/>
            <w:hideMark/>
          </w:tcPr>
          <w:p w14:paraId="76438111"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2BF554ED" w14:textId="77777777" w:rsidTr="00BF09C3">
        <w:tc>
          <w:tcPr>
            <w:tcW w:w="4540" w:type="dxa"/>
            <w:hideMark/>
          </w:tcPr>
          <w:p w14:paraId="2EE8FE6F" w14:textId="35E4E799"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Contracting Party receivables (net)</w:t>
            </w:r>
          </w:p>
        </w:tc>
        <w:tc>
          <w:tcPr>
            <w:tcW w:w="1280" w:type="dxa"/>
            <w:noWrap/>
            <w:hideMark/>
          </w:tcPr>
          <w:p w14:paraId="3B75BD98"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6</w:t>
            </w:r>
          </w:p>
        </w:tc>
        <w:tc>
          <w:tcPr>
            <w:tcW w:w="1180" w:type="dxa"/>
            <w:noWrap/>
            <w:hideMark/>
          </w:tcPr>
          <w:p w14:paraId="2EF73ED2"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833</w:t>
            </w:r>
          </w:p>
        </w:tc>
        <w:tc>
          <w:tcPr>
            <w:tcW w:w="266" w:type="dxa"/>
            <w:noWrap/>
            <w:hideMark/>
          </w:tcPr>
          <w:p w14:paraId="5E31C685"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shd w:val="clear" w:color="auto" w:fill="D9D9D9" w:themeFill="background1" w:themeFillShade="D9"/>
            <w:noWrap/>
            <w:hideMark/>
          </w:tcPr>
          <w:p w14:paraId="3699BA0D"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noWrap/>
            <w:hideMark/>
          </w:tcPr>
          <w:p w14:paraId="4283677A"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1,166</w:t>
            </w:r>
          </w:p>
        </w:tc>
        <w:tc>
          <w:tcPr>
            <w:tcW w:w="266" w:type="dxa"/>
            <w:noWrap/>
            <w:hideMark/>
          </w:tcPr>
          <w:p w14:paraId="46259C98"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19A33477" w14:textId="77777777" w:rsidTr="00BF09C3">
        <w:tc>
          <w:tcPr>
            <w:tcW w:w="4540" w:type="dxa"/>
            <w:hideMark/>
          </w:tcPr>
          <w:p w14:paraId="7DC7DC8A" w14:textId="2995AC5B"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Other account receivables</w:t>
            </w:r>
          </w:p>
        </w:tc>
        <w:tc>
          <w:tcPr>
            <w:tcW w:w="1280" w:type="dxa"/>
            <w:noWrap/>
            <w:hideMark/>
          </w:tcPr>
          <w:p w14:paraId="77648F2B"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7</w:t>
            </w:r>
          </w:p>
        </w:tc>
        <w:tc>
          <w:tcPr>
            <w:tcW w:w="1180" w:type="dxa"/>
            <w:tcBorders>
              <w:bottom w:val="single" w:sz="4" w:space="0" w:color="auto"/>
            </w:tcBorders>
            <w:noWrap/>
            <w:hideMark/>
          </w:tcPr>
          <w:p w14:paraId="67D55A55"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54</w:t>
            </w:r>
          </w:p>
        </w:tc>
        <w:tc>
          <w:tcPr>
            <w:tcW w:w="266" w:type="dxa"/>
            <w:tcBorders>
              <w:bottom w:val="single" w:sz="4" w:space="0" w:color="auto"/>
            </w:tcBorders>
            <w:noWrap/>
            <w:hideMark/>
          </w:tcPr>
          <w:p w14:paraId="7EF75680"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tcBorders>
              <w:bottom w:val="single" w:sz="4" w:space="0" w:color="auto"/>
            </w:tcBorders>
            <w:shd w:val="clear" w:color="auto" w:fill="D9D9D9" w:themeFill="background1" w:themeFillShade="D9"/>
            <w:noWrap/>
            <w:hideMark/>
          </w:tcPr>
          <w:p w14:paraId="71BE74B8"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tcBorders>
              <w:bottom w:val="single" w:sz="4" w:space="0" w:color="auto"/>
            </w:tcBorders>
            <w:noWrap/>
            <w:hideMark/>
          </w:tcPr>
          <w:p w14:paraId="32909960"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74</w:t>
            </w:r>
          </w:p>
        </w:tc>
        <w:tc>
          <w:tcPr>
            <w:tcW w:w="266" w:type="dxa"/>
            <w:noWrap/>
            <w:hideMark/>
          </w:tcPr>
          <w:p w14:paraId="7058CC51"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580D1204" w14:textId="77777777" w:rsidTr="00BF09C3">
        <w:tc>
          <w:tcPr>
            <w:tcW w:w="4540" w:type="dxa"/>
            <w:hideMark/>
          </w:tcPr>
          <w:p w14:paraId="25208895"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Total current assets</w:t>
            </w:r>
          </w:p>
        </w:tc>
        <w:tc>
          <w:tcPr>
            <w:tcW w:w="1280" w:type="dxa"/>
            <w:noWrap/>
            <w:hideMark/>
          </w:tcPr>
          <w:p w14:paraId="6C247D50" w14:textId="10EA7FA3"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tcBorders>
            <w:noWrap/>
            <w:hideMark/>
          </w:tcPr>
          <w:p w14:paraId="4EE86750"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6,083</w:t>
            </w:r>
          </w:p>
        </w:tc>
        <w:tc>
          <w:tcPr>
            <w:tcW w:w="266" w:type="dxa"/>
            <w:tcBorders>
              <w:top w:val="single" w:sz="4" w:space="0" w:color="auto"/>
            </w:tcBorders>
            <w:noWrap/>
            <w:hideMark/>
          </w:tcPr>
          <w:p w14:paraId="44D04EA4"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top w:val="single" w:sz="4" w:space="0" w:color="auto"/>
            </w:tcBorders>
            <w:shd w:val="clear" w:color="auto" w:fill="D9D9D9" w:themeFill="background1" w:themeFillShade="D9"/>
            <w:noWrap/>
            <w:hideMark/>
          </w:tcPr>
          <w:p w14:paraId="0665B69C"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tcBorders>
              <w:top w:val="single" w:sz="4" w:space="0" w:color="auto"/>
            </w:tcBorders>
            <w:noWrap/>
            <w:hideMark/>
          </w:tcPr>
          <w:p w14:paraId="071B27A9"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5,707</w:t>
            </w:r>
          </w:p>
        </w:tc>
        <w:tc>
          <w:tcPr>
            <w:tcW w:w="266" w:type="dxa"/>
            <w:noWrap/>
            <w:hideMark/>
          </w:tcPr>
          <w:p w14:paraId="37CD3F95"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17E32170" w14:textId="77777777" w:rsidTr="00BF09C3">
        <w:tc>
          <w:tcPr>
            <w:tcW w:w="4540" w:type="dxa"/>
            <w:hideMark/>
          </w:tcPr>
          <w:p w14:paraId="087909F5"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c>
          <w:tcPr>
            <w:tcW w:w="1280" w:type="dxa"/>
            <w:noWrap/>
            <w:hideMark/>
          </w:tcPr>
          <w:p w14:paraId="267FC210" w14:textId="0F2F475E"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0E44B349"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7C9EB854"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shd w:val="clear" w:color="auto" w:fill="D9D9D9" w:themeFill="background1" w:themeFillShade="D9"/>
            <w:noWrap/>
            <w:hideMark/>
          </w:tcPr>
          <w:p w14:paraId="70127349"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noWrap/>
            <w:hideMark/>
          </w:tcPr>
          <w:p w14:paraId="0EDDB2A1"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6A1A8EBF"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7A0868D8" w14:textId="77777777" w:rsidTr="00BF09C3">
        <w:tc>
          <w:tcPr>
            <w:tcW w:w="4540" w:type="dxa"/>
            <w:hideMark/>
          </w:tcPr>
          <w:p w14:paraId="7F867650"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Total non-current assets</w:t>
            </w:r>
          </w:p>
        </w:tc>
        <w:tc>
          <w:tcPr>
            <w:tcW w:w="1280" w:type="dxa"/>
            <w:noWrap/>
            <w:hideMark/>
          </w:tcPr>
          <w:p w14:paraId="6475D6D8"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9</w:t>
            </w:r>
          </w:p>
        </w:tc>
        <w:tc>
          <w:tcPr>
            <w:tcW w:w="1180" w:type="dxa"/>
            <w:noWrap/>
            <w:hideMark/>
          </w:tcPr>
          <w:p w14:paraId="17BFF902"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18</w:t>
            </w:r>
          </w:p>
        </w:tc>
        <w:tc>
          <w:tcPr>
            <w:tcW w:w="266" w:type="dxa"/>
            <w:noWrap/>
            <w:hideMark/>
          </w:tcPr>
          <w:p w14:paraId="3AC081B7"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shd w:val="clear" w:color="auto" w:fill="D9D9D9" w:themeFill="background1" w:themeFillShade="D9"/>
            <w:noWrap/>
            <w:hideMark/>
          </w:tcPr>
          <w:p w14:paraId="063D27F8"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noWrap/>
            <w:hideMark/>
          </w:tcPr>
          <w:p w14:paraId="73330A71"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21</w:t>
            </w:r>
          </w:p>
        </w:tc>
        <w:tc>
          <w:tcPr>
            <w:tcW w:w="266" w:type="dxa"/>
            <w:noWrap/>
            <w:hideMark/>
          </w:tcPr>
          <w:p w14:paraId="0824777B"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683ACC2F" w14:textId="77777777" w:rsidTr="004D0F14">
        <w:tc>
          <w:tcPr>
            <w:tcW w:w="4540" w:type="dxa"/>
            <w:hideMark/>
          </w:tcPr>
          <w:p w14:paraId="2FAB2B65"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1280" w:type="dxa"/>
            <w:noWrap/>
            <w:hideMark/>
          </w:tcPr>
          <w:p w14:paraId="54AC7E28" w14:textId="23D188A3" w:rsidR="0074567B" w:rsidRPr="00326625" w:rsidRDefault="0074567B" w:rsidP="00BF09C3">
            <w:pPr>
              <w:pStyle w:val="NoSpacing"/>
              <w:jc w:val="center"/>
              <w:rPr>
                <w:rFonts w:asciiTheme="minorHAnsi" w:hAnsiTheme="minorHAnsi"/>
                <w:b/>
                <w:i/>
                <w:sz w:val="20"/>
                <w:szCs w:val="20"/>
              </w:rPr>
            </w:pPr>
          </w:p>
        </w:tc>
        <w:tc>
          <w:tcPr>
            <w:tcW w:w="1180" w:type="dxa"/>
            <w:tcBorders>
              <w:bottom w:val="single" w:sz="4" w:space="0" w:color="auto"/>
            </w:tcBorders>
            <w:noWrap/>
            <w:hideMark/>
          </w:tcPr>
          <w:p w14:paraId="7870B4C5" w14:textId="77777777" w:rsidR="0074567B" w:rsidRPr="00421152" w:rsidRDefault="0074567B" w:rsidP="00BF09C3">
            <w:pPr>
              <w:pStyle w:val="NoSpacing"/>
              <w:jc w:val="right"/>
              <w:rPr>
                <w:rFonts w:asciiTheme="minorHAnsi" w:hAnsiTheme="minorHAnsi"/>
                <w:b/>
                <w:sz w:val="20"/>
                <w:szCs w:val="20"/>
              </w:rPr>
            </w:pPr>
          </w:p>
        </w:tc>
        <w:tc>
          <w:tcPr>
            <w:tcW w:w="266" w:type="dxa"/>
            <w:tcBorders>
              <w:bottom w:val="single" w:sz="4" w:space="0" w:color="auto"/>
            </w:tcBorders>
            <w:noWrap/>
            <w:hideMark/>
          </w:tcPr>
          <w:p w14:paraId="16D3ED85"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tcBorders>
              <w:bottom w:val="single" w:sz="4" w:space="0" w:color="auto"/>
            </w:tcBorders>
            <w:shd w:val="clear" w:color="auto" w:fill="D9D9D9" w:themeFill="background1" w:themeFillShade="D9"/>
            <w:noWrap/>
            <w:hideMark/>
          </w:tcPr>
          <w:p w14:paraId="5B4BB5D8"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tcBorders>
              <w:bottom w:val="single" w:sz="4" w:space="0" w:color="auto"/>
            </w:tcBorders>
            <w:noWrap/>
            <w:hideMark/>
          </w:tcPr>
          <w:p w14:paraId="028C17F5"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537FC87A"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6DBC6C58" w14:textId="77777777" w:rsidTr="004D0F14">
        <w:tc>
          <w:tcPr>
            <w:tcW w:w="4540" w:type="dxa"/>
            <w:hideMark/>
          </w:tcPr>
          <w:p w14:paraId="32B80C14"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TOTAL ASSETS</w:t>
            </w:r>
          </w:p>
        </w:tc>
        <w:tc>
          <w:tcPr>
            <w:tcW w:w="1280" w:type="dxa"/>
            <w:noWrap/>
            <w:hideMark/>
          </w:tcPr>
          <w:p w14:paraId="59B42F69" w14:textId="3873A47D"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bottom w:val="single" w:sz="4" w:space="0" w:color="auto"/>
            </w:tcBorders>
            <w:noWrap/>
            <w:hideMark/>
          </w:tcPr>
          <w:p w14:paraId="708BA84E"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6,101</w:t>
            </w:r>
          </w:p>
        </w:tc>
        <w:tc>
          <w:tcPr>
            <w:tcW w:w="266" w:type="dxa"/>
            <w:tcBorders>
              <w:top w:val="single" w:sz="4" w:space="0" w:color="auto"/>
              <w:bottom w:val="single" w:sz="4" w:space="0" w:color="auto"/>
            </w:tcBorders>
            <w:noWrap/>
            <w:hideMark/>
          </w:tcPr>
          <w:p w14:paraId="38C4BE62"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top w:val="single" w:sz="4" w:space="0" w:color="auto"/>
              <w:bottom w:val="single" w:sz="4" w:space="0" w:color="auto"/>
            </w:tcBorders>
            <w:shd w:val="clear" w:color="auto" w:fill="D9D9D9" w:themeFill="background1" w:themeFillShade="D9"/>
            <w:noWrap/>
            <w:hideMark/>
          </w:tcPr>
          <w:p w14:paraId="6EC88DCA"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tcBorders>
              <w:top w:val="single" w:sz="4" w:space="0" w:color="auto"/>
              <w:bottom w:val="single" w:sz="4" w:space="0" w:color="auto"/>
            </w:tcBorders>
            <w:noWrap/>
            <w:hideMark/>
          </w:tcPr>
          <w:p w14:paraId="1EF47692"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5,728</w:t>
            </w:r>
          </w:p>
        </w:tc>
        <w:tc>
          <w:tcPr>
            <w:tcW w:w="266" w:type="dxa"/>
            <w:noWrap/>
            <w:hideMark/>
          </w:tcPr>
          <w:p w14:paraId="23758001"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672867C3" w14:textId="77777777" w:rsidTr="004D0F14">
        <w:tc>
          <w:tcPr>
            <w:tcW w:w="4540" w:type="dxa"/>
            <w:hideMark/>
          </w:tcPr>
          <w:p w14:paraId="70955ED5"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c>
          <w:tcPr>
            <w:tcW w:w="1280" w:type="dxa"/>
            <w:noWrap/>
            <w:hideMark/>
          </w:tcPr>
          <w:p w14:paraId="2D63FCC1" w14:textId="477A2FFE"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tcBorders>
            <w:noWrap/>
            <w:hideMark/>
          </w:tcPr>
          <w:p w14:paraId="6FE436D3"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tcBorders>
              <w:top w:val="single" w:sz="4" w:space="0" w:color="auto"/>
            </w:tcBorders>
            <w:noWrap/>
            <w:hideMark/>
          </w:tcPr>
          <w:p w14:paraId="21183E21"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tcBorders>
              <w:top w:val="single" w:sz="4" w:space="0" w:color="auto"/>
            </w:tcBorders>
            <w:shd w:val="clear" w:color="auto" w:fill="D9D9D9" w:themeFill="background1" w:themeFillShade="D9"/>
            <w:noWrap/>
            <w:hideMark/>
          </w:tcPr>
          <w:p w14:paraId="3A144D08"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tcBorders>
              <w:top w:val="single" w:sz="4" w:space="0" w:color="auto"/>
            </w:tcBorders>
            <w:noWrap/>
            <w:hideMark/>
          </w:tcPr>
          <w:p w14:paraId="37DC0BF7"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0FC3D754"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35AA3894" w14:textId="77777777" w:rsidTr="00BF09C3">
        <w:tc>
          <w:tcPr>
            <w:tcW w:w="4540" w:type="dxa"/>
            <w:hideMark/>
          </w:tcPr>
          <w:p w14:paraId="1421912A"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LIABILITIES AND FUND BALANCES</w:t>
            </w:r>
          </w:p>
        </w:tc>
        <w:tc>
          <w:tcPr>
            <w:tcW w:w="1280" w:type="dxa"/>
            <w:noWrap/>
            <w:hideMark/>
          </w:tcPr>
          <w:p w14:paraId="66CAAC42" w14:textId="35900249"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083F3C11"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7CF014B7"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shd w:val="clear" w:color="auto" w:fill="D9D9D9" w:themeFill="background1" w:themeFillShade="D9"/>
            <w:noWrap/>
            <w:hideMark/>
          </w:tcPr>
          <w:p w14:paraId="2157A7B2"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noWrap/>
            <w:hideMark/>
          </w:tcPr>
          <w:p w14:paraId="3AC90AD7"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4DB1B644"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49AFA103" w14:textId="77777777" w:rsidTr="00BF09C3">
        <w:tc>
          <w:tcPr>
            <w:tcW w:w="4540" w:type="dxa"/>
            <w:hideMark/>
          </w:tcPr>
          <w:p w14:paraId="5E49527E"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Current liabilities</w:t>
            </w:r>
          </w:p>
        </w:tc>
        <w:tc>
          <w:tcPr>
            <w:tcW w:w="1280" w:type="dxa"/>
            <w:noWrap/>
            <w:hideMark/>
          </w:tcPr>
          <w:p w14:paraId="3DEE859D" w14:textId="70B46A48"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0288A9B6"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4FE35E25"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shd w:val="clear" w:color="auto" w:fill="D9D9D9" w:themeFill="background1" w:themeFillShade="D9"/>
            <w:noWrap/>
            <w:hideMark/>
          </w:tcPr>
          <w:p w14:paraId="609F7FAB"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noWrap/>
            <w:hideMark/>
          </w:tcPr>
          <w:p w14:paraId="61F1A5E0"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0E756BA7"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36751348" w14:textId="77777777" w:rsidTr="00BF09C3">
        <w:tc>
          <w:tcPr>
            <w:tcW w:w="4540" w:type="dxa"/>
            <w:hideMark/>
          </w:tcPr>
          <w:p w14:paraId="71C0C488" w14:textId="6E01D561"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Amount owed to IUCN</w:t>
            </w:r>
          </w:p>
        </w:tc>
        <w:tc>
          <w:tcPr>
            <w:tcW w:w="1280" w:type="dxa"/>
            <w:noWrap/>
            <w:hideMark/>
          </w:tcPr>
          <w:p w14:paraId="0B408A73" w14:textId="545E3C19" w:rsidR="0074567B" w:rsidRPr="00326625" w:rsidRDefault="0074567B" w:rsidP="00BF09C3">
            <w:pPr>
              <w:pStyle w:val="NoSpacing"/>
              <w:jc w:val="center"/>
              <w:rPr>
                <w:rFonts w:asciiTheme="minorHAnsi" w:hAnsiTheme="minorHAnsi"/>
                <w:i/>
                <w:sz w:val="20"/>
                <w:szCs w:val="20"/>
              </w:rPr>
            </w:pPr>
          </w:p>
        </w:tc>
        <w:tc>
          <w:tcPr>
            <w:tcW w:w="1180" w:type="dxa"/>
            <w:noWrap/>
            <w:hideMark/>
          </w:tcPr>
          <w:p w14:paraId="460C06C3"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338</w:t>
            </w:r>
          </w:p>
        </w:tc>
        <w:tc>
          <w:tcPr>
            <w:tcW w:w="266" w:type="dxa"/>
            <w:noWrap/>
            <w:hideMark/>
          </w:tcPr>
          <w:p w14:paraId="566C4E64"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shd w:val="clear" w:color="auto" w:fill="D9D9D9" w:themeFill="background1" w:themeFillShade="D9"/>
            <w:noWrap/>
            <w:hideMark/>
          </w:tcPr>
          <w:p w14:paraId="14082D38"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noWrap/>
            <w:hideMark/>
          </w:tcPr>
          <w:p w14:paraId="18BB7D7C"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475</w:t>
            </w:r>
          </w:p>
        </w:tc>
        <w:tc>
          <w:tcPr>
            <w:tcW w:w="266" w:type="dxa"/>
            <w:noWrap/>
            <w:hideMark/>
          </w:tcPr>
          <w:p w14:paraId="6BC9C41A"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7F5102ED" w14:textId="77777777" w:rsidTr="00BF09C3">
        <w:tc>
          <w:tcPr>
            <w:tcW w:w="4540" w:type="dxa"/>
            <w:hideMark/>
          </w:tcPr>
          <w:p w14:paraId="4471721E" w14:textId="5763DE8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Other Payables</w:t>
            </w:r>
          </w:p>
        </w:tc>
        <w:tc>
          <w:tcPr>
            <w:tcW w:w="1280" w:type="dxa"/>
            <w:noWrap/>
            <w:hideMark/>
          </w:tcPr>
          <w:p w14:paraId="4F33D53F"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8</w:t>
            </w:r>
          </w:p>
        </w:tc>
        <w:tc>
          <w:tcPr>
            <w:tcW w:w="1180" w:type="dxa"/>
            <w:noWrap/>
            <w:hideMark/>
          </w:tcPr>
          <w:p w14:paraId="12889E64"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827</w:t>
            </w:r>
          </w:p>
        </w:tc>
        <w:tc>
          <w:tcPr>
            <w:tcW w:w="266" w:type="dxa"/>
            <w:noWrap/>
            <w:hideMark/>
          </w:tcPr>
          <w:p w14:paraId="1E312744"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shd w:val="clear" w:color="auto" w:fill="D9D9D9" w:themeFill="background1" w:themeFillShade="D9"/>
            <w:noWrap/>
            <w:hideMark/>
          </w:tcPr>
          <w:p w14:paraId="5EBC1360"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noWrap/>
            <w:hideMark/>
          </w:tcPr>
          <w:p w14:paraId="70402223"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564</w:t>
            </w:r>
          </w:p>
        </w:tc>
        <w:tc>
          <w:tcPr>
            <w:tcW w:w="266" w:type="dxa"/>
            <w:noWrap/>
            <w:hideMark/>
          </w:tcPr>
          <w:p w14:paraId="676A97DE"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3CE8ED4D" w14:textId="77777777" w:rsidTr="00BF09C3">
        <w:tc>
          <w:tcPr>
            <w:tcW w:w="4540" w:type="dxa"/>
            <w:hideMark/>
          </w:tcPr>
          <w:p w14:paraId="61EA31C9" w14:textId="2D5CB749"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Accrued liabilities</w:t>
            </w:r>
          </w:p>
        </w:tc>
        <w:tc>
          <w:tcPr>
            <w:tcW w:w="1280" w:type="dxa"/>
            <w:noWrap/>
            <w:hideMark/>
          </w:tcPr>
          <w:p w14:paraId="7084D73D" w14:textId="3E34734F" w:rsidR="0074567B" w:rsidRPr="00326625" w:rsidRDefault="0074567B" w:rsidP="00BF09C3">
            <w:pPr>
              <w:pStyle w:val="NoSpacing"/>
              <w:jc w:val="center"/>
              <w:rPr>
                <w:rFonts w:asciiTheme="minorHAnsi" w:hAnsiTheme="minorHAnsi"/>
                <w:i/>
                <w:sz w:val="20"/>
                <w:szCs w:val="20"/>
              </w:rPr>
            </w:pPr>
          </w:p>
        </w:tc>
        <w:tc>
          <w:tcPr>
            <w:tcW w:w="1180" w:type="dxa"/>
            <w:tcBorders>
              <w:bottom w:val="single" w:sz="4" w:space="0" w:color="auto"/>
            </w:tcBorders>
            <w:noWrap/>
            <w:hideMark/>
          </w:tcPr>
          <w:p w14:paraId="33423C97"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155</w:t>
            </w:r>
          </w:p>
        </w:tc>
        <w:tc>
          <w:tcPr>
            <w:tcW w:w="266" w:type="dxa"/>
            <w:tcBorders>
              <w:bottom w:val="single" w:sz="4" w:space="0" w:color="auto"/>
            </w:tcBorders>
            <w:noWrap/>
            <w:hideMark/>
          </w:tcPr>
          <w:p w14:paraId="0F1B4965"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tcBorders>
              <w:bottom w:val="single" w:sz="4" w:space="0" w:color="auto"/>
            </w:tcBorders>
            <w:shd w:val="clear" w:color="auto" w:fill="D9D9D9" w:themeFill="background1" w:themeFillShade="D9"/>
            <w:noWrap/>
            <w:hideMark/>
          </w:tcPr>
          <w:p w14:paraId="24DB67AF"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tcBorders>
              <w:bottom w:val="single" w:sz="4" w:space="0" w:color="auto"/>
            </w:tcBorders>
            <w:noWrap/>
            <w:hideMark/>
          </w:tcPr>
          <w:p w14:paraId="10255CB3"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175</w:t>
            </w:r>
          </w:p>
        </w:tc>
        <w:tc>
          <w:tcPr>
            <w:tcW w:w="266" w:type="dxa"/>
            <w:noWrap/>
            <w:hideMark/>
          </w:tcPr>
          <w:p w14:paraId="0461F461"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04B749D7" w14:textId="77777777" w:rsidTr="00BF09C3">
        <w:tc>
          <w:tcPr>
            <w:tcW w:w="4540" w:type="dxa"/>
            <w:hideMark/>
          </w:tcPr>
          <w:p w14:paraId="4EE4886D"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Total current liabilities</w:t>
            </w:r>
          </w:p>
        </w:tc>
        <w:tc>
          <w:tcPr>
            <w:tcW w:w="1280" w:type="dxa"/>
            <w:noWrap/>
            <w:hideMark/>
          </w:tcPr>
          <w:p w14:paraId="30529531" w14:textId="7D386A92"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tcBorders>
            <w:noWrap/>
            <w:hideMark/>
          </w:tcPr>
          <w:p w14:paraId="6B32393D"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1,320</w:t>
            </w:r>
          </w:p>
        </w:tc>
        <w:tc>
          <w:tcPr>
            <w:tcW w:w="266" w:type="dxa"/>
            <w:tcBorders>
              <w:top w:val="single" w:sz="4" w:space="0" w:color="auto"/>
            </w:tcBorders>
            <w:noWrap/>
            <w:hideMark/>
          </w:tcPr>
          <w:p w14:paraId="00CABB18"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top w:val="single" w:sz="4" w:space="0" w:color="auto"/>
            </w:tcBorders>
            <w:shd w:val="clear" w:color="auto" w:fill="D9D9D9" w:themeFill="background1" w:themeFillShade="D9"/>
            <w:noWrap/>
            <w:hideMark/>
          </w:tcPr>
          <w:p w14:paraId="7C784AC7"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tcBorders>
              <w:top w:val="single" w:sz="4" w:space="0" w:color="auto"/>
            </w:tcBorders>
            <w:noWrap/>
            <w:hideMark/>
          </w:tcPr>
          <w:p w14:paraId="2DD9A3F0"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1,213</w:t>
            </w:r>
          </w:p>
        </w:tc>
        <w:tc>
          <w:tcPr>
            <w:tcW w:w="266" w:type="dxa"/>
            <w:noWrap/>
            <w:hideMark/>
          </w:tcPr>
          <w:p w14:paraId="117305EF"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00900AC9" w14:textId="77777777" w:rsidTr="00BF09C3">
        <w:tc>
          <w:tcPr>
            <w:tcW w:w="4540" w:type="dxa"/>
            <w:hideMark/>
          </w:tcPr>
          <w:p w14:paraId="0698706F"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c>
          <w:tcPr>
            <w:tcW w:w="1280" w:type="dxa"/>
            <w:noWrap/>
            <w:hideMark/>
          </w:tcPr>
          <w:p w14:paraId="211E1610" w14:textId="785D712D"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1A411F15"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4F52361B"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shd w:val="clear" w:color="auto" w:fill="D9D9D9" w:themeFill="background1" w:themeFillShade="D9"/>
            <w:noWrap/>
            <w:hideMark/>
          </w:tcPr>
          <w:p w14:paraId="1FF27C9B"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noWrap/>
            <w:hideMark/>
          </w:tcPr>
          <w:p w14:paraId="34A31522"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6F6E967C"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08927893" w14:textId="77777777" w:rsidTr="00BF09C3">
        <w:tc>
          <w:tcPr>
            <w:tcW w:w="4540" w:type="dxa"/>
            <w:hideMark/>
          </w:tcPr>
          <w:p w14:paraId="30FA7EB0"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Provisions</w:t>
            </w:r>
          </w:p>
        </w:tc>
        <w:tc>
          <w:tcPr>
            <w:tcW w:w="1280" w:type="dxa"/>
            <w:noWrap/>
            <w:hideMark/>
          </w:tcPr>
          <w:p w14:paraId="14DAEC39" w14:textId="33CBBB37"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2DA51439"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310591CE"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shd w:val="clear" w:color="auto" w:fill="D9D9D9" w:themeFill="background1" w:themeFillShade="D9"/>
            <w:noWrap/>
            <w:hideMark/>
          </w:tcPr>
          <w:p w14:paraId="3DB76BC8"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noWrap/>
            <w:hideMark/>
          </w:tcPr>
          <w:p w14:paraId="40AEB4FB"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0961D0C3"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6CFDDAA1" w14:textId="77777777" w:rsidTr="00BF09C3">
        <w:tc>
          <w:tcPr>
            <w:tcW w:w="4540" w:type="dxa"/>
            <w:hideMark/>
          </w:tcPr>
          <w:p w14:paraId="76284790" w14:textId="58F047FB"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Staff repatriation</w:t>
            </w:r>
          </w:p>
        </w:tc>
        <w:tc>
          <w:tcPr>
            <w:tcW w:w="1280" w:type="dxa"/>
            <w:noWrap/>
            <w:hideMark/>
          </w:tcPr>
          <w:p w14:paraId="024E46F1"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5</w:t>
            </w:r>
          </w:p>
        </w:tc>
        <w:tc>
          <w:tcPr>
            <w:tcW w:w="1180" w:type="dxa"/>
            <w:noWrap/>
            <w:hideMark/>
          </w:tcPr>
          <w:p w14:paraId="1004471F"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164</w:t>
            </w:r>
          </w:p>
        </w:tc>
        <w:tc>
          <w:tcPr>
            <w:tcW w:w="266" w:type="dxa"/>
            <w:noWrap/>
            <w:hideMark/>
          </w:tcPr>
          <w:p w14:paraId="0F293341"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shd w:val="clear" w:color="auto" w:fill="D9D9D9" w:themeFill="background1" w:themeFillShade="D9"/>
            <w:noWrap/>
            <w:hideMark/>
          </w:tcPr>
          <w:p w14:paraId="3A9FF791"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noWrap/>
            <w:hideMark/>
          </w:tcPr>
          <w:p w14:paraId="25E93CEF"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135</w:t>
            </w:r>
          </w:p>
        </w:tc>
        <w:tc>
          <w:tcPr>
            <w:tcW w:w="266" w:type="dxa"/>
            <w:noWrap/>
            <w:hideMark/>
          </w:tcPr>
          <w:p w14:paraId="7FD36CB2"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3E956788" w14:textId="77777777" w:rsidTr="00BF09C3">
        <w:tc>
          <w:tcPr>
            <w:tcW w:w="4540" w:type="dxa"/>
            <w:hideMark/>
          </w:tcPr>
          <w:p w14:paraId="61B936F7" w14:textId="15064792"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xml:space="preserve">Staff leave </w:t>
            </w:r>
          </w:p>
        </w:tc>
        <w:tc>
          <w:tcPr>
            <w:tcW w:w="1280" w:type="dxa"/>
            <w:noWrap/>
            <w:hideMark/>
          </w:tcPr>
          <w:p w14:paraId="197E91E7"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5</w:t>
            </w:r>
          </w:p>
        </w:tc>
        <w:tc>
          <w:tcPr>
            <w:tcW w:w="1180" w:type="dxa"/>
            <w:noWrap/>
            <w:hideMark/>
          </w:tcPr>
          <w:p w14:paraId="27AFFB2C"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141</w:t>
            </w:r>
          </w:p>
        </w:tc>
        <w:tc>
          <w:tcPr>
            <w:tcW w:w="266" w:type="dxa"/>
            <w:noWrap/>
            <w:hideMark/>
          </w:tcPr>
          <w:p w14:paraId="25439FED"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shd w:val="clear" w:color="auto" w:fill="D9D9D9" w:themeFill="background1" w:themeFillShade="D9"/>
            <w:noWrap/>
            <w:hideMark/>
          </w:tcPr>
          <w:p w14:paraId="2E5B11E1"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noWrap/>
            <w:hideMark/>
          </w:tcPr>
          <w:p w14:paraId="76C9A2DA"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139</w:t>
            </w:r>
          </w:p>
        </w:tc>
        <w:tc>
          <w:tcPr>
            <w:tcW w:w="266" w:type="dxa"/>
            <w:noWrap/>
            <w:hideMark/>
          </w:tcPr>
          <w:p w14:paraId="3079754A"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643E9D78" w14:textId="77777777" w:rsidTr="00BF09C3">
        <w:tc>
          <w:tcPr>
            <w:tcW w:w="4540" w:type="dxa"/>
            <w:hideMark/>
          </w:tcPr>
          <w:p w14:paraId="04B1A979" w14:textId="2CF46848"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Staff termination</w:t>
            </w:r>
          </w:p>
        </w:tc>
        <w:tc>
          <w:tcPr>
            <w:tcW w:w="1280" w:type="dxa"/>
            <w:noWrap/>
            <w:hideMark/>
          </w:tcPr>
          <w:p w14:paraId="2EBF2B00"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5</w:t>
            </w:r>
          </w:p>
        </w:tc>
        <w:tc>
          <w:tcPr>
            <w:tcW w:w="1180" w:type="dxa"/>
            <w:tcBorders>
              <w:bottom w:val="single" w:sz="4" w:space="0" w:color="auto"/>
            </w:tcBorders>
            <w:noWrap/>
            <w:hideMark/>
          </w:tcPr>
          <w:p w14:paraId="76E160A2"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147</w:t>
            </w:r>
          </w:p>
        </w:tc>
        <w:tc>
          <w:tcPr>
            <w:tcW w:w="266" w:type="dxa"/>
            <w:tcBorders>
              <w:bottom w:val="single" w:sz="4" w:space="0" w:color="auto"/>
            </w:tcBorders>
            <w:noWrap/>
            <w:hideMark/>
          </w:tcPr>
          <w:p w14:paraId="3F452B8D"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tcBorders>
              <w:bottom w:val="single" w:sz="4" w:space="0" w:color="auto"/>
            </w:tcBorders>
            <w:shd w:val="clear" w:color="auto" w:fill="D9D9D9" w:themeFill="background1" w:themeFillShade="D9"/>
            <w:noWrap/>
            <w:hideMark/>
          </w:tcPr>
          <w:p w14:paraId="5BA48E12"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tcBorders>
              <w:bottom w:val="single" w:sz="4" w:space="0" w:color="auto"/>
            </w:tcBorders>
            <w:noWrap/>
            <w:hideMark/>
          </w:tcPr>
          <w:p w14:paraId="52EB3E2D"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123</w:t>
            </w:r>
          </w:p>
        </w:tc>
        <w:tc>
          <w:tcPr>
            <w:tcW w:w="266" w:type="dxa"/>
            <w:noWrap/>
            <w:hideMark/>
          </w:tcPr>
          <w:p w14:paraId="25BD24EF"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20B874FA" w14:textId="77777777" w:rsidTr="00BF09C3">
        <w:tc>
          <w:tcPr>
            <w:tcW w:w="4540" w:type="dxa"/>
            <w:hideMark/>
          </w:tcPr>
          <w:p w14:paraId="512BEAB8"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Total provisions</w:t>
            </w:r>
          </w:p>
        </w:tc>
        <w:tc>
          <w:tcPr>
            <w:tcW w:w="1280" w:type="dxa"/>
            <w:noWrap/>
            <w:hideMark/>
          </w:tcPr>
          <w:p w14:paraId="1CD884CA" w14:textId="29DA0E2A"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tcBorders>
            <w:noWrap/>
            <w:hideMark/>
          </w:tcPr>
          <w:p w14:paraId="396AFB18"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452</w:t>
            </w:r>
          </w:p>
        </w:tc>
        <w:tc>
          <w:tcPr>
            <w:tcW w:w="266" w:type="dxa"/>
            <w:tcBorders>
              <w:top w:val="single" w:sz="4" w:space="0" w:color="auto"/>
            </w:tcBorders>
            <w:noWrap/>
            <w:hideMark/>
          </w:tcPr>
          <w:p w14:paraId="582FAD05"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top w:val="single" w:sz="4" w:space="0" w:color="auto"/>
            </w:tcBorders>
            <w:shd w:val="clear" w:color="auto" w:fill="D9D9D9" w:themeFill="background1" w:themeFillShade="D9"/>
            <w:noWrap/>
            <w:hideMark/>
          </w:tcPr>
          <w:p w14:paraId="380D88D6"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tcBorders>
              <w:top w:val="single" w:sz="4" w:space="0" w:color="auto"/>
            </w:tcBorders>
            <w:noWrap/>
            <w:hideMark/>
          </w:tcPr>
          <w:p w14:paraId="7A47426B"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396</w:t>
            </w:r>
          </w:p>
        </w:tc>
        <w:tc>
          <w:tcPr>
            <w:tcW w:w="266" w:type="dxa"/>
            <w:noWrap/>
            <w:hideMark/>
          </w:tcPr>
          <w:p w14:paraId="1ACC0A6B"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63214957" w14:textId="77777777" w:rsidTr="00BF09C3">
        <w:tc>
          <w:tcPr>
            <w:tcW w:w="4540" w:type="dxa"/>
            <w:hideMark/>
          </w:tcPr>
          <w:p w14:paraId="5F6C66F2"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c>
          <w:tcPr>
            <w:tcW w:w="1280" w:type="dxa"/>
            <w:noWrap/>
            <w:hideMark/>
          </w:tcPr>
          <w:p w14:paraId="5CB640BB" w14:textId="2D5E2B4A"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56DE3893"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noWrap/>
            <w:hideMark/>
          </w:tcPr>
          <w:p w14:paraId="262D35CC"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shd w:val="clear" w:color="auto" w:fill="D9D9D9" w:themeFill="background1" w:themeFillShade="D9"/>
            <w:noWrap/>
            <w:hideMark/>
          </w:tcPr>
          <w:p w14:paraId="2F759725"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noWrap/>
            <w:hideMark/>
          </w:tcPr>
          <w:p w14:paraId="4D343D95"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noWrap/>
            <w:hideMark/>
          </w:tcPr>
          <w:p w14:paraId="682B607B"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5EDA4A2B" w14:textId="77777777" w:rsidTr="00BF09C3">
        <w:tc>
          <w:tcPr>
            <w:tcW w:w="4540" w:type="dxa"/>
            <w:hideMark/>
          </w:tcPr>
          <w:p w14:paraId="0F0775B6"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Fund and Reserves</w:t>
            </w:r>
          </w:p>
        </w:tc>
        <w:tc>
          <w:tcPr>
            <w:tcW w:w="1280" w:type="dxa"/>
            <w:noWrap/>
            <w:hideMark/>
          </w:tcPr>
          <w:p w14:paraId="2C3B7832" w14:textId="10AF7B0B" w:rsidR="0074567B" w:rsidRPr="00326625" w:rsidRDefault="0074567B" w:rsidP="00BF09C3">
            <w:pPr>
              <w:pStyle w:val="NoSpacing"/>
              <w:jc w:val="center"/>
              <w:rPr>
                <w:rFonts w:asciiTheme="minorHAnsi" w:hAnsiTheme="minorHAnsi"/>
                <w:b/>
                <w:i/>
                <w:sz w:val="20"/>
                <w:szCs w:val="20"/>
              </w:rPr>
            </w:pPr>
          </w:p>
        </w:tc>
        <w:tc>
          <w:tcPr>
            <w:tcW w:w="1180" w:type="dxa"/>
            <w:noWrap/>
            <w:hideMark/>
          </w:tcPr>
          <w:p w14:paraId="007EEF09"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20A4C9B8"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shd w:val="clear" w:color="auto" w:fill="D9D9D9" w:themeFill="background1" w:themeFillShade="D9"/>
            <w:noWrap/>
            <w:hideMark/>
          </w:tcPr>
          <w:p w14:paraId="6CDB5A14"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1180" w:type="dxa"/>
            <w:noWrap/>
            <w:hideMark/>
          </w:tcPr>
          <w:p w14:paraId="361BAC7C" w14:textId="77777777" w:rsidR="0074567B" w:rsidRPr="00421152" w:rsidRDefault="0074567B" w:rsidP="00BF09C3">
            <w:pPr>
              <w:pStyle w:val="NoSpacing"/>
              <w:jc w:val="right"/>
              <w:rPr>
                <w:rFonts w:asciiTheme="minorHAnsi" w:hAnsiTheme="minorHAnsi"/>
                <w:b/>
                <w:sz w:val="20"/>
                <w:szCs w:val="20"/>
              </w:rPr>
            </w:pPr>
            <w:r w:rsidRPr="00421152">
              <w:rPr>
                <w:rFonts w:asciiTheme="minorHAnsi" w:hAnsiTheme="minorHAnsi"/>
                <w:b/>
                <w:sz w:val="20"/>
                <w:szCs w:val="20"/>
              </w:rPr>
              <w:t> </w:t>
            </w:r>
          </w:p>
        </w:tc>
        <w:tc>
          <w:tcPr>
            <w:tcW w:w="266" w:type="dxa"/>
            <w:noWrap/>
            <w:hideMark/>
          </w:tcPr>
          <w:p w14:paraId="5EB4F2FA" w14:textId="77777777" w:rsidR="0074567B" w:rsidRPr="00421152" w:rsidRDefault="0074567B" w:rsidP="0074567B">
            <w:pPr>
              <w:pStyle w:val="NoSpacing"/>
              <w:rPr>
                <w:rFonts w:asciiTheme="minorHAnsi" w:hAnsiTheme="minorHAnsi"/>
                <w:b/>
                <w:sz w:val="20"/>
                <w:szCs w:val="20"/>
              </w:rPr>
            </w:pPr>
            <w:r w:rsidRPr="00421152">
              <w:rPr>
                <w:rFonts w:asciiTheme="minorHAnsi" w:hAnsiTheme="minorHAnsi"/>
                <w:b/>
                <w:sz w:val="20"/>
                <w:szCs w:val="20"/>
              </w:rPr>
              <w:t> </w:t>
            </w:r>
          </w:p>
        </w:tc>
      </w:tr>
      <w:tr w:rsidR="00BF09C3" w:rsidRPr="00421152" w14:paraId="45A710DC" w14:textId="77777777" w:rsidTr="00BF09C3">
        <w:tc>
          <w:tcPr>
            <w:tcW w:w="4540" w:type="dxa"/>
            <w:hideMark/>
          </w:tcPr>
          <w:p w14:paraId="775C3C4B" w14:textId="37516D7F"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Unrestricted reserve fund</w:t>
            </w:r>
          </w:p>
        </w:tc>
        <w:tc>
          <w:tcPr>
            <w:tcW w:w="1280" w:type="dxa"/>
            <w:noWrap/>
            <w:hideMark/>
          </w:tcPr>
          <w:p w14:paraId="2881FFEF"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11</w:t>
            </w:r>
          </w:p>
        </w:tc>
        <w:tc>
          <w:tcPr>
            <w:tcW w:w="1180" w:type="dxa"/>
            <w:noWrap/>
            <w:hideMark/>
          </w:tcPr>
          <w:p w14:paraId="1E4442E0"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2,196</w:t>
            </w:r>
          </w:p>
        </w:tc>
        <w:tc>
          <w:tcPr>
            <w:tcW w:w="266" w:type="dxa"/>
            <w:noWrap/>
            <w:hideMark/>
          </w:tcPr>
          <w:p w14:paraId="3BC6570E"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shd w:val="clear" w:color="auto" w:fill="D9D9D9" w:themeFill="background1" w:themeFillShade="D9"/>
            <w:noWrap/>
            <w:hideMark/>
          </w:tcPr>
          <w:p w14:paraId="43067918"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noWrap/>
            <w:hideMark/>
          </w:tcPr>
          <w:p w14:paraId="6A6072B8"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1,801</w:t>
            </w:r>
          </w:p>
        </w:tc>
        <w:tc>
          <w:tcPr>
            <w:tcW w:w="266" w:type="dxa"/>
            <w:noWrap/>
            <w:hideMark/>
          </w:tcPr>
          <w:p w14:paraId="111DF75B"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0DDDEFD0" w14:textId="77777777" w:rsidTr="00BF09C3">
        <w:tc>
          <w:tcPr>
            <w:tcW w:w="4540" w:type="dxa"/>
            <w:hideMark/>
          </w:tcPr>
          <w:p w14:paraId="353EA79B" w14:textId="49E264B9"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Restricted Projects</w:t>
            </w:r>
          </w:p>
        </w:tc>
        <w:tc>
          <w:tcPr>
            <w:tcW w:w="1280" w:type="dxa"/>
            <w:noWrap/>
            <w:hideMark/>
          </w:tcPr>
          <w:p w14:paraId="3FB0BD6D" w14:textId="77777777" w:rsidR="0074567B" w:rsidRPr="00326625" w:rsidRDefault="0074567B" w:rsidP="00BF09C3">
            <w:pPr>
              <w:pStyle w:val="NoSpacing"/>
              <w:jc w:val="center"/>
              <w:rPr>
                <w:rFonts w:asciiTheme="minorHAnsi" w:hAnsiTheme="minorHAnsi"/>
                <w:i/>
                <w:sz w:val="20"/>
                <w:szCs w:val="20"/>
              </w:rPr>
            </w:pPr>
            <w:r w:rsidRPr="00326625">
              <w:rPr>
                <w:rFonts w:asciiTheme="minorHAnsi" w:hAnsiTheme="minorHAnsi"/>
                <w:i/>
                <w:sz w:val="20"/>
                <w:szCs w:val="20"/>
              </w:rPr>
              <w:t>12</w:t>
            </w:r>
          </w:p>
        </w:tc>
        <w:tc>
          <w:tcPr>
            <w:tcW w:w="1180" w:type="dxa"/>
            <w:tcBorders>
              <w:bottom w:val="single" w:sz="4" w:space="0" w:color="auto"/>
            </w:tcBorders>
            <w:noWrap/>
            <w:hideMark/>
          </w:tcPr>
          <w:p w14:paraId="7A5FC973"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2,133</w:t>
            </w:r>
          </w:p>
        </w:tc>
        <w:tc>
          <w:tcPr>
            <w:tcW w:w="266" w:type="dxa"/>
            <w:tcBorders>
              <w:bottom w:val="single" w:sz="4" w:space="0" w:color="auto"/>
            </w:tcBorders>
            <w:noWrap/>
            <w:hideMark/>
          </w:tcPr>
          <w:p w14:paraId="47C02C39"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266" w:type="dxa"/>
            <w:tcBorders>
              <w:bottom w:val="single" w:sz="4" w:space="0" w:color="auto"/>
            </w:tcBorders>
            <w:shd w:val="clear" w:color="auto" w:fill="D9D9D9" w:themeFill="background1" w:themeFillShade="D9"/>
            <w:noWrap/>
            <w:hideMark/>
          </w:tcPr>
          <w:p w14:paraId="326D72D4"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 </w:t>
            </w:r>
          </w:p>
        </w:tc>
        <w:tc>
          <w:tcPr>
            <w:tcW w:w="1180" w:type="dxa"/>
            <w:tcBorders>
              <w:bottom w:val="single" w:sz="4" w:space="0" w:color="auto"/>
            </w:tcBorders>
            <w:noWrap/>
            <w:hideMark/>
          </w:tcPr>
          <w:p w14:paraId="2BDB0CFA" w14:textId="77777777" w:rsidR="0074567B" w:rsidRPr="00421152" w:rsidRDefault="0074567B" w:rsidP="00BF09C3">
            <w:pPr>
              <w:pStyle w:val="NoSpacing"/>
              <w:jc w:val="right"/>
              <w:rPr>
                <w:rFonts w:asciiTheme="minorHAnsi" w:hAnsiTheme="minorHAnsi"/>
                <w:sz w:val="20"/>
                <w:szCs w:val="20"/>
              </w:rPr>
            </w:pPr>
            <w:r w:rsidRPr="00421152">
              <w:rPr>
                <w:rFonts w:asciiTheme="minorHAnsi" w:hAnsiTheme="minorHAnsi"/>
                <w:sz w:val="20"/>
                <w:szCs w:val="20"/>
              </w:rPr>
              <w:t>2,317</w:t>
            </w:r>
          </w:p>
        </w:tc>
        <w:tc>
          <w:tcPr>
            <w:tcW w:w="266" w:type="dxa"/>
            <w:noWrap/>
            <w:hideMark/>
          </w:tcPr>
          <w:p w14:paraId="0D8DA41F" w14:textId="77777777" w:rsidR="0074567B" w:rsidRPr="00421152" w:rsidRDefault="0074567B" w:rsidP="0074567B">
            <w:pPr>
              <w:pStyle w:val="NoSpacing"/>
              <w:rPr>
                <w:rFonts w:asciiTheme="minorHAnsi" w:hAnsiTheme="minorHAnsi"/>
                <w:sz w:val="20"/>
                <w:szCs w:val="20"/>
              </w:rPr>
            </w:pPr>
            <w:r w:rsidRPr="00421152">
              <w:rPr>
                <w:rFonts w:asciiTheme="minorHAnsi" w:hAnsiTheme="minorHAnsi"/>
                <w:sz w:val="20"/>
                <w:szCs w:val="20"/>
              </w:rPr>
              <w:t> </w:t>
            </w:r>
          </w:p>
        </w:tc>
      </w:tr>
      <w:tr w:rsidR="00BF09C3" w:rsidRPr="00421152" w14:paraId="6C3856E3" w14:textId="77777777" w:rsidTr="00BF09C3">
        <w:tc>
          <w:tcPr>
            <w:tcW w:w="4540" w:type="dxa"/>
            <w:hideMark/>
          </w:tcPr>
          <w:p w14:paraId="1645BB08"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Total fund and reserves</w:t>
            </w:r>
          </w:p>
        </w:tc>
        <w:tc>
          <w:tcPr>
            <w:tcW w:w="1280" w:type="dxa"/>
            <w:noWrap/>
            <w:hideMark/>
          </w:tcPr>
          <w:p w14:paraId="0C24EBCA" w14:textId="37102193"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tcBorders>
            <w:noWrap/>
            <w:hideMark/>
          </w:tcPr>
          <w:p w14:paraId="7F765B9A"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4,329</w:t>
            </w:r>
          </w:p>
        </w:tc>
        <w:tc>
          <w:tcPr>
            <w:tcW w:w="266" w:type="dxa"/>
            <w:tcBorders>
              <w:top w:val="single" w:sz="4" w:space="0" w:color="auto"/>
            </w:tcBorders>
            <w:noWrap/>
            <w:hideMark/>
          </w:tcPr>
          <w:p w14:paraId="7AA51E20"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top w:val="single" w:sz="4" w:space="0" w:color="auto"/>
            </w:tcBorders>
            <w:shd w:val="clear" w:color="auto" w:fill="D9D9D9" w:themeFill="background1" w:themeFillShade="D9"/>
            <w:noWrap/>
            <w:hideMark/>
          </w:tcPr>
          <w:p w14:paraId="2B81A325"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tcBorders>
              <w:top w:val="single" w:sz="4" w:space="0" w:color="auto"/>
            </w:tcBorders>
            <w:noWrap/>
            <w:hideMark/>
          </w:tcPr>
          <w:p w14:paraId="275C7D1D"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4,118</w:t>
            </w:r>
          </w:p>
        </w:tc>
        <w:tc>
          <w:tcPr>
            <w:tcW w:w="266" w:type="dxa"/>
            <w:noWrap/>
            <w:hideMark/>
          </w:tcPr>
          <w:p w14:paraId="22387DA1"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794719CF" w14:textId="77777777" w:rsidTr="00BF09C3">
        <w:tc>
          <w:tcPr>
            <w:tcW w:w="4540" w:type="dxa"/>
            <w:hideMark/>
          </w:tcPr>
          <w:p w14:paraId="486A34A8"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c>
          <w:tcPr>
            <w:tcW w:w="1280" w:type="dxa"/>
            <w:noWrap/>
            <w:hideMark/>
          </w:tcPr>
          <w:p w14:paraId="2D72E3FA" w14:textId="00E4D04F" w:rsidR="0074567B" w:rsidRPr="00326625" w:rsidRDefault="0074567B" w:rsidP="00BF09C3">
            <w:pPr>
              <w:pStyle w:val="NoSpacing"/>
              <w:jc w:val="center"/>
              <w:rPr>
                <w:rFonts w:asciiTheme="minorHAnsi" w:hAnsiTheme="minorHAnsi"/>
                <w:b/>
                <w:i/>
                <w:sz w:val="20"/>
                <w:szCs w:val="20"/>
              </w:rPr>
            </w:pPr>
          </w:p>
        </w:tc>
        <w:tc>
          <w:tcPr>
            <w:tcW w:w="1180" w:type="dxa"/>
            <w:tcBorders>
              <w:bottom w:val="single" w:sz="4" w:space="0" w:color="auto"/>
            </w:tcBorders>
            <w:noWrap/>
            <w:hideMark/>
          </w:tcPr>
          <w:p w14:paraId="2BA0CA95"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bottom w:val="single" w:sz="4" w:space="0" w:color="auto"/>
            </w:tcBorders>
            <w:noWrap/>
            <w:hideMark/>
          </w:tcPr>
          <w:p w14:paraId="52888B06"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bottom w:val="single" w:sz="4" w:space="0" w:color="auto"/>
            </w:tcBorders>
            <w:shd w:val="clear" w:color="auto" w:fill="D9D9D9" w:themeFill="background1" w:themeFillShade="D9"/>
            <w:noWrap/>
            <w:hideMark/>
          </w:tcPr>
          <w:p w14:paraId="5B4A374D"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tcBorders>
              <w:bottom w:val="single" w:sz="4" w:space="0" w:color="auto"/>
            </w:tcBorders>
            <w:noWrap/>
            <w:hideMark/>
          </w:tcPr>
          <w:p w14:paraId="493861CF"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noWrap/>
            <w:hideMark/>
          </w:tcPr>
          <w:p w14:paraId="130D1E10"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r w:rsidR="00BF09C3" w:rsidRPr="00421152" w14:paraId="0247868C" w14:textId="77777777" w:rsidTr="001C5386">
        <w:tc>
          <w:tcPr>
            <w:tcW w:w="4540" w:type="dxa"/>
            <w:hideMark/>
          </w:tcPr>
          <w:p w14:paraId="37B61DC6"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TOTAL LIABILITIES AND FUND BALANCES</w:t>
            </w:r>
          </w:p>
        </w:tc>
        <w:tc>
          <w:tcPr>
            <w:tcW w:w="1280" w:type="dxa"/>
            <w:noWrap/>
            <w:hideMark/>
          </w:tcPr>
          <w:p w14:paraId="60A10D45" w14:textId="65181A3F" w:rsidR="0074567B" w:rsidRPr="00326625" w:rsidRDefault="0074567B" w:rsidP="00BF09C3">
            <w:pPr>
              <w:pStyle w:val="NoSpacing"/>
              <w:jc w:val="center"/>
              <w:rPr>
                <w:rFonts w:asciiTheme="minorHAnsi" w:hAnsiTheme="minorHAnsi"/>
                <w:b/>
                <w:i/>
                <w:sz w:val="20"/>
                <w:szCs w:val="20"/>
              </w:rPr>
            </w:pPr>
          </w:p>
        </w:tc>
        <w:tc>
          <w:tcPr>
            <w:tcW w:w="1180" w:type="dxa"/>
            <w:tcBorders>
              <w:top w:val="single" w:sz="4" w:space="0" w:color="auto"/>
              <w:bottom w:val="single" w:sz="4" w:space="0" w:color="auto"/>
            </w:tcBorders>
            <w:shd w:val="clear" w:color="auto" w:fill="C6D9F1" w:themeFill="text2" w:themeFillTint="33"/>
            <w:noWrap/>
            <w:hideMark/>
          </w:tcPr>
          <w:p w14:paraId="1D86EFD4"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6,101</w:t>
            </w:r>
          </w:p>
        </w:tc>
        <w:tc>
          <w:tcPr>
            <w:tcW w:w="266" w:type="dxa"/>
            <w:tcBorders>
              <w:top w:val="single" w:sz="4" w:space="0" w:color="auto"/>
              <w:bottom w:val="single" w:sz="4" w:space="0" w:color="auto"/>
            </w:tcBorders>
            <w:shd w:val="clear" w:color="auto" w:fill="C6D9F1" w:themeFill="text2" w:themeFillTint="33"/>
            <w:noWrap/>
            <w:hideMark/>
          </w:tcPr>
          <w:p w14:paraId="5CAB50BC"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266" w:type="dxa"/>
            <w:tcBorders>
              <w:top w:val="single" w:sz="4" w:space="0" w:color="auto"/>
              <w:bottom w:val="single" w:sz="4" w:space="0" w:color="auto"/>
            </w:tcBorders>
            <w:shd w:val="clear" w:color="auto" w:fill="D9D9D9" w:themeFill="background1" w:themeFillShade="D9"/>
            <w:noWrap/>
            <w:hideMark/>
          </w:tcPr>
          <w:p w14:paraId="33452965"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 </w:t>
            </w:r>
          </w:p>
        </w:tc>
        <w:tc>
          <w:tcPr>
            <w:tcW w:w="1180" w:type="dxa"/>
            <w:tcBorders>
              <w:top w:val="single" w:sz="4" w:space="0" w:color="auto"/>
              <w:bottom w:val="single" w:sz="4" w:space="0" w:color="auto"/>
            </w:tcBorders>
            <w:shd w:val="clear" w:color="auto" w:fill="D6E3BC" w:themeFill="accent3" w:themeFillTint="66"/>
            <w:noWrap/>
            <w:hideMark/>
          </w:tcPr>
          <w:p w14:paraId="7F51CD25" w14:textId="77777777" w:rsidR="0074567B" w:rsidRPr="00421152" w:rsidRDefault="0074567B" w:rsidP="00BF09C3">
            <w:pPr>
              <w:pStyle w:val="NoSpacing"/>
              <w:jc w:val="right"/>
              <w:rPr>
                <w:rFonts w:asciiTheme="minorHAnsi" w:hAnsiTheme="minorHAnsi"/>
                <w:b/>
                <w:bCs/>
                <w:sz w:val="20"/>
                <w:szCs w:val="20"/>
              </w:rPr>
            </w:pPr>
            <w:r w:rsidRPr="00421152">
              <w:rPr>
                <w:rFonts w:asciiTheme="minorHAnsi" w:hAnsiTheme="minorHAnsi"/>
                <w:b/>
                <w:bCs/>
                <w:sz w:val="20"/>
                <w:szCs w:val="20"/>
              </w:rPr>
              <w:t>5,728</w:t>
            </w:r>
          </w:p>
        </w:tc>
        <w:tc>
          <w:tcPr>
            <w:tcW w:w="266" w:type="dxa"/>
            <w:noWrap/>
            <w:hideMark/>
          </w:tcPr>
          <w:p w14:paraId="00381342" w14:textId="77777777" w:rsidR="0074567B" w:rsidRPr="00421152" w:rsidRDefault="0074567B" w:rsidP="0074567B">
            <w:pPr>
              <w:pStyle w:val="NoSpacing"/>
              <w:rPr>
                <w:rFonts w:asciiTheme="minorHAnsi" w:hAnsiTheme="minorHAnsi"/>
                <w:b/>
                <w:bCs/>
                <w:sz w:val="20"/>
                <w:szCs w:val="20"/>
              </w:rPr>
            </w:pPr>
            <w:r w:rsidRPr="00421152">
              <w:rPr>
                <w:rFonts w:asciiTheme="minorHAnsi" w:hAnsiTheme="minorHAnsi"/>
                <w:b/>
                <w:bCs/>
                <w:sz w:val="20"/>
                <w:szCs w:val="20"/>
              </w:rPr>
              <w:t> </w:t>
            </w:r>
          </w:p>
        </w:tc>
      </w:tr>
    </w:tbl>
    <w:p w14:paraId="2B3287C7" w14:textId="77777777" w:rsidR="0074567B" w:rsidRPr="00421152" w:rsidRDefault="0074567B" w:rsidP="00633DD5">
      <w:pPr>
        <w:pStyle w:val="NoSpacing"/>
        <w:rPr>
          <w:b/>
        </w:rPr>
      </w:pPr>
    </w:p>
    <w:p w14:paraId="124B5C47" w14:textId="741CB6A7" w:rsidR="006C1657" w:rsidRPr="00421152" w:rsidRDefault="006C1657" w:rsidP="00633DD5">
      <w:pPr>
        <w:pStyle w:val="Heading1"/>
        <w:jc w:val="both"/>
        <w:rPr>
          <w:rFonts w:asciiTheme="minorHAnsi" w:hAnsiTheme="minorHAnsi" w:cstheme="minorHAnsi"/>
          <w:smallCaps/>
          <w:sz w:val="32"/>
          <w:szCs w:val="32"/>
        </w:rPr>
      </w:pPr>
    </w:p>
    <w:p w14:paraId="701FBBEC" w14:textId="77777777" w:rsidR="006C1657" w:rsidRPr="00421152" w:rsidRDefault="006C1657" w:rsidP="00633DD5">
      <w:pPr>
        <w:pStyle w:val="NoSpacing"/>
        <w:rPr>
          <w:b/>
        </w:rPr>
      </w:pPr>
    </w:p>
    <w:p w14:paraId="0C794C6A" w14:textId="77777777" w:rsidR="006C1657" w:rsidRPr="00421152" w:rsidRDefault="006C1657" w:rsidP="00020C56">
      <w:pPr>
        <w:pStyle w:val="NoSpacing"/>
        <w:jc w:val="right"/>
        <w:rPr>
          <w:b/>
        </w:rPr>
      </w:pPr>
    </w:p>
    <w:p w14:paraId="247545C4" w14:textId="77777777" w:rsidR="000506B6" w:rsidRPr="00421152" w:rsidRDefault="000506B6">
      <w:pPr>
        <w:rPr>
          <w:rFonts w:eastAsia="Times New Roman" w:cs="Arial"/>
          <w:b/>
          <w:bCs/>
          <w:lang w:eastAsia="en-GB"/>
        </w:rPr>
      </w:pPr>
      <w:r w:rsidRPr="00421152">
        <w:rPr>
          <w:rFonts w:eastAsia="Times New Roman" w:cs="Arial"/>
          <w:b/>
          <w:bCs/>
          <w:lang w:eastAsia="en-GB"/>
        </w:rPr>
        <w:br w:type="page"/>
      </w:r>
    </w:p>
    <w:p w14:paraId="42024014" w14:textId="1CA5D36A" w:rsidR="006C1657" w:rsidRPr="00421152" w:rsidRDefault="003D733E" w:rsidP="00633DD5">
      <w:pPr>
        <w:pStyle w:val="NoSpacing"/>
        <w:rPr>
          <w:b/>
        </w:rPr>
      </w:pPr>
      <w:r w:rsidRPr="00421152">
        <w:rPr>
          <w:rFonts w:eastAsia="Times New Roman" w:cs="Arial"/>
          <w:b/>
          <w:bCs/>
          <w:lang w:eastAsia="en-GB"/>
        </w:rPr>
        <w:lastRenderedPageBreak/>
        <w:t>II.</w:t>
      </w:r>
      <w:r w:rsidR="002B478C" w:rsidRPr="00421152">
        <w:rPr>
          <w:rFonts w:eastAsia="Times New Roman" w:cs="Arial"/>
          <w:b/>
          <w:bCs/>
          <w:lang w:eastAsia="en-GB"/>
        </w:rPr>
        <w:tab/>
        <w:t>Statement of income and expenditure for the year ended 31 December</w:t>
      </w:r>
      <w:r w:rsidRPr="00421152">
        <w:rPr>
          <w:rFonts w:eastAsia="Times New Roman" w:cs="Arial"/>
          <w:b/>
          <w:bCs/>
          <w:lang w:eastAsia="en-GB"/>
        </w:rPr>
        <w:tab/>
      </w:r>
    </w:p>
    <w:p w14:paraId="0A0B13A4" w14:textId="77777777" w:rsidR="001C5386" w:rsidRPr="00421152" w:rsidRDefault="001C5386" w:rsidP="000506B6">
      <w:pPr>
        <w:pBdr>
          <w:right w:val="single" w:sz="4" w:space="1" w:color="auto"/>
        </w:pBdr>
        <w:ind w:left="0" w:firstLine="0"/>
        <w:rPr>
          <w:b/>
        </w:rPr>
      </w:pPr>
    </w:p>
    <w:tbl>
      <w:tblPr>
        <w:tblW w:w="9214" w:type="dxa"/>
        <w:tblLayout w:type="fixed"/>
        <w:tblCellMar>
          <w:top w:w="28" w:type="dxa"/>
          <w:left w:w="0" w:type="dxa"/>
          <w:bottom w:w="28" w:type="dxa"/>
          <w:right w:w="0" w:type="dxa"/>
        </w:tblCellMar>
        <w:tblLook w:val="04A0" w:firstRow="1" w:lastRow="0" w:firstColumn="1" w:lastColumn="0" w:noHBand="0" w:noVBand="1"/>
      </w:tblPr>
      <w:tblGrid>
        <w:gridCol w:w="3136"/>
        <w:gridCol w:w="550"/>
        <w:gridCol w:w="718"/>
        <w:gridCol w:w="76"/>
        <w:gridCol w:w="977"/>
        <w:gridCol w:w="76"/>
        <w:gridCol w:w="657"/>
        <w:gridCol w:w="76"/>
        <w:gridCol w:w="741"/>
        <w:gridCol w:w="76"/>
        <w:gridCol w:w="1016"/>
        <w:gridCol w:w="76"/>
        <w:gridCol w:w="1039"/>
      </w:tblGrid>
      <w:tr w:rsidR="001C5386" w:rsidRPr="00421152" w14:paraId="3BF9B312"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419E41A" w14:textId="77777777" w:rsidR="001C5386" w:rsidRPr="00421152" w:rsidRDefault="001C5386" w:rsidP="001C5386">
            <w:pPr>
              <w:ind w:left="0" w:firstLine="0"/>
              <w:rPr>
                <w:rFonts w:asciiTheme="minorHAnsi" w:eastAsia="Times New Roman"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textDirection w:val="btLr"/>
            <w:vAlign w:val="center"/>
            <w:hideMark/>
          </w:tcPr>
          <w:p w14:paraId="2050B5AE" w14:textId="77777777" w:rsidR="001C5386" w:rsidRPr="00326625" w:rsidRDefault="001C5386" w:rsidP="001C5386">
            <w:pPr>
              <w:ind w:left="0" w:firstLine="0"/>
              <w:jc w:val="center"/>
              <w:rPr>
                <w:rFonts w:asciiTheme="minorHAnsi" w:hAnsiTheme="minorHAnsi" w:cs="Arial"/>
                <w:b/>
                <w:bCs/>
                <w:i/>
                <w:sz w:val="20"/>
                <w:szCs w:val="20"/>
              </w:rPr>
            </w:pPr>
            <w:r w:rsidRPr="00326625">
              <w:rPr>
                <w:rFonts w:asciiTheme="minorHAnsi" w:hAnsiTheme="minorHAnsi" w:cs="Arial"/>
                <w:b/>
                <w:bCs/>
                <w:i/>
                <w:sz w:val="20"/>
                <w:szCs w:val="20"/>
              </w:rPr>
              <w:t> </w:t>
            </w:r>
          </w:p>
        </w:tc>
        <w:tc>
          <w:tcPr>
            <w:tcW w:w="2504" w:type="dxa"/>
            <w:gridSpan w:val="5"/>
            <w:tcBorders>
              <w:top w:val="nil"/>
              <w:left w:val="nil"/>
              <w:bottom w:val="nil"/>
              <w:right w:val="nil"/>
            </w:tcBorders>
            <w:shd w:val="clear" w:color="auto" w:fill="C6D9F1" w:themeFill="text2" w:themeFillTint="33"/>
            <w:noWrap/>
            <w:tcMar>
              <w:top w:w="15" w:type="dxa"/>
              <w:left w:w="15" w:type="dxa"/>
              <w:bottom w:w="0" w:type="dxa"/>
              <w:right w:w="15" w:type="dxa"/>
            </w:tcMar>
            <w:vAlign w:val="center"/>
            <w:hideMark/>
          </w:tcPr>
          <w:p w14:paraId="53568DFB"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2018</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A91B1BF"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 </w:t>
            </w:r>
          </w:p>
        </w:tc>
        <w:tc>
          <w:tcPr>
            <w:tcW w:w="2948" w:type="dxa"/>
            <w:gridSpan w:val="5"/>
            <w:tcBorders>
              <w:top w:val="nil"/>
              <w:left w:val="nil"/>
              <w:bottom w:val="nil"/>
              <w:right w:val="nil"/>
            </w:tcBorders>
            <w:shd w:val="clear" w:color="auto" w:fill="EAF1DD" w:themeFill="accent3" w:themeFillTint="33"/>
            <w:noWrap/>
            <w:tcMar>
              <w:top w:w="15" w:type="dxa"/>
              <w:left w:w="15" w:type="dxa"/>
              <w:bottom w:w="0" w:type="dxa"/>
              <w:right w:w="15" w:type="dxa"/>
            </w:tcMar>
            <w:vAlign w:val="center"/>
            <w:hideMark/>
          </w:tcPr>
          <w:p w14:paraId="025CC4E2"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2017</w:t>
            </w:r>
          </w:p>
        </w:tc>
      </w:tr>
      <w:tr w:rsidR="00275C41" w:rsidRPr="00421152" w14:paraId="3C648A63" w14:textId="77777777" w:rsidTr="00275C41">
        <w:tc>
          <w:tcPr>
            <w:tcW w:w="3136"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7DCA799D" w14:textId="77777777" w:rsidR="00E91F83" w:rsidRPr="00421152" w:rsidRDefault="001C5386" w:rsidP="001C5386">
            <w:pPr>
              <w:ind w:left="0" w:firstLine="0"/>
              <w:rPr>
                <w:rFonts w:asciiTheme="minorHAnsi" w:hAnsiTheme="minorHAnsi" w:cs="Arial"/>
                <w:i/>
                <w:iCs/>
                <w:spacing w:val="-4"/>
                <w:sz w:val="20"/>
                <w:szCs w:val="20"/>
              </w:rPr>
            </w:pPr>
            <w:r w:rsidRPr="00421152">
              <w:rPr>
                <w:rFonts w:asciiTheme="minorHAnsi" w:hAnsiTheme="minorHAnsi" w:cs="Arial"/>
                <w:i/>
                <w:iCs/>
                <w:spacing w:val="-4"/>
                <w:sz w:val="20"/>
                <w:szCs w:val="20"/>
              </w:rPr>
              <w:t xml:space="preserve">in thousands of Swiss Francs </w:t>
            </w:r>
          </w:p>
          <w:p w14:paraId="75579061" w14:textId="050A78D7" w:rsidR="001C5386" w:rsidRPr="00421152" w:rsidRDefault="001C5386" w:rsidP="001C5386">
            <w:pPr>
              <w:ind w:left="0" w:firstLine="0"/>
              <w:rPr>
                <w:rFonts w:asciiTheme="minorHAnsi" w:hAnsiTheme="minorHAnsi" w:cs="Arial"/>
                <w:i/>
                <w:iCs/>
                <w:spacing w:val="-4"/>
                <w:sz w:val="20"/>
                <w:szCs w:val="20"/>
              </w:rPr>
            </w:pPr>
            <w:r w:rsidRPr="00421152">
              <w:rPr>
                <w:rFonts w:asciiTheme="minorHAnsi" w:hAnsiTheme="minorHAnsi" w:cs="Arial"/>
                <w:i/>
                <w:iCs/>
                <w:spacing w:val="-4"/>
                <w:sz w:val="20"/>
                <w:szCs w:val="20"/>
              </w:rPr>
              <w:t>(CHF '000s)</w:t>
            </w:r>
          </w:p>
        </w:tc>
        <w:tc>
          <w:tcPr>
            <w:tcW w:w="5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B4ADE16" w14:textId="77777777" w:rsidR="001C5386" w:rsidRPr="00326625" w:rsidRDefault="001C5386" w:rsidP="001C5386">
            <w:pPr>
              <w:ind w:left="0" w:firstLine="0"/>
              <w:jc w:val="center"/>
              <w:rPr>
                <w:rFonts w:asciiTheme="minorHAnsi" w:hAnsiTheme="minorHAnsi" w:cs="Arial"/>
                <w:b/>
                <w:bCs/>
                <w:i/>
                <w:sz w:val="20"/>
                <w:szCs w:val="20"/>
              </w:rPr>
            </w:pPr>
            <w:r w:rsidRPr="00326625">
              <w:rPr>
                <w:rFonts w:asciiTheme="minorHAnsi" w:hAnsiTheme="minorHAnsi" w:cs="Arial"/>
                <w:b/>
                <w:bCs/>
                <w:i/>
                <w:sz w:val="20"/>
                <w:szCs w:val="20"/>
              </w:rPr>
              <w:t>Notes</w:t>
            </w:r>
          </w:p>
        </w:tc>
        <w:tc>
          <w:tcPr>
            <w:tcW w:w="718"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4236CDC8"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Core Funds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B8138B0"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37689945"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Restricted Projects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2CCC408"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4894A30"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Total</w:t>
            </w:r>
          </w:p>
        </w:tc>
        <w:tc>
          <w:tcPr>
            <w:tcW w:w="76" w:type="dxa"/>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61EFE0C3"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 </w:t>
            </w:r>
          </w:p>
        </w:tc>
        <w:tc>
          <w:tcPr>
            <w:tcW w:w="741"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4A8E8410"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Core Funds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586D30E1"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 </w:t>
            </w:r>
          </w:p>
        </w:tc>
        <w:tc>
          <w:tcPr>
            <w:tcW w:w="1016"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FF9041F"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Restricted Projects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3F20180A"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 </w:t>
            </w:r>
          </w:p>
        </w:tc>
        <w:tc>
          <w:tcPr>
            <w:tcW w:w="103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D471E5C" w14:textId="77777777" w:rsidR="001C5386" w:rsidRPr="00421152" w:rsidRDefault="001C5386" w:rsidP="001C5386">
            <w:pPr>
              <w:ind w:left="0" w:firstLine="0"/>
              <w:jc w:val="center"/>
              <w:rPr>
                <w:rFonts w:asciiTheme="minorHAnsi" w:hAnsiTheme="minorHAnsi" w:cs="Arial"/>
                <w:b/>
                <w:bCs/>
                <w:sz w:val="20"/>
                <w:szCs w:val="20"/>
              </w:rPr>
            </w:pPr>
            <w:r w:rsidRPr="00421152">
              <w:rPr>
                <w:rFonts w:asciiTheme="minorHAnsi" w:hAnsiTheme="minorHAnsi" w:cs="Arial"/>
                <w:b/>
                <w:bCs/>
                <w:sz w:val="20"/>
                <w:szCs w:val="20"/>
              </w:rPr>
              <w:t>Total</w:t>
            </w:r>
          </w:p>
        </w:tc>
      </w:tr>
      <w:tr w:rsidR="00275C41" w:rsidRPr="00421152" w14:paraId="24AF3C30"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81DBF12"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837FDD7"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0711F4F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56EEF1E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7C427A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B31221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6F63EC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bottom"/>
            <w:hideMark/>
          </w:tcPr>
          <w:p w14:paraId="7FD2168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39B71D8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0F4677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B32D6A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686210B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5276DE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1BA87437"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A4C30B" w14:textId="77777777" w:rsidR="001C5386" w:rsidRPr="00421152" w:rsidRDefault="001C5386" w:rsidP="001C5386">
            <w:pPr>
              <w:ind w:left="0" w:firstLine="0"/>
              <w:rPr>
                <w:rFonts w:asciiTheme="minorHAnsi" w:hAnsiTheme="minorHAnsi" w:cs="Arial"/>
                <w:b/>
                <w:bCs/>
                <w:color w:val="000000"/>
                <w:sz w:val="20"/>
                <w:szCs w:val="20"/>
              </w:rPr>
            </w:pPr>
            <w:r w:rsidRPr="00421152">
              <w:rPr>
                <w:rFonts w:asciiTheme="minorHAnsi" w:hAnsiTheme="minorHAnsi" w:cs="Arial"/>
                <w:b/>
                <w:bCs/>
                <w:color w:val="000000"/>
                <w:sz w:val="20"/>
                <w:szCs w:val="20"/>
              </w:rPr>
              <w:t>Income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DB7362"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E6502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F9D513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427B2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7C94B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C62E86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97ABE2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DD352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4E183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034B5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96E619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A3741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549553BA"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7F12C3" w14:textId="77777777" w:rsidR="001C5386" w:rsidRPr="00421152" w:rsidRDefault="001C5386" w:rsidP="001C5386">
            <w:pPr>
              <w:ind w:left="0" w:firstLine="0"/>
              <w:rPr>
                <w:rFonts w:asciiTheme="minorHAnsi" w:hAnsiTheme="minorHAnsi" w:cs="Arial"/>
                <w:i/>
                <w:iCs/>
                <w:color w:val="000000"/>
                <w:sz w:val="20"/>
                <w:szCs w:val="20"/>
              </w:rPr>
            </w:pPr>
            <w:r w:rsidRPr="00421152">
              <w:rPr>
                <w:rFonts w:asciiTheme="minorHAnsi" w:hAnsiTheme="minorHAnsi" w:cs="Arial"/>
                <w:i/>
                <w:iCs/>
                <w:color w:val="000000"/>
                <w:sz w:val="20"/>
                <w:szCs w:val="20"/>
              </w:rPr>
              <w:t>External income: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FF7FD5"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D7E2A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1FC79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4389CE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E955B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4892B1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D47B9C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AEAA4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C785B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60A29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4ADCE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09D74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7A2B0174"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B9ED98" w14:textId="06E722E3"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Contributions from Contracting Parties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DCD70F"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331139" w14:textId="6C922B55"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3,779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328891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51FA825" w14:textId="6129D70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82722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620C6D" w14:textId="3E955E2E"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3,779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183654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D1FB31" w14:textId="034ADFC2"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3,779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A9E2D7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42FD95" w14:textId="2254AEDA"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06FE6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15A2430" w14:textId="6A76CF2B"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3,779 </w:t>
            </w:r>
          </w:p>
        </w:tc>
      </w:tr>
      <w:tr w:rsidR="00275C41" w:rsidRPr="00421152" w14:paraId="1C4A5F22"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E3ABF0" w14:textId="1BABE8A0"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US voluntary contributions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F47F1AC"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0F4B5E" w14:textId="6AF69F94"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CB46F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6E4832" w14:textId="06764363"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D497A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BCBCF2C" w14:textId="1254E462"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1,066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4D7801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A5A83B1" w14:textId="5DCA4191"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7B0F1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4FFC870" w14:textId="2D5B6E36"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41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B9691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B01BA06" w14:textId="334239D5"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1,107 </w:t>
            </w:r>
          </w:p>
        </w:tc>
      </w:tr>
      <w:tr w:rsidR="00275C41" w:rsidRPr="00421152" w14:paraId="18362B33"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C3064DB" w14:textId="54D098F8"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African voluntary contributions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79A06AB"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FE912F" w14:textId="68CC0BF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14815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auto" w:fill="auto"/>
            <w:noWrap/>
            <w:tcMar>
              <w:top w:w="15" w:type="dxa"/>
              <w:left w:w="15" w:type="dxa"/>
              <w:bottom w:w="0" w:type="dxa"/>
              <w:right w:w="15" w:type="dxa"/>
            </w:tcMar>
            <w:vAlign w:val="center"/>
            <w:hideMark/>
          </w:tcPr>
          <w:p w14:paraId="24B34C43" w14:textId="62748486"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8175C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A8FA85C" w14:textId="2B0CED76"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7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43AA83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9532050" w14:textId="11CCBB2C"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50B85F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1F1398" w14:textId="1BD49F8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14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3F974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F9AFF05" w14:textId="46F9121A"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14 </w:t>
            </w:r>
          </w:p>
        </w:tc>
      </w:tr>
      <w:tr w:rsidR="00275C41" w:rsidRPr="00421152" w14:paraId="27E346B5"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2408D5" w14:textId="62781366"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 xml:space="preserve">Project income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73D442"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CA2ABA4" w14:textId="7543F930"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79F66E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3A9756" w14:textId="0EB17846"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1,657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CC90A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D69C1A" w14:textId="495FCB61"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1,657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D2F834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CB77E3" w14:textId="7898B776"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C2EB1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AC106CE" w14:textId="78F0005A"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375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2ECA9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1E5D05" w14:textId="0652F921"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375 </w:t>
            </w:r>
          </w:p>
        </w:tc>
      </w:tr>
      <w:tr w:rsidR="00275C41" w:rsidRPr="00421152" w14:paraId="51117B14"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1C68F1" w14:textId="49A67B43"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Swiss tax rebates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F2CFF3"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10</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720746C" w14:textId="11AF19FF"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221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31F103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9BE555D" w14:textId="5C0A9862"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DDB7E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E456E7" w14:textId="0CFA4FD1"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221 </w:t>
            </w:r>
          </w:p>
        </w:tc>
        <w:tc>
          <w:tcPr>
            <w:tcW w:w="76"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53E6DB2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A7204C3" w14:textId="0F8B42A1"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215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32DA36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8E18159" w14:textId="6FDB82C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2C2D9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DECAA8" w14:textId="40F1AE5A"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215 </w:t>
            </w:r>
          </w:p>
        </w:tc>
      </w:tr>
      <w:tr w:rsidR="00275C41" w:rsidRPr="00421152" w14:paraId="13583279"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6AB8569" w14:textId="77777777" w:rsidR="001C5386" w:rsidRPr="00421152" w:rsidRDefault="001C5386" w:rsidP="001C5386">
            <w:pPr>
              <w:ind w:left="0" w:firstLine="0"/>
              <w:rPr>
                <w:rFonts w:asciiTheme="minorHAnsi" w:hAnsiTheme="minorHAnsi" w:cs="Arial"/>
                <w:i/>
                <w:iCs/>
                <w:sz w:val="20"/>
                <w:szCs w:val="20"/>
              </w:rPr>
            </w:pPr>
            <w:r w:rsidRPr="00421152">
              <w:rPr>
                <w:rFonts w:asciiTheme="minorHAnsi" w:hAnsiTheme="minorHAnsi" w:cs="Arial"/>
                <w:i/>
                <w:iCs/>
                <w:sz w:val="20"/>
                <w:szCs w:val="20"/>
              </w:rPr>
              <w:t>Total external income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D29CA23"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73C7502" w14:textId="7B0A19AF"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5,066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561B4D5"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630075" w14:textId="4D88396C"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1,664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15615E"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C453D53" w14:textId="7E0FBEF8"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6,730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74E5B64"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14D4AF" w14:textId="3D1E2F06"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5,059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3010BE"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FF3AB1" w14:textId="17557079"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430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7B60D4"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3E9EA1" w14:textId="49FEC7A1"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5,489 </w:t>
            </w:r>
          </w:p>
        </w:tc>
      </w:tr>
      <w:tr w:rsidR="00275C41" w:rsidRPr="00421152" w14:paraId="773B451F"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951756" w14:textId="77777777" w:rsidR="001C5386" w:rsidRPr="00421152" w:rsidRDefault="001C5386" w:rsidP="001C5386">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7AD0DBE"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F5012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39E17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8AE00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C151E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2709B5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1504DCF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9E6AB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71C18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1A556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4AFF7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E37A17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59C330E5"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D7BB1C" w14:textId="77777777"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Transfer between core and projects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31FCF5"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C23067" w14:textId="2C45BB68"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6C79A6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27A9FEE" w14:textId="29FE871C"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3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5650B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64565A" w14:textId="013A87E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73517F8D"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9741A8" w14:textId="65E60C64"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BE803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49313F" w14:textId="64079AE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2F2F62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DDA462F" w14:textId="3A734B3C"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r>
      <w:tr w:rsidR="00275C41" w:rsidRPr="00421152" w14:paraId="189CAA5D"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37A765"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21D9E3D"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4C6E1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29343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7C4E81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097AF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BF93E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699B88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498C1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90B8F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D145E0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690AC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CEC65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3218E958"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D407DD6"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Total Income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E286298"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E5B319E" w14:textId="4E3D4C25"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5,063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B8B506A"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A98E06E" w14:textId="209F0D6C"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1,667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5E6A16B"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3BCB6E52" w14:textId="10D2A3E1"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6,730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0654219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6498B973" w14:textId="7BE5B8B0"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5,059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20F61B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3323B93D" w14:textId="25931788"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430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C862F4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2CF9F23" w14:textId="36EB42DB"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5,489 </w:t>
            </w:r>
          </w:p>
        </w:tc>
      </w:tr>
      <w:tr w:rsidR="00275C41" w:rsidRPr="00421152" w14:paraId="2B73EE85"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0BC9077" w14:textId="77777777" w:rsidR="001C5386" w:rsidRPr="00421152" w:rsidRDefault="001C5386" w:rsidP="001C5386">
            <w:pPr>
              <w:ind w:left="0" w:firstLine="0"/>
              <w:rPr>
                <w:rFonts w:asciiTheme="minorHAnsi" w:hAnsiTheme="minorHAnsi" w:cs="Arial"/>
                <w:color w:val="000000"/>
                <w:sz w:val="20"/>
                <w:szCs w:val="20"/>
              </w:rPr>
            </w:pPr>
            <w:r w:rsidRPr="00421152">
              <w:rPr>
                <w:rFonts w:asciiTheme="minorHAnsi" w:hAnsiTheme="minorHAnsi" w:cs="Arial"/>
                <w:color w:val="000000"/>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CFEE13F"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141AA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5086F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57627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693EC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9B3AE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8308AF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950CD2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DBF2D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00047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BB8F5D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1BC2F6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013E75EA"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922536"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Expenditure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6AA3846"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B3D9CF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BC5B4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072DB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C721E7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107E2F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069C1EB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53104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3A507D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2A302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85FD5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D55D7A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314F5F96"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43E427C" w14:textId="77777777" w:rsidR="001C5386" w:rsidRPr="00421152" w:rsidRDefault="001C5386" w:rsidP="001C5386">
            <w:pPr>
              <w:ind w:left="0" w:firstLine="0"/>
              <w:rPr>
                <w:rFonts w:asciiTheme="minorHAnsi" w:hAnsiTheme="minorHAnsi" w:cs="Arial"/>
                <w:i/>
                <w:iCs/>
                <w:color w:val="000000"/>
                <w:sz w:val="20"/>
                <w:szCs w:val="20"/>
              </w:rPr>
            </w:pPr>
            <w:r w:rsidRPr="00421152">
              <w:rPr>
                <w:rFonts w:asciiTheme="minorHAnsi" w:hAnsiTheme="minorHAnsi" w:cs="Arial"/>
                <w:i/>
                <w:iCs/>
                <w:color w:val="000000"/>
                <w:sz w:val="20"/>
                <w:szCs w:val="20"/>
              </w:rPr>
              <w:t>Operating expenditure: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897CE4"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89271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ACBB4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1994F4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82873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78A4CE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B61B4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841644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B20BA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C7607A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110AA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3D2994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0635E0A9"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D12BDB5" w14:textId="192DB026"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Communications (Outreach)</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0495C7"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F2E901" w14:textId="0A2367EC"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(336)</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EE1B2E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39995E5" w14:textId="0B568D5F"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(258)</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1858B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F0F6AB9" w14:textId="127A37A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(594)</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7D7E0EAC"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05EA06" w14:textId="75B6AA3B"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(334)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EFC6A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A54379" w14:textId="7BAD9716"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(167)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1A390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0A5A44" w14:textId="4D8A185C"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(501)</w:t>
            </w:r>
          </w:p>
        </w:tc>
      </w:tr>
      <w:tr w:rsidR="00275C41" w:rsidRPr="00421152" w14:paraId="224F19E8"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BF873E8" w14:textId="46DEB924"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Regional Advice, Initiatives and Support</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83742E"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0CEDEF" w14:textId="2491FC5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(1,389)</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10F93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C36661C" w14:textId="2D16CD6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(197)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F82EE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52CB2AF" w14:textId="71E71DA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(1,585)</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ECF97BA"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CFC7E3B" w14:textId="4A6A72AE"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(1,384)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83781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A328AD" w14:textId="5ED2B17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(321)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95C6DA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9E6B232" w14:textId="70BE485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(1,704)</w:t>
            </w:r>
          </w:p>
        </w:tc>
      </w:tr>
      <w:tr w:rsidR="00275C41" w:rsidRPr="00421152" w14:paraId="2943CB5F"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FA1A8EE" w14:textId="619CCDA1"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Scientific and Technical Services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DA8F87"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C0D215" w14:textId="53EF4C9E"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(301)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4857A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5699D4" w14:textId="1D015EA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27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58016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3BA145" w14:textId="29AE697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(275)</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6EA6927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4E5E4A" w14:textId="231101E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(309)</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83FC0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6936EB" w14:textId="208141F6"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(67)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6CB80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DDAD07" w14:textId="7E5F7E1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(376)</w:t>
            </w:r>
          </w:p>
        </w:tc>
      </w:tr>
      <w:tr w:rsidR="00275C41" w:rsidRPr="00421152" w14:paraId="5DEF13BB"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DDCF95" w14:textId="2ACB1929"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Partnerships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715953"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7CA8F4" w14:textId="30752C0C"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(221)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46A96C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25EBD7" w14:textId="4B40AF89"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(63)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D5516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FA09C08" w14:textId="7A617468"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(284)</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8EC0E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8B9AF7" w14:textId="5108E8F7"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(96)</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C4B3E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37356E" w14:textId="483C85E5"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(161)</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09AED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85BEA2" w14:textId="54E98FE3"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(257)</w:t>
            </w:r>
          </w:p>
        </w:tc>
      </w:tr>
      <w:tr w:rsidR="00275C41" w:rsidRPr="00421152" w14:paraId="57652125"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D4E6B1" w14:textId="2472A91C"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Management, Operations and Support</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A2F481"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8B01C1" w14:textId="4EEAF8BE"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(2,446)</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2CF43E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6D837C" w14:textId="27556CAA"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(1,353)</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85A023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013CD79" w14:textId="13366EDB"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(3,799)</w:t>
            </w:r>
          </w:p>
        </w:tc>
        <w:tc>
          <w:tcPr>
            <w:tcW w:w="76"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22BE7E7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106571A" w14:textId="2A478AC5"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(2,381)</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B4838F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CBD4DBE" w14:textId="30F4C573"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(18)</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5C4F7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16128C1" w14:textId="15A37EC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(2,399)</w:t>
            </w:r>
          </w:p>
        </w:tc>
      </w:tr>
      <w:tr w:rsidR="00275C41" w:rsidRPr="00421152" w14:paraId="5E453299"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B568A6" w14:textId="77777777" w:rsidR="001C5386" w:rsidRPr="00421152" w:rsidRDefault="001C5386" w:rsidP="001C5386">
            <w:pPr>
              <w:ind w:left="0" w:firstLine="0"/>
              <w:rPr>
                <w:rFonts w:asciiTheme="minorHAnsi" w:hAnsiTheme="minorHAnsi" w:cs="Arial"/>
                <w:i/>
                <w:iCs/>
                <w:sz w:val="20"/>
                <w:szCs w:val="20"/>
              </w:rPr>
            </w:pPr>
            <w:r w:rsidRPr="00421152">
              <w:rPr>
                <w:rFonts w:asciiTheme="minorHAnsi" w:hAnsiTheme="minorHAnsi" w:cs="Arial"/>
                <w:i/>
                <w:iCs/>
                <w:sz w:val="20"/>
                <w:szCs w:val="20"/>
              </w:rPr>
              <w:t>Total operating expenditure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7C8AD7"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BE7081D" w14:textId="3C43A8FB"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(4,693)</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2F083E"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5C05D7" w14:textId="0AB6755C"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(1,844)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15908B5"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AFEE7A" w14:textId="14C10B8A"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(6,537)</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1B5CBFB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033EA5B" w14:textId="4CE45AB0"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(4,504)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B2903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753115A" w14:textId="3A94742E"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(734)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CD8A4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3EA4CD" w14:textId="6F77FC8F"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(5,237)</w:t>
            </w:r>
          </w:p>
        </w:tc>
      </w:tr>
      <w:tr w:rsidR="00275C41" w:rsidRPr="00421152" w14:paraId="69869F78"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FB30787"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23487C2"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448DC6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3CBE8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76609B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8FDF6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A79C95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D2E939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E087C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C5D68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C3CEF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E8808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A96780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07FB1179"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CA0A804"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Net Surplus/(Deficit) before Other Income/Expenditures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5A9118"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F7D386F" w14:textId="0BF556E7"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370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1EAD7AF"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9613ADA" w14:textId="0558BA04"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(177)</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021B94CA"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727C9D1" w14:textId="30511D47"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193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4C765F3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42FE7B1" w14:textId="64098DF5"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555 </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6CD8774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47648994" w14:textId="5D97D2AF"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(304)</w:t>
            </w:r>
          </w:p>
        </w:tc>
        <w:tc>
          <w:tcPr>
            <w:tcW w:w="76"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76FEC1D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265E3A9B" w14:textId="62156063"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252 </w:t>
            </w:r>
          </w:p>
        </w:tc>
      </w:tr>
      <w:tr w:rsidR="00275C41" w:rsidRPr="00421152" w14:paraId="1E525F8A"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D9F52C"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9F64E3"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EEE326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30F8BE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6760C0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9B7777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E6F597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50C8E5E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28B26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251BB7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91A31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22A818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3B8A9A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5258EEAB"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27F71D" w14:textId="77777777" w:rsidR="001C5386" w:rsidRPr="00421152" w:rsidRDefault="001C5386" w:rsidP="001C5386">
            <w:pPr>
              <w:ind w:left="0" w:firstLine="0"/>
              <w:rPr>
                <w:rFonts w:asciiTheme="minorHAnsi" w:hAnsiTheme="minorHAnsi" w:cs="Arial"/>
                <w:i/>
                <w:iCs/>
                <w:sz w:val="20"/>
                <w:szCs w:val="20"/>
              </w:rPr>
            </w:pPr>
            <w:r w:rsidRPr="00421152">
              <w:rPr>
                <w:rFonts w:asciiTheme="minorHAnsi" w:hAnsiTheme="minorHAnsi" w:cs="Arial"/>
                <w:i/>
                <w:iCs/>
                <w:sz w:val="20"/>
                <w:szCs w:val="20"/>
              </w:rPr>
              <w:t>Other income (expenditures):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D400666"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C42625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9C3F4B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90823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BDFB75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8881A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FE1EA3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E2E29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31BDE4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F2B035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2BE74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53F13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4FF89F04"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8C8F85A" w14:textId="7A50F86A"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Net financial income/(expense)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EC738F"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4</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19E6C6" w14:textId="7D944435"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(32)</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EB7321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50A69DC" w14:textId="589931B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8C094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64C6892" w14:textId="5911CBC4"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(39)</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C546DF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E0BC77F" w14:textId="08161048"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25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4F1050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5B296C" w14:textId="517B4DDB"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12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50F78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345047" w14:textId="0266B124"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37 </w:t>
            </w:r>
          </w:p>
        </w:tc>
      </w:tr>
      <w:tr w:rsidR="00275C41" w:rsidRPr="00421152" w14:paraId="3A71D4D6"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FF93399" w14:textId="4ABDDCF4" w:rsidR="001C5386" w:rsidRPr="00421152" w:rsidRDefault="001C5386" w:rsidP="00E91F83">
            <w:pPr>
              <w:ind w:left="170" w:firstLine="0"/>
              <w:rPr>
                <w:rFonts w:asciiTheme="minorHAnsi" w:hAnsiTheme="minorHAnsi" w:cs="Arial"/>
                <w:sz w:val="20"/>
                <w:szCs w:val="20"/>
              </w:rPr>
            </w:pPr>
            <w:r w:rsidRPr="00421152">
              <w:rPr>
                <w:rFonts w:asciiTheme="minorHAnsi" w:hAnsiTheme="minorHAnsi" w:cs="Arial"/>
                <w:sz w:val="20"/>
                <w:szCs w:val="20"/>
              </w:rPr>
              <w:t>Provisions and write-offs (expense)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3D3192"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4A3A8B2" w14:textId="38A658BE"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57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58B9BC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7E385A4" w14:textId="482507F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E8AE3C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1524028" w14:textId="0B5D7B12"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57 </w:t>
            </w:r>
          </w:p>
        </w:tc>
        <w:tc>
          <w:tcPr>
            <w:tcW w:w="76" w:type="dxa"/>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14:paraId="2B74352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279486" w14:textId="1759DA11"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(49)</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D79A87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F413B51" w14:textId="071FE778"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E91F83" w:rsidRPr="00421152">
              <w:rPr>
                <w:rFonts w:asciiTheme="minorHAnsi" w:hAnsiTheme="minorHAnsi" w:cs="Arial"/>
                <w:sz w:val="20"/>
                <w:szCs w:val="20"/>
              </w:rPr>
              <w:t xml:space="preserve"> </w:t>
            </w:r>
            <w:r w:rsidRPr="00421152">
              <w:rPr>
                <w:rFonts w:asciiTheme="minorHAnsi" w:hAnsiTheme="minorHAnsi" w:cs="Arial"/>
                <w:sz w:val="20"/>
                <w:szCs w:val="20"/>
              </w:rPr>
              <w:t xml:space="preserve"> </w:t>
            </w:r>
          </w:p>
        </w:tc>
        <w:tc>
          <w:tcPr>
            <w:tcW w:w="76"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48D7AF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2B2A507" w14:textId="02C92A93"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(49)</w:t>
            </w:r>
          </w:p>
        </w:tc>
      </w:tr>
      <w:tr w:rsidR="00275C41" w:rsidRPr="00421152" w14:paraId="7DFFBB39"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EE0AC" w14:textId="77777777" w:rsidR="001C5386" w:rsidRPr="00421152" w:rsidRDefault="001C5386" w:rsidP="001C5386">
            <w:pPr>
              <w:ind w:left="0" w:firstLine="0"/>
              <w:rPr>
                <w:rFonts w:asciiTheme="minorHAnsi" w:hAnsiTheme="minorHAnsi" w:cs="Arial"/>
                <w:i/>
                <w:iCs/>
                <w:sz w:val="20"/>
                <w:szCs w:val="20"/>
              </w:rPr>
            </w:pPr>
            <w:r w:rsidRPr="00421152">
              <w:rPr>
                <w:rFonts w:asciiTheme="minorHAnsi" w:hAnsiTheme="minorHAnsi" w:cs="Arial"/>
                <w:i/>
                <w:iCs/>
                <w:sz w:val="20"/>
                <w:szCs w:val="20"/>
              </w:rPr>
              <w:t>Total other income/expenditures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DF28A"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4E599F" w14:textId="6CCA79F6"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25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0D0F92A"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36FEA" w14:textId="2EB5BEB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(7)</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5192B91"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A91F10" w14:textId="0D623F23"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18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401963E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91B875D" w14:textId="2A338034"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(24)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24D5D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2BCDBA" w14:textId="0D1CCE3A"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12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803CB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A765F8" w14:textId="29C7AD6B"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(12)</w:t>
            </w:r>
          </w:p>
        </w:tc>
      </w:tr>
      <w:tr w:rsidR="00275C41" w:rsidRPr="00421152" w14:paraId="778A67F9"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BE7BA2"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99CE7D"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B938D0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696AD9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8E8EE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10C7F2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777734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C8D6E4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CBDEA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2A609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4C9A26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693AA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DFC6A6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E91F83" w:rsidRPr="00421152" w14:paraId="592E9AE3"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3C3C002"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Net Surplus/(Deficit) after Other Income/Expenditures</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7A9CCA4"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281C8719" w14:textId="06C6A86B"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395 </w:t>
            </w:r>
          </w:p>
        </w:tc>
        <w:tc>
          <w:tcPr>
            <w:tcW w:w="76"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6977838D"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28FE9E47" w14:textId="28D037CC"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(184)</w:t>
            </w:r>
          </w:p>
        </w:tc>
        <w:tc>
          <w:tcPr>
            <w:tcW w:w="76"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4B0ACC67"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single" w:sz="4" w:space="0" w:color="auto"/>
              <w:left w:val="nil"/>
              <w:bottom w:val="single" w:sz="4" w:space="0" w:color="auto"/>
              <w:right w:val="nil"/>
            </w:tcBorders>
            <w:shd w:val="clear" w:color="auto" w:fill="C6D9F1" w:themeFill="text2" w:themeFillTint="33"/>
            <w:noWrap/>
            <w:tcMar>
              <w:top w:w="15" w:type="dxa"/>
              <w:left w:w="15" w:type="dxa"/>
              <w:bottom w:w="0" w:type="dxa"/>
              <w:right w:w="15" w:type="dxa"/>
            </w:tcMar>
            <w:vAlign w:val="center"/>
            <w:hideMark/>
          </w:tcPr>
          <w:p w14:paraId="7850779C" w14:textId="0C01612E"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211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4209A6F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07571EFC" w14:textId="374E7CB4"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531 </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44C6770"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101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72290EDF" w14:textId="5912CE85"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(292)</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2C2C8363"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1039"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42B948E7" w14:textId="2C18113B" w:rsidR="001C5386" w:rsidRPr="00421152" w:rsidRDefault="00E91F83"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 </w:t>
            </w:r>
            <w:r w:rsidR="001C5386" w:rsidRPr="00421152">
              <w:rPr>
                <w:rFonts w:asciiTheme="minorHAnsi" w:hAnsiTheme="minorHAnsi" w:cs="Arial"/>
                <w:b/>
                <w:bCs/>
                <w:sz w:val="20"/>
                <w:szCs w:val="20"/>
              </w:rPr>
              <w:t xml:space="preserve">239 </w:t>
            </w:r>
          </w:p>
        </w:tc>
      </w:tr>
      <w:tr w:rsidR="00275C41" w:rsidRPr="00421152" w14:paraId="24B01685"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F8CF8D"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33F534D"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F6B8D3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C151B1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0BD56D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B937E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EA2121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A9D34F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C064A3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85AE3D2"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1E2CB14"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495854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72795F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7C43640D"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A5E775E"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STATEMENT OF FUND BALANCE</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5160020"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80FC78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677D0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D35869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977FB2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EC0EB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CFE729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87F673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A7B12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E42F40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998EE3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AF6771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348D9EFF"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62377D"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 xml:space="preserve">for the year ended 31 December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F79E7D"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87E05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7B6A65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18935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ADAAB0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1E1288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DD9BB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1AB83E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BF15A8A"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52B3D7F"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6E2F10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B46573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1C5386" w:rsidRPr="00421152" w14:paraId="4D73059A"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8195C54"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FF7C521"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2504" w:type="dxa"/>
            <w:gridSpan w:val="5"/>
            <w:tcBorders>
              <w:top w:val="nil"/>
              <w:left w:val="nil"/>
              <w:bottom w:val="nil"/>
              <w:right w:val="nil"/>
            </w:tcBorders>
            <w:shd w:val="clear" w:color="auto" w:fill="C6D9F1" w:themeFill="text2" w:themeFillTint="33"/>
            <w:noWrap/>
            <w:tcMar>
              <w:top w:w="15" w:type="dxa"/>
              <w:left w:w="15" w:type="dxa"/>
              <w:bottom w:w="0" w:type="dxa"/>
              <w:right w:w="15" w:type="dxa"/>
            </w:tcMar>
            <w:vAlign w:val="center"/>
            <w:hideMark/>
          </w:tcPr>
          <w:p w14:paraId="1F5248D3"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2018</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2C08538" w14:textId="73A1781D" w:rsidR="001C5386" w:rsidRPr="00421152" w:rsidRDefault="001C5386" w:rsidP="00275C41">
            <w:pPr>
              <w:ind w:left="0" w:firstLine="0"/>
              <w:jc w:val="center"/>
              <w:rPr>
                <w:rFonts w:asciiTheme="minorHAnsi" w:hAnsiTheme="minorHAnsi" w:cs="Arial"/>
                <w:b/>
                <w:bCs/>
                <w:sz w:val="20"/>
                <w:szCs w:val="20"/>
              </w:rPr>
            </w:pPr>
          </w:p>
        </w:tc>
        <w:tc>
          <w:tcPr>
            <w:tcW w:w="2948" w:type="dxa"/>
            <w:gridSpan w:val="5"/>
            <w:tcBorders>
              <w:top w:val="nil"/>
              <w:left w:val="nil"/>
              <w:bottom w:val="nil"/>
              <w:right w:val="nil"/>
            </w:tcBorders>
            <w:shd w:val="clear" w:color="auto" w:fill="EAF1DD" w:themeFill="accent3" w:themeFillTint="33"/>
            <w:noWrap/>
            <w:tcMar>
              <w:top w:w="15" w:type="dxa"/>
              <w:left w:w="15" w:type="dxa"/>
              <w:bottom w:w="0" w:type="dxa"/>
              <w:right w:w="15" w:type="dxa"/>
            </w:tcMar>
            <w:vAlign w:val="center"/>
            <w:hideMark/>
          </w:tcPr>
          <w:p w14:paraId="1EC38286"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2017</w:t>
            </w:r>
          </w:p>
        </w:tc>
      </w:tr>
      <w:tr w:rsidR="00275C41" w:rsidRPr="00421152" w14:paraId="2E8B129E" w14:textId="77777777" w:rsidTr="00275C41">
        <w:tc>
          <w:tcPr>
            <w:tcW w:w="3136" w:type="dxa"/>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50AAC441" w14:textId="77777777" w:rsidR="001C5386" w:rsidRPr="00421152" w:rsidRDefault="001C5386" w:rsidP="001C5386">
            <w:pPr>
              <w:ind w:left="0" w:firstLine="0"/>
              <w:rPr>
                <w:rFonts w:asciiTheme="minorHAnsi" w:hAnsiTheme="minorHAnsi" w:cs="Arial"/>
                <w:i/>
                <w:iCs/>
                <w:sz w:val="20"/>
                <w:szCs w:val="20"/>
              </w:rPr>
            </w:pPr>
            <w:r w:rsidRPr="00421152">
              <w:rPr>
                <w:rFonts w:asciiTheme="minorHAnsi" w:hAnsiTheme="minorHAnsi" w:cs="Arial"/>
                <w:i/>
                <w:iCs/>
                <w:sz w:val="20"/>
                <w:szCs w:val="20"/>
              </w:rPr>
              <w:t>in thousands of Swiss Francs (CHF '000s)</w:t>
            </w:r>
          </w:p>
        </w:tc>
        <w:tc>
          <w:tcPr>
            <w:tcW w:w="550"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237CD40"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71C9EFB5"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Core Funds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6AFDDC53" w14:textId="1489D2EC" w:rsidR="001C5386" w:rsidRPr="00421152" w:rsidRDefault="001C5386" w:rsidP="00275C41">
            <w:pPr>
              <w:ind w:left="0" w:firstLine="0"/>
              <w:jc w:val="center"/>
              <w:rPr>
                <w:rFonts w:asciiTheme="minorHAnsi" w:hAnsiTheme="minorHAnsi" w:cs="Arial"/>
                <w:b/>
                <w:bCs/>
                <w:sz w:val="20"/>
                <w:szCs w:val="20"/>
              </w:rPr>
            </w:pPr>
          </w:p>
        </w:tc>
        <w:tc>
          <w:tcPr>
            <w:tcW w:w="977"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27FA59CF"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Restricted Projects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4A542534" w14:textId="066D5ECF" w:rsidR="001C5386" w:rsidRPr="00421152" w:rsidRDefault="001C5386" w:rsidP="00275C41">
            <w:pPr>
              <w:ind w:left="0" w:firstLine="0"/>
              <w:jc w:val="center"/>
              <w:rPr>
                <w:rFonts w:asciiTheme="minorHAnsi" w:hAnsiTheme="minorHAnsi" w:cs="Arial"/>
                <w:b/>
                <w:bCs/>
                <w:sz w:val="20"/>
                <w:szCs w:val="20"/>
              </w:rPr>
            </w:pPr>
          </w:p>
        </w:tc>
        <w:tc>
          <w:tcPr>
            <w:tcW w:w="657"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19240EEA"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Total</w:t>
            </w:r>
          </w:p>
        </w:tc>
        <w:tc>
          <w:tcPr>
            <w:tcW w:w="76" w:type="dxa"/>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175CE460" w14:textId="2CDAF215" w:rsidR="001C5386" w:rsidRPr="00421152" w:rsidRDefault="001C5386" w:rsidP="00275C41">
            <w:pPr>
              <w:ind w:left="0" w:firstLine="0"/>
              <w:jc w:val="center"/>
              <w:rPr>
                <w:rFonts w:asciiTheme="minorHAnsi" w:hAnsiTheme="minorHAnsi" w:cs="Arial"/>
                <w:b/>
                <w:bCs/>
                <w:sz w:val="20"/>
                <w:szCs w:val="20"/>
              </w:rPr>
            </w:pPr>
          </w:p>
        </w:tc>
        <w:tc>
          <w:tcPr>
            <w:tcW w:w="741"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1B207A5"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Core Funds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05DC3DCE" w14:textId="6685E306" w:rsidR="001C5386" w:rsidRPr="00421152" w:rsidRDefault="001C5386" w:rsidP="00275C41">
            <w:pPr>
              <w:ind w:left="0" w:firstLine="0"/>
              <w:jc w:val="center"/>
              <w:rPr>
                <w:rFonts w:asciiTheme="minorHAnsi" w:hAnsiTheme="minorHAnsi" w:cs="Arial"/>
                <w:b/>
                <w:bCs/>
                <w:sz w:val="20"/>
                <w:szCs w:val="20"/>
              </w:rPr>
            </w:pPr>
          </w:p>
        </w:tc>
        <w:tc>
          <w:tcPr>
            <w:tcW w:w="1016" w:type="dxa"/>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14:paraId="6D3BBAC9"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Restricted Projects</w:t>
            </w:r>
          </w:p>
        </w:tc>
        <w:tc>
          <w:tcPr>
            <w:tcW w:w="76"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27799EA4" w14:textId="39633D63" w:rsidR="001C5386" w:rsidRPr="00421152" w:rsidRDefault="001C5386" w:rsidP="00275C41">
            <w:pPr>
              <w:ind w:left="0" w:firstLine="0"/>
              <w:jc w:val="center"/>
              <w:rPr>
                <w:rFonts w:asciiTheme="minorHAnsi" w:hAnsiTheme="minorHAnsi" w:cs="Arial"/>
                <w:b/>
                <w:bCs/>
                <w:sz w:val="20"/>
                <w:szCs w:val="20"/>
              </w:rPr>
            </w:pPr>
          </w:p>
        </w:tc>
        <w:tc>
          <w:tcPr>
            <w:tcW w:w="1039" w:type="dxa"/>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14:paraId="7FC7C986" w14:textId="77777777" w:rsidR="001C5386" w:rsidRPr="00421152" w:rsidRDefault="001C5386" w:rsidP="00275C41">
            <w:pPr>
              <w:ind w:left="0" w:firstLine="0"/>
              <w:jc w:val="center"/>
              <w:rPr>
                <w:rFonts w:asciiTheme="minorHAnsi" w:hAnsiTheme="minorHAnsi" w:cs="Arial"/>
                <w:b/>
                <w:bCs/>
                <w:sz w:val="20"/>
                <w:szCs w:val="20"/>
              </w:rPr>
            </w:pPr>
            <w:r w:rsidRPr="00421152">
              <w:rPr>
                <w:rFonts w:asciiTheme="minorHAnsi" w:hAnsiTheme="minorHAnsi" w:cs="Arial"/>
                <w:b/>
                <w:bCs/>
                <w:sz w:val="20"/>
                <w:szCs w:val="20"/>
              </w:rPr>
              <w:t>Total</w:t>
            </w:r>
          </w:p>
        </w:tc>
      </w:tr>
      <w:tr w:rsidR="00275C41" w:rsidRPr="00421152" w14:paraId="2B76BB66"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855F178"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 </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41D59AC"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05BD2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83563D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343380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C9E63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091E59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38216CE8"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55BC9B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D562541"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CE01C3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CA7F9AC"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322071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r>
      <w:tr w:rsidR="00275C41" w:rsidRPr="00421152" w14:paraId="1E8A98DD"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4FFFAD2" w14:textId="77777777" w:rsidR="001C5386" w:rsidRPr="00421152" w:rsidRDefault="001C5386" w:rsidP="001C5386">
            <w:pPr>
              <w:ind w:left="0" w:firstLine="0"/>
              <w:rPr>
                <w:rFonts w:asciiTheme="minorHAnsi" w:hAnsiTheme="minorHAnsi" w:cs="Arial"/>
                <w:sz w:val="20"/>
                <w:szCs w:val="20"/>
              </w:rPr>
            </w:pPr>
            <w:r w:rsidRPr="00421152">
              <w:rPr>
                <w:rFonts w:asciiTheme="minorHAnsi" w:hAnsiTheme="minorHAnsi" w:cs="Arial"/>
                <w:sz w:val="20"/>
                <w:szCs w:val="20"/>
              </w:rPr>
              <w:t>Fund balance at the beginning of the year</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45F7B1" w14:textId="77777777" w:rsidR="001C5386" w:rsidRPr="00326625" w:rsidRDefault="001C5386" w:rsidP="001C5386">
            <w:pPr>
              <w:ind w:left="0" w:firstLine="0"/>
              <w:rPr>
                <w:rFonts w:asciiTheme="minorHAnsi" w:hAnsiTheme="minorHAnsi" w:cs="Arial"/>
                <w:i/>
                <w:sz w:val="20"/>
                <w:szCs w:val="20"/>
              </w:rPr>
            </w:pPr>
            <w:r w:rsidRPr="00326625">
              <w:rPr>
                <w:rFonts w:asciiTheme="minorHAnsi" w:hAnsiTheme="minorHAnsi" w:cs="Arial"/>
                <w:i/>
                <w:sz w:val="20"/>
                <w:szCs w:val="20"/>
              </w:rPr>
              <w:t> </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63C4459" w14:textId="605A269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1,801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116FEB3"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A35CFF3" w14:textId="7D88334B"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2,317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2D777C97"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BF36D98" w14:textId="6D24B16A"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4,118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24C037A9"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D242742" w14:textId="33B72260"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1,270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F02F926"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01D0F7A" w14:textId="13AE81E3"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2,609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5E7B215"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4A7A5A6" w14:textId="28B9A01B"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3,879 </w:t>
            </w:r>
          </w:p>
        </w:tc>
      </w:tr>
      <w:tr w:rsidR="00275C41" w:rsidRPr="00421152" w14:paraId="40C8F2C1"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46171BAB" w14:textId="77777777" w:rsidR="001C5386" w:rsidRPr="00421152" w:rsidRDefault="001C5386" w:rsidP="001C5386">
            <w:pPr>
              <w:ind w:left="0" w:firstLine="0"/>
              <w:rPr>
                <w:rFonts w:asciiTheme="minorHAnsi" w:hAnsiTheme="minorHAnsi" w:cs="Arial"/>
                <w:spacing w:val="-4"/>
                <w:sz w:val="20"/>
                <w:szCs w:val="20"/>
              </w:rPr>
            </w:pPr>
            <w:r w:rsidRPr="00421152">
              <w:rPr>
                <w:rFonts w:asciiTheme="minorHAnsi" w:hAnsiTheme="minorHAnsi" w:cs="Arial"/>
                <w:spacing w:val="-4"/>
                <w:sz w:val="20"/>
                <w:szCs w:val="20"/>
              </w:rPr>
              <w:t>Net income / (expenditure) for the year</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F8D5099" w14:textId="77777777" w:rsidR="001C5386" w:rsidRPr="00326625" w:rsidRDefault="001C5386" w:rsidP="001C5386">
            <w:pPr>
              <w:ind w:left="0" w:firstLine="0"/>
              <w:jc w:val="center"/>
              <w:rPr>
                <w:rFonts w:asciiTheme="minorHAnsi" w:hAnsiTheme="minorHAnsi" w:cs="Arial"/>
                <w:i/>
                <w:sz w:val="20"/>
                <w:szCs w:val="20"/>
              </w:rPr>
            </w:pPr>
            <w:r w:rsidRPr="00326625">
              <w:rPr>
                <w:rFonts w:asciiTheme="minorHAnsi" w:hAnsiTheme="minorHAnsi" w:cs="Arial"/>
                <w:i/>
                <w:sz w:val="20"/>
                <w:szCs w:val="20"/>
              </w:rPr>
              <w:t>11</w:t>
            </w: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B5A09D8" w14:textId="38B1A324"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395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838A4D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019CD2A" w14:textId="3418D289"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(184)</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68E0891D"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8F91AF8" w14:textId="6D27BAC8"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211 </w:t>
            </w: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hideMark/>
          </w:tcPr>
          <w:p w14:paraId="578C521E"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D372150" w14:textId="53C9AA7D"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531 </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05E0CB"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078D8059" w14:textId="7A9E628F"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(292)</w:t>
            </w: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5A819D70" w14:textId="77777777" w:rsidR="001C5386" w:rsidRPr="00421152" w:rsidRDefault="001C5386" w:rsidP="00E91F83">
            <w:pPr>
              <w:ind w:left="0" w:firstLine="0"/>
              <w:jc w:val="right"/>
              <w:rPr>
                <w:rFonts w:asciiTheme="minorHAnsi" w:hAnsiTheme="minorHAnsi" w:cs="Arial"/>
                <w:sz w:val="20"/>
                <w:szCs w:val="20"/>
              </w:rPr>
            </w:pPr>
            <w:r w:rsidRPr="00421152">
              <w:rPr>
                <w:rFonts w:asciiTheme="minorHAnsi" w:hAnsiTheme="minorHAnsi" w:cs="Arial"/>
                <w:sz w:val="20"/>
                <w:szCs w:val="20"/>
              </w:rPr>
              <w:t> </w:t>
            </w: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3981B9FD" w14:textId="25291931" w:rsidR="001C5386" w:rsidRPr="00421152" w:rsidRDefault="00E91F83" w:rsidP="00E91F83">
            <w:pPr>
              <w:ind w:left="0" w:firstLine="0"/>
              <w:jc w:val="right"/>
              <w:rPr>
                <w:rFonts w:asciiTheme="minorHAnsi" w:hAnsiTheme="minorHAnsi" w:cs="Arial"/>
                <w:sz w:val="20"/>
                <w:szCs w:val="20"/>
              </w:rPr>
            </w:pPr>
            <w:r w:rsidRPr="00421152">
              <w:rPr>
                <w:rFonts w:asciiTheme="minorHAnsi" w:hAnsiTheme="minorHAnsi" w:cs="Arial"/>
                <w:sz w:val="20"/>
                <w:szCs w:val="20"/>
              </w:rPr>
              <w:t xml:space="preserve"> </w:t>
            </w:r>
            <w:r w:rsidR="001C5386" w:rsidRPr="00421152">
              <w:rPr>
                <w:rFonts w:asciiTheme="minorHAnsi" w:hAnsiTheme="minorHAnsi" w:cs="Arial"/>
                <w:sz w:val="20"/>
                <w:szCs w:val="20"/>
              </w:rPr>
              <w:t xml:space="preserve">239 </w:t>
            </w:r>
          </w:p>
        </w:tc>
      </w:tr>
      <w:tr w:rsidR="00275C41" w:rsidRPr="00421152" w14:paraId="2BCE1014" w14:textId="77777777" w:rsidTr="00DF47CD">
        <w:tc>
          <w:tcPr>
            <w:tcW w:w="3136" w:type="dxa"/>
            <w:tcBorders>
              <w:top w:val="nil"/>
              <w:left w:val="nil"/>
              <w:bottom w:val="nil"/>
              <w:right w:val="nil"/>
            </w:tcBorders>
            <w:shd w:val="clear" w:color="000000" w:fill="FFFFFF"/>
            <w:noWrap/>
            <w:tcMar>
              <w:top w:w="15" w:type="dxa"/>
              <w:left w:w="15" w:type="dxa"/>
              <w:bottom w:w="0" w:type="dxa"/>
              <w:right w:w="15" w:type="dxa"/>
            </w:tcMar>
            <w:vAlign w:val="center"/>
          </w:tcPr>
          <w:p w14:paraId="7815B9C4" w14:textId="51A24C4F" w:rsidR="001C5386" w:rsidRPr="00421152" w:rsidRDefault="001C5386" w:rsidP="001C5386">
            <w:pPr>
              <w:ind w:left="0" w:firstLine="0"/>
              <w:rPr>
                <w:rFonts w:asciiTheme="minorHAnsi" w:hAnsiTheme="minorHAnsi" w:cs="Arial"/>
                <w:sz w:val="20"/>
                <w:szCs w:val="20"/>
              </w:rPr>
            </w:pP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tcPr>
          <w:p w14:paraId="7484845E" w14:textId="69EA03D7" w:rsidR="001C5386" w:rsidRPr="00326625" w:rsidRDefault="001C5386" w:rsidP="001C5386">
            <w:pPr>
              <w:ind w:left="0" w:firstLine="0"/>
              <w:rPr>
                <w:rFonts w:asciiTheme="minorHAnsi" w:hAnsiTheme="minorHAnsi" w:cs="Arial"/>
                <w:i/>
                <w:sz w:val="20"/>
                <w:szCs w:val="20"/>
              </w:rPr>
            </w:pPr>
          </w:p>
        </w:tc>
        <w:tc>
          <w:tcPr>
            <w:tcW w:w="718" w:type="dxa"/>
            <w:tcBorders>
              <w:top w:val="nil"/>
              <w:left w:val="nil"/>
              <w:bottom w:val="nil"/>
              <w:right w:val="nil"/>
            </w:tcBorders>
            <w:shd w:val="clear" w:color="000000" w:fill="FFFFFF"/>
            <w:noWrap/>
            <w:tcMar>
              <w:top w:w="15" w:type="dxa"/>
              <w:left w:w="15" w:type="dxa"/>
              <w:bottom w:w="0" w:type="dxa"/>
              <w:right w:w="15" w:type="dxa"/>
            </w:tcMar>
            <w:vAlign w:val="center"/>
          </w:tcPr>
          <w:p w14:paraId="1AD70735" w14:textId="1F1B005F" w:rsidR="001C5386" w:rsidRPr="00421152" w:rsidRDefault="001C5386" w:rsidP="00E91F83">
            <w:pPr>
              <w:ind w:left="0" w:firstLine="0"/>
              <w:jc w:val="right"/>
              <w:rPr>
                <w:rFonts w:asciiTheme="minorHAnsi" w:hAnsiTheme="minorHAnsi" w:cs="Arial"/>
                <w:sz w:val="20"/>
                <w:szCs w:val="20"/>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463C35E0" w14:textId="19BA6756" w:rsidR="001C5386" w:rsidRPr="00421152" w:rsidRDefault="001C5386" w:rsidP="00E91F83">
            <w:pPr>
              <w:ind w:left="0" w:firstLine="0"/>
              <w:jc w:val="right"/>
              <w:rPr>
                <w:rFonts w:asciiTheme="minorHAnsi" w:hAnsiTheme="minorHAnsi" w:cs="Arial"/>
                <w:sz w:val="20"/>
                <w:szCs w:val="20"/>
              </w:rPr>
            </w:pPr>
          </w:p>
        </w:tc>
        <w:tc>
          <w:tcPr>
            <w:tcW w:w="977" w:type="dxa"/>
            <w:tcBorders>
              <w:top w:val="nil"/>
              <w:left w:val="nil"/>
              <w:bottom w:val="nil"/>
              <w:right w:val="nil"/>
            </w:tcBorders>
            <w:shd w:val="clear" w:color="000000" w:fill="FFFFFF"/>
            <w:noWrap/>
            <w:tcMar>
              <w:top w:w="15" w:type="dxa"/>
              <w:left w:w="15" w:type="dxa"/>
              <w:bottom w:w="0" w:type="dxa"/>
              <w:right w:w="15" w:type="dxa"/>
            </w:tcMar>
            <w:vAlign w:val="center"/>
          </w:tcPr>
          <w:p w14:paraId="0EEBA001" w14:textId="44E4D489" w:rsidR="001C5386" w:rsidRPr="00421152" w:rsidRDefault="001C5386" w:rsidP="00E91F83">
            <w:pPr>
              <w:ind w:left="0" w:firstLine="0"/>
              <w:jc w:val="right"/>
              <w:rPr>
                <w:rFonts w:asciiTheme="minorHAnsi" w:hAnsiTheme="minorHAnsi" w:cs="Arial"/>
                <w:sz w:val="20"/>
                <w:szCs w:val="20"/>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006600BD" w14:textId="2D30D194" w:rsidR="001C5386" w:rsidRPr="00421152" w:rsidRDefault="001C5386" w:rsidP="00E91F83">
            <w:pPr>
              <w:ind w:left="0" w:firstLine="0"/>
              <w:jc w:val="right"/>
              <w:rPr>
                <w:rFonts w:asciiTheme="minorHAnsi" w:hAnsiTheme="minorHAnsi" w:cs="Arial"/>
                <w:sz w:val="20"/>
                <w:szCs w:val="20"/>
              </w:rPr>
            </w:pPr>
          </w:p>
        </w:tc>
        <w:tc>
          <w:tcPr>
            <w:tcW w:w="657" w:type="dxa"/>
            <w:tcBorders>
              <w:top w:val="nil"/>
              <w:left w:val="nil"/>
              <w:bottom w:val="nil"/>
              <w:right w:val="nil"/>
            </w:tcBorders>
            <w:shd w:val="clear" w:color="000000" w:fill="FFFFFF"/>
            <w:noWrap/>
            <w:tcMar>
              <w:top w:w="15" w:type="dxa"/>
              <w:left w:w="15" w:type="dxa"/>
              <w:bottom w:w="0" w:type="dxa"/>
              <w:right w:w="15" w:type="dxa"/>
            </w:tcMar>
            <w:vAlign w:val="center"/>
          </w:tcPr>
          <w:p w14:paraId="6436F2E1" w14:textId="1C240717" w:rsidR="001C5386" w:rsidRPr="00421152" w:rsidRDefault="001C5386" w:rsidP="00E91F83">
            <w:pPr>
              <w:ind w:left="0" w:firstLine="0"/>
              <w:jc w:val="right"/>
              <w:rPr>
                <w:rFonts w:asciiTheme="minorHAnsi" w:hAnsiTheme="minorHAnsi" w:cs="Arial"/>
                <w:sz w:val="20"/>
                <w:szCs w:val="20"/>
              </w:rPr>
            </w:pPr>
          </w:p>
        </w:tc>
        <w:tc>
          <w:tcPr>
            <w:tcW w:w="76" w:type="dxa"/>
            <w:tcBorders>
              <w:top w:val="nil"/>
              <w:left w:val="nil"/>
              <w:bottom w:val="nil"/>
              <w:right w:val="nil"/>
            </w:tcBorders>
            <w:shd w:val="clear" w:color="000000" w:fill="D9D9D9"/>
            <w:noWrap/>
            <w:tcMar>
              <w:top w:w="15" w:type="dxa"/>
              <w:left w:w="15" w:type="dxa"/>
              <w:bottom w:w="0" w:type="dxa"/>
              <w:right w:w="15" w:type="dxa"/>
            </w:tcMar>
            <w:vAlign w:val="center"/>
          </w:tcPr>
          <w:p w14:paraId="2B107FA0" w14:textId="3E108DFD" w:rsidR="001C5386" w:rsidRPr="00421152" w:rsidRDefault="001C5386" w:rsidP="00E91F83">
            <w:pPr>
              <w:ind w:left="0" w:firstLine="0"/>
              <w:jc w:val="right"/>
              <w:rPr>
                <w:rFonts w:asciiTheme="minorHAnsi" w:hAnsiTheme="minorHAnsi" w:cs="Arial"/>
                <w:sz w:val="20"/>
                <w:szCs w:val="20"/>
              </w:rPr>
            </w:pPr>
          </w:p>
        </w:tc>
        <w:tc>
          <w:tcPr>
            <w:tcW w:w="741" w:type="dxa"/>
            <w:tcBorders>
              <w:top w:val="nil"/>
              <w:left w:val="nil"/>
              <w:bottom w:val="nil"/>
              <w:right w:val="nil"/>
            </w:tcBorders>
            <w:shd w:val="clear" w:color="000000" w:fill="FFFFFF"/>
            <w:noWrap/>
            <w:tcMar>
              <w:top w:w="15" w:type="dxa"/>
              <w:left w:w="15" w:type="dxa"/>
              <w:bottom w:w="0" w:type="dxa"/>
              <w:right w:w="15" w:type="dxa"/>
            </w:tcMar>
            <w:vAlign w:val="center"/>
          </w:tcPr>
          <w:p w14:paraId="32FCF5D7" w14:textId="49EDACF2" w:rsidR="001C5386" w:rsidRPr="00421152" w:rsidRDefault="001C5386" w:rsidP="00E91F83">
            <w:pPr>
              <w:ind w:left="0" w:firstLine="0"/>
              <w:jc w:val="right"/>
              <w:rPr>
                <w:rFonts w:asciiTheme="minorHAnsi" w:hAnsiTheme="minorHAnsi" w:cs="Arial"/>
                <w:sz w:val="20"/>
                <w:szCs w:val="20"/>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2D701558" w14:textId="27462B09" w:rsidR="001C5386" w:rsidRPr="00421152" w:rsidRDefault="001C5386" w:rsidP="00E91F83">
            <w:pPr>
              <w:ind w:left="0" w:firstLine="0"/>
              <w:jc w:val="right"/>
              <w:rPr>
                <w:rFonts w:asciiTheme="minorHAnsi" w:hAnsiTheme="minorHAnsi" w:cs="Arial"/>
                <w:sz w:val="20"/>
                <w:szCs w:val="20"/>
              </w:rPr>
            </w:pPr>
          </w:p>
        </w:tc>
        <w:tc>
          <w:tcPr>
            <w:tcW w:w="1016" w:type="dxa"/>
            <w:tcBorders>
              <w:top w:val="nil"/>
              <w:left w:val="nil"/>
              <w:bottom w:val="nil"/>
              <w:right w:val="nil"/>
            </w:tcBorders>
            <w:shd w:val="clear" w:color="000000" w:fill="FFFFFF"/>
            <w:noWrap/>
            <w:tcMar>
              <w:top w:w="15" w:type="dxa"/>
              <w:left w:w="15" w:type="dxa"/>
              <w:bottom w:w="0" w:type="dxa"/>
              <w:right w:w="15" w:type="dxa"/>
            </w:tcMar>
            <w:vAlign w:val="center"/>
          </w:tcPr>
          <w:p w14:paraId="3FEF9B73" w14:textId="7553B4A6" w:rsidR="001C5386" w:rsidRPr="00421152" w:rsidRDefault="001C5386" w:rsidP="00E91F83">
            <w:pPr>
              <w:ind w:left="0" w:firstLine="0"/>
              <w:jc w:val="right"/>
              <w:rPr>
                <w:rFonts w:asciiTheme="minorHAnsi" w:hAnsiTheme="minorHAnsi" w:cs="Arial"/>
                <w:sz w:val="20"/>
                <w:szCs w:val="20"/>
              </w:rPr>
            </w:pPr>
          </w:p>
        </w:tc>
        <w:tc>
          <w:tcPr>
            <w:tcW w:w="76" w:type="dxa"/>
            <w:tcBorders>
              <w:top w:val="nil"/>
              <w:left w:val="nil"/>
              <w:bottom w:val="nil"/>
              <w:right w:val="nil"/>
            </w:tcBorders>
            <w:shd w:val="clear" w:color="000000" w:fill="FFFFFF"/>
            <w:noWrap/>
            <w:tcMar>
              <w:top w:w="15" w:type="dxa"/>
              <w:left w:w="15" w:type="dxa"/>
              <w:bottom w:w="0" w:type="dxa"/>
              <w:right w:w="15" w:type="dxa"/>
            </w:tcMar>
            <w:vAlign w:val="center"/>
          </w:tcPr>
          <w:p w14:paraId="662B5361" w14:textId="7382A07C" w:rsidR="001C5386" w:rsidRPr="00421152" w:rsidRDefault="001C5386" w:rsidP="00E91F83">
            <w:pPr>
              <w:ind w:left="0" w:firstLine="0"/>
              <w:jc w:val="right"/>
              <w:rPr>
                <w:rFonts w:asciiTheme="minorHAnsi" w:hAnsiTheme="minorHAnsi" w:cs="Arial"/>
                <w:sz w:val="20"/>
                <w:szCs w:val="20"/>
              </w:rPr>
            </w:pPr>
          </w:p>
        </w:tc>
        <w:tc>
          <w:tcPr>
            <w:tcW w:w="1039" w:type="dxa"/>
            <w:tcBorders>
              <w:top w:val="nil"/>
              <w:left w:val="nil"/>
              <w:bottom w:val="nil"/>
              <w:right w:val="nil"/>
            </w:tcBorders>
            <w:shd w:val="clear" w:color="000000" w:fill="FFFFFF"/>
            <w:noWrap/>
            <w:tcMar>
              <w:top w:w="15" w:type="dxa"/>
              <w:left w:w="15" w:type="dxa"/>
              <w:bottom w:w="0" w:type="dxa"/>
              <w:right w:w="15" w:type="dxa"/>
            </w:tcMar>
            <w:vAlign w:val="center"/>
          </w:tcPr>
          <w:p w14:paraId="272AB0D1" w14:textId="1EA67927" w:rsidR="001C5386" w:rsidRPr="00421152" w:rsidRDefault="001C5386" w:rsidP="00E91F83">
            <w:pPr>
              <w:ind w:left="0" w:firstLine="0"/>
              <w:jc w:val="right"/>
              <w:rPr>
                <w:rFonts w:asciiTheme="minorHAnsi" w:hAnsiTheme="minorHAnsi" w:cs="Arial"/>
                <w:sz w:val="20"/>
                <w:szCs w:val="20"/>
              </w:rPr>
            </w:pPr>
          </w:p>
        </w:tc>
      </w:tr>
      <w:tr w:rsidR="00275C41" w:rsidRPr="00421152" w14:paraId="1326DC52" w14:textId="77777777" w:rsidTr="00275C41">
        <w:tc>
          <w:tcPr>
            <w:tcW w:w="3136"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72DFE6D4" w14:textId="77777777" w:rsidR="001C5386" w:rsidRPr="00421152" w:rsidRDefault="001C5386" w:rsidP="001C5386">
            <w:pPr>
              <w:ind w:left="0" w:firstLine="0"/>
              <w:rPr>
                <w:rFonts w:asciiTheme="minorHAnsi" w:hAnsiTheme="minorHAnsi" w:cs="Arial"/>
                <w:b/>
                <w:bCs/>
                <w:sz w:val="20"/>
                <w:szCs w:val="20"/>
              </w:rPr>
            </w:pPr>
            <w:r w:rsidRPr="00421152">
              <w:rPr>
                <w:rFonts w:asciiTheme="minorHAnsi" w:hAnsiTheme="minorHAnsi" w:cs="Arial"/>
                <w:b/>
                <w:bCs/>
                <w:sz w:val="20"/>
                <w:szCs w:val="20"/>
              </w:rPr>
              <w:t>Fund balance at the end of the year</w:t>
            </w:r>
          </w:p>
        </w:tc>
        <w:tc>
          <w:tcPr>
            <w:tcW w:w="550" w:type="dxa"/>
            <w:tcBorders>
              <w:top w:val="nil"/>
              <w:left w:val="nil"/>
              <w:bottom w:val="nil"/>
              <w:right w:val="nil"/>
            </w:tcBorders>
            <w:shd w:val="clear" w:color="000000" w:fill="FFFFFF"/>
            <w:noWrap/>
            <w:tcMar>
              <w:top w:w="15" w:type="dxa"/>
              <w:left w:w="15" w:type="dxa"/>
              <w:bottom w:w="0" w:type="dxa"/>
              <w:right w:w="15" w:type="dxa"/>
            </w:tcMar>
            <w:vAlign w:val="center"/>
            <w:hideMark/>
          </w:tcPr>
          <w:p w14:paraId="12A74EBA" w14:textId="77777777" w:rsidR="001C5386" w:rsidRPr="00326625" w:rsidRDefault="001C5386" w:rsidP="001C5386">
            <w:pPr>
              <w:ind w:left="0" w:firstLine="0"/>
              <w:rPr>
                <w:rFonts w:asciiTheme="minorHAnsi" w:hAnsiTheme="minorHAnsi" w:cs="Arial"/>
                <w:b/>
                <w:bCs/>
                <w:i/>
                <w:sz w:val="20"/>
                <w:szCs w:val="20"/>
              </w:rPr>
            </w:pPr>
            <w:r w:rsidRPr="00326625">
              <w:rPr>
                <w:rFonts w:asciiTheme="minorHAnsi" w:hAnsiTheme="minorHAnsi" w:cs="Arial"/>
                <w:b/>
                <w:bCs/>
                <w:i/>
                <w:sz w:val="20"/>
                <w:szCs w:val="20"/>
              </w:rPr>
              <w:t> </w:t>
            </w:r>
          </w:p>
        </w:tc>
        <w:tc>
          <w:tcPr>
            <w:tcW w:w="718"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3783E4DA" w14:textId="743FFFF3"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2,196 </w:t>
            </w:r>
          </w:p>
        </w:tc>
        <w:tc>
          <w:tcPr>
            <w:tcW w:w="76"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59EF4A46"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977"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4C01396B" w14:textId="564B0CCE"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2,133 </w:t>
            </w:r>
          </w:p>
        </w:tc>
        <w:tc>
          <w:tcPr>
            <w:tcW w:w="76"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66049D7A"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657" w:type="dxa"/>
            <w:tcBorders>
              <w:top w:val="single" w:sz="4" w:space="0" w:color="auto"/>
              <w:left w:val="nil"/>
              <w:bottom w:val="single" w:sz="4" w:space="0" w:color="auto"/>
              <w:right w:val="nil"/>
            </w:tcBorders>
            <w:shd w:val="clear" w:color="000000" w:fill="C5D9F1"/>
            <w:noWrap/>
            <w:tcMar>
              <w:top w:w="15" w:type="dxa"/>
              <w:left w:w="15" w:type="dxa"/>
              <w:bottom w:w="0" w:type="dxa"/>
              <w:right w:w="15" w:type="dxa"/>
            </w:tcMar>
            <w:vAlign w:val="center"/>
            <w:hideMark/>
          </w:tcPr>
          <w:p w14:paraId="5A1A48D4" w14:textId="18371AAC"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4,329 </w:t>
            </w:r>
          </w:p>
        </w:tc>
        <w:tc>
          <w:tcPr>
            <w:tcW w:w="7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14:paraId="3D68E25B"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741"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7BC081C4" w14:textId="1506F82D"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1,801 </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233F2BB3"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101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497C304B" w14:textId="476B98F5"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2,317 </w:t>
            </w:r>
          </w:p>
        </w:tc>
        <w:tc>
          <w:tcPr>
            <w:tcW w:w="76"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C5584EA" w14:textId="77777777"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w:t>
            </w:r>
          </w:p>
        </w:tc>
        <w:tc>
          <w:tcPr>
            <w:tcW w:w="1039" w:type="dxa"/>
            <w:tcBorders>
              <w:top w:val="single" w:sz="4" w:space="0" w:color="auto"/>
              <w:left w:val="nil"/>
              <w:bottom w:val="single" w:sz="4" w:space="0" w:color="auto"/>
              <w:right w:val="nil"/>
            </w:tcBorders>
            <w:shd w:val="clear" w:color="000000" w:fill="EBF1DE"/>
            <w:noWrap/>
            <w:tcMar>
              <w:top w:w="15" w:type="dxa"/>
              <w:left w:w="15" w:type="dxa"/>
              <w:bottom w:w="0" w:type="dxa"/>
              <w:right w:w="15" w:type="dxa"/>
            </w:tcMar>
            <w:vAlign w:val="center"/>
            <w:hideMark/>
          </w:tcPr>
          <w:p w14:paraId="37D8CC6A" w14:textId="05D7DB34" w:rsidR="001C5386" w:rsidRPr="00421152" w:rsidRDefault="001C5386" w:rsidP="00E91F83">
            <w:pPr>
              <w:ind w:left="0" w:firstLine="0"/>
              <w:jc w:val="right"/>
              <w:rPr>
                <w:rFonts w:asciiTheme="minorHAnsi" w:hAnsiTheme="minorHAnsi" w:cs="Arial"/>
                <w:b/>
                <w:bCs/>
                <w:sz w:val="20"/>
                <w:szCs w:val="20"/>
              </w:rPr>
            </w:pPr>
            <w:r w:rsidRPr="00421152">
              <w:rPr>
                <w:rFonts w:asciiTheme="minorHAnsi" w:hAnsiTheme="minorHAnsi" w:cs="Arial"/>
                <w:b/>
                <w:bCs/>
                <w:sz w:val="20"/>
                <w:szCs w:val="20"/>
              </w:rPr>
              <w:t xml:space="preserve">4,118 </w:t>
            </w:r>
          </w:p>
        </w:tc>
      </w:tr>
    </w:tbl>
    <w:p w14:paraId="6E733272" w14:textId="77777777" w:rsidR="00F96BA5" w:rsidRPr="00421152" w:rsidRDefault="001C5386" w:rsidP="00F96BA5">
      <w:pPr>
        <w:pStyle w:val="NoSpacing"/>
        <w:rPr>
          <w:rFonts w:eastAsia="Times New Roman" w:cs="Arial"/>
          <w:b/>
          <w:bCs/>
          <w:lang w:eastAsia="en-GB"/>
        </w:rPr>
      </w:pPr>
      <w:r w:rsidRPr="00421152">
        <w:rPr>
          <w:b/>
        </w:rPr>
        <w:t xml:space="preserve"> </w:t>
      </w:r>
      <w:r w:rsidR="00F96BA5" w:rsidRPr="00421152">
        <w:rPr>
          <w:rFonts w:eastAsia="Times New Roman" w:cs="Arial"/>
          <w:b/>
          <w:bCs/>
          <w:lang w:eastAsia="en-GB"/>
        </w:rPr>
        <w:t>III.</w:t>
      </w:r>
      <w:r w:rsidR="00F96BA5" w:rsidRPr="00421152">
        <w:rPr>
          <w:rFonts w:eastAsia="Times New Roman" w:cs="Arial"/>
          <w:b/>
          <w:bCs/>
          <w:lang w:eastAsia="en-GB"/>
        </w:rPr>
        <w:tab/>
        <w:t>Cash Flow Statement for the year ended 31 December 2018</w:t>
      </w:r>
    </w:p>
    <w:p w14:paraId="5CF38DD0" w14:textId="77777777" w:rsidR="00F96BA5" w:rsidRPr="00421152" w:rsidRDefault="00F96BA5" w:rsidP="000506B6">
      <w:pPr>
        <w:pBdr>
          <w:right w:val="single" w:sz="4" w:space="1" w:color="auto"/>
        </w:pBdr>
        <w:ind w:left="0" w:firstLine="0"/>
        <w:rPr>
          <w:b/>
        </w:rPr>
      </w:pPr>
    </w:p>
    <w:tbl>
      <w:tblPr>
        <w:tblW w:w="0" w:type="auto"/>
        <w:tblCellMar>
          <w:top w:w="28" w:type="dxa"/>
          <w:bottom w:w="28" w:type="dxa"/>
        </w:tblCellMar>
        <w:tblLook w:val="04A0" w:firstRow="1" w:lastRow="0" w:firstColumn="1" w:lastColumn="0" w:noHBand="0" w:noVBand="1"/>
      </w:tblPr>
      <w:tblGrid>
        <w:gridCol w:w="5779"/>
        <w:gridCol w:w="1167"/>
        <w:gridCol w:w="284"/>
        <w:gridCol w:w="283"/>
        <w:gridCol w:w="1134"/>
        <w:gridCol w:w="284"/>
      </w:tblGrid>
      <w:tr w:rsidR="00F96BA5" w:rsidRPr="00421152" w14:paraId="1F75AFB3" w14:textId="77777777" w:rsidTr="00F96BA5">
        <w:tc>
          <w:tcPr>
            <w:tcW w:w="0" w:type="auto"/>
            <w:tcBorders>
              <w:top w:val="nil"/>
              <w:left w:val="nil"/>
              <w:bottom w:val="single" w:sz="8" w:space="0" w:color="auto"/>
              <w:right w:val="nil"/>
            </w:tcBorders>
            <w:shd w:val="clear" w:color="000000" w:fill="FFFFFF"/>
            <w:noWrap/>
            <w:vAlign w:val="bottom"/>
            <w:hideMark/>
          </w:tcPr>
          <w:p w14:paraId="06944F7D" w14:textId="77777777" w:rsidR="00F96BA5" w:rsidRPr="00421152" w:rsidRDefault="00F96BA5" w:rsidP="00F96BA5">
            <w:pPr>
              <w:ind w:left="0" w:firstLine="0"/>
              <w:rPr>
                <w:rFonts w:asciiTheme="minorHAnsi" w:eastAsia="Times New Roman" w:hAnsiTheme="minorHAnsi" w:cs="Arial"/>
                <w:i/>
                <w:iCs/>
                <w:sz w:val="20"/>
                <w:szCs w:val="20"/>
                <w:lang w:eastAsia="en-GB"/>
              </w:rPr>
            </w:pPr>
            <w:r w:rsidRPr="00421152">
              <w:rPr>
                <w:rFonts w:asciiTheme="minorHAnsi" w:eastAsia="Times New Roman" w:hAnsiTheme="minorHAnsi" w:cs="Arial"/>
                <w:i/>
                <w:iCs/>
                <w:sz w:val="20"/>
                <w:szCs w:val="20"/>
                <w:lang w:eastAsia="en-GB"/>
              </w:rPr>
              <w:t>in thousands of Swiss Francs (CHF '000s)</w:t>
            </w:r>
          </w:p>
        </w:tc>
        <w:tc>
          <w:tcPr>
            <w:tcW w:w="1167" w:type="dxa"/>
            <w:tcBorders>
              <w:top w:val="nil"/>
              <w:left w:val="nil"/>
              <w:bottom w:val="single" w:sz="8" w:space="0" w:color="auto"/>
              <w:right w:val="nil"/>
            </w:tcBorders>
            <w:shd w:val="clear" w:color="auto" w:fill="DBE5F1" w:themeFill="accent1" w:themeFillTint="33"/>
            <w:noWrap/>
            <w:vAlign w:val="center"/>
            <w:hideMark/>
          </w:tcPr>
          <w:p w14:paraId="02BA299C" w14:textId="77777777" w:rsidR="00F96BA5" w:rsidRPr="00421152" w:rsidRDefault="00F96BA5" w:rsidP="00F96BA5">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2018</w:t>
            </w:r>
          </w:p>
        </w:tc>
        <w:tc>
          <w:tcPr>
            <w:tcW w:w="284" w:type="dxa"/>
            <w:tcBorders>
              <w:top w:val="nil"/>
              <w:left w:val="nil"/>
              <w:bottom w:val="single" w:sz="8" w:space="0" w:color="auto"/>
              <w:right w:val="nil"/>
            </w:tcBorders>
            <w:shd w:val="clear" w:color="auto" w:fill="DBE5F1" w:themeFill="accent1" w:themeFillTint="33"/>
            <w:noWrap/>
            <w:vAlign w:val="center"/>
            <w:hideMark/>
          </w:tcPr>
          <w:p w14:paraId="3ADAE5D1" w14:textId="77777777" w:rsidR="00F96BA5" w:rsidRPr="00421152" w:rsidRDefault="00F96BA5" w:rsidP="00F96BA5">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3" w:type="dxa"/>
            <w:tcBorders>
              <w:top w:val="nil"/>
              <w:left w:val="nil"/>
              <w:bottom w:val="single" w:sz="8" w:space="0" w:color="auto"/>
              <w:right w:val="nil"/>
            </w:tcBorders>
            <w:shd w:val="clear" w:color="000000" w:fill="D9D9D9"/>
            <w:noWrap/>
            <w:vAlign w:val="center"/>
            <w:hideMark/>
          </w:tcPr>
          <w:p w14:paraId="7AAF59D7" w14:textId="77777777" w:rsidR="00F96BA5" w:rsidRPr="00421152" w:rsidRDefault="00F96BA5" w:rsidP="00F96BA5">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34" w:type="dxa"/>
            <w:tcBorders>
              <w:top w:val="nil"/>
              <w:left w:val="nil"/>
              <w:bottom w:val="single" w:sz="8" w:space="0" w:color="auto"/>
              <w:right w:val="nil"/>
            </w:tcBorders>
            <w:shd w:val="clear" w:color="auto" w:fill="EAF1DD" w:themeFill="accent3" w:themeFillTint="33"/>
            <w:noWrap/>
            <w:vAlign w:val="center"/>
            <w:hideMark/>
          </w:tcPr>
          <w:p w14:paraId="341698EC" w14:textId="77777777" w:rsidR="00F96BA5" w:rsidRPr="00421152" w:rsidRDefault="00F96BA5" w:rsidP="00F96BA5">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2017</w:t>
            </w:r>
          </w:p>
        </w:tc>
        <w:tc>
          <w:tcPr>
            <w:tcW w:w="284" w:type="dxa"/>
            <w:tcBorders>
              <w:top w:val="nil"/>
              <w:left w:val="nil"/>
              <w:bottom w:val="single" w:sz="8" w:space="0" w:color="auto"/>
              <w:right w:val="nil"/>
            </w:tcBorders>
            <w:shd w:val="clear" w:color="auto" w:fill="EAF1DD" w:themeFill="accent3" w:themeFillTint="33"/>
            <w:noWrap/>
            <w:vAlign w:val="center"/>
            <w:hideMark/>
          </w:tcPr>
          <w:p w14:paraId="61F56D79" w14:textId="77777777" w:rsidR="00F96BA5" w:rsidRPr="00421152" w:rsidRDefault="00F96BA5" w:rsidP="00F96BA5">
            <w:pPr>
              <w:ind w:left="0" w:firstLine="0"/>
              <w:jc w:val="center"/>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r>
      <w:tr w:rsidR="00F96BA5" w:rsidRPr="00421152" w14:paraId="0BB064F7" w14:textId="77777777" w:rsidTr="00F96BA5">
        <w:tc>
          <w:tcPr>
            <w:tcW w:w="0" w:type="auto"/>
            <w:tcBorders>
              <w:top w:val="nil"/>
              <w:left w:val="nil"/>
              <w:bottom w:val="nil"/>
              <w:right w:val="nil"/>
            </w:tcBorders>
            <w:shd w:val="clear" w:color="000000" w:fill="FFFFFF"/>
            <w:noWrap/>
            <w:vAlign w:val="center"/>
            <w:hideMark/>
          </w:tcPr>
          <w:p w14:paraId="00E2195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67" w:type="dxa"/>
            <w:tcBorders>
              <w:top w:val="nil"/>
              <w:left w:val="nil"/>
              <w:bottom w:val="nil"/>
              <w:right w:val="nil"/>
            </w:tcBorders>
            <w:shd w:val="clear" w:color="000000" w:fill="FFFFFF"/>
            <w:noWrap/>
            <w:vAlign w:val="center"/>
            <w:hideMark/>
          </w:tcPr>
          <w:p w14:paraId="7CF37BC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23E0FC6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093EEE55"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4E49E53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03EBE4AD"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1C41DBFB" w14:textId="77777777" w:rsidTr="00F96BA5">
        <w:tc>
          <w:tcPr>
            <w:tcW w:w="0" w:type="auto"/>
            <w:tcBorders>
              <w:top w:val="nil"/>
              <w:left w:val="nil"/>
              <w:bottom w:val="nil"/>
              <w:right w:val="nil"/>
            </w:tcBorders>
            <w:shd w:val="clear" w:color="000000" w:fill="FFFFFF"/>
            <w:noWrap/>
            <w:vAlign w:val="center"/>
            <w:hideMark/>
          </w:tcPr>
          <w:p w14:paraId="091E2057"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Cash flow from operations</w:t>
            </w:r>
          </w:p>
        </w:tc>
        <w:tc>
          <w:tcPr>
            <w:tcW w:w="1167" w:type="dxa"/>
            <w:tcBorders>
              <w:top w:val="nil"/>
              <w:left w:val="nil"/>
              <w:bottom w:val="nil"/>
              <w:right w:val="nil"/>
            </w:tcBorders>
            <w:shd w:val="clear" w:color="000000" w:fill="FFFFFF"/>
            <w:noWrap/>
            <w:vAlign w:val="center"/>
            <w:hideMark/>
          </w:tcPr>
          <w:p w14:paraId="63CB5D7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0BCD1FA8"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574434D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6EAB0606"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3212F4B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37CF9194" w14:textId="77777777" w:rsidTr="00F96BA5">
        <w:tc>
          <w:tcPr>
            <w:tcW w:w="0" w:type="auto"/>
            <w:tcBorders>
              <w:top w:val="nil"/>
              <w:left w:val="nil"/>
              <w:bottom w:val="nil"/>
              <w:right w:val="nil"/>
            </w:tcBorders>
            <w:shd w:val="clear" w:color="000000" w:fill="FFFFFF"/>
            <w:noWrap/>
            <w:vAlign w:val="center"/>
            <w:hideMark/>
          </w:tcPr>
          <w:p w14:paraId="25A0F012"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67" w:type="dxa"/>
            <w:tcBorders>
              <w:top w:val="nil"/>
              <w:left w:val="nil"/>
              <w:bottom w:val="nil"/>
              <w:right w:val="nil"/>
            </w:tcBorders>
            <w:shd w:val="clear" w:color="000000" w:fill="FFFFFF"/>
            <w:noWrap/>
            <w:vAlign w:val="center"/>
            <w:hideMark/>
          </w:tcPr>
          <w:p w14:paraId="2A26ABBF"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2897839F"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57A13E4E"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5FE0247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34E45CF9"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567D677C" w14:textId="77777777" w:rsidTr="00F96BA5">
        <w:tc>
          <w:tcPr>
            <w:tcW w:w="0" w:type="auto"/>
            <w:tcBorders>
              <w:top w:val="nil"/>
              <w:left w:val="nil"/>
              <w:bottom w:val="nil"/>
              <w:right w:val="nil"/>
            </w:tcBorders>
            <w:shd w:val="clear" w:color="000000" w:fill="FFFFFF"/>
            <w:noWrap/>
            <w:vAlign w:val="center"/>
            <w:hideMark/>
          </w:tcPr>
          <w:p w14:paraId="31109B6E"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Surplus/(Deficit) from Operations</w:t>
            </w:r>
          </w:p>
        </w:tc>
        <w:tc>
          <w:tcPr>
            <w:tcW w:w="1167" w:type="dxa"/>
            <w:tcBorders>
              <w:top w:val="nil"/>
              <w:left w:val="nil"/>
              <w:bottom w:val="single" w:sz="4" w:space="0" w:color="auto"/>
              <w:right w:val="nil"/>
            </w:tcBorders>
            <w:shd w:val="clear" w:color="000000" w:fill="FFFFFF"/>
            <w:noWrap/>
            <w:vAlign w:val="center"/>
            <w:hideMark/>
          </w:tcPr>
          <w:p w14:paraId="65279B6F"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211</w:t>
            </w:r>
          </w:p>
        </w:tc>
        <w:tc>
          <w:tcPr>
            <w:tcW w:w="284" w:type="dxa"/>
            <w:tcBorders>
              <w:top w:val="nil"/>
              <w:left w:val="nil"/>
              <w:bottom w:val="single" w:sz="4" w:space="0" w:color="auto"/>
              <w:right w:val="nil"/>
            </w:tcBorders>
            <w:shd w:val="clear" w:color="000000" w:fill="FFFFFF"/>
            <w:noWrap/>
            <w:vAlign w:val="center"/>
            <w:hideMark/>
          </w:tcPr>
          <w:p w14:paraId="3B82CE50"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3" w:type="dxa"/>
            <w:tcBorders>
              <w:top w:val="nil"/>
              <w:left w:val="nil"/>
              <w:bottom w:val="single" w:sz="4" w:space="0" w:color="auto"/>
              <w:right w:val="nil"/>
            </w:tcBorders>
            <w:shd w:val="clear" w:color="000000" w:fill="D9D9D9"/>
            <w:noWrap/>
            <w:vAlign w:val="center"/>
            <w:hideMark/>
          </w:tcPr>
          <w:p w14:paraId="24319680"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34" w:type="dxa"/>
            <w:tcBorders>
              <w:top w:val="nil"/>
              <w:left w:val="nil"/>
              <w:bottom w:val="single" w:sz="4" w:space="0" w:color="auto"/>
              <w:right w:val="nil"/>
            </w:tcBorders>
            <w:shd w:val="clear" w:color="000000" w:fill="FFFFFF"/>
            <w:noWrap/>
            <w:vAlign w:val="center"/>
            <w:hideMark/>
          </w:tcPr>
          <w:p w14:paraId="1D677243"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239</w:t>
            </w:r>
          </w:p>
        </w:tc>
        <w:tc>
          <w:tcPr>
            <w:tcW w:w="284" w:type="dxa"/>
            <w:tcBorders>
              <w:top w:val="nil"/>
              <w:left w:val="nil"/>
              <w:bottom w:val="nil"/>
              <w:right w:val="nil"/>
            </w:tcBorders>
            <w:shd w:val="clear" w:color="000000" w:fill="FFFFFF"/>
            <w:noWrap/>
            <w:vAlign w:val="center"/>
            <w:hideMark/>
          </w:tcPr>
          <w:p w14:paraId="24972BF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63EFE5E4" w14:textId="77777777" w:rsidTr="00F96BA5">
        <w:tc>
          <w:tcPr>
            <w:tcW w:w="0" w:type="auto"/>
            <w:tcBorders>
              <w:top w:val="nil"/>
              <w:left w:val="nil"/>
              <w:bottom w:val="nil"/>
              <w:right w:val="nil"/>
            </w:tcBorders>
            <w:shd w:val="clear" w:color="000000" w:fill="FFFFFF"/>
            <w:noWrap/>
            <w:vAlign w:val="center"/>
            <w:hideMark/>
          </w:tcPr>
          <w:p w14:paraId="23F7DCF6"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67" w:type="dxa"/>
            <w:tcBorders>
              <w:top w:val="nil"/>
              <w:left w:val="nil"/>
              <w:bottom w:val="nil"/>
              <w:right w:val="nil"/>
            </w:tcBorders>
            <w:shd w:val="clear" w:color="000000" w:fill="FFFFFF"/>
            <w:noWrap/>
            <w:vAlign w:val="center"/>
            <w:hideMark/>
          </w:tcPr>
          <w:p w14:paraId="76E485D5"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4" w:type="dxa"/>
            <w:tcBorders>
              <w:top w:val="nil"/>
              <w:left w:val="nil"/>
              <w:bottom w:val="nil"/>
              <w:right w:val="nil"/>
            </w:tcBorders>
            <w:shd w:val="clear" w:color="000000" w:fill="FFFFFF"/>
            <w:noWrap/>
            <w:vAlign w:val="center"/>
            <w:hideMark/>
          </w:tcPr>
          <w:p w14:paraId="37EF2C9F"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3" w:type="dxa"/>
            <w:tcBorders>
              <w:top w:val="nil"/>
              <w:left w:val="nil"/>
              <w:bottom w:val="nil"/>
              <w:right w:val="nil"/>
            </w:tcBorders>
            <w:shd w:val="clear" w:color="000000" w:fill="D9D9D9"/>
            <w:noWrap/>
            <w:vAlign w:val="center"/>
            <w:hideMark/>
          </w:tcPr>
          <w:p w14:paraId="6D8FAD7F"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34" w:type="dxa"/>
            <w:tcBorders>
              <w:top w:val="nil"/>
              <w:left w:val="nil"/>
              <w:bottom w:val="nil"/>
              <w:right w:val="nil"/>
            </w:tcBorders>
            <w:shd w:val="clear" w:color="000000" w:fill="FFFFFF"/>
            <w:noWrap/>
            <w:vAlign w:val="center"/>
            <w:hideMark/>
          </w:tcPr>
          <w:p w14:paraId="3BFFC3E5"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4" w:type="dxa"/>
            <w:tcBorders>
              <w:top w:val="nil"/>
              <w:left w:val="nil"/>
              <w:bottom w:val="nil"/>
              <w:right w:val="nil"/>
            </w:tcBorders>
            <w:shd w:val="clear" w:color="000000" w:fill="FFFFFF"/>
            <w:noWrap/>
            <w:vAlign w:val="center"/>
            <w:hideMark/>
          </w:tcPr>
          <w:p w14:paraId="5E0AEB4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77B49C91" w14:textId="77777777" w:rsidTr="00F96BA5">
        <w:tc>
          <w:tcPr>
            <w:tcW w:w="0" w:type="auto"/>
            <w:tcBorders>
              <w:top w:val="nil"/>
              <w:left w:val="nil"/>
              <w:bottom w:val="nil"/>
              <w:right w:val="nil"/>
            </w:tcBorders>
            <w:shd w:val="clear" w:color="000000" w:fill="FFFFFF"/>
            <w:noWrap/>
            <w:vAlign w:val="center"/>
            <w:hideMark/>
          </w:tcPr>
          <w:p w14:paraId="05534E66" w14:textId="77777777" w:rsidR="00F96BA5" w:rsidRPr="00421152" w:rsidRDefault="00F96BA5" w:rsidP="00F96BA5">
            <w:pPr>
              <w:ind w:left="0" w:firstLine="0"/>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 xml:space="preserve">    Depreciation of fixed assets</w:t>
            </w:r>
          </w:p>
        </w:tc>
        <w:tc>
          <w:tcPr>
            <w:tcW w:w="1167" w:type="dxa"/>
            <w:tcBorders>
              <w:top w:val="nil"/>
              <w:left w:val="nil"/>
              <w:bottom w:val="nil"/>
              <w:right w:val="nil"/>
            </w:tcBorders>
            <w:shd w:val="clear" w:color="000000" w:fill="FFFFFF"/>
            <w:noWrap/>
            <w:vAlign w:val="center"/>
            <w:hideMark/>
          </w:tcPr>
          <w:p w14:paraId="67F3481D"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10</w:t>
            </w:r>
          </w:p>
        </w:tc>
        <w:tc>
          <w:tcPr>
            <w:tcW w:w="284" w:type="dxa"/>
            <w:tcBorders>
              <w:top w:val="nil"/>
              <w:left w:val="nil"/>
              <w:bottom w:val="nil"/>
              <w:right w:val="nil"/>
            </w:tcBorders>
            <w:shd w:val="clear" w:color="000000" w:fill="FFFFFF"/>
            <w:noWrap/>
            <w:vAlign w:val="center"/>
            <w:hideMark/>
          </w:tcPr>
          <w:p w14:paraId="7B226F0D"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730B42D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12108C3A"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10</w:t>
            </w:r>
          </w:p>
        </w:tc>
        <w:tc>
          <w:tcPr>
            <w:tcW w:w="284" w:type="dxa"/>
            <w:tcBorders>
              <w:top w:val="nil"/>
              <w:left w:val="nil"/>
              <w:bottom w:val="nil"/>
              <w:right w:val="nil"/>
            </w:tcBorders>
            <w:shd w:val="clear" w:color="000000" w:fill="FFFFFF"/>
            <w:noWrap/>
            <w:vAlign w:val="center"/>
            <w:hideMark/>
          </w:tcPr>
          <w:p w14:paraId="1FE0374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109C7086" w14:textId="77777777" w:rsidTr="00F96BA5">
        <w:tc>
          <w:tcPr>
            <w:tcW w:w="0" w:type="auto"/>
            <w:tcBorders>
              <w:top w:val="nil"/>
              <w:left w:val="nil"/>
              <w:bottom w:val="nil"/>
              <w:right w:val="nil"/>
            </w:tcBorders>
            <w:shd w:val="clear" w:color="000000" w:fill="FFFFFF"/>
            <w:noWrap/>
            <w:vAlign w:val="center"/>
            <w:hideMark/>
          </w:tcPr>
          <w:p w14:paraId="66E74C5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provisions for membership dues in arrears</w:t>
            </w:r>
          </w:p>
        </w:tc>
        <w:tc>
          <w:tcPr>
            <w:tcW w:w="1167" w:type="dxa"/>
            <w:tcBorders>
              <w:top w:val="nil"/>
              <w:left w:val="nil"/>
              <w:bottom w:val="nil"/>
              <w:right w:val="nil"/>
            </w:tcBorders>
            <w:shd w:val="clear" w:color="000000" w:fill="FFFFFF"/>
            <w:noWrap/>
            <w:vAlign w:val="center"/>
            <w:hideMark/>
          </w:tcPr>
          <w:p w14:paraId="52690544"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(57)</w:t>
            </w:r>
          </w:p>
        </w:tc>
        <w:tc>
          <w:tcPr>
            <w:tcW w:w="284" w:type="dxa"/>
            <w:tcBorders>
              <w:top w:val="nil"/>
              <w:left w:val="nil"/>
              <w:bottom w:val="nil"/>
              <w:right w:val="nil"/>
            </w:tcBorders>
            <w:shd w:val="clear" w:color="000000" w:fill="FFFFFF"/>
            <w:noWrap/>
            <w:vAlign w:val="center"/>
            <w:hideMark/>
          </w:tcPr>
          <w:p w14:paraId="21FBE31D"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5744881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7B2652F7"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67</w:t>
            </w:r>
          </w:p>
        </w:tc>
        <w:tc>
          <w:tcPr>
            <w:tcW w:w="284" w:type="dxa"/>
            <w:tcBorders>
              <w:top w:val="nil"/>
              <w:left w:val="nil"/>
              <w:bottom w:val="nil"/>
              <w:right w:val="nil"/>
            </w:tcBorders>
            <w:shd w:val="clear" w:color="000000" w:fill="FFFFFF"/>
            <w:noWrap/>
            <w:vAlign w:val="center"/>
            <w:hideMark/>
          </w:tcPr>
          <w:p w14:paraId="0849C1CC"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5A2CD1D0" w14:textId="77777777" w:rsidTr="00F96BA5">
        <w:tc>
          <w:tcPr>
            <w:tcW w:w="0" w:type="auto"/>
            <w:tcBorders>
              <w:top w:val="nil"/>
              <w:left w:val="nil"/>
              <w:bottom w:val="nil"/>
              <w:right w:val="nil"/>
            </w:tcBorders>
            <w:shd w:val="clear" w:color="000000" w:fill="FFFFFF"/>
            <w:noWrap/>
            <w:vAlign w:val="center"/>
            <w:hideMark/>
          </w:tcPr>
          <w:p w14:paraId="5C958E1C"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staff leave and repatriation liabilities</w:t>
            </w:r>
          </w:p>
        </w:tc>
        <w:tc>
          <w:tcPr>
            <w:tcW w:w="1167" w:type="dxa"/>
            <w:tcBorders>
              <w:top w:val="nil"/>
              <w:left w:val="nil"/>
              <w:bottom w:val="nil"/>
              <w:right w:val="nil"/>
            </w:tcBorders>
            <w:shd w:val="clear" w:color="000000" w:fill="FFFFFF"/>
            <w:noWrap/>
            <w:vAlign w:val="center"/>
            <w:hideMark/>
          </w:tcPr>
          <w:p w14:paraId="7079A24F"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31</w:t>
            </w:r>
          </w:p>
        </w:tc>
        <w:tc>
          <w:tcPr>
            <w:tcW w:w="284" w:type="dxa"/>
            <w:tcBorders>
              <w:top w:val="nil"/>
              <w:left w:val="nil"/>
              <w:bottom w:val="nil"/>
              <w:right w:val="nil"/>
            </w:tcBorders>
            <w:shd w:val="clear" w:color="000000" w:fill="FFFFFF"/>
            <w:noWrap/>
            <w:vAlign w:val="center"/>
            <w:hideMark/>
          </w:tcPr>
          <w:p w14:paraId="05549E4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1A479FF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48CFBE36"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54</w:t>
            </w:r>
          </w:p>
        </w:tc>
        <w:tc>
          <w:tcPr>
            <w:tcW w:w="284" w:type="dxa"/>
            <w:tcBorders>
              <w:top w:val="nil"/>
              <w:left w:val="nil"/>
              <w:bottom w:val="nil"/>
              <w:right w:val="nil"/>
            </w:tcBorders>
            <w:shd w:val="clear" w:color="000000" w:fill="FFFFFF"/>
            <w:noWrap/>
            <w:vAlign w:val="center"/>
            <w:hideMark/>
          </w:tcPr>
          <w:p w14:paraId="64C0F967"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484D73C0" w14:textId="77777777" w:rsidTr="00F96BA5">
        <w:tc>
          <w:tcPr>
            <w:tcW w:w="0" w:type="auto"/>
            <w:tcBorders>
              <w:top w:val="nil"/>
              <w:left w:val="nil"/>
              <w:bottom w:val="nil"/>
              <w:right w:val="nil"/>
            </w:tcBorders>
            <w:shd w:val="clear" w:color="000000" w:fill="FFFFFF"/>
            <w:noWrap/>
            <w:vAlign w:val="center"/>
            <w:hideMark/>
          </w:tcPr>
          <w:p w14:paraId="0479F9E6"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the provision for staff termination</w:t>
            </w:r>
          </w:p>
        </w:tc>
        <w:tc>
          <w:tcPr>
            <w:tcW w:w="1167" w:type="dxa"/>
            <w:tcBorders>
              <w:top w:val="nil"/>
              <w:left w:val="nil"/>
              <w:bottom w:val="nil"/>
              <w:right w:val="nil"/>
            </w:tcBorders>
            <w:shd w:val="clear" w:color="000000" w:fill="FFFFFF"/>
            <w:noWrap/>
            <w:vAlign w:val="center"/>
            <w:hideMark/>
          </w:tcPr>
          <w:p w14:paraId="56749E28"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24</w:t>
            </w:r>
          </w:p>
        </w:tc>
        <w:tc>
          <w:tcPr>
            <w:tcW w:w="284" w:type="dxa"/>
            <w:tcBorders>
              <w:top w:val="nil"/>
              <w:left w:val="nil"/>
              <w:bottom w:val="nil"/>
              <w:right w:val="nil"/>
            </w:tcBorders>
            <w:shd w:val="clear" w:color="000000" w:fill="FFFFFF"/>
            <w:noWrap/>
            <w:vAlign w:val="center"/>
            <w:hideMark/>
          </w:tcPr>
          <w:p w14:paraId="52E447CF"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1AA3C3E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179EC6B1"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33</w:t>
            </w:r>
          </w:p>
        </w:tc>
        <w:tc>
          <w:tcPr>
            <w:tcW w:w="284" w:type="dxa"/>
            <w:tcBorders>
              <w:top w:val="nil"/>
              <w:left w:val="nil"/>
              <w:bottom w:val="nil"/>
              <w:right w:val="nil"/>
            </w:tcBorders>
            <w:shd w:val="clear" w:color="000000" w:fill="FFFFFF"/>
            <w:noWrap/>
            <w:vAlign w:val="center"/>
            <w:hideMark/>
          </w:tcPr>
          <w:p w14:paraId="41392501"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0294E3F4" w14:textId="77777777" w:rsidTr="00F96BA5">
        <w:tc>
          <w:tcPr>
            <w:tcW w:w="0" w:type="auto"/>
            <w:tcBorders>
              <w:top w:val="nil"/>
              <w:left w:val="nil"/>
              <w:bottom w:val="nil"/>
              <w:right w:val="nil"/>
            </w:tcBorders>
            <w:shd w:val="clear" w:color="000000" w:fill="FFFFFF"/>
            <w:noWrap/>
            <w:vAlign w:val="center"/>
            <w:hideMark/>
          </w:tcPr>
          <w:p w14:paraId="5E5E652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membership dues receivables (gross)</w:t>
            </w:r>
          </w:p>
        </w:tc>
        <w:tc>
          <w:tcPr>
            <w:tcW w:w="1167" w:type="dxa"/>
            <w:tcBorders>
              <w:top w:val="nil"/>
              <w:left w:val="nil"/>
              <w:bottom w:val="nil"/>
              <w:right w:val="nil"/>
            </w:tcBorders>
            <w:shd w:val="clear" w:color="000000" w:fill="FFFFFF"/>
            <w:noWrap/>
            <w:vAlign w:val="center"/>
            <w:hideMark/>
          </w:tcPr>
          <w:p w14:paraId="665BE2FC"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390</w:t>
            </w:r>
          </w:p>
        </w:tc>
        <w:tc>
          <w:tcPr>
            <w:tcW w:w="284" w:type="dxa"/>
            <w:tcBorders>
              <w:top w:val="nil"/>
              <w:left w:val="nil"/>
              <w:bottom w:val="nil"/>
              <w:right w:val="nil"/>
            </w:tcBorders>
            <w:shd w:val="clear" w:color="000000" w:fill="FFFFFF"/>
            <w:noWrap/>
            <w:vAlign w:val="center"/>
            <w:hideMark/>
          </w:tcPr>
          <w:p w14:paraId="6E1FB88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51F640B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6F1CD509"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(609)</w:t>
            </w:r>
          </w:p>
        </w:tc>
        <w:tc>
          <w:tcPr>
            <w:tcW w:w="284" w:type="dxa"/>
            <w:tcBorders>
              <w:top w:val="nil"/>
              <w:left w:val="nil"/>
              <w:bottom w:val="nil"/>
              <w:right w:val="nil"/>
            </w:tcBorders>
            <w:shd w:val="clear" w:color="000000" w:fill="FFFFFF"/>
            <w:noWrap/>
            <w:vAlign w:val="center"/>
            <w:hideMark/>
          </w:tcPr>
          <w:p w14:paraId="4025BB7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45C6142D" w14:textId="77777777" w:rsidTr="00F96BA5">
        <w:tc>
          <w:tcPr>
            <w:tcW w:w="0" w:type="auto"/>
            <w:tcBorders>
              <w:top w:val="nil"/>
              <w:left w:val="nil"/>
              <w:bottom w:val="nil"/>
              <w:right w:val="nil"/>
            </w:tcBorders>
            <w:shd w:val="clear" w:color="000000" w:fill="FFFFFF"/>
            <w:noWrap/>
            <w:vAlign w:val="center"/>
            <w:hideMark/>
          </w:tcPr>
          <w:p w14:paraId="24F9AB75"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payables to partner organisations</w:t>
            </w:r>
          </w:p>
        </w:tc>
        <w:tc>
          <w:tcPr>
            <w:tcW w:w="1167" w:type="dxa"/>
            <w:tcBorders>
              <w:top w:val="nil"/>
              <w:left w:val="nil"/>
              <w:bottom w:val="nil"/>
              <w:right w:val="nil"/>
            </w:tcBorders>
            <w:shd w:val="clear" w:color="000000" w:fill="FFFFFF"/>
            <w:noWrap/>
            <w:vAlign w:val="center"/>
            <w:hideMark/>
          </w:tcPr>
          <w:p w14:paraId="19337A9B"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(137)</w:t>
            </w:r>
          </w:p>
        </w:tc>
        <w:tc>
          <w:tcPr>
            <w:tcW w:w="284" w:type="dxa"/>
            <w:tcBorders>
              <w:top w:val="nil"/>
              <w:left w:val="nil"/>
              <w:bottom w:val="nil"/>
              <w:right w:val="nil"/>
            </w:tcBorders>
            <w:shd w:val="clear" w:color="000000" w:fill="FFFFFF"/>
            <w:noWrap/>
            <w:vAlign w:val="center"/>
            <w:hideMark/>
          </w:tcPr>
          <w:p w14:paraId="66F34148"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1D1C511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62604C80"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198</w:t>
            </w:r>
          </w:p>
        </w:tc>
        <w:tc>
          <w:tcPr>
            <w:tcW w:w="284" w:type="dxa"/>
            <w:tcBorders>
              <w:top w:val="nil"/>
              <w:left w:val="nil"/>
              <w:bottom w:val="nil"/>
              <w:right w:val="nil"/>
            </w:tcBorders>
            <w:shd w:val="clear" w:color="000000" w:fill="FFFFFF"/>
            <w:noWrap/>
            <w:vAlign w:val="center"/>
            <w:hideMark/>
          </w:tcPr>
          <w:p w14:paraId="2363C695"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6B73C0BF" w14:textId="77777777" w:rsidTr="00F96BA5">
        <w:tc>
          <w:tcPr>
            <w:tcW w:w="0" w:type="auto"/>
            <w:tcBorders>
              <w:top w:val="nil"/>
              <w:left w:val="nil"/>
              <w:bottom w:val="nil"/>
              <w:right w:val="nil"/>
            </w:tcBorders>
            <w:shd w:val="clear" w:color="000000" w:fill="FFFFFF"/>
            <w:noWrap/>
            <w:vAlign w:val="center"/>
            <w:hideMark/>
          </w:tcPr>
          <w:p w14:paraId="5B00D837"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other accounts receivable</w:t>
            </w:r>
          </w:p>
        </w:tc>
        <w:tc>
          <w:tcPr>
            <w:tcW w:w="1167" w:type="dxa"/>
            <w:tcBorders>
              <w:top w:val="nil"/>
              <w:left w:val="nil"/>
              <w:bottom w:val="nil"/>
              <w:right w:val="nil"/>
            </w:tcBorders>
            <w:shd w:val="clear" w:color="000000" w:fill="FFFFFF"/>
            <w:noWrap/>
            <w:vAlign w:val="center"/>
            <w:hideMark/>
          </w:tcPr>
          <w:p w14:paraId="4A7395F7"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20</w:t>
            </w:r>
          </w:p>
        </w:tc>
        <w:tc>
          <w:tcPr>
            <w:tcW w:w="284" w:type="dxa"/>
            <w:tcBorders>
              <w:top w:val="nil"/>
              <w:left w:val="nil"/>
              <w:bottom w:val="nil"/>
              <w:right w:val="nil"/>
            </w:tcBorders>
            <w:shd w:val="clear" w:color="000000" w:fill="FFFFFF"/>
            <w:noWrap/>
            <w:vAlign w:val="center"/>
            <w:hideMark/>
          </w:tcPr>
          <w:p w14:paraId="4F4CF25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55FA6DC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0352CB55"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24</w:t>
            </w:r>
          </w:p>
        </w:tc>
        <w:tc>
          <w:tcPr>
            <w:tcW w:w="284" w:type="dxa"/>
            <w:tcBorders>
              <w:top w:val="nil"/>
              <w:left w:val="nil"/>
              <w:bottom w:val="nil"/>
              <w:right w:val="nil"/>
            </w:tcBorders>
            <w:shd w:val="clear" w:color="000000" w:fill="FFFFFF"/>
            <w:noWrap/>
            <w:vAlign w:val="center"/>
            <w:hideMark/>
          </w:tcPr>
          <w:p w14:paraId="1A4F3367"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13B6C2F9" w14:textId="77777777" w:rsidTr="00F96BA5">
        <w:tc>
          <w:tcPr>
            <w:tcW w:w="0" w:type="auto"/>
            <w:tcBorders>
              <w:top w:val="nil"/>
              <w:left w:val="nil"/>
              <w:bottom w:val="nil"/>
              <w:right w:val="nil"/>
            </w:tcBorders>
            <w:shd w:val="clear" w:color="000000" w:fill="FFFFFF"/>
            <w:noWrap/>
            <w:vAlign w:val="center"/>
            <w:hideMark/>
          </w:tcPr>
          <w:p w14:paraId="52B6576C"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membership dues paid in advance</w:t>
            </w:r>
          </w:p>
        </w:tc>
        <w:tc>
          <w:tcPr>
            <w:tcW w:w="1167" w:type="dxa"/>
            <w:tcBorders>
              <w:top w:val="nil"/>
              <w:left w:val="nil"/>
              <w:bottom w:val="nil"/>
              <w:right w:val="nil"/>
            </w:tcBorders>
            <w:shd w:val="clear" w:color="000000" w:fill="FFFFFF"/>
            <w:noWrap/>
            <w:vAlign w:val="center"/>
            <w:hideMark/>
          </w:tcPr>
          <w:p w14:paraId="3844A3C6"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280</w:t>
            </w:r>
          </w:p>
        </w:tc>
        <w:tc>
          <w:tcPr>
            <w:tcW w:w="284" w:type="dxa"/>
            <w:tcBorders>
              <w:top w:val="nil"/>
              <w:left w:val="nil"/>
              <w:bottom w:val="nil"/>
              <w:right w:val="nil"/>
            </w:tcBorders>
            <w:shd w:val="clear" w:color="000000" w:fill="FFFFFF"/>
            <w:noWrap/>
            <w:vAlign w:val="center"/>
            <w:hideMark/>
          </w:tcPr>
          <w:p w14:paraId="3C4BBF18"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40EEBF3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222B072A"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(76)</w:t>
            </w:r>
          </w:p>
        </w:tc>
        <w:tc>
          <w:tcPr>
            <w:tcW w:w="284" w:type="dxa"/>
            <w:tcBorders>
              <w:top w:val="nil"/>
              <w:left w:val="nil"/>
              <w:bottom w:val="nil"/>
              <w:right w:val="nil"/>
            </w:tcBorders>
            <w:shd w:val="clear" w:color="000000" w:fill="FFFFFF"/>
            <w:noWrap/>
            <w:vAlign w:val="center"/>
            <w:hideMark/>
          </w:tcPr>
          <w:p w14:paraId="67BE89B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177203A9" w14:textId="77777777" w:rsidTr="00F96BA5">
        <w:tc>
          <w:tcPr>
            <w:tcW w:w="0" w:type="auto"/>
            <w:tcBorders>
              <w:top w:val="nil"/>
              <w:left w:val="nil"/>
              <w:bottom w:val="nil"/>
              <w:right w:val="nil"/>
            </w:tcBorders>
            <w:shd w:val="clear" w:color="000000" w:fill="FFFFFF"/>
            <w:noWrap/>
            <w:vAlign w:val="center"/>
            <w:hideMark/>
          </w:tcPr>
          <w:p w14:paraId="65627D7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accounts payable and accrued liabilities</w:t>
            </w:r>
          </w:p>
        </w:tc>
        <w:tc>
          <w:tcPr>
            <w:tcW w:w="1167" w:type="dxa"/>
            <w:tcBorders>
              <w:top w:val="nil"/>
              <w:left w:val="nil"/>
              <w:bottom w:val="nil"/>
              <w:right w:val="nil"/>
            </w:tcBorders>
            <w:shd w:val="clear" w:color="000000" w:fill="FFFFFF"/>
            <w:noWrap/>
            <w:vAlign w:val="center"/>
            <w:hideMark/>
          </w:tcPr>
          <w:p w14:paraId="0E74CC46"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(46)</w:t>
            </w:r>
          </w:p>
        </w:tc>
        <w:tc>
          <w:tcPr>
            <w:tcW w:w="284" w:type="dxa"/>
            <w:tcBorders>
              <w:top w:val="nil"/>
              <w:left w:val="nil"/>
              <w:bottom w:val="nil"/>
              <w:right w:val="nil"/>
            </w:tcBorders>
            <w:shd w:val="clear" w:color="000000" w:fill="FFFFFF"/>
            <w:noWrap/>
            <w:vAlign w:val="center"/>
            <w:hideMark/>
          </w:tcPr>
          <w:p w14:paraId="31CD652F"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2FAF880E"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7C033B9A"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(81)</w:t>
            </w:r>
          </w:p>
        </w:tc>
        <w:tc>
          <w:tcPr>
            <w:tcW w:w="284" w:type="dxa"/>
            <w:tcBorders>
              <w:top w:val="nil"/>
              <w:left w:val="nil"/>
              <w:bottom w:val="nil"/>
              <w:right w:val="nil"/>
            </w:tcBorders>
            <w:shd w:val="clear" w:color="000000" w:fill="FFFFFF"/>
            <w:noWrap/>
            <w:vAlign w:val="center"/>
            <w:hideMark/>
          </w:tcPr>
          <w:p w14:paraId="23127DD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0BC993C1" w14:textId="77777777" w:rsidTr="00F96BA5">
        <w:tc>
          <w:tcPr>
            <w:tcW w:w="0" w:type="auto"/>
            <w:tcBorders>
              <w:top w:val="nil"/>
              <w:left w:val="nil"/>
              <w:bottom w:val="nil"/>
              <w:right w:val="nil"/>
            </w:tcBorders>
            <w:shd w:val="clear" w:color="000000" w:fill="FFFFFF"/>
            <w:noWrap/>
            <w:vAlign w:val="center"/>
            <w:hideMark/>
          </w:tcPr>
          <w:p w14:paraId="0C03357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xml:space="preserve">    Increase / (decrease) in social charges payable</w:t>
            </w:r>
          </w:p>
        </w:tc>
        <w:tc>
          <w:tcPr>
            <w:tcW w:w="1167" w:type="dxa"/>
            <w:tcBorders>
              <w:top w:val="nil"/>
              <w:left w:val="nil"/>
              <w:bottom w:val="nil"/>
              <w:right w:val="nil"/>
            </w:tcBorders>
            <w:shd w:val="clear" w:color="000000" w:fill="FFFFFF"/>
            <w:noWrap/>
            <w:vAlign w:val="center"/>
            <w:hideMark/>
          </w:tcPr>
          <w:p w14:paraId="72273CF1"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10</w:t>
            </w:r>
          </w:p>
        </w:tc>
        <w:tc>
          <w:tcPr>
            <w:tcW w:w="284" w:type="dxa"/>
            <w:tcBorders>
              <w:top w:val="nil"/>
              <w:left w:val="nil"/>
              <w:bottom w:val="nil"/>
              <w:right w:val="nil"/>
            </w:tcBorders>
            <w:shd w:val="clear" w:color="000000" w:fill="FFFFFF"/>
            <w:noWrap/>
            <w:vAlign w:val="center"/>
            <w:hideMark/>
          </w:tcPr>
          <w:p w14:paraId="6659EF85"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2346B8D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6B2D6BFD"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19</w:t>
            </w:r>
          </w:p>
        </w:tc>
        <w:tc>
          <w:tcPr>
            <w:tcW w:w="284" w:type="dxa"/>
            <w:tcBorders>
              <w:top w:val="nil"/>
              <w:left w:val="nil"/>
              <w:bottom w:val="nil"/>
              <w:right w:val="nil"/>
            </w:tcBorders>
            <w:shd w:val="clear" w:color="000000" w:fill="FFFFFF"/>
            <w:noWrap/>
            <w:vAlign w:val="center"/>
            <w:hideMark/>
          </w:tcPr>
          <w:p w14:paraId="4894B3FC"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001D41AD" w14:textId="77777777" w:rsidTr="00F96BA5">
        <w:tc>
          <w:tcPr>
            <w:tcW w:w="0" w:type="auto"/>
            <w:tcBorders>
              <w:top w:val="nil"/>
              <w:left w:val="nil"/>
              <w:bottom w:val="nil"/>
              <w:right w:val="nil"/>
            </w:tcBorders>
            <w:shd w:val="clear" w:color="000000" w:fill="FFFFFF"/>
            <w:noWrap/>
            <w:vAlign w:val="center"/>
            <w:hideMark/>
          </w:tcPr>
          <w:p w14:paraId="4F361859"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67" w:type="dxa"/>
            <w:tcBorders>
              <w:top w:val="nil"/>
              <w:left w:val="nil"/>
              <w:bottom w:val="nil"/>
              <w:right w:val="nil"/>
            </w:tcBorders>
            <w:shd w:val="clear" w:color="000000" w:fill="FFFFFF"/>
            <w:noWrap/>
            <w:vAlign w:val="center"/>
            <w:hideMark/>
          </w:tcPr>
          <w:p w14:paraId="6950E1E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5EF63C85"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277C949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715DD36D"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3784E3A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14A4286C" w14:textId="77777777" w:rsidTr="00F96BA5">
        <w:tc>
          <w:tcPr>
            <w:tcW w:w="0" w:type="auto"/>
            <w:tcBorders>
              <w:top w:val="nil"/>
              <w:left w:val="nil"/>
              <w:bottom w:val="nil"/>
              <w:right w:val="nil"/>
            </w:tcBorders>
            <w:shd w:val="clear" w:color="000000" w:fill="FFFFFF"/>
            <w:noWrap/>
            <w:vAlign w:val="center"/>
            <w:hideMark/>
          </w:tcPr>
          <w:p w14:paraId="7D6D476F"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Total Cash flow from operations</w:t>
            </w:r>
          </w:p>
        </w:tc>
        <w:tc>
          <w:tcPr>
            <w:tcW w:w="1167" w:type="dxa"/>
            <w:tcBorders>
              <w:top w:val="single" w:sz="4" w:space="0" w:color="auto"/>
              <w:left w:val="nil"/>
              <w:bottom w:val="nil"/>
              <w:right w:val="nil"/>
            </w:tcBorders>
            <w:shd w:val="clear" w:color="000000" w:fill="FFFFFF"/>
            <w:noWrap/>
            <w:vAlign w:val="center"/>
            <w:hideMark/>
          </w:tcPr>
          <w:p w14:paraId="645A795D"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737</w:t>
            </w:r>
          </w:p>
        </w:tc>
        <w:tc>
          <w:tcPr>
            <w:tcW w:w="284" w:type="dxa"/>
            <w:tcBorders>
              <w:top w:val="single" w:sz="4" w:space="0" w:color="auto"/>
              <w:left w:val="nil"/>
              <w:bottom w:val="nil"/>
              <w:right w:val="nil"/>
            </w:tcBorders>
            <w:shd w:val="clear" w:color="000000" w:fill="FFFFFF"/>
            <w:noWrap/>
            <w:vAlign w:val="center"/>
            <w:hideMark/>
          </w:tcPr>
          <w:p w14:paraId="7DEEDFBD"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3" w:type="dxa"/>
            <w:tcBorders>
              <w:top w:val="single" w:sz="4" w:space="0" w:color="auto"/>
              <w:left w:val="nil"/>
              <w:bottom w:val="nil"/>
              <w:right w:val="nil"/>
            </w:tcBorders>
            <w:shd w:val="clear" w:color="000000" w:fill="D9D9D9"/>
            <w:noWrap/>
            <w:vAlign w:val="center"/>
            <w:hideMark/>
          </w:tcPr>
          <w:p w14:paraId="500A58A2"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34" w:type="dxa"/>
            <w:tcBorders>
              <w:top w:val="single" w:sz="4" w:space="0" w:color="auto"/>
              <w:left w:val="nil"/>
              <w:bottom w:val="nil"/>
              <w:right w:val="nil"/>
            </w:tcBorders>
            <w:shd w:val="clear" w:color="000000" w:fill="FFFFFF"/>
            <w:noWrap/>
            <w:vAlign w:val="center"/>
            <w:hideMark/>
          </w:tcPr>
          <w:p w14:paraId="37F72C2C"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(123)</w:t>
            </w:r>
          </w:p>
        </w:tc>
        <w:tc>
          <w:tcPr>
            <w:tcW w:w="284" w:type="dxa"/>
            <w:tcBorders>
              <w:top w:val="nil"/>
              <w:left w:val="nil"/>
              <w:bottom w:val="nil"/>
              <w:right w:val="nil"/>
            </w:tcBorders>
            <w:shd w:val="clear" w:color="000000" w:fill="FFFFFF"/>
            <w:noWrap/>
            <w:vAlign w:val="center"/>
            <w:hideMark/>
          </w:tcPr>
          <w:p w14:paraId="20666E5A"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r>
      <w:tr w:rsidR="00F96BA5" w:rsidRPr="00421152" w14:paraId="2AF24E48" w14:textId="77777777" w:rsidTr="00F96BA5">
        <w:tc>
          <w:tcPr>
            <w:tcW w:w="0" w:type="auto"/>
            <w:tcBorders>
              <w:top w:val="nil"/>
              <w:left w:val="nil"/>
              <w:bottom w:val="nil"/>
              <w:right w:val="nil"/>
            </w:tcBorders>
            <w:shd w:val="clear" w:color="000000" w:fill="FFFFFF"/>
            <w:noWrap/>
            <w:vAlign w:val="center"/>
            <w:hideMark/>
          </w:tcPr>
          <w:p w14:paraId="78AF73C6"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67" w:type="dxa"/>
            <w:tcBorders>
              <w:top w:val="nil"/>
              <w:left w:val="nil"/>
              <w:bottom w:val="nil"/>
              <w:right w:val="nil"/>
            </w:tcBorders>
            <w:shd w:val="clear" w:color="000000" w:fill="FFFFFF"/>
            <w:noWrap/>
            <w:vAlign w:val="center"/>
            <w:hideMark/>
          </w:tcPr>
          <w:p w14:paraId="7DF96A23"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6469C09E"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480F49A3"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0D88BCB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51BBC145"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39298A0E" w14:textId="77777777" w:rsidTr="00F96BA5">
        <w:tc>
          <w:tcPr>
            <w:tcW w:w="0" w:type="auto"/>
            <w:tcBorders>
              <w:top w:val="nil"/>
              <w:left w:val="nil"/>
              <w:bottom w:val="nil"/>
              <w:right w:val="nil"/>
            </w:tcBorders>
            <w:shd w:val="clear" w:color="000000" w:fill="FFFFFF"/>
            <w:noWrap/>
            <w:vAlign w:val="center"/>
            <w:hideMark/>
          </w:tcPr>
          <w:p w14:paraId="2CB1EE4F"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Cash flow from investing activities</w:t>
            </w:r>
          </w:p>
        </w:tc>
        <w:tc>
          <w:tcPr>
            <w:tcW w:w="1167" w:type="dxa"/>
            <w:tcBorders>
              <w:top w:val="nil"/>
              <w:left w:val="nil"/>
              <w:bottom w:val="nil"/>
              <w:right w:val="nil"/>
            </w:tcBorders>
            <w:shd w:val="clear" w:color="000000" w:fill="FFFFFF"/>
            <w:noWrap/>
            <w:vAlign w:val="center"/>
            <w:hideMark/>
          </w:tcPr>
          <w:p w14:paraId="4110117C"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207B9226"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3FA275F3"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5693C351"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7DB8E4AC"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4C95D8F0" w14:textId="77777777" w:rsidTr="00F96BA5">
        <w:tc>
          <w:tcPr>
            <w:tcW w:w="0" w:type="auto"/>
            <w:tcBorders>
              <w:top w:val="nil"/>
              <w:left w:val="nil"/>
              <w:bottom w:val="nil"/>
              <w:right w:val="nil"/>
            </w:tcBorders>
            <w:shd w:val="clear" w:color="000000" w:fill="FFFFFF"/>
            <w:noWrap/>
            <w:vAlign w:val="center"/>
            <w:hideMark/>
          </w:tcPr>
          <w:p w14:paraId="09A20066" w14:textId="77777777" w:rsidR="00F96BA5" w:rsidRPr="00421152" w:rsidRDefault="00F96BA5" w:rsidP="00F96BA5">
            <w:pPr>
              <w:ind w:left="0" w:firstLine="0"/>
              <w:rPr>
                <w:rFonts w:asciiTheme="minorHAnsi" w:eastAsia="Times New Roman" w:hAnsiTheme="minorHAnsi" w:cs="Arial"/>
                <w:color w:val="000000"/>
                <w:sz w:val="20"/>
                <w:szCs w:val="20"/>
                <w:lang w:eastAsia="en-GB"/>
              </w:rPr>
            </w:pPr>
            <w:r w:rsidRPr="00421152">
              <w:rPr>
                <w:rFonts w:asciiTheme="minorHAnsi" w:eastAsia="Times New Roman" w:hAnsiTheme="minorHAnsi" w:cs="Arial"/>
                <w:color w:val="000000"/>
                <w:sz w:val="20"/>
                <w:szCs w:val="20"/>
                <w:lang w:eastAsia="en-GB"/>
              </w:rPr>
              <w:t xml:space="preserve">    Purchase of fixed assets</w:t>
            </w:r>
          </w:p>
        </w:tc>
        <w:tc>
          <w:tcPr>
            <w:tcW w:w="1167" w:type="dxa"/>
            <w:tcBorders>
              <w:top w:val="nil"/>
              <w:left w:val="nil"/>
              <w:bottom w:val="nil"/>
              <w:right w:val="nil"/>
            </w:tcBorders>
            <w:shd w:val="clear" w:color="000000" w:fill="FFFFFF"/>
            <w:noWrap/>
            <w:vAlign w:val="center"/>
            <w:hideMark/>
          </w:tcPr>
          <w:p w14:paraId="26F5FD35"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(7)</w:t>
            </w:r>
          </w:p>
        </w:tc>
        <w:tc>
          <w:tcPr>
            <w:tcW w:w="284" w:type="dxa"/>
            <w:tcBorders>
              <w:top w:val="nil"/>
              <w:left w:val="nil"/>
              <w:bottom w:val="nil"/>
              <w:right w:val="nil"/>
            </w:tcBorders>
            <w:shd w:val="clear" w:color="000000" w:fill="FFFFFF"/>
            <w:noWrap/>
            <w:vAlign w:val="center"/>
            <w:hideMark/>
          </w:tcPr>
          <w:p w14:paraId="45FF9DE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7A59F4A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680C3C14"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(10)</w:t>
            </w:r>
          </w:p>
        </w:tc>
        <w:tc>
          <w:tcPr>
            <w:tcW w:w="284" w:type="dxa"/>
            <w:tcBorders>
              <w:top w:val="nil"/>
              <w:left w:val="nil"/>
              <w:bottom w:val="nil"/>
              <w:right w:val="nil"/>
            </w:tcBorders>
            <w:shd w:val="clear" w:color="000000" w:fill="FFFFFF"/>
            <w:noWrap/>
            <w:vAlign w:val="center"/>
            <w:hideMark/>
          </w:tcPr>
          <w:p w14:paraId="3869C42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1D6902B5" w14:textId="77777777" w:rsidTr="00F96BA5">
        <w:tc>
          <w:tcPr>
            <w:tcW w:w="0" w:type="auto"/>
            <w:tcBorders>
              <w:top w:val="nil"/>
              <w:left w:val="nil"/>
              <w:bottom w:val="nil"/>
              <w:right w:val="nil"/>
            </w:tcBorders>
            <w:shd w:val="clear" w:color="000000" w:fill="FFFFFF"/>
            <w:noWrap/>
            <w:vAlign w:val="center"/>
            <w:hideMark/>
          </w:tcPr>
          <w:p w14:paraId="2BB05CCF"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67" w:type="dxa"/>
            <w:tcBorders>
              <w:top w:val="nil"/>
              <w:left w:val="nil"/>
              <w:bottom w:val="nil"/>
              <w:right w:val="nil"/>
            </w:tcBorders>
            <w:shd w:val="clear" w:color="auto" w:fill="auto"/>
            <w:noWrap/>
            <w:vAlign w:val="center"/>
            <w:hideMark/>
          </w:tcPr>
          <w:p w14:paraId="27E54113" w14:textId="77777777" w:rsidR="00F96BA5" w:rsidRPr="00421152" w:rsidRDefault="00F96BA5" w:rsidP="00F96BA5">
            <w:pPr>
              <w:ind w:left="0" w:firstLine="0"/>
              <w:rPr>
                <w:rFonts w:asciiTheme="minorHAnsi" w:eastAsia="Times New Roman" w:hAnsiTheme="minorHAnsi" w:cs="Arial"/>
                <w:sz w:val="20"/>
                <w:szCs w:val="20"/>
                <w:lang w:eastAsia="en-GB"/>
              </w:rPr>
            </w:pPr>
          </w:p>
        </w:tc>
        <w:tc>
          <w:tcPr>
            <w:tcW w:w="284" w:type="dxa"/>
            <w:tcBorders>
              <w:top w:val="nil"/>
              <w:left w:val="nil"/>
              <w:bottom w:val="nil"/>
              <w:right w:val="nil"/>
            </w:tcBorders>
            <w:shd w:val="clear" w:color="000000" w:fill="FFFFFF"/>
            <w:noWrap/>
            <w:vAlign w:val="center"/>
            <w:hideMark/>
          </w:tcPr>
          <w:p w14:paraId="20FE418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5523D64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5ADFD7D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5867B3C9"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3746B5F7" w14:textId="77777777" w:rsidTr="00F96BA5">
        <w:tc>
          <w:tcPr>
            <w:tcW w:w="0" w:type="auto"/>
            <w:tcBorders>
              <w:top w:val="nil"/>
              <w:left w:val="nil"/>
              <w:bottom w:val="nil"/>
              <w:right w:val="nil"/>
            </w:tcBorders>
            <w:shd w:val="clear" w:color="000000" w:fill="FFFFFF"/>
            <w:noWrap/>
            <w:vAlign w:val="center"/>
            <w:hideMark/>
          </w:tcPr>
          <w:p w14:paraId="6099A7AD"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Total Cash flow from investing activities</w:t>
            </w:r>
          </w:p>
        </w:tc>
        <w:tc>
          <w:tcPr>
            <w:tcW w:w="1167" w:type="dxa"/>
            <w:tcBorders>
              <w:top w:val="single" w:sz="4" w:space="0" w:color="auto"/>
              <w:left w:val="nil"/>
              <w:bottom w:val="nil"/>
              <w:right w:val="nil"/>
            </w:tcBorders>
            <w:shd w:val="clear" w:color="000000" w:fill="FFFFFF"/>
            <w:noWrap/>
            <w:vAlign w:val="center"/>
            <w:hideMark/>
          </w:tcPr>
          <w:p w14:paraId="01C29475"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(7)</w:t>
            </w:r>
          </w:p>
        </w:tc>
        <w:tc>
          <w:tcPr>
            <w:tcW w:w="284" w:type="dxa"/>
            <w:tcBorders>
              <w:top w:val="single" w:sz="4" w:space="0" w:color="auto"/>
              <w:left w:val="nil"/>
              <w:bottom w:val="nil"/>
              <w:right w:val="nil"/>
            </w:tcBorders>
            <w:shd w:val="clear" w:color="000000" w:fill="FFFFFF"/>
            <w:noWrap/>
            <w:vAlign w:val="center"/>
            <w:hideMark/>
          </w:tcPr>
          <w:p w14:paraId="20C6029B"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3" w:type="dxa"/>
            <w:tcBorders>
              <w:top w:val="single" w:sz="4" w:space="0" w:color="auto"/>
              <w:left w:val="nil"/>
              <w:bottom w:val="nil"/>
              <w:right w:val="nil"/>
            </w:tcBorders>
            <w:shd w:val="clear" w:color="000000" w:fill="D9D9D9"/>
            <w:noWrap/>
            <w:vAlign w:val="center"/>
            <w:hideMark/>
          </w:tcPr>
          <w:p w14:paraId="675EAD54"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34" w:type="dxa"/>
            <w:tcBorders>
              <w:top w:val="single" w:sz="4" w:space="0" w:color="auto"/>
              <w:left w:val="nil"/>
              <w:bottom w:val="nil"/>
              <w:right w:val="nil"/>
            </w:tcBorders>
            <w:shd w:val="clear" w:color="000000" w:fill="FFFFFF"/>
            <w:noWrap/>
            <w:vAlign w:val="center"/>
            <w:hideMark/>
          </w:tcPr>
          <w:p w14:paraId="362C6920"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(10)</w:t>
            </w:r>
          </w:p>
        </w:tc>
        <w:tc>
          <w:tcPr>
            <w:tcW w:w="284" w:type="dxa"/>
            <w:tcBorders>
              <w:top w:val="nil"/>
              <w:left w:val="nil"/>
              <w:bottom w:val="nil"/>
              <w:right w:val="nil"/>
            </w:tcBorders>
            <w:shd w:val="clear" w:color="000000" w:fill="FFFFFF"/>
            <w:noWrap/>
            <w:vAlign w:val="center"/>
            <w:hideMark/>
          </w:tcPr>
          <w:p w14:paraId="60C9C2E5"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r>
      <w:tr w:rsidR="00F96BA5" w:rsidRPr="00421152" w14:paraId="3F7FD7AF" w14:textId="77777777" w:rsidTr="00F96BA5">
        <w:tc>
          <w:tcPr>
            <w:tcW w:w="0" w:type="auto"/>
            <w:tcBorders>
              <w:top w:val="nil"/>
              <w:left w:val="nil"/>
              <w:bottom w:val="nil"/>
              <w:right w:val="nil"/>
            </w:tcBorders>
            <w:shd w:val="clear" w:color="000000" w:fill="FFFFFF"/>
            <w:noWrap/>
            <w:vAlign w:val="center"/>
            <w:hideMark/>
          </w:tcPr>
          <w:p w14:paraId="2EBF985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67" w:type="dxa"/>
            <w:tcBorders>
              <w:top w:val="nil"/>
              <w:left w:val="nil"/>
              <w:bottom w:val="nil"/>
              <w:right w:val="nil"/>
            </w:tcBorders>
            <w:shd w:val="clear" w:color="000000" w:fill="FFFFFF"/>
            <w:noWrap/>
            <w:vAlign w:val="center"/>
            <w:hideMark/>
          </w:tcPr>
          <w:p w14:paraId="07448373"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6A73829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6C65639F"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08ABAE45"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3D4948EF"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38D57D67" w14:textId="77777777" w:rsidTr="00F96BA5">
        <w:tc>
          <w:tcPr>
            <w:tcW w:w="0" w:type="auto"/>
            <w:tcBorders>
              <w:top w:val="nil"/>
              <w:left w:val="nil"/>
              <w:bottom w:val="nil"/>
              <w:right w:val="nil"/>
            </w:tcBorders>
            <w:shd w:val="clear" w:color="000000" w:fill="FFFFFF"/>
            <w:noWrap/>
            <w:vAlign w:val="center"/>
            <w:hideMark/>
          </w:tcPr>
          <w:p w14:paraId="26822CC4"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Net Cash inflow/(outflow) for the year</w:t>
            </w:r>
          </w:p>
        </w:tc>
        <w:tc>
          <w:tcPr>
            <w:tcW w:w="1167" w:type="dxa"/>
            <w:tcBorders>
              <w:top w:val="single" w:sz="4" w:space="0" w:color="auto"/>
              <w:left w:val="nil"/>
              <w:bottom w:val="single" w:sz="4" w:space="0" w:color="auto"/>
              <w:right w:val="nil"/>
            </w:tcBorders>
            <w:shd w:val="clear" w:color="auto" w:fill="auto"/>
            <w:noWrap/>
            <w:vAlign w:val="center"/>
            <w:hideMark/>
          </w:tcPr>
          <w:p w14:paraId="6AFC2D06"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730</w:t>
            </w:r>
          </w:p>
        </w:tc>
        <w:tc>
          <w:tcPr>
            <w:tcW w:w="284" w:type="dxa"/>
            <w:tcBorders>
              <w:top w:val="single" w:sz="4" w:space="0" w:color="auto"/>
              <w:left w:val="nil"/>
              <w:bottom w:val="single" w:sz="4" w:space="0" w:color="auto"/>
              <w:right w:val="nil"/>
            </w:tcBorders>
            <w:shd w:val="clear" w:color="000000" w:fill="FFFFFF"/>
            <w:noWrap/>
            <w:vAlign w:val="center"/>
            <w:hideMark/>
          </w:tcPr>
          <w:p w14:paraId="67582681"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3" w:type="dxa"/>
            <w:tcBorders>
              <w:top w:val="single" w:sz="4" w:space="0" w:color="auto"/>
              <w:left w:val="nil"/>
              <w:bottom w:val="single" w:sz="4" w:space="0" w:color="auto"/>
              <w:right w:val="nil"/>
            </w:tcBorders>
            <w:shd w:val="clear" w:color="000000" w:fill="D9D9D9"/>
            <w:noWrap/>
            <w:vAlign w:val="center"/>
            <w:hideMark/>
          </w:tcPr>
          <w:p w14:paraId="3BCA0F49"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34" w:type="dxa"/>
            <w:tcBorders>
              <w:top w:val="single" w:sz="4" w:space="0" w:color="auto"/>
              <w:left w:val="nil"/>
              <w:bottom w:val="single" w:sz="4" w:space="0" w:color="auto"/>
              <w:right w:val="nil"/>
            </w:tcBorders>
            <w:shd w:val="clear" w:color="000000" w:fill="FFFFFF"/>
            <w:noWrap/>
            <w:vAlign w:val="center"/>
            <w:hideMark/>
          </w:tcPr>
          <w:p w14:paraId="51B936FD"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(133)</w:t>
            </w:r>
          </w:p>
        </w:tc>
        <w:tc>
          <w:tcPr>
            <w:tcW w:w="284" w:type="dxa"/>
            <w:tcBorders>
              <w:top w:val="nil"/>
              <w:left w:val="nil"/>
              <w:bottom w:val="nil"/>
              <w:right w:val="nil"/>
            </w:tcBorders>
            <w:shd w:val="clear" w:color="000000" w:fill="FFFFFF"/>
            <w:noWrap/>
            <w:vAlign w:val="center"/>
            <w:hideMark/>
          </w:tcPr>
          <w:p w14:paraId="497F6F16"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r>
      <w:tr w:rsidR="00F96BA5" w:rsidRPr="00421152" w14:paraId="5B3D94CC" w14:textId="77777777" w:rsidTr="00F96BA5">
        <w:tc>
          <w:tcPr>
            <w:tcW w:w="0" w:type="auto"/>
            <w:tcBorders>
              <w:top w:val="nil"/>
              <w:left w:val="nil"/>
              <w:bottom w:val="nil"/>
              <w:right w:val="nil"/>
            </w:tcBorders>
            <w:shd w:val="clear" w:color="000000" w:fill="FFFFFF"/>
            <w:noWrap/>
            <w:vAlign w:val="center"/>
            <w:hideMark/>
          </w:tcPr>
          <w:p w14:paraId="7138AD29"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67" w:type="dxa"/>
            <w:tcBorders>
              <w:top w:val="nil"/>
              <w:left w:val="nil"/>
              <w:bottom w:val="nil"/>
              <w:right w:val="nil"/>
            </w:tcBorders>
            <w:shd w:val="clear" w:color="000000" w:fill="FFFFFF"/>
            <w:noWrap/>
            <w:vAlign w:val="center"/>
            <w:hideMark/>
          </w:tcPr>
          <w:p w14:paraId="2657E872"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157D1C48"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7BB2B8D7"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126A0346"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080C4EF4"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67806E87" w14:textId="77777777" w:rsidTr="00F96BA5">
        <w:tc>
          <w:tcPr>
            <w:tcW w:w="0" w:type="auto"/>
            <w:tcBorders>
              <w:top w:val="nil"/>
              <w:left w:val="nil"/>
              <w:bottom w:val="nil"/>
              <w:right w:val="nil"/>
            </w:tcBorders>
            <w:shd w:val="clear" w:color="000000" w:fill="FFFFFF"/>
            <w:noWrap/>
            <w:vAlign w:val="center"/>
            <w:hideMark/>
          </w:tcPr>
          <w:p w14:paraId="64822BC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Cash and short term deposits at the beginning of the year</w:t>
            </w:r>
          </w:p>
        </w:tc>
        <w:tc>
          <w:tcPr>
            <w:tcW w:w="1167" w:type="dxa"/>
            <w:tcBorders>
              <w:top w:val="nil"/>
              <w:left w:val="nil"/>
              <w:bottom w:val="nil"/>
              <w:right w:val="nil"/>
            </w:tcBorders>
            <w:shd w:val="clear" w:color="000000" w:fill="FFFFFF"/>
            <w:noWrap/>
            <w:vAlign w:val="center"/>
            <w:hideMark/>
          </w:tcPr>
          <w:p w14:paraId="70D55630"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4,466</w:t>
            </w:r>
          </w:p>
        </w:tc>
        <w:tc>
          <w:tcPr>
            <w:tcW w:w="284" w:type="dxa"/>
            <w:tcBorders>
              <w:top w:val="nil"/>
              <w:left w:val="nil"/>
              <w:bottom w:val="nil"/>
              <w:right w:val="nil"/>
            </w:tcBorders>
            <w:shd w:val="clear" w:color="000000" w:fill="FFFFFF"/>
            <w:noWrap/>
            <w:vAlign w:val="center"/>
            <w:hideMark/>
          </w:tcPr>
          <w:p w14:paraId="43586FCA"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32C57811"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5C9BFC4A" w14:textId="77777777" w:rsidR="00F96BA5" w:rsidRPr="00421152" w:rsidRDefault="00F96BA5" w:rsidP="00F96BA5">
            <w:pPr>
              <w:ind w:left="0" w:firstLine="0"/>
              <w:jc w:val="right"/>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4,599</w:t>
            </w:r>
          </w:p>
        </w:tc>
        <w:tc>
          <w:tcPr>
            <w:tcW w:w="284" w:type="dxa"/>
            <w:tcBorders>
              <w:top w:val="nil"/>
              <w:left w:val="nil"/>
              <w:bottom w:val="nil"/>
              <w:right w:val="nil"/>
            </w:tcBorders>
            <w:shd w:val="clear" w:color="000000" w:fill="FFFFFF"/>
            <w:noWrap/>
            <w:vAlign w:val="center"/>
            <w:hideMark/>
          </w:tcPr>
          <w:p w14:paraId="672A9419"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1D885DB2" w14:textId="77777777" w:rsidTr="00F96BA5">
        <w:tc>
          <w:tcPr>
            <w:tcW w:w="0" w:type="auto"/>
            <w:tcBorders>
              <w:top w:val="nil"/>
              <w:left w:val="nil"/>
              <w:bottom w:val="nil"/>
              <w:right w:val="nil"/>
            </w:tcBorders>
            <w:shd w:val="clear" w:color="000000" w:fill="FFFFFF"/>
            <w:noWrap/>
            <w:vAlign w:val="center"/>
            <w:hideMark/>
          </w:tcPr>
          <w:p w14:paraId="451D1D04"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67" w:type="dxa"/>
            <w:tcBorders>
              <w:top w:val="nil"/>
              <w:left w:val="nil"/>
              <w:bottom w:val="nil"/>
              <w:right w:val="nil"/>
            </w:tcBorders>
            <w:shd w:val="clear" w:color="000000" w:fill="FFFFFF"/>
            <w:noWrap/>
            <w:vAlign w:val="center"/>
            <w:hideMark/>
          </w:tcPr>
          <w:p w14:paraId="08EEF27B"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51D90BDC"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3" w:type="dxa"/>
            <w:tcBorders>
              <w:top w:val="nil"/>
              <w:left w:val="nil"/>
              <w:bottom w:val="nil"/>
              <w:right w:val="nil"/>
            </w:tcBorders>
            <w:shd w:val="clear" w:color="000000" w:fill="D9D9D9"/>
            <w:noWrap/>
            <w:vAlign w:val="center"/>
            <w:hideMark/>
          </w:tcPr>
          <w:p w14:paraId="0EA8D316"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1134" w:type="dxa"/>
            <w:tcBorders>
              <w:top w:val="nil"/>
              <w:left w:val="nil"/>
              <w:bottom w:val="nil"/>
              <w:right w:val="nil"/>
            </w:tcBorders>
            <w:shd w:val="clear" w:color="000000" w:fill="FFFFFF"/>
            <w:noWrap/>
            <w:vAlign w:val="center"/>
            <w:hideMark/>
          </w:tcPr>
          <w:p w14:paraId="7DB6B680"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c>
          <w:tcPr>
            <w:tcW w:w="284" w:type="dxa"/>
            <w:tcBorders>
              <w:top w:val="nil"/>
              <w:left w:val="nil"/>
              <w:bottom w:val="nil"/>
              <w:right w:val="nil"/>
            </w:tcBorders>
            <w:shd w:val="clear" w:color="000000" w:fill="FFFFFF"/>
            <w:noWrap/>
            <w:vAlign w:val="center"/>
            <w:hideMark/>
          </w:tcPr>
          <w:p w14:paraId="65843F96" w14:textId="77777777" w:rsidR="00F96BA5" w:rsidRPr="00421152" w:rsidRDefault="00F96BA5" w:rsidP="00F96BA5">
            <w:pPr>
              <w:ind w:left="0" w:firstLine="0"/>
              <w:rPr>
                <w:rFonts w:asciiTheme="minorHAnsi" w:eastAsia="Times New Roman" w:hAnsiTheme="minorHAnsi" w:cs="Arial"/>
                <w:sz w:val="20"/>
                <w:szCs w:val="20"/>
                <w:lang w:eastAsia="en-GB"/>
              </w:rPr>
            </w:pPr>
            <w:r w:rsidRPr="00421152">
              <w:rPr>
                <w:rFonts w:asciiTheme="minorHAnsi" w:eastAsia="Times New Roman" w:hAnsiTheme="minorHAnsi" w:cs="Arial"/>
                <w:sz w:val="20"/>
                <w:szCs w:val="20"/>
                <w:lang w:eastAsia="en-GB"/>
              </w:rPr>
              <w:t> </w:t>
            </w:r>
          </w:p>
        </w:tc>
      </w:tr>
      <w:tr w:rsidR="00F96BA5" w:rsidRPr="00421152" w14:paraId="3609CB02" w14:textId="77777777" w:rsidTr="00F96BA5">
        <w:tc>
          <w:tcPr>
            <w:tcW w:w="0" w:type="auto"/>
            <w:tcBorders>
              <w:top w:val="nil"/>
              <w:left w:val="nil"/>
              <w:bottom w:val="nil"/>
              <w:right w:val="nil"/>
            </w:tcBorders>
            <w:shd w:val="clear" w:color="auto" w:fill="auto"/>
            <w:noWrap/>
            <w:vAlign w:val="center"/>
            <w:hideMark/>
          </w:tcPr>
          <w:p w14:paraId="137F4757"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Cash and short term deposits at the end of the year</w:t>
            </w:r>
          </w:p>
        </w:tc>
        <w:tc>
          <w:tcPr>
            <w:tcW w:w="1167" w:type="dxa"/>
            <w:tcBorders>
              <w:top w:val="single" w:sz="4" w:space="0" w:color="auto"/>
              <w:left w:val="nil"/>
              <w:bottom w:val="single" w:sz="4" w:space="0" w:color="auto"/>
              <w:right w:val="nil"/>
            </w:tcBorders>
            <w:shd w:val="clear" w:color="auto" w:fill="DBE5F1" w:themeFill="accent1" w:themeFillTint="33"/>
            <w:noWrap/>
            <w:vAlign w:val="center"/>
            <w:hideMark/>
          </w:tcPr>
          <w:p w14:paraId="14E087A2"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5,196</w:t>
            </w:r>
          </w:p>
        </w:tc>
        <w:tc>
          <w:tcPr>
            <w:tcW w:w="284" w:type="dxa"/>
            <w:tcBorders>
              <w:top w:val="single" w:sz="4" w:space="0" w:color="auto"/>
              <w:left w:val="nil"/>
              <w:bottom w:val="single" w:sz="4" w:space="0" w:color="auto"/>
              <w:right w:val="nil"/>
            </w:tcBorders>
            <w:shd w:val="clear" w:color="auto" w:fill="DBE5F1" w:themeFill="accent1" w:themeFillTint="33"/>
            <w:noWrap/>
            <w:vAlign w:val="center"/>
            <w:hideMark/>
          </w:tcPr>
          <w:p w14:paraId="04C02015"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283" w:type="dxa"/>
            <w:tcBorders>
              <w:top w:val="single" w:sz="4" w:space="0" w:color="auto"/>
              <w:left w:val="nil"/>
              <w:bottom w:val="single" w:sz="4" w:space="0" w:color="auto"/>
              <w:right w:val="nil"/>
            </w:tcBorders>
            <w:shd w:val="clear" w:color="000000" w:fill="D9D9D9"/>
            <w:noWrap/>
            <w:vAlign w:val="center"/>
            <w:hideMark/>
          </w:tcPr>
          <w:p w14:paraId="599B6B04"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c>
          <w:tcPr>
            <w:tcW w:w="1134" w:type="dxa"/>
            <w:tcBorders>
              <w:top w:val="single" w:sz="4" w:space="0" w:color="auto"/>
              <w:left w:val="nil"/>
              <w:bottom w:val="single" w:sz="4" w:space="0" w:color="auto"/>
              <w:right w:val="nil"/>
            </w:tcBorders>
            <w:shd w:val="clear" w:color="000000" w:fill="EBF1DE"/>
            <w:noWrap/>
            <w:vAlign w:val="center"/>
            <w:hideMark/>
          </w:tcPr>
          <w:p w14:paraId="3A656ACB" w14:textId="77777777" w:rsidR="00F96BA5" w:rsidRPr="00421152" w:rsidRDefault="00F96BA5" w:rsidP="00F96BA5">
            <w:pPr>
              <w:ind w:left="0" w:firstLine="0"/>
              <w:jc w:val="right"/>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4,466</w:t>
            </w:r>
          </w:p>
        </w:tc>
        <w:tc>
          <w:tcPr>
            <w:tcW w:w="284" w:type="dxa"/>
            <w:tcBorders>
              <w:top w:val="single" w:sz="4" w:space="0" w:color="auto"/>
              <w:left w:val="nil"/>
              <w:bottom w:val="single" w:sz="4" w:space="0" w:color="auto"/>
              <w:right w:val="nil"/>
            </w:tcBorders>
            <w:shd w:val="clear" w:color="000000" w:fill="EBF1DE"/>
            <w:noWrap/>
            <w:vAlign w:val="center"/>
            <w:hideMark/>
          </w:tcPr>
          <w:p w14:paraId="5FBECEA0" w14:textId="77777777" w:rsidR="00F96BA5" w:rsidRPr="00421152" w:rsidRDefault="00F96BA5" w:rsidP="00F96BA5">
            <w:pPr>
              <w:ind w:left="0" w:firstLine="0"/>
              <w:rPr>
                <w:rFonts w:asciiTheme="minorHAnsi" w:eastAsia="Times New Roman" w:hAnsiTheme="minorHAnsi" w:cs="Arial"/>
                <w:b/>
                <w:bCs/>
                <w:sz w:val="20"/>
                <w:szCs w:val="20"/>
                <w:lang w:eastAsia="en-GB"/>
              </w:rPr>
            </w:pPr>
            <w:r w:rsidRPr="00421152">
              <w:rPr>
                <w:rFonts w:asciiTheme="minorHAnsi" w:eastAsia="Times New Roman" w:hAnsiTheme="minorHAnsi" w:cs="Arial"/>
                <w:b/>
                <w:bCs/>
                <w:sz w:val="20"/>
                <w:szCs w:val="20"/>
                <w:lang w:eastAsia="en-GB"/>
              </w:rPr>
              <w:t> </w:t>
            </w:r>
          </w:p>
        </w:tc>
      </w:tr>
    </w:tbl>
    <w:p w14:paraId="04EACB0E" w14:textId="6E375CE4" w:rsidR="006C1657" w:rsidRPr="00421152" w:rsidRDefault="006C1657" w:rsidP="000506B6">
      <w:pPr>
        <w:pBdr>
          <w:right w:val="single" w:sz="4" w:space="1" w:color="auto"/>
        </w:pBdr>
        <w:ind w:left="0" w:firstLine="0"/>
        <w:rPr>
          <w:b/>
        </w:rPr>
      </w:pPr>
      <w:r w:rsidRPr="00421152">
        <w:rPr>
          <w:b/>
        </w:rPr>
        <w:br w:type="page"/>
      </w:r>
    </w:p>
    <w:p w14:paraId="28D6C0FE" w14:textId="77777777" w:rsidR="00BA0F3C" w:rsidRDefault="001458BE" w:rsidP="00633DD5">
      <w:pPr>
        <w:pStyle w:val="NoSpacing"/>
        <w:ind w:left="0" w:firstLine="0"/>
        <w:rPr>
          <w:b/>
          <w:sz w:val="24"/>
          <w:szCs w:val="24"/>
        </w:rPr>
      </w:pPr>
      <w:r w:rsidRPr="00421152">
        <w:rPr>
          <w:b/>
          <w:sz w:val="24"/>
          <w:szCs w:val="24"/>
        </w:rPr>
        <w:lastRenderedPageBreak/>
        <w:t>Annex 2</w:t>
      </w:r>
    </w:p>
    <w:p w14:paraId="53B900F6" w14:textId="529D32F6" w:rsidR="00BA0F3C" w:rsidRDefault="001458BE" w:rsidP="00633DD5">
      <w:pPr>
        <w:pStyle w:val="NoSpacing"/>
        <w:ind w:left="0" w:firstLine="0"/>
        <w:rPr>
          <w:b/>
          <w:sz w:val="24"/>
          <w:szCs w:val="24"/>
        </w:rPr>
      </w:pPr>
      <w:r w:rsidRPr="00421152">
        <w:rPr>
          <w:b/>
          <w:sz w:val="24"/>
          <w:szCs w:val="24"/>
        </w:rPr>
        <w:t>201</w:t>
      </w:r>
      <w:r w:rsidR="00DE63F0" w:rsidRPr="00421152">
        <w:rPr>
          <w:b/>
          <w:sz w:val="24"/>
          <w:szCs w:val="24"/>
        </w:rPr>
        <w:t>8</w:t>
      </w:r>
      <w:r w:rsidRPr="00421152">
        <w:rPr>
          <w:b/>
          <w:sz w:val="24"/>
          <w:szCs w:val="24"/>
        </w:rPr>
        <w:t xml:space="preserve"> </w:t>
      </w:r>
      <w:r w:rsidR="00A342A6">
        <w:rPr>
          <w:b/>
          <w:sz w:val="24"/>
          <w:szCs w:val="24"/>
        </w:rPr>
        <w:t>C</w:t>
      </w:r>
      <w:r w:rsidR="00FD2E2F">
        <w:rPr>
          <w:b/>
          <w:sz w:val="24"/>
          <w:szCs w:val="24"/>
        </w:rPr>
        <w:t>ore results</w:t>
      </w:r>
      <w:r w:rsidRPr="00421152">
        <w:rPr>
          <w:b/>
          <w:sz w:val="24"/>
          <w:szCs w:val="24"/>
        </w:rPr>
        <w:t xml:space="preserve"> for the period 01 January – 31 December 201</w:t>
      </w:r>
      <w:r w:rsidR="00DE63F0" w:rsidRPr="00421152">
        <w:rPr>
          <w:b/>
          <w:sz w:val="24"/>
          <w:szCs w:val="24"/>
        </w:rPr>
        <w:t>8</w:t>
      </w:r>
      <w:r w:rsidRPr="00421152">
        <w:rPr>
          <w:b/>
          <w:sz w:val="24"/>
          <w:szCs w:val="24"/>
        </w:rPr>
        <w:t xml:space="preserve"> </w:t>
      </w:r>
    </w:p>
    <w:p w14:paraId="4DBAC8D1" w14:textId="13E50337" w:rsidR="001458BE" w:rsidRPr="00421152" w:rsidRDefault="001458BE" w:rsidP="00633DD5">
      <w:pPr>
        <w:pStyle w:val="NoSpacing"/>
        <w:ind w:left="0" w:firstLine="0"/>
        <w:rPr>
          <w:rFonts w:asciiTheme="minorHAnsi" w:eastAsia="Times New Roman" w:hAnsiTheme="minorHAnsi" w:cs="Arial"/>
          <w:bCs/>
          <w:lang w:eastAsia="en-GB"/>
        </w:rPr>
      </w:pPr>
      <w:r w:rsidRPr="00421152">
        <w:rPr>
          <w:rFonts w:asciiTheme="minorHAnsi" w:eastAsia="Times New Roman" w:hAnsiTheme="minorHAnsi" w:cs="Arial"/>
          <w:bCs/>
          <w:lang w:eastAsia="en-GB"/>
        </w:rPr>
        <w:t>(</w:t>
      </w:r>
      <w:r w:rsidR="00862FC2" w:rsidRPr="00421152">
        <w:rPr>
          <w:rFonts w:asciiTheme="minorHAnsi" w:eastAsia="Times New Roman" w:hAnsiTheme="minorHAnsi" w:cs="Arial"/>
          <w:bCs/>
          <w:lang w:eastAsia="en-GB"/>
        </w:rPr>
        <w:t>‘</w:t>
      </w:r>
      <w:r w:rsidRPr="00421152">
        <w:rPr>
          <w:rFonts w:asciiTheme="minorHAnsi" w:eastAsia="Times New Roman" w:hAnsiTheme="minorHAnsi" w:cs="Arial"/>
          <w:bCs/>
          <w:lang w:eastAsia="en-GB"/>
        </w:rPr>
        <w:t>000 CHF, includes possible rounding differences)</w:t>
      </w:r>
    </w:p>
    <w:p w14:paraId="11B6DC89" w14:textId="6450B85F" w:rsidR="00235E12" w:rsidRPr="00421152" w:rsidRDefault="00235E12" w:rsidP="00633DD5">
      <w:pPr>
        <w:pStyle w:val="NoSpacing"/>
        <w:ind w:left="0" w:firstLine="0"/>
        <w:rPr>
          <w:b/>
        </w:rPr>
      </w:pPr>
    </w:p>
    <w:tbl>
      <w:tblPr>
        <w:tblStyle w:val="TableGrid"/>
        <w:tblW w:w="9663" w:type="dxa"/>
        <w:tblInd w:w="-170" w:type="dxa"/>
        <w:tblLayout w:type="fixed"/>
        <w:tblCellMar>
          <w:top w:w="17" w:type="dxa"/>
          <w:left w:w="57" w:type="dxa"/>
          <w:bottom w:w="17" w:type="dxa"/>
          <w:right w:w="57" w:type="dxa"/>
        </w:tblCellMar>
        <w:tblLook w:val="04A0" w:firstRow="1" w:lastRow="0" w:firstColumn="1" w:lastColumn="0" w:noHBand="0" w:noVBand="1"/>
      </w:tblPr>
      <w:tblGrid>
        <w:gridCol w:w="2930"/>
        <w:gridCol w:w="1122"/>
        <w:gridCol w:w="1122"/>
        <w:gridCol w:w="1122"/>
        <w:gridCol w:w="1122"/>
        <w:gridCol w:w="1122"/>
        <w:gridCol w:w="1123"/>
      </w:tblGrid>
      <w:tr w:rsidR="00824F48" w:rsidRPr="00421152" w14:paraId="6236FB4C" w14:textId="77777777" w:rsidTr="00BA0F3C">
        <w:trPr>
          <w:tblHeader/>
        </w:trPr>
        <w:tc>
          <w:tcPr>
            <w:tcW w:w="2930" w:type="dxa"/>
            <w:vMerge w:val="restart"/>
            <w:shd w:val="clear" w:color="auto" w:fill="D6E3BC" w:themeFill="accent3" w:themeFillTint="66"/>
            <w:vAlign w:val="center"/>
            <w:hideMark/>
          </w:tcPr>
          <w:p w14:paraId="439D3C66" w14:textId="081E640D" w:rsidR="00D206C3" w:rsidRPr="00421152" w:rsidRDefault="00D206C3" w:rsidP="00824F48">
            <w:pPr>
              <w:pStyle w:val="NoSpacing"/>
              <w:ind w:left="0" w:firstLine="0"/>
              <w:jc w:val="center"/>
              <w:rPr>
                <w:rFonts w:asciiTheme="minorHAnsi" w:hAnsiTheme="minorHAnsi"/>
                <w:b/>
                <w:bCs/>
                <w:sz w:val="20"/>
                <w:szCs w:val="20"/>
              </w:rPr>
            </w:pPr>
            <w:r w:rsidRPr="00421152">
              <w:rPr>
                <w:rFonts w:asciiTheme="minorHAnsi" w:hAnsiTheme="minorHAnsi"/>
                <w:b/>
                <w:bCs/>
                <w:sz w:val="20"/>
                <w:szCs w:val="20"/>
              </w:rPr>
              <w:t>2018 Ramsar Budget</w:t>
            </w:r>
            <w:r w:rsidRPr="00421152">
              <w:rPr>
                <w:rFonts w:asciiTheme="minorHAnsi" w:hAnsiTheme="minorHAnsi"/>
                <w:b/>
                <w:bCs/>
                <w:sz w:val="20"/>
                <w:szCs w:val="20"/>
              </w:rPr>
              <w:br/>
              <w:t>SC55 Approved</w:t>
            </w:r>
          </w:p>
          <w:p w14:paraId="4E1EFDAC" w14:textId="36D66E9A" w:rsidR="00D206C3" w:rsidRPr="00421152" w:rsidRDefault="00D206C3" w:rsidP="00A342A6">
            <w:pPr>
              <w:pStyle w:val="NoSpacing"/>
              <w:ind w:left="0" w:firstLine="0"/>
              <w:jc w:val="center"/>
              <w:rPr>
                <w:rFonts w:asciiTheme="minorHAnsi" w:hAnsiTheme="minorHAnsi"/>
                <w:b/>
                <w:bCs/>
                <w:sz w:val="20"/>
                <w:szCs w:val="20"/>
              </w:rPr>
            </w:pPr>
            <w:r w:rsidRPr="00421152">
              <w:rPr>
                <w:rFonts w:asciiTheme="minorHAnsi" w:hAnsiTheme="minorHAnsi"/>
                <w:b/>
                <w:bCs/>
                <w:sz w:val="20"/>
                <w:szCs w:val="20"/>
              </w:rPr>
              <w:t xml:space="preserve">CHF </w:t>
            </w:r>
            <w:r w:rsidR="00A342A6">
              <w:rPr>
                <w:rFonts w:asciiTheme="minorHAnsi" w:hAnsiTheme="minorHAnsi"/>
                <w:b/>
                <w:bCs/>
                <w:sz w:val="20"/>
                <w:szCs w:val="20"/>
              </w:rPr>
              <w:t>‘</w:t>
            </w:r>
            <w:r w:rsidRPr="00421152">
              <w:rPr>
                <w:rFonts w:asciiTheme="minorHAnsi" w:hAnsiTheme="minorHAnsi"/>
                <w:b/>
                <w:bCs/>
                <w:sz w:val="20"/>
                <w:szCs w:val="20"/>
              </w:rPr>
              <w:t>000</w:t>
            </w:r>
            <w:r w:rsidR="00A342A6">
              <w:rPr>
                <w:rFonts w:asciiTheme="minorHAnsi" w:hAnsiTheme="minorHAnsi"/>
                <w:b/>
                <w:bCs/>
                <w:sz w:val="20"/>
                <w:szCs w:val="20"/>
              </w:rPr>
              <w:t>s</w:t>
            </w:r>
          </w:p>
        </w:tc>
        <w:tc>
          <w:tcPr>
            <w:tcW w:w="1122" w:type="dxa"/>
            <w:tcBorders>
              <w:bottom w:val="nil"/>
            </w:tcBorders>
            <w:shd w:val="clear" w:color="auto" w:fill="D6E3BC" w:themeFill="accent3" w:themeFillTint="66"/>
            <w:vAlign w:val="center"/>
            <w:hideMark/>
          </w:tcPr>
          <w:p w14:paraId="15F695EA" w14:textId="20D42819"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 xml:space="preserve">Approved </w:t>
            </w:r>
            <w:r w:rsidR="004C504A" w:rsidRPr="004C504A">
              <w:rPr>
                <w:rFonts w:asciiTheme="minorHAnsi" w:hAnsiTheme="minorHAnsi"/>
                <w:b/>
                <w:bCs/>
                <w:spacing w:val="-4"/>
                <w:sz w:val="20"/>
                <w:szCs w:val="20"/>
              </w:rPr>
              <w:t>b</w:t>
            </w:r>
            <w:r w:rsidRPr="004C504A">
              <w:rPr>
                <w:rFonts w:asciiTheme="minorHAnsi" w:hAnsiTheme="minorHAnsi"/>
                <w:b/>
                <w:bCs/>
                <w:spacing w:val="-4"/>
                <w:sz w:val="20"/>
                <w:szCs w:val="20"/>
              </w:rPr>
              <w:t>udget</w:t>
            </w:r>
          </w:p>
        </w:tc>
        <w:tc>
          <w:tcPr>
            <w:tcW w:w="1122" w:type="dxa"/>
            <w:tcBorders>
              <w:bottom w:val="nil"/>
            </w:tcBorders>
            <w:shd w:val="clear" w:color="auto" w:fill="D6E3BC" w:themeFill="accent3" w:themeFillTint="66"/>
            <w:vAlign w:val="center"/>
            <w:hideMark/>
          </w:tcPr>
          <w:p w14:paraId="2FE1F119" w14:textId="77777777" w:rsidR="00D206C3" w:rsidRPr="004C504A" w:rsidRDefault="00D206C3" w:rsidP="00824F48">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Authorised use of surplus</w:t>
            </w:r>
          </w:p>
        </w:tc>
        <w:tc>
          <w:tcPr>
            <w:tcW w:w="1122" w:type="dxa"/>
            <w:tcBorders>
              <w:bottom w:val="nil"/>
            </w:tcBorders>
            <w:shd w:val="clear" w:color="auto" w:fill="D6E3BC" w:themeFill="accent3" w:themeFillTint="66"/>
            <w:vAlign w:val="center"/>
            <w:hideMark/>
          </w:tcPr>
          <w:p w14:paraId="09EB23AD" w14:textId="7B12344F"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 xml:space="preserve">Budget </w:t>
            </w:r>
            <w:r w:rsidR="004C504A" w:rsidRPr="004C504A">
              <w:rPr>
                <w:rFonts w:asciiTheme="minorHAnsi" w:hAnsiTheme="minorHAnsi"/>
                <w:b/>
                <w:bCs/>
                <w:spacing w:val="-4"/>
                <w:sz w:val="20"/>
                <w:szCs w:val="20"/>
              </w:rPr>
              <w:t>r</w:t>
            </w:r>
            <w:r w:rsidRPr="004C504A">
              <w:rPr>
                <w:rFonts w:asciiTheme="minorHAnsi" w:hAnsiTheme="minorHAnsi"/>
                <w:b/>
                <w:bCs/>
                <w:spacing w:val="-4"/>
                <w:sz w:val="20"/>
                <w:szCs w:val="20"/>
              </w:rPr>
              <w:t>eallocation</w:t>
            </w:r>
          </w:p>
        </w:tc>
        <w:tc>
          <w:tcPr>
            <w:tcW w:w="1122" w:type="dxa"/>
            <w:tcBorders>
              <w:bottom w:val="nil"/>
            </w:tcBorders>
            <w:shd w:val="clear" w:color="auto" w:fill="D6E3BC" w:themeFill="accent3" w:themeFillTint="66"/>
            <w:vAlign w:val="center"/>
            <w:hideMark/>
          </w:tcPr>
          <w:p w14:paraId="1CC4644A" w14:textId="77777777" w:rsidR="00D206C3" w:rsidRPr="004C504A" w:rsidRDefault="00D206C3" w:rsidP="00824F48">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Total available budget</w:t>
            </w:r>
          </w:p>
        </w:tc>
        <w:tc>
          <w:tcPr>
            <w:tcW w:w="1122" w:type="dxa"/>
            <w:tcBorders>
              <w:bottom w:val="nil"/>
            </w:tcBorders>
            <w:shd w:val="clear" w:color="auto" w:fill="D6E3BC" w:themeFill="accent3" w:themeFillTint="66"/>
            <w:vAlign w:val="center"/>
            <w:hideMark/>
          </w:tcPr>
          <w:p w14:paraId="35482674" w14:textId="1BC20A3B"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 xml:space="preserve">Actual </w:t>
            </w:r>
            <w:r w:rsidR="004C504A" w:rsidRPr="004C504A">
              <w:rPr>
                <w:rFonts w:asciiTheme="minorHAnsi" w:hAnsiTheme="minorHAnsi"/>
                <w:b/>
                <w:bCs/>
                <w:spacing w:val="-4"/>
                <w:sz w:val="20"/>
                <w:szCs w:val="20"/>
              </w:rPr>
              <w:t>e</w:t>
            </w:r>
            <w:r w:rsidRPr="004C504A">
              <w:rPr>
                <w:rFonts w:asciiTheme="minorHAnsi" w:hAnsiTheme="minorHAnsi"/>
                <w:b/>
                <w:bCs/>
                <w:spacing w:val="-4"/>
                <w:sz w:val="20"/>
                <w:szCs w:val="20"/>
              </w:rPr>
              <w:t>xpenditure</w:t>
            </w:r>
          </w:p>
        </w:tc>
        <w:tc>
          <w:tcPr>
            <w:tcW w:w="1123" w:type="dxa"/>
            <w:tcBorders>
              <w:bottom w:val="nil"/>
            </w:tcBorders>
            <w:shd w:val="clear" w:color="auto" w:fill="D6E3BC" w:themeFill="accent3" w:themeFillTint="66"/>
            <w:vAlign w:val="center"/>
            <w:hideMark/>
          </w:tcPr>
          <w:p w14:paraId="2BF7F321" w14:textId="77777777" w:rsidR="00D206C3" w:rsidRPr="004C504A" w:rsidRDefault="00D206C3" w:rsidP="00824F48">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Balance</w:t>
            </w:r>
          </w:p>
        </w:tc>
      </w:tr>
      <w:tr w:rsidR="00824F48" w:rsidRPr="00421152" w14:paraId="37022BE7" w14:textId="77777777" w:rsidTr="00BA0F3C">
        <w:trPr>
          <w:tblHeader/>
        </w:trPr>
        <w:tc>
          <w:tcPr>
            <w:tcW w:w="2930" w:type="dxa"/>
            <w:vMerge/>
            <w:shd w:val="clear" w:color="auto" w:fill="D6E3BC" w:themeFill="accent3" w:themeFillTint="66"/>
            <w:noWrap/>
            <w:hideMark/>
          </w:tcPr>
          <w:p w14:paraId="7253894B" w14:textId="188F1174" w:rsidR="00D206C3" w:rsidRPr="00421152" w:rsidRDefault="00D206C3" w:rsidP="00D206C3">
            <w:pPr>
              <w:pStyle w:val="NoSpacing"/>
              <w:ind w:left="0" w:firstLine="0"/>
              <w:rPr>
                <w:rFonts w:asciiTheme="minorHAnsi" w:hAnsiTheme="minorHAnsi"/>
                <w:b/>
                <w:bCs/>
                <w:sz w:val="20"/>
                <w:szCs w:val="20"/>
              </w:rPr>
            </w:pPr>
          </w:p>
        </w:tc>
        <w:tc>
          <w:tcPr>
            <w:tcW w:w="1122" w:type="dxa"/>
            <w:tcBorders>
              <w:top w:val="nil"/>
            </w:tcBorders>
            <w:shd w:val="clear" w:color="auto" w:fill="D6E3BC" w:themeFill="accent3" w:themeFillTint="66"/>
            <w:hideMark/>
          </w:tcPr>
          <w:p w14:paraId="09C6F7AA" w14:textId="77777777"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(A)</w:t>
            </w:r>
          </w:p>
        </w:tc>
        <w:tc>
          <w:tcPr>
            <w:tcW w:w="1122" w:type="dxa"/>
            <w:tcBorders>
              <w:top w:val="nil"/>
            </w:tcBorders>
            <w:shd w:val="clear" w:color="auto" w:fill="D6E3BC" w:themeFill="accent3" w:themeFillTint="66"/>
            <w:hideMark/>
          </w:tcPr>
          <w:p w14:paraId="3117DA26" w14:textId="77777777"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(B)</w:t>
            </w:r>
          </w:p>
        </w:tc>
        <w:tc>
          <w:tcPr>
            <w:tcW w:w="1122" w:type="dxa"/>
            <w:tcBorders>
              <w:top w:val="nil"/>
            </w:tcBorders>
            <w:shd w:val="clear" w:color="auto" w:fill="D6E3BC" w:themeFill="accent3" w:themeFillTint="66"/>
            <w:hideMark/>
          </w:tcPr>
          <w:p w14:paraId="7B18AFC7" w14:textId="77777777"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(C)</w:t>
            </w:r>
          </w:p>
        </w:tc>
        <w:tc>
          <w:tcPr>
            <w:tcW w:w="1122" w:type="dxa"/>
            <w:tcBorders>
              <w:top w:val="nil"/>
            </w:tcBorders>
            <w:shd w:val="clear" w:color="auto" w:fill="D6E3BC" w:themeFill="accent3" w:themeFillTint="66"/>
            <w:hideMark/>
          </w:tcPr>
          <w:p w14:paraId="7D1C6C89" w14:textId="74AD3591" w:rsidR="00D206C3" w:rsidRPr="004C504A" w:rsidRDefault="00824F48"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(D)</w:t>
            </w:r>
            <w:r w:rsidRPr="004C504A">
              <w:rPr>
                <w:rFonts w:asciiTheme="minorHAnsi" w:hAnsiTheme="minorHAnsi"/>
                <w:b/>
                <w:bCs/>
                <w:spacing w:val="-4"/>
                <w:sz w:val="20"/>
                <w:szCs w:val="20"/>
              </w:rPr>
              <w:br/>
              <w:t>=</w:t>
            </w:r>
            <w:r w:rsidR="00D206C3" w:rsidRPr="004C504A">
              <w:rPr>
                <w:rFonts w:asciiTheme="minorHAnsi" w:hAnsiTheme="minorHAnsi"/>
                <w:b/>
                <w:bCs/>
                <w:spacing w:val="-4"/>
                <w:sz w:val="20"/>
                <w:szCs w:val="20"/>
              </w:rPr>
              <w:t>(A)+(B)+(C)</w:t>
            </w:r>
          </w:p>
        </w:tc>
        <w:tc>
          <w:tcPr>
            <w:tcW w:w="1122" w:type="dxa"/>
            <w:tcBorders>
              <w:top w:val="nil"/>
            </w:tcBorders>
            <w:shd w:val="clear" w:color="auto" w:fill="D6E3BC" w:themeFill="accent3" w:themeFillTint="66"/>
            <w:hideMark/>
          </w:tcPr>
          <w:p w14:paraId="467CBEBA" w14:textId="77777777"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(E)</w:t>
            </w:r>
          </w:p>
        </w:tc>
        <w:tc>
          <w:tcPr>
            <w:tcW w:w="1123" w:type="dxa"/>
            <w:tcBorders>
              <w:top w:val="nil"/>
            </w:tcBorders>
            <w:shd w:val="clear" w:color="auto" w:fill="D6E3BC" w:themeFill="accent3" w:themeFillTint="66"/>
            <w:hideMark/>
          </w:tcPr>
          <w:p w14:paraId="3AADC242" w14:textId="33ECE6AD" w:rsidR="00D206C3" w:rsidRPr="004C504A" w:rsidRDefault="00D206C3" w:rsidP="004C504A">
            <w:pPr>
              <w:pStyle w:val="NoSpacing"/>
              <w:ind w:left="0" w:firstLine="0"/>
              <w:jc w:val="center"/>
              <w:rPr>
                <w:rFonts w:asciiTheme="minorHAnsi" w:hAnsiTheme="minorHAnsi"/>
                <w:b/>
                <w:bCs/>
                <w:spacing w:val="-4"/>
                <w:sz w:val="20"/>
                <w:szCs w:val="20"/>
              </w:rPr>
            </w:pPr>
            <w:r w:rsidRPr="004C504A">
              <w:rPr>
                <w:rFonts w:asciiTheme="minorHAnsi" w:hAnsiTheme="minorHAnsi"/>
                <w:b/>
                <w:bCs/>
                <w:spacing w:val="-4"/>
                <w:sz w:val="20"/>
                <w:szCs w:val="20"/>
              </w:rPr>
              <w:t xml:space="preserve">(F) </w:t>
            </w:r>
            <w:r w:rsidR="00824F48" w:rsidRPr="004C504A">
              <w:rPr>
                <w:rFonts w:asciiTheme="minorHAnsi" w:hAnsiTheme="minorHAnsi"/>
                <w:b/>
                <w:bCs/>
                <w:spacing w:val="-4"/>
                <w:sz w:val="20"/>
                <w:szCs w:val="20"/>
              </w:rPr>
              <w:br/>
              <w:t>=(D)-</w:t>
            </w:r>
            <w:r w:rsidRPr="004C504A">
              <w:rPr>
                <w:rFonts w:asciiTheme="minorHAnsi" w:hAnsiTheme="minorHAnsi"/>
                <w:b/>
                <w:bCs/>
                <w:spacing w:val="-4"/>
                <w:sz w:val="20"/>
                <w:szCs w:val="20"/>
              </w:rPr>
              <w:t>(E)</w:t>
            </w:r>
          </w:p>
        </w:tc>
      </w:tr>
      <w:tr w:rsidR="00824F48" w:rsidRPr="00421152" w14:paraId="7A843CD3" w14:textId="77777777" w:rsidTr="00BA0F3C">
        <w:tc>
          <w:tcPr>
            <w:tcW w:w="2930" w:type="dxa"/>
            <w:noWrap/>
            <w:hideMark/>
          </w:tcPr>
          <w:p w14:paraId="6565B037" w14:textId="77777777" w:rsidR="00D206C3" w:rsidRPr="00421152" w:rsidRDefault="00D206C3" w:rsidP="00D206C3">
            <w:pPr>
              <w:pStyle w:val="NoSpacing"/>
              <w:ind w:left="0" w:firstLine="0"/>
              <w:rPr>
                <w:rFonts w:asciiTheme="minorHAnsi" w:hAnsiTheme="minorHAnsi"/>
                <w:b/>
                <w:bCs/>
                <w:sz w:val="20"/>
                <w:szCs w:val="20"/>
              </w:rPr>
            </w:pPr>
          </w:p>
          <w:p w14:paraId="695B1329" w14:textId="2DD87DFA" w:rsidR="00D206C3" w:rsidRPr="00421152" w:rsidRDefault="00D206C3" w:rsidP="00D206C3">
            <w:pPr>
              <w:pStyle w:val="NoSpacing"/>
              <w:ind w:left="0" w:firstLine="0"/>
              <w:rPr>
                <w:rFonts w:asciiTheme="minorHAnsi" w:hAnsiTheme="minorHAnsi"/>
                <w:b/>
                <w:bCs/>
                <w:sz w:val="20"/>
                <w:szCs w:val="20"/>
              </w:rPr>
            </w:pPr>
            <w:r w:rsidRPr="00421152">
              <w:rPr>
                <w:rFonts w:asciiTheme="minorHAnsi" w:hAnsiTheme="minorHAnsi"/>
                <w:b/>
                <w:bCs/>
                <w:sz w:val="20"/>
                <w:szCs w:val="20"/>
              </w:rPr>
              <w:t>INCOME</w:t>
            </w:r>
          </w:p>
        </w:tc>
        <w:tc>
          <w:tcPr>
            <w:tcW w:w="1122" w:type="dxa"/>
            <w:noWrap/>
            <w:hideMark/>
          </w:tcPr>
          <w:p w14:paraId="65FAE85B" w14:textId="77777777" w:rsidR="00D206C3" w:rsidRPr="004C504A" w:rsidRDefault="00D206C3" w:rsidP="00D206C3">
            <w:pPr>
              <w:pStyle w:val="NoSpacing"/>
              <w:ind w:left="0" w:firstLine="0"/>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noWrap/>
            <w:hideMark/>
          </w:tcPr>
          <w:p w14:paraId="65B0CA71" w14:textId="77777777" w:rsidR="00D206C3" w:rsidRPr="004C504A" w:rsidRDefault="00D206C3" w:rsidP="00D206C3">
            <w:pPr>
              <w:pStyle w:val="NoSpacing"/>
              <w:ind w:left="0" w:firstLine="0"/>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noWrap/>
            <w:hideMark/>
          </w:tcPr>
          <w:p w14:paraId="4A5333A8" w14:textId="77777777" w:rsidR="00D206C3" w:rsidRPr="004C504A" w:rsidRDefault="00D206C3" w:rsidP="00D206C3">
            <w:pPr>
              <w:pStyle w:val="NoSpacing"/>
              <w:ind w:left="0" w:firstLine="0"/>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noWrap/>
            <w:hideMark/>
          </w:tcPr>
          <w:p w14:paraId="74F18F5E" w14:textId="77777777" w:rsidR="00D206C3" w:rsidRPr="004C504A" w:rsidRDefault="00D206C3" w:rsidP="00D206C3">
            <w:pPr>
              <w:pStyle w:val="NoSpacing"/>
              <w:ind w:left="0" w:firstLine="0"/>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noWrap/>
            <w:hideMark/>
          </w:tcPr>
          <w:p w14:paraId="7215F318" w14:textId="77777777" w:rsidR="00D206C3" w:rsidRPr="004C504A" w:rsidRDefault="00D206C3" w:rsidP="00D206C3">
            <w:pPr>
              <w:pStyle w:val="NoSpacing"/>
              <w:ind w:left="0" w:firstLine="0"/>
              <w:rPr>
                <w:rFonts w:asciiTheme="minorHAnsi" w:hAnsiTheme="minorHAnsi"/>
                <w:b/>
                <w:spacing w:val="-4"/>
                <w:sz w:val="20"/>
                <w:szCs w:val="20"/>
              </w:rPr>
            </w:pPr>
            <w:r w:rsidRPr="004C504A">
              <w:rPr>
                <w:rFonts w:asciiTheme="minorHAnsi" w:hAnsiTheme="minorHAnsi"/>
                <w:b/>
                <w:spacing w:val="-4"/>
                <w:sz w:val="20"/>
                <w:szCs w:val="20"/>
              </w:rPr>
              <w:t> </w:t>
            </w:r>
          </w:p>
        </w:tc>
        <w:tc>
          <w:tcPr>
            <w:tcW w:w="1123" w:type="dxa"/>
            <w:noWrap/>
            <w:hideMark/>
          </w:tcPr>
          <w:p w14:paraId="4F1BD9ED" w14:textId="77777777" w:rsidR="00D206C3" w:rsidRPr="004C504A" w:rsidRDefault="00D206C3" w:rsidP="00D206C3">
            <w:pPr>
              <w:pStyle w:val="NoSpacing"/>
              <w:ind w:left="0" w:firstLine="0"/>
              <w:rPr>
                <w:rFonts w:asciiTheme="minorHAnsi" w:hAnsiTheme="minorHAnsi"/>
                <w:b/>
                <w:spacing w:val="-4"/>
                <w:sz w:val="20"/>
                <w:szCs w:val="20"/>
              </w:rPr>
            </w:pPr>
            <w:r w:rsidRPr="004C504A">
              <w:rPr>
                <w:rFonts w:asciiTheme="minorHAnsi" w:hAnsiTheme="minorHAnsi"/>
                <w:b/>
                <w:spacing w:val="-4"/>
                <w:sz w:val="20"/>
                <w:szCs w:val="20"/>
              </w:rPr>
              <w:t> </w:t>
            </w:r>
          </w:p>
        </w:tc>
      </w:tr>
      <w:tr w:rsidR="00824F48" w:rsidRPr="00421152" w14:paraId="433C0514" w14:textId="77777777" w:rsidTr="00BA0F3C">
        <w:tc>
          <w:tcPr>
            <w:tcW w:w="2930" w:type="dxa"/>
            <w:noWrap/>
            <w:hideMark/>
          </w:tcPr>
          <w:p w14:paraId="3E1E61CA"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Parties’ Contributions</w:t>
            </w:r>
          </w:p>
        </w:tc>
        <w:tc>
          <w:tcPr>
            <w:tcW w:w="1122" w:type="dxa"/>
            <w:noWrap/>
            <w:hideMark/>
          </w:tcPr>
          <w:p w14:paraId="2E9A5508"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3,779</w:t>
            </w:r>
          </w:p>
        </w:tc>
        <w:tc>
          <w:tcPr>
            <w:tcW w:w="1122" w:type="dxa"/>
            <w:noWrap/>
            <w:hideMark/>
          </w:tcPr>
          <w:p w14:paraId="71BCD4C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43C551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99A7D5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3,779</w:t>
            </w:r>
          </w:p>
        </w:tc>
        <w:tc>
          <w:tcPr>
            <w:tcW w:w="1122" w:type="dxa"/>
            <w:noWrap/>
            <w:hideMark/>
          </w:tcPr>
          <w:p w14:paraId="46C6A4C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3,779</w:t>
            </w:r>
          </w:p>
        </w:tc>
        <w:tc>
          <w:tcPr>
            <w:tcW w:w="1123" w:type="dxa"/>
            <w:noWrap/>
            <w:hideMark/>
          </w:tcPr>
          <w:p w14:paraId="4DAB648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092402C3" w14:textId="77777777" w:rsidTr="00BA0F3C">
        <w:tc>
          <w:tcPr>
            <w:tcW w:w="2930" w:type="dxa"/>
            <w:noWrap/>
            <w:hideMark/>
          </w:tcPr>
          <w:p w14:paraId="709BA408"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Voluntary contributions</w:t>
            </w:r>
          </w:p>
        </w:tc>
        <w:tc>
          <w:tcPr>
            <w:tcW w:w="1122" w:type="dxa"/>
            <w:noWrap/>
            <w:hideMark/>
          </w:tcPr>
          <w:p w14:paraId="1DF0C9F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1,065</w:t>
            </w:r>
          </w:p>
        </w:tc>
        <w:tc>
          <w:tcPr>
            <w:tcW w:w="1122" w:type="dxa"/>
            <w:noWrap/>
            <w:hideMark/>
          </w:tcPr>
          <w:p w14:paraId="39808A0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33B259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F1D50B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1,065</w:t>
            </w:r>
          </w:p>
        </w:tc>
        <w:tc>
          <w:tcPr>
            <w:tcW w:w="1122" w:type="dxa"/>
            <w:noWrap/>
            <w:hideMark/>
          </w:tcPr>
          <w:p w14:paraId="02AF68C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1,066</w:t>
            </w:r>
          </w:p>
        </w:tc>
        <w:tc>
          <w:tcPr>
            <w:tcW w:w="1123" w:type="dxa"/>
            <w:noWrap/>
            <w:hideMark/>
          </w:tcPr>
          <w:p w14:paraId="1E539FB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w:t>
            </w:r>
          </w:p>
        </w:tc>
      </w:tr>
      <w:tr w:rsidR="00824F48" w:rsidRPr="00421152" w14:paraId="3C47755C" w14:textId="77777777" w:rsidTr="00BA0F3C">
        <w:tc>
          <w:tcPr>
            <w:tcW w:w="2930" w:type="dxa"/>
            <w:noWrap/>
            <w:hideMark/>
          </w:tcPr>
          <w:p w14:paraId="458AA8F0"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Income Tax</w:t>
            </w:r>
          </w:p>
        </w:tc>
        <w:tc>
          <w:tcPr>
            <w:tcW w:w="1122" w:type="dxa"/>
            <w:noWrap/>
            <w:hideMark/>
          </w:tcPr>
          <w:p w14:paraId="737FDE92"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225</w:t>
            </w:r>
          </w:p>
        </w:tc>
        <w:tc>
          <w:tcPr>
            <w:tcW w:w="1122" w:type="dxa"/>
            <w:noWrap/>
            <w:hideMark/>
          </w:tcPr>
          <w:p w14:paraId="0B8A69A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803BA4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20E1FB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225</w:t>
            </w:r>
          </w:p>
        </w:tc>
        <w:tc>
          <w:tcPr>
            <w:tcW w:w="1122" w:type="dxa"/>
            <w:noWrap/>
            <w:hideMark/>
          </w:tcPr>
          <w:p w14:paraId="12E48FB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221</w:t>
            </w:r>
          </w:p>
        </w:tc>
        <w:tc>
          <w:tcPr>
            <w:tcW w:w="1123" w:type="dxa"/>
            <w:noWrap/>
            <w:hideMark/>
          </w:tcPr>
          <w:p w14:paraId="656A5B8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w:t>
            </w:r>
          </w:p>
        </w:tc>
      </w:tr>
      <w:tr w:rsidR="00824F48" w:rsidRPr="00421152" w14:paraId="6680503F" w14:textId="77777777" w:rsidTr="00BA0F3C">
        <w:tc>
          <w:tcPr>
            <w:tcW w:w="2930" w:type="dxa"/>
            <w:noWrap/>
            <w:hideMark/>
          </w:tcPr>
          <w:p w14:paraId="1C6E204B"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Income (including Interest Income)</w:t>
            </w:r>
          </w:p>
        </w:tc>
        <w:tc>
          <w:tcPr>
            <w:tcW w:w="1122" w:type="dxa"/>
            <w:noWrap/>
            <w:hideMark/>
          </w:tcPr>
          <w:p w14:paraId="47D996DE"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12</w:t>
            </w:r>
          </w:p>
        </w:tc>
        <w:tc>
          <w:tcPr>
            <w:tcW w:w="1122" w:type="dxa"/>
            <w:noWrap/>
            <w:hideMark/>
          </w:tcPr>
          <w:p w14:paraId="017D904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914AE2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96A47D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12</w:t>
            </w:r>
          </w:p>
        </w:tc>
        <w:tc>
          <w:tcPr>
            <w:tcW w:w="1122" w:type="dxa"/>
            <w:noWrap/>
            <w:hideMark/>
          </w:tcPr>
          <w:p w14:paraId="3D52EC7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w:t>
            </w:r>
          </w:p>
        </w:tc>
        <w:tc>
          <w:tcPr>
            <w:tcW w:w="1123" w:type="dxa"/>
            <w:noWrap/>
            <w:hideMark/>
          </w:tcPr>
          <w:p w14:paraId="314606D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w:t>
            </w:r>
          </w:p>
        </w:tc>
      </w:tr>
      <w:tr w:rsidR="00824F48" w:rsidRPr="00421152" w14:paraId="0B8E985F" w14:textId="77777777" w:rsidTr="00BA0F3C">
        <w:tc>
          <w:tcPr>
            <w:tcW w:w="2930" w:type="dxa"/>
            <w:shd w:val="clear" w:color="auto" w:fill="D6E3BC" w:themeFill="accent3" w:themeFillTint="66"/>
            <w:noWrap/>
            <w:hideMark/>
          </w:tcPr>
          <w:p w14:paraId="6393764C" w14:textId="77777777" w:rsidR="00D206C3" w:rsidRPr="00421152" w:rsidRDefault="00D206C3" w:rsidP="00D206C3">
            <w:pPr>
              <w:pStyle w:val="NoSpacing"/>
              <w:ind w:left="0" w:firstLine="0"/>
              <w:rPr>
                <w:rFonts w:asciiTheme="minorHAnsi" w:hAnsiTheme="minorHAnsi"/>
                <w:b/>
                <w:bCs/>
                <w:sz w:val="20"/>
                <w:szCs w:val="20"/>
              </w:rPr>
            </w:pPr>
            <w:r w:rsidRPr="00421152">
              <w:rPr>
                <w:rFonts w:asciiTheme="minorHAnsi" w:hAnsiTheme="minorHAnsi"/>
                <w:b/>
                <w:bCs/>
                <w:sz w:val="20"/>
                <w:szCs w:val="20"/>
              </w:rPr>
              <w:t>TOTAL INCOME</w:t>
            </w:r>
          </w:p>
        </w:tc>
        <w:tc>
          <w:tcPr>
            <w:tcW w:w="1122" w:type="dxa"/>
            <w:shd w:val="clear" w:color="auto" w:fill="D6E3BC" w:themeFill="accent3" w:themeFillTint="66"/>
            <w:noWrap/>
            <w:hideMark/>
          </w:tcPr>
          <w:p w14:paraId="2B2E33A7"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5,081</w:t>
            </w:r>
          </w:p>
        </w:tc>
        <w:tc>
          <w:tcPr>
            <w:tcW w:w="1122" w:type="dxa"/>
            <w:shd w:val="clear" w:color="auto" w:fill="D6E3BC" w:themeFill="accent3" w:themeFillTint="66"/>
            <w:noWrap/>
            <w:hideMark/>
          </w:tcPr>
          <w:p w14:paraId="268052AE"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0</w:t>
            </w:r>
          </w:p>
        </w:tc>
        <w:tc>
          <w:tcPr>
            <w:tcW w:w="1122" w:type="dxa"/>
            <w:shd w:val="clear" w:color="auto" w:fill="D6E3BC" w:themeFill="accent3" w:themeFillTint="66"/>
            <w:noWrap/>
            <w:hideMark/>
          </w:tcPr>
          <w:p w14:paraId="23F09BDA"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0</w:t>
            </w:r>
          </w:p>
        </w:tc>
        <w:tc>
          <w:tcPr>
            <w:tcW w:w="1122" w:type="dxa"/>
            <w:shd w:val="clear" w:color="auto" w:fill="D6E3BC" w:themeFill="accent3" w:themeFillTint="66"/>
            <w:noWrap/>
            <w:hideMark/>
          </w:tcPr>
          <w:p w14:paraId="6097CE57"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5,081</w:t>
            </w:r>
          </w:p>
        </w:tc>
        <w:tc>
          <w:tcPr>
            <w:tcW w:w="1122" w:type="dxa"/>
            <w:shd w:val="clear" w:color="auto" w:fill="D6E3BC" w:themeFill="accent3" w:themeFillTint="66"/>
            <w:noWrap/>
            <w:hideMark/>
          </w:tcPr>
          <w:p w14:paraId="3AD3B8C5"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5,070</w:t>
            </w:r>
          </w:p>
        </w:tc>
        <w:tc>
          <w:tcPr>
            <w:tcW w:w="1123" w:type="dxa"/>
            <w:shd w:val="clear" w:color="auto" w:fill="D6E3BC" w:themeFill="accent3" w:themeFillTint="66"/>
            <w:noWrap/>
            <w:hideMark/>
          </w:tcPr>
          <w:p w14:paraId="67643D3F"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(11)</w:t>
            </w:r>
          </w:p>
        </w:tc>
      </w:tr>
      <w:tr w:rsidR="00824F48" w:rsidRPr="00421152" w14:paraId="1E2B9073" w14:textId="77777777" w:rsidTr="00BA0F3C">
        <w:tc>
          <w:tcPr>
            <w:tcW w:w="2930" w:type="dxa"/>
            <w:noWrap/>
            <w:hideMark/>
          </w:tcPr>
          <w:p w14:paraId="3233B448" w14:textId="77777777" w:rsidR="00D206C3" w:rsidRPr="00421152" w:rsidRDefault="00D206C3" w:rsidP="00D206C3">
            <w:pPr>
              <w:pStyle w:val="NoSpacing"/>
              <w:ind w:left="0" w:firstLine="0"/>
              <w:rPr>
                <w:rFonts w:asciiTheme="minorHAnsi" w:hAnsiTheme="minorHAnsi"/>
                <w:b/>
                <w:bCs/>
                <w:sz w:val="20"/>
                <w:szCs w:val="20"/>
              </w:rPr>
            </w:pPr>
          </w:p>
          <w:p w14:paraId="0AE45B49" w14:textId="3B07B83C" w:rsidR="00D206C3" w:rsidRPr="00421152" w:rsidRDefault="00D206C3" w:rsidP="00D206C3">
            <w:pPr>
              <w:pStyle w:val="NoSpacing"/>
              <w:ind w:left="0" w:firstLine="0"/>
              <w:rPr>
                <w:rFonts w:asciiTheme="minorHAnsi" w:hAnsiTheme="minorHAnsi"/>
                <w:b/>
                <w:bCs/>
                <w:sz w:val="20"/>
                <w:szCs w:val="20"/>
              </w:rPr>
            </w:pPr>
            <w:r w:rsidRPr="00421152">
              <w:rPr>
                <w:rFonts w:asciiTheme="minorHAnsi" w:hAnsiTheme="minorHAnsi"/>
                <w:b/>
                <w:bCs/>
                <w:sz w:val="20"/>
                <w:szCs w:val="20"/>
              </w:rPr>
              <w:t>EXPENDITURES</w:t>
            </w:r>
          </w:p>
        </w:tc>
        <w:tc>
          <w:tcPr>
            <w:tcW w:w="1122" w:type="dxa"/>
            <w:noWrap/>
            <w:hideMark/>
          </w:tcPr>
          <w:p w14:paraId="758EADF9" w14:textId="77777777" w:rsidR="00D206C3" w:rsidRPr="004C504A" w:rsidRDefault="00D206C3" w:rsidP="00D206C3">
            <w:pPr>
              <w:pStyle w:val="NoSpacing"/>
              <w:ind w:left="0" w:firstLine="0"/>
              <w:jc w:val="right"/>
              <w:rPr>
                <w:rFonts w:asciiTheme="minorHAnsi" w:hAnsiTheme="minorHAnsi"/>
                <w:b/>
                <w:spacing w:val="-4"/>
                <w:sz w:val="20"/>
                <w:szCs w:val="20"/>
              </w:rPr>
            </w:pPr>
            <w:r w:rsidRPr="004C504A">
              <w:rPr>
                <w:rFonts w:asciiTheme="minorHAnsi" w:hAnsiTheme="minorHAnsi"/>
                <w:b/>
                <w:spacing w:val="-4"/>
                <w:sz w:val="20"/>
                <w:szCs w:val="20"/>
              </w:rPr>
              <w:t> </w:t>
            </w:r>
          </w:p>
        </w:tc>
        <w:tc>
          <w:tcPr>
            <w:tcW w:w="1122" w:type="dxa"/>
            <w:noWrap/>
            <w:hideMark/>
          </w:tcPr>
          <w:p w14:paraId="7DB51AF8" w14:textId="77777777" w:rsidR="00D206C3" w:rsidRPr="004C504A" w:rsidRDefault="00D206C3" w:rsidP="00D206C3">
            <w:pPr>
              <w:pStyle w:val="NoSpacing"/>
              <w:ind w:left="0" w:firstLine="0"/>
              <w:jc w:val="right"/>
              <w:rPr>
                <w:rFonts w:asciiTheme="minorHAnsi" w:hAnsiTheme="minorHAnsi"/>
                <w:b/>
                <w:spacing w:val="-4"/>
                <w:sz w:val="20"/>
                <w:szCs w:val="20"/>
              </w:rPr>
            </w:pPr>
            <w:r w:rsidRPr="004C504A">
              <w:rPr>
                <w:rFonts w:asciiTheme="minorHAnsi" w:hAnsiTheme="minorHAnsi"/>
                <w:b/>
                <w:spacing w:val="-4"/>
                <w:sz w:val="20"/>
                <w:szCs w:val="20"/>
              </w:rPr>
              <w:t> </w:t>
            </w:r>
          </w:p>
        </w:tc>
        <w:tc>
          <w:tcPr>
            <w:tcW w:w="1122" w:type="dxa"/>
            <w:noWrap/>
            <w:hideMark/>
          </w:tcPr>
          <w:p w14:paraId="27D8A37E" w14:textId="77777777" w:rsidR="00D206C3" w:rsidRPr="004C504A" w:rsidRDefault="00D206C3" w:rsidP="00D206C3">
            <w:pPr>
              <w:pStyle w:val="NoSpacing"/>
              <w:ind w:left="0" w:firstLine="0"/>
              <w:jc w:val="right"/>
              <w:rPr>
                <w:rFonts w:asciiTheme="minorHAnsi" w:hAnsiTheme="minorHAnsi"/>
                <w:b/>
                <w:spacing w:val="-4"/>
                <w:sz w:val="20"/>
                <w:szCs w:val="20"/>
              </w:rPr>
            </w:pPr>
            <w:r w:rsidRPr="004C504A">
              <w:rPr>
                <w:rFonts w:asciiTheme="minorHAnsi" w:hAnsiTheme="minorHAnsi"/>
                <w:b/>
                <w:spacing w:val="-4"/>
                <w:sz w:val="20"/>
                <w:szCs w:val="20"/>
              </w:rPr>
              <w:t> </w:t>
            </w:r>
          </w:p>
        </w:tc>
        <w:tc>
          <w:tcPr>
            <w:tcW w:w="1122" w:type="dxa"/>
            <w:noWrap/>
            <w:hideMark/>
          </w:tcPr>
          <w:p w14:paraId="3D04D4F1" w14:textId="77777777" w:rsidR="00D206C3" w:rsidRPr="004C504A" w:rsidRDefault="00D206C3" w:rsidP="00D206C3">
            <w:pPr>
              <w:pStyle w:val="NoSpacing"/>
              <w:ind w:left="0" w:firstLine="0"/>
              <w:jc w:val="right"/>
              <w:rPr>
                <w:rFonts w:asciiTheme="minorHAnsi" w:hAnsiTheme="minorHAnsi"/>
                <w:b/>
                <w:spacing w:val="-4"/>
                <w:sz w:val="20"/>
                <w:szCs w:val="20"/>
              </w:rPr>
            </w:pPr>
            <w:r w:rsidRPr="004C504A">
              <w:rPr>
                <w:rFonts w:asciiTheme="minorHAnsi" w:hAnsiTheme="minorHAnsi"/>
                <w:b/>
                <w:spacing w:val="-4"/>
                <w:sz w:val="20"/>
                <w:szCs w:val="20"/>
              </w:rPr>
              <w:t> </w:t>
            </w:r>
          </w:p>
        </w:tc>
        <w:tc>
          <w:tcPr>
            <w:tcW w:w="1122" w:type="dxa"/>
            <w:noWrap/>
            <w:hideMark/>
          </w:tcPr>
          <w:p w14:paraId="7D69F5EB"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3" w:type="dxa"/>
            <w:noWrap/>
            <w:hideMark/>
          </w:tcPr>
          <w:p w14:paraId="650C2670"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 </w:t>
            </w:r>
          </w:p>
        </w:tc>
      </w:tr>
      <w:tr w:rsidR="00824F48" w:rsidRPr="00421152" w14:paraId="14202768" w14:textId="77777777" w:rsidTr="00BA0F3C">
        <w:tc>
          <w:tcPr>
            <w:tcW w:w="2930" w:type="dxa"/>
            <w:shd w:val="clear" w:color="auto" w:fill="EAF1DD" w:themeFill="accent3" w:themeFillTint="33"/>
            <w:noWrap/>
            <w:hideMark/>
          </w:tcPr>
          <w:p w14:paraId="085145A0" w14:textId="6700A6A4"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A.</w:t>
            </w:r>
            <w:r w:rsidR="00E91F83" w:rsidRPr="00421152">
              <w:rPr>
                <w:rFonts w:asciiTheme="minorHAnsi" w:hAnsiTheme="minorHAnsi"/>
                <w:bCs/>
                <w:sz w:val="20"/>
                <w:szCs w:val="20"/>
              </w:rPr>
              <w:t xml:space="preserve"> </w:t>
            </w:r>
            <w:r w:rsidRPr="00421152">
              <w:rPr>
                <w:rFonts w:asciiTheme="minorHAnsi" w:hAnsiTheme="minorHAnsi"/>
                <w:bCs/>
                <w:sz w:val="20"/>
                <w:szCs w:val="20"/>
              </w:rPr>
              <w:t>Secretariat Senior Management</w:t>
            </w:r>
          </w:p>
        </w:tc>
        <w:tc>
          <w:tcPr>
            <w:tcW w:w="1122" w:type="dxa"/>
            <w:shd w:val="clear" w:color="auto" w:fill="EAF1DD" w:themeFill="accent3" w:themeFillTint="33"/>
            <w:noWrap/>
            <w:hideMark/>
          </w:tcPr>
          <w:p w14:paraId="30E8C74B"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798</w:t>
            </w:r>
          </w:p>
        </w:tc>
        <w:tc>
          <w:tcPr>
            <w:tcW w:w="1122" w:type="dxa"/>
            <w:shd w:val="clear" w:color="auto" w:fill="EAF1DD" w:themeFill="accent3" w:themeFillTint="33"/>
            <w:noWrap/>
            <w:hideMark/>
          </w:tcPr>
          <w:p w14:paraId="6D325C9D"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4017E11B"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(20)</w:t>
            </w:r>
          </w:p>
        </w:tc>
        <w:tc>
          <w:tcPr>
            <w:tcW w:w="1122" w:type="dxa"/>
            <w:shd w:val="clear" w:color="auto" w:fill="EAF1DD" w:themeFill="accent3" w:themeFillTint="33"/>
            <w:noWrap/>
            <w:hideMark/>
          </w:tcPr>
          <w:p w14:paraId="6F239C34"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778</w:t>
            </w:r>
          </w:p>
        </w:tc>
        <w:tc>
          <w:tcPr>
            <w:tcW w:w="1122" w:type="dxa"/>
            <w:shd w:val="clear" w:color="auto" w:fill="EAF1DD" w:themeFill="accent3" w:themeFillTint="33"/>
            <w:noWrap/>
            <w:hideMark/>
          </w:tcPr>
          <w:p w14:paraId="442C5719"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668</w:t>
            </w:r>
          </w:p>
        </w:tc>
        <w:tc>
          <w:tcPr>
            <w:tcW w:w="1123" w:type="dxa"/>
            <w:shd w:val="clear" w:color="auto" w:fill="EAF1DD" w:themeFill="accent3" w:themeFillTint="33"/>
            <w:noWrap/>
            <w:hideMark/>
          </w:tcPr>
          <w:p w14:paraId="74163C9C"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110</w:t>
            </w:r>
          </w:p>
        </w:tc>
      </w:tr>
      <w:tr w:rsidR="00824F48" w:rsidRPr="00421152" w14:paraId="19A5CFE8" w14:textId="77777777" w:rsidTr="00BA0F3C">
        <w:tc>
          <w:tcPr>
            <w:tcW w:w="2930" w:type="dxa"/>
            <w:noWrap/>
            <w:hideMark/>
          </w:tcPr>
          <w:p w14:paraId="309488A4"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Salaries and social costs</w:t>
            </w:r>
          </w:p>
        </w:tc>
        <w:tc>
          <w:tcPr>
            <w:tcW w:w="1122" w:type="dxa"/>
            <w:noWrap/>
            <w:hideMark/>
          </w:tcPr>
          <w:p w14:paraId="4D4AB679"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674</w:t>
            </w:r>
          </w:p>
        </w:tc>
        <w:tc>
          <w:tcPr>
            <w:tcW w:w="1122" w:type="dxa"/>
            <w:noWrap/>
            <w:hideMark/>
          </w:tcPr>
          <w:p w14:paraId="464710F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F62480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(40)</w:t>
            </w:r>
          </w:p>
        </w:tc>
        <w:tc>
          <w:tcPr>
            <w:tcW w:w="1122" w:type="dxa"/>
            <w:noWrap/>
            <w:hideMark/>
          </w:tcPr>
          <w:p w14:paraId="68729AF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634</w:t>
            </w:r>
          </w:p>
        </w:tc>
        <w:tc>
          <w:tcPr>
            <w:tcW w:w="1122" w:type="dxa"/>
            <w:noWrap/>
            <w:hideMark/>
          </w:tcPr>
          <w:p w14:paraId="0FAF24A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582</w:t>
            </w:r>
          </w:p>
        </w:tc>
        <w:tc>
          <w:tcPr>
            <w:tcW w:w="1123" w:type="dxa"/>
            <w:noWrap/>
            <w:hideMark/>
          </w:tcPr>
          <w:p w14:paraId="4D1E2CB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52</w:t>
            </w:r>
          </w:p>
        </w:tc>
      </w:tr>
      <w:tr w:rsidR="00824F48" w:rsidRPr="00421152" w14:paraId="01F2F4B7" w14:textId="77777777" w:rsidTr="00BA0F3C">
        <w:tc>
          <w:tcPr>
            <w:tcW w:w="2930" w:type="dxa"/>
            <w:noWrap/>
            <w:hideMark/>
          </w:tcPr>
          <w:p w14:paraId="0925BAF2"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employment benefits</w:t>
            </w:r>
          </w:p>
        </w:tc>
        <w:tc>
          <w:tcPr>
            <w:tcW w:w="1122" w:type="dxa"/>
            <w:noWrap/>
            <w:hideMark/>
          </w:tcPr>
          <w:p w14:paraId="07818A38"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79</w:t>
            </w:r>
          </w:p>
        </w:tc>
        <w:tc>
          <w:tcPr>
            <w:tcW w:w="1122" w:type="dxa"/>
            <w:noWrap/>
            <w:hideMark/>
          </w:tcPr>
          <w:p w14:paraId="0FA0319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F9ACD3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0BE7CC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79</w:t>
            </w:r>
          </w:p>
        </w:tc>
        <w:tc>
          <w:tcPr>
            <w:tcW w:w="1122" w:type="dxa"/>
            <w:noWrap/>
            <w:hideMark/>
          </w:tcPr>
          <w:p w14:paraId="66C5F66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27</w:t>
            </w:r>
          </w:p>
        </w:tc>
        <w:tc>
          <w:tcPr>
            <w:tcW w:w="1123" w:type="dxa"/>
            <w:noWrap/>
            <w:hideMark/>
          </w:tcPr>
          <w:p w14:paraId="538A768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52</w:t>
            </w:r>
          </w:p>
        </w:tc>
      </w:tr>
      <w:tr w:rsidR="00824F48" w:rsidRPr="00421152" w14:paraId="24753B99" w14:textId="77777777" w:rsidTr="00BA0F3C">
        <w:tc>
          <w:tcPr>
            <w:tcW w:w="2930" w:type="dxa"/>
            <w:noWrap/>
            <w:hideMark/>
          </w:tcPr>
          <w:p w14:paraId="60A2BCC3"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Staff hiring and departure costs</w:t>
            </w:r>
          </w:p>
        </w:tc>
        <w:tc>
          <w:tcPr>
            <w:tcW w:w="1122" w:type="dxa"/>
            <w:noWrap/>
            <w:hideMark/>
          </w:tcPr>
          <w:p w14:paraId="5E306C18"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2AFAAB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835DC3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54E15B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FA4790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w:t>
            </w:r>
          </w:p>
        </w:tc>
        <w:tc>
          <w:tcPr>
            <w:tcW w:w="1123" w:type="dxa"/>
            <w:noWrap/>
            <w:hideMark/>
          </w:tcPr>
          <w:p w14:paraId="33C4EAE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w:t>
            </w:r>
          </w:p>
        </w:tc>
      </w:tr>
      <w:tr w:rsidR="00824F48" w:rsidRPr="00421152" w14:paraId="2DE015C9" w14:textId="77777777" w:rsidTr="00BA0F3C">
        <w:tc>
          <w:tcPr>
            <w:tcW w:w="2930" w:type="dxa"/>
            <w:noWrap/>
            <w:hideMark/>
          </w:tcPr>
          <w:p w14:paraId="407C2A95"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Travel</w:t>
            </w:r>
          </w:p>
        </w:tc>
        <w:tc>
          <w:tcPr>
            <w:tcW w:w="1122" w:type="dxa"/>
            <w:noWrap/>
            <w:hideMark/>
          </w:tcPr>
          <w:p w14:paraId="767A7356"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45</w:t>
            </w:r>
          </w:p>
        </w:tc>
        <w:tc>
          <w:tcPr>
            <w:tcW w:w="1122" w:type="dxa"/>
            <w:noWrap/>
            <w:hideMark/>
          </w:tcPr>
          <w:p w14:paraId="52A7A8F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5092BC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20</w:t>
            </w:r>
          </w:p>
        </w:tc>
        <w:tc>
          <w:tcPr>
            <w:tcW w:w="1122" w:type="dxa"/>
            <w:noWrap/>
            <w:hideMark/>
          </w:tcPr>
          <w:p w14:paraId="4BE0247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65</w:t>
            </w:r>
          </w:p>
        </w:tc>
        <w:tc>
          <w:tcPr>
            <w:tcW w:w="1122" w:type="dxa"/>
            <w:noWrap/>
            <w:hideMark/>
          </w:tcPr>
          <w:p w14:paraId="70E2C5A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51</w:t>
            </w:r>
          </w:p>
        </w:tc>
        <w:tc>
          <w:tcPr>
            <w:tcW w:w="1123" w:type="dxa"/>
            <w:noWrap/>
            <w:hideMark/>
          </w:tcPr>
          <w:p w14:paraId="46C5D09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14</w:t>
            </w:r>
          </w:p>
        </w:tc>
      </w:tr>
      <w:tr w:rsidR="00824F48" w:rsidRPr="00421152" w14:paraId="091B5C3C" w14:textId="77777777" w:rsidTr="00BA0F3C">
        <w:tc>
          <w:tcPr>
            <w:tcW w:w="2930" w:type="dxa"/>
            <w:shd w:val="clear" w:color="auto" w:fill="EAF1DD" w:themeFill="accent3" w:themeFillTint="33"/>
            <w:noWrap/>
            <w:hideMark/>
          </w:tcPr>
          <w:p w14:paraId="08B08D33" w14:textId="3E1879D2"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B.</w:t>
            </w:r>
            <w:r w:rsidR="00E91F83" w:rsidRPr="00421152">
              <w:rPr>
                <w:rFonts w:asciiTheme="minorHAnsi" w:hAnsiTheme="minorHAnsi"/>
                <w:bCs/>
                <w:sz w:val="20"/>
                <w:szCs w:val="20"/>
              </w:rPr>
              <w:t xml:space="preserve"> </w:t>
            </w:r>
            <w:r w:rsidRPr="00421152">
              <w:rPr>
                <w:rFonts w:asciiTheme="minorHAnsi" w:hAnsiTheme="minorHAnsi"/>
                <w:bCs/>
                <w:sz w:val="20"/>
                <w:szCs w:val="20"/>
              </w:rPr>
              <w:t>Partnership Coordinator</w:t>
            </w:r>
          </w:p>
        </w:tc>
        <w:tc>
          <w:tcPr>
            <w:tcW w:w="1122" w:type="dxa"/>
            <w:shd w:val="clear" w:color="auto" w:fill="EAF1DD" w:themeFill="accent3" w:themeFillTint="33"/>
            <w:noWrap/>
            <w:hideMark/>
          </w:tcPr>
          <w:p w14:paraId="78259472"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250</w:t>
            </w:r>
          </w:p>
        </w:tc>
        <w:tc>
          <w:tcPr>
            <w:tcW w:w="1122" w:type="dxa"/>
            <w:shd w:val="clear" w:color="auto" w:fill="EAF1DD" w:themeFill="accent3" w:themeFillTint="33"/>
            <w:noWrap/>
            <w:hideMark/>
          </w:tcPr>
          <w:p w14:paraId="54BCDF16"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6CC72AA1"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(22)</w:t>
            </w:r>
          </w:p>
        </w:tc>
        <w:tc>
          <w:tcPr>
            <w:tcW w:w="1122" w:type="dxa"/>
            <w:shd w:val="clear" w:color="auto" w:fill="EAF1DD" w:themeFill="accent3" w:themeFillTint="33"/>
            <w:noWrap/>
            <w:hideMark/>
          </w:tcPr>
          <w:p w14:paraId="2FBB41F3"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228</w:t>
            </w:r>
          </w:p>
        </w:tc>
        <w:tc>
          <w:tcPr>
            <w:tcW w:w="1122" w:type="dxa"/>
            <w:shd w:val="clear" w:color="auto" w:fill="EAF1DD" w:themeFill="accent3" w:themeFillTint="33"/>
            <w:noWrap/>
            <w:hideMark/>
          </w:tcPr>
          <w:p w14:paraId="3DDDCAA3"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221</w:t>
            </w:r>
          </w:p>
        </w:tc>
        <w:tc>
          <w:tcPr>
            <w:tcW w:w="1123" w:type="dxa"/>
            <w:shd w:val="clear" w:color="auto" w:fill="EAF1DD" w:themeFill="accent3" w:themeFillTint="33"/>
            <w:noWrap/>
            <w:hideMark/>
          </w:tcPr>
          <w:p w14:paraId="00B3B45F"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7</w:t>
            </w:r>
          </w:p>
        </w:tc>
      </w:tr>
      <w:tr w:rsidR="00824F48" w:rsidRPr="00421152" w14:paraId="3E82685E" w14:textId="77777777" w:rsidTr="00BA0F3C">
        <w:tc>
          <w:tcPr>
            <w:tcW w:w="2930" w:type="dxa"/>
            <w:noWrap/>
            <w:hideMark/>
          </w:tcPr>
          <w:p w14:paraId="79AE145B"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Salaries and social costs</w:t>
            </w:r>
          </w:p>
        </w:tc>
        <w:tc>
          <w:tcPr>
            <w:tcW w:w="1122" w:type="dxa"/>
            <w:noWrap/>
            <w:hideMark/>
          </w:tcPr>
          <w:p w14:paraId="264FD2FF"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188</w:t>
            </w:r>
          </w:p>
        </w:tc>
        <w:tc>
          <w:tcPr>
            <w:tcW w:w="1122" w:type="dxa"/>
            <w:noWrap/>
            <w:hideMark/>
          </w:tcPr>
          <w:p w14:paraId="5F5E3A1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CE803D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2BE8F7E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218</w:t>
            </w:r>
          </w:p>
        </w:tc>
        <w:tc>
          <w:tcPr>
            <w:tcW w:w="1122" w:type="dxa"/>
            <w:noWrap/>
            <w:hideMark/>
          </w:tcPr>
          <w:p w14:paraId="237AF86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216</w:t>
            </w:r>
          </w:p>
        </w:tc>
        <w:tc>
          <w:tcPr>
            <w:tcW w:w="1123" w:type="dxa"/>
            <w:noWrap/>
            <w:hideMark/>
          </w:tcPr>
          <w:p w14:paraId="3F97D2E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w:t>
            </w:r>
          </w:p>
        </w:tc>
      </w:tr>
      <w:tr w:rsidR="00824F48" w:rsidRPr="00421152" w14:paraId="63496A9F" w14:textId="77777777" w:rsidTr="00BA0F3C">
        <w:tc>
          <w:tcPr>
            <w:tcW w:w="2930" w:type="dxa"/>
            <w:noWrap/>
            <w:hideMark/>
          </w:tcPr>
          <w:p w14:paraId="2BEABB70"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employment benefits</w:t>
            </w:r>
          </w:p>
        </w:tc>
        <w:tc>
          <w:tcPr>
            <w:tcW w:w="1122" w:type="dxa"/>
            <w:noWrap/>
            <w:hideMark/>
          </w:tcPr>
          <w:p w14:paraId="672570A2"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52</w:t>
            </w:r>
          </w:p>
        </w:tc>
        <w:tc>
          <w:tcPr>
            <w:tcW w:w="1122" w:type="dxa"/>
            <w:noWrap/>
            <w:hideMark/>
          </w:tcPr>
          <w:p w14:paraId="225ED27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ABDE4D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(50)</w:t>
            </w:r>
          </w:p>
        </w:tc>
        <w:tc>
          <w:tcPr>
            <w:tcW w:w="1122" w:type="dxa"/>
            <w:noWrap/>
            <w:hideMark/>
          </w:tcPr>
          <w:p w14:paraId="5202023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w:t>
            </w:r>
          </w:p>
        </w:tc>
        <w:tc>
          <w:tcPr>
            <w:tcW w:w="1122" w:type="dxa"/>
            <w:noWrap/>
            <w:hideMark/>
          </w:tcPr>
          <w:p w14:paraId="321C1BE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7B68170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w:t>
            </w:r>
          </w:p>
        </w:tc>
      </w:tr>
      <w:tr w:rsidR="00824F48" w:rsidRPr="00421152" w14:paraId="0C64E4F8" w14:textId="77777777" w:rsidTr="00BA0F3C">
        <w:tc>
          <w:tcPr>
            <w:tcW w:w="2930" w:type="dxa"/>
            <w:noWrap/>
            <w:hideMark/>
          </w:tcPr>
          <w:p w14:paraId="128C3D64"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Staff hiring and departure costs</w:t>
            </w:r>
          </w:p>
        </w:tc>
        <w:tc>
          <w:tcPr>
            <w:tcW w:w="1122" w:type="dxa"/>
            <w:noWrap/>
            <w:hideMark/>
          </w:tcPr>
          <w:p w14:paraId="291BE0D3"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D8CBAA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AE21EE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FC8ED5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A45355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4C1CEAB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10162814" w14:textId="77777777" w:rsidTr="00BA0F3C">
        <w:tc>
          <w:tcPr>
            <w:tcW w:w="2930" w:type="dxa"/>
            <w:noWrap/>
            <w:hideMark/>
          </w:tcPr>
          <w:p w14:paraId="15B0AEF3"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Travel</w:t>
            </w:r>
          </w:p>
        </w:tc>
        <w:tc>
          <w:tcPr>
            <w:tcW w:w="1122" w:type="dxa"/>
            <w:noWrap/>
            <w:hideMark/>
          </w:tcPr>
          <w:p w14:paraId="3634643D"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10</w:t>
            </w:r>
          </w:p>
        </w:tc>
        <w:tc>
          <w:tcPr>
            <w:tcW w:w="1122" w:type="dxa"/>
            <w:noWrap/>
            <w:hideMark/>
          </w:tcPr>
          <w:p w14:paraId="12F6485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D41CC5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w:t>
            </w:r>
          </w:p>
        </w:tc>
        <w:tc>
          <w:tcPr>
            <w:tcW w:w="1122" w:type="dxa"/>
            <w:noWrap/>
            <w:hideMark/>
          </w:tcPr>
          <w:p w14:paraId="304992F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w:t>
            </w:r>
          </w:p>
        </w:tc>
        <w:tc>
          <w:tcPr>
            <w:tcW w:w="1122" w:type="dxa"/>
            <w:noWrap/>
            <w:hideMark/>
          </w:tcPr>
          <w:p w14:paraId="11986B7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w:t>
            </w:r>
          </w:p>
        </w:tc>
        <w:tc>
          <w:tcPr>
            <w:tcW w:w="1123" w:type="dxa"/>
            <w:noWrap/>
            <w:hideMark/>
          </w:tcPr>
          <w:p w14:paraId="1F5EBA1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w:t>
            </w:r>
          </w:p>
        </w:tc>
      </w:tr>
      <w:tr w:rsidR="00824F48" w:rsidRPr="00421152" w14:paraId="25C116BC" w14:textId="77777777" w:rsidTr="00BA0F3C">
        <w:tc>
          <w:tcPr>
            <w:tcW w:w="2930" w:type="dxa"/>
            <w:shd w:val="clear" w:color="auto" w:fill="EAF1DD" w:themeFill="accent3" w:themeFillTint="33"/>
            <w:noWrap/>
            <w:hideMark/>
          </w:tcPr>
          <w:p w14:paraId="3D0C3652" w14:textId="29E61783"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C.</w:t>
            </w:r>
            <w:r w:rsidR="00E91F83" w:rsidRPr="00421152">
              <w:rPr>
                <w:rFonts w:asciiTheme="minorHAnsi" w:hAnsiTheme="minorHAnsi"/>
                <w:bCs/>
                <w:sz w:val="20"/>
                <w:szCs w:val="20"/>
              </w:rPr>
              <w:t xml:space="preserve"> </w:t>
            </w:r>
            <w:r w:rsidRPr="00421152">
              <w:rPr>
                <w:rFonts w:asciiTheme="minorHAnsi" w:hAnsiTheme="minorHAnsi"/>
                <w:bCs/>
                <w:sz w:val="20"/>
                <w:szCs w:val="20"/>
              </w:rPr>
              <w:t>Regional Advice and Support</w:t>
            </w:r>
          </w:p>
        </w:tc>
        <w:tc>
          <w:tcPr>
            <w:tcW w:w="1122" w:type="dxa"/>
            <w:shd w:val="clear" w:color="auto" w:fill="EAF1DD" w:themeFill="accent3" w:themeFillTint="33"/>
            <w:noWrap/>
            <w:hideMark/>
          </w:tcPr>
          <w:p w14:paraId="188CC454"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1,342</w:t>
            </w:r>
          </w:p>
        </w:tc>
        <w:tc>
          <w:tcPr>
            <w:tcW w:w="1122" w:type="dxa"/>
            <w:shd w:val="clear" w:color="auto" w:fill="EAF1DD" w:themeFill="accent3" w:themeFillTint="33"/>
            <w:noWrap/>
            <w:hideMark/>
          </w:tcPr>
          <w:p w14:paraId="6B548A81"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77</w:t>
            </w:r>
          </w:p>
        </w:tc>
        <w:tc>
          <w:tcPr>
            <w:tcW w:w="1122" w:type="dxa"/>
            <w:shd w:val="clear" w:color="auto" w:fill="EAF1DD" w:themeFill="accent3" w:themeFillTint="33"/>
            <w:noWrap/>
            <w:hideMark/>
          </w:tcPr>
          <w:p w14:paraId="2552555A"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(70)</w:t>
            </w:r>
          </w:p>
        </w:tc>
        <w:tc>
          <w:tcPr>
            <w:tcW w:w="1122" w:type="dxa"/>
            <w:shd w:val="clear" w:color="auto" w:fill="EAF1DD" w:themeFill="accent3" w:themeFillTint="33"/>
            <w:noWrap/>
            <w:hideMark/>
          </w:tcPr>
          <w:p w14:paraId="62A1131E"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1,349</w:t>
            </w:r>
          </w:p>
        </w:tc>
        <w:tc>
          <w:tcPr>
            <w:tcW w:w="1122" w:type="dxa"/>
            <w:shd w:val="clear" w:color="auto" w:fill="EAF1DD" w:themeFill="accent3" w:themeFillTint="33"/>
            <w:noWrap/>
            <w:hideMark/>
          </w:tcPr>
          <w:p w14:paraId="5867534B"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1,272</w:t>
            </w:r>
          </w:p>
        </w:tc>
        <w:tc>
          <w:tcPr>
            <w:tcW w:w="1123" w:type="dxa"/>
            <w:shd w:val="clear" w:color="auto" w:fill="EAF1DD" w:themeFill="accent3" w:themeFillTint="33"/>
            <w:noWrap/>
            <w:hideMark/>
          </w:tcPr>
          <w:p w14:paraId="0EF34595"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77</w:t>
            </w:r>
          </w:p>
        </w:tc>
      </w:tr>
      <w:tr w:rsidR="00824F48" w:rsidRPr="00421152" w14:paraId="0B0E94F6" w14:textId="77777777" w:rsidTr="00BA0F3C">
        <w:tc>
          <w:tcPr>
            <w:tcW w:w="2930" w:type="dxa"/>
            <w:noWrap/>
            <w:hideMark/>
          </w:tcPr>
          <w:p w14:paraId="7B91E736"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Salaries and social costs</w:t>
            </w:r>
          </w:p>
        </w:tc>
        <w:tc>
          <w:tcPr>
            <w:tcW w:w="1122" w:type="dxa"/>
            <w:noWrap/>
            <w:hideMark/>
          </w:tcPr>
          <w:p w14:paraId="275FF64F"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1,201</w:t>
            </w:r>
          </w:p>
        </w:tc>
        <w:tc>
          <w:tcPr>
            <w:tcW w:w="1122" w:type="dxa"/>
            <w:noWrap/>
            <w:hideMark/>
          </w:tcPr>
          <w:p w14:paraId="2778F98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70ABA0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(66)</w:t>
            </w:r>
          </w:p>
        </w:tc>
        <w:tc>
          <w:tcPr>
            <w:tcW w:w="1122" w:type="dxa"/>
            <w:noWrap/>
            <w:hideMark/>
          </w:tcPr>
          <w:p w14:paraId="218F07D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1,135</w:t>
            </w:r>
          </w:p>
        </w:tc>
        <w:tc>
          <w:tcPr>
            <w:tcW w:w="1122" w:type="dxa"/>
            <w:noWrap/>
            <w:hideMark/>
          </w:tcPr>
          <w:p w14:paraId="072C9B8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1,136</w:t>
            </w:r>
          </w:p>
        </w:tc>
        <w:tc>
          <w:tcPr>
            <w:tcW w:w="1123" w:type="dxa"/>
            <w:noWrap/>
            <w:hideMark/>
          </w:tcPr>
          <w:p w14:paraId="5557240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w:t>
            </w:r>
          </w:p>
        </w:tc>
      </w:tr>
      <w:tr w:rsidR="00824F48" w:rsidRPr="00421152" w14:paraId="6BC9C4FA" w14:textId="77777777" w:rsidTr="00BA0F3C">
        <w:tc>
          <w:tcPr>
            <w:tcW w:w="2930" w:type="dxa"/>
            <w:noWrap/>
            <w:hideMark/>
          </w:tcPr>
          <w:p w14:paraId="49756879"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employment benefits</w:t>
            </w:r>
          </w:p>
        </w:tc>
        <w:tc>
          <w:tcPr>
            <w:tcW w:w="1122" w:type="dxa"/>
            <w:noWrap/>
            <w:hideMark/>
          </w:tcPr>
          <w:p w14:paraId="3835D242"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56</w:t>
            </w:r>
          </w:p>
        </w:tc>
        <w:tc>
          <w:tcPr>
            <w:tcW w:w="1122" w:type="dxa"/>
            <w:noWrap/>
            <w:hideMark/>
          </w:tcPr>
          <w:p w14:paraId="03D001D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DE2B8F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w:t>
            </w:r>
          </w:p>
        </w:tc>
        <w:tc>
          <w:tcPr>
            <w:tcW w:w="1122" w:type="dxa"/>
            <w:noWrap/>
            <w:hideMark/>
          </w:tcPr>
          <w:p w14:paraId="5DDDE5B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62</w:t>
            </w:r>
          </w:p>
        </w:tc>
        <w:tc>
          <w:tcPr>
            <w:tcW w:w="1122" w:type="dxa"/>
            <w:noWrap/>
            <w:hideMark/>
          </w:tcPr>
          <w:p w14:paraId="24C29A7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53</w:t>
            </w:r>
          </w:p>
        </w:tc>
        <w:tc>
          <w:tcPr>
            <w:tcW w:w="1123" w:type="dxa"/>
            <w:noWrap/>
            <w:hideMark/>
          </w:tcPr>
          <w:p w14:paraId="58AC79C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9</w:t>
            </w:r>
          </w:p>
        </w:tc>
      </w:tr>
      <w:tr w:rsidR="00824F48" w:rsidRPr="00421152" w14:paraId="4A7FE181" w14:textId="77777777" w:rsidTr="00BA0F3C">
        <w:tc>
          <w:tcPr>
            <w:tcW w:w="2930" w:type="dxa"/>
            <w:noWrap/>
            <w:hideMark/>
          </w:tcPr>
          <w:p w14:paraId="36968F4D"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Staff hiring and departure costs</w:t>
            </w:r>
          </w:p>
        </w:tc>
        <w:tc>
          <w:tcPr>
            <w:tcW w:w="1122" w:type="dxa"/>
            <w:noWrap/>
            <w:hideMark/>
          </w:tcPr>
          <w:p w14:paraId="490446C7"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41C16E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4A7C19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2BA624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358D58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w:t>
            </w:r>
          </w:p>
        </w:tc>
        <w:tc>
          <w:tcPr>
            <w:tcW w:w="1123" w:type="dxa"/>
            <w:noWrap/>
            <w:hideMark/>
          </w:tcPr>
          <w:p w14:paraId="7205259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w:t>
            </w:r>
          </w:p>
        </w:tc>
      </w:tr>
      <w:tr w:rsidR="00824F48" w:rsidRPr="00421152" w14:paraId="0FF3C7CB" w14:textId="77777777" w:rsidTr="00BA0F3C">
        <w:tc>
          <w:tcPr>
            <w:tcW w:w="2930" w:type="dxa"/>
            <w:noWrap/>
            <w:hideMark/>
          </w:tcPr>
          <w:p w14:paraId="26FAEF00"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Travel</w:t>
            </w:r>
          </w:p>
        </w:tc>
        <w:tc>
          <w:tcPr>
            <w:tcW w:w="1122" w:type="dxa"/>
            <w:noWrap/>
            <w:hideMark/>
          </w:tcPr>
          <w:p w14:paraId="03AFA460"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85</w:t>
            </w:r>
          </w:p>
        </w:tc>
        <w:tc>
          <w:tcPr>
            <w:tcW w:w="1122" w:type="dxa"/>
            <w:noWrap/>
            <w:hideMark/>
          </w:tcPr>
          <w:p w14:paraId="0441B46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7B23F0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w:t>
            </w:r>
          </w:p>
        </w:tc>
        <w:tc>
          <w:tcPr>
            <w:tcW w:w="1122" w:type="dxa"/>
            <w:noWrap/>
            <w:hideMark/>
          </w:tcPr>
          <w:p w14:paraId="3C292CE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75</w:t>
            </w:r>
          </w:p>
        </w:tc>
        <w:tc>
          <w:tcPr>
            <w:tcW w:w="1122" w:type="dxa"/>
            <w:noWrap/>
            <w:hideMark/>
          </w:tcPr>
          <w:p w14:paraId="12ABDA8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68</w:t>
            </w:r>
          </w:p>
        </w:tc>
        <w:tc>
          <w:tcPr>
            <w:tcW w:w="1123" w:type="dxa"/>
            <w:noWrap/>
            <w:hideMark/>
          </w:tcPr>
          <w:p w14:paraId="65EB539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w:t>
            </w:r>
          </w:p>
        </w:tc>
      </w:tr>
      <w:tr w:rsidR="00824F48" w:rsidRPr="00421152" w14:paraId="7B47A996" w14:textId="77777777" w:rsidTr="00BA0F3C">
        <w:tc>
          <w:tcPr>
            <w:tcW w:w="2930" w:type="dxa"/>
            <w:noWrap/>
            <w:hideMark/>
          </w:tcPr>
          <w:p w14:paraId="16445FBC"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Ramsar Advisory Missions</w:t>
            </w:r>
          </w:p>
        </w:tc>
        <w:tc>
          <w:tcPr>
            <w:tcW w:w="1122" w:type="dxa"/>
            <w:noWrap/>
            <w:hideMark/>
          </w:tcPr>
          <w:p w14:paraId="5819707C"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2FD1FE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77</w:t>
            </w:r>
          </w:p>
        </w:tc>
        <w:tc>
          <w:tcPr>
            <w:tcW w:w="1122" w:type="dxa"/>
            <w:noWrap/>
            <w:hideMark/>
          </w:tcPr>
          <w:p w14:paraId="23BEFA5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0962E9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77</w:t>
            </w:r>
          </w:p>
        </w:tc>
        <w:tc>
          <w:tcPr>
            <w:tcW w:w="1122" w:type="dxa"/>
            <w:noWrap/>
            <w:hideMark/>
          </w:tcPr>
          <w:p w14:paraId="4C8590D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11</w:t>
            </w:r>
          </w:p>
        </w:tc>
        <w:tc>
          <w:tcPr>
            <w:tcW w:w="1123" w:type="dxa"/>
            <w:noWrap/>
            <w:hideMark/>
          </w:tcPr>
          <w:p w14:paraId="3B13A25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66</w:t>
            </w:r>
          </w:p>
        </w:tc>
      </w:tr>
      <w:tr w:rsidR="00824F48" w:rsidRPr="00421152" w14:paraId="60122719" w14:textId="77777777" w:rsidTr="00BA0F3C">
        <w:tc>
          <w:tcPr>
            <w:tcW w:w="2930" w:type="dxa"/>
            <w:shd w:val="clear" w:color="auto" w:fill="EAF1DD" w:themeFill="accent3" w:themeFillTint="33"/>
            <w:noWrap/>
            <w:hideMark/>
          </w:tcPr>
          <w:p w14:paraId="0741D25C" w14:textId="346D7B8A"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D.</w:t>
            </w:r>
            <w:r w:rsidR="00E91F83" w:rsidRPr="00421152">
              <w:rPr>
                <w:rFonts w:asciiTheme="minorHAnsi" w:hAnsiTheme="minorHAnsi"/>
                <w:bCs/>
                <w:sz w:val="20"/>
                <w:szCs w:val="20"/>
              </w:rPr>
              <w:t xml:space="preserve"> </w:t>
            </w:r>
            <w:r w:rsidRPr="00421152">
              <w:rPr>
                <w:rFonts w:asciiTheme="minorHAnsi" w:hAnsiTheme="minorHAnsi"/>
                <w:bCs/>
                <w:sz w:val="20"/>
                <w:szCs w:val="20"/>
              </w:rPr>
              <w:t>Support to Regional Initiatives</w:t>
            </w:r>
          </w:p>
        </w:tc>
        <w:tc>
          <w:tcPr>
            <w:tcW w:w="1122" w:type="dxa"/>
            <w:shd w:val="clear" w:color="auto" w:fill="EAF1DD" w:themeFill="accent3" w:themeFillTint="33"/>
            <w:noWrap/>
            <w:hideMark/>
          </w:tcPr>
          <w:p w14:paraId="032FD86F"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120</w:t>
            </w:r>
          </w:p>
        </w:tc>
        <w:tc>
          <w:tcPr>
            <w:tcW w:w="1122" w:type="dxa"/>
            <w:shd w:val="clear" w:color="auto" w:fill="EAF1DD" w:themeFill="accent3" w:themeFillTint="33"/>
            <w:noWrap/>
            <w:hideMark/>
          </w:tcPr>
          <w:p w14:paraId="5D8ED8F6"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33</w:t>
            </w:r>
          </w:p>
        </w:tc>
        <w:tc>
          <w:tcPr>
            <w:tcW w:w="1122" w:type="dxa"/>
            <w:shd w:val="clear" w:color="auto" w:fill="EAF1DD" w:themeFill="accent3" w:themeFillTint="33"/>
            <w:noWrap/>
            <w:hideMark/>
          </w:tcPr>
          <w:p w14:paraId="4C264FE0"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74D3348A"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153</w:t>
            </w:r>
          </w:p>
        </w:tc>
        <w:tc>
          <w:tcPr>
            <w:tcW w:w="1122" w:type="dxa"/>
            <w:shd w:val="clear" w:color="auto" w:fill="EAF1DD" w:themeFill="accent3" w:themeFillTint="33"/>
            <w:noWrap/>
            <w:hideMark/>
          </w:tcPr>
          <w:p w14:paraId="65938F1C"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117</w:t>
            </w:r>
          </w:p>
        </w:tc>
        <w:tc>
          <w:tcPr>
            <w:tcW w:w="1123" w:type="dxa"/>
            <w:shd w:val="clear" w:color="auto" w:fill="EAF1DD" w:themeFill="accent3" w:themeFillTint="33"/>
            <w:noWrap/>
            <w:hideMark/>
          </w:tcPr>
          <w:p w14:paraId="68E62479"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36</w:t>
            </w:r>
          </w:p>
        </w:tc>
      </w:tr>
      <w:tr w:rsidR="00824F48" w:rsidRPr="00421152" w14:paraId="6181FED8" w14:textId="77777777" w:rsidTr="00BA0F3C">
        <w:tc>
          <w:tcPr>
            <w:tcW w:w="2930" w:type="dxa"/>
            <w:noWrap/>
            <w:hideMark/>
          </w:tcPr>
          <w:p w14:paraId="3372CE90"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Regional Initiatives General</w:t>
            </w:r>
          </w:p>
        </w:tc>
        <w:tc>
          <w:tcPr>
            <w:tcW w:w="1122" w:type="dxa"/>
            <w:noWrap/>
            <w:hideMark/>
          </w:tcPr>
          <w:p w14:paraId="566B340A"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9B859A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21</w:t>
            </w:r>
          </w:p>
        </w:tc>
        <w:tc>
          <w:tcPr>
            <w:tcW w:w="1122" w:type="dxa"/>
            <w:noWrap/>
            <w:hideMark/>
          </w:tcPr>
          <w:p w14:paraId="6053EC0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E91ACC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21</w:t>
            </w:r>
          </w:p>
        </w:tc>
        <w:tc>
          <w:tcPr>
            <w:tcW w:w="1122" w:type="dxa"/>
            <w:noWrap/>
            <w:hideMark/>
          </w:tcPr>
          <w:p w14:paraId="059DC33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1056803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21</w:t>
            </w:r>
          </w:p>
        </w:tc>
      </w:tr>
      <w:tr w:rsidR="00824F48" w:rsidRPr="00421152" w14:paraId="299CB383" w14:textId="77777777" w:rsidTr="00BA0F3C">
        <w:tc>
          <w:tcPr>
            <w:tcW w:w="2930" w:type="dxa"/>
            <w:noWrap/>
            <w:hideMark/>
          </w:tcPr>
          <w:p w14:paraId="531A9323"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Activity 1: Senegal Basin</w:t>
            </w:r>
          </w:p>
        </w:tc>
        <w:tc>
          <w:tcPr>
            <w:tcW w:w="1122" w:type="dxa"/>
            <w:noWrap/>
            <w:hideMark/>
          </w:tcPr>
          <w:p w14:paraId="3D8B8A6B"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2D4A098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12</w:t>
            </w:r>
          </w:p>
        </w:tc>
        <w:tc>
          <w:tcPr>
            <w:tcW w:w="1122" w:type="dxa"/>
            <w:noWrap/>
            <w:hideMark/>
          </w:tcPr>
          <w:p w14:paraId="0C5B838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DD116C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42</w:t>
            </w:r>
          </w:p>
        </w:tc>
        <w:tc>
          <w:tcPr>
            <w:tcW w:w="1122" w:type="dxa"/>
            <w:noWrap/>
            <w:hideMark/>
          </w:tcPr>
          <w:p w14:paraId="4963902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34</w:t>
            </w:r>
          </w:p>
        </w:tc>
        <w:tc>
          <w:tcPr>
            <w:tcW w:w="1123" w:type="dxa"/>
            <w:noWrap/>
            <w:hideMark/>
          </w:tcPr>
          <w:p w14:paraId="0B9D38E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w:t>
            </w:r>
          </w:p>
        </w:tc>
      </w:tr>
      <w:tr w:rsidR="00824F48" w:rsidRPr="00421152" w14:paraId="2EDF1D8B" w14:textId="77777777" w:rsidTr="00BA0F3C">
        <w:tc>
          <w:tcPr>
            <w:tcW w:w="2930" w:type="dxa"/>
            <w:noWrap/>
            <w:hideMark/>
          </w:tcPr>
          <w:p w14:paraId="7B9F67E7"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Activity 2: Amazon Basin</w:t>
            </w:r>
          </w:p>
        </w:tc>
        <w:tc>
          <w:tcPr>
            <w:tcW w:w="1122" w:type="dxa"/>
            <w:noWrap/>
            <w:hideMark/>
          </w:tcPr>
          <w:p w14:paraId="2D61F56A"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2210BDF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753CFF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55E3BE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6B2BF80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24</w:t>
            </w:r>
          </w:p>
        </w:tc>
        <w:tc>
          <w:tcPr>
            <w:tcW w:w="1123" w:type="dxa"/>
            <w:noWrap/>
            <w:hideMark/>
          </w:tcPr>
          <w:p w14:paraId="10D74E2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w:t>
            </w:r>
          </w:p>
        </w:tc>
      </w:tr>
      <w:tr w:rsidR="00824F48" w:rsidRPr="00421152" w14:paraId="453E60D7" w14:textId="77777777" w:rsidTr="00BA0F3C">
        <w:tc>
          <w:tcPr>
            <w:tcW w:w="2930" w:type="dxa"/>
            <w:noWrap/>
            <w:hideMark/>
          </w:tcPr>
          <w:p w14:paraId="407D2760"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Activity 3: Central Asia</w:t>
            </w:r>
          </w:p>
        </w:tc>
        <w:tc>
          <w:tcPr>
            <w:tcW w:w="1122" w:type="dxa"/>
            <w:noWrap/>
            <w:hideMark/>
          </w:tcPr>
          <w:p w14:paraId="1C5C6B77"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209362B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13DC51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9BEE45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3B49AC8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3" w:type="dxa"/>
            <w:noWrap/>
            <w:hideMark/>
          </w:tcPr>
          <w:p w14:paraId="146D6EB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13A54EB9" w14:textId="77777777" w:rsidTr="00BA0F3C">
        <w:tc>
          <w:tcPr>
            <w:tcW w:w="2930" w:type="dxa"/>
            <w:noWrap/>
            <w:hideMark/>
          </w:tcPr>
          <w:p w14:paraId="0515EE94"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Activity 4: Indo-Burma</w:t>
            </w:r>
          </w:p>
        </w:tc>
        <w:tc>
          <w:tcPr>
            <w:tcW w:w="1122" w:type="dxa"/>
            <w:noWrap/>
            <w:hideMark/>
          </w:tcPr>
          <w:p w14:paraId="356E4868"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62DC90C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2ABEC3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89157A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5ADCE74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3" w:type="dxa"/>
            <w:noWrap/>
            <w:hideMark/>
          </w:tcPr>
          <w:p w14:paraId="67A081E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5FEC4FFD" w14:textId="77777777" w:rsidTr="00BA0F3C">
        <w:tc>
          <w:tcPr>
            <w:tcW w:w="2930" w:type="dxa"/>
            <w:shd w:val="clear" w:color="auto" w:fill="EAF1DD" w:themeFill="accent3" w:themeFillTint="33"/>
            <w:noWrap/>
            <w:hideMark/>
          </w:tcPr>
          <w:p w14:paraId="47C9B8B8" w14:textId="3459B2AE"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E.</w:t>
            </w:r>
            <w:r w:rsidR="00E91F83" w:rsidRPr="00421152">
              <w:rPr>
                <w:rFonts w:asciiTheme="minorHAnsi" w:hAnsiTheme="minorHAnsi"/>
                <w:bCs/>
                <w:sz w:val="20"/>
                <w:szCs w:val="20"/>
              </w:rPr>
              <w:t xml:space="preserve"> </w:t>
            </w:r>
            <w:r w:rsidRPr="00421152">
              <w:rPr>
                <w:rFonts w:asciiTheme="minorHAnsi" w:hAnsiTheme="minorHAnsi"/>
                <w:bCs/>
                <w:sz w:val="20"/>
                <w:szCs w:val="20"/>
              </w:rPr>
              <w:t>Scientific and Technical Services</w:t>
            </w:r>
          </w:p>
        </w:tc>
        <w:tc>
          <w:tcPr>
            <w:tcW w:w="1122" w:type="dxa"/>
            <w:shd w:val="clear" w:color="auto" w:fill="EAF1DD" w:themeFill="accent3" w:themeFillTint="33"/>
            <w:noWrap/>
            <w:hideMark/>
          </w:tcPr>
          <w:p w14:paraId="20C03673"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392</w:t>
            </w:r>
          </w:p>
        </w:tc>
        <w:tc>
          <w:tcPr>
            <w:tcW w:w="1122" w:type="dxa"/>
            <w:shd w:val="clear" w:color="auto" w:fill="EAF1DD" w:themeFill="accent3" w:themeFillTint="33"/>
            <w:noWrap/>
            <w:hideMark/>
          </w:tcPr>
          <w:p w14:paraId="08F597D2"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114</w:t>
            </w:r>
          </w:p>
        </w:tc>
        <w:tc>
          <w:tcPr>
            <w:tcW w:w="1122" w:type="dxa"/>
            <w:shd w:val="clear" w:color="auto" w:fill="EAF1DD" w:themeFill="accent3" w:themeFillTint="33"/>
            <w:noWrap/>
            <w:hideMark/>
          </w:tcPr>
          <w:p w14:paraId="50CE160D"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(13)</w:t>
            </w:r>
          </w:p>
        </w:tc>
        <w:tc>
          <w:tcPr>
            <w:tcW w:w="1122" w:type="dxa"/>
            <w:shd w:val="clear" w:color="auto" w:fill="EAF1DD" w:themeFill="accent3" w:themeFillTint="33"/>
            <w:noWrap/>
            <w:hideMark/>
          </w:tcPr>
          <w:p w14:paraId="0D30C47F"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493</w:t>
            </w:r>
          </w:p>
        </w:tc>
        <w:tc>
          <w:tcPr>
            <w:tcW w:w="1122" w:type="dxa"/>
            <w:shd w:val="clear" w:color="auto" w:fill="EAF1DD" w:themeFill="accent3" w:themeFillTint="33"/>
            <w:noWrap/>
            <w:hideMark/>
          </w:tcPr>
          <w:p w14:paraId="22EEF276"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301</w:t>
            </w:r>
          </w:p>
        </w:tc>
        <w:tc>
          <w:tcPr>
            <w:tcW w:w="1123" w:type="dxa"/>
            <w:shd w:val="clear" w:color="auto" w:fill="EAF1DD" w:themeFill="accent3" w:themeFillTint="33"/>
            <w:noWrap/>
            <w:hideMark/>
          </w:tcPr>
          <w:p w14:paraId="43D866CB"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192</w:t>
            </w:r>
          </w:p>
        </w:tc>
      </w:tr>
      <w:tr w:rsidR="00824F48" w:rsidRPr="00421152" w14:paraId="4FECCF77" w14:textId="77777777" w:rsidTr="00BA0F3C">
        <w:tc>
          <w:tcPr>
            <w:tcW w:w="2930" w:type="dxa"/>
            <w:noWrap/>
            <w:hideMark/>
          </w:tcPr>
          <w:p w14:paraId="07C57960"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Salaries and social costs</w:t>
            </w:r>
          </w:p>
        </w:tc>
        <w:tc>
          <w:tcPr>
            <w:tcW w:w="1122" w:type="dxa"/>
            <w:noWrap/>
            <w:hideMark/>
          </w:tcPr>
          <w:p w14:paraId="3DCE10E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290</w:t>
            </w:r>
          </w:p>
        </w:tc>
        <w:tc>
          <w:tcPr>
            <w:tcW w:w="1122" w:type="dxa"/>
            <w:noWrap/>
            <w:hideMark/>
          </w:tcPr>
          <w:p w14:paraId="256B03C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57D847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(25)</w:t>
            </w:r>
          </w:p>
        </w:tc>
        <w:tc>
          <w:tcPr>
            <w:tcW w:w="1122" w:type="dxa"/>
            <w:noWrap/>
            <w:hideMark/>
          </w:tcPr>
          <w:p w14:paraId="0B4EF35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265</w:t>
            </w:r>
          </w:p>
        </w:tc>
        <w:tc>
          <w:tcPr>
            <w:tcW w:w="1122" w:type="dxa"/>
            <w:noWrap/>
            <w:hideMark/>
          </w:tcPr>
          <w:p w14:paraId="6EDB0A7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193</w:t>
            </w:r>
          </w:p>
        </w:tc>
        <w:tc>
          <w:tcPr>
            <w:tcW w:w="1123" w:type="dxa"/>
            <w:noWrap/>
            <w:hideMark/>
          </w:tcPr>
          <w:p w14:paraId="642DE66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72</w:t>
            </w:r>
          </w:p>
        </w:tc>
      </w:tr>
      <w:tr w:rsidR="00824F48" w:rsidRPr="00421152" w14:paraId="75D559D3" w14:textId="77777777" w:rsidTr="00BA0F3C">
        <w:tc>
          <w:tcPr>
            <w:tcW w:w="2930" w:type="dxa"/>
            <w:noWrap/>
            <w:hideMark/>
          </w:tcPr>
          <w:p w14:paraId="4ADFDE19"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employment benefits</w:t>
            </w:r>
          </w:p>
        </w:tc>
        <w:tc>
          <w:tcPr>
            <w:tcW w:w="1122" w:type="dxa"/>
            <w:noWrap/>
            <w:hideMark/>
          </w:tcPr>
          <w:p w14:paraId="09584512"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2</w:t>
            </w:r>
          </w:p>
        </w:tc>
        <w:tc>
          <w:tcPr>
            <w:tcW w:w="1122" w:type="dxa"/>
            <w:noWrap/>
            <w:hideMark/>
          </w:tcPr>
          <w:p w14:paraId="1A5E6AC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3341B3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w:t>
            </w:r>
          </w:p>
        </w:tc>
        <w:tc>
          <w:tcPr>
            <w:tcW w:w="1122" w:type="dxa"/>
            <w:noWrap/>
            <w:hideMark/>
          </w:tcPr>
          <w:p w14:paraId="710486D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12</w:t>
            </w:r>
          </w:p>
        </w:tc>
        <w:tc>
          <w:tcPr>
            <w:tcW w:w="1122" w:type="dxa"/>
            <w:noWrap/>
            <w:hideMark/>
          </w:tcPr>
          <w:p w14:paraId="55B59DA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336CF3E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12</w:t>
            </w:r>
          </w:p>
        </w:tc>
      </w:tr>
      <w:tr w:rsidR="00824F48" w:rsidRPr="00421152" w14:paraId="7C250B0F" w14:textId="77777777" w:rsidTr="00BA0F3C">
        <w:tc>
          <w:tcPr>
            <w:tcW w:w="2930" w:type="dxa"/>
            <w:noWrap/>
            <w:hideMark/>
          </w:tcPr>
          <w:p w14:paraId="14E3F85A"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Staff hiring and departure costs</w:t>
            </w:r>
          </w:p>
        </w:tc>
        <w:tc>
          <w:tcPr>
            <w:tcW w:w="1122" w:type="dxa"/>
            <w:noWrap/>
            <w:hideMark/>
          </w:tcPr>
          <w:p w14:paraId="08BB628D"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7C0642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ACE4CE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76A4BD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3EC108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424214C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724CC998" w14:textId="77777777" w:rsidTr="00BA0F3C">
        <w:tc>
          <w:tcPr>
            <w:tcW w:w="2930" w:type="dxa"/>
            <w:noWrap/>
            <w:hideMark/>
          </w:tcPr>
          <w:p w14:paraId="342631B1"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Travel</w:t>
            </w:r>
          </w:p>
        </w:tc>
        <w:tc>
          <w:tcPr>
            <w:tcW w:w="1122" w:type="dxa"/>
            <w:noWrap/>
            <w:hideMark/>
          </w:tcPr>
          <w:p w14:paraId="384D14DD"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10</w:t>
            </w:r>
          </w:p>
        </w:tc>
        <w:tc>
          <w:tcPr>
            <w:tcW w:w="1122" w:type="dxa"/>
            <w:noWrap/>
            <w:hideMark/>
          </w:tcPr>
          <w:p w14:paraId="002639A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57E8D9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w:t>
            </w:r>
          </w:p>
        </w:tc>
        <w:tc>
          <w:tcPr>
            <w:tcW w:w="1122" w:type="dxa"/>
            <w:noWrap/>
            <w:hideMark/>
          </w:tcPr>
          <w:p w14:paraId="7309BB9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12</w:t>
            </w:r>
          </w:p>
        </w:tc>
        <w:tc>
          <w:tcPr>
            <w:tcW w:w="1122" w:type="dxa"/>
            <w:noWrap/>
            <w:hideMark/>
          </w:tcPr>
          <w:p w14:paraId="576F1FE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11</w:t>
            </w:r>
          </w:p>
        </w:tc>
        <w:tc>
          <w:tcPr>
            <w:tcW w:w="1123" w:type="dxa"/>
            <w:noWrap/>
            <w:hideMark/>
          </w:tcPr>
          <w:p w14:paraId="5D2868E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w:t>
            </w:r>
          </w:p>
        </w:tc>
      </w:tr>
      <w:tr w:rsidR="00824F48" w:rsidRPr="00421152" w14:paraId="0DAEB66A" w14:textId="77777777" w:rsidTr="00BA0F3C">
        <w:tc>
          <w:tcPr>
            <w:tcW w:w="2930" w:type="dxa"/>
            <w:noWrap/>
            <w:hideMark/>
          </w:tcPr>
          <w:p w14:paraId="06DEB319"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STRP implementation</w:t>
            </w:r>
          </w:p>
        </w:tc>
        <w:tc>
          <w:tcPr>
            <w:tcW w:w="1122" w:type="dxa"/>
            <w:noWrap/>
            <w:hideMark/>
          </w:tcPr>
          <w:p w14:paraId="288988B2"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40</w:t>
            </w:r>
          </w:p>
        </w:tc>
        <w:tc>
          <w:tcPr>
            <w:tcW w:w="1122" w:type="dxa"/>
            <w:noWrap/>
            <w:hideMark/>
          </w:tcPr>
          <w:p w14:paraId="3F4DDA7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8C41F1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6E89C5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40</w:t>
            </w:r>
          </w:p>
        </w:tc>
        <w:tc>
          <w:tcPr>
            <w:tcW w:w="1122" w:type="dxa"/>
            <w:noWrap/>
            <w:hideMark/>
          </w:tcPr>
          <w:p w14:paraId="24C305F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65</w:t>
            </w:r>
          </w:p>
        </w:tc>
        <w:tc>
          <w:tcPr>
            <w:tcW w:w="1123" w:type="dxa"/>
            <w:noWrap/>
            <w:hideMark/>
          </w:tcPr>
          <w:p w14:paraId="68C94D7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(25)</w:t>
            </w:r>
          </w:p>
        </w:tc>
      </w:tr>
      <w:tr w:rsidR="00824F48" w:rsidRPr="00421152" w14:paraId="7A7BA497" w14:textId="77777777" w:rsidTr="00BA0F3C">
        <w:tc>
          <w:tcPr>
            <w:tcW w:w="2930" w:type="dxa"/>
            <w:noWrap/>
            <w:hideMark/>
          </w:tcPr>
          <w:p w14:paraId="0298B99B"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STRP meetings</w:t>
            </w:r>
          </w:p>
        </w:tc>
        <w:tc>
          <w:tcPr>
            <w:tcW w:w="1122" w:type="dxa"/>
            <w:noWrap/>
            <w:hideMark/>
          </w:tcPr>
          <w:p w14:paraId="3815328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50</w:t>
            </w:r>
          </w:p>
        </w:tc>
        <w:tc>
          <w:tcPr>
            <w:tcW w:w="1122" w:type="dxa"/>
            <w:noWrap/>
            <w:hideMark/>
          </w:tcPr>
          <w:p w14:paraId="203FEF8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FD535B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17B346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50</w:t>
            </w:r>
          </w:p>
        </w:tc>
        <w:tc>
          <w:tcPr>
            <w:tcW w:w="1122" w:type="dxa"/>
            <w:noWrap/>
            <w:hideMark/>
          </w:tcPr>
          <w:p w14:paraId="2E963BB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33</w:t>
            </w:r>
          </w:p>
        </w:tc>
        <w:tc>
          <w:tcPr>
            <w:tcW w:w="1123" w:type="dxa"/>
            <w:noWrap/>
            <w:hideMark/>
          </w:tcPr>
          <w:p w14:paraId="547DD5B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17</w:t>
            </w:r>
          </w:p>
        </w:tc>
      </w:tr>
      <w:tr w:rsidR="00824F48" w:rsidRPr="00421152" w14:paraId="63929E27" w14:textId="77777777" w:rsidTr="00BA0F3C">
        <w:tc>
          <w:tcPr>
            <w:tcW w:w="2930" w:type="dxa"/>
            <w:noWrap/>
            <w:hideMark/>
          </w:tcPr>
          <w:p w14:paraId="74662505"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Strategic Plan (2019 - 2021)</w:t>
            </w:r>
          </w:p>
        </w:tc>
        <w:tc>
          <w:tcPr>
            <w:tcW w:w="1122" w:type="dxa"/>
            <w:noWrap/>
            <w:hideMark/>
          </w:tcPr>
          <w:p w14:paraId="0DA72DE0"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197A3F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44</w:t>
            </w:r>
          </w:p>
        </w:tc>
        <w:tc>
          <w:tcPr>
            <w:tcW w:w="1122" w:type="dxa"/>
            <w:noWrap/>
            <w:hideMark/>
          </w:tcPr>
          <w:p w14:paraId="117B3B4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F9D5A1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44</w:t>
            </w:r>
          </w:p>
        </w:tc>
        <w:tc>
          <w:tcPr>
            <w:tcW w:w="1122" w:type="dxa"/>
            <w:noWrap/>
            <w:hideMark/>
          </w:tcPr>
          <w:p w14:paraId="1295517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0563DFF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44</w:t>
            </w:r>
          </w:p>
        </w:tc>
      </w:tr>
      <w:tr w:rsidR="00824F48" w:rsidRPr="00421152" w14:paraId="12D35BEF" w14:textId="77777777" w:rsidTr="00BA0F3C">
        <w:tc>
          <w:tcPr>
            <w:tcW w:w="2930" w:type="dxa"/>
            <w:noWrap/>
            <w:hideMark/>
          </w:tcPr>
          <w:p w14:paraId="0ACA1F34"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lastRenderedPageBreak/>
              <w:t>SDG 6.61</w:t>
            </w:r>
          </w:p>
        </w:tc>
        <w:tc>
          <w:tcPr>
            <w:tcW w:w="1122" w:type="dxa"/>
            <w:noWrap/>
            <w:hideMark/>
          </w:tcPr>
          <w:p w14:paraId="071BC9FD" w14:textId="77777777" w:rsidR="00D206C3" w:rsidRPr="00A342A6" w:rsidRDefault="00D206C3" w:rsidP="00D206C3">
            <w:pPr>
              <w:pStyle w:val="NoSpacing"/>
              <w:ind w:left="0"/>
              <w:jc w:val="right"/>
              <w:rPr>
                <w:rFonts w:asciiTheme="minorHAnsi" w:hAnsiTheme="minorHAnsi"/>
                <w:spacing w:val="-4"/>
                <w:sz w:val="20"/>
                <w:szCs w:val="20"/>
              </w:rPr>
            </w:pPr>
            <w:r w:rsidRPr="00A342A6">
              <w:rPr>
                <w:rFonts w:asciiTheme="minorHAnsi" w:hAnsiTheme="minorHAnsi"/>
                <w:spacing w:val="-4"/>
                <w:sz w:val="20"/>
                <w:szCs w:val="20"/>
              </w:rPr>
              <w:t>0</w:t>
            </w:r>
          </w:p>
        </w:tc>
        <w:tc>
          <w:tcPr>
            <w:tcW w:w="1122" w:type="dxa"/>
            <w:noWrap/>
            <w:hideMark/>
          </w:tcPr>
          <w:p w14:paraId="502095F2" w14:textId="77777777" w:rsidR="00D206C3" w:rsidRPr="00A342A6" w:rsidRDefault="00D206C3" w:rsidP="00D206C3">
            <w:pPr>
              <w:pStyle w:val="NoSpacing"/>
              <w:ind w:left="0" w:firstLine="0"/>
              <w:jc w:val="right"/>
              <w:rPr>
                <w:rFonts w:asciiTheme="minorHAnsi" w:hAnsiTheme="minorHAnsi"/>
                <w:spacing w:val="-4"/>
                <w:sz w:val="20"/>
                <w:szCs w:val="20"/>
              </w:rPr>
            </w:pPr>
            <w:r w:rsidRPr="00A342A6">
              <w:rPr>
                <w:rFonts w:asciiTheme="minorHAnsi" w:hAnsiTheme="minorHAnsi"/>
                <w:spacing w:val="-4"/>
                <w:sz w:val="20"/>
                <w:szCs w:val="20"/>
              </w:rPr>
              <w:t>70</w:t>
            </w:r>
          </w:p>
        </w:tc>
        <w:tc>
          <w:tcPr>
            <w:tcW w:w="1122" w:type="dxa"/>
            <w:noWrap/>
            <w:hideMark/>
          </w:tcPr>
          <w:p w14:paraId="0D25571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C8B79C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70</w:t>
            </w:r>
          </w:p>
        </w:tc>
        <w:tc>
          <w:tcPr>
            <w:tcW w:w="1122" w:type="dxa"/>
            <w:noWrap/>
            <w:hideMark/>
          </w:tcPr>
          <w:p w14:paraId="3DCABDE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25E30F6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70</w:t>
            </w:r>
          </w:p>
        </w:tc>
      </w:tr>
      <w:tr w:rsidR="00824F48" w:rsidRPr="00421152" w14:paraId="51A9BD1B" w14:textId="77777777" w:rsidTr="00BA0F3C">
        <w:tc>
          <w:tcPr>
            <w:tcW w:w="2930" w:type="dxa"/>
            <w:shd w:val="clear" w:color="auto" w:fill="EAF1DD" w:themeFill="accent3" w:themeFillTint="33"/>
            <w:hideMark/>
          </w:tcPr>
          <w:p w14:paraId="517A8E0E" w14:textId="5F296B8D"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F.</w:t>
            </w:r>
            <w:r w:rsidR="00E91F83" w:rsidRPr="00421152">
              <w:rPr>
                <w:rFonts w:asciiTheme="minorHAnsi" w:hAnsiTheme="minorHAnsi"/>
                <w:bCs/>
                <w:sz w:val="20"/>
                <w:szCs w:val="20"/>
              </w:rPr>
              <w:t xml:space="preserve"> </w:t>
            </w:r>
            <w:r w:rsidRPr="00421152">
              <w:rPr>
                <w:rFonts w:asciiTheme="minorHAnsi" w:hAnsiTheme="minorHAnsi"/>
                <w:bCs/>
                <w:sz w:val="20"/>
                <w:szCs w:val="20"/>
              </w:rPr>
              <w:t>Communications</w:t>
            </w:r>
          </w:p>
        </w:tc>
        <w:tc>
          <w:tcPr>
            <w:tcW w:w="1122" w:type="dxa"/>
            <w:shd w:val="clear" w:color="auto" w:fill="EAF1DD" w:themeFill="accent3" w:themeFillTint="33"/>
            <w:noWrap/>
            <w:hideMark/>
          </w:tcPr>
          <w:p w14:paraId="65A88BB2"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389</w:t>
            </w:r>
          </w:p>
        </w:tc>
        <w:tc>
          <w:tcPr>
            <w:tcW w:w="1122" w:type="dxa"/>
            <w:shd w:val="clear" w:color="auto" w:fill="EAF1DD" w:themeFill="accent3" w:themeFillTint="33"/>
            <w:noWrap/>
            <w:hideMark/>
          </w:tcPr>
          <w:p w14:paraId="0E0418FD"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4E3F55E9"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10</w:t>
            </w:r>
          </w:p>
        </w:tc>
        <w:tc>
          <w:tcPr>
            <w:tcW w:w="1122" w:type="dxa"/>
            <w:shd w:val="clear" w:color="auto" w:fill="EAF1DD" w:themeFill="accent3" w:themeFillTint="33"/>
            <w:noWrap/>
            <w:hideMark/>
          </w:tcPr>
          <w:p w14:paraId="6ECFA7BB"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399</w:t>
            </w:r>
          </w:p>
        </w:tc>
        <w:tc>
          <w:tcPr>
            <w:tcW w:w="1122" w:type="dxa"/>
            <w:shd w:val="clear" w:color="auto" w:fill="EAF1DD" w:themeFill="accent3" w:themeFillTint="33"/>
            <w:noWrap/>
            <w:hideMark/>
          </w:tcPr>
          <w:p w14:paraId="2F6293D7"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336</w:t>
            </w:r>
          </w:p>
        </w:tc>
        <w:tc>
          <w:tcPr>
            <w:tcW w:w="1123" w:type="dxa"/>
            <w:shd w:val="clear" w:color="auto" w:fill="EAF1DD" w:themeFill="accent3" w:themeFillTint="33"/>
            <w:noWrap/>
            <w:hideMark/>
          </w:tcPr>
          <w:p w14:paraId="73CE6FF3"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63</w:t>
            </w:r>
          </w:p>
        </w:tc>
      </w:tr>
      <w:tr w:rsidR="00824F48" w:rsidRPr="00421152" w14:paraId="61CF8357" w14:textId="77777777" w:rsidTr="00BA0F3C">
        <w:tc>
          <w:tcPr>
            <w:tcW w:w="2930" w:type="dxa"/>
            <w:noWrap/>
            <w:hideMark/>
          </w:tcPr>
          <w:p w14:paraId="77C88A26"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Salaries and social costs</w:t>
            </w:r>
          </w:p>
        </w:tc>
        <w:tc>
          <w:tcPr>
            <w:tcW w:w="1122" w:type="dxa"/>
            <w:noWrap/>
            <w:hideMark/>
          </w:tcPr>
          <w:p w14:paraId="6368CFBC"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254</w:t>
            </w:r>
          </w:p>
        </w:tc>
        <w:tc>
          <w:tcPr>
            <w:tcW w:w="1122" w:type="dxa"/>
            <w:noWrap/>
            <w:hideMark/>
          </w:tcPr>
          <w:p w14:paraId="46F649E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17EA86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w:t>
            </w:r>
          </w:p>
        </w:tc>
        <w:tc>
          <w:tcPr>
            <w:tcW w:w="1122" w:type="dxa"/>
            <w:noWrap/>
            <w:hideMark/>
          </w:tcPr>
          <w:p w14:paraId="230FE7D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264</w:t>
            </w:r>
          </w:p>
        </w:tc>
        <w:tc>
          <w:tcPr>
            <w:tcW w:w="1122" w:type="dxa"/>
            <w:noWrap/>
            <w:hideMark/>
          </w:tcPr>
          <w:p w14:paraId="343EDEC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261</w:t>
            </w:r>
          </w:p>
        </w:tc>
        <w:tc>
          <w:tcPr>
            <w:tcW w:w="1123" w:type="dxa"/>
            <w:noWrap/>
            <w:hideMark/>
          </w:tcPr>
          <w:p w14:paraId="6AF55BC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w:t>
            </w:r>
          </w:p>
        </w:tc>
      </w:tr>
      <w:tr w:rsidR="00824F48" w:rsidRPr="00421152" w14:paraId="261EE5CA" w14:textId="77777777" w:rsidTr="00BA0F3C">
        <w:tc>
          <w:tcPr>
            <w:tcW w:w="2930" w:type="dxa"/>
            <w:noWrap/>
            <w:hideMark/>
          </w:tcPr>
          <w:p w14:paraId="70EE7F89"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employment benefits</w:t>
            </w:r>
          </w:p>
        </w:tc>
        <w:tc>
          <w:tcPr>
            <w:tcW w:w="1122" w:type="dxa"/>
            <w:noWrap/>
            <w:hideMark/>
          </w:tcPr>
          <w:p w14:paraId="089FB04C"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13AFB1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EBFBD5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CD02CC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9532E6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07280A4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4F7B5D62" w14:textId="77777777" w:rsidTr="00BA0F3C">
        <w:tc>
          <w:tcPr>
            <w:tcW w:w="2930" w:type="dxa"/>
            <w:noWrap/>
            <w:hideMark/>
          </w:tcPr>
          <w:p w14:paraId="0A623F5E"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Staff hiring and departure costs</w:t>
            </w:r>
          </w:p>
        </w:tc>
        <w:tc>
          <w:tcPr>
            <w:tcW w:w="1122" w:type="dxa"/>
            <w:noWrap/>
            <w:hideMark/>
          </w:tcPr>
          <w:p w14:paraId="7625A979"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DE38D3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DADD71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121723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B2747D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7CFB4B0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68927236" w14:textId="77777777" w:rsidTr="00BA0F3C">
        <w:tc>
          <w:tcPr>
            <w:tcW w:w="2930" w:type="dxa"/>
            <w:noWrap/>
            <w:hideMark/>
          </w:tcPr>
          <w:p w14:paraId="4ABA57D6"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Travel</w:t>
            </w:r>
          </w:p>
        </w:tc>
        <w:tc>
          <w:tcPr>
            <w:tcW w:w="1122" w:type="dxa"/>
            <w:noWrap/>
            <w:hideMark/>
          </w:tcPr>
          <w:p w14:paraId="69C88169"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5</w:t>
            </w:r>
          </w:p>
        </w:tc>
        <w:tc>
          <w:tcPr>
            <w:tcW w:w="1122" w:type="dxa"/>
            <w:noWrap/>
            <w:hideMark/>
          </w:tcPr>
          <w:p w14:paraId="4C197CB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8D2AE6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579A68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w:t>
            </w:r>
          </w:p>
        </w:tc>
        <w:tc>
          <w:tcPr>
            <w:tcW w:w="1122" w:type="dxa"/>
            <w:noWrap/>
            <w:hideMark/>
          </w:tcPr>
          <w:p w14:paraId="76F614E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9</w:t>
            </w:r>
          </w:p>
        </w:tc>
        <w:tc>
          <w:tcPr>
            <w:tcW w:w="1123" w:type="dxa"/>
            <w:noWrap/>
            <w:hideMark/>
          </w:tcPr>
          <w:p w14:paraId="598BF06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w:t>
            </w:r>
          </w:p>
        </w:tc>
      </w:tr>
      <w:tr w:rsidR="00824F48" w:rsidRPr="00421152" w14:paraId="7C4E55EF" w14:textId="77777777" w:rsidTr="00BA0F3C">
        <w:tc>
          <w:tcPr>
            <w:tcW w:w="2930" w:type="dxa"/>
            <w:noWrap/>
            <w:hideMark/>
          </w:tcPr>
          <w:p w14:paraId="553476CE" w14:textId="7B7FCA40"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CEPA Program</w:t>
            </w:r>
            <w:r w:rsidR="006B74A1">
              <w:rPr>
                <w:rFonts w:asciiTheme="minorHAnsi" w:hAnsiTheme="minorHAnsi"/>
                <w:sz w:val="20"/>
                <w:szCs w:val="20"/>
              </w:rPr>
              <w:t>me</w:t>
            </w:r>
          </w:p>
        </w:tc>
        <w:tc>
          <w:tcPr>
            <w:tcW w:w="1122" w:type="dxa"/>
            <w:noWrap/>
            <w:hideMark/>
          </w:tcPr>
          <w:p w14:paraId="58BE99F8"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2325B6D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8E3C6E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5521DE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30</w:t>
            </w:r>
          </w:p>
        </w:tc>
        <w:tc>
          <w:tcPr>
            <w:tcW w:w="1122" w:type="dxa"/>
            <w:noWrap/>
            <w:hideMark/>
          </w:tcPr>
          <w:p w14:paraId="4A51F12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w:t>
            </w:r>
          </w:p>
        </w:tc>
        <w:tc>
          <w:tcPr>
            <w:tcW w:w="1123" w:type="dxa"/>
            <w:noWrap/>
            <w:hideMark/>
          </w:tcPr>
          <w:p w14:paraId="449DFF0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27</w:t>
            </w:r>
          </w:p>
        </w:tc>
      </w:tr>
      <w:tr w:rsidR="00824F48" w:rsidRPr="00421152" w14:paraId="76756F20" w14:textId="77777777" w:rsidTr="00BA0F3C">
        <w:tc>
          <w:tcPr>
            <w:tcW w:w="2930" w:type="dxa"/>
            <w:noWrap/>
            <w:hideMark/>
          </w:tcPr>
          <w:p w14:paraId="6443A536"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Comms, Translations, Publications and Reporting Implementation</w:t>
            </w:r>
          </w:p>
        </w:tc>
        <w:tc>
          <w:tcPr>
            <w:tcW w:w="1122" w:type="dxa"/>
            <w:noWrap/>
            <w:hideMark/>
          </w:tcPr>
          <w:p w14:paraId="1225FE5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100</w:t>
            </w:r>
          </w:p>
        </w:tc>
        <w:tc>
          <w:tcPr>
            <w:tcW w:w="1122" w:type="dxa"/>
            <w:noWrap/>
            <w:hideMark/>
          </w:tcPr>
          <w:p w14:paraId="569AC41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A609B1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7299B5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100</w:t>
            </w:r>
          </w:p>
        </w:tc>
        <w:tc>
          <w:tcPr>
            <w:tcW w:w="1122" w:type="dxa"/>
            <w:noWrap/>
            <w:hideMark/>
          </w:tcPr>
          <w:p w14:paraId="5238387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62</w:t>
            </w:r>
          </w:p>
        </w:tc>
        <w:tc>
          <w:tcPr>
            <w:tcW w:w="1123" w:type="dxa"/>
            <w:noWrap/>
            <w:hideMark/>
          </w:tcPr>
          <w:p w14:paraId="51DBC08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38</w:t>
            </w:r>
          </w:p>
        </w:tc>
      </w:tr>
      <w:tr w:rsidR="00824F48" w:rsidRPr="00421152" w14:paraId="7D8B551A" w14:textId="77777777" w:rsidTr="00BA0F3C">
        <w:tc>
          <w:tcPr>
            <w:tcW w:w="2930" w:type="dxa"/>
            <w:shd w:val="clear" w:color="auto" w:fill="EAF1DD" w:themeFill="accent3" w:themeFillTint="33"/>
            <w:noWrap/>
            <w:hideMark/>
          </w:tcPr>
          <w:p w14:paraId="12352367" w14:textId="22ABE3CC"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G.</w:t>
            </w:r>
            <w:r w:rsidR="00E91F83" w:rsidRPr="00421152">
              <w:rPr>
                <w:rFonts w:asciiTheme="minorHAnsi" w:hAnsiTheme="minorHAnsi"/>
                <w:bCs/>
                <w:sz w:val="20"/>
                <w:szCs w:val="20"/>
              </w:rPr>
              <w:t xml:space="preserve"> </w:t>
            </w:r>
            <w:r w:rsidRPr="00421152">
              <w:rPr>
                <w:rFonts w:asciiTheme="minorHAnsi" w:hAnsiTheme="minorHAnsi"/>
                <w:bCs/>
                <w:sz w:val="20"/>
                <w:szCs w:val="20"/>
              </w:rPr>
              <w:t>Administration/RSIS/Web</w:t>
            </w:r>
          </w:p>
        </w:tc>
        <w:tc>
          <w:tcPr>
            <w:tcW w:w="1122" w:type="dxa"/>
            <w:shd w:val="clear" w:color="auto" w:fill="EAF1DD" w:themeFill="accent3" w:themeFillTint="33"/>
            <w:noWrap/>
            <w:hideMark/>
          </w:tcPr>
          <w:p w14:paraId="1B9BD4CD"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876</w:t>
            </w:r>
          </w:p>
        </w:tc>
        <w:tc>
          <w:tcPr>
            <w:tcW w:w="1122" w:type="dxa"/>
            <w:shd w:val="clear" w:color="auto" w:fill="EAF1DD" w:themeFill="accent3" w:themeFillTint="33"/>
            <w:noWrap/>
            <w:hideMark/>
          </w:tcPr>
          <w:p w14:paraId="443F80A8"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77</w:t>
            </w:r>
          </w:p>
        </w:tc>
        <w:tc>
          <w:tcPr>
            <w:tcW w:w="1122" w:type="dxa"/>
            <w:shd w:val="clear" w:color="auto" w:fill="EAF1DD" w:themeFill="accent3" w:themeFillTint="33"/>
            <w:noWrap/>
            <w:hideMark/>
          </w:tcPr>
          <w:p w14:paraId="5337921C"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100</w:t>
            </w:r>
          </w:p>
        </w:tc>
        <w:tc>
          <w:tcPr>
            <w:tcW w:w="1122" w:type="dxa"/>
            <w:shd w:val="clear" w:color="auto" w:fill="EAF1DD" w:themeFill="accent3" w:themeFillTint="33"/>
            <w:noWrap/>
            <w:hideMark/>
          </w:tcPr>
          <w:p w14:paraId="15ED174A"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1,053</w:t>
            </w:r>
          </w:p>
        </w:tc>
        <w:tc>
          <w:tcPr>
            <w:tcW w:w="1122" w:type="dxa"/>
            <w:shd w:val="clear" w:color="auto" w:fill="EAF1DD" w:themeFill="accent3" w:themeFillTint="33"/>
            <w:noWrap/>
            <w:hideMark/>
          </w:tcPr>
          <w:p w14:paraId="43A32090"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838</w:t>
            </w:r>
          </w:p>
        </w:tc>
        <w:tc>
          <w:tcPr>
            <w:tcW w:w="1123" w:type="dxa"/>
            <w:shd w:val="clear" w:color="auto" w:fill="EAF1DD" w:themeFill="accent3" w:themeFillTint="33"/>
            <w:noWrap/>
            <w:hideMark/>
          </w:tcPr>
          <w:p w14:paraId="6425145E"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215</w:t>
            </w:r>
          </w:p>
        </w:tc>
      </w:tr>
      <w:tr w:rsidR="00824F48" w:rsidRPr="00421152" w14:paraId="201A0162" w14:textId="77777777" w:rsidTr="00BA0F3C">
        <w:tc>
          <w:tcPr>
            <w:tcW w:w="2930" w:type="dxa"/>
            <w:noWrap/>
            <w:hideMark/>
          </w:tcPr>
          <w:p w14:paraId="654CC96B"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Salaries and social costs</w:t>
            </w:r>
          </w:p>
        </w:tc>
        <w:tc>
          <w:tcPr>
            <w:tcW w:w="1122" w:type="dxa"/>
            <w:noWrap/>
            <w:hideMark/>
          </w:tcPr>
          <w:p w14:paraId="4DD7FB31"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629</w:t>
            </w:r>
          </w:p>
        </w:tc>
        <w:tc>
          <w:tcPr>
            <w:tcW w:w="1122" w:type="dxa"/>
            <w:noWrap/>
            <w:hideMark/>
          </w:tcPr>
          <w:p w14:paraId="71CC612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77</w:t>
            </w:r>
          </w:p>
        </w:tc>
        <w:tc>
          <w:tcPr>
            <w:tcW w:w="1122" w:type="dxa"/>
            <w:noWrap/>
            <w:hideMark/>
          </w:tcPr>
          <w:p w14:paraId="48B8645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(15)</w:t>
            </w:r>
          </w:p>
        </w:tc>
        <w:tc>
          <w:tcPr>
            <w:tcW w:w="1122" w:type="dxa"/>
            <w:noWrap/>
            <w:hideMark/>
          </w:tcPr>
          <w:p w14:paraId="64EE66F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691</w:t>
            </w:r>
          </w:p>
        </w:tc>
        <w:tc>
          <w:tcPr>
            <w:tcW w:w="1122" w:type="dxa"/>
            <w:noWrap/>
            <w:hideMark/>
          </w:tcPr>
          <w:p w14:paraId="28F0501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700</w:t>
            </w:r>
          </w:p>
        </w:tc>
        <w:tc>
          <w:tcPr>
            <w:tcW w:w="1123" w:type="dxa"/>
            <w:noWrap/>
            <w:hideMark/>
          </w:tcPr>
          <w:p w14:paraId="263D7E1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(9)</w:t>
            </w:r>
          </w:p>
        </w:tc>
      </w:tr>
      <w:tr w:rsidR="00824F48" w:rsidRPr="00421152" w14:paraId="568D0FF9" w14:textId="77777777" w:rsidTr="00BA0F3C">
        <w:tc>
          <w:tcPr>
            <w:tcW w:w="2930" w:type="dxa"/>
            <w:noWrap/>
            <w:hideMark/>
          </w:tcPr>
          <w:p w14:paraId="20B3D0B7"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employment benefits</w:t>
            </w:r>
          </w:p>
        </w:tc>
        <w:tc>
          <w:tcPr>
            <w:tcW w:w="1122" w:type="dxa"/>
            <w:noWrap/>
            <w:hideMark/>
          </w:tcPr>
          <w:p w14:paraId="2D5AB43B"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5</w:t>
            </w:r>
          </w:p>
        </w:tc>
        <w:tc>
          <w:tcPr>
            <w:tcW w:w="1122" w:type="dxa"/>
            <w:noWrap/>
            <w:hideMark/>
          </w:tcPr>
          <w:p w14:paraId="0BC0F44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469290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156EEF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w:t>
            </w:r>
          </w:p>
        </w:tc>
        <w:tc>
          <w:tcPr>
            <w:tcW w:w="1122" w:type="dxa"/>
            <w:noWrap/>
            <w:hideMark/>
          </w:tcPr>
          <w:p w14:paraId="0F197CC1"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w:t>
            </w:r>
          </w:p>
        </w:tc>
        <w:tc>
          <w:tcPr>
            <w:tcW w:w="1123" w:type="dxa"/>
            <w:noWrap/>
            <w:hideMark/>
          </w:tcPr>
          <w:p w14:paraId="5FD3AC7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w:t>
            </w:r>
          </w:p>
        </w:tc>
      </w:tr>
      <w:tr w:rsidR="00824F48" w:rsidRPr="00421152" w14:paraId="04655B1D" w14:textId="77777777" w:rsidTr="00BA0F3C">
        <w:tc>
          <w:tcPr>
            <w:tcW w:w="2930" w:type="dxa"/>
            <w:noWrap/>
            <w:hideMark/>
          </w:tcPr>
          <w:p w14:paraId="7CAAB81E"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Staff hiring and departure costs</w:t>
            </w:r>
          </w:p>
        </w:tc>
        <w:tc>
          <w:tcPr>
            <w:tcW w:w="1122" w:type="dxa"/>
            <w:noWrap/>
            <w:hideMark/>
          </w:tcPr>
          <w:p w14:paraId="3C664FFC"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25</w:t>
            </w:r>
          </w:p>
        </w:tc>
        <w:tc>
          <w:tcPr>
            <w:tcW w:w="1122" w:type="dxa"/>
            <w:noWrap/>
            <w:hideMark/>
          </w:tcPr>
          <w:p w14:paraId="3C173E6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2C1D6A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115</w:t>
            </w:r>
          </w:p>
        </w:tc>
        <w:tc>
          <w:tcPr>
            <w:tcW w:w="1122" w:type="dxa"/>
            <w:noWrap/>
            <w:hideMark/>
          </w:tcPr>
          <w:p w14:paraId="41557BD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140</w:t>
            </w:r>
          </w:p>
        </w:tc>
        <w:tc>
          <w:tcPr>
            <w:tcW w:w="1122" w:type="dxa"/>
            <w:noWrap/>
            <w:hideMark/>
          </w:tcPr>
          <w:p w14:paraId="077CF4E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35</w:t>
            </w:r>
          </w:p>
        </w:tc>
        <w:tc>
          <w:tcPr>
            <w:tcW w:w="1123" w:type="dxa"/>
            <w:noWrap/>
            <w:hideMark/>
          </w:tcPr>
          <w:p w14:paraId="5FCADBF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105</w:t>
            </w:r>
          </w:p>
        </w:tc>
      </w:tr>
      <w:tr w:rsidR="00824F48" w:rsidRPr="00421152" w14:paraId="0C3CB5C2" w14:textId="77777777" w:rsidTr="00BA0F3C">
        <w:tc>
          <w:tcPr>
            <w:tcW w:w="2930" w:type="dxa"/>
            <w:noWrap/>
            <w:hideMark/>
          </w:tcPr>
          <w:p w14:paraId="3F652CD8"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Travel</w:t>
            </w:r>
          </w:p>
        </w:tc>
        <w:tc>
          <w:tcPr>
            <w:tcW w:w="1122" w:type="dxa"/>
            <w:noWrap/>
            <w:hideMark/>
          </w:tcPr>
          <w:p w14:paraId="277634FC"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7CDB6B3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8ACAAE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325CB1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BEE1E4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390B941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777EADF6" w14:textId="77777777" w:rsidTr="00BA0F3C">
        <w:tc>
          <w:tcPr>
            <w:tcW w:w="2930" w:type="dxa"/>
            <w:noWrap/>
            <w:hideMark/>
          </w:tcPr>
          <w:p w14:paraId="10159BEF"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Ramsar Sites Information Service (maintanance and develop)</w:t>
            </w:r>
          </w:p>
        </w:tc>
        <w:tc>
          <w:tcPr>
            <w:tcW w:w="1122" w:type="dxa"/>
            <w:noWrap/>
            <w:hideMark/>
          </w:tcPr>
          <w:p w14:paraId="280BEC1A"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107</w:t>
            </w:r>
          </w:p>
        </w:tc>
        <w:tc>
          <w:tcPr>
            <w:tcW w:w="1122" w:type="dxa"/>
            <w:noWrap/>
            <w:hideMark/>
          </w:tcPr>
          <w:p w14:paraId="6C6D77D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E9B372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39F373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107</w:t>
            </w:r>
          </w:p>
        </w:tc>
        <w:tc>
          <w:tcPr>
            <w:tcW w:w="1122" w:type="dxa"/>
            <w:noWrap/>
            <w:hideMark/>
          </w:tcPr>
          <w:p w14:paraId="6E1642B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36</w:t>
            </w:r>
          </w:p>
        </w:tc>
        <w:tc>
          <w:tcPr>
            <w:tcW w:w="1123" w:type="dxa"/>
            <w:noWrap/>
            <w:hideMark/>
          </w:tcPr>
          <w:p w14:paraId="6709A15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71</w:t>
            </w:r>
          </w:p>
        </w:tc>
      </w:tr>
      <w:tr w:rsidR="00824F48" w:rsidRPr="00421152" w14:paraId="33C669B1" w14:textId="77777777" w:rsidTr="00BA0F3C">
        <w:tc>
          <w:tcPr>
            <w:tcW w:w="2930" w:type="dxa"/>
            <w:noWrap/>
            <w:hideMark/>
          </w:tcPr>
          <w:p w14:paraId="51E4BB24"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Web/IT support and Development</w:t>
            </w:r>
          </w:p>
        </w:tc>
        <w:tc>
          <w:tcPr>
            <w:tcW w:w="1122" w:type="dxa"/>
            <w:noWrap/>
            <w:hideMark/>
          </w:tcPr>
          <w:p w14:paraId="4EEC28D2"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110</w:t>
            </w:r>
          </w:p>
        </w:tc>
        <w:tc>
          <w:tcPr>
            <w:tcW w:w="1122" w:type="dxa"/>
            <w:noWrap/>
            <w:hideMark/>
          </w:tcPr>
          <w:p w14:paraId="54E6EAD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9CBF8D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1156B6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110</w:t>
            </w:r>
          </w:p>
        </w:tc>
        <w:tc>
          <w:tcPr>
            <w:tcW w:w="1122" w:type="dxa"/>
            <w:noWrap/>
            <w:hideMark/>
          </w:tcPr>
          <w:p w14:paraId="0DC6237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66</w:t>
            </w:r>
          </w:p>
        </w:tc>
        <w:tc>
          <w:tcPr>
            <w:tcW w:w="1123" w:type="dxa"/>
            <w:noWrap/>
            <w:hideMark/>
          </w:tcPr>
          <w:p w14:paraId="054B45E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44</w:t>
            </w:r>
          </w:p>
        </w:tc>
      </w:tr>
      <w:tr w:rsidR="00824F48" w:rsidRPr="00421152" w14:paraId="637A3383" w14:textId="77777777" w:rsidTr="00BA0F3C">
        <w:tc>
          <w:tcPr>
            <w:tcW w:w="2930" w:type="dxa"/>
            <w:shd w:val="clear" w:color="auto" w:fill="EAF1DD" w:themeFill="accent3" w:themeFillTint="33"/>
            <w:noWrap/>
            <w:hideMark/>
          </w:tcPr>
          <w:p w14:paraId="5DD187E9" w14:textId="6426C6D5"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H.</w:t>
            </w:r>
            <w:r w:rsidR="00E91F83" w:rsidRPr="00421152">
              <w:rPr>
                <w:rFonts w:asciiTheme="minorHAnsi" w:hAnsiTheme="minorHAnsi"/>
                <w:bCs/>
                <w:sz w:val="20"/>
                <w:szCs w:val="20"/>
              </w:rPr>
              <w:t xml:space="preserve"> </w:t>
            </w:r>
            <w:r w:rsidRPr="00421152">
              <w:rPr>
                <w:rFonts w:asciiTheme="minorHAnsi" w:hAnsiTheme="minorHAnsi"/>
                <w:bCs/>
                <w:sz w:val="20"/>
                <w:szCs w:val="20"/>
              </w:rPr>
              <w:t>Operating Costs</w:t>
            </w:r>
          </w:p>
        </w:tc>
        <w:tc>
          <w:tcPr>
            <w:tcW w:w="1122" w:type="dxa"/>
            <w:shd w:val="clear" w:color="auto" w:fill="EAF1DD" w:themeFill="accent3" w:themeFillTint="33"/>
            <w:noWrap/>
            <w:hideMark/>
          </w:tcPr>
          <w:p w14:paraId="4A57E2F7"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94</w:t>
            </w:r>
          </w:p>
        </w:tc>
        <w:tc>
          <w:tcPr>
            <w:tcW w:w="1122" w:type="dxa"/>
            <w:shd w:val="clear" w:color="auto" w:fill="EAF1DD" w:themeFill="accent3" w:themeFillTint="33"/>
            <w:noWrap/>
            <w:hideMark/>
          </w:tcPr>
          <w:p w14:paraId="28AAF819"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81</w:t>
            </w:r>
          </w:p>
        </w:tc>
        <w:tc>
          <w:tcPr>
            <w:tcW w:w="1122" w:type="dxa"/>
            <w:shd w:val="clear" w:color="auto" w:fill="EAF1DD" w:themeFill="accent3" w:themeFillTint="33"/>
            <w:noWrap/>
            <w:hideMark/>
          </w:tcPr>
          <w:p w14:paraId="41FC8CCE"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10B29DBF"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175</w:t>
            </w:r>
          </w:p>
        </w:tc>
        <w:tc>
          <w:tcPr>
            <w:tcW w:w="1122" w:type="dxa"/>
            <w:shd w:val="clear" w:color="auto" w:fill="EAF1DD" w:themeFill="accent3" w:themeFillTint="33"/>
            <w:noWrap/>
            <w:hideMark/>
          </w:tcPr>
          <w:p w14:paraId="2F5A52DF"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85</w:t>
            </w:r>
          </w:p>
        </w:tc>
        <w:tc>
          <w:tcPr>
            <w:tcW w:w="1123" w:type="dxa"/>
            <w:shd w:val="clear" w:color="auto" w:fill="EAF1DD" w:themeFill="accent3" w:themeFillTint="33"/>
            <w:noWrap/>
            <w:hideMark/>
          </w:tcPr>
          <w:p w14:paraId="372A0E7A"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90</w:t>
            </w:r>
          </w:p>
        </w:tc>
      </w:tr>
      <w:tr w:rsidR="00824F48" w:rsidRPr="00421152" w14:paraId="340C06BF" w14:textId="77777777" w:rsidTr="00BA0F3C">
        <w:tc>
          <w:tcPr>
            <w:tcW w:w="2930" w:type="dxa"/>
            <w:noWrap/>
            <w:hideMark/>
          </w:tcPr>
          <w:p w14:paraId="62171695"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General</w:t>
            </w:r>
          </w:p>
        </w:tc>
        <w:tc>
          <w:tcPr>
            <w:tcW w:w="1122" w:type="dxa"/>
            <w:noWrap/>
            <w:hideMark/>
          </w:tcPr>
          <w:p w14:paraId="2ACA44D9"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80</w:t>
            </w:r>
          </w:p>
        </w:tc>
        <w:tc>
          <w:tcPr>
            <w:tcW w:w="1122" w:type="dxa"/>
            <w:noWrap/>
            <w:hideMark/>
          </w:tcPr>
          <w:p w14:paraId="2CBFEFD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A607E4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2D9DAC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80</w:t>
            </w:r>
          </w:p>
        </w:tc>
        <w:tc>
          <w:tcPr>
            <w:tcW w:w="1122" w:type="dxa"/>
            <w:noWrap/>
            <w:hideMark/>
          </w:tcPr>
          <w:p w14:paraId="3AAA4AA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68</w:t>
            </w:r>
          </w:p>
        </w:tc>
        <w:tc>
          <w:tcPr>
            <w:tcW w:w="1123" w:type="dxa"/>
            <w:noWrap/>
            <w:hideMark/>
          </w:tcPr>
          <w:p w14:paraId="31FF8E8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12</w:t>
            </w:r>
          </w:p>
        </w:tc>
      </w:tr>
      <w:tr w:rsidR="00824F48" w:rsidRPr="00421152" w14:paraId="750670B1" w14:textId="77777777" w:rsidTr="00BA0F3C">
        <w:tc>
          <w:tcPr>
            <w:tcW w:w="2930" w:type="dxa"/>
            <w:noWrap/>
            <w:hideMark/>
          </w:tcPr>
          <w:p w14:paraId="4C6B9338"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Equipment/Office Supplies</w:t>
            </w:r>
          </w:p>
        </w:tc>
        <w:tc>
          <w:tcPr>
            <w:tcW w:w="1122" w:type="dxa"/>
            <w:noWrap/>
            <w:hideMark/>
          </w:tcPr>
          <w:p w14:paraId="55FBB04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14</w:t>
            </w:r>
          </w:p>
        </w:tc>
        <w:tc>
          <w:tcPr>
            <w:tcW w:w="1122" w:type="dxa"/>
            <w:noWrap/>
            <w:hideMark/>
          </w:tcPr>
          <w:p w14:paraId="33A63A9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0B23299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EFF8B8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14</w:t>
            </w:r>
          </w:p>
        </w:tc>
        <w:tc>
          <w:tcPr>
            <w:tcW w:w="1122" w:type="dxa"/>
            <w:noWrap/>
            <w:hideMark/>
          </w:tcPr>
          <w:p w14:paraId="0C9895A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17</w:t>
            </w:r>
          </w:p>
        </w:tc>
        <w:tc>
          <w:tcPr>
            <w:tcW w:w="1123" w:type="dxa"/>
            <w:noWrap/>
            <w:hideMark/>
          </w:tcPr>
          <w:p w14:paraId="54B313A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w:t>
            </w:r>
          </w:p>
        </w:tc>
      </w:tr>
      <w:tr w:rsidR="00824F48" w:rsidRPr="00421152" w14:paraId="6497D0AD" w14:textId="77777777" w:rsidTr="00BA0F3C">
        <w:tc>
          <w:tcPr>
            <w:tcW w:w="2930" w:type="dxa"/>
            <w:noWrap/>
            <w:hideMark/>
          </w:tcPr>
          <w:p w14:paraId="131E33E2"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Planning and Capacity building</w:t>
            </w:r>
          </w:p>
        </w:tc>
        <w:tc>
          <w:tcPr>
            <w:tcW w:w="1122" w:type="dxa"/>
            <w:noWrap/>
            <w:hideMark/>
          </w:tcPr>
          <w:p w14:paraId="08B92911"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2691AF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81</w:t>
            </w:r>
          </w:p>
        </w:tc>
        <w:tc>
          <w:tcPr>
            <w:tcW w:w="1122" w:type="dxa"/>
            <w:noWrap/>
            <w:hideMark/>
          </w:tcPr>
          <w:p w14:paraId="553D1D0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48F431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81</w:t>
            </w:r>
          </w:p>
        </w:tc>
        <w:tc>
          <w:tcPr>
            <w:tcW w:w="1122" w:type="dxa"/>
            <w:noWrap/>
            <w:hideMark/>
          </w:tcPr>
          <w:p w14:paraId="270E00B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3" w:type="dxa"/>
            <w:noWrap/>
            <w:hideMark/>
          </w:tcPr>
          <w:p w14:paraId="5F3DE57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81</w:t>
            </w:r>
          </w:p>
        </w:tc>
      </w:tr>
      <w:tr w:rsidR="00824F48" w:rsidRPr="00421152" w14:paraId="1E6746C0" w14:textId="77777777" w:rsidTr="00BA0F3C">
        <w:tc>
          <w:tcPr>
            <w:tcW w:w="2930" w:type="dxa"/>
            <w:shd w:val="clear" w:color="auto" w:fill="EAF1DD" w:themeFill="accent3" w:themeFillTint="33"/>
            <w:noWrap/>
            <w:hideMark/>
          </w:tcPr>
          <w:p w14:paraId="2F2D78A1" w14:textId="77777777"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I. Standing Committee Services</w:t>
            </w:r>
          </w:p>
        </w:tc>
        <w:tc>
          <w:tcPr>
            <w:tcW w:w="1122" w:type="dxa"/>
            <w:shd w:val="clear" w:color="auto" w:fill="EAF1DD" w:themeFill="accent3" w:themeFillTint="33"/>
            <w:noWrap/>
            <w:hideMark/>
          </w:tcPr>
          <w:p w14:paraId="7E799505"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150</w:t>
            </w:r>
          </w:p>
        </w:tc>
        <w:tc>
          <w:tcPr>
            <w:tcW w:w="1122" w:type="dxa"/>
            <w:shd w:val="clear" w:color="auto" w:fill="EAF1DD" w:themeFill="accent3" w:themeFillTint="33"/>
            <w:noWrap/>
            <w:hideMark/>
          </w:tcPr>
          <w:p w14:paraId="1956ED89"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32</w:t>
            </w:r>
          </w:p>
        </w:tc>
        <w:tc>
          <w:tcPr>
            <w:tcW w:w="1122" w:type="dxa"/>
            <w:shd w:val="clear" w:color="auto" w:fill="EAF1DD" w:themeFill="accent3" w:themeFillTint="33"/>
            <w:noWrap/>
            <w:hideMark/>
          </w:tcPr>
          <w:p w14:paraId="36E3590B"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4ADBBE48"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182</w:t>
            </w:r>
          </w:p>
        </w:tc>
        <w:tc>
          <w:tcPr>
            <w:tcW w:w="1122" w:type="dxa"/>
            <w:shd w:val="clear" w:color="auto" w:fill="EAF1DD" w:themeFill="accent3" w:themeFillTint="33"/>
            <w:noWrap/>
            <w:hideMark/>
          </w:tcPr>
          <w:p w14:paraId="6B1FAE57"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186</w:t>
            </w:r>
          </w:p>
        </w:tc>
        <w:tc>
          <w:tcPr>
            <w:tcW w:w="1123" w:type="dxa"/>
            <w:shd w:val="clear" w:color="auto" w:fill="EAF1DD" w:themeFill="accent3" w:themeFillTint="33"/>
            <w:noWrap/>
            <w:hideMark/>
          </w:tcPr>
          <w:p w14:paraId="397025CF"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(4)</w:t>
            </w:r>
          </w:p>
        </w:tc>
      </w:tr>
      <w:tr w:rsidR="00824F48" w:rsidRPr="00421152" w14:paraId="475AA656" w14:textId="77777777" w:rsidTr="00BA0F3C">
        <w:tc>
          <w:tcPr>
            <w:tcW w:w="2930" w:type="dxa"/>
            <w:noWrap/>
            <w:hideMark/>
          </w:tcPr>
          <w:p w14:paraId="7B11F156"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Standing Committee delegates’ support</w:t>
            </w:r>
          </w:p>
        </w:tc>
        <w:tc>
          <w:tcPr>
            <w:tcW w:w="1122" w:type="dxa"/>
            <w:noWrap/>
            <w:hideMark/>
          </w:tcPr>
          <w:p w14:paraId="7A647C48"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45</w:t>
            </w:r>
          </w:p>
        </w:tc>
        <w:tc>
          <w:tcPr>
            <w:tcW w:w="1122" w:type="dxa"/>
            <w:noWrap/>
            <w:hideMark/>
          </w:tcPr>
          <w:p w14:paraId="7C00C2B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43B3B0D"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(9)</w:t>
            </w:r>
          </w:p>
        </w:tc>
        <w:tc>
          <w:tcPr>
            <w:tcW w:w="1122" w:type="dxa"/>
            <w:noWrap/>
            <w:hideMark/>
          </w:tcPr>
          <w:p w14:paraId="2F5547B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36</w:t>
            </w:r>
          </w:p>
        </w:tc>
        <w:tc>
          <w:tcPr>
            <w:tcW w:w="1122" w:type="dxa"/>
            <w:noWrap/>
            <w:hideMark/>
          </w:tcPr>
          <w:p w14:paraId="75AC800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36</w:t>
            </w:r>
          </w:p>
        </w:tc>
        <w:tc>
          <w:tcPr>
            <w:tcW w:w="1123" w:type="dxa"/>
            <w:noWrap/>
            <w:hideMark/>
          </w:tcPr>
          <w:p w14:paraId="75B8A33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475496FC" w14:textId="77777777" w:rsidTr="00BA0F3C">
        <w:tc>
          <w:tcPr>
            <w:tcW w:w="2930" w:type="dxa"/>
            <w:noWrap/>
            <w:hideMark/>
          </w:tcPr>
          <w:p w14:paraId="7BAC08FB"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Standing Committee meetings</w:t>
            </w:r>
          </w:p>
        </w:tc>
        <w:tc>
          <w:tcPr>
            <w:tcW w:w="1122" w:type="dxa"/>
            <w:noWrap/>
            <w:hideMark/>
          </w:tcPr>
          <w:p w14:paraId="11E179ED"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10</w:t>
            </w:r>
          </w:p>
        </w:tc>
        <w:tc>
          <w:tcPr>
            <w:tcW w:w="1122" w:type="dxa"/>
            <w:noWrap/>
            <w:hideMark/>
          </w:tcPr>
          <w:p w14:paraId="120F2C9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B2DD51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9</w:t>
            </w:r>
          </w:p>
        </w:tc>
        <w:tc>
          <w:tcPr>
            <w:tcW w:w="1122" w:type="dxa"/>
            <w:noWrap/>
            <w:hideMark/>
          </w:tcPr>
          <w:p w14:paraId="5854134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19</w:t>
            </w:r>
          </w:p>
        </w:tc>
        <w:tc>
          <w:tcPr>
            <w:tcW w:w="1122" w:type="dxa"/>
            <w:noWrap/>
            <w:hideMark/>
          </w:tcPr>
          <w:p w14:paraId="2C74F28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19</w:t>
            </w:r>
          </w:p>
        </w:tc>
        <w:tc>
          <w:tcPr>
            <w:tcW w:w="1123" w:type="dxa"/>
            <w:noWrap/>
            <w:hideMark/>
          </w:tcPr>
          <w:p w14:paraId="1D89B79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r>
      <w:tr w:rsidR="00824F48" w:rsidRPr="00421152" w14:paraId="27FAD8EA" w14:textId="77777777" w:rsidTr="00BA0F3C">
        <w:tc>
          <w:tcPr>
            <w:tcW w:w="2930" w:type="dxa"/>
            <w:noWrap/>
            <w:hideMark/>
          </w:tcPr>
          <w:p w14:paraId="133122CF"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SC translation</w:t>
            </w:r>
          </w:p>
        </w:tc>
        <w:tc>
          <w:tcPr>
            <w:tcW w:w="1122" w:type="dxa"/>
            <w:noWrap/>
            <w:hideMark/>
          </w:tcPr>
          <w:p w14:paraId="5F1109D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60</w:t>
            </w:r>
          </w:p>
        </w:tc>
        <w:tc>
          <w:tcPr>
            <w:tcW w:w="1122" w:type="dxa"/>
            <w:noWrap/>
            <w:hideMark/>
          </w:tcPr>
          <w:p w14:paraId="2BB317C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0A4209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14</w:t>
            </w:r>
          </w:p>
        </w:tc>
        <w:tc>
          <w:tcPr>
            <w:tcW w:w="1122" w:type="dxa"/>
            <w:noWrap/>
            <w:hideMark/>
          </w:tcPr>
          <w:p w14:paraId="0383C90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74</w:t>
            </w:r>
          </w:p>
        </w:tc>
        <w:tc>
          <w:tcPr>
            <w:tcW w:w="1122" w:type="dxa"/>
            <w:noWrap/>
            <w:hideMark/>
          </w:tcPr>
          <w:p w14:paraId="71C4E36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75</w:t>
            </w:r>
          </w:p>
        </w:tc>
        <w:tc>
          <w:tcPr>
            <w:tcW w:w="1123" w:type="dxa"/>
            <w:noWrap/>
            <w:hideMark/>
          </w:tcPr>
          <w:p w14:paraId="2954743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w:t>
            </w:r>
          </w:p>
        </w:tc>
      </w:tr>
      <w:tr w:rsidR="00824F48" w:rsidRPr="00421152" w14:paraId="2885AE5D" w14:textId="77777777" w:rsidTr="00BA0F3C">
        <w:tc>
          <w:tcPr>
            <w:tcW w:w="2930" w:type="dxa"/>
            <w:noWrap/>
            <w:hideMark/>
          </w:tcPr>
          <w:p w14:paraId="5D6063AB"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Simultaneous interpretation at SC meetings</w:t>
            </w:r>
          </w:p>
        </w:tc>
        <w:tc>
          <w:tcPr>
            <w:tcW w:w="1122" w:type="dxa"/>
            <w:noWrap/>
            <w:hideMark/>
          </w:tcPr>
          <w:p w14:paraId="55DC8F1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35</w:t>
            </w:r>
          </w:p>
        </w:tc>
        <w:tc>
          <w:tcPr>
            <w:tcW w:w="1122" w:type="dxa"/>
            <w:noWrap/>
            <w:hideMark/>
          </w:tcPr>
          <w:p w14:paraId="0969EB0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F6B241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(4)</w:t>
            </w:r>
          </w:p>
        </w:tc>
        <w:tc>
          <w:tcPr>
            <w:tcW w:w="1122" w:type="dxa"/>
            <w:noWrap/>
            <w:hideMark/>
          </w:tcPr>
          <w:p w14:paraId="0C5391E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31</w:t>
            </w:r>
          </w:p>
        </w:tc>
        <w:tc>
          <w:tcPr>
            <w:tcW w:w="1122" w:type="dxa"/>
            <w:noWrap/>
            <w:hideMark/>
          </w:tcPr>
          <w:p w14:paraId="7D11B3D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38</w:t>
            </w:r>
          </w:p>
        </w:tc>
        <w:tc>
          <w:tcPr>
            <w:tcW w:w="1123" w:type="dxa"/>
            <w:noWrap/>
            <w:hideMark/>
          </w:tcPr>
          <w:p w14:paraId="2B2E412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(7)</w:t>
            </w:r>
          </w:p>
        </w:tc>
      </w:tr>
      <w:tr w:rsidR="00824F48" w:rsidRPr="00421152" w14:paraId="68D99623" w14:textId="77777777" w:rsidTr="00BA0F3C">
        <w:tc>
          <w:tcPr>
            <w:tcW w:w="2930" w:type="dxa"/>
            <w:noWrap/>
            <w:hideMark/>
          </w:tcPr>
          <w:p w14:paraId="2B7EE6AD"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Other meetings</w:t>
            </w:r>
          </w:p>
        </w:tc>
        <w:tc>
          <w:tcPr>
            <w:tcW w:w="1122" w:type="dxa"/>
            <w:noWrap/>
            <w:hideMark/>
          </w:tcPr>
          <w:p w14:paraId="3E6439DD"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60CA3E9"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32</w:t>
            </w:r>
          </w:p>
        </w:tc>
        <w:tc>
          <w:tcPr>
            <w:tcW w:w="1122" w:type="dxa"/>
            <w:noWrap/>
            <w:hideMark/>
          </w:tcPr>
          <w:p w14:paraId="4DF8E63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(10)</w:t>
            </w:r>
          </w:p>
        </w:tc>
        <w:tc>
          <w:tcPr>
            <w:tcW w:w="1122" w:type="dxa"/>
            <w:noWrap/>
            <w:hideMark/>
          </w:tcPr>
          <w:p w14:paraId="60A43A7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22</w:t>
            </w:r>
          </w:p>
        </w:tc>
        <w:tc>
          <w:tcPr>
            <w:tcW w:w="1122" w:type="dxa"/>
            <w:noWrap/>
            <w:hideMark/>
          </w:tcPr>
          <w:p w14:paraId="1763144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19</w:t>
            </w:r>
          </w:p>
        </w:tc>
        <w:tc>
          <w:tcPr>
            <w:tcW w:w="1123" w:type="dxa"/>
            <w:noWrap/>
            <w:hideMark/>
          </w:tcPr>
          <w:p w14:paraId="4F0E0B7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w:t>
            </w:r>
          </w:p>
        </w:tc>
      </w:tr>
      <w:tr w:rsidR="00824F48" w:rsidRPr="00421152" w14:paraId="227115FF" w14:textId="77777777" w:rsidTr="00BA0F3C">
        <w:tc>
          <w:tcPr>
            <w:tcW w:w="2930" w:type="dxa"/>
            <w:shd w:val="clear" w:color="auto" w:fill="EAF1DD" w:themeFill="accent3" w:themeFillTint="33"/>
            <w:hideMark/>
          </w:tcPr>
          <w:p w14:paraId="7E619D5E" w14:textId="1FA015B4"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J.</w:t>
            </w:r>
            <w:r w:rsidR="00E91F83" w:rsidRPr="00421152">
              <w:rPr>
                <w:rFonts w:asciiTheme="minorHAnsi" w:hAnsiTheme="minorHAnsi"/>
                <w:bCs/>
                <w:sz w:val="20"/>
                <w:szCs w:val="20"/>
              </w:rPr>
              <w:t xml:space="preserve"> </w:t>
            </w:r>
            <w:r w:rsidRPr="00421152">
              <w:rPr>
                <w:rFonts w:asciiTheme="minorHAnsi" w:hAnsiTheme="minorHAnsi"/>
                <w:bCs/>
                <w:sz w:val="20"/>
                <w:szCs w:val="20"/>
              </w:rPr>
              <w:t>IUCN Administrative Service Charges (maximum)</w:t>
            </w:r>
          </w:p>
        </w:tc>
        <w:tc>
          <w:tcPr>
            <w:tcW w:w="1122" w:type="dxa"/>
            <w:shd w:val="clear" w:color="auto" w:fill="EAF1DD" w:themeFill="accent3" w:themeFillTint="33"/>
            <w:noWrap/>
            <w:hideMark/>
          </w:tcPr>
          <w:p w14:paraId="01DF2B7E"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560</w:t>
            </w:r>
          </w:p>
        </w:tc>
        <w:tc>
          <w:tcPr>
            <w:tcW w:w="1122" w:type="dxa"/>
            <w:shd w:val="clear" w:color="auto" w:fill="EAF1DD" w:themeFill="accent3" w:themeFillTint="33"/>
            <w:noWrap/>
            <w:hideMark/>
          </w:tcPr>
          <w:p w14:paraId="69943C7D"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76E17EB2"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15</w:t>
            </w:r>
          </w:p>
        </w:tc>
        <w:tc>
          <w:tcPr>
            <w:tcW w:w="1122" w:type="dxa"/>
            <w:shd w:val="clear" w:color="auto" w:fill="EAF1DD" w:themeFill="accent3" w:themeFillTint="33"/>
            <w:noWrap/>
            <w:hideMark/>
          </w:tcPr>
          <w:p w14:paraId="43C66A1A"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575</w:t>
            </w:r>
          </w:p>
        </w:tc>
        <w:tc>
          <w:tcPr>
            <w:tcW w:w="1122" w:type="dxa"/>
            <w:shd w:val="clear" w:color="auto" w:fill="EAF1DD" w:themeFill="accent3" w:themeFillTint="33"/>
            <w:noWrap/>
            <w:hideMark/>
          </w:tcPr>
          <w:p w14:paraId="2DE12F9A"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590</w:t>
            </w:r>
          </w:p>
        </w:tc>
        <w:tc>
          <w:tcPr>
            <w:tcW w:w="1123" w:type="dxa"/>
            <w:shd w:val="clear" w:color="auto" w:fill="EAF1DD" w:themeFill="accent3" w:themeFillTint="33"/>
            <w:noWrap/>
            <w:hideMark/>
          </w:tcPr>
          <w:p w14:paraId="32EBFDB7"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(15)</w:t>
            </w:r>
          </w:p>
        </w:tc>
      </w:tr>
      <w:tr w:rsidR="00824F48" w:rsidRPr="00421152" w14:paraId="514D9F9B" w14:textId="77777777" w:rsidTr="00BA0F3C">
        <w:tc>
          <w:tcPr>
            <w:tcW w:w="2930" w:type="dxa"/>
            <w:noWrap/>
            <w:hideMark/>
          </w:tcPr>
          <w:p w14:paraId="67659A2C"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Administration, Human Resources, Finance &amp; IT services</w:t>
            </w:r>
          </w:p>
        </w:tc>
        <w:tc>
          <w:tcPr>
            <w:tcW w:w="1122" w:type="dxa"/>
            <w:noWrap/>
            <w:hideMark/>
          </w:tcPr>
          <w:p w14:paraId="3FD86F36"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560</w:t>
            </w:r>
          </w:p>
        </w:tc>
        <w:tc>
          <w:tcPr>
            <w:tcW w:w="1122" w:type="dxa"/>
            <w:noWrap/>
            <w:hideMark/>
          </w:tcPr>
          <w:p w14:paraId="6D2F53A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BA993EC"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15</w:t>
            </w:r>
          </w:p>
        </w:tc>
        <w:tc>
          <w:tcPr>
            <w:tcW w:w="1122" w:type="dxa"/>
            <w:noWrap/>
            <w:hideMark/>
          </w:tcPr>
          <w:p w14:paraId="439CA59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575</w:t>
            </w:r>
          </w:p>
        </w:tc>
        <w:tc>
          <w:tcPr>
            <w:tcW w:w="1122" w:type="dxa"/>
            <w:noWrap/>
            <w:hideMark/>
          </w:tcPr>
          <w:p w14:paraId="6B8A72EA"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590</w:t>
            </w:r>
          </w:p>
        </w:tc>
        <w:tc>
          <w:tcPr>
            <w:tcW w:w="1123" w:type="dxa"/>
            <w:noWrap/>
            <w:hideMark/>
          </w:tcPr>
          <w:p w14:paraId="3967770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(15)</w:t>
            </w:r>
          </w:p>
        </w:tc>
      </w:tr>
      <w:tr w:rsidR="00824F48" w:rsidRPr="00421152" w14:paraId="20E7B938" w14:textId="77777777" w:rsidTr="00BA0F3C">
        <w:tc>
          <w:tcPr>
            <w:tcW w:w="2930" w:type="dxa"/>
            <w:shd w:val="clear" w:color="auto" w:fill="EAF1DD" w:themeFill="accent3" w:themeFillTint="33"/>
            <w:noWrap/>
            <w:hideMark/>
          </w:tcPr>
          <w:p w14:paraId="29F0DE44" w14:textId="0D39B957"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K.</w:t>
            </w:r>
            <w:r w:rsidR="00E91F83" w:rsidRPr="00421152">
              <w:rPr>
                <w:rFonts w:asciiTheme="minorHAnsi" w:hAnsiTheme="minorHAnsi"/>
                <w:bCs/>
                <w:sz w:val="20"/>
                <w:szCs w:val="20"/>
              </w:rPr>
              <w:t xml:space="preserve"> </w:t>
            </w:r>
            <w:r w:rsidRPr="00421152">
              <w:rPr>
                <w:rFonts w:asciiTheme="minorHAnsi" w:hAnsiTheme="minorHAnsi"/>
                <w:bCs/>
                <w:sz w:val="20"/>
                <w:szCs w:val="20"/>
              </w:rPr>
              <w:t>Miscellaneous - Reserve Fund</w:t>
            </w:r>
          </w:p>
        </w:tc>
        <w:tc>
          <w:tcPr>
            <w:tcW w:w="1122" w:type="dxa"/>
            <w:shd w:val="clear" w:color="auto" w:fill="EAF1DD" w:themeFill="accent3" w:themeFillTint="33"/>
            <w:noWrap/>
            <w:hideMark/>
          </w:tcPr>
          <w:p w14:paraId="188BB231" w14:textId="77777777" w:rsidR="00D206C3" w:rsidRPr="004C504A" w:rsidRDefault="00D206C3" w:rsidP="00D206C3">
            <w:pPr>
              <w:pStyle w:val="NoSpacing"/>
              <w:ind w:left="0"/>
              <w:jc w:val="right"/>
              <w:rPr>
                <w:rFonts w:asciiTheme="minorHAnsi" w:hAnsiTheme="minorHAnsi"/>
                <w:bCs/>
                <w:spacing w:val="-4"/>
                <w:sz w:val="20"/>
                <w:szCs w:val="20"/>
              </w:rPr>
            </w:pPr>
            <w:r w:rsidRPr="004C504A">
              <w:rPr>
                <w:rFonts w:asciiTheme="minorHAnsi" w:hAnsiTheme="minorHAnsi"/>
                <w:bCs/>
                <w:spacing w:val="-4"/>
                <w:sz w:val="20"/>
                <w:szCs w:val="20"/>
              </w:rPr>
              <w:t>110</w:t>
            </w:r>
          </w:p>
        </w:tc>
        <w:tc>
          <w:tcPr>
            <w:tcW w:w="1122" w:type="dxa"/>
            <w:shd w:val="clear" w:color="auto" w:fill="EAF1DD" w:themeFill="accent3" w:themeFillTint="33"/>
            <w:noWrap/>
            <w:hideMark/>
          </w:tcPr>
          <w:p w14:paraId="423FD353"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259AE29B"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EAF1DD" w:themeFill="accent3" w:themeFillTint="33"/>
            <w:noWrap/>
            <w:hideMark/>
          </w:tcPr>
          <w:p w14:paraId="41F42AC7"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110</w:t>
            </w:r>
          </w:p>
        </w:tc>
        <w:tc>
          <w:tcPr>
            <w:tcW w:w="1122" w:type="dxa"/>
            <w:shd w:val="clear" w:color="auto" w:fill="EAF1DD" w:themeFill="accent3" w:themeFillTint="33"/>
            <w:noWrap/>
            <w:hideMark/>
          </w:tcPr>
          <w:p w14:paraId="4F19DF4C"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61</w:t>
            </w:r>
          </w:p>
        </w:tc>
        <w:tc>
          <w:tcPr>
            <w:tcW w:w="1123" w:type="dxa"/>
            <w:shd w:val="clear" w:color="auto" w:fill="EAF1DD" w:themeFill="accent3" w:themeFillTint="33"/>
            <w:noWrap/>
            <w:hideMark/>
          </w:tcPr>
          <w:p w14:paraId="2E9839A2"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49</w:t>
            </w:r>
          </w:p>
        </w:tc>
      </w:tr>
      <w:tr w:rsidR="00824F48" w:rsidRPr="00421152" w14:paraId="142FA87A" w14:textId="77777777" w:rsidTr="00BA0F3C">
        <w:tc>
          <w:tcPr>
            <w:tcW w:w="2930" w:type="dxa"/>
            <w:noWrap/>
            <w:hideMark/>
          </w:tcPr>
          <w:p w14:paraId="74B96A1D"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Provisions</w:t>
            </w:r>
          </w:p>
        </w:tc>
        <w:tc>
          <w:tcPr>
            <w:tcW w:w="1122" w:type="dxa"/>
            <w:noWrap/>
            <w:hideMark/>
          </w:tcPr>
          <w:p w14:paraId="0828D366"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50</w:t>
            </w:r>
          </w:p>
        </w:tc>
        <w:tc>
          <w:tcPr>
            <w:tcW w:w="1122" w:type="dxa"/>
            <w:noWrap/>
            <w:hideMark/>
          </w:tcPr>
          <w:p w14:paraId="2142A31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4772AD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AB3DF5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50</w:t>
            </w:r>
          </w:p>
        </w:tc>
        <w:tc>
          <w:tcPr>
            <w:tcW w:w="1122" w:type="dxa"/>
            <w:noWrap/>
            <w:hideMark/>
          </w:tcPr>
          <w:p w14:paraId="218ACC0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(1)</w:t>
            </w:r>
          </w:p>
        </w:tc>
        <w:tc>
          <w:tcPr>
            <w:tcW w:w="1123" w:type="dxa"/>
            <w:noWrap/>
            <w:hideMark/>
          </w:tcPr>
          <w:p w14:paraId="64C27C83"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51</w:t>
            </w:r>
          </w:p>
        </w:tc>
      </w:tr>
      <w:tr w:rsidR="00824F48" w:rsidRPr="00421152" w14:paraId="201A74D1" w14:textId="77777777" w:rsidTr="00BA0F3C">
        <w:tc>
          <w:tcPr>
            <w:tcW w:w="2930" w:type="dxa"/>
            <w:noWrap/>
            <w:hideMark/>
          </w:tcPr>
          <w:p w14:paraId="035EFF9B"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Exchange rate gains / losses</w:t>
            </w:r>
          </w:p>
        </w:tc>
        <w:tc>
          <w:tcPr>
            <w:tcW w:w="1122" w:type="dxa"/>
            <w:noWrap/>
            <w:hideMark/>
          </w:tcPr>
          <w:p w14:paraId="6E808205"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5308FA2B"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1A72234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27C13F7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3BAC0FF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33</w:t>
            </w:r>
          </w:p>
        </w:tc>
        <w:tc>
          <w:tcPr>
            <w:tcW w:w="1123" w:type="dxa"/>
            <w:noWrap/>
            <w:hideMark/>
          </w:tcPr>
          <w:p w14:paraId="52EE6EB8"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(33)</w:t>
            </w:r>
          </w:p>
        </w:tc>
      </w:tr>
      <w:tr w:rsidR="00824F48" w:rsidRPr="00421152" w14:paraId="698EB78E" w14:textId="77777777" w:rsidTr="00BA0F3C">
        <w:tc>
          <w:tcPr>
            <w:tcW w:w="2930" w:type="dxa"/>
            <w:noWrap/>
            <w:hideMark/>
          </w:tcPr>
          <w:p w14:paraId="320045F3"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Legal Services</w:t>
            </w:r>
          </w:p>
        </w:tc>
        <w:tc>
          <w:tcPr>
            <w:tcW w:w="1122" w:type="dxa"/>
            <w:noWrap/>
            <w:hideMark/>
          </w:tcPr>
          <w:p w14:paraId="4F8854D1" w14:textId="77777777" w:rsidR="00D206C3" w:rsidRPr="004C504A" w:rsidRDefault="00D206C3" w:rsidP="00D206C3">
            <w:pPr>
              <w:pStyle w:val="NoSpacing"/>
              <w:ind w:left="0"/>
              <w:jc w:val="right"/>
              <w:rPr>
                <w:rFonts w:asciiTheme="minorHAnsi" w:hAnsiTheme="minorHAnsi"/>
                <w:spacing w:val="-4"/>
                <w:sz w:val="20"/>
                <w:szCs w:val="20"/>
              </w:rPr>
            </w:pPr>
            <w:r w:rsidRPr="004C504A">
              <w:rPr>
                <w:rFonts w:asciiTheme="minorHAnsi" w:hAnsiTheme="minorHAnsi"/>
                <w:spacing w:val="-4"/>
                <w:sz w:val="20"/>
                <w:szCs w:val="20"/>
              </w:rPr>
              <w:t>60</w:t>
            </w:r>
          </w:p>
        </w:tc>
        <w:tc>
          <w:tcPr>
            <w:tcW w:w="1122" w:type="dxa"/>
            <w:noWrap/>
            <w:hideMark/>
          </w:tcPr>
          <w:p w14:paraId="3C2AB21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4CFEDFDE"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0</w:t>
            </w:r>
          </w:p>
        </w:tc>
        <w:tc>
          <w:tcPr>
            <w:tcW w:w="1122" w:type="dxa"/>
            <w:noWrap/>
            <w:hideMark/>
          </w:tcPr>
          <w:p w14:paraId="68DF145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60</w:t>
            </w:r>
          </w:p>
        </w:tc>
        <w:tc>
          <w:tcPr>
            <w:tcW w:w="1122" w:type="dxa"/>
            <w:noWrap/>
            <w:hideMark/>
          </w:tcPr>
          <w:p w14:paraId="511D80B7"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29</w:t>
            </w:r>
          </w:p>
        </w:tc>
        <w:tc>
          <w:tcPr>
            <w:tcW w:w="1123" w:type="dxa"/>
            <w:noWrap/>
            <w:hideMark/>
          </w:tcPr>
          <w:p w14:paraId="73DFBE2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31</w:t>
            </w:r>
          </w:p>
        </w:tc>
      </w:tr>
      <w:tr w:rsidR="00824F48" w:rsidRPr="00421152" w14:paraId="6A137440" w14:textId="77777777" w:rsidTr="00BA0F3C">
        <w:tc>
          <w:tcPr>
            <w:tcW w:w="2930" w:type="dxa"/>
            <w:shd w:val="clear" w:color="auto" w:fill="D6E3BC" w:themeFill="accent3" w:themeFillTint="66"/>
            <w:noWrap/>
            <w:hideMark/>
          </w:tcPr>
          <w:p w14:paraId="2324B740" w14:textId="77777777" w:rsidR="00D206C3" w:rsidRPr="00421152" w:rsidRDefault="00D206C3" w:rsidP="00D206C3">
            <w:pPr>
              <w:pStyle w:val="NoSpacing"/>
              <w:ind w:left="0" w:firstLine="0"/>
              <w:rPr>
                <w:rFonts w:asciiTheme="minorHAnsi" w:hAnsiTheme="minorHAnsi"/>
                <w:bCs/>
                <w:sz w:val="20"/>
                <w:szCs w:val="20"/>
              </w:rPr>
            </w:pPr>
            <w:r w:rsidRPr="00421152">
              <w:rPr>
                <w:rFonts w:asciiTheme="minorHAnsi" w:hAnsiTheme="minorHAnsi"/>
                <w:bCs/>
                <w:sz w:val="20"/>
                <w:szCs w:val="20"/>
              </w:rPr>
              <w:t>TOTAL EXPENDITURES</w:t>
            </w:r>
          </w:p>
        </w:tc>
        <w:tc>
          <w:tcPr>
            <w:tcW w:w="1122" w:type="dxa"/>
            <w:shd w:val="clear" w:color="auto" w:fill="D6E3BC" w:themeFill="accent3" w:themeFillTint="66"/>
            <w:noWrap/>
            <w:hideMark/>
          </w:tcPr>
          <w:p w14:paraId="5296E4F8"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5,081</w:t>
            </w:r>
          </w:p>
        </w:tc>
        <w:tc>
          <w:tcPr>
            <w:tcW w:w="1122" w:type="dxa"/>
            <w:shd w:val="clear" w:color="auto" w:fill="D6E3BC" w:themeFill="accent3" w:themeFillTint="66"/>
            <w:noWrap/>
            <w:hideMark/>
          </w:tcPr>
          <w:p w14:paraId="01DAEC51"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414</w:t>
            </w:r>
          </w:p>
        </w:tc>
        <w:tc>
          <w:tcPr>
            <w:tcW w:w="1122" w:type="dxa"/>
            <w:shd w:val="clear" w:color="auto" w:fill="D6E3BC" w:themeFill="accent3" w:themeFillTint="66"/>
            <w:noWrap/>
            <w:hideMark/>
          </w:tcPr>
          <w:p w14:paraId="46A89A52"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0</w:t>
            </w:r>
          </w:p>
        </w:tc>
        <w:tc>
          <w:tcPr>
            <w:tcW w:w="1122" w:type="dxa"/>
            <w:shd w:val="clear" w:color="auto" w:fill="D6E3BC" w:themeFill="accent3" w:themeFillTint="66"/>
            <w:noWrap/>
            <w:hideMark/>
          </w:tcPr>
          <w:p w14:paraId="4D350CCA"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5,495</w:t>
            </w:r>
          </w:p>
        </w:tc>
        <w:tc>
          <w:tcPr>
            <w:tcW w:w="1122" w:type="dxa"/>
            <w:shd w:val="clear" w:color="auto" w:fill="D6E3BC" w:themeFill="accent3" w:themeFillTint="66"/>
            <w:noWrap/>
            <w:hideMark/>
          </w:tcPr>
          <w:p w14:paraId="0738796D"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4,676</w:t>
            </w:r>
          </w:p>
        </w:tc>
        <w:tc>
          <w:tcPr>
            <w:tcW w:w="1123" w:type="dxa"/>
            <w:shd w:val="clear" w:color="auto" w:fill="D6E3BC" w:themeFill="accent3" w:themeFillTint="66"/>
            <w:noWrap/>
            <w:hideMark/>
          </w:tcPr>
          <w:p w14:paraId="1C970E7C" w14:textId="77777777" w:rsidR="00D206C3" w:rsidRPr="004C504A" w:rsidRDefault="00D206C3" w:rsidP="00D206C3">
            <w:pPr>
              <w:pStyle w:val="NoSpacing"/>
              <w:ind w:left="0" w:firstLine="0"/>
              <w:jc w:val="right"/>
              <w:rPr>
                <w:rFonts w:asciiTheme="minorHAnsi" w:hAnsiTheme="minorHAnsi"/>
                <w:bCs/>
                <w:spacing w:val="-4"/>
                <w:sz w:val="20"/>
                <w:szCs w:val="20"/>
              </w:rPr>
            </w:pPr>
            <w:r w:rsidRPr="004C504A">
              <w:rPr>
                <w:rFonts w:asciiTheme="minorHAnsi" w:hAnsiTheme="minorHAnsi"/>
                <w:bCs/>
                <w:spacing w:val="-4"/>
                <w:sz w:val="20"/>
                <w:szCs w:val="20"/>
              </w:rPr>
              <w:t>819</w:t>
            </w:r>
          </w:p>
        </w:tc>
      </w:tr>
      <w:tr w:rsidR="00824F48" w:rsidRPr="00421152" w14:paraId="3C5A9716" w14:textId="77777777" w:rsidTr="00BA0F3C">
        <w:tc>
          <w:tcPr>
            <w:tcW w:w="2930" w:type="dxa"/>
            <w:noWrap/>
            <w:hideMark/>
          </w:tcPr>
          <w:p w14:paraId="075FA6DA" w14:textId="77777777" w:rsidR="00D206C3" w:rsidRPr="00421152" w:rsidRDefault="00D206C3" w:rsidP="00D206C3">
            <w:pPr>
              <w:pStyle w:val="NoSpacing"/>
              <w:ind w:left="0" w:firstLine="0"/>
              <w:rPr>
                <w:rFonts w:asciiTheme="minorHAnsi" w:hAnsiTheme="minorHAnsi"/>
                <w:sz w:val="20"/>
                <w:szCs w:val="20"/>
              </w:rPr>
            </w:pPr>
            <w:r w:rsidRPr="00421152">
              <w:rPr>
                <w:rFonts w:asciiTheme="minorHAnsi" w:hAnsiTheme="minorHAnsi"/>
                <w:sz w:val="20"/>
                <w:szCs w:val="20"/>
              </w:rPr>
              <w:t> </w:t>
            </w:r>
          </w:p>
        </w:tc>
        <w:tc>
          <w:tcPr>
            <w:tcW w:w="1122" w:type="dxa"/>
            <w:noWrap/>
            <w:hideMark/>
          </w:tcPr>
          <w:p w14:paraId="7B90A660"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 </w:t>
            </w:r>
          </w:p>
        </w:tc>
        <w:tc>
          <w:tcPr>
            <w:tcW w:w="1122" w:type="dxa"/>
            <w:noWrap/>
            <w:hideMark/>
          </w:tcPr>
          <w:p w14:paraId="774B9F04"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 </w:t>
            </w:r>
          </w:p>
        </w:tc>
        <w:tc>
          <w:tcPr>
            <w:tcW w:w="1122" w:type="dxa"/>
            <w:noWrap/>
            <w:hideMark/>
          </w:tcPr>
          <w:p w14:paraId="2B205D42"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 </w:t>
            </w:r>
          </w:p>
        </w:tc>
        <w:tc>
          <w:tcPr>
            <w:tcW w:w="1122" w:type="dxa"/>
            <w:noWrap/>
            <w:hideMark/>
          </w:tcPr>
          <w:p w14:paraId="13A669BF"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 </w:t>
            </w:r>
          </w:p>
        </w:tc>
        <w:tc>
          <w:tcPr>
            <w:tcW w:w="1122" w:type="dxa"/>
            <w:noWrap/>
            <w:hideMark/>
          </w:tcPr>
          <w:p w14:paraId="723383C6"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 </w:t>
            </w:r>
          </w:p>
        </w:tc>
        <w:tc>
          <w:tcPr>
            <w:tcW w:w="1123" w:type="dxa"/>
            <w:noWrap/>
            <w:hideMark/>
          </w:tcPr>
          <w:p w14:paraId="3D533665" w14:textId="77777777" w:rsidR="00D206C3" w:rsidRPr="004C504A" w:rsidRDefault="00D206C3" w:rsidP="00D206C3">
            <w:pPr>
              <w:pStyle w:val="NoSpacing"/>
              <w:ind w:left="0" w:firstLine="0"/>
              <w:jc w:val="right"/>
              <w:rPr>
                <w:rFonts w:asciiTheme="minorHAnsi" w:hAnsiTheme="minorHAnsi"/>
                <w:spacing w:val="-4"/>
                <w:sz w:val="20"/>
                <w:szCs w:val="20"/>
              </w:rPr>
            </w:pPr>
            <w:r w:rsidRPr="004C504A">
              <w:rPr>
                <w:rFonts w:asciiTheme="minorHAnsi" w:hAnsiTheme="minorHAnsi"/>
                <w:spacing w:val="-4"/>
                <w:sz w:val="20"/>
                <w:szCs w:val="20"/>
              </w:rPr>
              <w:t> </w:t>
            </w:r>
          </w:p>
        </w:tc>
      </w:tr>
      <w:tr w:rsidR="00824F48" w:rsidRPr="00421152" w14:paraId="6344B675" w14:textId="77777777" w:rsidTr="00BA0F3C">
        <w:tc>
          <w:tcPr>
            <w:tcW w:w="2930" w:type="dxa"/>
            <w:shd w:val="clear" w:color="auto" w:fill="D6E3BC" w:themeFill="accent3" w:themeFillTint="66"/>
            <w:hideMark/>
          </w:tcPr>
          <w:p w14:paraId="7A62EB06" w14:textId="77777777" w:rsidR="00D206C3" w:rsidRPr="00421152" w:rsidRDefault="00D206C3" w:rsidP="00D206C3">
            <w:pPr>
              <w:pStyle w:val="NoSpacing"/>
              <w:ind w:left="0" w:firstLine="0"/>
              <w:rPr>
                <w:rFonts w:asciiTheme="minorHAnsi" w:hAnsiTheme="minorHAnsi"/>
                <w:b/>
                <w:bCs/>
                <w:sz w:val="20"/>
                <w:szCs w:val="20"/>
              </w:rPr>
            </w:pPr>
            <w:r w:rsidRPr="00421152">
              <w:rPr>
                <w:rFonts w:asciiTheme="minorHAnsi" w:hAnsiTheme="minorHAnsi"/>
                <w:b/>
                <w:bCs/>
                <w:sz w:val="20"/>
                <w:szCs w:val="20"/>
              </w:rPr>
              <w:t>SURPLUS/(DEFICIT) [Includes authorised use of surplus]</w:t>
            </w:r>
          </w:p>
        </w:tc>
        <w:tc>
          <w:tcPr>
            <w:tcW w:w="1122" w:type="dxa"/>
            <w:shd w:val="clear" w:color="auto" w:fill="D6E3BC" w:themeFill="accent3" w:themeFillTint="66"/>
            <w:noWrap/>
            <w:hideMark/>
          </w:tcPr>
          <w:p w14:paraId="3FDF42AF"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shd w:val="clear" w:color="auto" w:fill="D6E3BC" w:themeFill="accent3" w:themeFillTint="66"/>
            <w:noWrap/>
            <w:hideMark/>
          </w:tcPr>
          <w:p w14:paraId="730E1700"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shd w:val="clear" w:color="auto" w:fill="D6E3BC" w:themeFill="accent3" w:themeFillTint="66"/>
            <w:noWrap/>
            <w:hideMark/>
          </w:tcPr>
          <w:p w14:paraId="7E955C9F"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shd w:val="clear" w:color="auto" w:fill="D6E3BC" w:themeFill="accent3" w:themeFillTint="66"/>
            <w:noWrap/>
            <w:hideMark/>
          </w:tcPr>
          <w:p w14:paraId="430F4941"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 </w:t>
            </w:r>
          </w:p>
        </w:tc>
        <w:tc>
          <w:tcPr>
            <w:tcW w:w="1122" w:type="dxa"/>
            <w:shd w:val="clear" w:color="auto" w:fill="D6E3BC" w:themeFill="accent3" w:themeFillTint="66"/>
            <w:noWrap/>
            <w:hideMark/>
          </w:tcPr>
          <w:p w14:paraId="3C7A2871"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395</w:t>
            </w:r>
          </w:p>
        </w:tc>
        <w:tc>
          <w:tcPr>
            <w:tcW w:w="1123" w:type="dxa"/>
            <w:shd w:val="clear" w:color="auto" w:fill="D6E3BC" w:themeFill="accent3" w:themeFillTint="66"/>
            <w:noWrap/>
            <w:hideMark/>
          </w:tcPr>
          <w:p w14:paraId="356E4B1F" w14:textId="77777777" w:rsidR="00D206C3" w:rsidRPr="004C504A" w:rsidRDefault="00D206C3" w:rsidP="00D206C3">
            <w:pPr>
              <w:pStyle w:val="NoSpacing"/>
              <w:ind w:left="0" w:firstLine="0"/>
              <w:jc w:val="right"/>
              <w:rPr>
                <w:rFonts w:asciiTheme="minorHAnsi" w:hAnsiTheme="minorHAnsi"/>
                <w:b/>
                <w:bCs/>
                <w:spacing w:val="-4"/>
                <w:sz w:val="20"/>
                <w:szCs w:val="20"/>
              </w:rPr>
            </w:pPr>
            <w:r w:rsidRPr="004C504A">
              <w:rPr>
                <w:rFonts w:asciiTheme="minorHAnsi" w:hAnsiTheme="minorHAnsi"/>
                <w:b/>
                <w:bCs/>
                <w:spacing w:val="-4"/>
                <w:sz w:val="20"/>
                <w:szCs w:val="20"/>
              </w:rPr>
              <w:t>809</w:t>
            </w:r>
          </w:p>
        </w:tc>
      </w:tr>
    </w:tbl>
    <w:p w14:paraId="07BDF180" w14:textId="77777777" w:rsidR="00D206C3" w:rsidRPr="00421152" w:rsidRDefault="00D206C3" w:rsidP="00633DD5">
      <w:pPr>
        <w:pStyle w:val="NoSpacing"/>
        <w:ind w:left="0" w:firstLine="0"/>
        <w:rPr>
          <w:b/>
        </w:rPr>
      </w:pPr>
    </w:p>
    <w:p w14:paraId="2F3728BF" w14:textId="3B562739" w:rsidR="00D73142" w:rsidRPr="00421152" w:rsidRDefault="00D73142" w:rsidP="001855E9">
      <w:pPr>
        <w:rPr>
          <w:b/>
        </w:rPr>
      </w:pPr>
    </w:p>
    <w:p w14:paraId="7FAD07E0" w14:textId="05341766" w:rsidR="00C17496" w:rsidRPr="00421152" w:rsidRDefault="00C17496" w:rsidP="009364F7">
      <w:pPr>
        <w:ind w:left="0" w:firstLine="0"/>
        <w:rPr>
          <w:rFonts w:asciiTheme="minorHAnsi" w:eastAsia="Times New Roman" w:hAnsiTheme="minorHAnsi" w:cs="Arial"/>
          <w:b/>
          <w:bCs/>
          <w:sz w:val="24"/>
          <w:szCs w:val="24"/>
          <w:lang w:eastAsia="en-GB"/>
        </w:rPr>
      </w:pPr>
    </w:p>
    <w:p w14:paraId="7B79220B" w14:textId="77777777" w:rsidR="0074567B" w:rsidRPr="00421152" w:rsidRDefault="0074567B">
      <w:pPr>
        <w:rPr>
          <w:rFonts w:asciiTheme="minorHAnsi" w:eastAsia="Times New Roman" w:hAnsiTheme="minorHAnsi" w:cs="Arial"/>
          <w:b/>
          <w:bCs/>
          <w:sz w:val="24"/>
          <w:szCs w:val="24"/>
          <w:lang w:eastAsia="en-GB"/>
        </w:rPr>
      </w:pPr>
      <w:r w:rsidRPr="00421152">
        <w:rPr>
          <w:rFonts w:asciiTheme="minorHAnsi" w:eastAsia="Times New Roman" w:hAnsiTheme="minorHAnsi" w:cs="Arial"/>
          <w:b/>
          <w:bCs/>
          <w:sz w:val="24"/>
          <w:szCs w:val="24"/>
          <w:lang w:eastAsia="en-GB"/>
        </w:rPr>
        <w:br w:type="page"/>
      </w:r>
    </w:p>
    <w:p w14:paraId="0B2A0F52" w14:textId="77777777" w:rsidR="00BA0F3C" w:rsidRDefault="001458BE" w:rsidP="006D37D1">
      <w:pPr>
        <w:pBdr>
          <w:right w:val="single" w:sz="4" w:space="1" w:color="auto"/>
        </w:pBdr>
        <w:ind w:left="0" w:firstLine="0"/>
        <w:rPr>
          <w:rFonts w:asciiTheme="minorHAnsi" w:eastAsia="Times New Roman" w:hAnsiTheme="minorHAnsi" w:cs="Arial"/>
          <w:b/>
          <w:bCs/>
          <w:sz w:val="24"/>
          <w:szCs w:val="24"/>
          <w:lang w:eastAsia="en-GB"/>
        </w:rPr>
      </w:pPr>
      <w:r w:rsidRPr="00421152">
        <w:rPr>
          <w:rFonts w:asciiTheme="minorHAnsi" w:eastAsia="Times New Roman" w:hAnsiTheme="minorHAnsi" w:cs="Arial"/>
          <w:b/>
          <w:bCs/>
          <w:sz w:val="24"/>
          <w:szCs w:val="24"/>
          <w:lang w:eastAsia="en-GB"/>
        </w:rPr>
        <w:lastRenderedPageBreak/>
        <w:t>Annex 3</w:t>
      </w:r>
    </w:p>
    <w:p w14:paraId="7222EAF8" w14:textId="74311CAA" w:rsidR="006D37D1" w:rsidRPr="00421152" w:rsidRDefault="001458BE" w:rsidP="006D37D1">
      <w:pPr>
        <w:pBdr>
          <w:right w:val="single" w:sz="4" w:space="1" w:color="auto"/>
        </w:pBdr>
        <w:ind w:left="0" w:firstLine="0"/>
        <w:rPr>
          <w:rFonts w:asciiTheme="minorHAnsi" w:eastAsia="Times New Roman" w:hAnsiTheme="minorHAnsi" w:cs="Arial"/>
          <w:b/>
          <w:bCs/>
          <w:sz w:val="24"/>
          <w:szCs w:val="24"/>
          <w:lang w:eastAsia="en-GB"/>
        </w:rPr>
      </w:pPr>
      <w:r w:rsidRPr="00421152">
        <w:rPr>
          <w:rFonts w:asciiTheme="minorHAnsi" w:eastAsia="Times New Roman" w:hAnsiTheme="minorHAnsi" w:cs="Arial"/>
          <w:b/>
          <w:bCs/>
          <w:sz w:val="24"/>
          <w:szCs w:val="24"/>
          <w:lang w:eastAsia="en-GB"/>
        </w:rPr>
        <w:t>Projects financed by restricted funds for the period 01 January 201</w:t>
      </w:r>
      <w:r w:rsidR="00DE63F0" w:rsidRPr="00421152">
        <w:rPr>
          <w:rFonts w:asciiTheme="minorHAnsi" w:eastAsia="Times New Roman" w:hAnsiTheme="minorHAnsi" w:cs="Arial"/>
          <w:b/>
          <w:bCs/>
          <w:sz w:val="24"/>
          <w:szCs w:val="24"/>
          <w:lang w:eastAsia="en-GB"/>
        </w:rPr>
        <w:t>8</w:t>
      </w:r>
      <w:r w:rsidRPr="00421152">
        <w:rPr>
          <w:rFonts w:asciiTheme="minorHAnsi" w:eastAsia="Times New Roman" w:hAnsiTheme="minorHAnsi" w:cs="Arial"/>
          <w:b/>
          <w:bCs/>
          <w:sz w:val="24"/>
          <w:szCs w:val="24"/>
          <w:lang w:eastAsia="en-GB"/>
        </w:rPr>
        <w:t xml:space="preserve"> - 31 December 201</w:t>
      </w:r>
      <w:r w:rsidR="00DE63F0" w:rsidRPr="00421152">
        <w:rPr>
          <w:rFonts w:asciiTheme="minorHAnsi" w:eastAsia="Times New Roman" w:hAnsiTheme="minorHAnsi" w:cs="Arial"/>
          <w:b/>
          <w:bCs/>
          <w:sz w:val="24"/>
          <w:szCs w:val="24"/>
          <w:lang w:eastAsia="en-GB"/>
        </w:rPr>
        <w:t>8</w:t>
      </w:r>
      <w:r w:rsidRPr="00421152">
        <w:rPr>
          <w:rFonts w:asciiTheme="minorHAnsi" w:eastAsia="Times New Roman" w:hAnsiTheme="minorHAnsi" w:cs="Arial"/>
          <w:b/>
          <w:bCs/>
          <w:sz w:val="24"/>
          <w:szCs w:val="24"/>
          <w:lang w:eastAsia="en-GB"/>
        </w:rPr>
        <w:t xml:space="preserve"> </w:t>
      </w:r>
    </w:p>
    <w:p w14:paraId="409D2627" w14:textId="77777777" w:rsidR="00751B3E" w:rsidRPr="00421152" w:rsidRDefault="001458BE" w:rsidP="006D37D1">
      <w:pPr>
        <w:pBdr>
          <w:right w:val="single" w:sz="4" w:space="1" w:color="auto"/>
        </w:pBdr>
        <w:ind w:left="0" w:firstLine="0"/>
        <w:rPr>
          <w:rFonts w:asciiTheme="minorHAnsi" w:eastAsia="Times New Roman" w:hAnsiTheme="minorHAnsi" w:cs="Arial"/>
          <w:bCs/>
          <w:lang w:eastAsia="en-GB"/>
        </w:rPr>
      </w:pPr>
      <w:r w:rsidRPr="00421152">
        <w:rPr>
          <w:rFonts w:asciiTheme="minorHAnsi" w:eastAsia="Times New Roman" w:hAnsiTheme="minorHAnsi" w:cs="Arial"/>
          <w:bCs/>
          <w:lang w:eastAsia="en-GB"/>
        </w:rPr>
        <w:t>(</w:t>
      </w:r>
      <w:r w:rsidR="00862FC2" w:rsidRPr="00421152">
        <w:rPr>
          <w:rFonts w:asciiTheme="minorHAnsi" w:eastAsia="Times New Roman" w:hAnsiTheme="minorHAnsi" w:cs="Arial"/>
          <w:bCs/>
          <w:lang w:eastAsia="en-GB"/>
        </w:rPr>
        <w:t>‘</w:t>
      </w:r>
      <w:r w:rsidRPr="00421152">
        <w:rPr>
          <w:rFonts w:asciiTheme="minorHAnsi" w:eastAsia="Times New Roman" w:hAnsiTheme="minorHAnsi" w:cs="Arial"/>
          <w:bCs/>
          <w:lang w:eastAsia="en-GB"/>
        </w:rPr>
        <w:t>000), includes possible rounding differences</w:t>
      </w:r>
    </w:p>
    <w:p w14:paraId="67CD7BF5" w14:textId="2609ED6D" w:rsidR="00FB7D22" w:rsidRPr="00421152" w:rsidRDefault="00FB7D22" w:rsidP="004D203A">
      <w:pPr>
        <w:ind w:left="0" w:firstLine="0"/>
        <w:rPr>
          <w:rFonts w:asciiTheme="minorHAnsi" w:eastAsia="Times New Roman" w:hAnsiTheme="minorHAnsi" w:cs="Arial"/>
          <w:bCs/>
          <w:lang w:eastAsia="en-GB"/>
        </w:rPr>
      </w:pPr>
    </w:p>
    <w:tbl>
      <w:tblPr>
        <w:tblW w:w="9298" w:type="dxa"/>
        <w:tblInd w:w="-284" w:type="dxa"/>
        <w:tblLayout w:type="fixed"/>
        <w:tblCellMar>
          <w:top w:w="28" w:type="dxa"/>
          <w:left w:w="57" w:type="dxa"/>
          <w:bottom w:w="28" w:type="dxa"/>
          <w:right w:w="57" w:type="dxa"/>
        </w:tblCellMar>
        <w:tblLook w:val="04A0" w:firstRow="1" w:lastRow="0" w:firstColumn="1" w:lastColumn="0" w:noHBand="0" w:noVBand="1"/>
      </w:tblPr>
      <w:tblGrid>
        <w:gridCol w:w="1127"/>
        <w:gridCol w:w="1965"/>
        <w:gridCol w:w="1060"/>
        <w:gridCol w:w="236"/>
        <w:gridCol w:w="865"/>
        <w:gridCol w:w="236"/>
        <w:gridCol w:w="14"/>
        <w:gridCol w:w="1212"/>
        <w:gridCol w:w="19"/>
        <w:gridCol w:w="223"/>
        <w:gridCol w:w="14"/>
        <w:gridCol w:w="987"/>
        <w:gridCol w:w="19"/>
        <w:gridCol w:w="224"/>
        <w:gridCol w:w="14"/>
        <w:gridCol w:w="1069"/>
        <w:gridCol w:w="14"/>
      </w:tblGrid>
      <w:tr w:rsidR="00D960A0" w:rsidRPr="001D0B77" w14:paraId="3003242D" w14:textId="77777777" w:rsidTr="001D0B77">
        <w:trPr>
          <w:gridAfter w:val="1"/>
          <w:wAfter w:w="14" w:type="dxa"/>
          <w:tblHeader/>
        </w:trPr>
        <w:tc>
          <w:tcPr>
            <w:tcW w:w="1127" w:type="dxa"/>
            <w:tcBorders>
              <w:top w:val="single" w:sz="4" w:space="0" w:color="auto"/>
              <w:left w:val="nil"/>
              <w:right w:val="nil"/>
            </w:tcBorders>
            <w:shd w:val="clear" w:color="auto" w:fill="D6E3BC" w:themeFill="accent3" w:themeFillTint="66"/>
            <w:vAlign w:val="center"/>
            <w:hideMark/>
          </w:tcPr>
          <w:p w14:paraId="01563033" w14:textId="77777777" w:rsidR="00BD2756" w:rsidRPr="001D0B77" w:rsidRDefault="00BD2756" w:rsidP="00D960A0">
            <w:pPr>
              <w:ind w:left="0" w:firstLine="0"/>
              <w:jc w:val="center"/>
              <w:rPr>
                <w:rFonts w:asciiTheme="minorHAnsi" w:eastAsia="Times New Roman" w:hAnsiTheme="minorHAnsi" w:cstheme="minorHAnsi"/>
                <w:sz w:val="20"/>
                <w:szCs w:val="20"/>
              </w:rPr>
            </w:pPr>
          </w:p>
        </w:tc>
        <w:tc>
          <w:tcPr>
            <w:tcW w:w="1965" w:type="dxa"/>
            <w:tcBorders>
              <w:top w:val="single" w:sz="4" w:space="0" w:color="auto"/>
              <w:left w:val="nil"/>
              <w:right w:val="nil"/>
            </w:tcBorders>
            <w:shd w:val="clear" w:color="auto" w:fill="D6E3BC" w:themeFill="accent3" w:themeFillTint="66"/>
            <w:vAlign w:val="center"/>
            <w:hideMark/>
          </w:tcPr>
          <w:p w14:paraId="6283BB0A" w14:textId="77777777" w:rsidR="00BD2756" w:rsidRPr="001D0B77" w:rsidRDefault="00BD2756" w:rsidP="00D960A0">
            <w:pPr>
              <w:ind w:left="0" w:firstLine="0"/>
              <w:jc w:val="center"/>
              <w:rPr>
                <w:rFonts w:asciiTheme="minorHAnsi" w:hAnsiTheme="minorHAnsi" w:cstheme="minorHAnsi"/>
                <w:sz w:val="20"/>
                <w:szCs w:val="20"/>
              </w:rPr>
            </w:pPr>
          </w:p>
        </w:tc>
        <w:tc>
          <w:tcPr>
            <w:tcW w:w="1060" w:type="dxa"/>
            <w:tcBorders>
              <w:top w:val="single" w:sz="4" w:space="0" w:color="auto"/>
              <w:left w:val="nil"/>
              <w:right w:val="nil"/>
            </w:tcBorders>
            <w:shd w:val="clear" w:color="auto" w:fill="D6E3BC" w:themeFill="accent3" w:themeFillTint="66"/>
            <w:vAlign w:val="center"/>
            <w:hideMark/>
          </w:tcPr>
          <w:p w14:paraId="72AB5668" w14:textId="77777777" w:rsidR="00BD2756" w:rsidRPr="001D0B77" w:rsidRDefault="00BD2756" w:rsidP="00D960A0">
            <w:pPr>
              <w:ind w:left="0" w:firstLine="0"/>
              <w:jc w:val="center"/>
              <w:rPr>
                <w:rFonts w:asciiTheme="minorHAnsi" w:hAnsiTheme="minorHAnsi" w:cstheme="minorHAnsi"/>
                <w:b/>
                <w:bCs/>
                <w:sz w:val="20"/>
                <w:szCs w:val="20"/>
              </w:rPr>
            </w:pPr>
            <w:r w:rsidRPr="001D0B77">
              <w:rPr>
                <w:rFonts w:asciiTheme="minorHAnsi" w:hAnsiTheme="minorHAnsi" w:cstheme="minorHAnsi"/>
                <w:b/>
                <w:bCs/>
                <w:sz w:val="20"/>
                <w:szCs w:val="20"/>
              </w:rPr>
              <w:t>Balance (deficit) at 31 December 2017</w:t>
            </w:r>
          </w:p>
        </w:tc>
        <w:tc>
          <w:tcPr>
            <w:tcW w:w="236" w:type="dxa"/>
            <w:tcBorders>
              <w:top w:val="single" w:sz="4" w:space="0" w:color="auto"/>
              <w:left w:val="nil"/>
              <w:right w:val="nil"/>
            </w:tcBorders>
            <w:shd w:val="clear" w:color="auto" w:fill="D6E3BC" w:themeFill="accent3" w:themeFillTint="66"/>
            <w:vAlign w:val="center"/>
            <w:hideMark/>
          </w:tcPr>
          <w:p w14:paraId="321ECF0A" w14:textId="77777777" w:rsidR="00BD2756" w:rsidRPr="001D0B77" w:rsidRDefault="00BD2756" w:rsidP="00D960A0">
            <w:pPr>
              <w:ind w:left="0" w:firstLine="0"/>
              <w:jc w:val="center"/>
              <w:rPr>
                <w:rFonts w:asciiTheme="minorHAnsi" w:hAnsiTheme="minorHAnsi" w:cstheme="minorHAnsi"/>
                <w:b/>
                <w:bCs/>
                <w:sz w:val="20"/>
                <w:szCs w:val="20"/>
              </w:rPr>
            </w:pPr>
          </w:p>
        </w:tc>
        <w:tc>
          <w:tcPr>
            <w:tcW w:w="865" w:type="dxa"/>
            <w:tcBorders>
              <w:top w:val="single" w:sz="4" w:space="0" w:color="auto"/>
              <w:left w:val="nil"/>
              <w:right w:val="nil"/>
            </w:tcBorders>
            <w:shd w:val="clear" w:color="auto" w:fill="D6E3BC" w:themeFill="accent3" w:themeFillTint="66"/>
            <w:vAlign w:val="center"/>
            <w:hideMark/>
          </w:tcPr>
          <w:p w14:paraId="62F984D4" w14:textId="77777777" w:rsidR="00BD2756" w:rsidRPr="001D0B77" w:rsidRDefault="00BD2756" w:rsidP="00D960A0">
            <w:pPr>
              <w:ind w:left="0" w:firstLine="0"/>
              <w:jc w:val="center"/>
              <w:rPr>
                <w:rFonts w:asciiTheme="minorHAnsi" w:hAnsiTheme="minorHAnsi" w:cstheme="minorHAnsi"/>
                <w:b/>
                <w:bCs/>
                <w:sz w:val="20"/>
                <w:szCs w:val="20"/>
              </w:rPr>
            </w:pPr>
            <w:r w:rsidRPr="001D0B77">
              <w:rPr>
                <w:rFonts w:asciiTheme="minorHAnsi" w:hAnsiTheme="minorHAnsi" w:cstheme="minorHAnsi"/>
                <w:b/>
                <w:bCs/>
                <w:sz w:val="20"/>
                <w:szCs w:val="20"/>
              </w:rPr>
              <w:t>Income during 2018</w:t>
            </w:r>
          </w:p>
        </w:tc>
        <w:tc>
          <w:tcPr>
            <w:tcW w:w="236" w:type="dxa"/>
            <w:tcBorders>
              <w:top w:val="single" w:sz="4" w:space="0" w:color="auto"/>
              <w:left w:val="nil"/>
              <w:right w:val="nil"/>
            </w:tcBorders>
            <w:shd w:val="clear" w:color="auto" w:fill="D6E3BC" w:themeFill="accent3" w:themeFillTint="66"/>
            <w:vAlign w:val="center"/>
            <w:hideMark/>
          </w:tcPr>
          <w:p w14:paraId="19699CD3" w14:textId="77777777" w:rsidR="00BD2756" w:rsidRPr="001D0B77" w:rsidRDefault="00BD2756" w:rsidP="00D960A0">
            <w:pPr>
              <w:ind w:left="0" w:firstLine="0"/>
              <w:jc w:val="center"/>
              <w:rPr>
                <w:rFonts w:asciiTheme="minorHAnsi" w:hAnsiTheme="minorHAnsi" w:cstheme="minorHAnsi"/>
                <w:b/>
                <w:bCs/>
                <w:sz w:val="20"/>
                <w:szCs w:val="20"/>
              </w:rPr>
            </w:pPr>
          </w:p>
        </w:tc>
        <w:tc>
          <w:tcPr>
            <w:tcW w:w="1226" w:type="dxa"/>
            <w:gridSpan w:val="2"/>
            <w:tcBorders>
              <w:top w:val="single" w:sz="4" w:space="0" w:color="auto"/>
              <w:left w:val="nil"/>
              <w:right w:val="nil"/>
            </w:tcBorders>
            <w:shd w:val="clear" w:color="auto" w:fill="D6E3BC" w:themeFill="accent3" w:themeFillTint="66"/>
            <w:vAlign w:val="center"/>
            <w:hideMark/>
          </w:tcPr>
          <w:p w14:paraId="03B1FC09" w14:textId="77777777" w:rsidR="00BD2756" w:rsidRPr="001D0B77" w:rsidRDefault="00BD2756" w:rsidP="00D960A0">
            <w:pPr>
              <w:ind w:left="0" w:firstLine="0"/>
              <w:jc w:val="center"/>
              <w:rPr>
                <w:rFonts w:asciiTheme="minorHAnsi" w:hAnsiTheme="minorHAnsi" w:cstheme="minorHAnsi"/>
                <w:b/>
                <w:bCs/>
                <w:sz w:val="20"/>
                <w:szCs w:val="20"/>
              </w:rPr>
            </w:pPr>
            <w:r w:rsidRPr="001D0B77">
              <w:rPr>
                <w:rFonts w:asciiTheme="minorHAnsi" w:hAnsiTheme="minorHAnsi" w:cstheme="minorHAnsi"/>
                <w:b/>
                <w:bCs/>
                <w:sz w:val="20"/>
                <w:szCs w:val="20"/>
              </w:rPr>
              <w:t>Expenditure during 2018</w:t>
            </w:r>
          </w:p>
        </w:tc>
        <w:tc>
          <w:tcPr>
            <w:tcW w:w="242" w:type="dxa"/>
            <w:gridSpan w:val="2"/>
            <w:tcBorders>
              <w:top w:val="single" w:sz="4" w:space="0" w:color="auto"/>
              <w:left w:val="nil"/>
              <w:right w:val="nil"/>
            </w:tcBorders>
            <w:shd w:val="clear" w:color="auto" w:fill="D6E3BC" w:themeFill="accent3" w:themeFillTint="66"/>
            <w:vAlign w:val="center"/>
            <w:hideMark/>
          </w:tcPr>
          <w:p w14:paraId="5E1E8D48" w14:textId="77777777" w:rsidR="00BD2756" w:rsidRPr="001D0B77" w:rsidRDefault="00BD2756" w:rsidP="00D960A0">
            <w:pPr>
              <w:ind w:left="0" w:firstLine="0"/>
              <w:jc w:val="center"/>
              <w:rPr>
                <w:rFonts w:asciiTheme="minorHAnsi" w:hAnsiTheme="minorHAnsi" w:cstheme="minorHAnsi"/>
                <w:b/>
                <w:bCs/>
                <w:sz w:val="20"/>
                <w:szCs w:val="20"/>
              </w:rPr>
            </w:pPr>
          </w:p>
        </w:tc>
        <w:tc>
          <w:tcPr>
            <w:tcW w:w="1001" w:type="dxa"/>
            <w:gridSpan w:val="2"/>
            <w:tcBorders>
              <w:top w:val="single" w:sz="4" w:space="0" w:color="auto"/>
              <w:left w:val="nil"/>
              <w:right w:val="nil"/>
            </w:tcBorders>
            <w:shd w:val="clear" w:color="auto" w:fill="D6E3BC" w:themeFill="accent3" w:themeFillTint="66"/>
            <w:vAlign w:val="center"/>
            <w:hideMark/>
          </w:tcPr>
          <w:p w14:paraId="551EDCD8" w14:textId="28785915" w:rsidR="00BD2756" w:rsidRPr="001D0B77" w:rsidRDefault="00BD2756" w:rsidP="001D0B77">
            <w:pPr>
              <w:ind w:left="0" w:firstLine="0"/>
              <w:jc w:val="center"/>
              <w:rPr>
                <w:rFonts w:asciiTheme="minorHAnsi" w:hAnsiTheme="minorHAnsi" w:cstheme="minorHAnsi"/>
                <w:b/>
                <w:bCs/>
                <w:sz w:val="20"/>
                <w:szCs w:val="20"/>
              </w:rPr>
            </w:pPr>
            <w:r w:rsidRPr="001D0B77">
              <w:rPr>
                <w:rFonts w:asciiTheme="minorHAnsi" w:hAnsiTheme="minorHAnsi" w:cstheme="minorHAnsi"/>
                <w:b/>
                <w:bCs/>
                <w:sz w:val="20"/>
                <w:szCs w:val="20"/>
              </w:rPr>
              <w:t xml:space="preserve">Project </w:t>
            </w:r>
            <w:r w:rsidR="001D0B77" w:rsidRPr="001D0B77">
              <w:rPr>
                <w:rFonts w:asciiTheme="minorHAnsi" w:hAnsiTheme="minorHAnsi" w:cstheme="minorHAnsi"/>
                <w:b/>
                <w:bCs/>
                <w:sz w:val="20"/>
                <w:szCs w:val="20"/>
              </w:rPr>
              <w:t>t</w:t>
            </w:r>
            <w:r w:rsidRPr="001D0B77">
              <w:rPr>
                <w:rFonts w:asciiTheme="minorHAnsi" w:hAnsiTheme="minorHAnsi" w:cstheme="minorHAnsi"/>
                <w:b/>
                <w:bCs/>
                <w:sz w:val="20"/>
                <w:szCs w:val="20"/>
              </w:rPr>
              <w:t xml:space="preserve">ransfers and </w:t>
            </w:r>
            <w:r w:rsidR="001D0B77" w:rsidRPr="001D0B77">
              <w:rPr>
                <w:rFonts w:asciiTheme="minorHAnsi" w:hAnsiTheme="minorHAnsi" w:cstheme="minorHAnsi"/>
                <w:b/>
                <w:bCs/>
                <w:sz w:val="20"/>
                <w:szCs w:val="20"/>
              </w:rPr>
              <w:t>c</w:t>
            </w:r>
            <w:r w:rsidRPr="001D0B77">
              <w:rPr>
                <w:rFonts w:asciiTheme="minorHAnsi" w:hAnsiTheme="minorHAnsi" w:cstheme="minorHAnsi"/>
                <w:b/>
                <w:bCs/>
                <w:sz w:val="20"/>
                <w:szCs w:val="20"/>
              </w:rPr>
              <w:t>ross charges</w:t>
            </w:r>
          </w:p>
        </w:tc>
        <w:tc>
          <w:tcPr>
            <w:tcW w:w="243" w:type="dxa"/>
            <w:gridSpan w:val="2"/>
            <w:tcBorders>
              <w:top w:val="single" w:sz="4" w:space="0" w:color="auto"/>
              <w:left w:val="nil"/>
              <w:right w:val="nil"/>
            </w:tcBorders>
            <w:shd w:val="clear" w:color="auto" w:fill="D6E3BC" w:themeFill="accent3" w:themeFillTint="66"/>
            <w:vAlign w:val="center"/>
            <w:hideMark/>
          </w:tcPr>
          <w:p w14:paraId="1C0B3492" w14:textId="77777777" w:rsidR="00BD2756" w:rsidRPr="001D0B77" w:rsidRDefault="00BD2756" w:rsidP="00D960A0">
            <w:pPr>
              <w:ind w:left="0" w:firstLine="0"/>
              <w:jc w:val="center"/>
              <w:rPr>
                <w:rFonts w:asciiTheme="minorHAnsi" w:hAnsiTheme="minorHAnsi" w:cstheme="minorHAnsi"/>
                <w:b/>
                <w:bCs/>
                <w:sz w:val="20"/>
                <w:szCs w:val="20"/>
              </w:rPr>
            </w:pPr>
          </w:p>
        </w:tc>
        <w:tc>
          <w:tcPr>
            <w:tcW w:w="1083" w:type="dxa"/>
            <w:gridSpan w:val="2"/>
            <w:tcBorders>
              <w:top w:val="single" w:sz="4" w:space="0" w:color="auto"/>
              <w:left w:val="nil"/>
              <w:right w:val="nil"/>
            </w:tcBorders>
            <w:shd w:val="clear" w:color="auto" w:fill="D6E3BC" w:themeFill="accent3" w:themeFillTint="66"/>
            <w:vAlign w:val="center"/>
            <w:hideMark/>
          </w:tcPr>
          <w:p w14:paraId="74EC804E" w14:textId="77777777" w:rsidR="00BD2756" w:rsidRPr="001D0B77" w:rsidRDefault="00BD2756" w:rsidP="00D960A0">
            <w:pPr>
              <w:ind w:left="0" w:firstLine="0"/>
              <w:jc w:val="center"/>
              <w:rPr>
                <w:rFonts w:asciiTheme="minorHAnsi" w:hAnsiTheme="minorHAnsi" w:cstheme="minorHAnsi"/>
                <w:b/>
                <w:bCs/>
                <w:sz w:val="20"/>
                <w:szCs w:val="20"/>
              </w:rPr>
            </w:pPr>
            <w:r w:rsidRPr="001D0B77">
              <w:rPr>
                <w:rFonts w:asciiTheme="minorHAnsi" w:hAnsiTheme="minorHAnsi" w:cstheme="minorHAnsi"/>
                <w:b/>
                <w:bCs/>
                <w:sz w:val="20"/>
                <w:szCs w:val="20"/>
              </w:rPr>
              <w:t>Balance (deficit) at 31 December 2018</w:t>
            </w:r>
          </w:p>
        </w:tc>
      </w:tr>
      <w:tr w:rsidR="00D960A0" w:rsidRPr="001D0B77" w14:paraId="2C030D1A" w14:textId="77777777" w:rsidTr="001D0B77">
        <w:trPr>
          <w:gridAfter w:val="1"/>
          <w:wAfter w:w="14" w:type="dxa"/>
          <w:tblHeader/>
        </w:trPr>
        <w:tc>
          <w:tcPr>
            <w:tcW w:w="1127" w:type="dxa"/>
            <w:tcBorders>
              <w:left w:val="nil"/>
              <w:bottom w:val="single" w:sz="4" w:space="0" w:color="auto"/>
              <w:right w:val="nil"/>
            </w:tcBorders>
            <w:shd w:val="clear" w:color="auto" w:fill="D6E3BC" w:themeFill="accent3" w:themeFillTint="66"/>
            <w:hideMark/>
          </w:tcPr>
          <w:p w14:paraId="038FA54C" w14:textId="77777777" w:rsidR="00BD2756" w:rsidRPr="001D0B77" w:rsidRDefault="00BD2756" w:rsidP="00BA0F3C">
            <w:pPr>
              <w:ind w:left="0" w:firstLine="0"/>
              <w:jc w:val="center"/>
              <w:rPr>
                <w:rFonts w:asciiTheme="minorHAnsi" w:hAnsiTheme="minorHAnsi" w:cstheme="minorHAnsi"/>
                <w:b/>
                <w:bCs/>
                <w:sz w:val="20"/>
                <w:szCs w:val="20"/>
              </w:rPr>
            </w:pPr>
          </w:p>
        </w:tc>
        <w:tc>
          <w:tcPr>
            <w:tcW w:w="1965" w:type="dxa"/>
            <w:tcBorders>
              <w:left w:val="nil"/>
              <w:bottom w:val="single" w:sz="4" w:space="0" w:color="auto"/>
              <w:right w:val="nil"/>
            </w:tcBorders>
            <w:shd w:val="clear" w:color="auto" w:fill="D6E3BC" w:themeFill="accent3" w:themeFillTint="66"/>
            <w:hideMark/>
          </w:tcPr>
          <w:p w14:paraId="38C50B02" w14:textId="77777777" w:rsidR="00BD2756" w:rsidRPr="001D0B77" w:rsidRDefault="00BD2756" w:rsidP="00BA0F3C">
            <w:pPr>
              <w:ind w:left="0" w:firstLine="0"/>
              <w:jc w:val="center"/>
              <w:rPr>
                <w:rFonts w:asciiTheme="minorHAnsi" w:hAnsiTheme="minorHAnsi" w:cstheme="minorHAnsi"/>
                <w:sz w:val="20"/>
                <w:szCs w:val="20"/>
              </w:rPr>
            </w:pPr>
          </w:p>
        </w:tc>
        <w:tc>
          <w:tcPr>
            <w:tcW w:w="1060" w:type="dxa"/>
            <w:tcBorders>
              <w:left w:val="nil"/>
              <w:bottom w:val="single" w:sz="4" w:space="0" w:color="auto"/>
              <w:right w:val="nil"/>
            </w:tcBorders>
            <w:shd w:val="clear" w:color="auto" w:fill="D6E3BC" w:themeFill="accent3" w:themeFillTint="66"/>
            <w:vAlign w:val="bottom"/>
            <w:hideMark/>
          </w:tcPr>
          <w:p w14:paraId="7A44209E" w14:textId="77777777" w:rsidR="00BD2756" w:rsidRPr="001D0B77" w:rsidRDefault="00BD2756" w:rsidP="00BA0F3C">
            <w:pPr>
              <w:ind w:left="0" w:firstLine="0"/>
              <w:jc w:val="center"/>
              <w:rPr>
                <w:rFonts w:asciiTheme="minorHAnsi" w:hAnsiTheme="minorHAnsi" w:cstheme="minorHAnsi"/>
                <w:sz w:val="20"/>
                <w:szCs w:val="20"/>
              </w:rPr>
            </w:pPr>
            <w:r w:rsidRPr="001D0B77">
              <w:rPr>
                <w:rFonts w:asciiTheme="minorHAnsi" w:hAnsiTheme="minorHAnsi" w:cstheme="minorHAnsi"/>
                <w:sz w:val="20"/>
                <w:szCs w:val="20"/>
              </w:rPr>
              <w:t>(DR)/CR</w:t>
            </w:r>
          </w:p>
        </w:tc>
        <w:tc>
          <w:tcPr>
            <w:tcW w:w="236" w:type="dxa"/>
            <w:tcBorders>
              <w:left w:val="nil"/>
              <w:bottom w:val="single" w:sz="4" w:space="0" w:color="auto"/>
              <w:right w:val="nil"/>
            </w:tcBorders>
            <w:shd w:val="clear" w:color="auto" w:fill="D6E3BC" w:themeFill="accent3" w:themeFillTint="66"/>
            <w:vAlign w:val="bottom"/>
            <w:hideMark/>
          </w:tcPr>
          <w:p w14:paraId="22A445E3" w14:textId="77777777" w:rsidR="00BD2756" w:rsidRPr="001D0B77" w:rsidRDefault="00BD2756" w:rsidP="00BA0F3C">
            <w:pPr>
              <w:ind w:left="0" w:firstLine="0"/>
              <w:jc w:val="center"/>
              <w:rPr>
                <w:rFonts w:asciiTheme="minorHAnsi" w:hAnsiTheme="minorHAnsi" w:cstheme="minorHAnsi"/>
                <w:sz w:val="20"/>
                <w:szCs w:val="20"/>
              </w:rPr>
            </w:pPr>
          </w:p>
        </w:tc>
        <w:tc>
          <w:tcPr>
            <w:tcW w:w="865" w:type="dxa"/>
            <w:tcBorders>
              <w:left w:val="nil"/>
              <w:bottom w:val="single" w:sz="4" w:space="0" w:color="auto"/>
              <w:right w:val="nil"/>
            </w:tcBorders>
            <w:shd w:val="clear" w:color="auto" w:fill="D6E3BC" w:themeFill="accent3" w:themeFillTint="66"/>
            <w:vAlign w:val="bottom"/>
            <w:hideMark/>
          </w:tcPr>
          <w:p w14:paraId="1319CBF1" w14:textId="77777777" w:rsidR="00BD2756" w:rsidRPr="001D0B77" w:rsidRDefault="00BD2756" w:rsidP="00BA0F3C">
            <w:pPr>
              <w:ind w:left="0" w:firstLine="0"/>
              <w:jc w:val="center"/>
              <w:rPr>
                <w:rFonts w:asciiTheme="minorHAnsi" w:hAnsiTheme="minorHAnsi" w:cstheme="minorHAnsi"/>
                <w:sz w:val="20"/>
                <w:szCs w:val="20"/>
              </w:rPr>
            </w:pPr>
            <w:r w:rsidRPr="001D0B77">
              <w:rPr>
                <w:rFonts w:asciiTheme="minorHAnsi" w:hAnsiTheme="minorHAnsi" w:cstheme="minorHAnsi"/>
                <w:sz w:val="20"/>
                <w:szCs w:val="20"/>
              </w:rPr>
              <w:t>(DR)/CR</w:t>
            </w:r>
          </w:p>
        </w:tc>
        <w:tc>
          <w:tcPr>
            <w:tcW w:w="236" w:type="dxa"/>
            <w:tcBorders>
              <w:left w:val="nil"/>
              <w:bottom w:val="single" w:sz="4" w:space="0" w:color="auto"/>
              <w:right w:val="nil"/>
            </w:tcBorders>
            <w:shd w:val="clear" w:color="auto" w:fill="D6E3BC" w:themeFill="accent3" w:themeFillTint="66"/>
            <w:vAlign w:val="bottom"/>
            <w:hideMark/>
          </w:tcPr>
          <w:p w14:paraId="5FB1920C" w14:textId="77777777" w:rsidR="00BD2756" w:rsidRPr="001D0B77" w:rsidRDefault="00BD2756" w:rsidP="00BA0F3C">
            <w:pPr>
              <w:ind w:left="0" w:firstLine="0"/>
              <w:jc w:val="center"/>
              <w:rPr>
                <w:rFonts w:asciiTheme="minorHAnsi" w:hAnsiTheme="minorHAnsi" w:cstheme="minorHAnsi"/>
                <w:sz w:val="20"/>
                <w:szCs w:val="20"/>
              </w:rPr>
            </w:pPr>
          </w:p>
        </w:tc>
        <w:tc>
          <w:tcPr>
            <w:tcW w:w="1226" w:type="dxa"/>
            <w:gridSpan w:val="2"/>
            <w:tcBorders>
              <w:left w:val="nil"/>
              <w:bottom w:val="single" w:sz="4" w:space="0" w:color="auto"/>
              <w:right w:val="nil"/>
            </w:tcBorders>
            <w:shd w:val="clear" w:color="auto" w:fill="D6E3BC" w:themeFill="accent3" w:themeFillTint="66"/>
            <w:vAlign w:val="bottom"/>
            <w:hideMark/>
          </w:tcPr>
          <w:p w14:paraId="3A3CCAB9" w14:textId="77777777" w:rsidR="00BD2756" w:rsidRPr="001D0B77" w:rsidRDefault="00BD2756" w:rsidP="00BA0F3C">
            <w:pPr>
              <w:ind w:left="0" w:firstLine="0"/>
              <w:jc w:val="center"/>
              <w:rPr>
                <w:rFonts w:asciiTheme="minorHAnsi" w:hAnsiTheme="minorHAnsi" w:cstheme="minorHAnsi"/>
                <w:sz w:val="20"/>
                <w:szCs w:val="20"/>
              </w:rPr>
            </w:pPr>
            <w:r w:rsidRPr="001D0B77">
              <w:rPr>
                <w:rFonts w:asciiTheme="minorHAnsi" w:hAnsiTheme="minorHAnsi" w:cstheme="minorHAnsi"/>
                <w:sz w:val="20"/>
                <w:szCs w:val="20"/>
              </w:rPr>
              <w:t>(DR)/CR</w:t>
            </w:r>
          </w:p>
        </w:tc>
        <w:tc>
          <w:tcPr>
            <w:tcW w:w="242" w:type="dxa"/>
            <w:gridSpan w:val="2"/>
            <w:tcBorders>
              <w:left w:val="nil"/>
              <w:bottom w:val="single" w:sz="4" w:space="0" w:color="auto"/>
              <w:right w:val="nil"/>
            </w:tcBorders>
            <w:shd w:val="clear" w:color="auto" w:fill="D6E3BC" w:themeFill="accent3" w:themeFillTint="66"/>
            <w:vAlign w:val="bottom"/>
            <w:hideMark/>
          </w:tcPr>
          <w:p w14:paraId="4939F86B" w14:textId="77777777" w:rsidR="00BD2756" w:rsidRPr="001D0B77" w:rsidRDefault="00BD2756" w:rsidP="00BA0F3C">
            <w:pPr>
              <w:ind w:left="0" w:firstLine="0"/>
              <w:jc w:val="center"/>
              <w:rPr>
                <w:rFonts w:asciiTheme="minorHAnsi" w:hAnsiTheme="minorHAnsi" w:cstheme="minorHAnsi"/>
                <w:sz w:val="20"/>
                <w:szCs w:val="20"/>
              </w:rPr>
            </w:pPr>
          </w:p>
        </w:tc>
        <w:tc>
          <w:tcPr>
            <w:tcW w:w="1001" w:type="dxa"/>
            <w:gridSpan w:val="2"/>
            <w:tcBorders>
              <w:left w:val="nil"/>
              <w:bottom w:val="single" w:sz="4" w:space="0" w:color="auto"/>
              <w:right w:val="nil"/>
            </w:tcBorders>
            <w:shd w:val="clear" w:color="auto" w:fill="D6E3BC" w:themeFill="accent3" w:themeFillTint="66"/>
            <w:vAlign w:val="bottom"/>
            <w:hideMark/>
          </w:tcPr>
          <w:p w14:paraId="4FFBF936" w14:textId="77777777" w:rsidR="00BD2756" w:rsidRPr="001D0B77" w:rsidRDefault="00BD2756" w:rsidP="00BA0F3C">
            <w:pPr>
              <w:ind w:left="0" w:firstLine="0"/>
              <w:jc w:val="center"/>
              <w:rPr>
                <w:rFonts w:asciiTheme="minorHAnsi" w:hAnsiTheme="minorHAnsi" w:cstheme="minorHAnsi"/>
                <w:sz w:val="20"/>
                <w:szCs w:val="20"/>
              </w:rPr>
            </w:pPr>
            <w:r w:rsidRPr="001D0B77">
              <w:rPr>
                <w:rFonts w:asciiTheme="minorHAnsi" w:hAnsiTheme="minorHAnsi" w:cstheme="minorHAnsi"/>
                <w:sz w:val="20"/>
                <w:szCs w:val="20"/>
              </w:rPr>
              <w:t>(DR)/CR</w:t>
            </w:r>
          </w:p>
        </w:tc>
        <w:tc>
          <w:tcPr>
            <w:tcW w:w="243" w:type="dxa"/>
            <w:gridSpan w:val="2"/>
            <w:tcBorders>
              <w:left w:val="nil"/>
              <w:bottom w:val="single" w:sz="4" w:space="0" w:color="auto"/>
              <w:right w:val="nil"/>
            </w:tcBorders>
            <w:shd w:val="clear" w:color="auto" w:fill="D6E3BC" w:themeFill="accent3" w:themeFillTint="66"/>
            <w:vAlign w:val="bottom"/>
            <w:hideMark/>
          </w:tcPr>
          <w:p w14:paraId="10946C61" w14:textId="77777777" w:rsidR="00BD2756" w:rsidRPr="001D0B77" w:rsidRDefault="00BD2756" w:rsidP="00BA0F3C">
            <w:pPr>
              <w:ind w:left="0" w:firstLine="0"/>
              <w:jc w:val="center"/>
              <w:rPr>
                <w:rFonts w:asciiTheme="minorHAnsi" w:hAnsiTheme="minorHAnsi" w:cstheme="minorHAnsi"/>
                <w:sz w:val="20"/>
                <w:szCs w:val="20"/>
              </w:rPr>
            </w:pPr>
          </w:p>
        </w:tc>
        <w:tc>
          <w:tcPr>
            <w:tcW w:w="1083" w:type="dxa"/>
            <w:gridSpan w:val="2"/>
            <w:tcBorders>
              <w:left w:val="nil"/>
              <w:bottom w:val="single" w:sz="4" w:space="0" w:color="auto"/>
              <w:right w:val="nil"/>
            </w:tcBorders>
            <w:shd w:val="clear" w:color="auto" w:fill="D6E3BC" w:themeFill="accent3" w:themeFillTint="66"/>
            <w:vAlign w:val="bottom"/>
            <w:hideMark/>
          </w:tcPr>
          <w:p w14:paraId="290E7DF6" w14:textId="77777777" w:rsidR="00BD2756" w:rsidRPr="001D0B77" w:rsidRDefault="00BD2756" w:rsidP="00BA0F3C">
            <w:pPr>
              <w:ind w:left="0" w:firstLine="0"/>
              <w:jc w:val="center"/>
              <w:rPr>
                <w:rFonts w:asciiTheme="minorHAnsi" w:hAnsiTheme="minorHAnsi" w:cstheme="minorHAnsi"/>
                <w:sz w:val="20"/>
                <w:szCs w:val="20"/>
              </w:rPr>
            </w:pPr>
            <w:r w:rsidRPr="001D0B77">
              <w:rPr>
                <w:rFonts w:asciiTheme="minorHAnsi" w:hAnsiTheme="minorHAnsi" w:cstheme="minorHAnsi"/>
                <w:sz w:val="20"/>
                <w:szCs w:val="20"/>
              </w:rPr>
              <w:t>(DR)/CR</w:t>
            </w:r>
          </w:p>
        </w:tc>
      </w:tr>
      <w:tr w:rsidR="00D206C3" w:rsidRPr="001D0B77" w14:paraId="3285071B" w14:textId="77777777" w:rsidTr="00BA0F3C">
        <w:trPr>
          <w:gridAfter w:val="1"/>
          <w:wAfter w:w="14" w:type="dxa"/>
        </w:trPr>
        <w:tc>
          <w:tcPr>
            <w:tcW w:w="3092" w:type="dxa"/>
            <w:gridSpan w:val="2"/>
            <w:tcBorders>
              <w:top w:val="single" w:sz="4" w:space="0" w:color="auto"/>
              <w:left w:val="nil"/>
              <w:bottom w:val="nil"/>
              <w:right w:val="nil"/>
            </w:tcBorders>
            <w:shd w:val="clear" w:color="auto" w:fill="auto"/>
            <w:hideMark/>
          </w:tcPr>
          <w:p w14:paraId="50114351" w14:textId="77777777" w:rsidR="002D76F8" w:rsidRPr="001D0B77" w:rsidRDefault="002D76F8" w:rsidP="00D960A0">
            <w:pPr>
              <w:ind w:left="0" w:firstLine="0"/>
              <w:rPr>
                <w:rFonts w:asciiTheme="minorHAnsi" w:hAnsiTheme="minorHAnsi" w:cstheme="minorHAnsi"/>
                <w:b/>
                <w:bCs/>
                <w:sz w:val="20"/>
                <w:szCs w:val="20"/>
                <w:u w:val="single"/>
              </w:rPr>
            </w:pPr>
          </w:p>
          <w:p w14:paraId="0C1A63E8" w14:textId="555F9CDA" w:rsidR="00BD2756" w:rsidRPr="001D0B77" w:rsidRDefault="00BD2756" w:rsidP="00D960A0">
            <w:pPr>
              <w:ind w:left="0" w:firstLine="0"/>
              <w:rPr>
                <w:rFonts w:asciiTheme="minorHAnsi" w:hAnsiTheme="minorHAnsi" w:cstheme="minorHAnsi"/>
                <w:b/>
                <w:bCs/>
                <w:sz w:val="20"/>
                <w:szCs w:val="20"/>
                <w:u w:val="single"/>
              </w:rPr>
            </w:pPr>
            <w:r w:rsidRPr="001D0B77">
              <w:rPr>
                <w:rFonts w:asciiTheme="minorHAnsi" w:hAnsiTheme="minorHAnsi" w:cstheme="minorHAnsi"/>
                <w:b/>
                <w:bCs/>
                <w:sz w:val="20"/>
                <w:szCs w:val="20"/>
                <w:u w:val="single"/>
              </w:rPr>
              <w:t>International Cooperation</w:t>
            </w:r>
          </w:p>
        </w:tc>
        <w:tc>
          <w:tcPr>
            <w:tcW w:w="1060" w:type="dxa"/>
            <w:tcBorders>
              <w:top w:val="single" w:sz="4" w:space="0" w:color="auto"/>
              <w:left w:val="nil"/>
              <w:bottom w:val="nil"/>
              <w:right w:val="nil"/>
            </w:tcBorders>
            <w:shd w:val="clear" w:color="auto" w:fill="auto"/>
            <w:textDirection w:val="btLr"/>
            <w:vAlign w:val="bottom"/>
            <w:hideMark/>
          </w:tcPr>
          <w:p w14:paraId="6B777D5E" w14:textId="77777777" w:rsidR="00BD2756" w:rsidRPr="001D0B77" w:rsidRDefault="00BD2756" w:rsidP="00D960A0">
            <w:pPr>
              <w:ind w:left="0" w:firstLine="0"/>
              <w:rPr>
                <w:rFonts w:asciiTheme="minorHAnsi" w:hAnsiTheme="minorHAnsi" w:cstheme="minorHAnsi"/>
                <w:b/>
                <w:bCs/>
                <w:sz w:val="20"/>
                <w:szCs w:val="20"/>
                <w:u w:val="single"/>
              </w:rPr>
            </w:pPr>
          </w:p>
        </w:tc>
        <w:tc>
          <w:tcPr>
            <w:tcW w:w="236" w:type="dxa"/>
            <w:tcBorders>
              <w:top w:val="single" w:sz="4" w:space="0" w:color="auto"/>
              <w:left w:val="nil"/>
              <w:bottom w:val="nil"/>
              <w:right w:val="nil"/>
            </w:tcBorders>
            <w:shd w:val="clear" w:color="auto" w:fill="auto"/>
            <w:vAlign w:val="bottom"/>
            <w:hideMark/>
          </w:tcPr>
          <w:p w14:paraId="621160EE" w14:textId="77777777" w:rsidR="00BD2756" w:rsidRPr="001D0B77" w:rsidRDefault="00BD2756" w:rsidP="00D960A0">
            <w:pPr>
              <w:ind w:left="0" w:firstLine="0"/>
              <w:rPr>
                <w:rFonts w:asciiTheme="minorHAnsi" w:hAnsiTheme="minorHAnsi" w:cstheme="minorHAnsi"/>
                <w:sz w:val="20"/>
                <w:szCs w:val="20"/>
              </w:rPr>
            </w:pPr>
          </w:p>
        </w:tc>
        <w:tc>
          <w:tcPr>
            <w:tcW w:w="865" w:type="dxa"/>
            <w:tcBorders>
              <w:top w:val="single" w:sz="4" w:space="0" w:color="auto"/>
              <w:left w:val="nil"/>
              <w:bottom w:val="nil"/>
              <w:right w:val="nil"/>
            </w:tcBorders>
            <w:shd w:val="clear" w:color="auto" w:fill="auto"/>
            <w:vAlign w:val="bottom"/>
            <w:hideMark/>
          </w:tcPr>
          <w:p w14:paraId="4FC065F3" w14:textId="77777777" w:rsidR="00BD2756" w:rsidRPr="001D0B77" w:rsidRDefault="00BD2756" w:rsidP="00D960A0">
            <w:pPr>
              <w:ind w:left="0" w:firstLine="0"/>
              <w:rPr>
                <w:rFonts w:asciiTheme="minorHAnsi" w:hAnsiTheme="minorHAnsi" w:cstheme="minorHAnsi"/>
                <w:sz w:val="20"/>
                <w:szCs w:val="20"/>
              </w:rPr>
            </w:pPr>
          </w:p>
        </w:tc>
        <w:tc>
          <w:tcPr>
            <w:tcW w:w="236" w:type="dxa"/>
            <w:tcBorders>
              <w:top w:val="single" w:sz="4" w:space="0" w:color="auto"/>
              <w:left w:val="nil"/>
              <w:bottom w:val="nil"/>
              <w:right w:val="nil"/>
            </w:tcBorders>
            <w:shd w:val="clear" w:color="auto" w:fill="auto"/>
            <w:vAlign w:val="bottom"/>
            <w:hideMark/>
          </w:tcPr>
          <w:p w14:paraId="2313ECCD" w14:textId="77777777" w:rsidR="00BD2756" w:rsidRPr="001D0B77" w:rsidRDefault="00BD2756" w:rsidP="00D960A0">
            <w:pPr>
              <w:ind w:left="0" w:firstLine="0"/>
              <w:rPr>
                <w:rFonts w:asciiTheme="minorHAnsi" w:hAnsiTheme="minorHAnsi" w:cstheme="minorHAnsi"/>
                <w:sz w:val="20"/>
                <w:szCs w:val="20"/>
              </w:rPr>
            </w:pPr>
          </w:p>
        </w:tc>
        <w:tc>
          <w:tcPr>
            <w:tcW w:w="1226" w:type="dxa"/>
            <w:gridSpan w:val="2"/>
            <w:tcBorders>
              <w:top w:val="single" w:sz="4" w:space="0" w:color="auto"/>
              <w:left w:val="nil"/>
              <w:bottom w:val="nil"/>
              <w:right w:val="nil"/>
            </w:tcBorders>
            <w:shd w:val="clear" w:color="auto" w:fill="auto"/>
            <w:vAlign w:val="bottom"/>
            <w:hideMark/>
          </w:tcPr>
          <w:p w14:paraId="4E703FED" w14:textId="77777777" w:rsidR="00BD2756" w:rsidRPr="001D0B77" w:rsidRDefault="00BD2756" w:rsidP="00D960A0">
            <w:pPr>
              <w:ind w:left="0" w:firstLine="0"/>
              <w:rPr>
                <w:rFonts w:asciiTheme="minorHAnsi" w:hAnsiTheme="minorHAnsi" w:cstheme="minorHAnsi"/>
                <w:sz w:val="20"/>
                <w:szCs w:val="20"/>
              </w:rPr>
            </w:pPr>
          </w:p>
        </w:tc>
        <w:tc>
          <w:tcPr>
            <w:tcW w:w="242" w:type="dxa"/>
            <w:gridSpan w:val="2"/>
            <w:tcBorders>
              <w:top w:val="single" w:sz="4" w:space="0" w:color="auto"/>
              <w:left w:val="nil"/>
              <w:bottom w:val="nil"/>
              <w:right w:val="nil"/>
            </w:tcBorders>
            <w:shd w:val="clear" w:color="auto" w:fill="auto"/>
            <w:vAlign w:val="bottom"/>
            <w:hideMark/>
          </w:tcPr>
          <w:p w14:paraId="43513D91" w14:textId="77777777" w:rsidR="00BD2756" w:rsidRPr="001D0B77" w:rsidRDefault="00BD2756" w:rsidP="00D960A0">
            <w:pPr>
              <w:ind w:left="0" w:firstLine="0"/>
              <w:rPr>
                <w:rFonts w:asciiTheme="minorHAnsi" w:hAnsiTheme="minorHAnsi" w:cstheme="minorHAnsi"/>
                <w:sz w:val="20"/>
                <w:szCs w:val="20"/>
              </w:rPr>
            </w:pPr>
          </w:p>
        </w:tc>
        <w:tc>
          <w:tcPr>
            <w:tcW w:w="1001" w:type="dxa"/>
            <w:gridSpan w:val="2"/>
            <w:tcBorders>
              <w:top w:val="single" w:sz="4" w:space="0" w:color="auto"/>
              <w:left w:val="nil"/>
              <w:bottom w:val="nil"/>
              <w:right w:val="nil"/>
            </w:tcBorders>
            <w:shd w:val="clear" w:color="auto" w:fill="auto"/>
            <w:vAlign w:val="bottom"/>
            <w:hideMark/>
          </w:tcPr>
          <w:p w14:paraId="1EB3AEAE" w14:textId="77777777" w:rsidR="00BD2756" w:rsidRPr="001D0B77" w:rsidRDefault="00BD2756" w:rsidP="00D960A0">
            <w:pPr>
              <w:ind w:left="0" w:firstLine="0"/>
              <w:rPr>
                <w:rFonts w:asciiTheme="minorHAnsi" w:hAnsiTheme="minorHAnsi" w:cstheme="minorHAnsi"/>
                <w:sz w:val="20"/>
                <w:szCs w:val="20"/>
              </w:rPr>
            </w:pPr>
          </w:p>
        </w:tc>
        <w:tc>
          <w:tcPr>
            <w:tcW w:w="243" w:type="dxa"/>
            <w:gridSpan w:val="2"/>
            <w:tcBorders>
              <w:top w:val="single" w:sz="4" w:space="0" w:color="auto"/>
              <w:left w:val="nil"/>
              <w:bottom w:val="nil"/>
              <w:right w:val="nil"/>
            </w:tcBorders>
            <w:shd w:val="clear" w:color="auto" w:fill="auto"/>
            <w:vAlign w:val="bottom"/>
            <w:hideMark/>
          </w:tcPr>
          <w:p w14:paraId="6E411C3B" w14:textId="77777777" w:rsidR="00BD2756" w:rsidRPr="001D0B77" w:rsidRDefault="00BD2756" w:rsidP="00D960A0">
            <w:pPr>
              <w:ind w:left="0" w:firstLine="0"/>
              <w:rPr>
                <w:rFonts w:asciiTheme="minorHAnsi" w:hAnsiTheme="minorHAnsi" w:cstheme="minorHAnsi"/>
                <w:sz w:val="20"/>
                <w:szCs w:val="20"/>
              </w:rPr>
            </w:pPr>
          </w:p>
        </w:tc>
        <w:tc>
          <w:tcPr>
            <w:tcW w:w="1083" w:type="dxa"/>
            <w:gridSpan w:val="2"/>
            <w:tcBorders>
              <w:top w:val="single" w:sz="4" w:space="0" w:color="auto"/>
              <w:left w:val="nil"/>
              <w:bottom w:val="nil"/>
              <w:right w:val="nil"/>
            </w:tcBorders>
            <w:shd w:val="clear" w:color="auto" w:fill="auto"/>
            <w:vAlign w:val="bottom"/>
            <w:hideMark/>
          </w:tcPr>
          <w:p w14:paraId="52E4E72A" w14:textId="77777777" w:rsidR="00BD2756" w:rsidRPr="001D0B77" w:rsidRDefault="00BD2756" w:rsidP="00D960A0">
            <w:pPr>
              <w:ind w:left="0" w:firstLine="0"/>
              <w:rPr>
                <w:rFonts w:asciiTheme="minorHAnsi" w:hAnsiTheme="minorHAnsi" w:cstheme="minorHAnsi"/>
                <w:sz w:val="20"/>
                <w:szCs w:val="20"/>
              </w:rPr>
            </w:pPr>
          </w:p>
        </w:tc>
      </w:tr>
      <w:tr w:rsidR="002D76F8" w:rsidRPr="001D0B77" w14:paraId="0927870A" w14:textId="77777777" w:rsidTr="00BA0F3C">
        <w:trPr>
          <w:gridAfter w:val="1"/>
          <w:wAfter w:w="14" w:type="dxa"/>
        </w:trPr>
        <w:tc>
          <w:tcPr>
            <w:tcW w:w="1127" w:type="dxa"/>
            <w:tcBorders>
              <w:top w:val="nil"/>
              <w:left w:val="nil"/>
              <w:bottom w:val="nil"/>
              <w:right w:val="nil"/>
            </w:tcBorders>
            <w:shd w:val="clear" w:color="auto" w:fill="auto"/>
            <w:hideMark/>
          </w:tcPr>
          <w:p w14:paraId="346E7046"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R100159</w:t>
            </w:r>
          </w:p>
        </w:tc>
        <w:tc>
          <w:tcPr>
            <w:tcW w:w="1965" w:type="dxa"/>
            <w:tcBorders>
              <w:top w:val="nil"/>
              <w:left w:val="nil"/>
              <w:bottom w:val="nil"/>
              <w:right w:val="nil"/>
            </w:tcBorders>
            <w:shd w:val="clear" w:color="auto" w:fill="auto"/>
            <w:hideMark/>
          </w:tcPr>
          <w:p w14:paraId="0BD602A0"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SGF-2009</w:t>
            </w:r>
          </w:p>
        </w:tc>
        <w:tc>
          <w:tcPr>
            <w:tcW w:w="1060" w:type="dxa"/>
            <w:tcBorders>
              <w:top w:val="nil"/>
              <w:left w:val="nil"/>
              <w:bottom w:val="nil"/>
              <w:right w:val="nil"/>
            </w:tcBorders>
            <w:shd w:val="clear" w:color="auto" w:fill="auto"/>
            <w:hideMark/>
          </w:tcPr>
          <w:p w14:paraId="2C2F7BC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60</w:t>
            </w:r>
          </w:p>
        </w:tc>
        <w:tc>
          <w:tcPr>
            <w:tcW w:w="236" w:type="dxa"/>
            <w:tcBorders>
              <w:top w:val="nil"/>
              <w:left w:val="nil"/>
              <w:bottom w:val="nil"/>
              <w:right w:val="nil"/>
            </w:tcBorders>
            <w:shd w:val="clear" w:color="auto" w:fill="auto"/>
            <w:hideMark/>
          </w:tcPr>
          <w:p w14:paraId="34AB8DD4"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346CDB6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4F28D827"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6CF927A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2D744469"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60712FE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7147C739"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69B2BDC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60</w:t>
            </w:r>
          </w:p>
        </w:tc>
      </w:tr>
      <w:tr w:rsidR="002D76F8" w:rsidRPr="001D0B77" w14:paraId="22054F60" w14:textId="77777777" w:rsidTr="00BA0F3C">
        <w:trPr>
          <w:gridAfter w:val="1"/>
          <w:wAfter w:w="14" w:type="dxa"/>
        </w:trPr>
        <w:tc>
          <w:tcPr>
            <w:tcW w:w="1127" w:type="dxa"/>
            <w:tcBorders>
              <w:top w:val="nil"/>
              <w:left w:val="nil"/>
              <w:bottom w:val="nil"/>
              <w:right w:val="nil"/>
            </w:tcBorders>
            <w:shd w:val="clear" w:color="auto" w:fill="auto"/>
            <w:hideMark/>
          </w:tcPr>
          <w:p w14:paraId="4C7434E4"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R100160</w:t>
            </w:r>
          </w:p>
        </w:tc>
        <w:tc>
          <w:tcPr>
            <w:tcW w:w="1965" w:type="dxa"/>
            <w:tcBorders>
              <w:top w:val="nil"/>
              <w:left w:val="nil"/>
              <w:bottom w:val="nil"/>
              <w:right w:val="nil"/>
            </w:tcBorders>
            <w:shd w:val="clear" w:color="auto" w:fill="auto"/>
            <w:hideMark/>
          </w:tcPr>
          <w:p w14:paraId="211DF9C1"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SGF 2010</w:t>
            </w:r>
          </w:p>
        </w:tc>
        <w:tc>
          <w:tcPr>
            <w:tcW w:w="1060" w:type="dxa"/>
            <w:tcBorders>
              <w:top w:val="nil"/>
              <w:left w:val="nil"/>
              <w:bottom w:val="nil"/>
              <w:right w:val="nil"/>
            </w:tcBorders>
            <w:shd w:val="clear" w:color="auto" w:fill="auto"/>
            <w:hideMark/>
          </w:tcPr>
          <w:p w14:paraId="16031C4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53</w:t>
            </w:r>
          </w:p>
        </w:tc>
        <w:tc>
          <w:tcPr>
            <w:tcW w:w="236" w:type="dxa"/>
            <w:tcBorders>
              <w:top w:val="nil"/>
              <w:left w:val="nil"/>
              <w:bottom w:val="nil"/>
              <w:right w:val="nil"/>
            </w:tcBorders>
            <w:shd w:val="clear" w:color="auto" w:fill="auto"/>
            <w:hideMark/>
          </w:tcPr>
          <w:p w14:paraId="1061C936"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270CD2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0C7BDF70"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073785F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781BD428"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5EA70AE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495A09DF"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1E39949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53</w:t>
            </w:r>
          </w:p>
        </w:tc>
      </w:tr>
      <w:tr w:rsidR="002D76F8" w:rsidRPr="001D0B77" w14:paraId="2FAA7F68" w14:textId="77777777" w:rsidTr="00BA0F3C">
        <w:trPr>
          <w:gridAfter w:val="1"/>
          <w:wAfter w:w="14" w:type="dxa"/>
        </w:trPr>
        <w:tc>
          <w:tcPr>
            <w:tcW w:w="1127" w:type="dxa"/>
            <w:tcBorders>
              <w:top w:val="nil"/>
              <w:left w:val="nil"/>
              <w:bottom w:val="nil"/>
              <w:right w:val="nil"/>
            </w:tcBorders>
            <w:shd w:val="clear" w:color="auto" w:fill="auto"/>
            <w:hideMark/>
          </w:tcPr>
          <w:p w14:paraId="40C2E167"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R100161</w:t>
            </w:r>
          </w:p>
        </w:tc>
        <w:tc>
          <w:tcPr>
            <w:tcW w:w="1965" w:type="dxa"/>
            <w:tcBorders>
              <w:top w:val="nil"/>
              <w:left w:val="nil"/>
              <w:bottom w:val="nil"/>
              <w:right w:val="nil"/>
            </w:tcBorders>
            <w:shd w:val="clear" w:color="auto" w:fill="auto"/>
            <w:hideMark/>
          </w:tcPr>
          <w:p w14:paraId="0F4E09DB"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SGF-2011</w:t>
            </w:r>
          </w:p>
        </w:tc>
        <w:tc>
          <w:tcPr>
            <w:tcW w:w="1060" w:type="dxa"/>
            <w:tcBorders>
              <w:top w:val="nil"/>
              <w:left w:val="nil"/>
              <w:bottom w:val="nil"/>
              <w:right w:val="nil"/>
            </w:tcBorders>
            <w:shd w:val="clear" w:color="auto" w:fill="auto"/>
            <w:hideMark/>
          </w:tcPr>
          <w:p w14:paraId="3FDCDD7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23</w:t>
            </w:r>
          </w:p>
        </w:tc>
        <w:tc>
          <w:tcPr>
            <w:tcW w:w="236" w:type="dxa"/>
            <w:tcBorders>
              <w:top w:val="nil"/>
              <w:left w:val="nil"/>
              <w:bottom w:val="nil"/>
              <w:right w:val="nil"/>
            </w:tcBorders>
            <w:shd w:val="clear" w:color="auto" w:fill="auto"/>
            <w:hideMark/>
          </w:tcPr>
          <w:p w14:paraId="17280B73"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764BF49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5AF45A4B"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6B38C3B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7BB82BF9"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637BE52B"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23138A40"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FAB74B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23</w:t>
            </w:r>
          </w:p>
        </w:tc>
      </w:tr>
      <w:tr w:rsidR="002D76F8" w:rsidRPr="001D0B77" w14:paraId="08260318" w14:textId="77777777" w:rsidTr="00BA0F3C">
        <w:trPr>
          <w:gridAfter w:val="1"/>
          <w:wAfter w:w="14" w:type="dxa"/>
        </w:trPr>
        <w:tc>
          <w:tcPr>
            <w:tcW w:w="1127" w:type="dxa"/>
            <w:tcBorders>
              <w:top w:val="nil"/>
              <w:left w:val="nil"/>
              <w:bottom w:val="nil"/>
              <w:right w:val="nil"/>
            </w:tcBorders>
            <w:shd w:val="clear" w:color="auto" w:fill="auto"/>
            <w:hideMark/>
          </w:tcPr>
          <w:p w14:paraId="3AE67F37"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R100163</w:t>
            </w:r>
          </w:p>
        </w:tc>
        <w:tc>
          <w:tcPr>
            <w:tcW w:w="1965" w:type="dxa"/>
            <w:tcBorders>
              <w:top w:val="nil"/>
              <w:left w:val="nil"/>
              <w:bottom w:val="nil"/>
              <w:right w:val="nil"/>
            </w:tcBorders>
            <w:shd w:val="clear" w:color="auto" w:fill="auto"/>
            <w:hideMark/>
          </w:tcPr>
          <w:p w14:paraId="37AB30EE"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SGF-2013</w:t>
            </w:r>
          </w:p>
        </w:tc>
        <w:tc>
          <w:tcPr>
            <w:tcW w:w="1060" w:type="dxa"/>
            <w:tcBorders>
              <w:top w:val="nil"/>
              <w:left w:val="nil"/>
              <w:bottom w:val="nil"/>
              <w:right w:val="nil"/>
            </w:tcBorders>
            <w:shd w:val="clear" w:color="auto" w:fill="auto"/>
            <w:hideMark/>
          </w:tcPr>
          <w:p w14:paraId="3D80ED0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w:t>
            </w:r>
          </w:p>
        </w:tc>
        <w:tc>
          <w:tcPr>
            <w:tcW w:w="236" w:type="dxa"/>
            <w:tcBorders>
              <w:top w:val="nil"/>
              <w:left w:val="nil"/>
              <w:bottom w:val="nil"/>
              <w:right w:val="nil"/>
            </w:tcBorders>
            <w:shd w:val="clear" w:color="auto" w:fill="auto"/>
            <w:hideMark/>
          </w:tcPr>
          <w:p w14:paraId="16122C31"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523616F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001AC571"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E1521C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2BBD525E"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190DB32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3D9F5C5A"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25A6B97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w:t>
            </w:r>
          </w:p>
        </w:tc>
      </w:tr>
      <w:tr w:rsidR="002D76F8" w:rsidRPr="001D0B77" w14:paraId="031CDD5D" w14:textId="77777777" w:rsidTr="00BA0F3C">
        <w:trPr>
          <w:gridAfter w:val="1"/>
          <w:wAfter w:w="14" w:type="dxa"/>
        </w:trPr>
        <w:tc>
          <w:tcPr>
            <w:tcW w:w="1127" w:type="dxa"/>
            <w:tcBorders>
              <w:top w:val="nil"/>
              <w:left w:val="nil"/>
              <w:bottom w:val="nil"/>
              <w:right w:val="nil"/>
            </w:tcBorders>
            <w:shd w:val="clear" w:color="auto" w:fill="auto"/>
            <w:hideMark/>
          </w:tcPr>
          <w:p w14:paraId="355162AC"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R100265</w:t>
            </w:r>
          </w:p>
        </w:tc>
        <w:tc>
          <w:tcPr>
            <w:tcW w:w="1965" w:type="dxa"/>
            <w:tcBorders>
              <w:top w:val="nil"/>
              <w:left w:val="nil"/>
              <w:bottom w:val="nil"/>
              <w:right w:val="nil"/>
            </w:tcBorders>
            <w:shd w:val="clear" w:color="auto" w:fill="auto"/>
            <w:hideMark/>
          </w:tcPr>
          <w:p w14:paraId="0E4327BF"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SGA-Pre-2016</w:t>
            </w:r>
          </w:p>
        </w:tc>
        <w:tc>
          <w:tcPr>
            <w:tcW w:w="1060" w:type="dxa"/>
            <w:tcBorders>
              <w:top w:val="nil"/>
              <w:left w:val="nil"/>
              <w:bottom w:val="nil"/>
              <w:right w:val="nil"/>
            </w:tcBorders>
            <w:shd w:val="clear" w:color="auto" w:fill="auto"/>
            <w:hideMark/>
          </w:tcPr>
          <w:p w14:paraId="415873E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79630A27"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678984E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21BDADF3"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04C7170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64CC040B"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1C40E4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235</w:t>
            </w:r>
          </w:p>
        </w:tc>
        <w:tc>
          <w:tcPr>
            <w:tcW w:w="243" w:type="dxa"/>
            <w:gridSpan w:val="2"/>
            <w:tcBorders>
              <w:top w:val="nil"/>
              <w:left w:val="nil"/>
              <w:bottom w:val="nil"/>
              <w:right w:val="nil"/>
            </w:tcBorders>
            <w:shd w:val="clear" w:color="auto" w:fill="auto"/>
            <w:hideMark/>
          </w:tcPr>
          <w:p w14:paraId="5964DCC3"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D76014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235</w:t>
            </w:r>
          </w:p>
        </w:tc>
      </w:tr>
      <w:tr w:rsidR="002D76F8" w:rsidRPr="001D0B77" w14:paraId="00722EC7" w14:textId="77777777" w:rsidTr="00BA0F3C">
        <w:trPr>
          <w:gridAfter w:val="1"/>
          <w:wAfter w:w="14" w:type="dxa"/>
        </w:trPr>
        <w:tc>
          <w:tcPr>
            <w:tcW w:w="1127" w:type="dxa"/>
            <w:tcBorders>
              <w:top w:val="nil"/>
              <w:left w:val="nil"/>
              <w:bottom w:val="nil"/>
              <w:right w:val="nil"/>
            </w:tcBorders>
            <w:shd w:val="clear" w:color="auto" w:fill="auto"/>
            <w:hideMark/>
          </w:tcPr>
          <w:p w14:paraId="0564EBF7"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R100266</w:t>
            </w:r>
          </w:p>
        </w:tc>
        <w:tc>
          <w:tcPr>
            <w:tcW w:w="1965" w:type="dxa"/>
            <w:tcBorders>
              <w:top w:val="nil"/>
              <w:left w:val="nil"/>
              <w:bottom w:val="nil"/>
              <w:right w:val="nil"/>
            </w:tcBorders>
            <w:shd w:val="clear" w:color="auto" w:fill="auto"/>
            <w:hideMark/>
          </w:tcPr>
          <w:p w14:paraId="0BBD1889"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SGA-2016</w:t>
            </w:r>
          </w:p>
        </w:tc>
        <w:tc>
          <w:tcPr>
            <w:tcW w:w="1060" w:type="dxa"/>
            <w:tcBorders>
              <w:top w:val="nil"/>
              <w:left w:val="nil"/>
              <w:bottom w:val="nil"/>
              <w:right w:val="nil"/>
            </w:tcBorders>
            <w:shd w:val="clear" w:color="auto" w:fill="auto"/>
            <w:hideMark/>
          </w:tcPr>
          <w:p w14:paraId="7062F3E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49</w:t>
            </w:r>
          </w:p>
        </w:tc>
        <w:tc>
          <w:tcPr>
            <w:tcW w:w="236" w:type="dxa"/>
            <w:tcBorders>
              <w:top w:val="nil"/>
              <w:left w:val="nil"/>
              <w:bottom w:val="nil"/>
              <w:right w:val="nil"/>
            </w:tcBorders>
            <w:shd w:val="clear" w:color="auto" w:fill="auto"/>
            <w:hideMark/>
          </w:tcPr>
          <w:p w14:paraId="1F340C6A"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2ACCF82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1457D79E"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08F782C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(22)</w:t>
            </w:r>
          </w:p>
        </w:tc>
        <w:tc>
          <w:tcPr>
            <w:tcW w:w="242" w:type="dxa"/>
            <w:gridSpan w:val="2"/>
            <w:tcBorders>
              <w:top w:val="nil"/>
              <w:left w:val="nil"/>
              <w:bottom w:val="nil"/>
              <w:right w:val="nil"/>
            </w:tcBorders>
            <w:shd w:val="clear" w:color="auto" w:fill="auto"/>
            <w:hideMark/>
          </w:tcPr>
          <w:p w14:paraId="1A608627"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4073DB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24D679A2"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5304F68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26</w:t>
            </w:r>
          </w:p>
        </w:tc>
      </w:tr>
      <w:tr w:rsidR="002D76F8" w:rsidRPr="001D0B77" w14:paraId="36C9EEF1" w14:textId="77777777" w:rsidTr="00BA0F3C">
        <w:trPr>
          <w:gridAfter w:val="1"/>
          <w:wAfter w:w="14" w:type="dxa"/>
        </w:trPr>
        <w:tc>
          <w:tcPr>
            <w:tcW w:w="1127" w:type="dxa"/>
            <w:tcBorders>
              <w:top w:val="nil"/>
              <w:left w:val="nil"/>
              <w:bottom w:val="nil"/>
              <w:right w:val="nil"/>
            </w:tcBorders>
            <w:shd w:val="clear" w:color="auto" w:fill="auto"/>
            <w:hideMark/>
          </w:tcPr>
          <w:p w14:paraId="37792F55"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R100362</w:t>
            </w:r>
          </w:p>
        </w:tc>
        <w:tc>
          <w:tcPr>
            <w:tcW w:w="1965" w:type="dxa"/>
            <w:tcBorders>
              <w:top w:val="nil"/>
              <w:left w:val="nil"/>
              <w:bottom w:val="nil"/>
              <w:right w:val="nil"/>
            </w:tcBorders>
            <w:shd w:val="clear" w:color="auto" w:fill="auto"/>
            <w:hideMark/>
          </w:tcPr>
          <w:p w14:paraId="3F199BB5"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WFF-2012</w:t>
            </w:r>
          </w:p>
        </w:tc>
        <w:tc>
          <w:tcPr>
            <w:tcW w:w="1060" w:type="dxa"/>
            <w:tcBorders>
              <w:top w:val="nil"/>
              <w:left w:val="nil"/>
              <w:bottom w:val="nil"/>
              <w:right w:val="nil"/>
            </w:tcBorders>
            <w:shd w:val="clear" w:color="auto" w:fill="auto"/>
            <w:hideMark/>
          </w:tcPr>
          <w:p w14:paraId="54774D2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35</w:t>
            </w:r>
          </w:p>
        </w:tc>
        <w:tc>
          <w:tcPr>
            <w:tcW w:w="236" w:type="dxa"/>
            <w:tcBorders>
              <w:top w:val="nil"/>
              <w:left w:val="nil"/>
              <w:bottom w:val="nil"/>
              <w:right w:val="nil"/>
            </w:tcBorders>
            <w:shd w:val="clear" w:color="auto" w:fill="auto"/>
            <w:hideMark/>
          </w:tcPr>
          <w:p w14:paraId="7FD81900"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2043FF8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c>
          <w:tcPr>
            <w:tcW w:w="236" w:type="dxa"/>
            <w:tcBorders>
              <w:top w:val="nil"/>
              <w:left w:val="nil"/>
              <w:bottom w:val="nil"/>
              <w:right w:val="nil"/>
            </w:tcBorders>
            <w:shd w:val="clear" w:color="auto" w:fill="auto"/>
            <w:hideMark/>
          </w:tcPr>
          <w:p w14:paraId="6BAF8316"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4744CC0B"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w:t>
            </w:r>
          </w:p>
        </w:tc>
        <w:tc>
          <w:tcPr>
            <w:tcW w:w="242" w:type="dxa"/>
            <w:gridSpan w:val="2"/>
            <w:tcBorders>
              <w:top w:val="nil"/>
              <w:left w:val="nil"/>
              <w:bottom w:val="nil"/>
              <w:right w:val="nil"/>
            </w:tcBorders>
            <w:shd w:val="clear" w:color="auto" w:fill="auto"/>
            <w:hideMark/>
          </w:tcPr>
          <w:p w14:paraId="35548EF3"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7FCC8A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07AAC0B5"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CAF93E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34</w:t>
            </w:r>
          </w:p>
        </w:tc>
      </w:tr>
      <w:tr w:rsidR="002D76F8" w:rsidRPr="001D0B77" w14:paraId="2CC50FC5" w14:textId="77777777" w:rsidTr="00BA0F3C">
        <w:trPr>
          <w:gridAfter w:val="1"/>
          <w:wAfter w:w="14" w:type="dxa"/>
        </w:trPr>
        <w:tc>
          <w:tcPr>
            <w:tcW w:w="1127" w:type="dxa"/>
            <w:tcBorders>
              <w:top w:val="nil"/>
              <w:left w:val="nil"/>
              <w:bottom w:val="nil"/>
              <w:right w:val="nil"/>
            </w:tcBorders>
            <w:shd w:val="clear" w:color="auto" w:fill="auto"/>
            <w:hideMark/>
          </w:tcPr>
          <w:p w14:paraId="7BE06E36"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R100364</w:t>
            </w:r>
          </w:p>
        </w:tc>
        <w:tc>
          <w:tcPr>
            <w:tcW w:w="1965" w:type="dxa"/>
            <w:tcBorders>
              <w:top w:val="nil"/>
              <w:left w:val="nil"/>
              <w:bottom w:val="nil"/>
              <w:right w:val="nil"/>
            </w:tcBorders>
            <w:shd w:val="clear" w:color="auto" w:fill="auto"/>
            <w:hideMark/>
          </w:tcPr>
          <w:p w14:paraId="6BF10593"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WFF-2014</w:t>
            </w:r>
          </w:p>
        </w:tc>
        <w:tc>
          <w:tcPr>
            <w:tcW w:w="1060" w:type="dxa"/>
            <w:tcBorders>
              <w:top w:val="nil"/>
              <w:left w:val="nil"/>
              <w:bottom w:val="nil"/>
              <w:right w:val="nil"/>
            </w:tcBorders>
            <w:shd w:val="clear" w:color="auto" w:fill="auto"/>
            <w:hideMark/>
          </w:tcPr>
          <w:p w14:paraId="186FD14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49</w:t>
            </w:r>
          </w:p>
        </w:tc>
        <w:tc>
          <w:tcPr>
            <w:tcW w:w="236" w:type="dxa"/>
            <w:tcBorders>
              <w:top w:val="nil"/>
              <w:left w:val="nil"/>
              <w:bottom w:val="nil"/>
              <w:right w:val="nil"/>
            </w:tcBorders>
            <w:shd w:val="clear" w:color="auto" w:fill="auto"/>
            <w:hideMark/>
          </w:tcPr>
          <w:p w14:paraId="14BBD0BB"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443642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c>
          <w:tcPr>
            <w:tcW w:w="236" w:type="dxa"/>
            <w:tcBorders>
              <w:top w:val="nil"/>
              <w:left w:val="nil"/>
              <w:bottom w:val="nil"/>
              <w:right w:val="nil"/>
            </w:tcBorders>
            <w:shd w:val="clear" w:color="auto" w:fill="auto"/>
            <w:hideMark/>
          </w:tcPr>
          <w:p w14:paraId="286644A6"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664604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(27)</w:t>
            </w:r>
          </w:p>
        </w:tc>
        <w:tc>
          <w:tcPr>
            <w:tcW w:w="242" w:type="dxa"/>
            <w:gridSpan w:val="2"/>
            <w:tcBorders>
              <w:top w:val="nil"/>
              <w:left w:val="nil"/>
              <w:bottom w:val="nil"/>
              <w:right w:val="nil"/>
            </w:tcBorders>
            <w:shd w:val="clear" w:color="auto" w:fill="auto"/>
            <w:hideMark/>
          </w:tcPr>
          <w:p w14:paraId="03CE8B0B"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5B8D33B"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3E8C34AF"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23CDE48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22</w:t>
            </w:r>
          </w:p>
        </w:tc>
      </w:tr>
      <w:tr w:rsidR="002D76F8" w:rsidRPr="001D0B77" w14:paraId="76BFE5CA" w14:textId="77777777" w:rsidTr="00BA0F3C">
        <w:trPr>
          <w:gridAfter w:val="1"/>
          <w:wAfter w:w="14" w:type="dxa"/>
        </w:trPr>
        <w:tc>
          <w:tcPr>
            <w:tcW w:w="1127" w:type="dxa"/>
            <w:tcBorders>
              <w:top w:val="nil"/>
              <w:left w:val="nil"/>
              <w:bottom w:val="nil"/>
              <w:right w:val="nil"/>
            </w:tcBorders>
            <w:shd w:val="clear" w:color="auto" w:fill="auto"/>
            <w:hideMark/>
          </w:tcPr>
          <w:p w14:paraId="1EFAD4A8"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R100365</w:t>
            </w:r>
          </w:p>
        </w:tc>
        <w:tc>
          <w:tcPr>
            <w:tcW w:w="1965" w:type="dxa"/>
            <w:tcBorders>
              <w:top w:val="nil"/>
              <w:left w:val="nil"/>
              <w:bottom w:val="nil"/>
              <w:right w:val="nil"/>
            </w:tcBorders>
            <w:shd w:val="clear" w:color="auto" w:fill="auto"/>
            <w:hideMark/>
          </w:tcPr>
          <w:p w14:paraId="17BCED93"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WFF - 2015 &amp; 2016</w:t>
            </w:r>
          </w:p>
        </w:tc>
        <w:tc>
          <w:tcPr>
            <w:tcW w:w="1060" w:type="dxa"/>
            <w:tcBorders>
              <w:top w:val="nil"/>
              <w:left w:val="nil"/>
              <w:bottom w:val="nil"/>
              <w:right w:val="nil"/>
            </w:tcBorders>
            <w:shd w:val="clear" w:color="auto" w:fill="auto"/>
            <w:hideMark/>
          </w:tcPr>
          <w:p w14:paraId="45F2F14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201</w:t>
            </w:r>
          </w:p>
        </w:tc>
        <w:tc>
          <w:tcPr>
            <w:tcW w:w="236" w:type="dxa"/>
            <w:tcBorders>
              <w:top w:val="nil"/>
              <w:left w:val="nil"/>
              <w:bottom w:val="nil"/>
              <w:right w:val="nil"/>
            </w:tcBorders>
            <w:shd w:val="clear" w:color="auto" w:fill="auto"/>
            <w:hideMark/>
          </w:tcPr>
          <w:p w14:paraId="141DFDB8"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5D9B2AA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24C0F67B"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9BC990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7347CBA1"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45BC5C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right w:val="nil"/>
            </w:tcBorders>
            <w:shd w:val="clear" w:color="auto" w:fill="auto"/>
            <w:hideMark/>
          </w:tcPr>
          <w:p w14:paraId="6FBEC7CB"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5039D8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201</w:t>
            </w:r>
          </w:p>
        </w:tc>
      </w:tr>
      <w:tr w:rsidR="002D76F8" w:rsidRPr="001D0B77" w14:paraId="6CB4ABAA" w14:textId="77777777" w:rsidTr="00BA0F3C">
        <w:trPr>
          <w:gridAfter w:val="1"/>
          <w:wAfter w:w="14" w:type="dxa"/>
        </w:trPr>
        <w:tc>
          <w:tcPr>
            <w:tcW w:w="1127" w:type="dxa"/>
            <w:tcBorders>
              <w:top w:val="nil"/>
              <w:left w:val="nil"/>
              <w:bottom w:val="nil"/>
              <w:right w:val="nil"/>
            </w:tcBorders>
            <w:shd w:val="clear" w:color="auto" w:fill="auto"/>
            <w:hideMark/>
          </w:tcPr>
          <w:p w14:paraId="3ADF5FBC"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R100407</w:t>
            </w:r>
          </w:p>
        </w:tc>
        <w:tc>
          <w:tcPr>
            <w:tcW w:w="1965" w:type="dxa"/>
            <w:tcBorders>
              <w:top w:val="nil"/>
              <w:left w:val="nil"/>
              <w:bottom w:val="nil"/>
              <w:right w:val="nil"/>
            </w:tcBorders>
            <w:shd w:val="clear" w:color="auto" w:fill="auto"/>
            <w:hideMark/>
          </w:tcPr>
          <w:p w14:paraId="266871C3"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RI Central Asia (Norway)</w:t>
            </w:r>
          </w:p>
        </w:tc>
        <w:tc>
          <w:tcPr>
            <w:tcW w:w="1060" w:type="dxa"/>
            <w:tcBorders>
              <w:top w:val="nil"/>
              <w:left w:val="nil"/>
              <w:bottom w:val="nil"/>
              <w:right w:val="nil"/>
            </w:tcBorders>
            <w:shd w:val="clear" w:color="auto" w:fill="auto"/>
            <w:hideMark/>
          </w:tcPr>
          <w:p w14:paraId="0FE0FDB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w:t>
            </w:r>
          </w:p>
        </w:tc>
        <w:tc>
          <w:tcPr>
            <w:tcW w:w="236" w:type="dxa"/>
            <w:tcBorders>
              <w:top w:val="nil"/>
              <w:left w:val="nil"/>
              <w:right w:val="nil"/>
            </w:tcBorders>
            <w:shd w:val="clear" w:color="auto" w:fill="auto"/>
            <w:hideMark/>
          </w:tcPr>
          <w:p w14:paraId="45730278"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6832820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right w:val="nil"/>
            </w:tcBorders>
            <w:shd w:val="clear" w:color="auto" w:fill="auto"/>
            <w:hideMark/>
          </w:tcPr>
          <w:p w14:paraId="74B2DE24"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0D01139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right w:val="nil"/>
            </w:tcBorders>
            <w:shd w:val="clear" w:color="auto" w:fill="auto"/>
            <w:hideMark/>
          </w:tcPr>
          <w:p w14:paraId="7D59AC9F"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74403A0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5EFE4E71"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5D143EA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w:t>
            </w:r>
          </w:p>
        </w:tc>
      </w:tr>
      <w:tr w:rsidR="002D76F8" w:rsidRPr="001D0B77" w14:paraId="1D5960AE" w14:textId="77777777" w:rsidTr="00BA0F3C">
        <w:trPr>
          <w:gridAfter w:val="1"/>
          <w:wAfter w:w="14" w:type="dxa"/>
        </w:trPr>
        <w:tc>
          <w:tcPr>
            <w:tcW w:w="1127" w:type="dxa"/>
            <w:tcBorders>
              <w:top w:val="nil"/>
              <w:left w:val="nil"/>
              <w:bottom w:val="nil"/>
              <w:right w:val="nil"/>
            </w:tcBorders>
            <w:shd w:val="clear" w:color="auto" w:fill="auto"/>
            <w:hideMark/>
          </w:tcPr>
          <w:p w14:paraId="6A2A8387"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R100408</w:t>
            </w:r>
          </w:p>
        </w:tc>
        <w:tc>
          <w:tcPr>
            <w:tcW w:w="1965" w:type="dxa"/>
            <w:tcBorders>
              <w:top w:val="nil"/>
              <w:left w:val="nil"/>
              <w:bottom w:val="nil"/>
              <w:right w:val="nil"/>
            </w:tcBorders>
            <w:shd w:val="clear" w:color="auto" w:fill="auto"/>
            <w:hideMark/>
          </w:tcPr>
          <w:p w14:paraId="7C04CC19"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Nagao Wetland Fund (NEF Japan)</w:t>
            </w:r>
          </w:p>
        </w:tc>
        <w:tc>
          <w:tcPr>
            <w:tcW w:w="1060" w:type="dxa"/>
            <w:tcBorders>
              <w:top w:val="nil"/>
              <w:left w:val="nil"/>
              <w:bottom w:val="nil"/>
              <w:right w:val="nil"/>
            </w:tcBorders>
            <w:shd w:val="clear" w:color="auto" w:fill="auto"/>
            <w:hideMark/>
          </w:tcPr>
          <w:p w14:paraId="5F16D72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104</w:t>
            </w:r>
          </w:p>
        </w:tc>
        <w:tc>
          <w:tcPr>
            <w:tcW w:w="236" w:type="dxa"/>
            <w:tcBorders>
              <w:top w:val="nil"/>
              <w:left w:val="nil"/>
              <w:bottom w:val="nil"/>
              <w:right w:val="nil"/>
            </w:tcBorders>
            <w:shd w:val="clear" w:color="auto" w:fill="auto"/>
            <w:hideMark/>
          </w:tcPr>
          <w:p w14:paraId="0A49384F"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3601DE3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88</w:t>
            </w:r>
          </w:p>
        </w:tc>
        <w:tc>
          <w:tcPr>
            <w:tcW w:w="236" w:type="dxa"/>
            <w:tcBorders>
              <w:top w:val="nil"/>
              <w:left w:val="nil"/>
              <w:bottom w:val="nil"/>
              <w:right w:val="nil"/>
            </w:tcBorders>
            <w:shd w:val="clear" w:color="auto" w:fill="auto"/>
            <w:hideMark/>
          </w:tcPr>
          <w:p w14:paraId="00B650E1"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6D496F0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(65)</w:t>
            </w:r>
          </w:p>
        </w:tc>
        <w:tc>
          <w:tcPr>
            <w:tcW w:w="242" w:type="dxa"/>
            <w:gridSpan w:val="2"/>
            <w:tcBorders>
              <w:top w:val="nil"/>
              <w:left w:val="nil"/>
              <w:bottom w:val="nil"/>
              <w:right w:val="nil"/>
            </w:tcBorders>
            <w:shd w:val="clear" w:color="auto" w:fill="auto"/>
            <w:hideMark/>
          </w:tcPr>
          <w:p w14:paraId="353433BC"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EB1857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(19)</w:t>
            </w:r>
          </w:p>
        </w:tc>
        <w:tc>
          <w:tcPr>
            <w:tcW w:w="243" w:type="dxa"/>
            <w:gridSpan w:val="2"/>
            <w:tcBorders>
              <w:top w:val="nil"/>
              <w:left w:val="nil"/>
              <w:bottom w:val="nil"/>
              <w:right w:val="nil"/>
            </w:tcBorders>
            <w:shd w:val="clear" w:color="auto" w:fill="auto"/>
            <w:hideMark/>
          </w:tcPr>
          <w:p w14:paraId="6B5B1693"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207E038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108</w:t>
            </w:r>
          </w:p>
        </w:tc>
      </w:tr>
      <w:tr w:rsidR="002D76F8" w:rsidRPr="001D0B77" w14:paraId="374DCCBD"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08DEAD82" w14:textId="77777777" w:rsidR="00BD2756" w:rsidRPr="001D0B77" w:rsidRDefault="00BD2756" w:rsidP="00D960A0">
            <w:pPr>
              <w:ind w:left="0" w:firstLine="0"/>
              <w:rPr>
                <w:rFonts w:asciiTheme="minorHAnsi" w:hAnsiTheme="minorHAnsi" w:cstheme="minorHAnsi"/>
                <w:sz w:val="20"/>
                <w:szCs w:val="20"/>
              </w:rPr>
            </w:pPr>
          </w:p>
        </w:tc>
        <w:tc>
          <w:tcPr>
            <w:tcW w:w="1965" w:type="dxa"/>
            <w:tcBorders>
              <w:top w:val="nil"/>
              <w:left w:val="nil"/>
              <w:bottom w:val="single" w:sz="4" w:space="0" w:color="auto"/>
              <w:right w:val="nil"/>
            </w:tcBorders>
            <w:shd w:val="clear" w:color="auto" w:fill="auto"/>
            <w:hideMark/>
          </w:tcPr>
          <w:p w14:paraId="61B313D7"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hideMark/>
          </w:tcPr>
          <w:p w14:paraId="2E0D011D"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43F07F7D"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single" w:sz="4" w:space="0" w:color="auto"/>
              <w:right w:val="nil"/>
            </w:tcBorders>
            <w:shd w:val="clear" w:color="auto" w:fill="auto"/>
            <w:hideMark/>
          </w:tcPr>
          <w:p w14:paraId="7C57C2F6"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4DDF4E6D"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single" w:sz="4" w:space="0" w:color="auto"/>
              <w:right w:val="nil"/>
            </w:tcBorders>
            <w:shd w:val="clear" w:color="auto" w:fill="auto"/>
            <w:hideMark/>
          </w:tcPr>
          <w:p w14:paraId="0AD09D91"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top w:val="nil"/>
              <w:left w:val="nil"/>
              <w:right w:val="nil"/>
            </w:tcBorders>
            <w:shd w:val="clear" w:color="auto" w:fill="auto"/>
            <w:hideMark/>
          </w:tcPr>
          <w:p w14:paraId="003981B8"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single" w:sz="4" w:space="0" w:color="auto"/>
              <w:right w:val="nil"/>
            </w:tcBorders>
            <w:shd w:val="clear" w:color="auto" w:fill="auto"/>
            <w:hideMark/>
          </w:tcPr>
          <w:p w14:paraId="3932329B"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top w:val="nil"/>
              <w:left w:val="nil"/>
              <w:right w:val="nil"/>
            </w:tcBorders>
            <w:shd w:val="clear" w:color="auto" w:fill="auto"/>
            <w:hideMark/>
          </w:tcPr>
          <w:p w14:paraId="55CC3814"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single" w:sz="4" w:space="0" w:color="auto"/>
              <w:right w:val="nil"/>
            </w:tcBorders>
            <w:shd w:val="clear" w:color="auto" w:fill="auto"/>
            <w:hideMark/>
          </w:tcPr>
          <w:p w14:paraId="16904257"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336F5048"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3EB42CED" w14:textId="77777777" w:rsidR="00BD2756" w:rsidRPr="001D0B77" w:rsidRDefault="00BD2756" w:rsidP="00D960A0">
            <w:pPr>
              <w:ind w:left="0" w:firstLine="0"/>
              <w:rPr>
                <w:rFonts w:asciiTheme="minorHAnsi" w:hAnsiTheme="minorHAnsi" w:cstheme="minorHAnsi"/>
                <w:b/>
                <w:bCs/>
                <w:sz w:val="20"/>
                <w:szCs w:val="20"/>
              </w:rPr>
            </w:pPr>
            <w:r w:rsidRPr="001D0B77">
              <w:rPr>
                <w:rFonts w:asciiTheme="minorHAnsi" w:hAnsiTheme="minorHAnsi" w:cstheme="minorHAnsi"/>
                <w:b/>
                <w:bCs/>
                <w:sz w:val="20"/>
                <w:szCs w:val="20"/>
              </w:rPr>
              <w:t>Total of International Cooperation</w:t>
            </w:r>
          </w:p>
        </w:tc>
        <w:tc>
          <w:tcPr>
            <w:tcW w:w="1060" w:type="dxa"/>
            <w:tcBorders>
              <w:top w:val="single" w:sz="4" w:space="0" w:color="auto"/>
              <w:left w:val="nil"/>
              <w:bottom w:val="single" w:sz="4" w:space="0" w:color="auto"/>
              <w:right w:val="nil"/>
            </w:tcBorders>
            <w:shd w:val="clear" w:color="auto" w:fill="EAF1DD" w:themeFill="accent3" w:themeFillTint="33"/>
            <w:hideMark/>
          </w:tcPr>
          <w:p w14:paraId="212C57C4"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578</w:t>
            </w:r>
          </w:p>
        </w:tc>
        <w:tc>
          <w:tcPr>
            <w:tcW w:w="236" w:type="dxa"/>
            <w:tcBorders>
              <w:left w:val="nil"/>
              <w:right w:val="nil"/>
            </w:tcBorders>
            <w:shd w:val="clear" w:color="auto" w:fill="EAF1DD" w:themeFill="accent3" w:themeFillTint="33"/>
            <w:hideMark/>
          </w:tcPr>
          <w:p w14:paraId="3D2FC19C" w14:textId="77777777" w:rsidR="00BD2756" w:rsidRPr="001D0B77" w:rsidRDefault="00BD2756" w:rsidP="00D960A0">
            <w:pPr>
              <w:ind w:left="0" w:firstLine="0"/>
              <w:jc w:val="right"/>
              <w:rPr>
                <w:rFonts w:asciiTheme="minorHAnsi" w:hAnsiTheme="minorHAnsi" w:cstheme="minorHAnsi"/>
                <w:b/>
                <w:bCs/>
                <w:sz w:val="20"/>
                <w:szCs w:val="20"/>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6C235B7B"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88</w:t>
            </w:r>
          </w:p>
        </w:tc>
        <w:tc>
          <w:tcPr>
            <w:tcW w:w="236" w:type="dxa"/>
            <w:tcBorders>
              <w:left w:val="nil"/>
              <w:right w:val="nil"/>
            </w:tcBorders>
            <w:shd w:val="clear" w:color="auto" w:fill="EAF1DD" w:themeFill="accent3" w:themeFillTint="33"/>
            <w:hideMark/>
          </w:tcPr>
          <w:p w14:paraId="23796769" w14:textId="77777777" w:rsidR="00BD2756" w:rsidRPr="001D0B77" w:rsidRDefault="00BD2756" w:rsidP="00D960A0">
            <w:pPr>
              <w:ind w:left="0" w:firstLine="0"/>
              <w:jc w:val="right"/>
              <w:rPr>
                <w:rFonts w:asciiTheme="minorHAnsi" w:hAnsiTheme="minorHAnsi" w:cstheme="minorHAnsi"/>
                <w:b/>
                <w:bCs/>
                <w:sz w:val="20"/>
                <w:szCs w:val="20"/>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0380E603"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(115)</w:t>
            </w:r>
          </w:p>
        </w:tc>
        <w:tc>
          <w:tcPr>
            <w:tcW w:w="242" w:type="dxa"/>
            <w:gridSpan w:val="2"/>
            <w:tcBorders>
              <w:left w:val="nil"/>
              <w:right w:val="nil"/>
            </w:tcBorders>
            <w:shd w:val="clear" w:color="auto" w:fill="EAF1DD" w:themeFill="accent3" w:themeFillTint="33"/>
            <w:hideMark/>
          </w:tcPr>
          <w:p w14:paraId="0304C3C8" w14:textId="77777777" w:rsidR="00BD2756" w:rsidRPr="001D0B77" w:rsidRDefault="00BD2756" w:rsidP="00D960A0">
            <w:pPr>
              <w:ind w:left="0" w:firstLine="0"/>
              <w:jc w:val="right"/>
              <w:rPr>
                <w:rFonts w:asciiTheme="minorHAnsi" w:hAnsiTheme="minorHAnsi" w:cstheme="minorHAnsi"/>
                <w:b/>
                <w:bCs/>
                <w:sz w:val="20"/>
                <w:szCs w:val="20"/>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68D77618"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216</w:t>
            </w:r>
          </w:p>
        </w:tc>
        <w:tc>
          <w:tcPr>
            <w:tcW w:w="243" w:type="dxa"/>
            <w:gridSpan w:val="2"/>
            <w:tcBorders>
              <w:left w:val="nil"/>
              <w:right w:val="nil"/>
            </w:tcBorders>
            <w:shd w:val="clear" w:color="auto" w:fill="EAF1DD" w:themeFill="accent3" w:themeFillTint="33"/>
            <w:hideMark/>
          </w:tcPr>
          <w:p w14:paraId="2CDA5788" w14:textId="77777777" w:rsidR="00BD2756" w:rsidRPr="001D0B77" w:rsidRDefault="00BD2756" w:rsidP="00D960A0">
            <w:pPr>
              <w:ind w:left="0" w:firstLine="0"/>
              <w:jc w:val="right"/>
              <w:rPr>
                <w:rFonts w:asciiTheme="minorHAnsi" w:hAnsiTheme="minorHAnsi" w:cstheme="minorHAnsi"/>
                <w:b/>
                <w:bCs/>
                <w:sz w:val="20"/>
                <w:szCs w:val="20"/>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4F5CBA99"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768</w:t>
            </w:r>
          </w:p>
        </w:tc>
      </w:tr>
      <w:tr w:rsidR="002D76F8" w:rsidRPr="001D0B77" w14:paraId="15F8AB84"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5067A5AF" w14:textId="77777777" w:rsidR="00BD2756" w:rsidRPr="001D0B77" w:rsidRDefault="00BD2756" w:rsidP="00D960A0">
            <w:pPr>
              <w:ind w:left="0" w:firstLine="0"/>
              <w:rPr>
                <w:rFonts w:asciiTheme="minorHAnsi" w:hAnsiTheme="minorHAnsi" w:cstheme="minorHAnsi"/>
                <w:b/>
                <w:bCs/>
                <w:sz w:val="20"/>
                <w:szCs w:val="20"/>
              </w:rPr>
            </w:pPr>
          </w:p>
        </w:tc>
        <w:tc>
          <w:tcPr>
            <w:tcW w:w="1965" w:type="dxa"/>
            <w:tcBorders>
              <w:top w:val="single" w:sz="4" w:space="0" w:color="auto"/>
              <w:left w:val="nil"/>
              <w:bottom w:val="nil"/>
              <w:right w:val="nil"/>
            </w:tcBorders>
            <w:shd w:val="clear" w:color="auto" w:fill="auto"/>
            <w:hideMark/>
          </w:tcPr>
          <w:p w14:paraId="334C0803"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single" w:sz="4" w:space="0" w:color="auto"/>
              <w:left w:val="nil"/>
              <w:bottom w:val="nil"/>
              <w:right w:val="nil"/>
            </w:tcBorders>
            <w:shd w:val="clear" w:color="auto" w:fill="auto"/>
            <w:hideMark/>
          </w:tcPr>
          <w:p w14:paraId="06DC21FA"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bottom w:val="nil"/>
              <w:right w:val="nil"/>
            </w:tcBorders>
            <w:shd w:val="clear" w:color="auto" w:fill="auto"/>
            <w:hideMark/>
          </w:tcPr>
          <w:p w14:paraId="461020DA"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single" w:sz="4" w:space="0" w:color="auto"/>
              <w:left w:val="nil"/>
              <w:bottom w:val="nil"/>
              <w:right w:val="nil"/>
            </w:tcBorders>
            <w:shd w:val="clear" w:color="auto" w:fill="auto"/>
            <w:hideMark/>
          </w:tcPr>
          <w:p w14:paraId="73C92B67"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bottom w:val="nil"/>
              <w:right w:val="nil"/>
            </w:tcBorders>
            <w:shd w:val="clear" w:color="auto" w:fill="auto"/>
            <w:hideMark/>
          </w:tcPr>
          <w:p w14:paraId="0792F0F4"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single" w:sz="4" w:space="0" w:color="auto"/>
              <w:left w:val="nil"/>
              <w:bottom w:val="nil"/>
              <w:right w:val="nil"/>
            </w:tcBorders>
            <w:shd w:val="clear" w:color="auto" w:fill="auto"/>
            <w:hideMark/>
          </w:tcPr>
          <w:p w14:paraId="2B326EB9"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left w:val="nil"/>
              <w:bottom w:val="nil"/>
              <w:right w:val="nil"/>
            </w:tcBorders>
            <w:shd w:val="clear" w:color="auto" w:fill="auto"/>
            <w:hideMark/>
          </w:tcPr>
          <w:p w14:paraId="48CE7DE2"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single" w:sz="4" w:space="0" w:color="auto"/>
              <w:left w:val="nil"/>
              <w:bottom w:val="nil"/>
              <w:right w:val="nil"/>
            </w:tcBorders>
            <w:shd w:val="clear" w:color="auto" w:fill="auto"/>
            <w:hideMark/>
          </w:tcPr>
          <w:p w14:paraId="34C0164D"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left w:val="nil"/>
              <w:bottom w:val="nil"/>
              <w:right w:val="nil"/>
            </w:tcBorders>
            <w:shd w:val="clear" w:color="auto" w:fill="auto"/>
            <w:hideMark/>
          </w:tcPr>
          <w:p w14:paraId="48246196"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single" w:sz="4" w:space="0" w:color="auto"/>
              <w:left w:val="nil"/>
              <w:bottom w:val="nil"/>
              <w:right w:val="nil"/>
            </w:tcBorders>
            <w:shd w:val="clear" w:color="auto" w:fill="auto"/>
            <w:hideMark/>
          </w:tcPr>
          <w:p w14:paraId="36C09AA0" w14:textId="77777777" w:rsidR="00BD2756" w:rsidRPr="001D0B77" w:rsidRDefault="00BD2756" w:rsidP="00D960A0">
            <w:pPr>
              <w:ind w:left="0" w:firstLine="0"/>
              <w:jc w:val="right"/>
              <w:rPr>
                <w:rFonts w:asciiTheme="minorHAnsi" w:hAnsiTheme="minorHAnsi" w:cstheme="minorHAnsi"/>
                <w:sz w:val="20"/>
                <w:szCs w:val="20"/>
              </w:rPr>
            </w:pPr>
          </w:p>
        </w:tc>
      </w:tr>
      <w:tr w:rsidR="00BD2756" w:rsidRPr="001D0B77" w14:paraId="7586C7D5" w14:textId="77777777" w:rsidTr="00BA0F3C">
        <w:trPr>
          <w:gridAfter w:val="1"/>
          <w:wAfter w:w="14" w:type="dxa"/>
        </w:trPr>
        <w:tc>
          <w:tcPr>
            <w:tcW w:w="3092" w:type="dxa"/>
            <w:gridSpan w:val="2"/>
            <w:tcBorders>
              <w:top w:val="nil"/>
              <w:left w:val="nil"/>
              <w:bottom w:val="nil"/>
              <w:right w:val="nil"/>
            </w:tcBorders>
            <w:shd w:val="clear" w:color="auto" w:fill="auto"/>
            <w:hideMark/>
          </w:tcPr>
          <w:p w14:paraId="2D9FAE05" w14:textId="77777777" w:rsidR="002D76F8" w:rsidRPr="001D0B77" w:rsidRDefault="002D76F8" w:rsidP="00D960A0">
            <w:pPr>
              <w:ind w:left="0" w:firstLine="0"/>
              <w:rPr>
                <w:rFonts w:asciiTheme="minorHAnsi" w:hAnsiTheme="minorHAnsi" w:cstheme="minorHAnsi"/>
                <w:b/>
                <w:bCs/>
                <w:sz w:val="20"/>
                <w:szCs w:val="20"/>
                <w:u w:val="single"/>
              </w:rPr>
            </w:pPr>
          </w:p>
          <w:p w14:paraId="7FD8B40D" w14:textId="4B3AE63E" w:rsidR="00BD2756" w:rsidRPr="001D0B77" w:rsidRDefault="00BD2756" w:rsidP="00D960A0">
            <w:pPr>
              <w:ind w:left="0" w:firstLine="0"/>
              <w:rPr>
                <w:rFonts w:asciiTheme="minorHAnsi" w:hAnsiTheme="minorHAnsi" w:cstheme="minorHAnsi"/>
                <w:b/>
                <w:bCs/>
                <w:sz w:val="20"/>
                <w:szCs w:val="20"/>
                <w:u w:val="single"/>
              </w:rPr>
            </w:pPr>
            <w:r w:rsidRPr="001D0B77">
              <w:rPr>
                <w:rFonts w:asciiTheme="minorHAnsi" w:hAnsiTheme="minorHAnsi" w:cstheme="minorHAnsi"/>
                <w:b/>
                <w:bCs/>
                <w:sz w:val="20"/>
                <w:szCs w:val="20"/>
                <w:u w:val="single"/>
              </w:rPr>
              <w:t>Listed Sites</w:t>
            </w:r>
          </w:p>
        </w:tc>
        <w:tc>
          <w:tcPr>
            <w:tcW w:w="1060" w:type="dxa"/>
            <w:tcBorders>
              <w:top w:val="nil"/>
              <w:left w:val="nil"/>
              <w:bottom w:val="nil"/>
              <w:right w:val="nil"/>
            </w:tcBorders>
            <w:shd w:val="clear" w:color="auto" w:fill="auto"/>
            <w:textDirection w:val="btLr"/>
            <w:hideMark/>
          </w:tcPr>
          <w:p w14:paraId="37805367" w14:textId="77777777" w:rsidR="00BD2756" w:rsidRPr="001D0B77" w:rsidRDefault="00BD2756" w:rsidP="00D960A0">
            <w:pPr>
              <w:ind w:left="0" w:firstLine="0"/>
              <w:jc w:val="right"/>
              <w:rPr>
                <w:rFonts w:asciiTheme="minorHAnsi" w:hAnsiTheme="minorHAnsi" w:cstheme="minorHAnsi"/>
                <w:b/>
                <w:bCs/>
                <w:sz w:val="20"/>
                <w:szCs w:val="20"/>
                <w:u w:val="single"/>
              </w:rPr>
            </w:pPr>
          </w:p>
        </w:tc>
        <w:tc>
          <w:tcPr>
            <w:tcW w:w="236" w:type="dxa"/>
            <w:tcBorders>
              <w:top w:val="nil"/>
              <w:left w:val="nil"/>
              <w:bottom w:val="nil"/>
              <w:right w:val="nil"/>
            </w:tcBorders>
            <w:shd w:val="clear" w:color="auto" w:fill="auto"/>
            <w:hideMark/>
          </w:tcPr>
          <w:p w14:paraId="510C79D9"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66AB5518"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bottom w:val="nil"/>
              <w:right w:val="nil"/>
            </w:tcBorders>
            <w:shd w:val="clear" w:color="auto" w:fill="auto"/>
            <w:hideMark/>
          </w:tcPr>
          <w:p w14:paraId="55EC5CB3"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67AD16D7"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top w:val="nil"/>
              <w:left w:val="nil"/>
              <w:bottom w:val="nil"/>
              <w:right w:val="nil"/>
            </w:tcBorders>
            <w:shd w:val="clear" w:color="auto" w:fill="auto"/>
            <w:hideMark/>
          </w:tcPr>
          <w:p w14:paraId="765231CF"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4A4DCE21"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top w:val="nil"/>
              <w:left w:val="nil"/>
              <w:bottom w:val="nil"/>
              <w:right w:val="nil"/>
            </w:tcBorders>
            <w:shd w:val="clear" w:color="auto" w:fill="auto"/>
            <w:hideMark/>
          </w:tcPr>
          <w:p w14:paraId="25E9B29D"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1175F6B9"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50B3D809" w14:textId="77777777" w:rsidTr="00BA0F3C">
        <w:trPr>
          <w:gridAfter w:val="1"/>
          <w:wAfter w:w="14" w:type="dxa"/>
        </w:trPr>
        <w:tc>
          <w:tcPr>
            <w:tcW w:w="1127" w:type="dxa"/>
            <w:tcBorders>
              <w:top w:val="nil"/>
              <w:left w:val="nil"/>
              <w:bottom w:val="nil"/>
              <w:right w:val="nil"/>
            </w:tcBorders>
            <w:shd w:val="clear" w:color="auto" w:fill="auto"/>
            <w:hideMark/>
          </w:tcPr>
          <w:p w14:paraId="4EAD3229"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R100110</w:t>
            </w:r>
          </w:p>
        </w:tc>
        <w:tc>
          <w:tcPr>
            <w:tcW w:w="1965" w:type="dxa"/>
            <w:tcBorders>
              <w:top w:val="nil"/>
              <w:left w:val="nil"/>
              <w:bottom w:val="nil"/>
              <w:right w:val="nil"/>
            </w:tcBorders>
            <w:shd w:val="clear" w:color="auto" w:fill="auto"/>
            <w:hideMark/>
          </w:tcPr>
          <w:p w14:paraId="656A2B6E"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RAM</w:t>
            </w:r>
          </w:p>
        </w:tc>
        <w:tc>
          <w:tcPr>
            <w:tcW w:w="1060" w:type="dxa"/>
            <w:tcBorders>
              <w:top w:val="nil"/>
              <w:left w:val="nil"/>
              <w:bottom w:val="nil"/>
              <w:right w:val="nil"/>
            </w:tcBorders>
            <w:shd w:val="clear" w:color="auto" w:fill="auto"/>
            <w:hideMark/>
          </w:tcPr>
          <w:p w14:paraId="3511015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98</w:t>
            </w:r>
          </w:p>
        </w:tc>
        <w:tc>
          <w:tcPr>
            <w:tcW w:w="236" w:type="dxa"/>
            <w:tcBorders>
              <w:top w:val="nil"/>
              <w:left w:val="nil"/>
              <w:bottom w:val="nil"/>
              <w:right w:val="nil"/>
            </w:tcBorders>
            <w:shd w:val="clear" w:color="auto" w:fill="auto"/>
            <w:hideMark/>
          </w:tcPr>
          <w:p w14:paraId="686C388C"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AC22E93"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29</w:t>
            </w:r>
          </w:p>
        </w:tc>
        <w:tc>
          <w:tcPr>
            <w:tcW w:w="236" w:type="dxa"/>
            <w:tcBorders>
              <w:top w:val="nil"/>
              <w:left w:val="nil"/>
              <w:bottom w:val="nil"/>
              <w:right w:val="nil"/>
            </w:tcBorders>
            <w:shd w:val="clear" w:color="auto" w:fill="auto"/>
            <w:hideMark/>
          </w:tcPr>
          <w:p w14:paraId="26817D78"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50B723A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(9)</w:t>
            </w:r>
          </w:p>
        </w:tc>
        <w:tc>
          <w:tcPr>
            <w:tcW w:w="242" w:type="dxa"/>
            <w:gridSpan w:val="2"/>
            <w:tcBorders>
              <w:top w:val="nil"/>
              <w:left w:val="nil"/>
              <w:bottom w:val="nil"/>
              <w:right w:val="nil"/>
            </w:tcBorders>
            <w:shd w:val="clear" w:color="auto" w:fill="auto"/>
            <w:hideMark/>
          </w:tcPr>
          <w:p w14:paraId="1CE0C82B"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766BDA0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22995362"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6F2099A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118</w:t>
            </w:r>
          </w:p>
        </w:tc>
      </w:tr>
      <w:tr w:rsidR="002D76F8" w:rsidRPr="001D0B77" w14:paraId="50656816"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1E73C3FD" w14:textId="77777777" w:rsidR="00BD2756" w:rsidRPr="001D0B77" w:rsidRDefault="00BD2756" w:rsidP="00D960A0">
            <w:pPr>
              <w:ind w:left="0" w:firstLine="0"/>
              <w:rPr>
                <w:rFonts w:asciiTheme="minorHAnsi" w:hAnsiTheme="minorHAnsi" w:cstheme="minorHAnsi"/>
                <w:sz w:val="20"/>
                <w:szCs w:val="20"/>
              </w:rPr>
            </w:pPr>
          </w:p>
        </w:tc>
        <w:tc>
          <w:tcPr>
            <w:tcW w:w="1965" w:type="dxa"/>
            <w:tcBorders>
              <w:top w:val="nil"/>
              <w:left w:val="nil"/>
              <w:bottom w:val="single" w:sz="4" w:space="0" w:color="auto"/>
              <w:right w:val="nil"/>
            </w:tcBorders>
            <w:shd w:val="clear" w:color="auto" w:fill="auto"/>
            <w:hideMark/>
          </w:tcPr>
          <w:p w14:paraId="5A3277E8"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hideMark/>
          </w:tcPr>
          <w:p w14:paraId="5D2EE58F"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6B297677"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single" w:sz="4" w:space="0" w:color="auto"/>
              <w:right w:val="nil"/>
            </w:tcBorders>
            <w:shd w:val="clear" w:color="auto" w:fill="auto"/>
            <w:hideMark/>
          </w:tcPr>
          <w:p w14:paraId="30B29311"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4DC0B2F0"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single" w:sz="4" w:space="0" w:color="auto"/>
              <w:right w:val="nil"/>
            </w:tcBorders>
            <w:shd w:val="clear" w:color="auto" w:fill="auto"/>
            <w:hideMark/>
          </w:tcPr>
          <w:p w14:paraId="749D9121"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top w:val="nil"/>
              <w:left w:val="nil"/>
              <w:right w:val="nil"/>
            </w:tcBorders>
            <w:shd w:val="clear" w:color="auto" w:fill="auto"/>
            <w:hideMark/>
          </w:tcPr>
          <w:p w14:paraId="5BD58710"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single" w:sz="4" w:space="0" w:color="auto"/>
              <w:right w:val="nil"/>
            </w:tcBorders>
            <w:shd w:val="clear" w:color="auto" w:fill="auto"/>
            <w:hideMark/>
          </w:tcPr>
          <w:p w14:paraId="29AB5631"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top w:val="nil"/>
              <w:left w:val="nil"/>
              <w:right w:val="nil"/>
            </w:tcBorders>
            <w:shd w:val="clear" w:color="auto" w:fill="auto"/>
            <w:hideMark/>
          </w:tcPr>
          <w:p w14:paraId="2D16666D"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single" w:sz="4" w:space="0" w:color="auto"/>
              <w:right w:val="nil"/>
            </w:tcBorders>
            <w:shd w:val="clear" w:color="auto" w:fill="auto"/>
            <w:hideMark/>
          </w:tcPr>
          <w:p w14:paraId="4F642828"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5926DA0D"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5D5700DD" w14:textId="77777777" w:rsidR="00BD2756" w:rsidRPr="001D0B77" w:rsidRDefault="00BD2756" w:rsidP="00D960A0">
            <w:pPr>
              <w:ind w:left="0" w:firstLine="0"/>
              <w:rPr>
                <w:rFonts w:asciiTheme="minorHAnsi" w:hAnsiTheme="minorHAnsi" w:cstheme="minorHAnsi"/>
                <w:b/>
                <w:bCs/>
                <w:sz w:val="20"/>
                <w:szCs w:val="20"/>
              </w:rPr>
            </w:pPr>
            <w:r w:rsidRPr="001D0B77">
              <w:rPr>
                <w:rFonts w:asciiTheme="minorHAnsi" w:hAnsiTheme="minorHAnsi" w:cstheme="minorHAnsi"/>
                <w:b/>
                <w:bCs/>
                <w:sz w:val="20"/>
                <w:szCs w:val="20"/>
              </w:rPr>
              <w:t>Total of Listed Sites</w:t>
            </w:r>
          </w:p>
        </w:tc>
        <w:tc>
          <w:tcPr>
            <w:tcW w:w="1060" w:type="dxa"/>
            <w:tcBorders>
              <w:top w:val="single" w:sz="4" w:space="0" w:color="auto"/>
              <w:left w:val="nil"/>
              <w:bottom w:val="single" w:sz="4" w:space="0" w:color="auto"/>
              <w:right w:val="nil"/>
            </w:tcBorders>
            <w:shd w:val="clear" w:color="auto" w:fill="EAF1DD" w:themeFill="accent3" w:themeFillTint="33"/>
            <w:hideMark/>
          </w:tcPr>
          <w:p w14:paraId="6DC8F533"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98</w:t>
            </w:r>
          </w:p>
        </w:tc>
        <w:tc>
          <w:tcPr>
            <w:tcW w:w="236" w:type="dxa"/>
            <w:tcBorders>
              <w:left w:val="nil"/>
              <w:right w:val="nil"/>
            </w:tcBorders>
            <w:shd w:val="clear" w:color="auto" w:fill="EAF1DD" w:themeFill="accent3" w:themeFillTint="33"/>
            <w:hideMark/>
          </w:tcPr>
          <w:p w14:paraId="51739A57" w14:textId="77777777" w:rsidR="00BD2756" w:rsidRPr="001D0B77" w:rsidRDefault="00BD2756" w:rsidP="00D960A0">
            <w:pPr>
              <w:ind w:left="0" w:firstLine="0"/>
              <w:jc w:val="right"/>
              <w:rPr>
                <w:rFonts w:asciiTheme="minorHAnsi" w:hAnsiTheme="minorHAnsi" w:cstheme="minorHAnsi"/>
                <w:b/>
                <w:bCs/>
                <w:sz w:val="20"/>
                <w:szCs w:val="20"/>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5AF4DC56"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29</w:t>
            </w:r>
          </w:p>
        </w:tc>
        <w:tc>
          <w:tcPr>
            <w:tcW w:w="236" w:type="dxa"/>
            <w:tcBorders>
              <w:left w:val="nil"/>
              <w:right w:val="nil"/>
            </w:tcBorders>
            <w:shd w:val="clear" w:color="auto" w:fill="EAF1DD" w:themeFill="accent3" w:themeFillTint="33"/>
            <w:hideMark/>
          </w:tcPr>
          <w:p w14:paraId="7EB5BC2F" w14:textId="77777777" w:rsidR="00BD2756" w:rsidRPr="001D0B77" w:rsidRDefault="00BD2756" w:rsidP="00D960A0">
            <w:pPr>
              <w:ind w:left="0" w:firstLine="0"/>
              <w:jc w:val="right"/>
              <w:rPr>
                <w:rFonts w:asciiTheme="minorHAnsi" w:hAnsiTheme="minorHAnsi" w:cstheme="minorHAnsi"/>
                <w:b/>
                <w:bCs/>
                <w:sz w:val="20"/>
                <w:szCs w:val="20"/>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1D015B53"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(9)</w:t>
            </w:r>
          </w:p>
        </w:tc>
        <w:tc>
          <w:tcPr>
            <w:tcW w:w="242" w:type="dxa"/>
            <w:gridSpan w:val="2"/>
            <w:tcBorders>
              <w:left w:val="nil"/>
              <w:right w:val="nil"/>
            </w:tcBorders>
            <w:shd w:val="clear" w:color="auto" w:fill="EAF1DD" w:themeFill="accent3" w:themeFillTint="33"/>
            <w:hideMark/>
          </w:tcPr>
          <w:p w14:paraId="5819498E" w14:textId="77777777" w:rsidR="00BD2756" w:rsidRPr="001D0B77" w:rsidRDefault="00BD2756" w:rsidP="00D960A0">
            <w:pPr>
              <w:ind w:left="0" w:firstLine="0"/>
              <w:jc w:val="right"/>
              <w:rPr>
                <w:rFonts w:asciiTheme="minorHAnsi" w:hAnsiTheme="minorHAnsi" w:cstheme="minorHAnsi"/>
                <w:b/>
                <w:bCs/>
                <w:sz w:val="20"/>
                <w:szCs w:val="20"/>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5D27B496"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w:t>
            </w:r>
          </w:p>
        </w:tc>
        <w:tc>
          <w:tcPr>
            <w:tcW w:w="243" w:type="dxa"/>
            <w:gridSpan w:val="2"/>
            <w:tcBorders>
              <w:left w:val="nil"/>
              <w:right w:val="nil"/>
            </w:tcBorders>
            <w:shd w:val="clear" w:color="auto" w:fill="EAF1DD" w:themeFill="accent3" w:themeFillTint="33"/>
            <w:hideMark/>
          </w:tcPr>
          <w:p w14:paraId="5747BCD3" w14:textId="77777777" w:rsidR="00BD2756" w:rsidRPr="001D0B77" w:rsidRDefault="00BD2756" w:rsidP="00D960A0">
            <w:pPr>
              <w:ind w:left="0" w:firstLine="0"/>
              <w:jc w:val="right"/>
              <w:rPr>
                <w:rFonts w:asciiTheme="minorHAnsi" w:hAnsiTheme="minorHAnsi" w:cstheme="minorHAnsi"/>
                <w:b/>
                <w:bCs/>
                <w:sz w:val="20"/>
                <w:szCs w:val="20"/>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7623DECA"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118</w:t>
            </w:r>
          </w:p>
        </w:tc>
      </w:tr>
      <w:tr w:rsidR="002D76F8" w:rsidRPr="001D0B77" w14:paraId="0084E811"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42880980" w14:textId="77777777" w:rsidR="00BD2756" w:rsidRPr="001D0B77" w:rsidRDefault="00BD2756" w:rsidP="00D960A0">
            <w:pPr>
              <w:ind w:left="0" w:firstLine="0"/>
              <w:rPr>
                <w:rFonts w:asciiTheme="minorHAnsi" w:hAnsiTheme="minorHAnsi" w:cstheme="minorHAnsi"/>
                <w:b/>
                <w:bCs/>
                <w:sz w:val="20"/>
                <w:szCs w:val="20"/>
              </w:rPr>
            </w:pPr>
          </w:p>
        </w:tc>
        <w:tc>
          <w:tcPr>
            <w:tcW w:w="1965" w:type="dxa"/>
            <w:tcBorders>
              <w:top w:val="single" w:sz="4" w:space="0" w:color="auto"/>
              <w:left w:val="nil"/>
              <w:bottom w:val="nil"/>
              <w:right w:val="nil"/>
            </w:tcBorders>
            <w:shd w:val="clear" w:color="auto" w:fill="auto"/>
            <w:hideMark/>
          </w:tcPr>
          <w:p w14:paraId="77E1591A"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single" w:sz="4" w:space="0" w:color="auto"/>
              <w:left w:val="nil"/>
              <w:bottom w:val="nil"/>
              <w:right w:val="nil"/>
            </w:tcBorders>
            <w:shd w:val="clear" w:color="auto" w:fill="auto"/>
            <w:hideMark/>
          </w:tcPr>
          <w:p w14:paraId="1B241FFA"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bottom w:val="nil"/>
              <w:right w:val="nil"/>
            </w:tcBorders>
            <w:shd w:val="clear" w:color="auto" w:fill="auto"/>
            <w:hideMark/>
          </w:tcPr>
          <w:p w14:paraId="53EB7217"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single" w:sz="4" w:space="0" w:color="auto"/>
              <w:left w:val="nil"/>
              <w:bottom w:val="nil"/>
              <w:right w:val="nil"/>
            </w:tcBorders>
            <w:shd w:val="clear" w:color="auto" w:fill="auto"/>
            <w:hideMark/>
          </w:tcPr>
          <w:p w14:paraId="0A84C602"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bottom w:val="nil"/>
              <w:right w:val="nil"/>
            </w:tcBorders>
            <w:shd w:val="clear" w:color="auto" w:fill="auto"/>
            <w:hideMark/>
          </w:tcPr>
          <w:p w14:paraId="22ACF28D"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single" w:sz="4" w:space="0" w:color="auto"/>
              <w:left w:val="nil"/>
              <w:bottom w:val="nil"/>
              <w:right w:val="nil"/>
            </w:tcBorders>
            <w:shd w:val="clear" w:color="auto" w:fill="auto"/>
            <w:hideMark/>
          </w:tcPr>
          <w:p w14:paraId="5FE1CB0F"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left w:val="nil"/>
              <w:bottom w:val="nil"/>
              <w:right w:val="nil"/>
            </w:tcBorders>
            <w:shd w:val="clear" w:color="auto" w:fill="auto"/>
            <w:hideMark/>
          </w:tcPr>
          <w:p w14:paraId="7437F55C"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single" w:sz="4" w:space="0" w:color="auto"/>
              <w:left w:val="nil"/>
              <w:bottom w:val="nil"/>
              <w:right w:val="nil"/>
            </w:tcBorders>
            <w:shd w:val="clear" w:color="auto" w:fill="auto"/>
            <w:hideMark/>
          </w:tcPr>
          <w:p w14:paraId="21CCAE61"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left w:val="nil"/>
              <w:bottom w:val="nil"/>
              <w:right w:val="nil"/>
            </w:tcBorders>
            <w:shd w:val="clear" w:color="auto" w:fill="auto"/>
            <w:hideMark/>
          </w:tcPr>
          <w:p w14:paraId="444A7EB4"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single" w:sz="4" w:space="0" w:color="auto"/>
              <w:left w:val="nil"/>
              <w:bottom w:val="nil"/>
              <w:right w:val="nil"/>
            </w:tcBorders>
            <w:shd w:val="clear" w:color="auto" w:fill="auto"/>
            <w:hideMark/>
          </w:tcPr>
          <w:p w14:paraId="78EB9375"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01AADA03" w14:textId="77777777" w:rsidTr="00BA0F3C">
        <w:trPr>
          <w:gridAfter w:val="1"/>
          <w:wAfter w:w="14" w:type="dxa"/>
        </w:trPr>
        <w:tc>
          <w:tcPr>
            <w:tcW w:w="1127" w:type="dxa"/>
            <w:tcBorders>
              <w:top w:val="nil"/>
              <w:left w:val="nil"/>
              <w:bottom w:val="nil"/>
              <w:right w:val="nil"/>
            </w:tcBorders>
            <w:shd w:val="clear" w:color="auto" w:fill="auto"/>
            <w:hideMark/>
          </w:tcPr>
          <w:p w14:paraId="243792CD" w14:textId="77777777" w:rsidR="002D76F8" w:rsidRPr="001D0B77" w:rsidRDefault="002D76F8" w:rsidP="00D960A0">
            <w:pPr>
              <w:ind w:left="0" w:firstLine="0"/>
              <w:rPr>
                <w:rFonts w:asciiTheme="minorHAnsi" w:hAnsiTheme="minorHAnsi" w:cstheme="minorHAnsi"/>
                <w:b/>
                <w:bCs/>
                <w:sz w:val="20"/>
                <w:szCs w:val="20"/>
                <w:u w:val="single"/>
              </w:rPr>
            </w:pPr>
          </w:p>
          <w:p w14:paraId="05C791B2" w14:textId="15E2432B" w:rsidR="00BD2756" w:rsidRPr="001D0B77" w:rsidRDefault="00BD2756" w:rsidP="00D960A0">
            <w:pPr>
              <w:ind w:left="0" w:firstLine="0"/>
              <w:rPr>
                <w:rFonts w:asciiTheme="minorHAnsi" w:hAnsiTheme="minorHAnsi" w:cstheme="minorHAnsi"/>
                <w:b/>
                <w:bCs/>
                <w:sz w:val="20"/>
                <w:szCs w:val="20"/>
                <w:u w:val="single"/>
              </w:rPr>
            </w:pPr>
            <w:r w:rsidRPr="001D0B77">
              <w:rPr>
                <w:rFonts w:asciiTheme="minorHAnsi" w:hAnsiTheme="minorHAnsi" w:cstheme="minorHAnsi"/>
                <w:b/>
                <w:bCs/>
                <w:sz w:val="20"/>
                <w:szCs w:val="20"/>
                <w:u w:val="single"/>
              </w:rPr>
              <w:t>Other</w:t>
            </w:r>
          </w:p>
        </w:tc>
        <w:tc>
          <w:tcPr>
            <w:tcW w:w="1965" w:type="dxa"/>
            <w:tcBorders>
              <w:top w:val="nil"/>
              <w:left w:val="nil"/>
              <w:bottom w:val="nil"/>
              <w:right w:val="nil"/>
            </w:tcBorders>
            <w:shd w:val="clear" w:color="auto" w:fill="auto"/>
            <w:hideMark/>
          </w:tcPr>
          <w:p w14:paraId="542D1203" w14:textId="77777777" w:rsidR="00BD2756" w:rsidRPr="001D0B77" w:rsidRDefault="00BD2756" w:rsidP="00D960A0">
            <w:pPr>
              <w:ind w:left="0" w:firstLine="0"/>
              <w:rPr>
                <w:rFonts w:asciiTheme="minorHAnsi" w:hAnsiTheme="minorHAnsi" w:cstheme="minorHAnsi"/>
                <w:b/>
                <w:bCs/>
                <w:sz w:val="20"/>
                <w:szCs w:val="20"/>
                <w:u w:val="single"/>
              </w:rPr>
            </w:pPr>
          </w:p>
        </w:tc>
        <w:tc>
          <w:tcPr>
            <w:tcW w:w="1060" w:type="dxa"/>
            <w:tcBorders>
              <w:top w:val="nil"/>
              <w:left w:val="nil"/>
              <w:bottom w:val="nil"/>
              <w:right w:val="nil"/>
            </w:tcBorders>
            <w:shd w:val="clear" w:color="auto" w:fill="auto"/>
            <w:textDirection w:val="btLr"/>
            <w:hideMark/>
          </w:tcPr>
          <w:p w14:paraId="6018D2D7"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bottom w:val="nil"/>
              <w:right w:val="nil"/>
            </w:tcBorders>
            <w:shd w:val="clear" w:color="auto" w:fill="auto"/>
            <w:hideMark/>
          </w:tcPr>
          <w:p w14:paraId="335D6337"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20B3F80B"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bottom w:val="nil"/>
              <w:right w:val="nil"/>
            </w:tcBorders>
            <w:shd w:val="clear" w:color="auto" w:fill="auto"/>
            <w:hideMark/>
          </w:tcPr>
          <w:p w14:paraId="333F8747"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27357AFF"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top w:val="nil"/>
              <w:left w:val="nil"/>
              <w:bottom w:val="nil"/>
              <w:right w:val="nil"/>
            </w:tcBorders>
            <w:shd w:val="clear" w:color="auto" w:fill="auto"/>
            <w:hideMark/>
          </w:tcPr>
          <w:p w14:paraId="49BC580F"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598B25F8"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top w:val="nil"/>
              <w:left w:val="nil"/>
              <w:bottom w:val="nil"/>
              <w:right w:val="nil"/>
            </w:tcBorders>
            <w:shd w:val="clear" w:color="auto" w:fill="auto"/>
            <w:hideMark/>
          </w:tcPr>
          <w:p w14:paraId="4A3C71DC"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BE8EBCD"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1C7621B0" w14:textId="77777777" w:rsidTr="00BA0F3C">
        <w:trPr>
          <w:gridAfter w:val="1"/>
          <w:wAfter w:w="14" w:type="dxa"/>
        </w:trPr>
        <w:tc>
          <w:tcPr>
            <w:tcW w:w="1127" w:type="dxa"/>
            <w:tcBorders>
              <w:top w:val="nil"/>
              <w:left w:val="nil"/>
              <w:bottom w:val="nil"/>
              <w:right w:val="nil"/>
            </w:tcBorders>
            <w:shd w:val="clear" w:color="auto" w:fill="auto"/>
            <w:hideMark/>
          </w:tcPr>
          <w:p w14:paraId="127A63F5"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R100100</w:t>
            </w:r>
          </w:p>
        </w:tc>
        <w:tc>
          <w:tcPr>
            <w:tcW w:w="1965" w:type="dxa"/>
            <w:tcBorders>
              <w:top w:val="nil"/>
              <w:left w:val="nil"/>
              <w:bottom w:val="nil"/>
              <w:right w:val="nil"/>
            </w:tcBorders>
            <w:shd w:val="clear" w:color="auto" w:fill="auto"/>
            <w:hideMark/>
          </w:tcPr>
          <w:p w14:paraId="7C5970B0"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Admin</w:t>
            </w:r>
          </w:p>
        </w:tc>
        <w:tc>
          <w:tcPr>
            <w:tcW w:w="1060" w:type="dxa"/>
            <w:tcBorders>
              <w:top w:val="nil"/>
              <w:left w:val="nil"/>
              <w:bottom w:val="nil"/>
              <w:right w:val="nil"/>
            </w:tcBorders>
            <w:shd w:val="clear" w:color="auto" w:fill="auto"/>
            <w:hideMark/>
          </w:tcPr>
          <w:p w14:paraId="0E451A1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795</w:t>
            </w:r>
          </w:p>
        </w:tc>
        <w:tc>
          <w:tcPr>
            <w:tcW w:w="236" w:type="dxa"/>
            <w:tcBorders>
              <w:top w:val="nil"/>
              <w:left w:val="nil"/>
              <w:bottom w:val="nil"/>
              <w:right w:val="nil"/>
            </w:tcBorders>
            <w:shd w:val="clear" w:color="auto" w:fill="auto"/>
            <w:hideMark/>
          </w:tcPr>
          <w:p w14:paraId="0C07558E"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069D09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w:t>
            </w:r>
          </w:p>
        </w:tc>
        <w:tc>
          <w:tcPr>
            <w:tcW w:w="236" w:type="dxa"/>
            <w:tcBorders>
              <w:top w:val="nil"/>
              <w:left w:val="nil"/>
              <w:bottom w:val="nil"/>
              <w:right w:val="nil"/>
            </w:tcBorders>
            <w:shd w:val="clear" w:color="auto" w:fill="auto"/>
            <w:hideMark/>
          </w:tcPr>
          <w:p w14:paraId="46745745"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844DC2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04BF18E5"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322AB06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(435)</w:t>
            </w:r>
          </w:p>
        </w:tc>
        <w:tc>
          <w:tcPr>
            <w:tcW w:w="243" w:type="dxa"/>
            <w:gridSpan w:val="2"/>
            <w:tcBorders>
              <w:top w:val="nil"/>
              <w:left w:val="nil"/>
              <w:bottom w:val="nil"/>
              <w:right w:val="nil"/>
            </w:tcBorders>
            <w:shd w:val="clear" w:color="auto" w:fill="auto"/>
            <w:hideMark/>
          </w:tcPr>
          <w:p w14:paraId="2ABD5301"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C26181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363</w:t>
            </w:r>
          </w:p>
        </w:tc>
      </w:tr>
      <w:tr w:rsidR="002D76F8" w:rsidRPr="001D0B77" w14:paraId="60D1D619" w14:textId="77777777" w:rsidTr="00BA0F3C">
        <w:trPr>
          <w:gridAfter w:val="1"/>
          <w:wAfter w:w="14" w:type="dxa"/>
        </w:trPr>
        <w:tc>
          <w:tcPr>
            <w:tcW w:w="1127" w:type="dxa"/>
            <w:tcBorders>
              <w:top w:val="nil"/>
              <w:left w:val="nil"/>
              <w:bottom w:val="nil"/>
              <w:right w:val="nil"/>
            </w:tcBorders>
            <w:shd w:val="clear" w:color="auto" w:fill="auto"/>
            <w:hideMark/>
          </w:tcPr>
          <w:p w14:paraId="7AF72AC9"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R100102</w:t>
            </w:r>
          </w:p>
        </w:tc>
        <w:tc>
          <w:tcPr>
            <w:tcW w:w="1965" w:type="dxa"/>
            <w:tcBorders>
              <w:top w:val="nil"/>
              <w:left w:val="nil"/>
              <w:bottom w:val="nil"/>
              <w:right w:val="nil"/>
            </w:tcBorders>
            <w:shd w:val="clear" w:color="auto" w:fill="auto"/>
            <w:hideMark/>
          </w:tcPr>
          <w:p w14:paraId="773156A7"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RSIS redevelopment</w:t>
            </w:r>
          </w:p>
        </w:tc>
        <w:tc>
          <w:tcPr>
            <w:tcW w:w="1060" w:type="dxa"/>
            <w:tcBorders>
              <w:top w:val="nil"/>
              <w:left w:val="nil"/>
              <w:bottom w:val="nil"/>
              <w:right w:val="nil"/>
            </w:tcBorders>
            <w:shd w:val="clear" w:color="auto" w:fill="auto"/>
            <w:hideMark/>
          </w:tcPr>
          <w:p w14:paraId="3AD64BC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39</w:t>
            </w:r>
          </w:p>
        </w:tc>
        <w:tc>
          <w:tcPr>
            <w:tcW w:w="236" w:type="dxa"/>
            <w:tcBorders>
              <w:top w:val="nil"/>
              <w:left w:val="nil"/>
              <w:bottom w:val="nil"/>
              <w:right w:val="nil"/>
            </w:tcBorders>
            <w:shd w:val="clear" w:color="auto" w:fill="auto"/>
            <w:hideMark/>
          </w:tcPr>
          <w:p w14:paraId="4A2564DC"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79B30C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37AB0880"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3771F7E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2A405E38"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26B432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67FB89C7"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7E17EF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39</w:t>
            </w:r>
          </w:p>
        </w:tc>
      </w:tr>
      <w:tr w:rsidR="002D76F8" w:rsidRPr="001D0B77" w14:paraId="69C39B4A" w14:textId="77777777" w:rsidTr="00BA0F3C">
        <w:trPr>
          <w:gridAfter w:val="1"/>
          <w:wAfter w:w="14" w:type="dxa"/>
        </w:trPr>
        <w:tc>
          <w:tcPr>
            <w:tcW w:w="1127" w:type="dxa"/>
            <w:tcBorders>
              <w:top w:val="nil"/>
              <w:left w:val="nil"/>
              <w:bottom w:val="nil"/>
              <w:right w:val="nil"/>
            </w:tcBorders>
            <w:shd w:val="clear" w:color="auto" w:fill="auto"/>
            <w:hideMark/>
          </w:tcPr>
          <w:p w14:paraId="6D0F78A3"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R100103</w:t>
            </w:r>
          </w:p>
        </w:tc>
        <w:tc>
          <w:tcPr>
            <w:tcW w:w="1965" w:type="dxa"/>
            <w:tcBorders>
              <w:top w:val="nil"/>
              <w:left w:val="nil"/>
              <w:bottom w:val="nil"/>
              <w:right w:val="nil"/>
            </w:tcBorders>
            <w:shd w:val="clear" w:color="auto" w:fill="auto"/>
            <w:hideMark/>
          </w:tcPr>
          <w:p w14:paraId="0593F337"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Web redevelopment</w:t>
            </w:r>
          </w:p>
        </w:tc>
        <w:tc>
          <w:tcPr>
            <w:tcW w:w="1060" w:type="dxa"/>
            <w:tcBorders>
              <w:top w:val="nil"/>
              <w:left w:val="nil"/>
              <w:bottom w:val="nil"/>
              <w:right w:val="nil"/>
            </w:tcBorders>
            <w:shd w:val="clear" w:color="auto" w:fill="auto"/>
            <w:hideMark/>
          </w:tcPr>
          <w:p w14:paraId="17E62AF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64</w:t>
            </w:r>
          </w:p>
        </w:tc>
        <w:tc>
          <w:tcPr>
            <w:tcW w:w="236" w:type="dxa"/>
            <w:tcBorders>
              <w:top w:val="nil"/>
              <w:left w:val="nil"/>
              <w:bottom w:val="nil"/>
              <w:right w:val="nil"/>
            </w:tcBorders>
            <w:shd w:val="clear" w:color="auto" w:fill="auto"/>
            <w:hideMark/>
          </w:tcPr>
          <w:p w14:paraId="740B4974"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700DCD6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5C8E5976"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5C0AEAB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29DC63ED"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6F239F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15A67B6B"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2ED984A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64</w:t>
            </w:r>
          </w:p>
        </w:tc>
      </w:tr>
      <w:tr w:rsidR="002D76F8" w:rsidRPr="001D0B77" w14:paraId="014A2865" w14:textId="77777777" w:rsidTr="00BA0F3C">
        <w:trPr>
          <w:gridAfter w:val="1"/>
          <w:wAfter w:w="14" w:type="dxa"/>
        </w:trPr>
        <w:tc>
          <w:tcPr>
            <w:tcW w:w="1127" w:type="dxa"/>
            <w:tcBorders>
              <w:top w:val="nil"/>
              <w:left w:val="nil"/>
              <w:bottom w:val="nil"/>
              <w:right w:val="nil"/>
            </w:tcBorders>
            <w:shd w:val="clear" w:color="auto" w:fill="auto"/>
            <w:hideMark/>
          </w:tcPr>
          <w:p w14:paraId="102959CD"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R100104</w:t>
            </w:r>
          </w:p>
        </w:tc>
        <w:tc>
          <w:tcPr>
            <w:tcW w:w="1965" w:type="dxa"/>
            <w:tcBorders>
              <w:top w:val="nil"/>
              <w:left w:val="nil"/>
              <w:bottom w:val="nil"/>
              <w:right w:val="nil"/>
            </w:tcBorders>
            <w:shd w:val="clear" w:color="auto" w:fill="auto"/>
            <w:hideMark/>
          </w:tcPr>
          <w:p w14:paraId="1D66C0E0"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Development</w:t>
            </w:r>
          </w:p>
        </w:tc>
        <w:tc>
          <w:tcPr>
            <w:tcW w:w="1060" w:type="dxa"/>
            <w:tcBorders>
              <w:top w:val="nil"/>
              <w:left w:val="nil"/>
              <w:bottom w:val="nil"/>
              <w:right w:val="nil"/>
            </w:tcBorders>
            <w:shd w:val="clear" w:color="auto" w:fill="auto"/>
            <w:hideMark/>
          </w:tcPr>
          <w:p w14:paraId="0A021C1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w:t>
            </w:r>
          </w:p>
        </w:tc>
        <w:tc>
          <w:tcPr>
            <w:tcW w:w="236" w:type="dxa"/>
            <w:tcBorders>
              <w:top w:val="nil"/>
              <w:left w:val="nil"/>
              <w:bottom w:val="nil"/>
              <w:right w:val="nil"/>
            </w:tcBorders>
            <w:shd w:val="clear" w:color="auto" w:fill="auto"/>
            <w:hideMark/>
          </w:tcPr>
          <w:p w14:paraId="0DFC08C8"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8E9882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5218C2B7"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AF2C71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6ECB8FD2"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1259516B"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07953F88"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3B2E6B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w:t>
            </w:r>
          </w:p>
        </w:tc>
      </w:tr>
      <w:tr w:rsidR="002D76F8" w:rsidRPr="001D0B77" w14:paraId="34291C0F" w14:textId="77777777" w:rsidTr="00BA0F3C">
        <w:trPr>
          <w:gridAfter w:val="1"/>
          <w:wAfter w:w="14" w:type="dxa"/>
        </w:trPr>
        <w:tc>
          <w:tcPr>
            <w:tcW w:w="1127" w:type="dxa"/>
            <w:tcBorders>
              <w:top w:val="nil"/>
              <w:left w:val="nil"/>
              <w:bottom w:val="nil"/>
              <w:right w:val="nil"/>
            </w:tcBorders>
            <w:shd w:val="clear" w:color="auto" w:fill="auto"/>
            <w:hideMark/>
          </w:tcPr>
          <w:p w14:paraId="14FC4E5C"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R100105</w:t>
            </w:r>
          </w:p>
        </w:tc>
        <w:tc>
          <w:tcPr>
            <w:tcW w:w="1965" w:type="dxa"/>
            <w:tcBorders>
              <w:top w:val="nil"/>
              <w:left w:val="nil"/>
              <w:bottom w:val="nil"/>
              <w:right w:val="nil"/>
            </w:tcBorders>
            <w:shd w:val="clear" w:color="auto" w:fill="auto"/>
            <w:hideMark/>
          </w:tcPr>
          <w:p w14:paraId="2E56E495"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Science Review</w:t>
            </w:r>
          </w:p>
        </w:tc>
        <w:tc>
          <w:tcPr>
            <w:tcW w:w="1060" w:type="dxa"/>
            <w:tcBorders>
              <w:top w:val="nil"/>
              <w:left w:val="nil"/>
              <w:bottom w:val="nil"/>
              <w:right w:val="nil"/>
            </w:tcBorders>
            <w:shd w:val="clear" w:color="auto" w:fill="auto"/>
            <w:hideMark/>
          </w:tcPr>
          <w:p w14:paraId="568C003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33</w:t>
            </w:r>
          </w:p>
        </w:tc>
        <w:tc>
          <w:tcPr>
            <w:tcW w:w="236" w:type="dxa"/>
            <w:tcBorders>
              <w:top w:val="nil"/>
              <w:left w:val="nil"/>
              <w:bottom w:val="nil"/>
              <w:right w:val="nil"/>
            </w:tcBorders>
            <w:shd w:val="clear" w:color="auto" w:fill="auto"/>
            <w:hideMark/>
          </w:tcPr>
          <w:p w14:paraId="53F0CBCE"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57C77833"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1A5B189E"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33CC21F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393EEB66"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3DD9818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5C4AA082"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5FC893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33</w:t>
            </w:r>
          </w:p>
        </w:tc>
      </w:tr>
      <w:tr w:rsidR="002D76F8" w:rsidRPr="001D0B77" w14:paraId="22143458" w14:textId="77777777" w:rsidTr="00BA0F3C">
        <w:trPr>
          <w:gridAfter w:val="1"/>
          <w:wAfter w:w="14" w:type="dxa"/>
        </w:trPr>
        <w:tc>
          <w:tcPr>
            <w:tcW w:w="1127" w:type="dxa"/>
            <w:tcBorders>
              <w:top w:val="nil"/>
              <w:left w:val="nil"/>
              <w:bottom w:val="nil"/>
              <w:right w:val="nil"/>
            </w:tcBorders>
            <w:shd w:val="clear" w:color="auto" w:fill="auto"/>
            <w:hideMark/>
          </w:tcPr>
          <w:p w14:paraId="282648D0"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R100106</w:t>
            </w:r>
          </w:p>
        </w:tc>
        <w:tc>
          <w:tcPr>
            <w:tcW w:w="1965" w:type="dxa"/>
            <w:tcBorders>
              <w:top w:val="nil"/>
              <w:left w:val="nil"/>
              <w:bottom w:val="nil"/>
              <w:right w:val="nil"/>
            </w:tcBorders>
            <w:shd w:val="clear" w:color="auto" w:fill="auto"/>
            <w:hideMark/>
          </w:tcPr>
          <w:p w14:paraId="5FC4137A"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Strategic Plan 2016</w:t>
            </w:r>
          </w:p>
        </w:tc>
        <w:tc>
          <w:tcPr>
            <w:tcW w:w="1060" w:type="dxa"/>
            <w:tcBorders>
              <w:top w:val="nil"/>
              <w:left w:val="nil"/>
              <w:bottom w:val="nil"/>
              <w:right w:val="nil"/>
            </w:tcBorders>
            <w:shd w:val="clear" w:color="auto" w:fill="auto"/>
            <w:hideMark/>
          </w:tcPr>
          <w:p w14:paraId="002C06D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18</w:t>
            </w:r>
          </w:p>
        </w:tc>
        <w:tc>
          <w:tcPr>
            <w:tcW w:w="236" w:type="dxa"/>
            <w:tcBorders>
              <w:top w:val="nil"/>
              <w:left w:val="nil"/>
              <w:bottom w:val="nil"/>
              <w:right w:val="nil"/>
            </w:tcBorders>
            <w:shd w:val="clear" w:color="auto" w:fill="auto"/>
            <w:hideMark/>
          </w:tcPr>
          <w:p w14:paraId="340F1F94"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433B307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50BEC980"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42451AE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7025DCDE"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77971F6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7B9C2B26"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130395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18</w:t>
            </w:r>
          </w:p>
        </w:tc>
      </w:tr>
      <w:tr w:rsidR="002D76F8" w:rsidRPr="001D0B77" w14:paraId="16871E65" w14:textId="77777777" w:rsidTr="00BA0F3C">
        <w:trPr>
          <w:gridAfter w:val="1"/>
          <w:wAfter w:w="14" w:type="dxa"/>
        </w:trPr>
        <w:tc>
          <w:tcPr>
            <w:tcW w:w="1127" w:type="dxa"/>
            <w:tcBorders>
              <w:top w:val="nil"/>
              <w:left w:val="nil"/>
              <w:bottom w:val="nil"/>
              <w:right w:val="nil"/>
            </w:tcBorders>
            <w:shd w:val="clear" w:color="auto" w:fill="auto"/>
            <w:hideMark/>
          </w:tcPr>
          <w:p w14:paraId="7C28CBDD"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R100108</w:t>
            </w:r>
          </w:p>
        </w:tc>
        <w:tc>
          <w:tcPr>
            <w:tcW w:w="1965" w:type="dxa"/>
            <w:tcBorders>
              <w:top w:val="nil"/>
              <w:left w:val="nil"/>
              <w:bottom w:val="nil"/>
              <w:right w:val="nil"/>
            </w:tcBorders>
            <w:shd w:val="clear" w:color="auto" w:fill="auto"/>
            <w:hideMark/>
          </w:tcPr>
          <w:p w14:paraId="4421CA75"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COP12 Translation (FOEN-CH)</w:t>
            </w:r>
          </w:p>
        </w:tc>
        <w:tc>
          <w:tcPr>
            <w:tcW w:w="1060" w:type="dxa"/>
            <w:tcBorders>
              <w:top w:val="nil"/>
              <w:left w:val="nil"/>
              <w:bottom w:val="nil"/>
              <w:right w:val="nil"/>
            </w:tcBorders>
            <w:shd w:val="clear" w:color="auto" w:fill="auto"/>
            <w:hideMark/>
          </w:tcPr>
          <w:p w14:paraId="5F60B70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45</w:t>
            </w:r>
          </w:p>
        </w:tc>
        <w:tc>
          <w:tcPr>
            <w:tcW w:w="236" w:type="dxa"/>
            <w:tcBorders>
              <w:top w:val="nil"/>
              <w:left w:val="nil"/>
              <w:bottom w:val="nil"/>
              <w:right w:val="nil"/>
            </w:tcBorders>
            <w:shd w:val="clear" w:color="auto" w:fill="auto"/>
            <w:hideMark/>
          </w:tcPr>
          <w:p w14:paraId="1C598CAA"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32760D6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75EE0D39"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487E42D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2ED7D534"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91AF93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0AD79E35"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CDD07F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45</w:t>
            </w:r>
          </w:p>
        </w:tc>
      </w:tr>
      <w:tr w:rsidR="002D76F8" w:rsidRPr="001D0B77" w14:paraId="5417BDB0" w14:textId="77777777" w:rsidTr="00BA0F3C">
        <w:trPr>
          <w:gridAfter w:val="1"/>
          <w:wAfter w:w="14" w:type="dxa"/>
        </w:trPr>
        <w:tc>
          <w:tcPr>
            <w:tcW w:w="1127" w:type="dxa"/>
            <w:tcBorders>
              <w:top w:val="nil"/>
              <w:left w:val="nil"/>
              <w:bottom w:val="nil"/>
              <w:right w:val="nil"/>
            </w:tcBorders>
            <w:shd w:val="clear" w:color="auto" w:fill="auto"/>
            <w:hideMark/>
          </w:tcPr>
          <w:p w14:paraId="58A5BABE"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R100190</w:t>
            </w:r>
          </w:p>
        </w:tc>
        <w:tc>
          <w:tcPr>
            <w:tcW w:w="1965" w:type="dxa"/>
            <w:tcBorders>
              <w:top w:val="nil"/>
              <w:left w:val="nil"/>
              <w:bottom w:val="nil"/>
              <w:right w:val="nil"/>
            </w:tcBorders>
            <w:shd w:val="clear" w:color="auto" w:fill="auto"/>
            <w:hideMark/>
          </w:tcPr>
          <w:p w14:paraId="68F9F1BF"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Water cycle</w:t>
            </w:r>
          </w:p>
        </w:tc>
        <w:tc>
          <w:tcPr>
            <w:tcW w:w="1060" w:type="dxa"/>
            <w:tcBorders>
              <w:top w:val="nil"/>
              <w:left w:val="nil"/>
              <w:bottom w:val="nil"/>
              <w:right w:val="nil"/>
            </w:tcBorders>
            <w:shd w:val="clear" w:color="auto" w:fill="auto"/>
            <w:hideMark/>
          </w:tcPr>
          <w:p w14:paraId="57BC2DB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11</w:t>
            </w:r>
          </w:p>
        </w:tc>
        <w:tc>
          <w:tcPr>
            <w:tcW w:w="236" w:type="dxa"/>
            <w:tcBorders>
              <w:top w:val="nil"/>
              <w:left w:val="nil"/>
              <w:bottom w:val="nil"/>
              <w:right w:val="nil"/>
            </w:tcBorders>
            <w:shd w:val="clear" w:color="auto" w:fill="auto"/>
            <w:hideMark/>
          </w:tcPr>
          <w:p w14:paraId="69328C96"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53483ECB"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159DC598"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60B2158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2AF00C65"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5618554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7E8D90A3"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17F2AE5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11</w:t>
            </w:r>
          </w:p>
        </w:tc>
      </w:tr>
      <w:tr w:rsidR="002D76F8" w:rsidRPr="001D0B77" w14:paraId="0755F939" w14:textId="77777777" w:rsidTr="00BA0F3C">
        <w:trPr>
          <w:gridAfter w:val="1"/>
          <w:wAfter w:w="14" w:type="dxa"/>
        </w:trPr>
        <w:tc>
          <w:tcPr>
            <w:tcW w:w="1127" w:type="dxa"/>
            <w:tcBorders>
              <w:top w:val="nil"/>
              <w:left w:val="nil"/>
              <w:bottom w:val="nil"/>
              <w:right w:val="nil"/>
            </w:tcBorders>
            <w:shd w:val="clear" w:color="auto" w:fill="auto"/>
            <w:hideMark/>
          </w:tcPr>
          <w:p w14:paraId="2DD4E09B"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R100210</w:t>
            </w:r>
          </w:p>
        </w:tc>
        <w:tc>
          <w:tcPr>
            <w:tcW w:w="1965" w:type="dxa"/>
            <w:tcBorders>
              <w:top w:val="nil"/>
              <w:left w:val="nil"/>
              <w:bottom w:val="nil"/>
              <w:right w:val="nil"/>
            </w:tcBorders>
            <w:shd w:val="clear" w:color="auto" w:fill="auto"/>
            <w:hideMark/>
          </w:tcPr>
          <w:p w14:paraId="5AB961B7"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WA Urbanisation</w:t>
            </w:r>
          </w:p>
        </w:tc>
        <w:tc>
          <w:tcPr>
            <w:tcW w:w="1060" w:type="dxa"/>
            <w:tcBorders>
              <w:top w:val="nil"/>
              <w:left w:val="nil"/>
              <w:bottom w:val="nil"/>
              <w:right w:val="nil"/>
            </w:tcBorders>
            <w:shd w:val="clear" w:color="auto" w:fill="auto"/>
            <w:hideMark/>
          </w:tcPr>
          <w:p w14:paraId="14E6874B"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16</w:t>
            </w:r>
          </w:p>
        </w:tc>
        <w:tc>
          <w:tcPr>
            <w:tcW w:w="236" w:type="dxa"/>
            <w:tcBorders>
              <w:top w:val="nil"/>
              <w:left w:val="nil"/>
              <w:bottom w:val="nil"/>
              <w:right w:val="nil"/>
            </w:tcBorders>
            <w:shd w:val="clear" w:color="auto" w:fill="auto"/>
            <w:hideMark/>
          </w:tcPr>
          <w:p w14:paraId="6AE10B9B"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56871E7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18A8771A"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1EDD8F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6CA86DBD"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1486E3D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15DFBCCC"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435AA41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16</w:t>
            </w:r>
          </w:p>
        </w:tc>
      </w:tr>
      <w:tr w:rsidR="002D76F8" w:rsidRPr="001D0B77" w14:paraId="5094326F" w14:textId="77777777" w:rsidTr="00BA0F3C">
        <w:trPr>
          <w:gridAfter w:val="1"/>
          <w:wAfter w:w="14" w:type="dxa"/>
        </w:trPr>
        <w:tc>
          <w:tcPr>
            <w:tcW w:w="1127" w:type="dxa"/>
            <w:tcBorders>
              <w:top w:val="nil"/>
              <w:left w:val="nil"/>
              <w:bottom w:val="nil"/>
              <w:right w:val="nil"/>
            </w:tcBorders>
            <w:shd w:val="clear" w:color="auto" w:fill="auto"/>
            <w:hideMark/>
          </w:tcPr>
          <w:p w14:paraId="0846C4A5"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R100311</w:t>
            </w:r>
          </w:p>
        </w:tc>
        <w:tc>
          <w:tcPr>
            <w:tcW w:w="1965" w:type="dxa"/>
            <w:tcBorders>
              <w:top w:val="nil"/>
              <w:left w:val="nil"/>
              <w:bottom w:val="nil"/>
              <w:right w:val="nil"/>
            </w:tcBorders>
            <w:shd w:val="clear" w:color="auto" w:fill="auto"/>
            <w:hideMark/>
          </w:tcPr>
          <w:p w14:paraId="1DF2A59E"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Rio Cruces</w:t>
            </w:r>
          </w:p>
        </w:tc>
        <w:tc>
          <w:tcPr>
            <w:tcW w:w="1060" w:type="dxa"/>
            <w:tcBorders>
              <w:top w:val="nil"/>
              <w:left w:val="nil"/>
              <w:bottom w:val="nil"/>
              <w:right w:val="nil"/>
            </w:tcBorders>
            <w:shd w:val="clear" w:color="auto" w:fill="auto"/>
            <w:hideMark/>
          </w:tcPr>
          <w:p w14:paraId="00C8504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112</w:t>
            </w:r>
          </w:p>
        </w:tc>
        <w:tc>
          <w:tcPr>
            <w:tcW w:w="236" w:type="dxa"/>
            <w:tcBorders>
              <w:top w:val="nil"/>
              <w:left w:val="nil"/>
              <w:bottom w:val="nil"/>
              <w:right w:val="nil"/>
            </w:tcBorders>
            <w:shd w:val="clear" w:color="auto" w:fill="auto"/>
            <w:hideMark/>
          </w:tcPr>
          <w:p w14:paraId="1FBD72C4"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41E8860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c>
          <w:tcPr>
            <w:tcW w:w="236" w:type="dxa"/>
            <w:tcBorders>
              <w:top w:val="nil"/>
              <w:left w:val="nil"/>
              <w:bottom w:val="nil"/>
              <w:right w:val="nil"/>
            </w:tcBorders>
            <w:shd w:val="clear" w:color="auto" w:fill="auto"/>
            <w:hideMark/>
          </w:tcPr>
          <w:p w14:paraId="106B4C39"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F57D80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(57)</w:t>
            </w:r>
          </w:p>
        </w:tc>
        <w:tc>
          <w:tcPr>
            <w:tcW w:w="242" w:type="dxa"/>
            <w:gridSpan w:val="2"/>
            <w:tcBorders>
              <w:top w:val="nil"/>
              <w:left w:val="nil"/>
              <w:bottom w:val="nil"/>
              <w:right w:val="nil"/>
            </w:tcBorders>
            <w:shd w:val="clear" w:color="auto" w:fill="auto"/>
            <w:hideMark/>
          </w:tcPr>
          <w:p w14:paraId="6806B27F"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63FA900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1E740083"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63445C4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55</w:t>
            </w:r>
          </w:p>
        </w:tc>
      </w:tr>
      <w:tr w:rsidR="002D76F8" w:rsidRPr="001D0B77" w14:paraId="2068F220" w14:textId="77777777" w:rsidTr="00BA0F3C">
        <w:trPr>
          <w:gridAfter w:val="1"/>
          <w:wAfter w:w="14" w:type="dxa"/>
        </w:trPr>
        <w:tc>
          <w:tcPr>
            <w:tcW w:w="1127" w:type="dxa"/>
            <w:tcBorders>
              <w:top w:val="nil"/>
              <w:left w:val="nil"/>
              <w:bottom w:val="nil"/>
              <w:right w:val="nil"/>
            </w:tcBorders>
            <w:shd w:val="clear" w:color="auto" w:fill="auto"/>
            <w:hideMark/>
          </w:tcPr>
          <w:p w14:paraId="605F99B9"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R100402</w:t>
            </w:r>
          </w:p>
        </w:tc>
        <w:tc>
          <w:tcPr>
            <w:tcW w:w="1965" w:type="dxa"/>
            <w:tcBorders>
              <w:top w:val="nil"/>
              <w:left w:val="nil"/>
              <w:bottom w:val="nil"/>
              <w:right w:val="nil"/>
            </w:tcBorders>
            <w:shd w:val="clear" w:color="auto" w:fill="auto"/>
            <w:hideMark/>
          </w:tcPr>
          <w:p w14:paraId="4E994066"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Bhutan</w:t>
            </w:r>
          </w:p>
        </w:tc>
        <w:tc>
          <w:tcPr>
            <w:tcW w:w="1060" w:type="dxa"/>
            <w:tcBorders>
              <w:top w:val="nil"/>
              <w:left w:val="nil"/>
              <w:bottom w:val="nil"/>
              <w:right w:val="nil"/>
            </w:tcBorders>
            <w:shd w:val="clear" w:color="auto" w:fill="auto"/>
            <w:hideMark/>
          </w:tcPr>
          <w:p w14:paraId="68485C0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(10)</w:t>
            </w:r>
          </w:p>
        </w:tc>
        <w:tc>
          <w:tcPr>
            <w:tcW w:w="236" w:type="dxa"/>
            <w:tcBorders>
              <w:top w:val="nil"/>
              <w:left w:val="nil"/>
              <w:bottom w:val="nil"/>
              <w:right w:val="nil"/>
            </w:tcBorders>
            <w:shd w:val="clear" w:color="auto" w:fill="auto"/>
            <w:hideMark/>
          </w:tcPr>
          <w:p w14:paraId="3AFE48C3"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483A35B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7C2C3F6A"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4889C8B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68E5A3B0"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4CC5924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52893A28"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7588E93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(10)</w:t>
            </w:r>
          </w:p>
        </w:tc>
      </w:tr>
      <w:tr w:rsidR="002D76F8" w:rsidRPr="001D0B77" w14:paraId="3DED612F" w14:textId="77777777" w:rsidTr="00BA0F3C">
        <w:trPr>
          <w:gridAfter w:val="1"/>
          <w:wAfter w:w="14" w:type="dxa"/>
        </w:trPr>
        <w:tc>
          <w:tcPr>
            <w:tcW w:w="1127" w:type="dxa"/>
            <w:tcBorders>
              <w:top w:val="nil"/>
              <w:left w:val="nil"/>
              <w:bottom w:val="nil"/>
              <w:right w:val="nil"/>
            </w:tcBorders>
            <w:shd w:val="clear" w:color="auto" w:fill="auto"/>
            <w:hideMark/>
          </w:tcPr>
          <w:p w14:paraId="751D802D"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R100406</w:t>
            </w:r>
          </w:p>
        </w:tc>
        <w:tc>
          <w:tcPr>
            <w:tcW w:w="1965" w:type="dxa"/>
            <w:tcBorders>
              <w:top w:val="nil"/>
              <w:left w:val="nil"/>
              <w:bottom w:val="nil"/>
              <w:right w:val="nil"/>
            </w:tcBorders>
            <w:shd w:val="clear" w:color="auto" w:fill="auto"/>
            <w:hideMark/>
          </w:tcPr>
          <w:p w14:paraId="07CB344A"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WWF Grant, WWD Korea</w:t>
            </w:r>
          </w:p>
        </w:tc>
        <w:tc>
          <w:tcPr>
            <w:tcW w:w="1060" w:type="dxa"/>
            <w:tcBorders>
              <w:top w:val="nil"/>
              <w:left w:val="nil"/>
              <w:bottom w:val="nil"/>
              <w:right w:val="nil"/>
            </w:tcBorders>
            <w:shd w:val="clear" w:color="auto" w:fill="auto"/>
            <w:hideMark/>
          </w:tcPr>
          <w:p w14:paraId="19A1AAC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w:t>
            </w:r>
          </w:p>
        </w:tc>
        <w:tc>
          <w:tcPr>
            <w:tcW w:w="236" w:type="dxa"/>
            <w:tcBorders>
              <w:top w:val="nil"/>
              <w:left w:val="nil"/>
              <w:bottom w:val="nil"/>
              <w:right w:val="nil"/>
            </w:tcBorders>
            <w:shd w:val="clear" w:color="auto" w:fill="auto"/>
            <w:hideMark/>
          </w:tcPr>
          <w:p w14:paraId="6A20D74D"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8F0845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0E1279AB"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5D24A1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1F7164AB"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5C2FC7F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30173263"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4F4C9C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w:t>
            </w:r>
          </w:p>
        </w:tc>
      </w:tr>
      <w:tr w:rsidR="002D76F8" w:rsidRPr="001D0B77" w14:paraId="2A71CFF0" w14:textId="77777777" w:rsidTr="00BA0F3C">
        <w:trPr>
          <w:gridAfter w:val="1"/>
          <w:wAfter w:w="14" w:type="dxa"/>
        </w:trPr>
        <w:tc>
          <w:tcPr>
            <w:tcW w:w="1127" w:type="dxa"/>
            <w:tcBorders>
              <w:top w:val="nil"/>
              <w:left w:val="nil"/>
              <w:bottom w:val="nil"/>
              <w:right w:val="nil"/>
            </w:tcBorders>
            <w:shd w:val="clear" w:color="auto" w:fill="auto"/>
            <w:hideMark/>
          </w:tcPr>
          <w:p w14:paraId="56B62103"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R100637</w:t>
            </w:r>
          </w:p>
        </w:tc>
        <w:tc>
          <w:tcPr>
            <w:tcW w:w="1965" w:type="dxa"/>
            <w:tcBorders>
              <w:top w:val="nil"/>
              <w:left w:val="nil"/>
              <w:bottom w:val="nil"/>
              <w:right w:val="nil"/>
            </w:tcBorders>
            <w:shd w:val="clear" w:color="auto" w:fill="auto"/>
            <w:hideMark/>
          </w:tcPr>
          <w:p w14:paraId="241D613C" w14:textId="4ACC7368"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COP13</w:t>
            </w:r>
            <w:r w:rsidR="00E91F83" w:rsidRPr="001D0B77">
              <w:rPr>
                <w:rFonts w:asciiTheme="minorHAnsi" w:hAnsiTheme="minorHAnsi" w:cstheme="minorHAnsi"/>
                <w:color w:val="000000"/>
                <w:sz w:val="20"/>
                <w:szCs w:val="20"/>
              </w:rPr>
              <w:t xml:space="preserve"> </w:t>
            </w:r>
            <w:r w:rsidRPr="001D0B77">
              <w:rPr>
                <w:rFonts w:asciiTheme="minorHAnsi" w:hAnsiTheme="minorHAnsi" w:cstheme="minorHAnsi"/>
                <w:color w:val="000000"/>
                <w:sz w:val="20"/>
                <w:szCs w:val="20"/>
              </w:rPr>
              <w:t>UAE</w:t>
            </w:r>
          </w:p>
        </w:tc>
        <w:tc>
          <w:tcPr>
            <w:tcW w:w="1060" w:type="dxa"/>
            <w:tcBorders>
              <w:top w:val="nil"/>
              <w:left w:val="nil"/>
              <w:bottom w:val="nil"/>
              <w:right w:val="nil"/>
            </w:tcBorders>
            <w:shd w:val="clear" w:color="auto" w:fill="auto"/>
            <w:hideMark/>
          </w:tcPr>
          <w:p w14:paraId="1627F8E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49</w:t>
            </w:r>
          </w:p>
        </w:tc>
        <w:tc>
          <w:tcPr>
            <w:tcW w:w="236" w:type="dxa"/>
            <w:tcBorders>
              <w:top w:val="nil"/>
              <w:left w:val="nil"/>
              <w:bottom w:val="nil"/>
              <w:right w:val="nil"/>
            </w:tcBorders>
            <w:shd w:val="clear" w:color="auto" w:fill="auto"/>
            <w:hideMark/>
          </w:tcPr>
          <w:p w14:paraId="1684F2BD"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5610C5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843</w:t>
            </w:r>
          </w:p>
        </w:tc>
        <w:tc>
          <w:tcPr>
            <w:tcW w:w="236" w:type="dxa"/>
            <w:tcBorders>
              <w:top w:val="nil"/>
              <w:left w:val="nil"/>
              <w:bottom w:val="nil"/>
              <w:right w:val="nil"/>
            </w:tcBorders>
            <w:shd w:val="clear" w:color="auto" w:fill="auto"/>
            <w:hideMark/>
          </w:tcPr>
          <w:p w14:paraId="77220FC2"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0C3763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(637)</w:t>
            </w:r>
          </w:p>
        </w:tc>
        <w:tc>
          <w:tcPr>
            <w:tcW w:w="242" w:type="dxa"/>
            <w:gridSpan w:val="2"/>
            <w:tcBorders>
              <w:top w:val="nil"/>
              <w:left w:val="nil"/>
              <w:bottom w:val="nil"/>
              <w:right w:val="nil"/>
            </w:tcBorders>
            <w:shd w:val="clear" w:color="auto" w:fill="auto"/>
            <w:hideMark/>
          </w:tcPr>
          <w:p w14:paraId="159C109A"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1F35A2F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(49)</w:t>
            </w:r>
          </w:p>
        </w:tc>
        <w:tc>
          <w:tcPr>
            <w:tcW w:w="243" w:type="dxa"/>
            <w:gridSpan w:val="2"/>
            <w:tcBorders>
              <w:top w:val="nil"/>
              <w:left w:val="nil"/>
              <w:bottom w:val="nil"/>
              <w:right w:val="nil"/>
            </w:tcBorders>
            <w:shd w:val="clear" w:color="auto" w:fill="auto"/>
            <w:hideMark/>
          </w:tcPr>
          <w:p w14:paraId="67B987FD"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53A2DFD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206</w:t>
            </w:r>
          </w:p>
        </w:tc>
      </w:tr>
      <w:tr w:rsidR="002D76F8" w:rsidRPr="001D0B77" w14:paraId="2FF898A6" w14:textId="77777777" w:rsidTr="00BA0F3C">
        <w:trPr>
          <w:gridAfter w:val="1"/>
          <w:wAfter w:w="14" w:type="dxa"/>
        </w:trPr>
        <w:tc>
          <w:tcPr>
            <w:tcW w:w="1127" w:type="dxa"/>
            <w:tcBorders>
              <w:top w:val="nil"/>
              <w:left w:val="nil"/>
              <w:bottom w:val="nil"/>
              <w:right w:val="nil"/>
            </w:tcBorders>
            <w:shd w:val="clear" w:color="auto" w:fill="auto"/>
            <w:hideMark/>
          </w:tcPr>
          <w:p w14:paraId="6B42F0B1"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lastRenderedPageBreak/>
              <w:t>R100638</w:t>
            </w:r>
          </w:p>
        </w:tc>
        <w:tc>
          <w:tcPr>
            <w:tcW w:w="1965" w:type="dxa"/>
            <w:tcBorders>
              <w:top w:val="nil"/>
              <w:left w:val="nil"/>
              <w:bottom w:val="nil"/>
              <w:right w:val="nil"/>
            </w:tcBorders>
            <w:shd w:val="clear" w:color="auto" w:fill="auto"/>
            <w:hideMark/>
          </w:tcPr>
          <w:p w14:paraId="0218B396"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 xml:space="preserve">SC-Standing Committee </w:t>
            </w:r>
          </w:p>
        </w:tc>
        <w:tc>
          <w:tcPr>
            <w:tcW w:w="1060" w:type="dxa"/>
            <w:tcBorders>
              <w:top w:val="nil"/>
              <w:left w:val="nil"/>
              <w:bottom w:val="nil"/>
              <w:right w:val="nil"/>
            </w:tcBorders>
            <w:shd w:val="clear" w:color="auto" w:fill="auto"/>
            <w:hideMark/>
          </w:tcPr>
          <w:p w14:paraId="08AE299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32</w:t>
            </w:r>
          </w:p>
        </w:tc>
        <w:tc>
          <w:tcPr>
            <w:tcW w:w="236" w:type="dxa"/>
            <w:tcBorders>
              <w:top w:val="nil"/>
              <w:left w:val="nil"/>
              <w:bottom w:val="nil"/>
              <w:right w:val="nil"/>
            </w:tcBorders>
            <w:shd w:val="clear" w:color="auto" w:fill="auto"/>
            <w:hideMark/>
          </w:tcPr>
          <w:p w14:paraId="1C7DF36E"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26F0733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718081F1"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6A06004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0344D665"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2E1A22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(32)</w:t>
            </w:r>
          </w:p>
        </w:tc>
        <w:tc>
          <w:tcPr>
            <w:tcW w:w="243" w:type="dxa"/>
            <w:gridSpan w:val="2"/>
            <w:tcBorders>
              <w:top w:val="nil"/>
              <w:left w:val="nil"/>
              <w:bottom w:val="nil"/>
              <w:right w:val="nil"/>
            </w:tcBorders>
            <w:shd w:val="clear" w:color="auto" w:fill="auto"/>
            <w:hideMark/>
          </w:tcPr>
          <w:p w14:paraId="25178F1D"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13DA123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r>
      <w:tr w:rsidR="002D76F8" w:rsidRPr="001D0B77" w14:paraId="4D5E9A74" w14:textId="77777777" w:rsidTr="00BA0F3C">
        <w:trPr>
          <w:gridAfter w:val="1"/>
          <w:wAfter w:w="14" w:type="dxa"/>
        </w:trPr>
        <w:tc>
          <w:tcPr>
            <w:tcW w:w="1127" w:type="dxa"/>
            <w:tcBorders>
              <w:top w:val="nil"/>
              <w:left w:val="nil"/>
              <w:bottom w:val="nil"/>
              <w:right w:val="nil"/>
            </w:tcBorders>
            <w:shd w:val="clear" w:color="auto" w:fill="auto"/>
            <w:hideMark/>
          </w:tcPr>
          <w:p w14:paraId="6F04F0A5"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R100639</w:t>
            </w:r>
          </w:p>
        </w:tc>
        <w:tc>
          <w:tcPr>
            <w:tcW w:w="1965" w:type="dxa"/>
            <w:tcBorders>
              <w:top w:val="nil"/>
              <w:left w:val="nil"/>
              <w:bottom w:val="nil"/>
              <w:right w:val="nil"/>
            </w:tcBorders>
            <w:shd w:val="clear" w:color="auto" w:fill="auto"/>
            <w:hideMark/>
          </w:tcPr>
          <w:p w14:paraId="2B90C9B4"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COP13 - sponsored delegates</w:t>
            </w:r>
          </w:p>
        </w:tc>
        <w:tc>
          <w:tcPr>
            <w:tcW w:w="1060" w:type="dxa"/>
            <w:tcBorders>
              <w:top w:val="nil"/>
              <w:left w:val="nil"/>
              <w:bottom w:val="nil"/>
              <w:right w:val="nil"/>
            </w:tcBorders>
            <w:shd w:val="clear" w:color="auto" w:fill="auto"/>
            <w:hideMark/>
          </w:tcPr>
          <w:p w14:paraId="6C96B74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6D015A02"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67E6E27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209</w:t>
            </w:r>
          </w:p>
        </w:tc>
        <w:tc>
          <w:tcPr>
            <w:tcW w:w="236" w:type="dxa"/>
            <w:tcBorders>
              <w:top w:val="nil"/>
              <w:left w:val="nil"/>
              <w:bottom w:val="nil"/>
              <w:right w:val="nil"/>
            </w:tcBorders>
            <w:shd w:val="clear" w:color="auto" w:fill="auto"/>
            <w:hideMark/>
          </w:tcPr>
          <w:p w14:paraId="1F8A735B"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D781D2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(480)</w:t>
            </w:r>
          </w:p>
        </w:tc>
        <w:tc>
          <w:tcPr>
            <w:tcW w:w="242" w:type="dxa"/>
            <w:gridSpan w:val="2"/>
            <w:tcBorders>
              <w:top w:val="nil"/>
              <w:left w:val="nil"/>
              <w:bottom w:val="nil"/>
              <w:right w:val="nil"/>
            </w:tcBorders>
            <w:shd w:val="clear" w:color="auto" w:fill="auto"/>
            <w:hideMark/>
          </w:tcPr>
          <w:p w14:paraId="24038317"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35C8D0F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177</w:t>
            </w:r>
          </w:p>
        </w:tc>
        <w:tc>
          <w:tcPr>
            <w:tcW w:w="243" w:type="dxa"/>
            <w:gridSpan w:val="2"/>
            <w:tcBorders>
              <w:top w:val="nil"/>
              <w:left w:val="nil"/>
              <w:bottom w:val="nil"/>
              <w:right w:val="nil"/>
            </w:tcBorders>
            <w:shd w:val="clear" w:color="auto" w:fill="auto"/>
            <w:hideMark/>
          </w:tcPr>
          <w:p w14:paraId="74064642"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2FC255B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(94)</w:t>
            </w:r>
          </w:p>
        </w:tc>
      </w:tr>
      <w:tr w:rsidR="002D76F8" w:rsidRPr="001D0B77" w14:paraId="2E7065CF" w14:textId="77777777" w:rsidTr="00BA0F3C">
        <w:trPr>
          <w:gridAfter w:val="1"/>
          <w:wAfter w:w="14" w:type="dxa"/>
        </w:trPr>
        <w:tc>
          <w:tcPr>
            <w:tcW w:w="1127" w:type="dxa"/>
            <w:tcBorders>
              <w:top w:val="nil"/>
              <w:left w:val="nil"/>
              <w:bottom w:val="nil"/>
              <w:right w:val="nil"/>
            </w:tcBorders>
            <w:shd w:val="clear" w:color="auto" w:fill="auto"/>
            <w:hideMark/>
          </w:tcPr>
          <w:p w14:paraId="41583998"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R100700</w:t>
            </w:r>
          </w:p>
        </w:tc>
        <w:tc>
          <w:tcPr>
            <w:tcW w:w="1965" w:type="dxa"/>
            <w:tcBorders>
              <w:top w:val="nil"/>
              <w:left w:val="nil"/>
              <w:bottom w:val="nil"/>
              <w:right w:val="nil"/>
            </w:tcBorders>
            <w:shd w:val="clear" w:color="auto" w:fill="auto"/>
            <w:hideMark/>
          </w:tcPr>
          <w:p w14:paraId="70A653CF"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CEPA</w:t>
            </w:r>
          </w:p>
        </w:tc>
        <w:tc>
          <w:tcPr>
            <w:tcW w:w="1060" w:type="dxa"/>
            <w:tcBorders>
              <w:top w:val="nil"/>
              <w:left w:val="nil"/>
              <w:bottom w:val="nil"/>
              <w:right w:val="nil"/>
            </w:tcBorders>
            <w:shd w:val="clear" w:color="auto" w:fill="auto"/>
            <w:hideMark/>
          </w:tcPr>
          <w:p w14:paraId="37EA130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9</w:t>
            </w:r>
          </w:p>
        </w:tc>
        <w:tc>
          <w:tcPr>
            <w:tcW w:w="236" w:type="dxa"/>
            <w:tcBorders>
              <w:top w:val="nil"/>
              <w:left w:val="nil"/>
              <w:bottom w:val="nil"/>
              <w:right w:val="nil"/>
            </w:tcBorders>
            <w:shd w:val="clear" w:color="auto" w:fill="auto"/>
            <w:hideMark/>
          </w:tcPr>
          <w:p w14:paraId="29E7C8EF"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3C143BD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w:t>
            </w:r>
          </w:p>
        </w:tc>
        <w:tc>
          <w:tcPr>
            <w:tcW w:w="236" w:type="dxa"/>
            <w:tcBorders>
              <w:top w:val="nil"/>
              <w:left w:val="nil"/>
              <w:bottom w:val="nil"/>
              <w:right w:val="nil"/>
            </w:tcBorders>
            <w:shd w:val="clear" w:color="auto" w:fill="auto"/>
            <w:hideMark/>
          </w:tcPr>
          <w:p w14:paraId="6F475CDF"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FC2CDB3"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0F5A1B14"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ECD99F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00979DED"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53924BB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13</w:t>
            </w:r>
          </w:p>
        </w:tc>
      </w:tr>
      <w:tr w:rsidR="002D76F8" w:rsidRPr="001D0B77" w14:paraId="3E2A4AFE" w14:textId="77777777" w:rsidTr="00BA0F3C">
        <w:trPr>
          <w:gridAfter w:val="1"/>
          <w:wAfter w:w="14" w:type="dxa"/>
        </w:trPr>
        <w:tc>
          <w:tcPr>
            <w:tcW w:w="1127" w:type="dxa"/>
            <w:tcBorders>
              <w:top w:val="nil"/>
              <w:left w:val="nil"/>
              <w:bottom w:val="nil"/>
              <w:right w:val="nil"/>
            </w:tcBorders>
            <w:shd w:val="clear" w:color="auto" w:fill="auto"/>
            <w:hideMark/>
          </w:tcPr>
          <w:p w14:paraId="28FE7477"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R100809</w:t>
            </w:r>
          </w:p>
        </w:tc>
        <w:tc>
          <w:tcPr>
            <w:tcW w:w="1965" w:type="dxa"/>
            <w:tcBorders>
              <w:top w:val="nil"/>
              <w:left w:val="nil"/>
              <w:bottom w:val="nil"/>
              <w:right w:val="nil"/>
            </w:tcBorders>
            <w:shd w:val="clear" w:color="auto" w:fill="auto"/>
            <w:hideMark/>
          </w:tcPr>
          <w:p w14:paraId="44C6D0E6"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Danone Ecole de l'eau</w:t>
            </w:r>
          </w:p>
        </w:tc>
        <w:tc>
          <w:tcPr>
            <w:tcW w:w="1060" w:type="dxa"/>
            <w:tcBorders>
              <w:top w:val="nil"/>
              <w:left w:val="nil"/>
              <w:bottom w:val="nil"/>
              <w:right w:val="nil"/>
            </w:tcBorders>
            <w:shd w:val="clear" w:color="auto" w:fill="auto"/>
            <w:hideMark/>
          </w:tcPr>
          <w:p w14:paraId="1A48CEF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21</w:t>
            </w:r>
          </w:p>
        </w:tc>
        <w:tc>
          <w:tcPr>
            <w:tcW w:w="236" w:type="dxa"/>
            <w:tcBorders>
              <w:top w:val="nil"/>
              <w:left w:val="nil"/>
              <w:bottom w:val="nil"/>
              <w:right w:val="nil"/>
            </w:tcBorders>
            <w:shd w:val="clear" w:color="auto" w:fill="auto"/>
            <w:hideMark/>
          </w:tcPr>
          <w:p w14:paraId="7638912D"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7326551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209A78C5"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6117E053"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6C05CA48"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352E2F3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47D5D241"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70EFE4D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21</w:t>
            </w:r>
          </w:p>
        </w:tc>
      </w:tr>
      <w:tr w:rsidR="002D76F8" w:rsidRPr="001D0B77" w14:paraId="111697E5" w14:textId="77777777" w:rsidTr="00BA0F3C">
        <w:trPr>
          <w:gridAfter w:val="1"/>
          <w:wAfter w:w="14" w:type="dxa"/>
        </w:trPr>
        <w:tc>
          <w:tcPr>
            <w:tcW w:w="1127" w:type="dxa"/>
            <w:tcBorders>
              <w:top w:val="nil"/>
              <w:left w:val="nil"/>
              <w:bottom w:val="nil"/>
              <w:right w:val="nil"/>
            </w:tcBorders>
            <w:shd w:val="clear" w:color="auto" w:fill="auto"/>
            <w:hideMark/>
          </w:tcPr>
          <w:p w14:paraId="778BD21B"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R100814</w:t>
            </w:r>
          </w:p>
        </w:tc>
        <w:tc>
          <w:tcPr>
            <w:tcW w:w="1965" w:type="dxa"/>
            <w:tcBorders>
              <w:top w:val="nil"/>
              <w:left w:val="nil"/>
              <w:bottom w:val="nil"/>
              <w:right w:val="nil"/>
            </w:tcBorders>
            <w:shd w:val="clear" w:color="auto" w:fill="auto"/>
            <w:hideMark/>
          </w:tcPr>
          <w:p w14:paraId="4A083BDC"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Danone 2014</w:t>
            </w:r>
          </w:p>
        </w:tc>
        <w:tc>
          <w:tcPr>
            <w:tcW w:w="1060" w:type="dxa"/>
            <w:tcBorders>
              <w:top w:val="nil"/>
              <w:left w:val="nil"/>
              <w:bottom w:val="nil"/>
              <w:right w:val="nil"/>
            </w:tcBorders>
            <w:shd w:val="clear" w:color="auto" w:fill="auto"/>
            <w:hideMark/>
          </w:tcPr>
          <w:p w14:paraId="38ED500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30</w:t>
            </w:r>
          </w:p>
        </w:tc>
        <w:tc>
          <w:tcPr>
            <w:tcW w:w="236" w:type="dxa"/>
            <w:tcBorders>
              <w:top w:val="nil"/>
              <w:left w:val="nil"/>
              <w:bottom w:val="nil"/>
              <w:right w:val="nil"/>
            </w:tcBorders>
            <w:shd w:val="clear" w:color="auto" w:fill="auto"/>
            <w:hideMark/>
          </w:tcPr>
          <w:p w14:paraId="0324B022"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3185BEA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72F0C0C6"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920592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(30)</w:t>
            </w:r>
          </w:p>
        </w:tc>
        <w:tc>
          <w:tcPr>
            <w:tcW w:w="242" w:type="dxa"/>
            <w:gridSpan w:val="2"/>
            <w:tcBorders>
              <w:top w:val="nil"/>
              <w:left w:val="nil"/>
              <w:bottom w:val="nil"/>
              <w:right w:val="nil"/>
            </w:tcBorders>
            <w:shd w:val="clear" w:color="auto" w:fill="auto"/>
            <w:hideMark/>
          </w:tcPr>
          <w:p w14:paraId="0909E6E5"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5BEBA6F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7A7178BE"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6E320C8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r>
      <w:tr w:rsidR="002D76F8" w:rsidRPr="001D0B77" w14:paraId="446EC4B9" w14:textId="77777777" w:rsidTr="00BA0F3C">
        <w:trPr>
          <w:gridAfter w:val="1"/>
          <w:wAfter w:w="14" w:type="dxa"/>
        </w:trPr>
        <w:tc>
          <w:tcPr>
            <w:tcW w:w="1127" w:type="dxa"/>
            <w:tcBorders>
              <w:top w:val="nil"/>
              <w:left w:val="nil"/>
              <w:bottom w:val="nil"/>
              <w:right w:val="nil"/>
            </w:tcBorders>
            <w:shd w:val="clear" w:color="auto" w:fill="auto"/>
            <w:hideMark/>
          </w:tcPr>
          <w:p w14:paraId="2ACDD661"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R100819</w:t>
            </w:r>
          </w:p>
        </w:tc>
        <w:tc>
          <w:tcPr>
            <w:tcW w:w="1965" w:type="dxa"/>
            <w:tcBorders>
              <w:top w:val="nil"/>
              <w:left w:val="nil"/>
              <w:bottom w:val="nil"/>
              <w:right w:val="nil"/>
            </w:tcBorders>
            <w:shd w:val="clear" w:color="auto" w:fill="auto"/>
            <w:hideMark/>
          </w:tcPr>
          <w:p w14:paraId="35A604D5"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Danone Spring</w:t>
            </w:r>
          </w:p>
        </w:tc>
        <w:tc>
          <w:tcPr>
            <w:tcW w:w="1060" w:type="dxa"/>
            <w:tcBorders>
              <w:top w:val="nil"/>
              <w:left w:val="nil"/>
              <w:bottom w:val="nil"/>
              <w:right w:val="nil"/>
            </w:tcBorders>
            <w:shd w:val="clear" w:color="auto" w:fill="auto"/>
            <w:hideMark/>
          </w:tcPr>
          <w:p w14:paraId="3D141EB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9</w:t>
            </w:r>
          </w:p>
        </w:tc>
        <w:tc>
          <w:tcPr>
            <w:tcW w:w="236" w:type="dxa"/>
            <w:tcBorders>
              <w:top w:val="nil"/>
              <w:left w:val="nil"/>
              <w:bottom w:val="nil"/>
              <w:right w:val="nil"/>
            </w:tcBorders>
            <w:shd w:val="clear" w:color="auto" w:fill="auto"/>
            <w:hideMark/>
          </w:tcPr>
          <w:p w14:paraId="47EA58CC"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45D648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c>
          <w:tcPr>
            <w:tcW w:w="236" w:type="dxa"/>
            <w:tcBorders>
              <w:top w:val="nil"/>
              <w:left w:val="nil"/>
              <w:bottom w:val="nil"/>
              <w:right w:val="nil"/>
            </w:tcBorders>
            <w:shd w:val="clear" w:color="auto" w:fill="auto"/>
            <w:hideMark/>
          </w:tcPr>
          <w:p w14:paraId="0DE731EB"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972BCC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w:t>
            </w:r>
          </w:p>
        </w:tc>
        <w:tc>
          <w:tcPr>
            <w:tcW w:w="242" w:type="dxa"/>
            <w:gridSpan w:val="2"/>
            <w:tcBorders>
              <w:top w:val="nil"/>
              <w:left w:val="nil"/>
              <w:bottom w:val="nil"/>
              <w:right w:val="nil"/>
            </w:tcBorders>
            <w:shd w:val="clear" w:color="auto" w:fill="auto"/>
            <w:hideMark/>
          </w:tcPr>
          <w:p w14:paraId="41C188F8"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38B0680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62940838"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640C3C3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8</w:t>
            </w:r>
          </w:p>
        </w:tc>
      </w:tr>
      <w:tr w:rsidR="002D76F8" w:rsidRPr="001D0B77" w14:paraId="78D6D122" w14:textId="77777777" w:rsidTr="00BA0F3C">
        <w:trPr>
          <w:gridAfter w:val="1"/>
          <w:wAfter w:w="14" w:type="dxa"/>
        </w:trPr>
        <w:tc>
          <w:tcPr>
            <w:tcW w:w="1127" w:type="dxa"/>
            <w:tcBorders>
              <w:top w:val="nil"/>
              <w:left w:val="nil"/>
              <w:bottom w:val="nil"/>
              <w:right w:val="nil"/>
            </w:tcBorders>
            <w:shd w:val="clear" w:color="auto" w:fill="auto"/>
            <w:hideMark/>
          </w:tcPr>
          <w:p w14:paraId="687DD6A1"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R100816</w:t>
            </w:r>
          </w:p>
        </w:tc>
        <w:tc>
          <w:tcPr>
            <w:tcW w:w="1965" w:type="dxa"/>
            <w:tcBorders>
              <w:top w:val="nil"/>
              <w:left w:val="nil"/>
              <w:bottom w:val="nil"/>
              <w:right w:val="nil"/>
            </w:tcBorders>
            <w:shd w:val="clear" w:color="auto" w:fill="auto"/>
            <w:hideMark/>
          </w:tcPr>
          <w:p w14:paraId="3E9FCE22"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Danone 2016</w:t>
            </w:r>
          </w:p>
        </w:tc>
        <w:tc>
          <w:tcPr>
            <w:tcW w:w="1060" w:type="dxa"/>
            <w:tcBorders>
              <w:top w:val="nil"/>
              <w:left w:val="nil"/>
              <w:bottom w:val="nil"/>
              <w:right w:val="nil"/>
            </w:tcBorders>
            <w:shd w:val="clear" w:color="auto" w:fill="auto"/>
            <w:hideMark/>
          </w:tcPr>
          <w:p w14:paraId="13B3BA8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(62)</w:t>
            </w:r>
          </w:p>
        </w:tc>
        <w:tc>
          <w:tcPr>
            <w:tcW w:w="236" w:type="dxa"/>
            <w:tcBorders>
              <w:top w:val="nil"/>
              <w:left w:val="nil"/>
              <w:bottom w:val="nil"/>
              <w:right w:val="nil"/>
            </w:tcBorders>
            <w:shd w:val="clear" w:color="auto" w:fill="auto"/>
            <w:hideMark/>
          </w:tcPr>
          <w:p w14:paraId="7108A902"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7448A03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469</w:t>
            </w:r>
          </w:p>
        </w:tc>
        <w:tc>
          <w:tcPr>
            <w:tcW w:w="236" w:type="dxa"/>
            <w:tcBorders>
              <w:top w:val="nil"/>
              <w:left w:val="nil"/>
              <w:bottom w:val="nil"/>
              <w:right w:val="nil"/>
            </w:tcBorders>
            <w:shd w:val="clear" w:color="auto" w:fill="auto"/>
            <w:hideMark/>
          </w:tcPr>
          <w:p w14:paraId="213867BB"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0BF0387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(228)</w:t>
            </w:r>
          </w:p>
        </w:tc>
        <w:tc>
          <w:tcPr>
            <w:tcW w:w="242" w:type="dxa"/>
            <w:gridSpan w:val="2"/>
            <w:tcBorders>
              <w:top w:val="nil"/>
              <w:left w:val="nil"/>
              <w:bottom w:val="nil"/>
              <w:right w:val="nil"/>
            </w:tcBorders>
            <w:shd w:val="clear" w:color="auto" w:fill="auto"/>
            <w:hideMark/>
          </w:tcPr>
          <w:p w14:paraId="19B3FF29"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950830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10BEEFFF"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809BE5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178</w:t>
            </w:r>
          </w:p>
        </w:tc>
      </w:tr>
      <w:tr w:rsidR="002D76F8" w:rsidRPr="001D0B77" w14:paraId="685303C4" w14:textId="77777777" w:rsidTr="00BA0F3C">
        <w:trPr>
          <w:gridAfter w:val="1"/>
          <w:wAfter w:w="14" w:type="dxa"/>
        </w:trPr>
        <w:tc>
          <w:tcPr>
            <w:tcW w:w="1127" w:type="dxa"/>
            <w:tcBorders>
              <w:top w:val="nil"/>
              <w:left w:val="nil"/>
              <w:bottom w:val="nil"/>
              <w:right w:val="nil"/>
            </w:tcBorders>
            <w:shd w:val="clear" w:color="auto" w:fill="auto"/>
            <w:hideMark/>
          </w:tcPr>
          <w:p w14:paraId="64220FE4"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R100904</w:t>
            </w:r>
          </w:p>
        </w:tc>
        <w:tc>
          <w:tcPr>
            <w:tcW w:w="1965" w:type="dxa"/>
            <w:tcBorders>
              <w:top w:val="nil"/>
              <w:left w:val="nil"/>
              <w:bottom w:val="nil"/>
              <w:right w:val="nil"/>
            </w:tcBorders>
            <w:shd w:val="clear" w:color="auto" w:fill="auto"/>
            <w:hideMark/>
          </w:tcPr>
          <w:p w14:paraId="09C8987D"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STRP 2016-2018</w:t>
            </w:r>
          </w:p>
        </w:tc>
        <w:tc>
          <w:tcPr>
            <w:tcW w:w="1060" w:type="dxa"/>
            <w:tcBorders>
              <w:top w:val="nil"/>
              <w:left w:val="nil"/>
              <w:bottom w:val="nil"/>
              <w:right w:val="nil"/>
            </w:tcBorders>
            <w:shd w:val="clear" w:color="auto" w:fill="auto"/>
            <w:hideMark/>
          </w:tcPr>
          <w:p w14:paraId="6F8EB42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133</w:t>
            </w:r>
          </w:p>
        </w:tc>
        <w:tc>
          <w:tcPr>
            <w:tcW w:w="236" w:type="dxa"/>
            <w:tcBorders>
              <w:top w:val="nil"/>
              <w:left w:val="nil"/>
              <w:bottom w:val="nil"/>
              <w:right w:val="nil"/>
            </w:tcBorders>
            <w:shd w:val="clear" w:color="auto" w:fill="auto"/>
            <w:hideMark/>
          </w:tcPr>
          <w:p w14:paraId="50A1ED3F"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6F1762D3"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8</w:t>
            </w:r>
          </w:p>
        </w:tc>
        <w:tc>
          <w:tcPr>
            <w:tcW w:w="236" w:type="dxa"/>
            <w:tcBorders>
              <w:top w:val="nil"/>
              <w:left w:val="nil"/>
              <w:bottom w:val="nil"/>
              <w:right w:val="nil"/>
            </w:tcBorders>
            <w:shd w:val="clear" w:color="auto" w:fill="auto"/>
            <w:hideMark/>
          </w:tcPr>
          <w:p w14:paraId="6F3729CB"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324B356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w:t>
            </w:r>
          </w:p>
        </w:tc>
        <w:tc>
          <w:tcPr>
            <w:tcW w:w="242" w:type="dxa"/>
            <w:gridSpan w:val="2"/>
            <w:tcBorders>
              <w:top w:val="nil"/>
              <w:left w:val="nil"/>
              <w:bottom w:val="nil"/>
              <w:right w:val="nil"/>
            </w:tcBorders>
            <w:shd w:val="clear" w:color="auto" w:fill="auto"/>
            <w:hideMark/>
          </w:tcPr>
          <w:p w14:paraId="0A4B7B9F"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CD22AC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75BFC79E"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5959E27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145</w:t>
            </w:r>
          </w:p>
        </w:tc>
      </w:tr>
      <w:tr w:rsidR="002D76F8" w:rsidRPr="001D0B77" w14:paraId="1CD9EBC6" w14:textId="77777777" w:rsidTr="00BA0F3C">
        <w:trPr>
          <w:gridAfter w:val="1"/>
          <w:wAfter w:w="14" w:type="dxa"/>
        </w:trPr>
        <w:tc>
          <w:tcPr>
            <w:tcW w:w="1127" w:type="dxa"/>
            <w:tcBorders>
              <w:top w:val="nil"/>
              <w:left w:val="nil"/>
              <w:bottom w:val="nil"/>
              <w:right w:val="nil"/>
            </w:tcBorders>
            <w:shd w:val="clear" w:color="auto" w:fill="auto"/>
            <w:hideMark/>
          </w:tcPr>
          <w:p w14:paraId="53C46A0B"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R100910</w:t>
            </w:r>
          </w:p>
        </w:tc>
        <w:tc>
          <w:tcPr>
            <w:tcW w:w="1965" w:type="dxa"/>
            <w:tcBorders>
              <w:top w:val="nil"/>
              <w:left w:val="nil"/>
              <w:bottom w:val="nil"/>
              <w:right w:val="nil"/>
            </w:tcBorders>
            <w:shd w:val="clear" w:color="auto" w:fill="auto"/>
            <w:hideMark/>
          </w:tcPr>
          <w:p w14:paraId="3124FACB"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TEEB</w:t>
            </w:r>
          </w:p>
        </w:tc>
        <w:tc>
          <w:tcPr>
            <w:tcW w:w="1060" w:type="dxa"/>
            <w:tcBorders>
              <w:top w:val="nil"/>
              <w:left w:val="nil"/>
              <w:bottom w:val="nil"/>
              <w:right w:val="nil"/>
            </w:tcBorders>
            <w:shd w:val="clear" w:color="auto" w:fill="auto"/>
            <w:hideMark/>
          </w:tcPr>
          <w:p w14:paraId="72B60C91"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39</w:t>
            </w:r>
          </w:p>
        </w:tc>
        <w:tc>
          <w:tcPr>
            <w:tcW w:w="236" w:type="dxa"/>
            <w:tcBorders>
              <w:top w:val="nil"/>
              <w:left w:val="nil"/>
              <w:bottom w:val="nil"/>
              <w:right w:val="nil"/>
            </w:tcBorders>
            <w:shd w:val="clear" w:color="auto" w:fill="auto"/>
            <w:hideMark/>
          </w:tcPr>
          <w:p w14:paraId="4D0D1A2D"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AB201CC"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69FBB397"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825A8C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57C9D7D4"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7569B68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738D5DEB"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1158F5C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39</w:t>
            </w:r>
          </w:p>
        </w:tc>
      </w:tr>
      <w:tr w:rsidR="002D76F8" w:rsidRPr="001D0B77" w14:paraId="4DD5BB58" w14:textId="77777777" w:rsidTr="00BA0F3C">
        <w:trPr>
          <w:gridAfter w:val="1"/>
          <w:wAfter w:w="14" w:type="dxa"/>
        </w:trPr>
        <w:tc>
          <w:tcPr>
            <w:tcW w:w="1127" w:type="dxa"/>
            <w:tcBorders>
              <w:top w:val="nil"/>
              <w:left w:val="nil"/>
              <w:bottom w:val="nil"/>
              <w:right w:val="nil"/>
            </w:tcBorders>
            <w:shd w:val="clear" w:color="auto" w:fill="auto"/>
            <w:hideMark/>
          </w:tcPr>
          <w:p w14:paraId="6F36D6E8"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R101000</w:t>
            </w:r>
          </w:p>
        </w:tc>
        <w:tc>
          <w:tcPr>
            <w:tcW w:w="1965" w:type="dxa"/>
            <w:tcBorders>
              <w:top w:val="nil"/>
              <w:left w:val="nil"/>
              <w:bottom w:val="nil"/>
              <w:right w:val="nil"/>
            </w:tcBorders>
            <w:shd w:val="clear" w:color="auto" w:fill="auto"/>
            <w:hideMark/>
          </w:tcPr>
          <w:p w14:paraId="25DF632A"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SSFA, Expert Group on Water Cycle</w:t>
            </w:r>
          </w:p>
        </w:tc>
        <w:tc>
          <w:tcPr>
            <w:tcW w:w="1060" w:type="dxa"/>
            <w:tcBorders>
              <w:top w:val="nil"/>
              <w:left w:val="nil"/>
              <w:bottom w:val="nil"/>
              <w:right w:val="nil"/>
            </w:tcBorders>
            <w:shd w:val="clear" w:color="auto" w:fill="auto"/>
            <w:hideMark/>
          </w:tcPr>
          <w:p w14:paraId="05EC16DB"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w:t>
            </w:r>
          </w:p>
        </w:tc>
        <w:tc>
          <w:tcPr>
            <w:tcW w:w="236" w:type="dxa"/>
            <w:tcBorders>
              <w:top w:val="nil"/>
              <w:left w:val="nil"/>
              <w:bottom w:val="nil"/>
              <w:right w:val="nil"/>
            </w:tcBorders>
            <w:shd w:val="clear" w:color="auto" w:fill="auto"/>
            <w:hideMark/>
          </w:tcPr>
          <w:p w14:paraId="4D3585CE"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95B1D2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577A61E5"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0D0A6A4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23</w:t>
            </w:r>
          </w:p>
        </w:tc>
        <w:tc>
          <w:tcPr>
            <w:tcW w:w="242" w:type="dxa"/>
            <w:gridSpan w:val="2"/>
            <w:tcBorders>
              <w:top w:val="nil"/>
              <w:left w:val="nil"/>
              <w:bottom w:val="nil"/>
              <w:right w:val="nil"/>
            </w:tcBorders>
            <w:shd w:val="clear" w:color="auto" w:fill="auto"/>
            <w:hideMark/>
          </w:tcPr>
          <w:p w14:paraId="639C08B2"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74068BD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3A30E9D7"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187B27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21</w:t>
            </w:r>
          </w:p>
        </w:tc>
      </w:tr>
      <w:tr w:rsidR="002D76F8" w:rsidRPr="001D0B77" w14:paraId="3D7BF116" w14:textId="77777777" w:rsidTr="00BA0F3C">
        <w:trPr>
          <w:gridAfter w:val="1"/>
          <w:wAfter w:w="14" w:type="dxa"/>
        </w:trPr>
        <w:tc>
          <w:tcPr>
            <w:tcW w:w="1127" w:type="dxa"/>
            <w:tcBorders>
              <w:top w:val="nil"/>
              <w:left w:val="nil"/>
              <w:bottom w:val="nil"/>
              <w:right w:val="nil"/>
            </w:tcBorders>
            <w:shd w:val="clear" w:color="auto" w:fill="auto"/>
            <w:hideMark/>
          </w:tcPr>
          <w:p w14:paraId="1B810972"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R101001</w:t>
            </w:r>
          </w:p>
        </w:tc>
        <w:tc>
          <w:tcPr>
            <w:tcW w:w="1965" w:type="dxa"/>
            <w:tcBorders>
              <w:top w:val="nil"/>
              <w:left w:val="nil"/>
              <w:bottom w:val="nil"/>
              <w:right w:val="nil"/>
            </w:tcBorders>
            <w:shd w:val="clear" w:color="auto" w:fill="auto"/>
            <w:hideMark/>
          </w:tcPr>
          <w:p w14:paraId="40541DA0"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WCMC, Online National Report Format</w:t>
            </w:r>
          </w:p>
        </w:tc>
        <w:tc>
          <w:tcPr>
            <w:tcW w:w="1060" w:type="dxa"/>
            <w:tcBorders>
              <w:top w:val="nil"/>
              <w:left w:val="nil"/>
              <w:bottom w:val="nil"/>
              <w:right w:val="nil"/>
            </w:tcBorders>
            <w:shd w:val="clear" w:color="auto" w:fill="auto"/>
            <w:hideMark/>
          </w:tcPr>
          <w:p w14:paraId="76015A5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14</w:t>
            </w:r>
          </w:p>
        </w:tc>
        <w:tc>
          <w:tcPr>
            <w:tcW w:w="236" w:type="dxa"/>
            <w:tcBorders>
              <w:top w:val="nil"/>
              <w:left w:val="nil"/>
              <w:bottom w:val="nil"/>
              <w:right w:val="nil"/>
            </w:tcBorders>
            <w:shd w:val="clear" w:color="auto" w:fill="auto"/>
            <w:hideMark/>
          </w:tcPr>
          <w:p w14:paraId="2CF3A5EE"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A316BB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74FDED32"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4C818D53"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2117943A"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09E3E3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71C50F27"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2FE34933"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14</w:t>
            </w:r>
          </w:p>
        </w:tc>
      </w:tr>
      <w:tr w:rsidR="002D76F8" w:rsidRPr="001D0B77" w14:paraId="0F3D26BB" w14:textId="77777777" w:rsidTr="00BA0F3C">
        <w:trPr>
          <w:gridAfter w:val="1"/>
          <w:wAfter w:w="14" w:type="dxa"/>
        </w:trPr>
        <w:tc>
          <w:tcPr>
            <w:tcW w:w="1127" w:type="dxa"/>
            <w:tcBorders>
              <w:top w:val="nil"/>
              <w:left w:val="nil"/>
              <w:bottom w:val="nil"/>
              <w:right w:val="nil"/>
            </w:tcBorders>
            <w:shd w:val="clear" w:color="auto" w:fill="auto"/>
            <w:hideMark/>
          </w:tcPr>
          <w:p w14:paraId="56DC9E60"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R101002</w:t>
            </w:r>
          </w:p>
        </w:tc>
        <w:tc>
          <w:tcPr>
            <w:tcW w:w="1965" w:type="dxa"/>
            <w:tcBorders>
              <w:top w:val="nil"/>
              <w:left w:val="nil"/>
              <w:bottom w:val="nil"/>
              <w:right w:val="nil"/>
            </w:tcBorders>
            <w:shd w:val="clear" w:color="auto" w:fill="auto"/>
            <w:hideMark/>
          </w:tcPr>
          <w:p w14:paraId="68B4AA5B"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NORAD 2015</w:t>
            </w:r>
          </w:p>
        </w:tc>
        <w:tc>
          <w:tcPr>
            <w:tcW w:w="1060" w:type="dxa"/>
            <w:tcBorders>
              <w:top w:val="nil"/>
              <w:left w:val="nil"/>
              <w:bottom w:val="nil"/>
              <w:right w:val="nil"/>
            </w:tcBorders>
            <w:shd w:val="clear" w:color="auto" w:fill="auto"/>
            <w:hideMark/>
          </w:tcPr>
          <w:p w14:paraId="75F84AF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27</w:t>
            </w:r>
          </w:p>
        </w:tc>
        <w:tc>
          <w:tcPr>
            <w:tcW w:w="236" w:type="dxa"/>
            <w:tcBorders>
              <w:top w:val="nil"/>
              <w:left w:val="nil"/>
              <w:bottom w:val="nil"/>
              <w:right w:val="nil"/>
            </w:tcBorders>
            <w:shd w:val="clear" w:color="auto" w:fill="auto"/>
            <w:hideMark/>
          </w:tcPr>
          <w:p w14:paraId="51609A68"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21055F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(21)</w:t>
            </w:r>
          </w:p>
        </w:tc>
        <w:tc>
          <w:tcPr>
            <w:tcW w:w="236" w:type="dxa"/>
            <w:tcBorders>
              <w:top w:val="nil"/>
              <w:left w:val="nil"/>
              <w:bottom w:val="nil"/>
              <w:right w:val="nil"/>
            </w:tcBorders>
            <w:shd w:val="clear" w:color="auto" w:fill="auto"/>
            <w:hideMark/>
          </w:tcPr>
          <w:p w14:paraId="47BD769C"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4A7C0EC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w:t>
            </w:r>
          </w:p>
        </w:tc>
        <w:tc>
          <w:tcPr>
            <w:tcW w:w="242" w:type="dxa"/>
            <w:gridSpan w:val="2"/>
            <w:tcBorders>
              <w:top w:val="nil"/>
              <w:left w:val="nil"/>
              <w:bottom w:val="nil"/>
              <w:right w:val="nil"/>
            </w:tcBorders>
            <w:shd w:val="clear" w:color="auto" w:fill="auto"/>
            <w:hideMark/>
          </w:tcPr>
          <w:p w14:paraId="144F9314"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4BCA353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w:t>
            </w:r>
          </w:p>
        </w:tc>
        <w:tc>
          <w:tcPr>
            <w:tcW w:w="243" w:type="dxa"/>
            <w:gridSpan w:val="2"/>
            <w:tcBorders>
              <w:top w:val="nil"/>
              <w:left w:val="nil"/>
              <w:bottom w:val="nil"/>
              <w:right w:val="nil"/>
            </w:tcBorders>
            <w:shd w:val="clear" w:color="auto" w:fill="auto"/>
            <w:hideMark/>
          </w:tcPr>
          <w:p w14:paraId="2769503C"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E37D6E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r>
      <w:tr w:rsidR="002D76F8" w:rsidRPr="001D0B77" w14:paraId="6AB7B6E6" w14:textId="77777777" w:rsidTr="00BA0F3C">
        <w:trPr>
          <w:gridAfter w:val="1"/>
          <w:wAfter w:w="14" w:type="dxa"/>
        </w:trPr>
        <w:tc>
          <w:tcPr>
            <w:tcW w:w="1127" w:type="dxa"/>
            <w:tcBorders>
              <w:top w:val="nil"/>
              <w:left w:val="nil"/>
              <w:bottom w:val="nil"/>
              <w:right w:val="nil"/>
            </w:tcBorders>
            <w:shd w:val="clear" w:color="auto" w:fill="auto"/>
            <w:hideMark/>
          </w:tcPr>
          <w:p w14:paraId="3803853D"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R101003</w:t>
            </w:r>
          </w:p>
        </w:tc>
        <w:tc>
          <w:tcPr>
            <w:tcW w:w="1965" w:type="dxa"/>
            <w:tcBorders>
              <w:top w:val="nil"/>
              <w:left w:val="nil"/>
              <w:bottom w:val="nil"/>
              <w:right w:val="nil"/>
            </w:tcBorders>
            <w:shd w:val="clear" w:color="auto" w:fill="auto"/>
            <w:hideMark/>
          </w:tcPr>
          <w:p w14:paraId="7A1B3C90"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MAVA 13-32</w:t>
            </w:r>
          </w:p>
        </w:tc>
        <w:tc>
          <w:tcPr>
            <w:tcW w:w="1060" w:type="dxa"/>
            <w:tcBorders>
              <w:top w:val="nil"/>
              <w:left w:val="nil"/>
              <w:bottom w:val="nil"/>
              <w:right w:val="nil"/>
            </w:tcBorders>
            <w:shd w:val="clear" w:color="auto" w:fill="auto"/>
            <w:hideMark/>
          </w:tcPr>
          <w:p w14:paraId="01EF647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61</w:t>
            </w:r>
          </w:p>
        </w:tc>
        <w:tc>
          <w:tcPr>
            <w:tcW w:w="236" w:type="dxa"/>
            <w:tcBorders>
              <w:top w:val="nil"/>
              <w:left w:val="nil"/>
              <w:bottom w:val="nil"/>
              <w:right w:val="nil"/>
            </w:tcBorders>
            <w:shd w:val="clear" w:color="auto" w:fill="auto"/>
            <w:hideMark/>
          </w:tcPr>
          <w:p w14:paraId="57EED2C5"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018B4B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c>
          <w:tcPr>
            <w:tcW w:w="236" w:type="dxa"/>
            <w:tcBorders>
              <w:top w:val="nil"/>
              <w:left w:val="nil"/>
              <w:bottom w:val="nil"/>
              <w:right w:val="nil"/>
            </w:tcBorders>
            <w:shd w:val="clear" w:color="auto" w:fill="auto"/>
            <w:hideMark/>
          </w:tcPr>
          <w:p w14:paraId="4ED9EFED"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9D6455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(61)</w:t>
            </w:r>
          </w:p>
        </w:tc>
        <w:tc>
          <w:tcPr>
            <w:tcW w:w="242" w:type="dxa"/>
            <w:gridSpan w:val="2"/>
            <w:tcBorders>
              <w:top w:val="nil"/>
              <w:left w:val="nil"/>
              <w:bottom w:val="nil"/>
              <w:right w:val="nil"/>
            </w:tcBorders>
            <w:shd w:val="clear" w:color="auto" w:fill="auto"/>
            <w:hideMark/>
          </w:tcPr>
          <w:p w14:paraId="4C2E2352"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10DD40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6</w:t>
            </w:r>
          </w:p>
        </w:tc>
        <w:tc>
          <w:tcPr>
            <w:tcW w:w="243" w:type="dxa"/>
            <w:gridSpan w:val="2"/>
            <w:tcBorders>
              <w:top w:val="nil"/>
              <w:left w:val="nil"/>
              <w:bottom w:val="nil"/>
              <w:right w:val="nil"/>
            </w:tcBorders>
            <w:shd w:val="clear" w:color="auto" w:fill="auto"/>
            <w:hideMark/>
          </w:tcPr>
          <w:p w14:paraId="2A8C2F8B"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5F08ABE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w:t>
            </w:r>
          </w:p>
        </w:tc>
      </w:tr>
      <w:tr w:rsidR="002D76F8" w:rsidRPr="001D0B77" w14:paraId="6EBAE301" w14:textId="77777777" w:rsidTr="00BA0F3C">
        <w:trPr>
          <w:gridAfter w:val="1"/>
          <w:wAfter w:w="14" w:type="dxa"/>
        </w:trPr>
        <w:tc>
          <w:tcPr>
            <w:tcW w:w="1127" w:type="dxa"/>
            <w:tcBorders>
              <w:top w:val="nil"/>
              <w:left w:val="nil"/>
              <w:bottom w:val="nil"/>
              <w:right w:val="nil"/>
            </w:tcBorders>
            <w:shd w:val="clear" w:color="auto" w:fill="auto"/>
            <w:hideMark/>
          </w:tcPr>
          <w:p w14:paraId="24F08AAB"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R101006</w:t>
            </w:r>
          </w:p>
        </w:tc>
        <w:tc>
          <w:tcPr>
            <w:tcW w:w="1965" w:type="dxa"/>
            <w:tcBorders>
              <w:top w:val="nil"/>
              <w:left w:val="nil"/>
              <w:bottom w:val="nil"/>
              <w:right w:val="nil"/>
            </w:tcBorders>
            <w:shd w:val="clear" w:color="auto" w:fill="auto"/>
            <w:hideMark/>
          </w:tcPr>
          <w:p w14:paraId="3B04984A"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Workshop on Ramsar, wetlands and climate change</w:t>
            </w:r>
          </w:p>
        </w:tc>
        <w:tc>
          <w:tcPr>
            <w:tcW w:w="1060" w:type="dxa"/>
            <w:tcBorders>
              <w:top w:val="nil"/>
              <w:left w:val="nil"/>
              <w:bottom w:val="nil"/>
              <w:right w:val="nil"/>
            </w:tcBorders>
            <w:shd w:val="clear" w:color="auto" w:fill="auto"/>
            <w:hideMark/>
          </w:tcPr>
          <w:p w14:paraId="3A53246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22A75A62"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9431D7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w:t>
            </w:r>
          </w:p>
        </w:tc>
        <w:tc>
          <w:tcPr>
            <w:tcW w:w="236" w:type="dxa"/>
            <w:tcBorders>
              <w:top w:val="nil"/>
              <w:left w:val="nil"/>
              <w:right w:val="nil"/>
            </w:tcBorders>
            <w:shd w:val="clear" w:color="auto" w:fill="auto"/>
            <w:hideMark/>
          </w:tcPr>
          <w:p w14:paraId="6ECE6373"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ECA315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right w:val="nil"/>
            </w:tcBorders>
            <w:shd w:val="clear" w:color="auto" w:fill="auto"/>
            <w:hideMark/>
          </w:tcPr>
          <w:p w14:paraId="2DD35BC7"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074A94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right w:val="nil"/>
            </w:tcBorders>
            <w:shd w:val="clear" w:color="auto" w:fill="auto"/>
            <w:hideMark/>
          </w:tcPr>
          <w:p w14:paraId="368FB7CE"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428B229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w:t>
            </w:r>
          </w:p>
        </w:tc>
      </w:tr>
      <w:tr w:rsidR="002D76F8" w:rsidRPr="001D0B77" w14:paraId="19C5A6EC" w14:textId="77777777" w:rsidTr="00BA0F3C">
        <w:trPr>
          <w:gridAfter w:val="1"/>
          <w:wAfter w:w="14" w:type="dxa"/>
        </w:trPr>
        <w:tc>
          <w:tcPr>
            <w:tcW w:w="1127" w:type="dxa"/>
            <w:tcBorders>
              <w:top w:val="nil"/>
              <w:left w:val="nil"/>
              <w:bottom w:val="nil"/>
              <w:right w:val="nil"/>
            </w:tcBorders>
            <w:shd w:val="clear" w:color="auto" w:fill="auto"/>
            <w:hideMark/>
          </w:tcPr>
          <w:p w14:paraId="12A389A3"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R118100</w:t>
            </w:r>
          </w:p>
        </w:tc>
        <w:tc>
          <w:tcPr>
            <w:tcW w:w="1965" w:type="dxa"/>
            <w:tcBorders>
              <w:top w:val="nil"/>
              <w:left w:val="nil"/>
              <w:bottom w:val="nil"/>
              <w:right w:val="nil"/>
            </w:tcBorders>
            <w:shd w:val="clear" w:color="auto" w:fill="auto"/>
            <w:hideMark/>
          </w:tcPr>
          <w:p w14:paraId="26E3F7D3"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Ramsar Pre_COP 13-FUNDS All Parties</w:t>
            </w:r>
          </w:p>
        </w:tc>
        <w:tc>
          <w:tcPr>
            <w:tcW w:w="1060" w:type="dxa"/>
            <w:tcBorders>
              <w:top w:val="nil"/>
              <w:left w:val="nil"/>
              <w:bottom w:val="nil"/>
              <w:right w:val="nil"/>
            </w:tcBorders>
            <w:shd w:val="clear" w:color="auto" w:fill="auto"/>
            <w:hideMark/>
          </w:tcPr>
          <w:p w14:paraId="12A729A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45</w:t>
            </w:r>
          </w:p>
        </w:tc>
        <w:tc>
          <w:tcPr>
            <w:tcW w:w="236" w:type="dxa"/>
            <w:tcBorders>
              <w:top w:val="nil"/>
              <w:left w:val="nil"/>
              <w:bottom w:val="nil"/>
              <w:right w:val="nil"/>
            </w:tcBorders>
            <w:shd w:val="clear" w:color="auto" w:fill="auto"/>
            <w:hideMark/>
          </w:tcPr>
          <w:p w14:paraId="31F6AB63"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5F19D12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20</w:t>
            </w:r>
          </w:p>
        </w:tc>
        <w:tc>
          <w:tcPr>
            <w:tcW w:w="236" w:type="dxa"/>
            <w:tcBorders>
              <w:top w:val="nil"/>
              <w:left w:val="nil"/>
              <w:bottom w:val="nil"/>
              <w:right w:val="nil"/>
            </w:tcBorders>
            <w:shd w:val="clear" w:color="auto" w:fill="auto"/>
            <w:hideMark/>
          </w:tcPr>
          <w:p w14:paraId="7C78A27F"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3AFED53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(245)</w:t>
            </w:r>
          </w:p>
        </w:tc>
        <w:tc>
          <w:tcPr>
            <w:tcW w:w="242" w:type="dxa"/>
            <w:gridSpan w:val="2"/>
            <w:tcBorders>
              <w:top w:val="nil"/>
              <w:left w:val="nil"/>
              <w:bottom w:val="nil"/>
              <w:right w:val="nil"/>
            </w:tcBorders>
            <w:shd w:val="clear" w:color="auto" w:fill="auto"/>
            <w:hideMark/>
          </w:tcPr>
          <w:p w14:paraId="5D46EBE8"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04D51B5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180</w:t>
            </w:r>
          </w:p>
        </w:tc>
        <w:tc>
          <w:tcPr>
            <w:tcW w:w="243" w:type="dxa"/>
            <w:gridSpan w:val="2"/>
            <w:tcBorders>
              <w:top w:val="nil"/>
              <w:left w:val="nil"/>
              <w:bottom w:val="nil"/>
              <w:right w:val="nil"/>
            </w:tcBorders>
            <w:shd w:val="clear" w:color="auto" w:fill="auto"/>
            <w:hideMark/>
          </w:tcPr>
          <w:p w14:paraId="7E85CBD0"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6DE8DF26"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r>
      <w:tr w:rsidR="002D76F8" w:rsidRPr="001D0B77" w14:paraId="74596837"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4EA177C9" w14:textId="77777777" w:rsidR="00BD2756" w:rsidRPr="001D0B77" w:rsidRDefault="00BD2756" w:rsidP="00D960A0">
            <w:pPr>
              <w:ind w:left="0" w:firstLine="0"/>
              <w:rPr>
                <w:rFonts w:asciiTheme="minorHAnsi" w:hAnsiTheme="minorHAnsi" w:cstheme="minorHAnsi"/>
                <w:sz w:val="20"/>
                <w:szCs w:val="20"/>
              </w:rPr>
            </w:pPr>
          </w:p>
        </w:tc>
        <w:tc>
          <w:tcPr>
            <w:tcW w:w="1965" w:type="dxa"/>
            <w:tcBorders>
              <w:top w:val="nil"/>
              <w:left w:val="nil"/>
              <w:bottom w:val="single" w:sz="4" w:space="0" w:color="auto"/>
              <w:right w:val="nil"/>
            </w:tcBorders>
            <w:shd w:val="clear" w:color="auto" w:fill="auto"/>
            <w:hideMark/>
          </w:tcPr>
          <w:p w14:paraId="237D41DF"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hideMark/>
          </w:tcPr>
          <w:p w14:paraId="1754D86A"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2CFF0A2A"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single" w:sz="4" w:space="0" w:color="auto"/>
              <w:right w:val="nil"/>
            </w:tcBorders>
            <w:shd w:val="clear" w:color="auto" w:fill="auto"/>
            <w:hideMark/>
          </w:tcPr>
          <w:p w14:paraId="4F35B4D0"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5A667B4F"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single" w:sz="4" w:space="0" w:color="auto"/>
              <w:right w:val="nil"/>
            </w:tcBorders>
            <w:shd w:val="clear" w:color="auto" w:fill="auto"/>
            <w:hideMark/>
          </w:tcPr>
          <w:p w14:paraId="2895672F"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top w:val="nil"/>
              <w:left w:val="nil"/>
              <w:right w:val="nil"/>
            </w:tcBorders>
            <w:shd w:val="clear" w:color="auto" w:fill="auto"/>
            <w:hideMark/>
          </w:tcPr>
          <w:p w14:paraId="06A4359E"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single" w:sz="4" w:space="0" w:color="auto"/>
              <w:right w:val="nil"/>
            </w:tcBorders>
            <w:shd w:val="clear" w:color="auto" w:fill="auto"/>
            <w:hideMark/>
          </w:tcPr>
          <w:p w14:paraId="64A9A312"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top w:val="nil"/>
              <w:left w:val="nil"/>
              <w:right w:val="nil"/>
            </w:tcBorders>
            <w:shd w:val="clear" w:color="auto" w:fill="auto"/>
            <w:hideMark/>
          </w:tcPr>
          <w:p w14:paraId="5AE1DDFA"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single" w:sz="4" w:space="0" w:color="auto"/>
              <w:right w:val="nil"/>
            </w:tcBorders>
            <w:shd w:val="clear" w:color="auto" w:fill="auto"/>
            <w:hideMark/>
          </w:tcPr>
          <w:p w14:paraId="260DA400"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5521721B"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25000C7B" w14:textId="77777777" w:rsidR="00BD2756" w:rsidRPr="001D0B77" w:rsidRDefault="00BD2756" w:rsidP="00D960A0">
            <w:pPr>
              <w:ind w:left="0" w:firstLine="0"/>
              <w:rPr>
                <w:rFonts w:asciiTheme="minorHAnsi" w:hAnsiTheme="minorHAnsi" w:cstheme="minorHAnsi"/>
                <w:b/>
                <w:bCs/>
                <w:sz w:val="20"/>
                <w:szCs w:val="20"/>
              </w:rPr>
            </w:pPr>
            <w:r w:rsidRPr="001D0B77">
              <w:rPr>
                <w:rFonts w:asciiTheme="minorHAnsi" w:hAnsiTheme="minorHAnsi" w:cstheme="minorHAnsi"/>
                <w:b/>
                <w:bCs/>
                <w:sz w:val="20"/>
                <w:szCs w:val="20"/>
              </w:rPr>
              <w:t>Total of Other</w:t>
            </w:r>
          </w:p>
        </w:tc>
        <w:tc>
          <w:tcPr>
            <w:tcW w:w="1060" w:type="dxa"/>
            <w:tcBorders>
              <w:top w:val="single" w:sz="4" w:space="0" w:color="auto"/>
              <w:left w:val="nil"/>
              <w:bottom w:val="single" w:sz="4" w:space="0" w:color="auto"/>
              <w:right w:val="nil"/>
            </w:tcBorders>
            <w:shd w:val="clear" w:color="auto" w:fill="EAF1DD" w:themeFill="accent3" w:themeFillTint="33"/>
            <w:hideMark/>
          </w:tcPr>
          <w:p w14:paraId="0DEB7FF6"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1,530</w:t>
            </w:r>
          </w:p>
        </w:tc>
        <w:tc>
          <w:tcPr>
            <w:tcW w:w="236" w:type="dxa"/>
            <w:tcBorders>
              <w:left w:val="nil"/>
              <w:right w:val="nil"/>
            </w:tcBorders>
            <w:shd w:val="clear" w:color="auto" w:fill="EAF1DD" w:themeFill="accent3" w:themeFillTint="33"/>
            <w:hideMark/>
          </w:tcPr>
          <w:p w14:paraId="1E98B977" w14:textId="77777777" w:rsidR="00BD2756" w:rsidRPr="001D0B77" w:rsidRDefault="00BD2756" w:rsidP="00D960A0">
            <w:pPr>
              <w:ind w:left="0" w:firstLine="0"/>
              <w:jc w:val="right"/>
              <w:rPr>
                <w:rFonts w:asciiTheme="minorHAnsi" w:hAnsiTheme="minorHAnsi" w:cstheme="minorHAnsi"/>
                <w:b/>
                <w:bCs/>
                <w:sz w:val="20"/>
                <w:szCs w:val="20"/>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640FCD70"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1,542</w:t>
            </w:r>
          </w:p>
        </w:tc>
        <w:tc>
          <w:tcPr>
            <w:tcW w:w="236" w:type="dxa"/>
            <w:tcBorders>
              <w:left w:val="nil"/>
              <w:right w:val="nil"/>
            </w:tcBorders>
            <w:shd w:val="clear" w:color="auto" w:fill="EAF1DD" w:themeFill="accent3" w:themeFillTint="33"/>
            <w:hideMark/>
          </w:tcPr>
          <w:p w14:paraId="4D493F44" w14:textId="77777777" w:rsidR="00BD2756" w:rsidRPr="001D0B77" w:rsidRDefault="00BD2756" w:rsidP="00D960A0">
            <w:pPr>
              <w:ind w:left="0" w:firstLine="0"/>
              <w:jc w:val="right"/>
              <w:rPr>
                <w:rFonts w:asciiTheme="minorHAnsi" w:hAnsiTheme="minorHAnsi" w:cstheme="minorHAnsi"/>
                <w:b/>
                <w:bCs/>
                <w:sz w:val="20"/>
                <w:szCs w:val="20"/>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0E0CFE08"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(1,714)</w:t>
            </w:r>
          </w:p>
        </w:tc>
        <w:tc>
          <w:tcPr>
            <w:tcW w:w="242" w:type="dxa"/>
            <w:gridSpan w:val="2"/>
            <w:tcBorders>
              <w:left w:val="nil"/>
              <w:right w:val="nil"/>
            </w:tcBorders>
            <w:shd w:val="clear" w:color="auto" w:fill="EAF1DD" w:themeFill="accent3" w:themeFillTint="33"/>
            <w:hideMark/>
          </w:tcPr>
          <w:p w14:paraId="237A22B8" w14:textId="77777777" w:rsidR="00BD2756" w:rsidRPr="001D0B77" w:rsidRDefault="00BD2756" w:rsidP="00D960A0">
            <w:pPr>
              <w:ind w:left="0" w:firstLine="0"/>
              <w:jc w:val="right"/>
              <w:rPr>
                <w:rFonts w:asciiTheme="minorHAnsi" w:hAnsiTheme="minorHAnsi" w:cstheme="minorHAnsi"/>
                <w:b/>
                <w:bCs/>
                <w:sz w:val="20"/>
                <w:szCs w:val="20"/>
              </w:rPr>
            </w:pPr>
          </w:p>
        </w:tc>
        <w:tc>
          <w:tcPr>
            <w:tcW w:w="1001" w:type="dxa"/>
            <w:gridSpan w:val="2"/>
            <w:tcBorders>
              <w:top w:val="single" w:sz="4" w:space="0" w:color="auto"/>
              <w:left w:val="nil"/>
              <w:bottom w:val="single" w:sz="4" w:space="0" w:color="auto"/>
              <w:right w:val="nil"/>
            </w:tcBorders>
            <w:shd w:val="clear" w:color="auto" w:fill="EAF1DD" w:themeFill="accent3" w:themeFillTint="33"/>
            <w:hideMark/>
          </w:tcPr>
          <w:p w14:paraId="1F92ADF5"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(157)</w:t>
            </w:r>
          </w:p>
        </w:tc>
        <w:tc>
          <w:tcPr>
            <w:tcW w:w="243" w:type="dxa"/>
            <w:gridSpan w:val="2"/>
            <w:tcBorders>
              <w:left w:val="nil"/>
              <w:right w:val="nil"/>
            </w:tcBorders>
            <w:shd w:val="clear" w:color="auto" w:fill="EAF1DD" w:themeFill="accent3" w:themeFillTint="33"/>
            <w:hideMark/>
          </w:tcPr>
          <w:p w14:paraId="592863EC" w14:textId="77777777" w:rsidR="00BD2756" w:rsidRPr="001D0B77" w:rsidRDefault="00BD2756" w:rsidP="00D960A0">
            <w:pPr>
              <w:ind w:left="0" w:firstLine="0"/>
              <w:jc w:val="right"/>
              <w:rPr>
                <w:rFonts w:asciiTheme="minorHAnsi" w:hAnsiTheme="minorHAnsi" w:cstheme="minorHAnsi"/>
                <w:b/>
                <w:bCs/>
                <w:sz w:val="20"/>
                <w:szCs w:val="20"/>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7D8E3F5B"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1,201</w:t>
            </w:r>
          </w:p>
        </w:tc>
      </w:tr>
      <w:tr w:rsidR="002D76F8" w:rsidRPr="001D0B77" w14:paraId="077F88E1" w14:textId="77777777" w:rsidTr="00BA0F3C">
        <w:trPr>
          <w:gridAfter w:val="1"/>
          <w:wAfter w:w="14" w:type="dxa"/>
        </w:trPr>
        <w:tc>
          <w:tcPr>
            <w:tcW w:w="1127" w:type="dxa"/>
            <w:tcBorders>
              <w:top w:val="single" w:sz="4" w:space="0" w:color="auto"/>
              <w:left w:val="nil"/>
              <w:bottom w:val="nil"/>
              <w:right w:val="nil"/>
            </w:tcBorders>
            <w:shd w:val="clear" w:color="auto" w:fill="auto"/>
            <w:hideMark/>
          </w:tcPr>
          <w:p w14:paraId="7F234CF2" w14:textId="77777777" w:rsidR="00BD2756" w:rsidRPr="001D0B77" w:rsidRDefault="00BD2756" w:rsidP="00D960A0">
            <w:pPr>
              <w:ind w:left="0" w:firstLine="0"/>
              <w:rPr>
                <w:rFonts w:asciiTheme="minorHAnsi" w:hAnsiTheme="minorHAnsi" w:cstheme="minorHAnsi"/>
                <w:b/>
                <w:bCs/>
                <w:sz w:val="20"/>
                <w:szCs w:val="20"/>
              </w:rPr>
            </w:pPr>
          </w:p>
        </w:tc>
        <w:tc>
          <w:tcPr>
            <w:tcW w:w="1965" w:type="dxa"/>
            <w:tcBorders>
              <w:top w:val="single" w:sz="4" w:space="0" w:color="auto"/>
              <w:left w:val="nil"/>
              <w:bottom w:val="nil"/>
              <w:right w:val="nil"/>
            </w:tcBorders>
            <w:shd w:val="clear" w:color="auto" w:fill="auto"/>
            <w:hideMark/>
          </w:tcPr>
          <w:p w14:paraId="084BE9A3"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single" w:sz="4" w:space="0" w:color="auto"/>
              <w:left w:val="nil"/>
              <w:bottom w:val="nil"/>
              <w:right w:val="nil"/>
            </w:tcBorders>
            <w:shd w:val="clear" w:color="auto" w:fill="auto"/>
            <w:hideMark/>
          </w:tcPr>
          <w:p w14:paraId="634EC04B"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bottom w:val="nil"/>
              <w:right w:val="nil"/>
            </w:tcBorders>
            <w:shd w:val="clear" w:color="auto" w:fill="auto"/>
            <w:hideMark/>
          </w:tcPr>
          <w:p w14:paraId="5F33F248"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single" w:sz="4" w:space="0" w:color="auto"/>
              <w:left w:val="nil"/>
              <w:bottom w:val="nil"/>
              <w:right w:val="nil"/>
            </w:tcBorders>
            <w:shd w:val="clear" w:color="auto" w:fill="auto"/>
            <w:hideMark/>
          </w:tcPr>
          <w:p w14:paraId="66E2A9B7"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bottom w:val="nil"/>
              <w:right w:val="nil"/>
            </w:tcBorders>
            <w:shd w:val="clear" w:color="auto" w:fill="auto"/>
            <w:hideMark/>
          </w:tcPr>
          <w:p w14:paraId="2095D176"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single" w:sz="4" w:space="0" w:color="auto"/>
              <w:left w:val="nil"/>
              <w:bottom w:val="nil"/>
              <w:right w:val="nil"/>
            </w:tcBorders>
            <w:shd w:val="clear" w:color="auto" w:fill="auto"/>
            <w:hideMark/>
          </w:tcPr>
          <w:p w14:paraId="2E9158A3"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left w:val="nil"/>
              <w:bottom w:val="nil"/>
              <w:right w:val="nil"/>
            </w:tcBorders>
            <w:shd w:val="clear" w:color="auto" w:fill="auto"/>
            <w:hideMark/>
          </w:tcPr>
          <w:p w14:paraId="1902249B"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single" w:sz="4" w:space="0" w:color="auto"/>
              <w:left w:val="nil"/>
              <w:bottom w:val="nil"/>
              <w:right w:val="nil"/>
            </w:tcBorders>
            <w:shd w:val="clear" w:color="auto" w:fill="auto"/>
            <w:hideMark/>
          </w:tcPr>
          <w:p w14:paraId="02431B6A"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left w:val="nil"/>
              <w:bottom w:val="nil"/>
              <w:right w:val="nil"/>
            </w:tcBorders>
            <w:shd w:val="clear" w:color="auto" w:fill="auto"/>
            <w:hideMark/>
          </w:tcPr>
          <w:p w14:paraId="637F6176"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single" w:sz="4" w:space="0" w:color="auto"/>
              <w:left w:val="nil"/>
              <w:bottom w:val="nil"/>
              <w:right w:val="nil"/>
            </w:tcBorders>
            <w:shd w:val="clear" w:color="auto" w:fill="auto"/>
            <w:hideMark/>
          </w:tcPr>
          <w:p w14:paraId="28CACF4D" w14:textId="77777777" w:rsidR="00BD2756" w:rsidRPr="001D0B77" w:rsidRDefault="00BD2756" w:rsidP="00D960A0">
            <w:pPr>
              <w:ind w:left="0" w:firstLine="0"/>
              <w:jc w:val="right"/>
              <w:rPr>
                <w:rFonts w:asciiTheme="minorHAnsi" w:hAnsiTheme="minorHAnsi" w:cstheme="minorHAnsi"/>
                <w:sz w:val="20"/>
                <w:szCs w:val="20"/>
              </w:rPr>
            </w:pPr>
          </w:p>
        </w:tc>
      </w:tr>
      <w:tr w:rsidR="00BD2756" w:rsidRPr="001D0B77" w14:paraId="57547A7A" w14:textId="77777777" w:rsidTr="00BA0F3C">
        <w:trPr>
          <w:gridAfter w:val="1"/>
          <w:wAfter w:w="14" w:type="dxa"/>
        </w:trPr>
        <w:tc>
          <w:tcPr>
            <w:tcW w:w="3092" w:type="dxa"/>
            <w:gridSpan w:val="2"/>
            <w:tcBorders>
              <w:top w:val="nil"/>
              <w:left w:val="nil"/>
              <w:bottom w:val="nil"/>
              <w:right w:val="nil"/>
            </w:tcBorders>
            <w:shd w:val="clear" w:color="auto" w:fill="auto"/>
            <w:hideMark/>
          </w:tcPr>
          <w:p w14:paraId="3E3693A9" w14:textId="77777777" w:rsidR="002D76F8" w:rsidRPr="001D0B77" w:rsidRDefault="002D76F8" w:rsidP="00D960A0">
            <w:pPr>
              <w:ind w:left="0" w:firstLine="0"/>
              <w:rPr>
                <w:rFonts w:asciiTheme="minorHAnsi" w:hAnsiTheme="minorHAnsi" w:cstheme="minorHAnsi"/>
                <w:b/>
                <w:bCs/>
                <w:sz w:val="20"/>
                <w:szCs w:val="20"/>
                <w:u w:val="single"/>
              </w:rPr>
            </w:pPr>
          </w:p>
          <w:p w14:paraId="42B2D34A" w14:textId="3FABD5D1" w:rsidR="00BD2756" w:rsidRPr="001D0B77" w:rsidRDefault="00BD2756" w:rsidP="00D960A0">
            <w:pPr>
              <w:ind w:left="0" w:firstLine="0"/>
              <w:rPr>
                <w:rFonts w:asciiTheme="minorHAnsi" w:hAnsiTheme="minorHAnsi" w:cstheme="minorHAnsi"/>
                <w:b/>
                <w:bCs/>
                <w:sz w:val="20"/>
                <w:szCs w:val="20"/>
                <w:u w:val="single"/>
              </w:rPr>
            </w:pPr>
            <w:r w:rsidRPr="001D0B77">
              <w:rPr>
                <w:rFonts w:asciiTheme="minorHAnsi" w:hAnsiTheme="minorHAnsi" w:cstheme="minorHAnsi"/>
                <w:b/>
                <w:bCs/>
                <w:sz w:val="20"/>
                <w:szCs w:val="20"/>
                <w:u w:val="single"/>
              </w:rPr>
              <w:t>Regional Initiatives</w:t>
            </w:r>
          </w:p>
        </w:tc>
        <w:tc>
          <w:tcPr>
            <w:tcW w:w="1060" w:type="dxa"/>
            <w:tcBorders>
              <w:top w:val="nil"/>
              <w:left w:val="nil"/>
              <w:bottom w:val="nil"/>
              <w:right w:val="nil"/>
            </w:tcBorders>
            <w:shd w:val="clear" w:color="auto" w:fill="auto"/>
            <w:textDirection w:val="btLr"/>
            <w:hideMark/>
          </w:tcPr>
          <w:p w14:paraId="61609685" w14:textId="77777777" w:rsidR="00BD2756" w:rsidRPr="001D0B77" w:rsidRDefault="00BD2756" w:rsidP="00D960A0">
            <w:pPr>
              <w:ind w:left="0" w:firstLine="0"/>
              <w:jc w:val="right"/>
              <w:rPr>
                <w:rFonts w:asciiTheme="minorHAnsi" w:hAnsiTheme="minorHAnsi" w:cstheme="minorHAnsi"/>
                <w:b/>
                <w:bCs/>
                <w:sz w:val="20"/>
                <w:szCs w:val="20"/>
                <w:u w:val="single"/>
              </w:rPr>
            </w:pPr>
          </w:p>
        </w:tc>
        <w:tc>
          <w:tcPr>
            <w:tcW w:w="236" w:type="dxa"/>
            <w:tcBorders>
              <w:top w:val="nil"/>
              <w:left w:val="nil"/>
              <w:bottom w:val="nil"/>
              <w:right w:val="nil"/>
            </w:tcBorders>
            <w:shd w:val="clear" w:color="auto" w:fill="auto"/>
            <w:hideMark/>
          </w:tcPr>
          <w:p w14:paraId="517B67F3"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64FA3E2"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bottom w:val="nil"/>
              <w:right w:val="nil"/>
            </w:tcBorders>
            <w:shd w:val="clear" w:color="auto" w:fill="auto"/>
            <w:hideMark/>
          </w:tcPr>
          <w:p w14:paraId="384EB6F8"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3ECE25D4"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top w:val="nil"/>
              <w:left w:val="nil"/>
              <w:bottom w:val="nil"/>
              <w:right w:val="nil"/>
            </w:tcBorders>
            <w:shd w:val="clear" w:color="auto" w:fill="auto"/>
            <w:hideMark/>
          </w:tcPr>
          <w:p w14:paraId="058E18C6"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375926D7"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top w:val="nil"/>
              <w:left w:val="nil"/>
              <w:bottom w:val="nil"/>
              <w:right w:val="nil"/>
            </w:tcBorders>
            <w:shd w:val="clear" w:color="auto" w:fill="auto"/>
            <w:hideMark/>
          </w:tcPr>
          <w:p w14:paraId="7233E7CF"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4C50EB02"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4DFB279A" w14:textId="77777777" w:rsidTr="00BA0F3C">
        <w:trPr>
          <w:gridAfter w:val="1"/>
          <w:wAfter w:w="14" w:type="dxa"/>
        </w:trPr>
        <w:tc>
          <w:tcPr>
            <w:tcW w:w="1127" w:type="dxa"/>
            <w:tcBorders>
              <w:top w:val="nil"/>
              <w:left w:val="nil"/>
              <w:bottom w:val="nil"/>
              <w:right w:val="nil"/>
            </w:tcBorders>
            <w:shd w:val="clear" w:color="auto" w:fill="auto"/>
            <w:hideMark/>
          </w:tcPr>
          <w:p w14:paraId="5EEB707C"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R100132</w:t>
            </w:r>
          </w:p>
        </w:tc>
        <w:tc>
          <w:tcPr>
            <w:tcW w:w="1965" w:type="dxa"/>
            <w:tcBorders>
              <w:top w:val="nil"/>
              <w:left w:val="nil"/>
              <w:bottom w:val="nil"/>
              <w:right w:val="nil"/>
            </w:tcBorders>
            <w:shd w:val="clear" w:color="auto" w:fill="auto"/>
            <w:hideMark/>
          </w:tcPr>
          <w:p w14:paraId="094740E8"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RI - WACOWET</w:t>
            </w:r>
          </w:p>
        </w:tc>
        <w:tc>
          <w:tcPr>
            <w:tcW w:w="1060" w:type="dxa"/>
            <w:tcBorders>
              <w:top w:val="nil"/>
              <w:left w:val="nil"/>
              <w:bottom w:val="nil"/>
              <w:right w:val="nil"/>
            </w:tcBorders>
            <w:shd w:val="clear" w:color="auto" w:fill="auto"/>
            <w:hideMark/>
          </w:tcPr>
          <w:p w14:paraId="0D91C16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49</w:t>
            </w:r>
          </w:p>
        </w:tc>
        <w:tc>
          <w:tcPr>
            <w:tcW w:w="236" w:type="dxa"/>
            <w:tcBorders>
              <w:top w:val="nil"/>
              <w:left w:val="nil"/>
              <w:bottom w:val="nil"/>
              <w:right w:val="nil"/>
            </w:tcBorders>
            <w:shd w:val="clear" w:color="auto" w:fill="auto"/>
            <w:hideMark/>
          </w:tcPr>
          <w:p w14:paraId="2BB62E78"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07216A1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27EFCC8C"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3586E8A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1399428A"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799A6E1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(49)</w:t>
            </w:r>
          </w:p>
        </w:tc>
        <w:tc>
          <w:tcPr>
            <w:tcW w:w="243" w:type="dxa"/>
            <w:gridSpan w:val="2"/>
            <w:tcBorders>
              <w:top w:val="nil"/>
              <w:left w:val="nil"/>
              <w:bottom w:val="nil"/>
              <w:right w:val="nil"/>
            </w:tcBorders>
            <w:shd w:val="clear" w:color="auto" w:fill="auto"/>
            <w:hideMark/>
          </w:tcPr>
          <w:p w14:paraId="347F4167"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10FCD16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r>
      <w:tr w:rsidR="002D76F8" w:rsidRPr="001D0B77" w14:paraId="42510E2F" w14:textId="77777777" w:rsidTr="00BA0F3C">
        <w:trPr>
          <w:gridAfter w:val="1"/>
          <w:wAfter w:w="14" w:type="dxa"/>
        </w:trPr>
        <w:tc>
          <w:tcPr>
            <w:tcW w:w="1127" w:type="dxa"/>
            <w:tcBorders>
              <w:top w:val="nil"/>
              <w:left w:val="nil"/>
              <w:bottom w:val="nil"/>
              <w:right w:val="nil"/>
            </w:tcBorders>
            <w:shd w:val="clear" w:color="auto" w:fill="auto"/>
            <w:hideMark/>
          </w:tcPr>
          <w:p w14:paraId="372B1317"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R100133</w:t>
            </w:r>
          </w:p>
        </w:tc>
        <w:tc>
          <w:tcPr>
            <w:tcW w:w="1965" w:type="dxa"/>
            <w:tcBorders>
              <w:top w:val="nil"/>
              <w:left w:val="nil"/>
              <w:bottom w:val="nil"/>
              <w:right w:val="nil"/>
            </w:tcBorders>
            <w:shd w:val="clear" w:color="auto" w:fill="auto"/>
            <w:hideMark/>
          </w:tcPr>
          <w:p w14:paraId="0A883286"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RI - CARIWET</w:t>
            </w:r>
          </w:p>
        </w:tc>
        <w:tc>
          <w:tcPr>
            <w:tcW w:w="1060" w:type="dxa"/>
            <w:tcBorders>
              <w:top w:val="nil"/>
              <w:left w:val="nil"/>
              <w:bottom w:val="nil"/>
              <w:right w:val="nil"/>
            </w:tcBorders>
            <w:shd w:val="clear" w:color="auto" w:fill="auto"/>
            <w:hideMark/>
          </w:tcPr>
          <w:p w14:paraId="2606F80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w:t>
            </w:r>
          </w:p>
        </w:tc>
        <w:tc>
          <w:tcPr>
            <w:tcW w:w="236" w:type="dxa"/>
            <w:tcBorders>
              <w:top w:val="nil"/>
              <w:left w:val="nil"/>
              <w:bottom w:val="nil"/>
              <w:right w:val="nil"/>
            </w:tcBorders>
            <w:shd w:val="clear" w:color="auto" w:fill="auto"/>
            <w:hideMark/>
          </w:tcPr>
          <w:p w14:paraId="7464F01D"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5F5C79C0"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79B7A645"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1572980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683E50C7"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39ADCA2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5B30BDD7"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77EFB71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(4)</w:t>
            </w:r>
          </w:p>
        </w:tc>
      </w:tr>
      <w:tr w:rsidR="002D76F8" w:rsidRPr="001D0B77" w14:paraId="4CF66EE0" w14:textId="77777777" w:rsidTr="00BA0F3C">
        <w:trPr>
          <w:gridAfter w:val="1"/>
          <w:wAfter w:w="14" w:type="dxa"/>
        </w:trPr>
        <w:tc>
          <w:tcPr>
            <w:tcW w:w="1127" w:type="dxa"/>
            <w:tcBorders>
              <w:top w:val="nil"/>
              <w:left w:val="nil"/>
              <w:bottom w:val="nil"/>
              <w:right w:val="nil"/>
            </w:tcBorders>
            <w:shd w:val="clear" w:color="auto" w:fill="auto"/>
            <w:hideMark/>
          </w:tcPr>
          <w:p w14:paraId="3A99E689"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R100135</w:t>
            </w:r>
          </w:p>
        </w:tc>
        <w:tc>
          <w:tcPr>
            <w:tcW w:w="1965" w:type="dxa"/>
            <w:tcBorders>
              <w:top w:val="nil"/>
              <w:left w:val="nil"/>
              <w:bottom w:val="nil"/>
              <w:right w:val="nil"/>
            </w:tcBorders>
            <w:shd w:val="clear" w:color="auto" w:fill="auto"/>
            <w:hideMark/>
          </w:tcPr>
          <w:p w14:paraId="3D2DD7DB"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RI - Mangrove</w:t>
            </w:r>
          </w:p>
        </w:tc>
        <w:tc>
          <w:tcPr>
            <w:tcW w:w="1060" w:type="dxa"/>
            <w:tcBorders>
              <w:top w:val="nil"/>
              <w:left w:val="nil"/>
              <w:bottom w:val="nil"/>
              <w:right w:val="nil"/>
            </w:tcBorders>
            <w:shd w:val="clear" w:color="auto" w:fill="auto"/>
            <w:hideMark/>
          </w:tcPr>
          <w:p w14:paraId="22BECE5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w:t>
            </w:r>
          </w:p>
        </w:tc>
        <w:tc>
          <w:tcPr>
            <w:tcW w:w="236" w:type="dxa"/>
            <w:tcBorders>
              <w:top w:val="nil"/>
              <w:left w:val="nil"/>
              <w:bottom w:val="nil"/>
              <w:right w:val="nil"/>
            </w:tcBorders>
            <w:shd w:val="clear" w:color="auto" w:fill="auto"/>
            <w:hideMark/>
          </w:tcPr>
          <w:p w14:paraId="0CFEBB05"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2359795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3A920116"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0E407F1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5B583D84"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633CD89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304D87A0"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2958C12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w:t>
            </w:r>
          </w:p>
        </w:tc>
      </w:tr>
      <w:tr w:rsidR="002D76F8" w:rsidRPr="001D0B77" w14:paraId="0AA415E0" w14:textId="77777777" w:rsidTr="00BA0F3C">
        <w:trPr>
          <w:gridAfter w:val="1"/>
          <w:wAfter w:w="14" w:type="dxa"/>
        </w:trPr>
        <w:tc>
          <w:tcPr>
            <w:tcW w:w="1127" w:type="dxa"/>
            <w:tcBorders>
              <w:top w:val="nil"/>
              <w:left w:val="nil"/>
              <w:bottom w:val="nil"/>
              <w:right w:val="nil"/>
            </w:tcBorders>
            <w:shd w:val="clear" w:color="auto" w:fill="auto"/>
            <w:hideMark/>
          </w:tcPr>
          <w:p w14:paraId="25085753"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R100137</w:t>
            </w:r>
          </w:p>
        </w:tc>
        <w:tc>
          <w:tcPr>
            <w:tcW w:w="1965" w:type="dxa"/>
            <w:tcBorders>
              <w:top w:val="nil"/>
              <w:left w:val="nil"/>
              <w:bottom w:val="nil"/>
              <w:right w:val="nil"/>
            </w:tcBorders>
            <w:shd w:val="clear" w:color="auto" w:fill="auto"/>
            <w:hideMark/>
          </w:tcPr>
          <w:p w14:paraId="4C0ADDB9"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RI - East Africa Centre</w:t>
            </w:r>
          </w:p>
        </w:tc>
        <w:tc>
          <w:tcPr>
            <w:tcW w:w="1060" w:type="dxa"/>
            <w:tcBorders>
              <w:top w:val="nil"/>
              <w:left w:val="nil"/>
              <w:bottom w:val="nil"/>
              <w:right w:val="nil"/>
            </w:tcBorders>
            <w:shd w:val="clear" w:color="auto" w:fill="auto"/>
            <w:hideMark/>
          </w:tcPr>
          <w:p w14:paraId="57E8E27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27</w:t>
            </w:r>
          </w:p>
        </w:tc>
        <w:tc>
          <w:tcPr>
            <w:tcW w:w="236" w:type="dxa"/>
            <w:tcBorders>
              <w:top w:val="nil"/>
              <w:left w:val="nil"/>
              <w:bottom w:val="nil"/>
              <w:right w:val="nil"/>
            </w:tcBorders>
            <w:shd w:val="clear" w:color="auto" w:fill="auto"/>
            <w:hideMark/>
          </w:tcPr>
          <w:p w14:paraId="1C45BEE9"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3AB9C0E5"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0329D947"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7781223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2" w:type="dxa"/>
            <w:gridSpan w:val="2"/>
            <w:tcBorders>
              <w:top w:val="nil"/>
              <w:left w:val="nil"/>
              <w:bottom w:val="nil"/>
              <w:right w:val="nil"/>
            </w:tcBorders>
            <w:shd w:val="clear" w:color="auto" w:fill="auto"/>
            <w:hideMark/>
          </w:tcPr>
          <w:p w14:paraId="300AF612"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2F8EE9C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(27)</w:t>
            </w:r>
          </w:p>
        </w:tc>
        <w:tc>
          <w:tcPr>
            <w:tcW w:w="243" w:type="dxa"/>
            <w:gridSpan w:val="2"/>
            <w:tcBorders>
              <w:top w:val="nil"/>
              <w:left w:val="nil"/>
              <w:bottom w:val="nil"/>
              <w:right w:val="nil"/>
            </w:tcBorders>
            <w:shd w:val="clear" w:color="auto" w:fill="auto"/>
            <w:hideMark/>
          </w:tcPr>
          <w:p w14:paraId="18AB5DF3"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013FE0EA"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r>
      <w:tr w:rsidR="002D76F8" w:rsidRPr="001D0B77" w14:paraId="43E41D7E" w14:textId="77777777" w:rsidTr="00BA0F3C">
        <w:trPr>
          <w:gridAfter w:val="1"/>
          <w:wAfter w:w="14" w:type="dxa"/>
        </w:trPr>
        <w:tc>
          <w:tcPr>
            <w:tcW w:w="1127" w:type="dxa"/>
            <w:tcBorders>
              <w:top w:val="nil"/>
              <w:left w:val="nil"/>
              <w:bottom w:val="nil"/>
              <w:right w:val="nil"/>
            </w:tcBorders>
            <w:shd w:val="clear" w:color="auto" w:fill="auto"/>
            <w:hideMark/>
          </w:tcPr>
          <w:p w14:paraId="53E7F3F0"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R100142</w:t>
            </w:r>
          </w:p>
        </w:tc>
        <w:tc>
          <w:tcPr>
            <w:tcW w:w="1965" w:type="dxa"/>
            <w:tcBorders>
              <w:top w:val="nil"/>
              <w:left w:val="nil"/>
              <w:bottom w:val="nil"/>
              <w:right w:val="nil"/>
            </w:tcBorders>
            <w:shd w:val="clear" w:color="auto" w:fill="auto"/>
            <w:hideMark/>
          </w:tcPr>
          <w:p w14:paraId="0486210F"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RI - Amazon River Basin</w:t>
            </w:r>
          </w:p>
        </w:tc>
        <w:tc>
          <w:tcPr>
            <w:tcW w:w="1060" w:type="dxa"/>
            <w:tcBorders>
              <w:top w:val="nil"/>
              <w:left w:val="nil"/>
              <w:bottom w:val="nil"/>
              <w:right w:val="nil"/>
            </w:tcBorders>
            <w:shd w:val="clear" w:color="auto" w:fill="auto"/>
            <w:hideMark/>
          </w:tcPr>
          <w:p w14:paraId="28AEF698"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9</w:t>
            </w:r>
          </w:p>
        </w:tc>
        <w:tc>
          <w:tcPr>
            <w:tcW w:w="236" w:type="dxa"/>
            <w:tcBorders>
              <w:top w:val="nil"/>
              <w:left w:val="nil"/>
              <w:bottom w:val="nil"/>
              <w:right w:val="nil"/>
            </w:tcBorders>
            <w:shd w:val="clear" w:color="auto" w:fill="auto"/>
            <w:hideMark/>
          </w:tcPr>
          <w:p w14:paraId="5B36FD42"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679EB73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36" w:type="dxa"/>
            <w:tcBorders>
              <w:top w:val="nil"/>
              <w:left w:val="nil"/>
              <w:bottom w:val="nil"/>
              <w:right w:val="nil"/>
            </w:tcBorders>
            <w:shd w:val="clear" w:color="auto" w:fill="auto"/>
            <w:hideMark/>
          </w:tcPr>
          <w:p w14:paraId="4EE7F546"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33B96A07"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(16)</w:t>
            </w:r>
          </w:p>
        </w:tc>
        <w:tc>
          <w:tcPr>
            <w:tcW w:w="242" w:type="dxa"/>
            <w:gridSpan w:val="2"/>
            <w:tcBorders>
              <w:top w:val="nil"/>
              <w:left w:val="nil"/>
              <w:bottom w:val="nil"/>
              <w:right w:val="nil"/>
            </w:tcBorders>
            <w:shd w:val="clear" w:color="auto" w:fill="auto"/>
            <w:hideMark/>
          </w:tcPr>
          <w:p w14:paraId="6B256216"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1430D424"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w:t>
            </w:r>
          </w:p>
        </w:tc>
        <w:tc>
          <w:tcPr>
            <w:tcW w:w="243" w:type="dxa"/>
            <w:gridSpan w:val="2"/>
            <w:tcBorders>
              <w:top w:val="nil"/>
              <w:left w:val="nil"/>
              <w:bottom w:val="nil"/>
              <w:right w:val="nil"/>
            </w:tcBorders>
            <w:shd w:val="clear" w:color="auto" w:fill="auto"/>
            <w:hideMark/>
          </w:tcPr>
          <w:p w14:paraId="30471D28"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336443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w:t>
            </w:r>
          </w:p>
        </w:tc>
      </w:tr>
      <w:tr w:rsidR="002D76F8" w:rsidRPr="001D0B77" w14:paraId="2E9E362E" w14:textId="77777777" w:rsidTr="00BA0F3C">
        <w:trPr>
          <w:gridAfter w:val="1"/>
          <w:wAfter w:w="14" w:type="dxa"/>
        </w:trPr>
        <w:tc>
          <w:tcPr>
            <w:tcW w:w="1127" w:type="dxa"/>
            <w:tcBorders>
              <w:top w:val="nil"/>
              <w:left w:val="nil"/>
              <w:bottom w:val="nil"/>
              <w:right w:val="nil"/>
            </w:tcBorders>
            <w:shd w:val="clear" w:color="auto" w:fill="auto"/>
            <w:hideMark/>
          </w:tcPr>
          <w:p w14:paraId="214C3BFF" w14:textId="77777777" w:rsidR="00BD2756" w:rsidRPr="001D0B77" w:rsidRDefault="00BD2756" w:rsidP="00D960A0">
            <w:pPr>
              <w:ind w:left="0" w:firstLine="0"/>
              <w:rPr>
                <w:rFonts w:asciiTheme="minorHAnsi" w:hAnsiTheme="minorHAnsi" w:cstheme="minorHAnsi"/>
                <w:sz w:val="20"/>
                <w:szCs w:val="20"/>
              </w:rPr>
            </w:pPr>
            <w:r w:rsidRPr="001D0B77">
              <w:rPr>
                <w:rFonts w:asciiTheme="minorHAnsi" w:hAnsiTheme="minorHAnsi" w:cstheme="minorHAnsi"/>
                <w:sz w:val="20"/>
                <w:szCs w:val="20"/>
              </w:rPr>
              <w:t>R100200</w:t>
            </w:r>
          </w:p>
        </w:tc>
        <w:tc>
          <w:tcPr>
            <w:tcW w:w="1965" w:type="dxa"/>
            <w:tcBorders>
              <w:top w:val="nil"/>
              <w:left w:val="nil"/>
              <w:bottom w:val="nil"/>
              <w:right w:val="nil"/>
            </w:tcBorders>
            <w:shd w:val="clear" w:color="auto" w:fill="auto"/>
            <w:hideMark/>
          </w:tcPr>
          <w:p w14:paraId="04A67B95" w14:textId="77777777" w:rsidR="00BD2756" w:rsidRPr="001D0B77" w:rsidRDefault="00BD2756" w:rsidP="00D960A0">
            <w:pPr>
              <w:ind w:left="0" w:firstLine="0"/>
              <w:rPr>
                <w:rFonts w:asciiTheme="minorHAnsi" w:hAnsiTheme="minorHAnsi" w:cstheme="minorHAnsi"/>
                <w:color w:val="000000"/>
                <w:sz w:val="20"/>
                <w:szCs w:val="20"/>
              </w:rPr>
            </w:pPr>
            <w:r w:rsidRPr="001D0B77">
              <w:rPr>
                <w:rFonts w:asciiTheme="minorHAnsi" w:hAnsiTheme="minorHAnsi" w:cstheme="minorHAnsi"/>
                <w:color w:val="000000"/>
                <w:sz w:val="20"/>
                <w:szCs w:val="20"/>
              </w:rPr>
              <w:t>AVC, African Regional Initiatives</w:t>
            </w:r>
          </w:p>
        </w:tc>
        <w:tc>
          <w:tcPr>
            <w:tcW w:w="1060" w:type="dxa"/>
            <w:tcBorders>
              <w:top w:val="nil"/>
              <w:left w:val="nil"/>
              <w:bottom w:val="nil"/>
              <w:right w:val="nil"/>
            </w:tcBorders>
            <w:shd w:val="clear" w:color="auto" w:fill="auto"/>
            <w:hideMark/>
          </w:tcPr>
          <w:p w14:paraId="01DFC3B9"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31</w:t>
            </w:r>
          </w:p>
        </w:tc>
        <w:tc>
          <w:tcPr>
            <w:tcW w:w="236" w:type="dxa"/>
            <w:tcBorders>
              <w:top w:val="nil"/>
              <w:left w:val="nil"/>
              <w:bottom w:val="nil"/>
              <w:right w:val="nil"/>
            </w:tcBorders>
            <w:shd w:val="clear" w:color="auto" w:fill="auto"/>
            <w:hideMark/>
          </w:tcPr>
          <w:p w14:paraId="0064335A"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nil"/>
              <w:right w:val="nil"/>
            </w:tcBorders>
            <w:shd w:val="clear" w:color="auto" w:fill="auto"/>
            <w:hideMark/>
          </w:tcPr>
          <w:p w14:paraId="1F12BE72"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7</w:t>
            </w:r>
          </w:p>
        </w:tc>
        <w:tc>
          <w:tcPr>
            <w:tcW w:w="236" w:type="dxa"/>
            <w:tcBorders>
              <w:top w:val="nil"/>
              <w:left w:val="nil"/>
              <w:bottom w:val="nil"/>
              <w:right w:val="nil"/>
            </w:tcBorders>
            <w:shd w:val="clear" w:color="auto" w:fill="auto"/>
            <w:hideMark/>
          </w:tcPr>
          <w:p w14:paraId="2D20CF1C"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nil"/>
              <w:right w:val="nil"/>
            </w:tcBorders>
            <w:shd w:val="clear" w:color="auto" w:fill="auto"/>
            <w:hideMark/>
          </w:tcPr>
          <w:p w14:paraId="5EB63B7D"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0</w:t>
            </w:r>
          </w:p>
        </w:tc>
        <w:tc>
          <w:tcPr>
            <w:tcW w:w="242" w:type="dxa"/>
            <w:gridSpan w:val="2"/>
            <w:tcBorders>
              <w:top w:val="nil"/>
              <w:left w:val="nil"/>
              <w:bottom w:val="nil"/>
              <w:right w:val="nil"/>
            </w:tcBorders>
            <w:shd w:val="clear" w:color="auto" w:fill="auto"/>
            <w:hideMark/>
          </w:tcPr>
          <w:p w14:paraId="10150DD8"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nil"/>
              <w:right w:val="nil"/>
            </w:tcBorders>
            <w:shd w:val="clear" w:color="auto" w:fill="auto"/>
            <w:hideMark/>
          </w:tcPr>
          <w:p w14:paraId="12C0CC5F"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20</w:t>
            </w:r>
          </w:p>
        </w:tc>
        <w:tc>
          <w:tcPr>
            <w:tcW w:w="243" w:type="dxa"/>
            <w:gridSpan w:val="2"/>
            <w:tcBorders>
              <w:top w:val="nil"/>
              <w:left w:val="nil"/>
              <w:bottom w:val="nil"/>
              <w:right w:val="nil"/>
            </w:tcBorders>
            <w:shd w:val="clear" w:color="auto" w:fill="auto"/>
            <w:hideMark/>
          </w:tcPr>
          <w:p w14:paraId="096D1522"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nil"/>
              <w:right w:val="nil"/>
            </w:tcBorders>
            <w:shd w:val="clear" w:color="auto" w:fill="auto"/>
            <w:hideMark/>
          </w:tcPr>
          <w:p w14:paraId="38D06ACE" w14:textId="77777777" w:rsidR="00BD2756" w:rsidRPr="001D0B77" w:rsidRDefault="00BD2756" w:rsidP="00D960A0">
            <w:pPr>
              <w:ind w:left="0" w:firstLine="0"/>
              <w:jc w:val="right"/>
              <w:rPr>
                <w:rFonts w:asciiTheme="minorHAnsi" w:hAnsiTheme="minorHAnsi" w:cstheme="minorHAnsi"/>
                <w:sz w:val="20"/>
                <w:szCs w:val="20"/>
              </w:rPr>
            </w:pPr>
            <w:r w:rsidRPr="001D0B77">
              <w:rPr>
                <w:rFonts w:asciiTheme="minorHAnsi" w:hAnsiTheme="minorHAnsi" w:cstheme="minorHAnsi"/>
                <w:sz w:val="20"/>
                <w:szCs w:val="20"/>
              </w:rPr>
              <w:t>58</w:t>
            </w:r>
          </w:p>
        </w:tc>
      </w:tr>
      <w:tr w:rsidR="002D76F8" w:rsidRPr="001D0B77" w14:paraId="0493CFED" w14:textId="77777777" w:rsidTr="00BA0F3C">
        <w:trPr>
          <w:gridAfter w:val="1"/>
          <w:wAfter w:w="14" w:type="dxa"/>
        </w:trPr>
        <w:tc>
          <w:tcPr>
            <w:tcW w:w="1127" w:type="dxa"/>
            <w:tcBorders>
              <w:top w:val="nil"/>
              <w:left w:val="nil"/>
              <w:bottom w:val="single" w:sz="4" w:space="0" w:color="auto"/>
              <w:right w:val="nil"/>
            </w:tcBorders>
            <w:shd w:val="clear" w:color="auto" w:fill="auto"/>
            <w:hideMark/>
          </w:tcPr>
          <w:p w14:paraId="06915848" w14:textId="77777777" w:rsidR="00BD2756" w:rsidRPr="001D0B77" w:rsidRDefault="00BD2756" w:rsidP="00D960A0">
            <w:pPr>
              <w:ind w:left="0" w:firstLine="0"/>
              <w:rPr>
                <w:rFonts w:asciiTheme="minorHAnsi" w:hAnsiTheme="minorHAnsi" w:cstheme="minorHAnsi"/>
                <w:sz w:val="20"/>
                <w:szCs w:val="20"/>
              </w:rPr>
            </w:pPr>
          </w:p>
        </w:tc>
        <w:tc>
          <w:tcPr>
            <w:tcW w:w="1965" w:type="dxa"/>
            <w:tcBorders>
              <w:top w:val="nil"/>
              <w:left w:val="nil"/>
              <w:bottom w:val="single" w:sz="4" w:space="0" w:color="auto"/>
              <w:right w:val="nil"/>
            </w:tcBorders>
            <w:shd w:val="clear" w:color="auto" w:fill="auto"/>
            <w:hideMark/>
          </w:tcPr>
          <w:p w14:paraId="10F48645"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hideMark/>
          </w:tcPr>
          <w:p w14:paraId="0FCFBCD1"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2F8B56CC"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nil"/>
              <w:left w:val="nil"/>
              <w:bottom w:val="single" w:sz="4" w:space="0" w:color="auto"/>
              <w:right w:val="nil"/>
            </w:tcBorders>
            <w:shd w:val="clear" w:color="auto" w:fill="auto"/>
            <w:hideMark/>
          </w:tcPr>
          <w:p w14:paraId="0F8DA4C8"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top w:val="nil"/>
              <w:left w:val="nil"/>
              <w:right w:val="nil"/>
            </w:tcBorders>
            <w:shd w:val="clear" w:color="auto" w:fill="auto"/>
            <w:hideMark/>
          </w:tcPr>
          <w:p w14:paraId="47F749DF"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nil"/>
              <w:left w:val="nil"/>
              <w:bottom w:val="single" w:sz="4" w:space="0" w:color="auto"/>
              <w:right w:val="nil"/>
            </w:tcBorders>
            <w:shd w:val="clear" w:color="auto" w:fill="auto"/>
            <w:hideMark/>
          </w:tcPr>
          <w:p w14:paraId="74D9D935"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top w:val="nil"/>
              <w:left w:val="nil"/>
              <w:right w:val="nil"/>
            </w:tcBorders>
            <w:shd w:val="clear" w:color="auto" w:fill="auto"/>
            <w:hideMark/>
          </w:tcPr>
          <w:p w14:paraId="646EC75A"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top w:val="nil"/>
              <w:left w:val="nil"/>
              <w:bottom w:val="single" w:sz="4" w:space="0" w:color="auto"/>
              <w:right w:val="nil"/>
            </w:tcBorders>
            <w:shd w:val="clear" w:color="auto" w:fill="auto"/>
            <w:hideMark/>
          </w:tcPr>
          <w:p w14:paraId="08E2C6B4"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top w:val="nil"/>
              <w:left w:val="nil"/>
              <w:right w:val="nil"/>
            </w:tcBorders>
            <w:shd w:val="clear" w:color="auto" w:fill="auto"/>
            <w:hideMark/>
          </w:tcPr>
          <w:p w14:paraId="7EED964B"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nil"/>
              <w:left w:val="nil"/>
              <w:bottom w:val="single" w:sz="4" w:space="0" w:color="auto"/>
              <w:right w:val="nil"/>
            </w:tcBorders>
            <w:shd w:val="clear" w:color="auto" w:fill="auto"/>
            <w:hideMark/>
          </w:tcPr>
          <w:p w14:paraId="7BABB035"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0A854D08" w14:textId="77777777" w:rsidTr="00BA0F3C">
        <w:trPr>
          <w:gridAfter w:val="1"/>
          <w:wAfter w:w="14" w:type="dxa"/>
        </w:trPr>
        <w:tc>
          <w:tcPr>
            <w:tcW w:w="3092" w:type="dxa"/>
            <w:gridSpan w:val="2"/>
            <w:tcBorders>
              <w:top w:val="single" w:sz="4" w:space="0" w:color="auto"/>
              <w:left w:val="nil"/>
              <w:bottom w:val="single" w:sz="4" w:space="0" w:color="auto"/>
              <w:right w:val="nil"/>
            </w:tcBorders>
            <w:shd w:val="clear" w:color="auto" w:fill="EAF1DD" w:themeFill="accent3" w:themeFillTint="33"/>
            <w:hideMark/>
          </w:tcPr>
          <w:p w14:paraId="359C7584" w14:textId="77777777" w:rsidR="00BD2756" w:rsidRPr="001D0B77" w:rsidRDefault="00BD2756" w:rsidP="00D960A0">
            <w:pPr>
              <w:ind w:left="0" w:firstLine="0"/>
              <w:rPr>
                <w:rFonts w:asciiTheme="minorHAnsi" w:hAnsiTheme="minorHAnsi" w:cstheme="minorHAnsi"/>
                <w:b/>
                <w:bCs/>
                <w:sz w:val="20"/>
                <w:szCs w:val="20"/>
              </w:rPr>
            </w:pPr>
            <w:r w:rsidRPr="001D0B77">
              <w:rPr>
                <w:rFonts w:asciiTheme="minorHAnsi" w:hAnsiTheme="minorHAnsi" w:cstheme="minorHAnsi"/>
                <w:b/>
                <w:bCs/>
                <w:sz w:val="20"/>
                <w:szCs w:val="20"/>
              </w:rPr>
              <w:t>Total of Regional Initiatives</w:t>
            </w:r>
          </w:p>
        </w:tc>
        <w:tc>
          <w:tcPr>
            <w:tcW w:w="1060" w:type="dxa"/>
            <w:tcBorders>
              <w:top w:val="single" w:sz="4" w:space="0" w:color="auto"/>
              <w:left w:val="nil"/>
              <w:bottom w:val="single" w:sz="4" w:space="0" w:color="auto"/>
              <w:right w:val="nil"/>
            </w:tcBorders>
            <w:shd w:val="clear" w:color="auto" w:fill="EAF1DD" w:themeFill="accent3" w:themeFillTint="33"/>
            <w:hideMark/>
          </w:tcPr>
          <w:p w14:paraId="4E550831"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112</w:t>
            </w:r>
          </w:p>
        </w:tc>
        <w:tc>
          <w:tcPr>
            <w:tcW w:w="236" w:type="dxa"/>
            <w:tcBorders>
              <w:left w:val="nil"/>
              <w:right w:val="nil"/>
            </w:tcBorders>
            <w:shd w:val="clear" w:color="auto" w:fill="EAF1DD" w:themeFill="accent3" w:themeFillTint="33"/>
            <w:hideMark/>
          </w:tcPr>
          <w:p w14:paraId="2F282554" w14:textId="77777777" w:rsidR="00BD2756" w:rsidRPr="001D0B77" w:rsidRDefault="00BD2756" w:rsidP="00D960A0">
            <w:pPr>
              <w:ind w:left="0" w:firstLine="0"/>
              <w:jc w:val="right"/>
              <w:rPr>
                <w:rFonts w:asciiTheme="minorHAnsi" w:hAnsiTheme="minorHAnsi" w:cstheme="minorHAnsi"/>
                <w:b/>
                <w:bCs/>
                <w:sz w:val="20"/>
                <w:szCs w:val="20"/>
              </w:rPr>
            </w:pPr>
          </w:p>
        </w:tc>
        <w:tc>
          <w:tcPr>
            <w:tcW w:w="865" w:type="dxa"/>
            <w:tcBorders>
              <w:top w:val="single" w:sz="4" w:space="0" w:color="auto"/>
              <w:left w:val="nil"/>
              <w:bottom w:val="single" w:sz="4" w:space="0" w:color="auto"/>
              <w:right w:val="nil"/>
            </w:tcBorders>
            <w:shd w:val="clear" w:color="auto" w:fill="EAF1DD" w:themeFill="accent3" w:themeFillTint="33"/>
            <w:hideMark/>
          </w:tcPr>
          <w:p w14:paraId="322CE614"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7</w:t>
            </w:r>
          </w:p>
        </w:tc>
        <w:tc>
          <w:tcPr>
            <w:tcW w:w="236" w:type="dxa"/>
            <w:tcBorders>
              <w:left w:val="nil"/>
              <w:right w:val="nil"/>
            </w:tcBorders>
            <w:shd w:val="clear" w:color="auto" w:fill="EAF1DD" w:themeFill="accent3" w:themeFillTint="33"/>
            <w:hideMark/>
          </w:tcPr>
          <w:p w14:paraId="7F834994" w14:textId="77777777" w:rsidR="00BD2756" w:rsidRPr="001D0B77" w:rsidRDefault="00BD2756" w:rsidP="00D960A0">
            <w:pPr>
              <w:ind w:left="0" w:firstLine="0"/>
              <w:jc w:val="right"/>
              <w:rPr>
                <w:rFonts w:asciiTheme="minorHAnsi" w:hAnsiTheme="minorHAnsi" w:cstheme="minorHAnsi"/>
                <w:b/>
                <w:bCs/>
                <w:sz w:val="20"/>
                <w:szCs w:val="20"/>
              </w:rPr>
            </w:pPr>
          </w:p>
        </w:tc>
        <w:tc>
          <w:tcPr>
            <w:tcW w:w="1226" w:type="dxa"/>
            <w:gridSpan w:val="2"/>
            <w:tcBorders>
              <w:top w:val="single" w:sz="4" w:space="0" w:color="auto"/>
              <w:left w:val="nil"/>
              <w:bottom w:val="single" w:sz="4" w:space="0" w:color="auto"/>
              <w:right w:val="nil"/>
            </w:tcBorders>
            <w:shd w:val="clear" w:color="auto" w:fill="EAF1DD" w:themeFill="accent3" w:themeFillTint="33"/>
            <w:hideMark/>
          </w:tcPr>
          <w:p w14:paraId="6AAABB6F"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(16)</w:t>
            </w:r>
          </w:p>
        </w:tc>
        <w:tc>
          <w:tcPr>
            <w:tcW w:w="242" w:type="dxa"/>
            <w:gridSpan w:val="2"/>
            <w:tcBorders>
              <w:left w:val="nil"/>
              <w:right w:val="nil"/>
            </w:tcBorders>
            <w:shd w:val="clear" w:color="auto" w:fill="EAF1DD" w:themeFill="accent3" w:themeFillTint="33"/>
            <w:hideMark/>
          </w:tcPr>
          <w:p w14:paraId="32E57727" w14:textId="77777777" w:rsidR="00BD2756" w:rsidRPr="001D0B77" w:rsidRDefault="00BD2756" w:rsidP="00D960A0">
            <w:pPr>
              <w:ind w:left="0" w:firstLine="0"/>
              <w:jc w:val="right"/>
              <w:rPr>
                <w:rFonts w:asciiTheme="minorHAnsi" w:hAnsiTheme="minorHAnsi" w:cstheme="minorHAnsi"/>
                <w:b/>
                <w:bCs/>
                <w:sz w:val="20"/>
                <w:szCs w:val="20"/>
              </w:rPr>
            </w:pPr>
          </w:p>
        </w:tc>
        <w:tc>
          <w:tcPr>
            <w:tcW w:w="1001" w:type="dxa"/>
            <w:gridSpan w:val="2"/>
            <w:tcBorders>
              <w:top w:val="single" w:sz="4" w:space="0" w:color="auto"/>
              <w:left w:val="nil"/>
              <w:right w:val="nil"/>
            </w:tcBorders>
            <w:shd w:val="clear" w:color="auto" w:fill="EAF1DD" w:themeFill="accent3" w:themeFillTint="33"/>
            <w:hideMark/>
          </w:tcPr>
          <w:p w14:paraId="2818E73D"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(56)</w:t>
            </w:r>
          </w:p>
        </w:tc>
        <w:tc>
          <w:tcPr>
            <w:tcW w:w="243" w:type="dxa"/>
            <w:gridSpan w:val="2"/>
            <w:tcBorders>
              <w:left w:val="nil"/>
              <w:right w:val="nil"/>
            </w:tcBorders>
            <w:shd w:val="clear" w:color="auto" w:fill="EAF1DD" w:themeFill="accent3" w:themeFillTint="33"/>
            <w:hideMark/>
          </w:tcPr>
          <w:p w14:paraId="5E6BE15B" w14:textId="77777777" w:rsidR="00BD2756" w:rsidRPr="001D0B77" w:rsidRDefault="00BD2756" w:rsidP="00D960A0">
            <w:pPr>
              <w:ind w:left="0" w:firstLine="0"/>
              <w:jc w:val="right"/>
              <w:rPr>
                <w:rFonts w:asciiTheme="minorHAnsi" w:hAnsiTheme="minorHAnsi" w:cstheme="minorHAnsi"/>
                <w:b/>
                <w:bCs/>
                <w:sz w:val="20"/>
                <w:szCs w:val="20"/>
              </w:rPr>
            </w:pPr>
          </w:p>
        </w:tc>
        <w:tc>
          <w:tcPr>
            <w:tcW w:w="1083" w:type="dxa"/>
            <w:gridSpan w:val="2"/>
            <w:tcBorders>
              <w:top w:val="single" w:sz="4" w:space="0" w:color="auto"/>
              <w:left w:val="nil"/>
              <w:bottom w:val="single" w:sz="4" w:space="0" w:color="auto"/>
              <w:right w:val="nil"/>
            </w:tcBorders>
            <w:shd w:val="clear" w:color="auto" w:fill="EAF1DD" w:themeFill="accent3" w:themeFillTint="33"/>
            <w:hideMark/>
          </w:tcPr>
          <w:p w14:paraId="6BB143DC"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46</w:t>
            </w:r>
          </w:p>
        </w:tc>
      </w:tr>
      <w:tr w:rsidR="002D76F8" w:rsidRPr="001D0B77" w14:paraId="6AF7E8A9" w14:textId="77777777" w:rsidTr="00BA0F3C">
        <w:trPr>
          <w:gridAfter w:val="1"/>
          <w:wAfter w:w="14" w:type="dxa"/>
          <w:trHeight w:val="131"/>
        </w:trPr>
        <w:tc>
          <w:tcPr>
            <w:tcW w:w="1127" w:type="dxa"/>
            <w:tcBorders>
              <w:top w:val="single" w:sz="4" w:space="0" w:color="auto"/>
              <w:left w:val="nil"/>
              <w:bottom w:val="nil"/>
              <w:right w:val="nil"/>
            </w:tcBorders>
            <w:shd w:val="clear" w:color="auto" w:fill="auto"/>
            <w:hideMark/>
          </w:tcPr>
          <w:p w14:paraId="36E8D3FE" w14:textId="77777777" w:rsidR="00BD2756" w:rsidRPr="001D0B77" w:rsidRDefault="00BD2756" w:rsidP="00D960A0">
            <w:pPr>
              <w:ind w:left="0" w:firstLine="0"/>
              <w:rPr>
                <w:rFonts w:asciiTheme="minorHAnsi" w:hAnsiTheme="minorHAnsi" w:cstheme="minorHAnsi"/>
                <w:b/>
                <w:bCs/>
                <w:sz w:val="20"/>
                <w:szCs w:val="20"/>
              </w:rPr>
            </w:pPr>
          </w:p>
        </w:tc>
        <w:tc>
          <w:tcPr>
            <w:tcW w:w="1965" w:type="dxa"/>
            <w:tcBorders>
              <w:top w:val="single" w:sz="4" w:space="0" w:color="auto"/>
              <w:left w:val="nil"/>
              <w:bottom w:val="nil"/>
              <w:right w:val="nil"/>
            </w:tcBorders>
            <w:shd w:val="clear" w:color="auto" w:fill="auto"/>
            <w:hideMark/>
          </w:tcPr>
          <w:p w14:paraId="1D1997EF" w14:textId="77777777" w:rsidR="00BD2756" w:rsidRPr="001D0B77" w:rsidRDefault="00BD2756" w:rsidP="00D960A0">
            <w:pPr>
              <w:ind w:left="0" w:firstLine="0"/>
              <w:rPr>
                <w:rFonts w:asciiTheme="minorHAnsi" w:hAnsiTheme="minorHAnsi" w:cstheme="minorHAnsi"/>
                <w:sz w:val="20"/>
                <w:szCs w:val="20"/>
              </w:rPr>
            </w:pPr>
          </w:p>
        </w:tc>
        <w:tc>
          <w:tcPr>
            <w:tcW w:w="1060" w:type="dxa"/>
            <w:tcBorders>
              <w:top w:val="single" w:sz="4" w:space="0" w:color="auto"/>
              <w:left w:val="nil"/>
              <w:bottom w:val="nil"/>
              <w:right w:val="nil"/>
            </w:tcBorders>
            <w:shd w:val="clear" w:color="auto" w:fill="auto"/>
            <w:hideMark/>
          </w:tcPr>
          <w:p w14:paraId="79E66B6F"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bottom w:val="nil"/>
              <w:right w:val="nil"/>
            </w:tcBorders>
            <w:shd w:val="clear" w:color="auto" w:fill="auto"/>
            <w:hideMark/>
          </w:tcPr>
          <w:p w14:paraId="17B489B2" w14:textId="77777777" w:rsidR="00BD2756" w:rsidRPr="001D0B77" w:rsidRDefault="00BD2756" w:rsidP="00D960A0">
            <w:pPr>
              <w:ind w:left="0" w:firstLine="0"/>
              <w:jc w:val="right"/>
              <w:rPr>
                <w:rFonts w:asciiTheme="minorHAnsi" w:hAnsiTheme="minorHAnsi" w:cstheme="minorHAnsi"/>
                <w:sz w:val="20"/>
                <w:szCs w:val="20"/>
              </w:rPr>
            </w:pPr>
          </w:p>
        </w:tc>
        <w:tc>
          <w:tcPr>
            <w:tcW w:w="865" w:type="dxa"/>
            <w:tcBorders>
              <w:top w:val="single" w:sz="4" w:space="0" w:color="auto"/>
              <w:left w:val="nil"/>
              <w:bottom w:val="nil"/>
              <w:right w:val="nil"/>
            </w:tcBorders>
            <w:shd w:val="clear" w:color="auto" w:fill="auto"/>
            <w:hideMark/>
          </w:tcPr>
          <w:p w14:paraId="04133B9F" w14:textId="77777777" w:rsidR="00BD2756" w:rsidRPr="001D0B77" w:rsidRDefault="00BD2756" w:rsidP="00D960A0">
            <w:pPr>
              <w:ind w:left="0" w:firstLine="0"/>
              <w:jc w:val="right"/>
              <w:rPr>
                <w:rFonts w:asciiTheme="minorHAnsi" w:hAnsiTheme="minorHAnsi" w:cstheme="minorHAnsi"/>
                <w:sz w:val="20"/>
                <w:szCs w:val="20"/>
              </w:rPr>
            </w:pPr>
          </w:p>
        </w:tc>
        <w:tc>
          <w:tcPr>
            <w:tcW w:w="236" w:type="dxa"/>
            <w:tcBorders>
              <w:left w:val="nil"/>
              <w:right w:val="nil"/>
            </w:tcBorders>
            <w:shd w:val="clear" w:color="auto" w:fill="auto"/>
            <w:hideMark/>
          </w:tcPr>
          <w:p w14:paraId="70E300F3" w14:textId="77777777" w:rsidR="00BD2756" w:rsidRPr="001D0B77" w:rsidRDefault="00BD2756" w:rsidP="00D960A0">
            <w:pPr>
              <w:ind w:left="0" w:firstLine="0"/>
              <w:jc w:val="right"/>
              <w:rPr>
                <w:rFonts w:asciiTheme="minorHAnsi" w:hAnsiTheme="minorHAnsi" w:cstheme="minorHAnsi"/>
                <w:sz w:val="20"/>
                <w:szCs w:val="20"/>
              </w:rPr>
            </w:pPr>
          </w:p>
        </w:tc>
        <w:tc>
          <w:tcPr>
            <w:tcW w:w="1226" w:type="dxa"/>
            <w:gridSpan w:val="2"/>
            <w:tcBorders>
              <w:top w:val="single" w:sz="4" w:space="0" w:color="auto"/>
              <w:left w:val="nil"/>
              <w:bottom w:val="nil"/>
              <w:right w:val="nil"/>
            </w:tcBorders>
            <w:shd w:val="clear" w:color="auto" w:fill="auto"/>
            <w:hideMark/>
          </w:tcPr>
          <w:p w14:paraId="4FA86156" w14:textId="77777777" w:rsidR="00BD2756" w:rsidRPr="001D0B77" w:rsidRDefault="00BD2756" w:rsidP="00D960A0">
            <w:pPr>
              <w:ind w:left="0" w:firstLine="0"/>
              <w:jc w:val="right"/>
              <w:rPr>
                <w:rFonts w:asciiTheme="minorHAnsi" w:hAnsiTheme="minorHAnsi" w:cstheme="minorHAnsi"/>
                <w:sz w:val="20"/>
                <w:szCs w:val="20"/>
              </w:rPr>
            </w:pPr>
          </w:p>
        </w:tc>
        <w:tc>
          <w:tcPr>
            <w:tcW w:w="242" w:type="dxa"/>
            <w:gridSpan w:val="2"/>
            <w:tcBorders>
              <w:left w:val="nil"/>
              <w:bottom w:val="nil"/>
              <w:right w:val="nil"/>
            </w:tcBorders>
            <w:shd w:val="clear" w:color="auto" w:fill="auto"/>
            <w:hideMark/>
          </w:tcPr>
          <w:p w14:paraId="09AB1236" w14:textId="77777777" w:rsidR="00BD2756" w:rsidRPr="001D0B77" w:rsidRDefault="00BD2756" w:rsidP="00D960A0">
            <w:pPr>
              <w:ind w:left="0" w:firstLine="0"/>
              <w:jc w:val="right"/>
              <w:rPr>
                <w:rFonts w:asciiTheme="minorHAnsi" w:hAnsiTheme="minorHAnsi" w:cstheme="minorHAnsi"/>
                <w:sz w:val="20"/>
                <w:szCs w:val="20"/>
              </w:rPr>
            </w:pPr>
          </w:p>
        </w:tc>
        <w:tc>
          <w:tcPr>
            <w:tcW w:w="1001" w:type="dxa"/>
            <w:gridSpan w:val="2"/>
            <w:tcBorders>
              <w:left w:val="nil"/>
              <w:bottom w:val="nil"/>
              <w:right w:val="nil"/>
            </w:tcBorders>
            <w:shd w:val="clear" w:color="auto" w:fill="auto"/>
            <w:hideMark/>
          </w:tcPr>
          <w:p w14:paraId="02E65FA9" w14:textId="77777777" w:rsidR="00BD2756" w:rsidRPr="001D0B77" w:rsidRDefault="00BD2756" w:rsidP="00D960A0">
            <w:pPr>
              <w:ind w:left="0" w:firstLine="0"/>
              <w:jc w:val="right"/>
              <w:rPr>
                <w:rFonts w:asciiTheme="minorHAnsi" w:hAnsiTheme="minorHAnsi" w:cstheme="minorHAnsi"/>
                <w:sz w:val="20"/>
                <w:szCs w:val="20"/>
              </w:rPr>
            </w:pPr>
          </w:p>
        </w:tc>
        <w:tc>
          <w:tcPr>
            <w:tcW w:w="243" w:type="dxa"/>
            <w:gridSpan w:val="2"/>
            <w:tcBorders>
              <w:left w:val="nil"/>
              <w:bottom w:val="nil"/>
              <w:right w:val="nil"/>
            </w:tcBorders>
            <w:shd w:val="clear" w:color="auto" w:fill="auto"/>
            <w:hideMark/>
          </w:tcPr>
          <w:p w14:paraId="5AF09928" w14:textId="77777777" w:rsidR="00BD2756" w:rsidRPr="001D0B77" w:rsidRDefault="00BD2756" w:rsidP="00D960A0">
            <w:pPr>
              <w:ind w:left="0" w:firstLine="0"/>
              <w:jc w:val="right"/>
              <w:rPr>
                <w:rFonts w:asciiTheme="minorHAnsi" w:hAnsiTheme="minorHAnsi" w:cstheme="minorHAnsi"/>
                <w:sz w:val="20"/>
                <w:szCs w:val="20"/>
              </w:rPr>
            </w:pPr>
          </w:p>
        </w:tc>
        <w:tc>
          <w:tcPr>
            <w:tcW w:w="1083" w:type="dxa"/>
            <w:gridSpan w:val="2"/>
            <w:tcBorders>
              <w:top w:val="single" w:sz="4" w:space="0" w:color="auto"/>
              <w:left w:val="nil"/>
              <w:bottom w:val="nil"/>
              <w:right w:val="nil"/>
            </w:tcBorders>
            <w:shd w:val="clear" w:color="auto" w:fill="auto"/>
            <w:hideMark/>
          </w:tcPr>
          <w:p w14:paraId="5B30674D" w14:textId="77777777" w:rsidR="00BD2756" w:rsidRPr="001D0B77" w:rsidRDefault="00BD2756" w:rsidP="00D960A0">
            <w:pPr>
              <w:ind w:left="0" w:firstLine="0"/>
              <w:jc w:val="right"/>
              <w:rPr>
                <w:rFonts w:asciiTheme="minorHAnsi" w:hAnsiTheme="minorHAnsi" w:cstheme="minorHAnsi"/>
                <w:sz w:val="20"/>
                <w:szCs w:val="20"/>
              </w:rPr>
            </w:pPr>
          </w:p>
        </w:tc>
      </w:tr>
      <w:tr w:rsidR="002D76F8" w:rsidRPr="001D0B77" w14:paraId="6D6C264E" w14:textId="77777777" w:rsidTr="00BA0F3C">
        <w:tc>
          <w:tcPr>
            <w:tcW w:w="3092" w:type="dxa"/>
            <w:gridSpan w:val="2"/>
            <w:tcBorders>
              <w:top w:val="double" w:sz="4" w:space="0" w:color="auto"/>
              <w:left w:val="nil"/>
              <w:bottom w:val="double" w:sz="4" w:space="0" w:color="auto"/>
              <w:right w:val="nil"/>
            </w:tcBorders>
            <w:shd w:val="clear" w:color="auto" w:fill="D6E3BC" w:themeFill="accent3" w:themeFillTint="66"/>
            <w:hideMark/>
          </w:tcPr>
          <w:p w14:paraId="75BC36A2" w14:textId="77777777" w:rsidR="00BD2756" w:rsidRPr="001D0B77" w:rsidRDefault="00BD2756" w:rsidP="00D960A0">
            <w:pPr>
              <w:ind w:left="0" w:firstLine="0"/>
              <w:rPr>
                <w:rFonts w:asciiTheme="minorHAnsi" w:hAnsiTheme="minorHAnsi" w:cstheme="minorHAnsi"/>
                <w:b/>
                <w:bCs/>
                <w:sz w:val="20"/>
                <w:szCs w:val="20"/>
              </w:rPr>
            </w:pPr>
            <w:r w:rsidRPr="001D0B77">
              <w:rPr>
                <w:rFonts w:asciiTheme="minorHAnsi" w:hAnsiTheme="minorHAnsi" w:cstheme="minorHAnsi"/>
                <w:b/>
                <w:bCs/>
                <w:sz w:val="20"/>
                <w:szCs w:val="20"/>
              </w:rPr>
              <w:t>Grand Total</w:t>
            </w:r>
          </w:p>
        </w:tc>
        <w:tc>
          <w:tcPr>
            <w:tcW w:w="1060" w:type="dxa"/>
            <w:tcBorders>
              <w:top w:val="double" w:sz="4" w:space="0" w:color="auto"/>
              <w:left w:val="nil"/>
              <w:bottom w:val="double" w:sz="4" w:space="0" w:color="auto"/>
              <w:right w:val="nil"/>
            </w:tcBorders>
            <w:shd w:val="clear" w:color="auto" w:fill="D6E3BC" w:themeFill="accent3" w:themeFillTint="66"/>
            <w:hideMark/>
          </w:tcPr>
          <w:p w14:paraId="5088DEE9"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2,317</w:t>
            </w:r>
          </w:p>
        </w:tc>
        <w:tc>
          <w:tcPr>
            <w:tcW w:w="236" w:type="dxa"/>
            <w:tcBorders>
              <w:left w:val="nil"/>
              <w:right w:val="nil"/>
            </w:tcBorders>
            <w:shd w:val="clear" w:color="auto" w:fill="D6E3BC" w:themeFill="accent3" w:themeFillTint="66"/>
            <w:hideMark/>
          </w:tcPr>
          <w:p w14:paraId="2DDC6670" w14:textId="77777777" w:rsidR="00BD2756" w:rsidRPr="001D0B77" w:rsidRDefault="00BD2756" w:rsidP="00D960A0">
            <w:pPr>
              <w:ind w:left="0" w:firstLine="0"/>
              <w:jc w:val="right"/>
              <w:rPr>
                <w:rFonts w:asciiTheme="minorHAnsi" w:hAnsiTheme="minorHAnsi" w:cstheme="minorHAnsi"/>
                <w:b/>
                <w:bCs/>
                <w:sz w:val="20"/>
                <w:szCs w:val="20"/>
              </w:rPr>
            </w:pPr>
          </w:p>
        </w:tc>
        <w:tc>
          <w:tcPr>
            <w:tcW w:w="865" w:type="dxa"/>
            <w:tcBorders>
              <w:top w:val="double" w:sz="4" w:space="0" w:color="auto"/>
              <w:left w:val="nil"/>
              <w:bottom w:val="double" w:sz="4" w:space="0" w:color="auto"/>
              <w:right w:val="nil"/>
            </w:tcBorders>
            <w:shd w:val="clear" w:color="auto" w:fill="D6E3BC" w:themeFill="accent3" w:themeFillTint="66"/>
            <w:hideMark/>
          </w:tcPr>
          <w:p w14:paraId="7B52AFB3"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1,667</w:t>
            </w:r>
          </w:p>
        </w:tc>
        <w:tc>
          <w:tcPr>
            <w:tcW w:w="250" w:type="dxa"/>
            <w:gridSpan w:val="2"/>
            <w:tcBorders>
              <w:top w:val="single" w:sz="4" w:space="0" w:color="auto"/>
              <w:left w:val="nil"/>
              <w:right w:val="nil"/>
            </w:tcBorders>
            <w:shd w:val="clear" w:color="auto" w:fill="D6E3BC" w:themeFill="accent3" w:themeFillTint="66"/>
            <w:hideMark/>
          </w:tcPr>
          <w:p w14:paraId="2E2B5E24" w14:textId="77777777" w:rsidR="00BD2756" w:rsidRPr="001D0B77" w:rsidRDefault="00BD2756" w:rsidP="00D960A0">
            <w:pPr>
              <w:ind w:left="0" w:firstLine="0"/>
              <w:jc w:val="right"/>
              <w:rPr>
                <w:rFonts w:asciiTheme="minorHAnsi" w:hAnsiTheme="minorHAnsi" w:cstheme="minorHAnsi"/>
                <w:b/>
                <w:bCs/>
                <w:sz w:val="20"/>
                <w:szCs w:val="20"/>
              </w:rPr>
            </w:pPr>
          </w:p>
        </w:tc>
        <w:tc>
          <w:tcPr>
            <w:tcW w:w="1231" w:type="dxa"/>
            <w:gridSpan w:val="2"/>
            <w:tcBorders>
              <w:top w:val="double" w:sz="4" w:space="0" w:color="auto"/>
              <w:left w:val="nil"/>
              <w:bottom w:val="double" w:sz="4" w:space="0" w:color="auto"/>
              <w:right w:val="nil"/>
            </w:tcBorders>
            <w:shd w:val="clear" w:color="auto" w:fill="D6E3BC" w:themeFill="accent3" w:themeFillTint="66"/>
            <w:hideMark/>
          </w:tcPr>
          <w:p w14:paraId="50C74526"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(1,855)</w:t>
            </w:r>
          </w:p>
        </w:tc>
        <w:tc>
          <w:tcPr>
            <w:tcW w:w="237" w:type="dxa"/>
            <w:gridSpan w:val="2"/>
            <w:tcBorders>
              <w:left w:val="nil"/>
              <w:right w:val="nil"/>
            </w:tcBorders>
            <w:shd w:val="clear" w:color="auto" w:fill="D6E3BC" w:themeFill="accent3" w:themeFillTint="66"/>
            <w:hideMark/>
          </w:tcPr>
          <w:p w14:paraId="07B493E2" w14:textId="77777777" w:rsidR="00BD2756" w:rsidRPr="001D0B77" w:rsidRDefault="00BD2756" w:rsidP="00D960A0">
            <w:pPr>
              <w:ind w:left="0" w:firstLine="0"/>
              <w:jc w:val="right"/>
              <w:rPr>
                <w:rFonts w:asciiTheme="minorHAnsi" w:hAnsiTheme="minorHAnsi" w:cstheme="minorHAnsi"/>
                <w:b/>
                <w:bCs/>
                <w:sz w:val="20"/>
                <w:szCs w:val="20"/>
              </w:rPr>
            </w:pPr>
          </w:p>
        </w:tc>
        <w:tc>
          <w:tcPr>
            <w:tcW w:w="1006" w:type="dxa"/>
            <w:gridSpan w:val="2"/>
            <w:tcBorders>
              <w:top w:val="double" w:sz="4" w:space="0" w:color="auto"/>
              <w:left w:val="nil"/>
              <w:bottom w:val="double" w:sz="4" w:space="0" w:color="auto"/>
              <w:right w:val="nil"/>
            </w:tcBorders>
            <w:shd w:val="clear" w:color="auto" w:fill="D6E3BC" w:themeFill="accent3" w:themeFillTint="66"/>
            <w:hideMark/>
          </w:tcPr>
          <w:p w14:paraId="3599E6BF"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3</w:t>
            </w:r>
          </w:p>
        </w:tc>
        <w:tc>
          <w:tcPr>
            <w:tcW w:w="238" w:type="dxa"/>
            <w:gridSpan w:val="2"/>
            <w:tcBorders>
              <w:left w:val="nil"/>
              <w:right w:val="nil"/>
            </w:tcBorders>
            <w:shd w:val="clear" w:color="auto" w:fill="D6E3BC" w:themeFill="accent3" w:themeFillTint="66"/>
            <w:hideMark/>
          </w:tcPr>
          <w:p w14:paraId="6C35F637" w14:textId="77777777" w:rsidR="00BD2756" w:rsidRPr="001D0B77" w:rsidRDefault="00BD2756" w:rsidP="00D960A0">
            <w:pPr>
              <w:ind w:left="0" w:firstLine="0"/>
              <w:jc w:val="right"/>
              <w:rPr>
                <w:rFonts w:asciiTheme="minorHAnsi" w:hAnsiTheme="minorHAnsi" w:cstheme="minorHAnsi"/>
                <w:b/>
                <w:bCs/>
                <w:sz w:val="20"/>
                <w:szCs w:val="20"/>
              </w:rPr>
            </w:pPr>
          </w:p>
        </w:tc>
        <w:tc>
          <w:tcPr>
            <w:tcW w:w="1083" w:type="dxa"/>
            <w:gridSpan w:val="2"/>
            <w:tcBorders>
              <w:top w:val="double" w:sz="4" w:space="0" w:color="auto"/>
              <w:left w:val="nil"/>
              <w:bottom w:val="double" w:sz="4" w:space="0" w:color="auto"/>
              <w:right w:val="nil"/>
            </w:tcBorders>
            <w:shd w:val="clear" w:color="auto" w:fill="D6E3BC" w:themeFill="accent3" w:themeFillTint="66"/>
            <w:hideMark/>
          </w:tcPr>
          <w:p w14:paraId="6D338B19" w14:textId="77777777" w:rsidR="00BD2756" w:rsidRPr="001D0B77" w:rsidRDefault="00BD2756" w:rsidP="00D960A0">
            <w:pPr>
              <w:ind w:left="0" w:firstLine="0"/>
              <w:jc w:val="right"/>
              <w:rPr>
                <w:rFonts w:asciiTheme="minorHAnsi" w:hAnsiTheme="minorHAnsi" w:cstheme="minorHAnsi"/>
                <w:b/>
                <w:bCs/>
                <w:sz w:val="20"/>
                <w:szCs w:val="20"/>
              </w:rPr>
            </w:pPr>
            <w:r w:rsidRPr="001D0B77">
              <w:rPr>
                <w:rFonts w:asciiTheme="minorHAnsi" w:hAnsiTheme="minorHAnsi" w:cstheme="minorHAnsi"/>
                <w:b/>
                <w:bCs/>
                <w:sz w:val="20"/>
                <w:szCs w:val="20"/>
              </w:rPr>
              <w:t>2,133</w:t>
            </w:r>
          </w:p>
        </w:tc>
      </w:tr>
    </w:tbl>
    <w:p w14:paraId="51196562" w14:textId="2387BDB7" w:rsidR="006D37D1" w:rsidRPr="00421152" w:rsidRDefault="003C35D2" w:rsidP="008D76BB">
      <w:pPr>
        <w:ind w:left="0" w:firstLine="0"/>
        <w:rPr>
          <w:rFonts w:asciiTheme="minorHAnsi" w:eastAsia="Times New Roman" w:hAnsiTheme="minorHAnsi" w:cs="Arial"/>
          <w:bCs/>
          <w:lang w:eastAsia="en-GB"/>
        </w:rPr>
      </w:pPr>
      <w:r w:rsidRPr="00421152">
        <w:t xml:space="preserve"> </w:t>
      </w:r>
      <w:r w:rsidR="006D37D1" w:rsidRPr="00421152">
        <w:rPr>
          <w:rFonts w:asciiTheme="minorHAnsi" w:eastAsia="Times New Roman" w:hAnsiTheme="minorHAnsi" w:cs="Arial"/>
          <w:b/>
          <w:bCs/>
          <w:sz w:val="24"/>
          <w:szCs w:val="24"/>
          <w:lang w:eastAsia="en-GB"/>
        </w:rPr>
        <w:br w:type="page"/>
      </w:r>
    </w:p>
    <w:p w14:paraId="3DF4A4BD" w14:textId="2FF8F2C4" w:rsidR="0074567B" w:rsidRPr="00421152" w:rsidRDefault="0035205F" w:rsidP="00FB7D22">
      <w:pPr>
        <w:ind w:left="0" w:firstLine="0"/>
        <w:rPr>
          <w:rFonts w:asciiTheme="minorHAnsi" w:eastAsia="Times New Roman" w:hAnsiTheme="minorHAnsi" w:cs="Arial"/>
          <w:b/>
          <w:bCs/>
          <w:sz w:val="24"/>
          <w:szCs w:val="24"/>
          <w:lang w:eastAsia="en-GB"/>
        </w:rPr>
      </w:pPr>
      <w:r w:rsidRPr="00421152">
        <w:rPr>
          <w:rFonts w:asciiTheme="minorHAnsi" w:eastAsia="Times New Roman" w:hAnsiTheme="minorHAnsi" w:cs="Arial"/>
          <w:b/>
          <w:bCs/>
          <w:sz w:val="24"/>
          <w:szCs w:val="24"/>
          <w:lang w:eastAsia="en-GB"/>
        </w:rPr>
        <w:lastRenderedPageBreak/>
        <w:t>Annex</w:t>
      </w:r>
      <w:r w:rsidR="004D23F7">
        <w:rPr>
          <w:rFonts w:asciiTheme="minorHAnsi" w:eastAsia="Times New Roman" w:hAnsiTheme="minorHAnsi" w:cs="Arial"/>
          <w:b/>
          <w:bCs/>
          <w:sz w:val="24"/>
          <w:szCs w:val="24"/>
          <w:lang w:eastAsia="en-GB"/>
        </w:rPr>
        <w:t xml:space="preserve"> </w:t>
      </w:r>
      <w:bookmarkStart w:id="0" w:name="_GoBack"/>
      <w:bookmarkEnd w:id="0"/>
      <w:r w:rsidR="007E0A1A" w:rsidRPr="00421152">
        <w:rPr>
          <w:rFonts w:asciiTheme="minorHAnsi" w:eastAsia="Times New Roman" w:hAnsiTheme="minorHAnsi" w:cs="Arial"/>
          <w:b/>
          <w:bCs/>
          <w:sz w:val="24"/>
          <w:szCs w:val="24"/>
          <w:lang w:eastAsia="en-GB"/>
        </w:rPr>
        <w:t>4</w:t>
      </w:r>
    </w:p>
    <w:p w14:paraId="56533259" w14:textId="6F48265D" w:rsidR="0035205F" w:rsidRPr="00421152" w:rsidRDefault="0035205F" w:rsidP="00FB7D22">
      <w:pPr>
        <w:ind w:left="0" w:firstLine="0"/>
        <w:rPr>
          <w:rFonts w:asciiTheme="minorHAnsi" w:eastAsia="Times New Roman" w:hAnsiTheme="minorHAnsi" w:cs="Arial"/>
          <w:b/>
          <w:bCs/>
          <w:sz w:val="24"/>
          <w:szCs w:val="24"/>
          <w:lang w:eastAsia="en-GB"/>
        </w:rPr>
      </w:pPr>
      <w:r w:rsidRPr="00421152">
        <w:rPr>
          <w:rFonts w:asciiTheme="minorHAnsi" w:eastAsia="Times New Roman" w:hAnsiTheme="minorHAnsi" w:cs="Arial"/>
          <w:b/>
          <w:bCs/>
          <w:sz w:val="24"/>
          <w:szCs w:val="24"/>
          <w:lang w:eastAsia="en-GB"/>
        </w:rPr>
        <w:t>Proposed Core Budget 201</w:t>
      </w:r>
      <w:r w:rsidR="00DE63F0" w:rsidRPr="00421152">
        <w:rPr>
          <w:rFonts w:asciiTheme="minorHAnsi" w:eastAsia="Times New Roman" w:hAnsiTheme="minorHAnsi" w:cs="Arial"/>
          <w:b/>
          <w:bCs/>
          <w:sz w:val="24"/>
          <w:szCs w:val="24"/>
          <w:lang w:eastAsia="en-GB"/>
        </w:rPr>
        <w:t>9</w:t>
      </w:r>
    </w:p>
    <w:p w14:paraId="79044316" w14:textId="4F00267B" w:rsidR="000B0EA8" w:rsidRPr="00421152" w:rsidRDefault="000B0EA8" w:rsidP="00FB7D22">
      <w:pPr>
        <w:ind w:left="0" w:firstLine="0"/>
        <w:rPr>
          <w:rFonts w:asciiTheme="minorHAnsi" w:eastAsia="Times New Roman" w:hAnsiTheme="minorHAnsi" w:cs="Arial"/>
          <w:b/>
          <w:bCs/>
          <w:sz w:val="24"/>
          <w:szCs w:val="24"/>
          <w:lang w:eastAsia="en-GB"/>
        </w:rPr>
      </w:pPr>
    </w:p>
    <w:tbl>
      <w:tblPr>
        <w:tblStyle w:val="TableGrid"/>
        <w:tblW w:w="8926" w:type="dxa"/>
        <w:tblLayout w:type="fixed"/>
        <w:tblCellMar>
          <w:top w:w="17" w:type="dxa"/>
          <w:left w:w="57" w:type="dxa"/>
          <w:bottom w:w="17" w:type="dxa"/>
          <w:right w:w="57" w:type="dxa"/>
        </w:tblCellMar>
        <w:tblLook w:val="04A0" w:firstRow="1" w:lastRow="0" w:firstColumn="1" w:lastColumn="0" w:noHBand="0" w:noVBand="1"/>
      </w:tblPr>
      <w:tblGrid>
        <w:gridCol w:w="2689"/>
        <w:gridCol w:w="1134"/>
        <w:gridCol w:w="1275"/>
        <w:gridCol w:w="1276"/>
        <w:gridCol w:w="1276"/>
        <w:gridCol w:w="1276"/>
      </w:tblGrid>
      <w:tr w:rsidR="00E921A2" w:rsidRPr="00DE6208" w14:paraId="6D179C29" w14:textId="77777777" w:rsidTr="00E921A2">
        <w:trPr>
          <w:cantSplit/>
          <w:tblHeader/>
        </w:trPr>
        <w:tc>
          <w:tcPr>
            <w:tcW w:w="2689" w:type="dxa"/>
            <w:vMerge w:val="restart"/>
            <w:shd w:val="clear" w:color="auto" w:fill="D6E3BC" w:themeFill="accent3" w:themeFillTint="66"/>
          </w:tcPr>
          <w:p w14:paraId="6C9A8930" w14:textId="77777777" w:rsidR="00E921A2" w:rsidRPr="00DE6208" w:rsidRDefault="00E921A2" w:rsidP="00EF666E">
            <w:pPr>
              <w:ind w:left="0" w:firstLine="0"/>
              <w:jc w:val="center"/>
              <w:rPr>
                <w:rFonts w:asciiTheme="minorHAnsi" w:eastAsia="Times New Roman" w:hAnsiTheme="minorHAnsi" w:cs="Arial"/>
                <w:b/>
                <w:bCs/>
                <w:sz w:val="20"/>
                <w:szCs w:val="20"/>
                <w:lang w:eastAsia="en-GB"/>
              </w:rPr>
            </w:pPr>
            <w:r w:rsidRPr="00DE6208">
              <w:rPr>
                <w:rFonts w:eastAsiaTheme="minorHAnsi" w:cs="Calibri"/>
                <w:b/>
                <w:bCs/>
                <w:sz w:val="20"/>
                <w:szCs w:val="20"/>
              </w:rPr>
              <w:t>Ramsar Budget 2019</w:t>
            </w:r>
          </w:p>
          <w:p w14:paraId="7F8DDB96" w14:textId="77777777" w:rsidR="00E921A2" w:rsidRPr="00DE6208" w:rsidRDefault="00E921A2" w:rsidP="00EF666E">
            <w:pPr>
              <w:ind w:left="0" w:firstLine="0"/>
              <w:jc w:val="center"/>
              <w:rPr>
                <w:rFonts w:asciiTheme="minorHAnsi" w:eastAsia="Times New Roman" w:hAnsiTheme="minorHAnsi" w:cs="Arial"/>
                <w:b/>
                <w:bCs/>
                <w:sz w:val="20"/>
                <w:szCs w:val="20"/>
                <w:lang w:eastAsia="en-GB"/>
              </w:rPr>
            </w:pPr>
            <w:r w:rsidRPr="00DE6208">
              <w:rPr>
                <w:rFonts w:eastAsiaTheme="minorHAnsi" w:cs="Calibri"/>
                <w:b/>
                <w:bCs/>
                <w:sz w:val="20"/>
                <w:szCs w:val="20"/>
              </w:rPr>
              <w:t>CHF 000'S</w:t>
            </w:r>
          </w:p>
        </w:tc>
        <w:tc>
          <w:tcPr>
            <w:tcW w:w="1134" w:type="dxa"/>
            <w:tcBorders>
              <w:bottom w:val="nil"/>
            </w:tcBorders>
            <w:shd w:val="clear" w:color="auto" w:fill="D6E3BC" w:themeFill="accent3" w:themeFillTint="66"/>
          </w:tcPr>
          <w:p w14:paraId="002E1217" w14:textId="77777777" w:rsidR="00E921A2" w:rsidRPr="00DE6208" w:rsidRDefault="00E921A2" w:rsidP="00EF666E">
            <w:pPr>
              <w:autoSpaceDE w:val="0"/>
              <w:autoSpaceDN w:val="0"/>
              <w:adjustRightInd w:val="0"/>
              <w:ind w:left="0" w:firstLine="0"/>
              <w:jc w:val="center"/>
              <w:rPr>
                <w:rFonts w:eastAsiaTheme="minorHAnsi" w:cs="Calibri"/>
                <w:b/>
                <w:bCs/>
                <w:sz w:val="20"/>
                <w:szCs w:val="20"/>
              </w:rPr>
            </w:pPr>
            <w:r w:rsidRPr="00DE6208">
              <w:rPr>
                <w:rFonts w:eastAsiaTheme="minorHAnsi" w:cs="Calibri"/>
                <w:b/>
                <w:bCs/>
                <w:sz w:val="20"/>
                <w:szCs w:val="20"/>
              </w:rPr>
              <w:t>Budget 2019</w:t>
            </w:r>
          </w:p>
          <w:p w14:paraId="0278B4EE" w14:textId="77777777" w:rsidR="00E921A2" w:rsidRPr="00DE6208" w:rsidRDefault="00E921A2" w:rsidP="00EF666E">
            <w:pPr>
              <w:autoSpaceDE w:val="0"/>
              <w:autoSpaceDN w:val="0"/>
              <w:adjustRightInd w:val="0"/>
              <w:ind w:left="0" w:firstLine="0"/>
              <w:jc w:val="center"/>
              <w:rPr>
                <w:rFonts w:eastAsiaTheme="minorHAnsi" w:cs="Calibri"/>
                <w:b/>
                <w:bCs/>
                <w:sz w:val="20"/>
                <w:szCs w:val="20"/>
              </w:rPr>
            </w:pPr>
            <w:r w:rsidRPr="00DE6208">
              <w:rPr>
                <w:rFonts w:eastAsiaTheme="minorHAnsi" w:cs="Calibri"/>
                <w:b/>
                <w:bCs/>
                <w:sz w:val="20"/>
                <w:szCs w:val="20"/>
              </w:rPr>
              <w:t>(COP13-</w:t>
            </w:r>
          </w:p>
          <w:p w14:paraId="6BC1C741" w14:textId="77777777" w:rsidR="00E921A2" w:rsidRPr="00DE6208" w:rsidRDefault="00E921A2" w:rsidP="00EF666E">
            <w:pPr>
              <w:ind w:left="0" w:firstLine="0"/>
              <w:jc w:val="center"/>
              <w:rPr>
                <w:rFonts w:asciiTheme="minorHAnsi" w:eastAsia="Times New Roman" w:hAnsiTheme="minorHAnsi" w:cs="Arial"/>
                <w:b/>
                <w:bCs/>
                <w:sz w:val="20"/>
                <w:szCs w:val="20"/>
                <w:lang w:eastAsia="en-GB"/>
              </w:rPr>
            </w:pPr>
            <w:r w:rsidRPr="00DE6208">
              <w:rPr>
                <w:rFonts w:eastAsiaTheme="minorHAnsi" w:cs="Calibri"/>
                <w:b/>
                <w:bCs/>
                <w:sz w:val="20"/>
                <w:szCs w:val="20"/>
              </w:rPr>
              <w:t>approved)</w:t>
            </w:r>
          </w:p>
        </w:tc>
        <w:tc>
          <w:tcPr>
            <w:tcW w:w="1275" w:type="dxa"/>
            <w:tcBorders>
              <w:bottom w:val="nil"/>
            </w:tcBorders>
            <w:shd w:val="clear" w:color="auto" w:fill="D6E3BC" w:themeFill="accent3" w:themeFillTint="66"/>
          </w:tcPr>
          <w:p w14:paraId="04060B0E" w14:textId="77777777" w:rsidR="00E921A2" w:rsidRPr="00DE6208" w:rsidRDefault="00E921A2" w:rsidP="00EF666E">
            <w:pPr>
              <w:ind w:left="0" w:firstLine="0"/>
              <w:jc w:val="center"/>
              <w:rPr>
                <w:rFonts w:asciiTheme="minorHAnsi" w:eastAsia="Times New Roman" w:hAnsiTheme="minorHAnsi" w:cs="Arial"/>
                <w:b/>
                <w:bCs/>
                <w:sz w:val="20"/>
                <w:szCs w:val="20"/>
                <w:lang w:eastAsia="en-GB"/>
              </w:rPr>
            </w:pPr>
            <w:r w:rsidRPr="00DE6208">
              <w:rPr>
                <w:rFonts w:eastAsiaTheme="minorHAnsi" w:cs="Calibri"/>
                <w:b/>
                <w:bCs/>
                <w:sz w:val="20"/>
                <w:szCs w:val="20"/>
              </w:rPr>
              <w:t>Authorized use of 2016-2018 surplus in 2019</w:t>
            </w:r>
          </w:p>
        </w:tc>
        <w:tc>
          <w:tcPr>
            <w:tcW w:w="1276" w:type="dxa"/>
            <w:tcBorders>
              <w:bottom w:val="nil"/>
            </w:tcBorders>
            <w:shd w:val="clear" w:color="auto" w:fill="D6E3BC" w:themeFill="accent3" w:themeFillTint="66"/>
          </w:tcPr>
          <w:p w14:paraId="76E2D4DA" w14:textId="580D8248" w:rsidR="00E921A2" w:rsidRPr="00DE6208" w:rsidRDefault="00E921A2" w:rsidP="00E921A2">
            <w:pPr>
              <w:ind w:left="0" w:firstLine="0"/>
              <w:jc w:val="center"/>
              <w:rPr>
                <w:rFonts w:asciiTheme="minorHAnsi" w:eastAsia="Times New Roman" w:hAnsiTheme="minorHAnsi" w:cs="Arial"/>
                <w:b/>
                <w:bCs/>
                <w:sz w:val="20"/>
                <w:szCs w:val="20"/>
                <w:lang w:eastAsia="en-GB"/>
              </w:rPr>
            </w:pPr>
            <w:r>
              <w:rPr>
                <w:rFonts w:eastAsiaTheme="minorHAnsi" w:cs="Calibri"/>
                <w:b/>
                <w:bCs/>
                <w:sz w:val="20"/>
                <w:szCs w:val="20"/>
              </w:rPr>
              <w:t>C</w:t>
            </w:r>
            <w:r w:rsidRPr="00DE6208">
              <w:rPr>
                <w:rFonts w:eastAsiaTheme="minorHAnsi" w:cs="Calibri"/>
                <w:b/>
                <w:bCs/>
                <w:sz w:val="20"/>
                <w:szCs w:val="20"/>
              </w:rPr>
              <w:t xml:space="preserve">ommitted </w:t>
            </w:r>
            <w:r w:rsidRPr="00DE6208">
              <w:rPr>
                <w:rFonts w:eastAsiaTheme="minorHAnsi" w:cs="Calibri"/>
                <w:b/>
                <w:bCs/>
                <w:sz w:val="20"/>
                <w:szCs w:val="20"/>
              </w:rPr>
              <w:t>from 201</w:t>
            </w:r>
            <w:r>
              <w:rPr>
                <w:rFonts w:eastAsiaTheme="minorHAnsi" w:cs="Calibri"/>
                <w:b/>
                <w:bCs/>
                <w:sz w:val="20"/>
                <w:szCs w:val="20"/>
              </w:rPr>
              <w:t>8</w:t>
            </w:r>
            <w:r w:rsidR="00C94D44">
              <w:rPr>
                <w:rFonts w:eastAsiaTheme="minorHAnsi" w:cs="Calibri"/>
                <w:b/>
                <w:bCs/>
                <w:sz w:val="20"/>
                <w:szCs w:val="20"/>
              </w:rPr>
              <w:t xml:space="preserve"> budget</w:t>
            </w:r>
            <w:r w:rsidRPr="00DE6208">
              <w:rPr>
                <w:rFonts w:eastAsiaTheme="minorHAnsi" w:cs="Calibri"/>
                <w:b/>
                <w:bCs/>
                <w:sz w:val="20"/>
                <w:szCs w:val="20"/>
              </w:rPr>
              <w:t xml:space="preserve"> (carry over to 2019)</w:t>
            </w:r>
          </w:p>
        </w:tc>
        <w:tc>
          <w:tcPr>
            <w:tcW w:w="1276" w:type="dxa"/>
            <w:tcBorders>
              <w:bottom w:val="nil"/>
            </w:tcBorders>
            <w:shd w:val="clear" w:color="auto" w:fill="D6E3BC" w:themeFill="accent3" w:themeFillTint="66"/>
          </w:tcPr>
          <w:p w14:paraId="338F485C" w14:textId="77777777" w:rsidR="00E921A2" w:rsidRDefault="00C94D44" w:rsidP="00EF666E">
            <w:pPr>
              <w:autoSpaceDE w:val="0"/>
              <w:autoSpaceDN w:val="0"/>
              <w:adjustRightInd w:val="0"/>
              <w:ind w:left="0" w:firstLine="0"/>
              <w:jc w:val="center"/>
              <w:rPr>
                <w:rFonts w:eastAsiaTheme="minorHAnsi" w:cs="Calibri"/>
                <w:b/>
                <w:bCs/>
                <w:sz w:val="20"/>
                <w:szCs w:val="20"/>
              </w:rPr>
            </w:pPr>
            <w:r>
              <w:rPr>
                <w:rFonts w:eastAsiaTheme="minorHAnsi" w:cs="Calibri"/>
                <w:b/>
                <w:bCs/>
                <w:sz w:val="20"/>
                <w:szCs w:val="20"/>
              </w:rPr>
              <w:t>Pre-committed from 2017 (carry over to 2019)</w:t>
            </w:r>
          </w:p>
          <w:p w14:paraId="52B51E03" w14:textId="1E556D12" w:rsidR="00C94D44" w:rsidRPr="00DE6208" w:rsidRDefault="00C94D44" w:rsidP="00C94D44">
            <w:pPr>
              <w:autoSpaceDE w:val="0"/>
              <w:autoSpaceDN w:val="0"/>
              <w:adjustRightInd w:val="0"/>
              <w:ind w:left="0" w:firstLine="0"/>
              <w:rPr>
                <w:rFonts w:eastAsiaTheme="minorHAnsi" w:cs="Calibri"/>
                <w:b/>
                <w:bCs/>
                <w:sz w:val="20"/>
                <w:szCs w:val="20"/>
              </w:rPr>
            </w:pPr>
          </w:p>
        </w:tc>
        <w:tc>
          <w:tcPr>
            <w:tcW w:w="1276" w:type="dxa"/>
            <w:tcBorders>
              <w:bottom w:val="nil"/>
            </w:tcBorders>
            <w:shd w:val="clear" w:color="auto" w:fill="D6E3BC" w:themeFill="accent3" w:themeFillTint="66"/>
          </w:tcPr>
          <w:p w14:paraId="770C94F2" w14:textId="234CC1D7" w:rsidR="00E921A2" w:rsidRPr="00DE6208" w:rsidRDefault="00E921A2" w:rsidP="00EF666E">
            <w:pPr>
              <w:autoSpaceDE w:val="0"/>
              <w:autoSpaceDN w:val="0"/>
              <w:adjustRightInd w:val="0"/>
              <w:ind w:left="0" w:firstLine="0"/>
              <w:jc w:val="center"/>
              <w:rPr>
                <w:rFonts w:eastAsiaTheme="minorHAnsi" w:cs="Calibri"/>
                <w:b/>
                <w:bCs/>
                <w:sz w:val="20"/>
                <w:szCs w:val="20"/>
              </w:rPr>
            </w:pPr>
            <w:r w:rsidRPr="00DE6208">
              <w:rPr>
                <w:rFonts w:eastAsiaTheme="minorHAnsi" w:cs="Calibri"/>
                <w:b/>
                <w:bCs/>
                <w:sz w:val="20"/>
                <w:szCs w:val="20"/>
              </w:rPr>
              <w:t>Proposed</w:t>
            </w:r>
          </w:p>
          <w:p w14:paraId="38BAFB87" w14:textId="77777777" w:rsidR="00E921A2" w:rsidRPr="00DE6208" w:rsidRDefault="00E921A2" w:rsidP="00EF666E">
            <w:pPr>
              <w:autoSpaceDE w:val="0"/>
              <w:autoSpaceDN w:val="0"/>
              <w:adjustRightInd w:val="0"/>
              <w:ind w:left="0" w:firstLine="0"/>
              <w:jc w:val="center"/>
              <w:rPr>
                <w:rFonts w:eastAsiaTheme="minorHAnsi" w:cs="Calibri"/>
                <w:b/>
                <w:bCs/>
                <w:sz w:val="20"/>
                <w:szCs w:val="20"/>
              </w:rPr>
            </w:pPr>
            <w:r w:rsidRPr="00DE6208">
              <w:rPr>
                <w:rFonts w:eastAsiaTheme="minorHAnsi" w:cs="Calibri"/>
                <w:b/>
                <w:bCs/>
                <w:sz w:val="20"/>
                <w:szCs w:val="20"/>
              </w:rPr>
              <w:t>budget 2019</w:t>
            </w:r>
          </w:p>
          <w:p w14:paraId="78504E5E" w14:textId="77777777" w:rsidR="00E921A2" w:rsidRPr="00DE6208" w:rsidRDefault="00E921A2" w:rsidP="00EF666E">
            <w:pPr>
              <w:autoSpaceDE w:val="0"/>
              <w:autoSpaceDN w:val="0"/>
              <w:adjustRightInd w:val="0"/>
              <w:ind w:left="0" w:firstLine="0"/>
              <w:jc w:val="center"/>
              <w:rPr>
                <w:rFonts w:eastAsiaTheme="minorHAnsi" w:cs="Calibri"/>
                <w:b/>
                <w:bCs/>
                <w:sz w:val="20"/>
                <w:szCs w:val="20"/>
              </w:rPr>
            </w:pPr>
            <w:r w:rsidRPr="00DE6208">
              <w:rPr>
                <w:rFonts w:eastAsiaTheme="minorHAnsi" w:cs="Calibri"/>
                <w:b/>
                <w:bCs/>
                <w:sz w:val="20"/>
                <w:szCs w:val="20"/>
              </w:rPr>
              <w:t>after</w:t>
            </w:r>
          </w:p>
          <w:p w14:paraId="3BDB74AB" w14:textId="77777777" w:rsidR="00E921A2" w:rsidRPr="00DE6208" w:rsidRDefault="00E921A2" w:rsidP="00EF666E">
            <w:pPr>
              <w:ind w:left="0" w:firstLine="0"/>
              <w:jc w:val="center"/>
              <w:rPr>
                <w:rFonts w:asciiTheme="minorHAnsi" w:eastAsia="Times New Roman" w:hAnsiTheme="minorHAnsi" w:cs="Arial"/>
                <w:b/>
                <w:bCs/>
                <w:sz w:val="20"/>
                <w:szCs w:val="20"/>
                <w:lang w:eastAsia="en-GB"/>
              </w:rPr>
            </w:pPr>
            <w:r w:rsidRPr="00DE6208">
              <w:rPr>
                <w:rFonts w:eastAsiaTheme="minorHAnsi" w:cs="Calibri"/>
                <w:b/>
                <w:bCs/>
                <w:sz w:val="20"/>
                <w:szCs w:val="20"/>
              </w:rPr>
              <w:t>reallocation</w:t>
            </w:r>
          </w:p>
        </w:tc>
      </w:tr>
      <w:tr w:rsidR="00E921A2" w:rsidRPr="00DE6208" w14:paraId="1F97004D" w14:textId="77777777" w:rsidTr="00E921A2">
        <w:trPr>
          <w:cantSplit/>
        </w:trPr>
        <w:tc>
          <w:tcPr>
            <w:tcW w:w="2689" w:type="dxa"/>
            <w:vMerge/>
            <w:shd w:val="clear" w:color="auto" w:fill="EAF1DD" w:themeFill="accent3" w:themeFillTint="33"/>
            <w:noWrap/>
          </w:tcPr>
          <w:p w14:paraId="3DCEBB25" w14:textId="77777777" w:rsidR="00E921A2" w:rsidRPr="00DE6208" w:rsidRDefault="00E921A2" w:rsidP="00EF666E">
            <w:pPr>
              <w:ind w:left="0" w:firstLine="0"/>
              <w:jc w:val="center"/>
              <w:rPr>
                <w:rFonts w:asciiTheme="minorHAnsi" w:eastAsia="Times New Roman" w:hAnsiTheme="minorHAnsi" w:cstheme="minorHAnsi"/>
                <w:bCs/>
                <w:sz w:val="20"/>
                <w:szCs w:val="20"/>
                <w:lang w:eastAsia="en-GB"/>
              </w:rPr>
            </w:pPr>
          </w:p>
        </w:tc>
        <w:tc>
          <w:tcPr>
            <w:tcW w:w="1134" w:type="dxa"/>
            <w:tcBorders>
              <w:top w:val="nil"/>
            </w:tcBorders>
            <w:shd w:val="clear" w:color="auto" w:fill="D6E3BC" w:themeFill="accent3" w:themeFillTint="66"/>
          </w:tcPr>
          <w:p w14:paraId="3EEE43CC" w14:textId="77777777" w:rsidR="00E921A2" w:rsidRPr="00DE6208" w:rsidRDefault="00E921A2" w:rsidP="00EF666E">
            <w:pPr>
              <w:ind w:left="0" w:firstLine="0"/>
              <w:jc w:val="center"/>
              <w:rPr>
                <w:rFonts w:asciiTheme="minorHAnsi" w:eastAsia="Times New Roman" w:hAnsiTheme="minorHAnsi" w:cstheme="minorHAnsi"/>
                <w:bCs/>
                <w:sz w:val="20"/>
                <w:szCs w:val="20"/>
                <w:lang w:eastAsia="en-GB"/>
              </w:rPr>
            </w:pPr>
            <w:r w:rsidRPr="00DE6208">
              <w:rPr>
                <w:rFonts w:eastAsiaTheme="minorHAnsi" w:cs="Calibri"/>
                <w:b/>
                <w:bCs/>
                <w:sz w:val="18"/>
                <w:szCs w:val="18"/>
              </w:rPr>
              <w:t>(A)</w:t>
            </w:r>
          </w:p>
        </w:tc>
        <w:tc>
          <w:tcPr>
            <w:tcW w:w="1275" w:type="dxa"/>
            <w:tcBorders>
              <w:top w:val="nil"/>
            </w:tcBorders>
            <w:shd w:val="clear" w:color="auto" w:fill="D6E3BC" w:themeFill="accent3" w:themeFillTint="66"/>
          </w:tcPr>
          <w:p w14:paraId="55ABBC47" w14:textId="77777777" w:rsidR="00E921A2" w:rsidRPr="00DE6208" w:rsidRDefault="00E921A2" w:rsidP="00EF666E">
            <w:pPr>
              <w:ind w:left="0" w:firstLine="0"/>
              <w:jc w:val="center"/>
              <w:rPr>
                <w:rFonts w:asciiTheme="minorHAnsi" w:eastAsia="Times New Roman" w:hAnsiTheme="minorHAnsi" w:cstheme="minorHAnsi"/>
                <w:bCs/>
                <w:sz w:val="20"/>
                <w:szCs w:val="20"/>
                <w:lang w:eastAsia="en-GB"/>
              </w:rPr>
            </w:pPr>
            <w:r w:rsidRPr="00DE6208">
              <w:rPr>
                <w:rFonts w:eastAsiaTheme="minorHAnsi" w:cs="Calibri"/>
                <w:b/>
                <w:bCs/>
                <w:sz w:val="18"/>
                <w:szCs w:val="18"/>
              </w:rPr>
              <w:t>(B)</w:t>
            </w:r>
          </w:p>
        </w:tc>
        <w:tc>
          <w:tcPr>
            <w:tcW w:w="1276" w:type="dxa"/>
            <w:tcBorders>
              <w:top w:val="nil"/>
            </w:tcBorders>
            <w:shd w:val="clear" w:color="auto" w:fill="D6E3BC" w:themeFill="accent3" w:themeFillTint="66"/>
          </w:tcPr>
          <w:p w14:paraId="3862E176" w14:textId="77777777" w:rsidR="00E921A2" w:rsidRPr="00DE6208" w:rsidRDefault="00E921A2" w:rsidP="00EF666E">
            <w:pPr>
              <w:ind w:left="0" w:firstLine="0"/>
              <w:jc w:val="center"/>
              <w:rPr>
                <w:rFonts w:asciiTheme="minorHAnsi" w:eastAsia="Times New Roman" w:hAnsiTheme="minorHAnsi" w:cstheme="minorHAnsi"/>
                <w:bCs/>
                <w:sz w:val="20"/>
                <w:szCs w:val="20"/>
                <w:lang w:eastAsia="en-GB"/>
              </w:rPr>
            </w:pPr>
            <w:r w:rsidRPr="00DE6208">
              <w:rPr>
                <w:rFonts w:eastAsiaTheme="minorHAnsi" w:cs="Calibri"/>
                <w:b/>
                <w:bCs/>
                <w:sz w:val="18"/>
                <w:szCs w:val="18"/>
              </w:rPr>
              <w:t>(C)</w:t>
            </w:r>
          </w:p>
        </w:tc>
        <w:tc>
          <w:tcPr>
            <w:tcW w:w="1276" w:type="dxa"/>
            <w:tcBorders>
              <w:top w:val="nil"/>
            </w:tcBorders>
            <w:shd w:val="clear" w:color="auto" w:fill="D6E3BC" w:themeFill="accent3" w:themeFillTint="66"/>
          </w:tcPr>
          <w:p w14:paraId="70239797" w14:textId="2CFF8DAF" w:rsidR="00E921A2" w:rsidRPr="00DE6208" w:rsidRDefault="00C94D44" w:rsidP="00EF666E">
            <w:pPr>
              <w:ind w:left="0" w:firstLine="0"/>
              <w:jc w:val="center"/>
              <w:rPr>
                <w:rFonts w:eastAsiaTheme="minorHAnsi" w:cs="Calibri"/>
                <w:b/>
                <w:bCs/>
                <w:sz w:val="18"/>
                <w:szCs w:val="18"/>
              </w:rPr>
            </w:pPr>
            <w:r>
              <w:rPr>
                <w:rFonts w:eastAsiaTheme="minorHAnsi" w:cs="Calibri"/>
                <w:b/>
                <w:bCs/>
                <w:sz w:val="18"/>
                <w:szCs w:val="18"/>
              </w:rPr>
              <w:t>(D)</w:t>
            </w:r>
          </w:p>
        </w:tc>
        <w:tc>
          <w:tcPr>
            <w:tcW w:w="1276" w:type="dxa"/>
            <w:tcBorders>
              <w:top w:val="nil"/>
            </w:tcBorders>
            <w:shd w:val="clear" w:color="auto" w:fill="D6E3BC" w:themeFill="accent3" w:themeFillTint="66"/>
          </w:tcPr>
          <w:p w14:paraId="44703466" w14:textId="464B9206" w:rsidR="00E921A2" w:rsidRPr="00DE6208" w:rsidRDefault="00E921A2" w:rsidP="00C94D44">
            <w:pPr>
              <w:ind w:left="0" w:firstLine="0"/>
              <w:jc w:val="center"/>
              <w:rPr>
                <w:rFonts w:asciiTheme="minorHAnsi" w:eastAsia="Times New Roman" w:hAnsiTheme="minorHAnsi" w:cstheme="minorHAnsi"/>
                <w:bCs/>
                <w:sz w:val="20"/>
                <w:szCs w:val="20"/>
                <w:lang w:eastAsia="en-GB"/>
              </w:rPr>
            </w:pPr>
            <w:r w:rsidRPr="00DE6208">
              <w:rPr>
                <w:rFonts w:eastAsiaTheme="minorHAnsi" w:cs="Calibri"/>
                <w:b/>
                <w:bCs/>
                <w:sz w:val="18"/>
                <w:szCs w:val="18"/>
              </w:rPr>
              <w:t>(</w:t>
            </w:r>
            <w:r w:rsidR="00C94D44">
              <w:rPr>
                <w:rFonts w:eastAsiaTheme="minorHAnsi" w:cs="Calibri"/>
                <w:b/>
                <w:bCs/>
                <w:sz w:val="18"/>
                <w:szCs w:val="18"/>
              </w:rPr>
              <w:t>E</w:t>
            </w:r>
            <w:r w:rsidRPr="00DE6208">
              <w:rPr>
                <w:rFonts w:eastAsiaTheme="minorHAnsi" w:cs="Calibri"/>
                <w:b/>
                <w:bCs/>
                <w:sz w:val="18"/>
                <w:szCs w:val="18"/>
              </w:rPr>
              <w:t>)=(A)+(B)+(C)</w:t>
            </w:r>
            <w:r w:rsidR="00C94D44">
              <w:rPr>
                <w:rFonts w:eastAsiaTheme="minorHAnsi" w:cs="Calibri"/>
                <w:b/>
                <w:bCs/>
                <w:sz w:val="18"/>
                <w:szCs w:val="18"/>
              </w:rPr>
              <w:t>+(D)</w:t>
            </w:r>
            <w:r w:rsidRPr="00DE6208">
              <w:rPr>
                <w:rFonts w:eastAsiaTheme="minorHAnsi" w:cs="Calibri"/>
                <w:b/>
                <w:bCs/>
                <w:sz w:val="18"/>
                <w:szCs w:val="18"/>
              </w:rPr>
              <w:t xml:space="preserve"> </w:t>
            </w:r>
          </w:p>
        </w:tc>
      </w:tr>
      <w:tr w:rsidR="00E921A2" w:rsidRPr="00DE6208" w14:paraId="3C500738" w14:textId="77777777" w:rsidTr="00E921A2">
        <w:trPr>
          <w:cantSplit/>
          <w:trHeight w:val="319"/>
        </w:trPr>
        <w:tc>
          <w:tcPr>
            <w:tcW w:w="2689" w:type="dxa"/>
            <w:noWrap/>
            <w:vAlign w:val="bottom"/>
          </w:tcPr>
          <w:p w14:paraId="7EF35C3E"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r w:rsidRPr="00DE6208">
              <w:rPr>
                <w:rFonts w:asciiTheme="minorHAnsi" w:eastAsiaTheme="minorHAnsi" w:hAnsiTheme="minorHAnsi" w:cstheme="minorHAnsi"/>
                <w:b/>
                <w:bCs/>
                <w:sz w:val="20"/>
                <w:szCs w:val="20"/>
              </w:rPr>
              <w:t>INCOME</w:t>
            </w:r>
          </w:p>
        </w:tc>
        <w:tc>
          <w:tcPr>
            <w:tcW w:w="1134" w:type="dxa"/>
            <w:noWrap/>
          </w:tcPr>
          <w:p w14:paraId="5926A14C"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5" w:type="dxa"/>
            <w:noWrap/>
          </w:tcPr>
          <w:p w14:paraId="3A06B44E"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6" w:type="dxa"/>
            <w:noWrap/>
          </w:tcPr>
          <w:p w14:paraId="2E3FEA0E"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6" w:type="dxa"/>
          </w:tcPr>
          <w:p w14:paraId="3964DF07"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6" w:type="dxa"/>
            <w:noWrap/>
          </w:tcPr>
          <w:p w14:paraId="6502ED21" w14:textId="207B6881" w:rsidR="00E921A2" w:rsidRPr="00DE6208" w:rsidRDefault="00E921A2" w:rsidP="00EF666E">
            <w:pPr>
              <w:ind w:left="0" w:firstLine="0"/>
              <w:rPr>
                <w:rFonts w:asciiTheme="minorHAnsi" w:eastAsia="Times New Roman" w:hAnsiTheme="minorHAnsi" w:cstheme="minorHAnsi"/>
                <w:b/>
                <w:bCs/>
                <w:sz w:val="20"/>
                <w:szCs w:val="20"/>
                <w:lang w:eastAsia="en-GB"/>
              </w:rPr>
            </w:pPr>
          </w:p>
        </w:tc>
      </w:tr>
      <w:tr w:rsidR="00E921A2" w:rsidRPr="00DE6208" w14:paraId="79E527D7" w14:textId="77777777" w:rsidTr="00E921A2">
        <w:trPr>
          <w:cantSplit/>
        </w:trPr>
        <w:tc>
          <w:tcPr>
            <w:tcW w:w="2689" w:type="dxa"/>
            <w:noWrap/>
          </w:tcPr>
          <w:p w14:paraId="6531CF53"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Parties’ Contributions</w:t>
            </w:r>
          </w:p>
        </w:tc>
        <w:tc>
          <w:tcPr>
            <w:tcW w:w="1134" w:type="dxa"/>
            <w:noWrap/>
          </w:tcPr>
          <w:p w14:paraId="42EB972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3,779</w:t>
            </w:r>
          </w:p>
        </w:tc>
        <w:tc>
          <w:tcPr>
            <w:tcW w:w="1275" w:type="dxa"/>
            <w:noWrap/>
          </w:tcPr>
          <w:p w14:paraId="631220C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4981922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659E6EC0"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AD07355" w14:textId="6DCCD1ED"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3,779</w:t>
            </w:r>
          </w:p>
        </w:tc>
      </w:tr>
      <w:tr w:rsidR="00E921A2" w:rsidRPr="00DE6208" w14:paraId="174FD788" w14:textId="77777777" w:rsidTr="00E921A2">
        <w:trPr>
          <w:cantSplit/>
        </w:trPr>
        <w:tc>
          <w:tcPr>
            <w:tcW w:w="2689" w:type="dxa"/>
            <w:noWrap/>
          </w:tcPr>
          <w:p w14:paraId="67366A80"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Voluntary contributions</w:t>
            </w:r>
          </w:p>
        </w:tc>
        <w:tc>
          <w:tcPr>
            <w:tcW w:w="1134" w:type="dxa"/>
            <w:noWrap/>
          </w:tcPr>
          <w:p w14:paraId="2DA0930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1,065</w:t>
            </w:r>
          </w:p>
        </w:tc>
        <w:tc>
          <w:tcPr>
            <w:tcW w:w="1275" w:type="dxa"/>
            <w:noWrap/>
          </w:tcPr>
          <w:p w14:paraId="04356E4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10D4618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7CFD2AEA"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3EAD3ED2" w14:textId="0A0BAD1F"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1,065</w:t>
            </w:r>
          </w:p>
        </w:tc>
      </w:tr>
      <w:tr w:rsidR="00E921A2" w:rsidRPr="00DE6208" w14:paraId="12054270" w14:textId="77777777" w:rsidTr="00E921A2">
        <w:trPr>
          <w:cantSplit/>
        </w:trPr>
        <w:tc>
          <w:tcPr>
            <w:tcW w:w="2689" w:type="dxa"/>
            <w:noWrap/>
          </w:tcPr>
          <w:p w14:paraId="6D0C3CB1"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Income Tax</w:t>
            </w:r>
          </w:p>
        </w:tc>
        <w:tc>
          <w:tcPr>
            <w:tcW w:w="1134" w:type="dxa"/>
            <w:noWrap/>
          </w:tcPr>
          <w:p w14:paraId="09814CA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225</w:t>
            </w:r>
          </w:p>
        </w:tc>
        <w:tc>
          <w:tcPr>
            <w:tcW w:w="1275" w:type="dxa"/>
            <w:noWrap/>
          </w:tcPr>
          <w:p w14:paraId="4066BAB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40152D8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00547F4C"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7819A33" w14:textId="17645D1A"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225</w:t>
            </w:r>
          </w:p>
        </w:tc>
      </w:tr>
      <w:tr w:rsidR="00E921A2" w:rsidRPr="00DE6208" w14:paraId="69CD42BE" w14:textId="77777777" w:rsidTr="00E921A2">
        <w:trPr>
          <w:cantSplit/>
        </w:trPr>
        <w:tc>
          <w:tcPr>
            <w:tcW w:w="2689" w:type="dxa"/>
            <w:noWrap/>
          </w:tcPr>
          <w:p w14:paraId="6ED28718"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Income Interest</w:t>
            </w:r>
          </w:p>
        </w:tc>
        <w:tc>
          <w:tcPr>
            <w:tcW w:w="1134" w:type="dxa"/>
            <w:noWrap/>
          </w:tcPr>
          <w:p w14:paraId="1D959DB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12</w:t>
            </w:r>
          </w:p>
        </w:tc>
        <w:tc>
          <w:tcPr>
            <w:tcW w:w="1275" w:type="dxa"/>
            <w:noWrap/>
          </w:tcPr>
          <w:p w14:paraId="0FCFD12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3297283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6B46D04F"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6BEFCE61" w14:textId="44A439B6"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12</w:t>
            </w:r>
          </w:p>
        </w:tc>
      </w:tr>
      <w:tr w:rsidR="00E921A2" w:rsidRPr="00DE6208" w14:paraId="1A87ABB6" w14:textId="77777777" w:rsidTr="00E921A2">
        <w:trPr>
          <w:cantSplit/>
        </w:trPr>
        <w:tc>
          <w:tcPr>
            <w:tcW w:w="2689" w:type="dxa"/>
            <w:shd w:val="clear" w:color="auto" w:fill="D6E3BC" w:themeFill="accent3" w:themeFillTint="66"/>
            <w:noWrap/>
          </w:tcPr>
          <w:p w14:paraId="02865542"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r w:rsidRPr="00DE6208">
              <w:rPr>
                <w:rFonts w:asciiTheme="minorHAnsi" w:eastAsiaTheme="minorHAnsi" w:hAnsiTheme="minorHAnsi" w:cstheme="minorHAnsi"/>
                <w:b/>
                <w:bCs/>
                <w:sz w:val="20"/>
                <w:szCs w:val="20"/>
              </w:rPr>
              <w:t>TOTAL INCOME</w:t>
            </w:r>
          </w:p>
        </w:tc>
        <w:tc>
          <w:tcPr>
            <w:tcW w:w="1134" w:type="dxa"/>
            <w:shd w:val="clear" w:color="auto" w:fill="D6E3BC" w:themeFill="accent3" w:themeFillTint="66"/>
            <w:noWrap/>
          </w:tcPr>
          <w:p w14:paraId="76817D78" w14:textId="77777777" w:rsidR="00E921A2" w:rsidRPr="00DE6208" w:rsidRDefault="00E921A2" w:rsidP="00EF666E">
            <w:pPr>
              <w:ind w:left="0" w:firstLine="0"/>
              <w:jc w:val="right"/>
              <w:rPr>
                <w:rFonts w:asciiTheme="minorHAnsi" w:eastAsia="Times New Roman" w:hAnsiTheme="minorHAnsi" w:cstheme="minorHAnsi"/>
                <w:b/>
                <w:bCs/>
                <w:sz w:val="20"/>
                <w:szCs w:val="20"/>
                <w:lang w:eastAsia="en-GB"/>
              </w:rPr>
            </w:pPr>
            <w:r w:rsidRPr="00DE6208">
              <w:rPr>
                <w:rFonts w:asciiTheme="minorHAnsi" w:eastAsiaTheme="minorHAnsi" w:hAnsiTheme="minorHAnsi" w:cstheme="minorHAnsi"/>
                <w:b/>
                <w:bCs/>
                <w:sz w:val="20"/>
                <w:szCs w:val="20"/>
              </w:rPr>
              <w:t>5,081</w:t>
            </w:r>
          </w:p>
        </w:tc>
        <w:tc>
          <w:tcPr>
            <w:tcW w:w="1275" w:type="dxa"/>
            <w:shd w:val="clear" w:color="auto" w:fill="D6E3BC" w:themeFill="accent3" w:themeFillTint="66"/>
            <w:noWrap/>
          </w:tcPr>
          <w:p w14:paraId="60B76326" w14:textId="77777777" w:rsidR="00E921A2" w:rsidRPr="00DE6208" w:rsidRDefault="00E921A2" w:rsidP="00EF666E">
            <w:pPr>
              <w:ind w:left="0" w:firstLine="0"/>
              <w:jc w:val="right"/>
              <w:rPr>
                <w:rFonts w:asciiTheme="minorHAnsi" w:eastAsia="Times New Roman" w:hAnsiTheme="minorHAnsi" w:cstheme="minorHAnsi"/>
                <w:b/>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D6E3BC" w:themeFill="accent3" w:themeFillTint="66"/>
            <w:noWrap/>
          </w:tcPr>
          <w:p w14:paraId="766391A0" w14:textId="77777777" w:rsidR="00E921A2" w:rsidRPr="00DE6208" w:rsidRDefault="00E921A2" w:rsidP="00EF666E">
            <w:pPr>
              <w:ind w:left="0" w:firstLine="0"/>
              <w:jc w:val="right"/>
              <w:rPr>
                <w:rFonts w:asciiTheme="minorHAnsi" w:eastAsia="Times New Roman" w:hAnsiTheme="minorHAnsi" w:cstheme="minorHAnsi"/>
                <w:b/>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D6E3BC" w:themeFill="accent3" w:themeFillTint="66"/>
          </w:tcPr>
          <w:p w14:paraId="548FE42F" w14:textId="5C510F4B"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D6E3BC" w:themeFill="accent3" w:themeFillTint="66"/>
            <w:noWrap/>
          </w:tcPr>
          <w:p w14:paraId="64D6ABBF" w14:textId="16B26315" w:rsidR="00E921A2" w:rsidRPr="00DE6208" w:rsidRDefault="00E921A2" w:rsidP="00EF666E">
            <w:pPr>
              <w:ind w:left="0" w:firstLine="0"/>
              <w:jc w:val="right"/>
              <w:rPr>
                <w:rFonts w:asciiTheme="minorHAnsi" w:eastAsia="Times New Roman" w:hAnsiTheme="minorHAnsi" w:cstheme="minorHAnsi"/>
                <w:b/>
                <w:bCs/>
                <w:sz w:val="20"/>
                <w:szCs w:val="20"/>
                <w:lang w:eastAsia="en-GB"/>
              </w:rPr>
            </w:pPr>
            <w:r w:rsidRPr="00DE6208">
              <w:rPr>
                <w:rFonts w:asciiTheme="minorHAnsi" w:eastAsiaTheme="minorHAnsi" w:hAnsiTheme="minorHAnsi" w:cstheme="minorHAnsi"/>
                <w:b/>
                <w:bCs/>
                <w:sz w:val="20"/>
                <w:szCs w:val="20"/>
              </w:rPr>
              <w:t>5,081</w:t>
            </w:r>
          </w:p>
        </w:tc>
      </w:tr>
      <w:tr w:rsidR="00E921A2" w:rsidRPr="00DE6208" w14:paraId="3DF52E12" w14:textId="77777777" w:rsidTr="00E921A2">
        <w:trPr>
          <w:cantSplit/>
          <w:trHeight w:val="360"/>
        </w:trPr>
        <w:tc>
          <w:tcPr>
            <w:tcW w:w="2689" w:type="dxa"/>
            <w:noWrap/>
            <w:vAlign w:val="bottom"/>
          </w:tcPr>
          <w:p w14:paraId="61D3191E"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r w:rsidRPr="00DE6208">
              <w:rPr>
                <w:rFonts w:asciiTheme="minorHAnsi" w:eastAsiaTheme="minorHAnsi" w:hAnsiTheme="minorHAnsi" w:cstheme="minorHAnsi"/>
                <w:b/>
                <w:bCs/>
                <w:sz w:val="20"/>
                <w:szCs w:val="20"/>
              </w:rPr>
              <w:t>EXPENDITURES</w:t>
            </w:r>
          </w:p>
        </w:tc>
        <w:tc>
          <w:tcPr>
            <w:tcW w:w="1134" w:type="dxa"/>
            <w:noWrap/>
          </w:tcPr>
          <w:p w14:paraId="7A776FFB"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5" w:type="dxa"/>
            <w:noWrap/>
          </w:tcPr>
          <w:p w14:paraId="530FF974"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6" w:type="dxa"/>
            <w:noWrap/>
          </w:tcPr>
          <w:p w14:paraId="26E1A7FD"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6" w:type="dxa"/>
          </w:tcPr>
          <w:p w14:paraId="243EBBC6" w14:textId="77777777" w:rsidR="00E921A2" w:rsidRPr="00DE6208" w:rsidRDefault="00E921A2" w:rsidP="00EF666E">
            <w:pPr>
              <w:ind w:left="0" w:firstLine="0"/>
              <w:rPr>
                <w:rFonts w:asciiTheme="minorHAnsi" w:eastAsia="Times New Roman" w:hAnsiTheme="minorHAnsi" w:cstheme="minorHAnsi"/>
                <w:b/>
                <w:bCs/>
                <w:sz w:val="20"/>
                <w:szCs w:val="20"/>
                <w:lang w:eastAsia="en-GB"/>
              </w:rPr>
            </w:pPr>
          </w:p>
        </w:tc>
        <w:tc>
          <w:tcPr>
            <w:tcW w:w="1276" w:type="dxa"/>
            <w:noWrap/>
          </w:tcPr>
          <w:p w14:paraId="39F66E60" w14:textId="2F31CAD3" w:rsidR="00E921A2" w:rsidRPr="00DE6208" w:rsidRDefault="00E921A2" w:rsidP="00EF666E">
            <w:pPr>
              <w:ind w:left="0" w:firstLine="0"/>
              <w:rPr>
                <w:rFonts w:asciiTheme="minorHAnsi" w:eastAsia="Times New Roman" w:hAnsiTheme="minorHAnsi" w:cstheme="minorHAnsi"/>
                <w:b/>
                <w:bCs/>
                <w:sz w:val="20"/>
                <w:szCs w:val="20"/>
                <w:lang w:eastAsia="en-GB"/>
              </w:rPr>
            </w:pPr>
          </w:p>
        </w:tc>
      </w:tr>
      <w:tr w:rsidR="00E921A2" w:rsidRPr="00DE6208" w14:paraId="0E771EFA" w14:textId="77777777" w:rsidTr="00E921A2">
        <w:trPr>
          <w:cantSplit/>
        </w:trPr>
        <w:tc>
          <w:tcPr>
            <w:tcW w:w="2689" w:type="dxa"/>
            <w:shd w:val="clear" w:color="auto" w:fill="EAF1DD" w:themeFill="accent3" w:themeFillTint="33"/>
            <w:noWrap/>
          </w:tcPr>
          <w:p w14:paraId="01F5302D"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A.  Secretariat Senior Management</w:t>
            </w:r>
          </w:p>
        </w:tc>
        <w:tc>
          <w:tcPr>
            <w:tcW w:w="1134" w:type="dxa"/>
            <w:shd w:val="clear" w:color="auto" w:fill="EAF1DD" w:themeFill="accent3" w:themeFillTint="33"/>
            <w:noWrap/>
          </w:tcPr>
          <w:p w14:paraId="3645D45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1,009</w:t>
            </w:r>
          </w:p>
        </w:tc>
        <w:tc>
          <w:tcPr>
            <w:tcW w:w="1275" w:type="dxa"/>
            <w:shd w:val="clear" w:color="auto" w:fill="EAF1DD" w:themeFill="accent3" w:themeFillTint="33"/>
            <w:noWrap/>
          </w:tcPr>
          <w:p w14:paraId="2FEFC49B"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15</w:t>
            </w:r>
          </w:p>
        </w:tc>
        <w:tc>
          <w:tcPr>
            <w:tcW w:w="1276" w:type="dxa"/>
            <w:shd w:val="clear" w:color="auto" w:fill="EAF1DD" w:themeFill="accent3" w:themeFillTint="33"/>
            <w:noWrap/>
          </w:tcPr>
          <w:p w14:paraId="1C56453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EAF1DD" w:themeFill="accent3" w:themeFillTint="33"/>
          </w:tcPr>
          <w:p w14:paraId="0FB988A3" w14:textId="434DA5AC"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34AA9085" w14:textId="15B65A79"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1,024</w:t>
            </w:r>
          </w:p>
        </w:tc>
      </w:tr>
      <w:tr w:rsidR="00E921A2" w:rsidRPr="00DE6208" w14:paraId="063D3236" w14:textId="77777777" w:rsidTr="00E921A2">
        <w:trPr>
          <w:cantSplit/>
        </w:trPr>
        <w:tc>
          <w:tcPr>
            <w:tcW w:w="2689" w:type="dxa"/>
            <w:noWrap/>
          </w:tcPr>
          <w:p w14:paraId="0AEC1C70"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Salaries and social costs</w:t>
            </w:r>
          </w:p>
        </w:tc>
        <w:tc>
          <w:tcPr>
            <w:tcW w:w="1134" w:type="dxa"/>
            <w:noWrap/>
          </w:tcPr>
          <w:p w14:paraId="1F0BB05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918</w:t>
            </w:r>
          </w:p>
        </w:tc>
        <w:tc>
          <w:tcPr>
            <w:tcW w:w="1275" w:type="dxa"/>
            <w:noWrap/>
          </w:tcPr>
          <w:p w14:paraId="1E7876D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0E73ADF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42B47447"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6E47A87" w14:textId="5BBB7CED"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918</w:t>
            </w:r>
          </w:p>
        </w:tc>
      </w:tr>
      <w:tr w:rsidR="00E921A2" w:rsidRPr="00DE6208" w14:paraId="3F70A823" w14:textId="77777777" w:rsidTr="00E921A2">
        <w:trPr>
          <w:cantSplit/>
        </w:trPr>
        <w:tc>
          <w:tcPr>
            <w:tcW w:w="2689" w:type="dxa"/>
            <w:noWrap/>
          </w:tcPr>
          <w:p w14:paraId="74BBF8B0"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Other employment benefits</w:t>
            </w:r>
          </w:p>
        </w:tc>
        <w:tc>
          <w:tcPr>
            <w:tcW w:w="1134" w:type="dxa"/>
            <w:noWrap/>
          </w:tcPr>
          <w:p w14:paraId="6A40652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51</w:t>
            </w:r>
          </w:p>
        </w:tc>
        <w:tc>
          <w:tcPr>
            <w:tcW w:w="1275" w:type="dxa"/>
            <w:noWrap/>
          </w:tcPr>
          <w:p w14:paraId="43768F9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36708E8B"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13B6FF3A"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171944CA" w14:textId="1FDD9C04"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51</w:t>
            </w:r>
          </w:p>
        </w:tc>
      </w:tr>
      <w:tr w:rsidR="00E921A2" w:rsidRPr="00DE6208" w14:paraId="2CBDC9E4" w14:textId="77777777" w:rsidTr="00E921A2">
        <w:trPr>
          <w:cantSplit/>
        </w:trPr>
        <w:tc>
          <w:tcPr>
            <w:tcW w:w="2689" w:type="dxa"/>
            <w:noWrap/>
          </w:tcPr>
          <w:p w14:paraId="5FEF2DBD"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Travel</w:t>
            </w:r>
          </w:p>
        </w:tc>
        <w:tc>
          <w:tcPr>
            <w:tcW w:w="1134" w:type="dxa"/>
            <w:noWrap/>
          </w:tcPr>
          <w:p w14:paraId="75BAA27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40</w:t>
            </w:r>
          </w:p>
        </w:tc>
        <w:tc>
          <w:tcPr>
            <w:tcW w:w="1275" w:type="dxa"/>
            <w:noWrap/>
          </w:tcPr>
          <w:p w14:paraId="13F8BF2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15</w:t>
            </w:r>
          </w:p>
        </w:tc>
        <w:tc>
          <w:tcPr>
            <w:tcW w:w="1276" w:type="dxa"/>
            <w:noWrap/>
          </w:tcPr>
          <w:p w14:paraId="48C8F22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74F2748E"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5FFDF571" w14:textId="6E6A0944"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55</w:t>
            </w:r>
          </w:p>
        </w:tc>
      </w:tr>
      <w:tr w:rsidR="00E921A2" w:rsidRPr="00DE6208" w14:paraId="51D8FF83" w14:textId="77777777" w:rsidTr="00E921A2">
        <w:trPr>
          <w:cantSplit/>
        </w:trPr>
        <w:tc>
          <w:tcPr>
            <w:tcW w:w="2689" w:type="dxa"/>
            <w:shd w:val="clear" w:color="auto" w:fill="EAF1DD" w:themeFill="accent3" w:themeFillTint="33"/>
            <w:noWrap/>
          </w:tcPr>
          <w:p w14:paraId="07F70181"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B.  Resource Mobilization and Outreach</w:t>
            </w:r>
          </w:p>
        </w:tc>
        <w:tc>
          <w:tcPr>
            <w:tcW w:w="1134" w:type="dxa"/>
            <w:shd w:val="clear" w:color="auto" w:fill="EAF1DD" w:themeFill="accent3" w:themeFillTint="33"/>
            <w:noWrap/>
          </w:tcPr>
          <w:p w14:paraId="2A0164E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638</w:t>
            </w:r>
          </w:p>
        </w:tc>
        <w:tc>
          <w:tcPr>
            <w:tcW w:w="1275" w:type="dxa"/>
            <w:shd w:val="clear" w:color="auto" w:fill="EAF1DD" w:themeFill="accent3" w:themeFillTint="33"/>
            <w:noWrap/>
          </w:tcPr>
          <w:p w14:paraId="12884D0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135</w:t>
            </w:r>
          </w:p>
        </w:tc>
        <w:tc>
          <w:tcPr>
            <w:tcW w:w="1276" w:type="dxa"/>
            <w:shd w:val="clear" w:color="auto" w:fill="EAF1DD" w:themeFill="accent3" w:themeFillTint="33"/>
            <w:noWrap/>
          </w:tcPr>
          <w:p w14:paraId="1200DDD7"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EAF1DD" w:themeFill="accent3" w:themeFillTint="33"/>
          </w:tcPr>
          <w:p w14:paraId="6866D5F1" w14:textId="36E1364C"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464B4D15" w14:textId="146E595C"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773</w:t>
            </w:r>
          </w:p>
        </w:tc>
      </w:tr>
      <w:tr w:rsidR="00E921A2" w:rsidRPr="00DE6208" w14:paraId="5DEDB2A9" w14:textId="77777777" w:rsidTr="00E921A2">
        <w:trPr>
          <w:cantSplit/>
        </w:trPr>
        <w:tc>
          <w:tcPr>
            <w:tcW w:w="2689" w:type="dxa"/>
            <w:noWrap/>
          </w:tcPr>
          <w:p w14:paraId="0CCF191D"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Salaries and social costs</w:t>
            </w:r>
          </w:p>
        </w:tc>
        <w:tc>
          <w:tcPr>
            <w:tcW w:w="1134" w:type="dxa"/>
            <w:noWrap/>
          </w:tcPr>
          <w:p w14:paraId="00031CD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450</w:t>
            </w:r>
          </w:p>
        </w:tc>
        <w:tc>
          <w:tcPr>
            <w:tcW w:w="1275" w:type="dxa"/>
            <w:noWrap/>
          </w:tcPr>
          <w:p w14:paraId="1275490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387E855B"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12FA7E8F"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68CEBB20" w14:textId="4C2A6F3E"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450</w:t>
            </w:r>
          </w:p>
        </w:tc>
      </w:tr>
      <w:tr w:rsidR="00E921A2" w:rsidRPr="00DE6208" w14:paraId="5698926B" w14:textId="77777777" w:rsidTr="00E921A2">
        <w:trPr>
          <w:cantSplit/>
        </w:trPr>
        <w:tc>
          <w:tcPr>
            <w:tcW w:w="2689" w:type="dxa"/>
            <w:noWrap/>
          </w:tcPr>
          <w:p w14:paraId="02EBD6CA"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Other employment benefits</w:t>
            </w:r>
          </w:p>
        </w:tc>
        <w:tc>
          <w:tcPr>
            <w:tcW w:w="1134" w:type="dxa"/>
            <w:noWrap/>
          </w:tcPr>
          <w:p w14:paraId="2C9BAB3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w:t>
            </w:r>
          </w:p>
        </w:tc>
        <w:tc>
          <w:tcPr>
            <w:tcW w:w="1275" w:type="dxa"/>
            <w:noWrap/>
          </w:tcPr>
          <w:p w14:paraId="6B055BA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4799858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6066A365"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67A596D7" w14:textId="2ED5F00B"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w:t>
            </w:r>
          </w:p>
        </w:tc>
      </w:tr>
      <w:tr w:rsidR="00E921A2" w:rsidRPr="00DE6208" w14:paraId="14147BFA" w14:textId="77777777" w:rsidTr="00E921A2">
        <w:trPr>
          <w:cantSplit/>
        </w:trPr>
        <w:tc>
          <w:tcPr>
            <w:tcW w:w="2689" w:type="dxa"/>
            <w:noWrap/>
          </w:tcPr>
          <w:p w14:paraId="3635E452"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CEPA Program</w:t>
            </w:r>
          </w:p>
        </w:tc>
        <w:tc>
          <w:tcPr>
            <w:tcW w:w="1134" w:type="dxa"/>
            <w:noWrap/>
          </w:tcPr>
          <w:p w14:paraId="4C84E24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30</w:t>
            </w:r>
          </w:p>
        </w:tc>
        <w:tc>
          <w:tcPr>
            <w:tcW w:w="1275" w:type="dxa"/>
            <w:noWrap/>
          </w:tcPr>
          <w:p w14:paraId="20E9720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36C7F47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3346F00C"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2FF98FF5" w14:textId="5C974BE1"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30</w:t>
            </w:r>
          </w:p>
        </w:tc>
      </w:tr>
      <w:tr w:rsidR="00E921A2" w:rsidRPr="00DE6208" w14:paraId="70A8981E" w14:textId="77777777" w:rsidTr="00E921A2">
        <w:trPr>
          <w:cantSplit/>
        </w:trPr>
        <w:tc>
          <w:tcPr>
            <w:tcW w:w="2689" w:type="dxa"/>
          </w:tcPr>
          <w:p w14:paraId="70E4F4B8"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Comms, Translations, Publications and Reporting Implementation</w:t>
            </w:r>
          </w:p>
        </w:tc>
        <w:tc>
          <w:tcPr>
            <w:tcW w:w="1134" w:type="dxa"/>
            <w:noWrap/>
          </w:tcPr>
          <w:p w14:paraId="1A8D1AF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60</w:t>
            </w:r>
          </w:p>
        </w:tc>
        <w:tc>
          <w:tcPr>
            <w:tcW w:w="1275" w:type="dxa"/>
            <w:noWrap/>
          </w:tcPr>
          <w:p w14:paraId="324FA98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120</w:t>
            </w:r>
          </w:p>
        </w:tc>
        <w:tc>
          <w:tcPr>
            <w:tcW w:w="1276" w:type="dxa"/>
            <w:noWrap/>
          </w:tcPr>
          <w:p w14:paraId="3527844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4E5D4F28"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480B32CC" w14:textId="4373D91F"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180</w:t>
            </w:r>
          </w:p>
        </w:tc>
      </w:tr>
      <w:tr w:rsidR="00E921A2" w:rsidRPr="00DE6208" w14:paraId="2958B8D3" w14:textId="77777777" w:rsidTr="00E921A2">
        <w:trPr>
          <w:cantSplit/>
        </w:trPr>
        <w:tc>
          <w:tcPr>
            <w:tcW w:w="2689" w:type="dxa"/>
            <w:noWrap/>
          </w:tcPr>
          <w:p w14:paraId="0EE0B934"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Web/IT support and Development</w:t>
            </w:r>
          </w:p>
        </w:tc>
        <w:tc>
          <w:tcPr>
            <w:tcW w:w="1134" w:type="dxa"/>
            <w:noWrap/>
          </w:tcPr>
          <w:p w14:paraId="5E2DAE9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84</w:t>
            </w:r>
          </w:p>
        </w:tc>
        <w:tc>
          <w:tcPr>
            <w:tcW w:w="1275" w:type="dxa"/>
            <w:noWrap/>
          </w:tcPr>
          <w:p w14:paraId="198EF71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1CAA4EA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17717A82"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4C991F75" w14:textId="6CB283A6"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84</w:t>
            </w:r>
          </w:p>
        </w:tc>
      </w:tr>
      <w:tr w:rsidR="00E921A2" w:rsidRPr="00DE6208" w14:paraId="439DD600" w14:textId="77777777" w:rsidTr="00E921A2">
        <w:trPr>
          <w:cantSplit/>
        </w:trPr>
        <w:tc>
          <w:tcPr>
            <w:tcW w:w="2689" w:type="dxa"/>
            <w:noWrap/>
          </w:tcPr>
          <w:p w14:paraId="4BB75104"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Travel</w:t>
            </w:r>
          </w:p>
        </w:tc>
        <w:tc>
          <w:tcPr>
            <w:tcW w:w="1134" w:type="dxa"/>
            <w:noWrap/>
          </w:tcPr>
          <w:p w14:paraId="52ABE28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w:t>
            </w:r>
          </w:p>
        </w:tc>
        <w:tc>
          <w:tcPr>
            <w:tcW w:w="1275" w:type="dxa"/>
            <w:noWrap/>
          </w:tcPr>
          <w:p w14:paraId="271EAB0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15</w:t>
            </w:r>
          </w:p>
        </w:tc>
        <w:tc>
          <w:tcPr>
            <w:tcW w:w="1276" w:type="dxa"/>
            <w:noWrap/>
          </w:tcPr>
          <w:p w14:paraId="5E946F7B"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7227C770"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7F859B25" w14:textId="777582CC"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25</w:t>
            </w:r>
          </w:p>
        </w:tc>
      </w:tr>
      <w:tr w:rsidR="00E921A2" w:rsidRPr="00DE6208" w14:paraId="14FC2BB1" w14:textId="77777777" w:rsidTr="00E921A2">
        <w:trPr>
          <w:cantSplit/>
        </w:trPr>
        <w:tc>
          <w:tcPr>
            <w:tcW w:w="2689" w:type="dxa"/>
            <w:shd w:val="clear" w:color="auto" w:fill="EAF1DD" w:themeFill="accent3" w:themeFillTint="33"/>
            <w:noWrap/>
          </w:tcPr>
          <w:p w14:paraId="192785B6"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C.  Regional Advice and Support</w:t>
            </w:r>
          </w:p>
        </w:tc>
        <w:tc>
          <w:tcPr>
            <w:tcW w:w="1134" w:type="dxa"/>
            <w:shd w:val="clear" w:color="auto" w:fill="EAF1DD" w:themeFill="accent3" w:themeFillTint="33"/>
            <w:noWrap/>
          </w:tcPr>
          <w:p w14:paraId="1C41441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1,325</w:t>
            </w:r>
          </w:p>
        </w:tc>
        <w:tc>
          <w:tcPr>
            <w:tcW w:w="1275" w:type="dxa"/>
            <w:shd w:val="clear" w:color="auto" w:fill="EAF1DD" w:themeFill="accent3" w:themeFillTint="33"/>
            <w:noWrap/>
          </w:tcPr>
          <w:p w14:paraId="0EDD662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30</w:t>
            </w:r>
          </w:p>
        </w:tc>
        <w:tc>
          <w:tcPr>
            <w:tcW w:w="1276" w:type="dxa"/>
            <w:shd w:val="clear" w:color="auto" w:fill="EAF1DD" w:themeFill="accent3" w:themeFillTint="33"/>
            <w:noWrap/>
          </w:tcPr>
          <w:p w14:paraId="5EA459B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66</w:t>
            </w:r>
          </w:p>
        </w:tc>
        <w:tc>
          <w:tcPr>
            <w:tcW w:w="1276" w:type="dxa"/>
            <w:shd w:val="clear" w:color="auto" w:fill="EAF1DD" w:themeFill="accent3" w:themeFillTint="33"/>
          </w:tcPr>
          <w:p w14:paraId="58BFE49C" w14:textId="493FD876"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62132EED" w14:textId="7B1B1349"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1,421</w:t>
            </w:r>
          </w:p>
        </w:tc>
      </w:tr>
      <w:tr w:rsidR="00E921A2" w:rsidRPr="00DE6208" w14:paraId="0D05EBA6" w14:textId="77777777" w:rsidTr="00E921A2">
        <w:trPr>
          <w:cantSplit/>
        </w:trPr>
        <w:tc>
          <w:tcPr>
            <w:tcW w:w="2689" w:type="dxa"/>
            <w:noWrap/>
          </w:tcPr>
          <w:p w14:paraId="2924E6DD"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Salaries and social costs</w:t>
            </w:r>
          </w:p>
        </w:tc>
        <w:tc>
          <w:tcPr>
            <w:tcW w:w="1134" w:type="dxa"/>
            <w:noWrap/>
          </w:tcPr>
          <w:p w14:paraId="07B983A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1,178</w:t>
            </w:r>
          </w:p>
        </w:tc>
        <w:tc>
          <w:tcPr>
            <w:tcW w:w="1275" w:type="dxa"/>
            <w:noWrap/>
          </w:tcPr>
          <w:p w14:paraId="72FC6F9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950D59B"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4E118731"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D1F838A" w14:textId="54B20FB5"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1,178</w:t>
            </w:r>
          </w:p>
        </w:tc>
      </w:tr>
      <w:tr w:rsidR="00E921A2" w:rsidRPr="00DE6208" w14:paraId="05B39EA7" w14:textId="77777777" w:rsidTr="00E921A2">
        <w:trPr>
          <w:cantSplit/>
        </w:trPr>
        <w:tc>
          <w:tcPr>
            <w:tcW w:w="2689" w:type="dxa"/>
            <w:noWrap/>
          </w:tcPr>
          <w:p w14:paraId="372E00B8"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Other employment benefits</w:t>
            </w:r>
          </w:p>
        </w:tc>
        <w:tc>
          <w:tcPr>
            <w:tcW w:w="1134" w:type="dxa"/>
            <w:noWrap/>
          </w:tcPr>
          <w:p w14:paraId="7ADE5C4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72</w:t>
            </w:r>
          </w:p>
        </w:tc>
        <w:tc>
          <w:tcPr>
            <w:tcW w:w="1275" w:type="dxa"/>
            <w:noWrap/>
          </w:tcPr>
          <w:p w14:paraId="3F86C39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30097F4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67BBDF67"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7765567B" w14:textId="117C46FC"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72</w:t>
            </w:r>
          </w:p>
        </w:tc>
      </w:tr>
      <w:tr w:rsidR="00E921A2" w:rsidRPr="00DE6208" w14:paraId="5BCBBFB7" w14:textId="77777777" w:rsidTr="00E921A2">
        <w:trPr>
          <w:cantSplit/>
        </w:trPr>
        <w:tc>
          <w:tcPr>
            <w:tcW w:w="2689" w:type="dxa"/>
            <w:noWrap/>
          </w:tcPr>
          <w:p w14:paraId="56DA2AC8"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Travel</w:t>
            </w:r>
          </w:p>
        </w:tc>
        <w:tc>
          <w:tcPr>
            <w:tcW w:w="1134" w:type="dxa"/>
            <w:noWrap/>
          </w:tcPr>
          <w:p w14:paraId="0AA82AC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75</w:t>
            </w:r>
          </w:p>
        </w:tc>
        <w:tc>
          <w:tcPr>
            <w:tcW w:w="1275" w:type="dxa"/>
            <w:noWrap/>
          </w:tcPr>
          <w:p w14:paraId="707CD76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30</w:t>
            </w:r>
          </w:p>
        </w:tc>
        <w:tc>
          <w:tcPr>
            <w:tcW w:w="1276" w:type="dxa"/>
            <w:noWrap/>
          </w:tcPr>
          <w:p w14:paraId="0060411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2F49C6C9"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7AEE675" w14:textId="2D76528D"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105</w:t>
            </w:r>
          </w:p>
        </w:tc>
      </w:tr>
      <w:tr w:rsidR="00E921A2" w:rsidRPr="00DE6208" w14:paraId="3B943B45" w14:textId="77777777" w:rsidTr="00E921A2">
        <w:trPr>
          <w:cantSplit/>
        </w:trPr>
        <w:tc>
          <w:tcPr>
            <w:tcW w:w="2689" w:type="dxa"/>
            <w:noWrap/>
          </w:tcPr>
          <w:p w14:paraId="3286B3F3"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Ramsar Advisory Missions</w:t>
            </w:r>
          </w:p>
        </w:tc>
        <w:tc>
          <w:tcPr>
            <w:tcW w:w="1134" w:type="dxa"/>
            <w:noWrap/>
          </w:tcPr>
          <w:p w14:paraId="74B2521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0</w:t>
            </w:r>
          </w:p>
        </w:tc>
        <w:tc>
          <w:tcPr>
            <w:tcW w:w="1275" w:type="dxa"/>
            <w:noWrap/>
          </w:tcPr>
          <w:p w14:paraId="7803E38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483D255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66</w:t>
            </w:r>
          </w:p>
        </w:tc>
        <w:tc>
          <w:tcPr>
            <w:tcW w:w="1276" w:type="dxa"/>
          </w:tcPr>
          <w:p w14:paraId="2C8099EC"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6CCE25FD" w14:textId="3C5BE583"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66</w:t>
            </w:r>
          </w:p>
        </w:tc>
      </w:tr>
      <w:tr w:rsidR="00E921A2" w:rsidRPr="00DE6208" w14:paraId="34C2023F" w14:textId="77777777" w:rsidTr="00E921A2">
        <w:trPr>
          <w:cantSplit/>
        </w:trPr>
        <w:tc>
          <w:tcPr>
            <w:tcW w:w="2689" w:type="dxa"/>
            <w:shd w:val="clear" w:color="auto" w:fill="EAF1DD" w:themeFill="accent3" w:themeFillTint="33"/>
            <w:noWrap/>
          </w:tcPr>
          <w:p w14:paraId="40B29052"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D.  Support to Regional Initiatives</w:t>
            </w:r>
          </w:p>
        </w:tc>
        <w:tc>
          <w:tcPr>
            <w:tcW w:w="1134" w:type="dxa"/>
            <w:shd w:val="clear" w:color="auto" w:fill="EAF1DD" w:themeFill="accent3" w:themeFillTint="33"/>
            <w:noWrap/>
          </w:tcPr>
          <w:p w14:paraId="1D5773DB"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100</w:t>
            </w:r>
          </w:p>
        </w:tc>
        <w:tc>
          <w:tcPr>
            <w:tcW w:w="1275" w:type="dxa"/>
            <w:shd w:val="clear" w:color="auto" w:fill="EAF1DD" w:themeFill="accent3" w:themeFillTint="33"/>
            <w:noWrap/>
          </w:tcPr>
          <w:p w14:paraId="3F0458C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24CE70F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36</w:t>
            </w:r>
          </w:p>
        </w:tc>
        <w:tc>
          <w:tcPr>
            <w:tcW w:w="1276" w:type="dxa"/>
            <w:shd w:val="clear" w:color="auto" w:fill="EAF1DD" w:themeFill="accent3" w:themeFillTint="33"/>
          </w:tcPr>
          <w:p w14:paraId="2C4AFA40" w14:textId="0139897E"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28</w:t>
            </w:r>
          </w:p>
        </w:tc>
        <w:tc>
          <w:tcPr>
            <w:tcW w:w="1276" w:type="dxa"/>
            <w:shd w:val="clear" w:color="auto" w:fill="EAF1DD" w:themeFill="accent3" w:themeFillTint="33"/>
            <w:noWrap/>
          </w:tcPr>
          <w:p w14:paraId="1ED0365B" w14:textId="71EA88DA" w:rsidR="00E921A2" w:rsidRPr="00DE6208" w:rsidRDefault="00C94D44" w:rsidP="00EF666E">
            <w:pPr>
              <w:ind w:left="0" w:firstLine="0"/>
              <w:jc w:val="right"/>
              <w:rPr>
                <w:rFonts w:asciiTheme="minorHAnsi" w:eastAsia="Times New Roman" w:hAnsiTheme="minorHAnsi" w:cstheme="minorHAnsi"/>
                <w:bCs/>
                <w:sz w:val="20"/>
                <w:szCs w:val="20"/>
                <w:lang w:eastAsia="en-GB"/>
              </w:rPr>
            </w:pPr>
            <w:r>
              <w:rPr>
                <w:rFonts w:asciiTheme="minorHAnsi" w:eastAsiaTheme="minorHAnsi" w:hAnsiTheme="minorHAnsi" w:cstheme="minorHAnsi"/>
                <w:b/>
                <w:bCs/>
                <w:sz w:val="20"/>
                <w:szCs w:val="20"/>
              </w:rPr>
              <w:t>164</w:t>
            </w:r>
          </w:p>
        </w:tc>
      </w:tr>
      <w:tr w:rsidR="00E921A2" w:rsidRPr="00DE6208" w14:paraId="1C7595E5" w14:textId="77777777" w:rsidTr="00E921A2">
        <w:trPr>
          <w:cantSplit/>
        </w:trPr>
        <w:tc>
          <w:tcPr>
            <w:tcW w:w="2689" w:type="dxa"/>
            <w:noWrap/>
          </w:tcPr>
          <w:p w14:paraId="11DD05C7"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Regional networks and centers</w:t>
            </w:r>
          </w:p>
        </w:tc>
        <w:tc>
          <w:tcPr>
            <w:tcW w:w="1134" w:type="dxa"/>
            <w:noWrap/>
          </w:tcPr>
          <w:p w14:paraId="6733636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100</w:t>
            </w:r>
          </w:p>
        </w:tc>
        <w:tc>
          <w:tcPr>
            <w:tcW w:w="1275" w:type="dxa"/>
            <w:noWrap/>
          </w:tcPr>
          <w:p w14:paraId="397A5F6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26AA061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36</w:t>
            </w:r>
          </w:p>
        </w:tc>
        <w:tc>
          <w:tcPr>
            <w:tcW w:w="1276" w:type="dxa"/>
          </w:tcPr>
          <w:p w14:paraId="6A518A5C" w14:textId="4D601112" w:rsidR="00E921A2" w:rsidRPr="00DE6208" w:rsidRDefault="00C94D44" w:rsidP="00EF666E">
            <w:pPr>
              <w:ind w:left="0" w:firstLine="0"/>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28</w:t>
            </w:r>
          </w:p>
        </w:tc>
        <w:tc>
          <w:tcPr>
            <w:tcW w:w="1276" w:type="dxa"/>
            <w:noWrap/>
          </w:tcPr>
          <w:p w14:paraId="63B7C7B7" w14:textId="5B54B7A6" w:rsidR="00E921A2" w:rsidRPr="00DE6208" w:rsidRDefault="00C94D44" w:rsidP="00EF666E">
            <w:pPr>
              <w:ind w:left="0" w:firstLine="0"/>
              <w:jc w:val="right"/>
              <w:rPr>
                <w:rFonts w:asciiTheme="minorHAnsi" w:eastAsia="Times New Roman" w:hAnsiTheme="minorHAnsi" w:cstheme="minorHAnsi"/>
                <w:bCs/>
                <w:sz w:val="20"/>
                <w:szCs w:val="20"/>
                <w:lang w:eastAsia="en-GB"/>
              </w:rPr>
            </w:pPr>
            <w:r>
              <w:rPr>
                <w:rFonts w:asciiTheme="minorHAnsi" w:eastAsiaTheme="minorHAnsi" w:hAnsiTheme="minorHAnsi" w:cstheme="minorHAnsi"/>
                <w:sz w:val="20"/>
                <w:szCs w:val="20"/>
              </w:rPr>
              <w:t>164</w:t>
            </w:r>
          </w:p>
        </w:tc>
      </w:tr>
      <w:tr w:rsidR="00E921A2" w:rsidRPr="00DE6208" w14:paraId="24ECA2AD" w14:textId="77777777" w:rsidTr="00E921A2">
        <w:trPr>
          <w:cantSplit/>
        </w:trPr>
        <w:tc>
          <w:tcPr>
            <w:tcW w:w="2689" w:type="dxa"/>
            <w:shd w:val="clear" w:color="auto" w:fill="EAF1DD" w:themeFill="accent3" w:themeFillTint="33"/>
            <w:noWrap/>
          </w:tcPr>
          <w:p w14:paraId="66042092"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E.  Science and Policy</w:t>
            </w:r>
          </w:p>
        </w:tc>
        <w:tc>
          <w:tcPr>
            <w:tcW w:w="1134" w:type="dxa"/>
            <w:shd w:val="clear" w:color="auto" w:fill="EAF1DD" w:themeFill="accent3" w:themeFillTint="33"/>
            <w:noWrap/>
          </w:tcPr>
          <w:p w14:paraId="47626B9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754</w:t>
            </w:r>
          </w:p>
        </w:tc>
        <w:tc>
          <w:tcPr>
            <w:tcW w:w="1275" w:type="dxa"/>
            <w:shd w:val="clear" w:color="auto" w:fill="EAF1DD" w:themeFill="accent3" w:themeFillTint="33"/>
            <w:noWrap/>
          </w:tcPr>
          <w:p w14:paraId="25C63E9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15</w:t>
            </w:r>
          </w:p>
        </w:tc>
        <w:tc>
          <w:tcPr>
            <w:tcW w:w="1276" w:type="dxa"/>
            <w:shd w:val="clear" w:color="auto" w:fill="EAF1DD" w:themeFill="accent3" w:themeFillTint="33"/>
            <w:noWrap/>
          </w:tcPr>
          <w:p w14:paraId="415B4227"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114</w:t>
            </w:r>
          </w:p>
        </w:tc>
        <w:tc>
          <w:tcPr>
            <w:tcW w:w="1276" w:type="dxa"/>
            <w:shd w:val="clear" w:color="auto" w:fill="EAF1DD" w:themeFill="accent3" w:themeFillTint="33"/>
          </w:tcPr>
          <w:p w14:paraId="0C9DD8D7" w14:textId="2C7F749D"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6505A736" w14:textId="5535D0F3"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883</w:t>
            </w:r>
          </w:p>
        </w:tc>
      </w:tr>
      <w:tr w:rsidR="00E921A2" w:rsidRPr="00DE6208" w14:paraId="72966C3B" w14:textId="77777777" w:rsidTr="00E921A2">
        <w:trPr>
          <w:cantSplit/>
        </w:trPr>
        <w:tc>
          <w:tcPr>
            <w:tcW w:w="2689" w:type="dxa"/>
            <w:noWrap/>
          </w:tcPr>
          <w:p w14:paraId="25299B72"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Salaries and social costs</w:t>
            </w:r>
          </w:p>
        </w:tc>
        <w:tc>
          <w:tcPr>
            <w:tcW w:w="1134" w:type="dxa"/>
            <w:noWrap/>
          </w:tcPr>
          <w:p w14:paraId="483D1AA9"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559</w:t>
            </w:r>
          </w:p>
        </w:tc>
        <w:tc>
          <w:tcPr>
            <w:tcW w:w="1275" w:type="dxa"/>
            <w:noWrap/>
          </w:tcPr>
          <w:p w14:paraId="6B34B2B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FB8F0D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3F104D8A"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54FC6AB4" w14:textId="1E946C6D"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559</w:t>
            </w:r>
          </w:p>
        </w:tc>
      </w:tr>
      <w:tr w:rsidR="00E921A2" w:rsidRPr="00DE6208" w14:paraId="6DEE71AA" w14:textId="77777777" w:rsidTr="00927A2B">
        <w:trPr>
          <w:cantSplit/>
          <w:trHeight w:val="60"/>
        </w:trPr>
        <w:tc>
          <w:tcPr>
            <w:tcW w:w="2689" w:type="dxa"/>
            <w:noWrap/>
          </w:tcPr>
          <w:p w14:paraId="0FC30268"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Other employment benefits</w:t>
            </w:r>
          </w:p>
        </w:tc>
        <w:tc>
          <w:tcPr>
            <w:tcW w:w="1134" w:type="dxa"/>
            <w:noWrap/>
          </w:tcPr>
          <w:p w14:paraId="474003B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w:t>
            </w:r>
          </w:p>
        </w:tc>
        <w:tc>
          <w:tcPr>
            <w:tcW w:w="1275" w:type="dxa"/>
            <w:noWrap/>
          </w:tcPr>
          <w:p w14:paraId="7DDB0BD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7635109"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71DB8D6F"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1828BD2F" w14:textId="6F7B8CF5"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w:t>
            </w:r>
          </w:p>
        </w:tc>
      </w:tr>
      <w:tr w:rsidR="00E921A2" w:rsidRPr="00DE6208" w14:paraId="365D3171" w14:textId="77777777" w:rsidTr="00E921A2">
        <w:trPr>
          <w:cantSplit/>
        </w:trPr>
        <w:tc>
          <w:tcPr>
            <w:tcW w:w="2689" w:type="dxa"/>
            <w:noWrap/>
          </w:tcPr>
          <w:p w14:paraId="6F8B6C6F"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STRP implementation</w:t>
            </w:r>
          </w:p>
        </w:tc>
        <w:tc>
          <w:tcPr>
            <w:tcW w:w="1134" w:type="dxa"/>
            <w:noWrap/>
          </w:tcPr>
          <w:p w14:paraId="52CBCAE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35</w:t>
            </w:r>
          </w:p>
        </w:tc>
        <w:tc>
          <w:tcPr>
            <w:tcW w:w="1275" w:type="dxa"/>
            <w:noWrap/>
          </w:tcPr>
          <w:p w14:paraId="6F3394A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15</w:t>
            </w:r>
          </w:p>
        </w:tc>
        <w:tc>
          <w:tcPr>
            <w:tcW w:w="1276" w:type="dxa"/>
            <w:noWrap/>
          </w:tcPr>
          <w:p w14:paraId="28DB706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094C28BA"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5736102" w14:textId="0ECDD409"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50</w:t>
            </w:r>
          </w:p>
        </w:tc>
      </w:tr>
      <w:tr w:rsidR="00E921A2" w:rsidRPr="00DE6208" w14:paraId="7CF26A12" w14:textId="77777777" w:rsidTr="00E921A2">
        <w:trPr>
          <w:cantSplit/>
        </w:trPr>
        <w:tc>
          <w:tcPr>
            <w:tcW w:w="2689" w:type="dxa"/>
            <w:noWrap/>
          </w:tcPr>
          <w:p w14:paraId="303E79DE"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Travel STRP Chair</w:t>
            </w:r>
          </w:p>
        </w:tc>
        <w:tc>
          <w:tcPr>
            <w:tcW w:w="1134" w:type="dxa"/>
            <w:noWrap/>
          </w:tcPr>
          <w:p w14:paraId="67D60DD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w:t>
            </w:r>
          </w:p>
        </w:tc>
        <w:tc>
          <w:tcPr>
            <w:tcW w:w="1275" w:type="dxa"/>
            <w:noWrap/>
          </w:tcPr>
          <w:p w14:paraId="19DEDDC9"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15EF1D39"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5C7012D9"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1140C5D6" w14:textId="49C317AD"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w:t>
            </w:r>
          </w:p>
        </w:tc>
      </w:tr>
      <w:tr w:rsidR="00E921A2" w:rsidRPr="00DE6208" w14:paraId="11516E1C" w14:textId="77777777" w:rsidTr="00E921A2">
        <w:trPr>
          <w:cantSplit/>
        </w:trPr>
        <w:tc>
          <w:tcPr>
            <w:tcW w:w="2689" w:type="dxa"/>
            <w:noWrap/>
          </w:tcPr>
          <w:p w14:paraId="7ADC31BE"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STRP meetings</w:t>
            </w:r>
          </w:p>
        </w:tc>
        <w:tc>
          <w:tcPr>
            <w:tcW w:w="1134" w:type="dxa"/>
            <w:noWrap/>
          </w:tcPr>
          <w:p w14:paraId="6C6D33F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50</w:t>
            </w:r>
          </w:p>
        </w:tc>
        <w:tc>
          <w:tcPr>
            <w:tcW w:w="1275" w:type="dxa"/>
            <w:noWrap/>
          </w:tcPr>
          <w:p w14:paraId="346E906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10A5750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7A9809B5"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3687C305" w14:textId="5290083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50</w:t>
            </w:r>
          </w:p>
        </w:tc>
      </w:tr>
      <w:tr w:rsidR="00E921A2" w:rsidRPr="00DE6208" w14:paraId="1A22539B" w14:textId="77777777" w:rsidTr="00E921A2">
        <w:trPr>
          <w:cantSplit/>
        </w:trPr>
        <w:tc>
          <w:tcPr>
            <w:tcW w:w="2689" w:type="dxa"/>
          </w:tcPr>
          <w:p w14:paraId="7BF9F319"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lastRenderedPageBreak/>
              <w:t>Ramsar Sites Information Service (maintenance and development)</w:t>
            </w:r>
          </w:p>
        </w:tc>
        <w:tc>
          <w:tcPr>
            <w:tcW w:w="1134" w:type="dxa"/>
            <w:noWrap/>
          </w:tcPr>
          <w:p w14:paraId="3EEFF87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91</w:t>
            </w:r>
          </w:p>
        </w:tc>
        <w:tc>
          <w:tcPr>
            <w:tcW w:w="1275" w:type="dxa"/>
            <w:noWrap/>
          </w:tcPr>
          <w:p w14:paraId="171D081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4FCB252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23070C7A" w14:textId="2BB748EA" w:rsidR="00E921A2" w:rsidRPr="00DE6208" w:rsidRDefault="00E921A2" w:rsidP="00E921A2">
            <w:pPr>
              <w:ind w:left="0" w:firstLine="0"/>
              <w:jc w:val="center"/>
              <w:rPr>
                <w:rFonts w:asciiTheme="minorHAnsi" w:eastAsiaTheme="minorHAnsi" w:hAnsiTheme="minorHAnsi" w:cstheme="minorHAnsi"/>
                <w:sz w:val="20"/>
                <w:szCs w:val="20"/>
              </w:rPr>
            </w:pPr>
          </w:p>
        </w:tc>
        <w:tc>
          <w:tcPr>
            <w:tcW w:w="1276" w:type="dxa"/>
            <w:noWrap/>
          </w:tcPr>
          <w:p w14:paraId="3F5E279C" w14:textId="35B95BE4"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91</w:t>
            </w:r>
          </w:p>
        </w:tc>
      </w:tr>
      <w:tr w:rsidR="00E921A2" w:rsidRPr="00DE6208" w14:paraId="6458FD1F" w14:textId="77777777" w:rsidTr="00E921A2">
        <w:trPr>
          <w:cantSplit/>
        </w:trPr>
        <w:tc>
          <w:tcPr>
            <w:tcW w:w="2689" w:type="dxa"/>
            <w:noWrap/>
          </w:tcPr>
          <w:p w14:paraId="31EE232C"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Travel</w:t>
            </w:r>
          </w:p>
        </w:tc>
        <w:tc>
          <w:tcPr>
            <w:tcW w:w="1134" w:type="dxa"/>
            <w:noWrap/>
          </w:tcPr>
          <w:p w14:paraId="17C81BDD"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w:t>
            </w:r>
          </w:p>
        </w:tc>
        <w:tc>
          <w:tcPr>
            <w:tcW w:w="1275" w:type="dxa"/>
            <w:noWrap/>
          </w:tcPr>
          <w:p w14:paraId="72E1AEB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6F7D27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391587A2"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7C51ACA4" w14:textId="60766535"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w:t>
            </w:r>
          </w:p>
        </w:tc>
      </w:tr>
      <w:tr w:rsidR="00E921A2" w:rsidRPr="00DE6208" w14:paraId="41DDB221" w14:textId="77777777" w:rsidTr="00E921A2">
        <w:trPr>
          <w:cantSplit/>
        </w:trPr>
        <w:tc>
          <w:tcPr>
            <w:tcW w:w="2689" w:type="dxa"/>
            <w:noWrap/>
          </w:tcPr>
          <w:p w14:paraId="44F37DAE"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Strategic Plan (2019 - 2021)</w:t>
            </w:r>
          </w:p>
        </w:tc>
        <w:tc>
          <w:tcPr>
            <w:tcW w:w="1134" w:type="dxa"/>
            <w:noWrap/>
          </w:tcPr>
          <w:p w14:paraId="4C2959D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0</w:t>
            </w:r>
          </w:p>
        </w:tc>
        <w:tc>
          <w:tcPr>
            <w:tcW w:w="1275" w:type="dxa"/>
            <w:noWrap/>
          </w:tcPr>
          <w:p w14:paraId="69699BC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138ACE8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44</w:t>
            </w:r>
          </w:p>
        </w:tc>
        <w:tc>
          <w:tcPr>
            <w:tcW w:w="1276" w:type="dxa"/>
          </w:tcPr>
          <w:p w14:paraId="689466E1"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4F210C32" w14:textId="0A01227A"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44</w:t>
            </w:r>
          </w:p>
        </w:tc>
      </w:tr>
      <w:tr w:rsidR="00E921A2" w:rsidRPr="00DE6208" w14:paraId="0838A87C" w14:textId="77777777" w:rsidTr="00E921A2">
        <w:trPr>
          <w:cantSplit/>
        </w:trPr>
        <w:tc>
          <w:tcPr>
            <w:tcW w:w="2689" w:type="dxa"/>
            <w:noWrap/>
          </w:tcPr>
          <w:p w14:paraId="71077F44"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SDG 6.61</w:t>
            </w:r>
          </w:p>
        </w:tc>
        <w:tc>
          <w:tcPr>
            <w:tcW w:w="1134" w:type="dxa"/>
            <w:noWrap/>
          </w:tcPr>
          <w:p w14:paraId="47AA476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0</w:t>
            </w:r>
          </w:p>
        </w:tc>
        <w:tc>
          <w:tcPr>
            <w:tcW w:w="1275" w:type="dxa"/>
            <w:noWrap/>
          </w:tcPr>
          <w:p w14:paraId="6A81B28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0CABA24B"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70</w:t>
            </w:r>
          </w:p>
        </w:tc>
        <w:tc>
          <w:tcPr>
            <w:tcW w:w="1276" w:type="dxa"/>
          </w:tcPr>
          <w:p w14:paraId="2B8DD51E"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2F7DCD45" w14:textId="203BA74C"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70</w:t>
            </w:r>
          </w:p>
        </w:tc>
      </w:tr>
      <w:tr w:rsidR="00E921A2" w:rsidRPr="00DE6208" w14:paraId="6E7E061B" w14:textId="77777777" w:rsidTr="00E921A2">
        <w:trPr>
          <w:cantSplit/>
        </w:trPr>
        <w:tc>
          <w:tcPr>
            <w:tcW w:w="2689" w:type="dxa"/>
            <w:shd w:val="clear" w:color="auto" w:fill="EAF1DD" w:themeFill="accent3" w:themeFillTint="33"/>
            <w:noWrap/>
          </w:tcPr>
          <w:p w14:paraId="00A45D6A"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G.  Administration</w:t>
            </w:r>
          </w:p>
        </w:tc>
        <w:tc>
          <w:tcPr>
            <w:tcW w:w="1134" w:type="dxa"/>
            <w:shd w:val="clear" w:color="auto" w:fill="EAF1DD" w:themeFill="accent3" w:themeFillTint="33"/>
            <w:noWrap/>
          </w:tcPr>
          <w:p w14:paraId="3CA0601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436</w:t>
            </w:r>
          </w:p>
        </w:tc>
        <w:tc>
          <w:tcPr>
            <w:tcW w:w="1275" w:type="dxa"/>
            <w:shd w:val="clear" w:color="auto" w:fill="EAF1DD" w:themeFill="accent3" w:themeFillTint="33"/>
            <w:noWrap/>
          </w:tcPr>
          <w:p w14:paraId="6F93D947"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33</w:t>
            </w:r>
          </w:p>
        </w:tc>
        <w:tc>
          <w:tcPr>
            <w:tcW w:w="1276" w:type="dxa"/>
            <w:shd w:val="clear" w:color="auto" w:fill="EAF1DD" w:themeFill="accent3" w:themeFillTint="33"/>
            <w:noWrap/>
          </w:tcPr>
          <w:p w14:paraId="16036C8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133</w:t>
            </w:r>
          </w:p>
        </w:tc>
        <w:tc>
          <w:tcPr>
            <w:tcW w:w="1276" w:type="dxa"/>
            <w:shd w:val="clear" w:color="auto" w:fill="EAF1DD" w:themeFill="accent3" w:themeFillTint="33"/>
          </w:tcPr>
          <w:p w14:paraId="56B33E60" w14:textId="31B3F424"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1C6875DB" w14:textId="7B35B6D0"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602</w:t>
            </w:r>
          </w:p>
        </w:tc>
      </w:tr>
      <w:tr w:rsidR="00E921A2" w:rsidRPr="00DE6208" w14:paraId="2EB7D6DA" w14:textId="77777777" w:rsidTr="00E921A2">
        <w:trPr>
          <w:cantSplit/>
        </w:trPr>
        <w:tc>
          <w:tcPr>
            <w:tcW w:w="2689" w:type="dxa"/>
            <w:noWrap/>
          </w:tcPr>
          <w:p w14:paraId="73BD38CF"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Salaries and social costs</w:t>
            </w:r>
          </w:p>
        </w:tc>
        <w:tc>
          <w:tcPr>
            <w:tcW w:w="1134" w:type="dxa"/>
            <w:noWrap/>
          </w:tcPr>
          <w:p w14:paraId="3D3958E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315</w:t>
            </w:r>
          </w:p>
        </w:tc>
        <w:tc>
          <w:tcPr>
            <w:tcW w:w="1275" w:type="dxa"/>
            <w:noWrap/>
          </w:tcPr>
          <w:p w14:paraId="5C1491E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1C2EFC2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297F2C42"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518D2456" w14:textId="356CC99C"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315</w:t>
            </w:r>
          </w:p>
        </w:tc>
      </w:tr>
      <w:tr w:rsidR="00E921A2" w:rsidRPr="00DE6208" w14:paraId="76CE4F30" w14:textId="77777777" w:rsidTr="00E921A2">
        <w:trPr>
          <w:cantSplit/>
        </w:trPr>
        <w:tc>
          <w:tcPr>
            <w:tcW w:w="2689" w:type="dxa"/>
            <w:noWrap/>
          </w:tcPr>
          <w:p w14:paraId="5DBA3A57"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Other employment benefits</w:t>
            </w:r>
          </w:p>
        </w:tc>
        <w:tc>
          <w:tcPr>
            <w:tcW w:w="1134" w:type="dxa"/>
            <w:noWrap/>
          </w:tcPr>
          <w:p w14:paraId="4C5D10F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w:t>
            </w:r>
          </w:p>
        </w:tc>
        <w:tc>
          <w:tcPr>
            <w:tcW w:w="1275" w:type="dxa"/>
            <w:noWrap/>
          </w:tcPr>
          <w:p w14:paraId="295FD8A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D063B4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19ADD3D5"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531C113E" w14:textId="0ED19780"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w:t>
            </w:r>
          </w:p>
        </w:tc>
      </w:tr>
      <w:tr w:rsidR="00E921A2" w:rsidRPr="00DE6208" w14:paraId="5EAC9D37" w14:textId="77777777" w:rsidTr="00E921A2">
        <w:trPr>
          <w:cantSplit/>
        </w:trPr>
        <w:tc>
          <w:tcPr>
            <w:tcW w:w="2689" w:type="dxa"/>
            <w:noWrap/>
          </w:tcPr>
          <w:p w14:paraId="63C0D235"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Staff hiring and departure costs</w:t>
            </w:r>
          </w:p>
        </w:tc>
        <w:tc>
          <w:tcPr>
            <w:tcW w:w="1134" w:type="dxa"/>
            <w:noWrap/>
          </w:tcPr>
          <w:p w14:paraId="774D192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25</w:t>
            </w:r>
          </w:p>
        </w:tc>
        <w:tc>
          <w:tcPr>
            <w:tcW w:w="1275" w:type="dxa"/>
            <w:noWrap/>
          </w:tcPr>
          <w:p w14:paraId="63CA446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61AF2AD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52</w:t>
            </w:r>
          </w:p>
        </w:tc>
        <w:tc>
          <w:tcPr>
            <w:tcW w:w="1276" w:type="dxa"/>
          </w:tcPr>
          <w:p w14:paraId="062CA7D2"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180A5005" w14:textId="3CA44D0C"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77</w:t>
            </w:r>
          </w:p>
        </w:tc>
      </w:tr>
      <w:tr w:rsidR="00E921A2" w:rsidRPr="00DE6208" w14:paraId="45E853CB" w14:textId="77777777" w:rsidTr="00E921A2">
        <w:trPr>
          <w:cantSplit/>
        </w:trPr>
        <w:tc>
          <w:tcPr>
            <w:tcW w:w="2689" w:type="dxa"/>
            <w:noWrap/>
          </w:tcPr>
          <w:p w14:paraId="1F18392C"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Secretariat Staff Travel</w:t>
            </w:r>
          </w:p>
        </w:tc>
        <w:tc>
          <w:tcPr>
            <w:tcW w:w="1134" w:type="dxa"/>
            <w:noWrap/>
          </w:tcPr>
          <w:p w14:paraId="7F561FED"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0</w:t>
            </w:r>
          </w:p>
        </w:tc>
        <w:tc>
          <w:tcPr>
            <w:tcW w:w="1275" w:type="dxa"/>
            <w:noWrap/>
          </w:tcPr>
          <w:p w14:paraId="2613CA39"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6041C1C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7014C457"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55B2C2CF" w14:textId="7A2ECA53"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0</w:t>
            </w:r>
          </w:p>
        </w:tc>
      </w:tr>
      <w:tr w:rsidR="00E921A2" w:rsidRPr="00DE6208" w14:paraId="5DAD9FB0" w14:textId="77777777" w:rsidTr="00E921A2">
        <w:trPr>
          <w:cantSplit/>
        </w:trPr>
        <w:tc>
          <w:tcPr>
            <w:tcW w:w="2689" w:type="dxa"/>
            <w:noWrap/>
          </w:tcPr>
          <w:p w14:paraId="7CE36F5B"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Operating Costs including equipment</w:t>
            </w:r>
          </w:p>
        </w:tc>
        <w:tc>
          <w:tcPr>
            <w:tcW w:w="1134" w:type="dxa"/>
            <w:noWrap/>
          </w:tcPr>
          <w:p w14:paraId="3C33E36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95</w:t>
            </w:r>
          </w:p>
        </w:tc>
        <w:tc>
          <w:tcPr>
            <w:tcW w:w="1275" w:type="dxa"/>
            <w:noWrap/>
          </w:tcPr>
          <w:p w14:paraId="2DA6DAA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752001E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60F08BD8"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67F5D9B3" w14:textId="67BD36EA"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95</w:t>
            </w:r>
          </w:p>
        </w:tc>
      </w:tr>
      <w:tr w:rsidR="00E921A2" w:rsidRPr="00DE6208" w14:paraId="05E1D467" w14:textId="77777777" w:rsidTr="00E921A2">
        <w:trPr>
          <w:cantSplit/>
        </w:trPr>
        <w:tc>
          <w:tcPr>
            <w:tcW w:w="2689" w:type="dxa"/>
            <w:noWrap/>
          </w:tcPr>
          <w:p w14:paraId="68D3FFD9"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Planning and Capacity building</w:t>
            </w:r>
          </w:p>
        </w:tc>
        <w:tc>
          <w:tcPr>
            <w:tcW w:w="1134" w:type="dxa"/>
            <w:noWrap/>
          </w:tcPr>
          <w:p w14:paraId="280B0AA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0</w:t>
            </w:r>
          </w:p>
        </w:tc>
        <w:tc>
          <w:tcPr>
            <w:tcW w:w="1275" w:type="dxa"/>
            <w:noWrap/>
          </w:tcPr>
          <w:p w14:paraId="4AA4E5A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33</w:t>
            </w:r>
          </w:p>
        </w:tc>
        <w:tc>
          <w:tcPr>
            <w:tcW w:w="1276" w:type="dxa"/>
            <w:noWrap/>
          </w:tcPr>
          <w:p w14:paraId="330A7BCD"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81</w:t>
            </w:r>
          </w:p>
        </w:tc>
        <w:tc>
          <w:tcPr>
            <w:tcW w:w="1276" w:type="dxa"/>
          </w:tcPr>
          <w:p w14:paraId="199FBFE2"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343C3C4B" w14:textId="0731B956"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114</w:t>
            </w:r>
          </w:p>
        </w:tc>
      </w:tr>
      <w:tr w:rsidR="00E921A2" w:rsidRPr="00DE6208" w14:paraId="0DEEF720" w14:textId="77777777" w:rsidTr="00E921A2">
        <w:trPr>
          <w:cantSplit/>
        </w:trPr>
        <w:tc>
          <w:tcPr>
            <w:tcW w:w="2689" w:type="dxa"/>
            <w:shd w:val="clear" w:color="auto" w:fill="EAF1DD" w:themeFill="accent3" w:themeFillTint="33"/>
            <w:noWrap/>
          </w:tcPr>
          <w:p w14:paraId="439E2E03"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H. Standing Committee Services</w:t>
            </w:r>
          </w:p>
        </w:tc>
        <w:tc>
          <w:tcPr>
            <w:tcW w:w="1134" w:type="dxa"/>
            <w:shd w:val="clear" w:color="auto" w:fill="EAF1DD" w:themeFill="accent3" w:themeFillTint="33"/>
            <w:noWrap/>
          </w:tcPr>
          <w:p w14:paraId="2658049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150</w:t>
            </w:r>
          </w:p>
        </w:tc>
        <w:tc>
          <w:tcPr>
            <w:tcW w:w="1275" w:type="dxa"/>
            <w:shd w:val="clear" w:color="auto" w:fill="EAF1DD" w:themeFill="accent3" w:themeFillTint="33"/>
            <w:noWrap/>
          </w:tcPr>
          <w:p w14:paraId="19B4734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70</w:t>
            </w:r>
          </w:p>
        </w:tc>
        <w:tc>
          <w:tcPr>
            <w:tcW w:w="1276" w:type="dxa"/>
            <w:shd w:val="clear" w:color="auto" w:fill="EAF1DD" w:themeFill="accent3" w:themeFillTint="33"/>
            <w:noWrap/>
          </w:tcPr>
          <w:p w14:paraId="3AB7A95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EAF1DD" w:themeFill="accent3" w:themeFillTint="33"/>
          </w:tcPr>
          <w:p w14:paraId="7484FD9D" w14:textId="6DCBB6CA"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32E81EB6" w14:textId="2090F7F4"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220</w:t>
            </w:r>
          </w:p>
        </w:tc>
      </w:tr>
      <w:tr w:rsidR="00E921A2" w:rsidRPr="00DE6208" w14:paraId="5F3E0E96" w14:textId="77777777" w:rsidTr="00E921A2">
        <w:trPr>
          <w:cantSplit/>
        </w:trPr>
        <w:tc>
          <w:tcPr>
            <w:tcW w:w="2689" w:type="dxa"/>
            <w:noWrap/>
          </w:tcPr>
          <w:p w14:paraId="238B3349"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Standing Committee delegates’ support</w:t>
            </w:r>
          </w:p>
        </w:tc>
        <w:tc>
          <w:tcPr>
            <w:tcW w:w="1134" w:type="dxa"/>
            <w:noWrap/>
          </w:tcPr>
          <w:p w14:paraId="2E3B34E3"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45</w:t>
            </w:r>
          </w:p>
        </w:tc>
        <w:tc>
          <w:tcPr>
            <w:tcW w:w="1275" w:type="dxa"/>
            <w:noWrap/>
          </w:tcPr>
          <w:p w14:paraId="3068B93D"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3C972BA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527BBBC4"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E72A559" w14:textId="2D027629"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45</w:t>
            </w:r>
          </w:p>
        </w:tc>
      </w:tr>
      <w:tr w:rsidR="00E921A2" w:rsidRPr="00DE6208" w14:paraId="039CBF1D" w14:textId="77777777" w:rsidTr="00E921A2">
        <w:trPr>
          <w:cantSplit/>
        </w:trPr>
        <w:tc>
          <w:tcPr>
            <w:tcW w:w="2689" w:type="dxa"/>
            <w:noWrap/>
          </w:tcPr>
          <w:p w14:paraId="6AC286BA"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Standing Committee meetings</w:t>
            </w:r>
          </w:p>
        </w:tc>
        <w:tc>
          <w:tcPr>
            <w:tcW w:w="1134" w:type="dxa"/>
            <w:noWrap/>
          </w:tcPr>
          <w:p w14:paraId="43B77F89"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w:t>
            </w:r>
          </w:p>
        </w:tc>
        <w:tc>
          <w:tcPr>
            <w:tcW w:w="1275" w:type="dxa"/>
            <w:noWrap/>
          </w:tcPr>
          <w:p w14:paraId="71A48F2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115741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5E49A897"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3F142A04" w14:textId="6FDF22DF"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w:t>
            </w:r>
          </w:p>
        </w:tc>
      </w:tr>
      <w:tr w:rsidR="00E921A2" w:rsidRPr="00DE6208" w14:paraId="4908C08B" w14:textId="77777777" w:rsidTr="00E921A2">
        <w:trPr>
          <w:cantSplit/>
        </w:trPr>
        <w:tc>
          <w:tcPr>
            <w:tcW w:w="2689" w:type="dxa"/>
            <w:noWrap/>
          </w:tcPr>
          <w:p w14:paraId="2F5C5EFA"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SC translation</w:t>
            </w:r>
          </w:p>
        </w:tc>
        <w:tc>
          <w:tcPr>
            <w:tcW w:w="1134" w:type="dxa"/>
            <w:noWrap/>
          </w:tcPr>
          <w:p w14:paraId="05B47371"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60</w:t>
            </w:r>
          </w:p>
        </w:tc>
        <w:tc>
          <w:tcPr>
            <w:tcW w:w="1275" w:type="dxa"/>
            <w:noWrap/>
          </w:tcPr>
          <w:p w14:paraId="76BD68A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B63B34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7E53DDB1"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1AE11C56" w14:textId="4AD59221"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60</w:t>
            </w:r>
          </w:p>
        </w:tc>
      </w:tr>
      <w:tr w:rsidR="00E921A2" w:rsidRPr="00DE6208" w14:paraId="4421C7CF" w14:textId="77777777" w:rsidTr="00E921A2">
        <w:trPr>
          <w:cantSplit/>
        </w:trPr>
        <w:tc>
          <w:tcPr>
            <w:tcW w:w="2689" w:type="dxa"/>
            <w:noWrap/>
          </w:tcPr>
          <w:p w14:paraId="6FCF8243"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Simultaneous interpretation at SC meetings</w:t>
            </w:r>
          </w:p>
        </w:tc>
        <w:tc>
          <w:tcPr>
            <w:tcW w:w="1134" w:type="dxa"/>
            <w:noWrap/>
          </w:tcPr>
          <w:p w14:paraId="06C5488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35</w:t>
            </w:r>
          </w:p>
        </w:tc>
        <w:tc>
          <w:tcPr>
            <w:tcW w:w="1275" w:type="dxa"/>
            <w:noWrap/>
          </w:tcPr>
          <w:p w14:paraId="597BB350"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799AE93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529262EC"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46F1C510" w14:textId="726CCA1B"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35</w:t>
            </w:r>
          </w:p>
        </w:tc>
      </w:tr>
      <w:tr w:rsidR="00E921A2" w:rsidRPr="00DE6208" w14:paraId="0BDA8655" w14:textId="77777777" w:rsidTr="00E921A2">
        <w:trPr>
          <w:cantSplit/>
        </w:trPr>
        <w:tc>
          <w:tcPr>
            <w:tcW w:w="2689" w:type="dxa"/>
            <w:noWrap/>
          </w:tcPr>
          <w:p w14:paraId="5EFB3799"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Effectiveness Working Group</w:t>
            </w:r>
          </w:p>
        </w:tc>
        <w:tc>
          <w:tcPr>
            <w:tcW w:w="1134" w:type="dxa"/>
            <w:noWrap/>
          </w:tcPr>
          <w:p w14:paraId="6690DBE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0</w:t>
            </w:r>
          </w:p>
        </w:tc>
        <w:tc>
          <w:tcPr>
            <w:tcW w:w="1275" w:type="dxa"/>
            <w:noWrap/>
          </w:tcPr>
          <w:p w14:paraId="5E50CEE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70</w:t>
            </w:r>
          </w:p>
        </w:tc>
        <w:tc>
          <w:tcPr>
            <w:tcW w:w="1276" w:type="dxa"/>
            <w:noWrap/>
          </w:tcPr>
          <w:p w14:paraId="5D1F927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288FCC49"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1F43ECA7" w14:textId="54E9CDFA"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70</w:t>
            </w:r>
          </w:p>
        </w:tc>
      </w:tr>
      <w:tr w:rsidR="00E921A2" w:rsidRPr="00DE6208" w14:paraId="0AE1C33A" w14:textId="77777777" w:rsidTr="00E921A2">
        <w:trPr>
          <w:cantSplit/>
        </w:trPr>
        <w:tc>
          <w:tcPr>
            <w:tcW w:w="2689" w:type="dxa"/>
            <w:shd w:val="clear" w:color="auto" w:fill="EAF1DD" w:themeFill="accent3" w:themeFillTint="33"/>
          </w:tcPr>
          <w:p w14:paraId="59601F2D"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I.  IUCN Administrative Service Charges</w:t>
            </w:r>
          </w:p>
        </w:tc>
        <w:tc>
          <w:tcPr>
            <w:tcW w:w="1134" w:type="dxa"/>
            <w:shd w:val="clear" w:color="auto" w:fill="EAF1DD" w:themeFill="accent3" w:themeFillTint="33"/>
            <w:noWrap/>
          </w:tcPr>
          <w:p w14:paraId="5798F94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560</w:t>
            </w:r>
          </w:p>
        </w:tc>
        <w:tc>
          <w:tcPr>
            <w:tcW w:w="1275" w:type="dxa"/>
            <w:shd w:val="clear" w:color="auto" w:fill="EAF1DD" w:themeFill="accent3" w:themeFillTint="33"/>
            <w:noWrap/>
          </w:tcPr>
          <w:p w14:paraId="22A11E1F"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1A0D5D9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EAF1DD" w:themeFill="accent3" w:themeFillTint="33"/>
          </w:tcPr>
          <w:p w14:paraId="2C5321BD" w14:textId="3D803352"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0DCCF50E" w14:textId="2F9CC58B"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560</w:t>
            </w:r>
          </w:p>
        </w:tc>
      </w:tr>
      <w:tr w:rsidR="00E921A2" w:rsidRPr="00DE6208" w14:paraId="658585FE" w14:textId="77777777" w:rsidTr="00E921A2">
        <w:trPr>
          <w:cantSplit/>
        </w:trPr>
        <w:tc>
          <w:tcPr>
            <w:tcW w:w="2689" w:type="dxa"/>
          </w:tcPr>
          <w:p w14:paraId="120B30D6"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Administration, Human Resources, Finance &amp; IT services</w:t>
            </w:r>
          </w:p>
        </w:tc>
        <w:tc>
          <w:tcPr>
            <w:tcW w:w="1134" w:type="dxa"/>
            <w:noWrap/>
          </w:tcPr>
          <w:p w14:paraId="525D2E06"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560</w:t>
            </w:r>
          </w:p>
        </w:tc>
        <w:tc>
          <w:tcPr>
            <w:tcW w:w="1275" w:type="dxa"/>
            <w:noWrap/>
          </w:tcPr>
          <w:p w14:paraId="5BBB836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43ADF857"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tcPr>
          <w:p w14:paraId="61786295"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041CF23B" w14:textId="0C422B00"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560</w:t>
            </w:r>
          </w:p>
        </w:tc>
      </w:tr>
      <w:tr w:rsidR="00E921A2" w:rsidRPr="00DE6208" w14:paraId="0C60E638" w14:textId="77777777" w:rsidTr="00E921A2">
        <w:trPr>
          <w:cantSplit/>
        </w:trPr>
        <w:tc>
          <w:tcPr>
            <w:tcW w:w="2689" w:type="dxa"/>
            <w:shd w:val="clear" w:color="auto" w:fill="EAF1DD" w:themeFill="accent3" w:themeFillTint="33"/>
            <w:noWrap/>
          </w:tcPr>
          <w:p w14:paraId="4E7242D4"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J.  Miscellaneous - Reserve Fund</w:t>
            </w:r>
          </w:p>
        </w:tc>
        <w:tc>
          <w:tcPr>
            <w:tcW w:w="1134" w:type="dxa"/>
            <w:shd w:val="clear" w:color="auto" w:fill="EAF1DD" w:themeFill="accent3" w:themeFillTint="33"/>
            <w:noWrap/>
          </w:tcPr>
          <w:p w14:paraId="107AABE4"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109</w:t>
            </w:r>
          </w:p>
        </w:tc>
        <w:tc>
          <w:tcPr>
            <w:tcW w:w="1275" w:type="dxa"/>
            <w:shd w:val="clear" w:color="auto" w:fill="EAF1DD" w:themeFill="accent3" w:themeFillTint="33"/>
            <w:noWrap/>
          </w:tcPr>
          <w:p w14:paraId="4D20FA62"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0532500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88</w:t>
            </w:r>
          </w:p>
        </w:tc>
        <w:tc>
          <w:tcPr>
            <w:tcW w:w="1276" w:type="dxa"/>
            <w:shd w:val="clear" w:color="auto" w:fill="EAF1DD" w:themeFill="accent3" w:themeFillTint="33"/>
          </w:tcPr>
          <w:p w14:paraId="3A5A4F28" w14:textId="69BFDDF1" w:rsidR="00E921A2" w:rsidRPr="00DE6208" w:rsidRDefault="00C94D44" w:rsidP="00EF666E">
            <w:pPr>
              <w:ind w:left="0" w:firstLine="0"/>
              <w:jc w:val="right"/>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0</w:t>
            </w:r>
          </w:p>
        </w:tc>
        <w:tc>
          <w:tcPr>
            <w:tcW w:w="1276" w:type="dxa"/>
            <w:shd w:val="clear" w:color="auto" w:fill="EAF1DD" w:themeFill="accent3" w:themeFillTint="33"/>
            <w:noWrap/>
          </w:tcPr>
          <w:p w14:paraId="7635E361" w14:textId="626AE82F"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b/>
                <w:bCs/>
                <w:sz w:val="20"/>
                <w:szCs w:val="20"/>
              </w:rPr>
              <w:t>197</w:t>
            </w:r>
          </w:p>
        </w:tc>
      </w:tr>
      <w:tr w:rsidR="00E921A2" w:rsidRPr="00DE6208" w14:paraId="68ADB9E3" w14:textId="77777777" w:rsidTr="00E921A2">
        <w:trPr>
          <w:cantSplit/>
        </w:trPr>
        <w:tc>
          <w:tcPr>
            <w:tcW w:w="2689" w:type="dxa"/>
            <w:noWrap/>
          </w:tcPr>
          <w:p w14:paraId="7C6CAE0F"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Provisions</w:t>
            </w:r>
          </w:p>
        </w:tc>
        <w:tc>
          <w:tcPr>
            <w:tcW w:w="1134" w:type="dxa"/>
            <w:noWrap/>
          </w:tcPr>
          <w:p w14:paraId="705E6CBC"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50</w:t>
            </w:r>
          </w:p>
        </w:tc>
        <w:tc>
          <w:tcPr>
            <w:tcW w:w="1275" w:type="dxa"/>
            <w:noWrap/>
          </w:tcPr>
          <w:p w14:paraId="717E48BA"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14B8FF1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57</w:t>
            </w:r>
          </w:p>
        </w:tc>
        <w:tc>
          <w:tcPr>
            <w:tcW w:w="1276" w:type="dxa"/>
          </w:tcPr>
          <w:p w14:paraId="2A139AA3"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181E97AE" w14:textId="359B8394"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107</w:t>
            </w:r>
          </w:p>
        </w:tc>
      </w:tr>
      <w:tr w:rsidR="00E921A2" w:rsidRPr="00DE6208" w14:paraId="720BAE36" w14:textId="77777777" w:rsidTr="00E921A2">
        <w:trPr>
          <w:cantSplit/>
        </w:trPr>
        <w:tc>
          <w:tcPr>
            <w:tcW w:w="2689" w:type="dxa"/>
            <w:noWrap/>
          </w:tcPr>
          <w:p w14:paraId="6BC124D6" w14:textId="77777777" w:rsidR="00E921A2" w:rsidRPr="00DE6208" w:rsidRDefault="00E921A2" w:rsidP="00EF666E">
            <w:pPr>
              <w:ind w:left="0" w:firstLine="0"/>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Legal Services</w:t>
            </w:r>
          </w:p>
        </w:tc>
        <w:tc>
          <w:tcPr>
            <w:tcW w:w="1134" w:type="dxa"/>
            <w:noWrap/>
          </w:tcPr>
          <w:p w14:paraId="6BAF0ABE"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59</w:t>
            </w:r>
          </w:p>
        </w:tc>
        <w:tc>
          <w:tcPr>
            <w:tcW w:w="1275" w:type="dxa"/>
            <w:noWrap/>
          </w:tcPr>
          <w:p w14:paraId="353C1588"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p>
        </w:tc>
        <w:tc>
          <w:tcPr>
            <w:tcW w:w="1276" w:type="dxa"/>
            <w:noWrap/>
          </w:tcPr>
          <w:p w14:paraId="5D12DBA5" w14:textId="77777777"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31</w:t>
            </w:r>
          </w:p>
        </w:tc>
        <w:tc>
          <w:tcPr>
            <w:tcW w:w="1276" w:type="dxa"/>
          </w:tcPr>
          <w:p w14:paraId="6365975E" w14:textId="77777777" w:rsidR="00E921A2" w:rsidRPr="00DE6208" w:rsidRDefault="00E921A2" w:rsidP="00EF666E">
            <w:pPr>
              <w:ind w:left="0" w:firstLine="0"/>
              <w:jc w:val="right"/>
              <w:rPr>
                <w:rFonts w:asciiTheme="minorHAnsi" w:eastAsiaTheme="minorHAnsi" w:hAnsiTheme="minorHAnsi" w:cstheme="minorHAnsi"/>
                <w:sz w:val="20"/>
                <w:szCs w:val="20"/>
              </w:rPr>
            </w:pPr>
          </w:p>
        </w:tc>
        <w:tc>
          <w:tcPr>
            <w:tcW w:w="1276" w:type="dxa"/>
            <w:noWrap/>
          </w:tcPr>
          <w:p w14:paraId="37812F98" w14:textId="4D2018D6" w:rsidR="00E921A2" w:rsidRPr="00DE6208" w:rsidRDefault="00E921A2" w:rsidP="00EF666E">
            <w:pPr>
              <w:ind w:left="0" w:firstLine="0"/>
              <w:jc w:val="right"/>
              <w:rPr>
                <w:rFonts w:asciiTheme="minorHAnsi" w:eastAsia="Times New Roman" w:hAnsiTheme="minorHAnsi" w:cstheme="minorHAnsi"/>
                <w:bCs/>
                <w:sz w:val="20"/>
                <w:szCs w:val="20"/>
                <w:lang w:eastAsia="en-GB"/>
              </w:rPr>
            </w:pPr>
            <w:r w:rsidRPr="00DE6208">
              <w:rPr>
                <w:rFonts w:asciiTheme="minorHAnsi" w:eastAsiaTheme="minorHAnsi" w:hAnsiTheme="minorHAnsi" w:cstheme="minorHAnsi"/>
                <w:sz w:val="20"/>
                <w:szCs w:val="20"/>
              </w:rPr>
              <w:t>90</w:t>
            </w:r>
          </w:p>
        </w:tc>
      </w:tr>
      <w:tr w:rsidR="00E921A2" w:rsidRPr="00DE6208" w14:paraId="50BC41A9" w14:textId="77777777" w:rsidTr="00E921A2">
        <w:trPr>
          <w:cantSplit/>
        </w:trPr>
        <w:tc>
          <w:tcPr>
            <w:tcW w:w="2689" w:type="dxa"/>
            <w:shd w:val="clear" w:color="auto" w:fill="D6E3BC" w:themeFill="accent3" w:themeFillTint="66"/>
            <w:noWrap/>
            <w:vAlign w:val="center"/>
          </w:tcPr>
          <w:p w14:paraId="45273F35" w14:textId="77777777" w:rsidR="00E921A2" w:rsidRPr="00DE6208" w:rsidRDefault="00E921A2" w:rsidP="00EF666E">
            <w:pPr>
              <w:ind w:left="0" w:firstLine="0"/>
              <w:rPr>
                <w:rFonts w:asciiTheme="minorHAnsi" w:eastAsiaTheme="minorHAnsi" w:hAnsiTheme="minorHAnsi" w:cstheme="minorHAnsi"/>
                <w:b/>
                <w:bCs/>
                <w:sz w:val="20"/>
                <w:szCs w:val="20"/>
              </w:rPr>
            </w:pPr>
            <w:r w:rsidRPr="00DE6208">
              <w:rPr>
                <w:rFonts w:asciiTheme="minorHAnsi" w:eastAsiaTheme="minorHAnsi" w:hAnsiTheme="minorHAnsi" w:cstheme="minorHAnsi"/>
                <w:b/>
                <w:bCs/>
                <w:sz w:val="20"/>
                <w:szCs w:val="20"/>
              </w:rPr>
              <w:t>TOTAL EXPENDITURES</w:t>
            </w:r>
          </w:p>
        </w:tc>
        <w:tc>
          <w:tcPr>
            <w:tcW w:w="1134" w:type="dxa"/>
            <w:shd w:val="clear" w:color="auto" w:fill="D6E3BC" w:themeFill="accent3" w:themeFillTint="66"/>
            <w:noWrap/>
            <w:vAlign w:val="center"/>
          </w:tcPr>
          <w:p w14:paraId="0DB0BC2F" w14:textId="77777777" w:rsidR="00E921A2" w:rsidRPr="00DE6208" w:rsidRDefault="00E921A2" w:rsidP="00EF666E">
            <w:pPr>
              <w:ind w:left="0" w:firstLine="0"/>
              <w:jc w:val="right"/>
              <w:rPr>
                <w:rFonts w:asciiTheme="minorHAnsi" w:eastAsia="Times New Roman" w:hAnsiTheme="minorHAnsi" w:cstheme="minorHAnsi"/>
                <w:b/>
                <w:bCs/>
                <w:sz w:val="20"/>
                <w:szCs w:val="20"/>
                <w:lang w:eastAsia="en-GB"/>
              </w:rPr>
            </w:pPr>
            <w:r w:rsidRPr="00DE6208">
              <w:rPr>
                <w:rFonts w:cs="Calibri"/>
                <w:b/>
                <w:bCs/>
              </w:rPr>
              <w:t>5,081</w:t>
            </w:r>
          </w:p>
        </w:tc>
        <w:tc>
          <w:tcPr>
            <w:tcW w:w="1275" w:type="dxa"/>
            <w:shd w:val="clear" w:color="auto" w:fill="D6E3BC" w:themeFill="accent3" w:themeFillTint="66"/>
            <w:noWrap/>
            <w:vAlign w:val="center"/>
          </w:tcPr>
          <w:p w14:paraId="50300814" w14:textId="77777777" w:rsidR="00E921A2" w:rsidRPr="00DE6208" w:rsidRDefault="00E921A2" w:rsidP="00EF666E">
            <w:pPr>
              <w:ind w:left="0" w:firstLine="0"/>
              <w:jc w:val="right"/>
              <w:rPr>
                <w:rFonts w:asciiTheme="minorHAnsi" w:eastAsia="Times New Roman" w:hAnsiTheme="minorHAnsi" w:cstheme="minorHAnsi"/>
                <w:b/>
                <w:bCs/>
                <w:sz w:val="20"/>
                <w:szCs w:val="20"/>
                <w:lang w:eastAsia="en-GB"/>
              </w:rPr>
            </w:pPr>
            <w:r w:rsidRPr="00DE6208">
              <w:rPr>
                <w:rFonts w:cs="Calibri"/>
                <w:b/>
                <w:bCs/>
              </w:rPr>
              <w:t>298</w:t>
            </w:r>
          </w:p>
        </w:tc>
        <w:tc>
          <w:tcPr>
            <w:tcW w:w="1276" w:type="dxa"/>
            <w:shd w:val="clear" w:color="auto" w:fill="D6E3BC" w:themeFill="accent3" w:themeFillTint="66"/>
            <w:noWrap/>
            <w:vAlign w:val="center"/>
          </w:tcPr>
          <w:p w14:paraId="5DB2B929" w14:textId="77777777" w:rsidR="00E921A2" w:rsidRPr="00DE6208" w:rsidRDefault="00E921A2" w:rsidP="00EF666E">
            <w:pPr>
              <w:ind w:left="0" w:firstLine="0"/>
              <w:jc w:val="right"/>
              <w:rPr>
                <w:rFonts w:asciiTheme="minorHAnsi" w:eastAsia="Times New Roman" w:hAnsiTheme="minorHAnsi" w:cstheme="minorHAnsi"/>
                <w:b/>
                <w:bCs/>
                <w:sz w:val="20"/>
                <w:szCs w:val="20"/>
                <w:lang w:eastAsia="en-GB"/>
              </w:rPr>
            </w:pPr>
            <w:r w:rsidRPr="00DE6208">
              <w:rPr>
                <w:rFonts w:cs="Calibri"/>
                <w:b/>
                <w:bCs/>
              </w:rPr>
              <w:t>437</w:t>
            </w:r>
          </w:p>
        </w:tc>
        <w:tc>
          <w:tcPr>
            <w:tcW w:w="1276" w:type="dxa"/>
            <w:shd w:val="clear" w:color="auto" w:fill="D6E3BC" w:themeFill="accent3" w:themeFillTint="66"/>
          </w:tcPr>
          <w:p w14:paraId="28BC91B0" w14:textId="086BE22F" w:rsidR="00E921A2" w:rsidRPr="00DE6208" w:rsidRDefault="00C94D44" w:rsidP="00EF666E">
            <w:pPr>
              <w:ind w:left="0" w:firstLine="0"/>
              <w:jc w:val="right"/>
              <w:rPr>
                <w:rFonts w:cs="Calibri"/>
                <w:b/>
                <w:bCs/>
              </w:rPr>
            </w:pPr>
            <w:r>
              <w:rPr>
                <w:rFonts w:cs="Calibri"/>
                <w:b/>
                <w:bCs/>
              </w:rPr>
              <w:t>28</w:t>
            </w:r>
          </w:p>
        </w:tc>
        <w:tc>
          <w:tcPr>
            <w:tcW w:w="1276" w:type="dxa"/>
            <w:shd w:val="clear" w:color="auto" w:fill="D6E3BC" w:themeFill="accent3" w:themeFillTint="66"/>
            <w:noWrap/>
            <w:vAlign w:val="center"/>
          </w:tcPr>
          <w:p w14:paraId="2C764831" w14:textId="6CB7DF29" w:rsidR="00E921A2" w:rsidRPr="00DE6208" w:rsidRDefault="00E921A2" w:rsidP="00C94D44">
            <w:pPr>
              <w:ind w:left="0" w:firstLine="0"/>
              <w:jc w:val="right"/>
              <w:rPr>
                <w:rFonts w:asciiTheme="minorHAnsi" w:eastAsia="Times New Roman" w:hAnsiTheme="minorHAnsi" w:cstheme="minorHAnsi"/>
                <w:b/>
                <w:bCs/>
                <w:sz w:val="20"/>
                <w:szCs w:val="20"/>
                <w:lang w:eastAsia="en-GB"/>
              </w:rPr>
            </w:pPr>
            <w:r w:rsidRPr="00DE6208">
              <w:rPr>
                <w:rFonts w:cs="Calibri"/>
                <w:b/>
                <w:bCs/>
              </w:rPr>
              <w:t>5,</w:t>
            </w:r>
            <w:r w:rsidR="00C94D44" w:rsidRPr="00DE6208">
              <w:rPr>
                <w:rFonts w:cs="Calibri"/>
                <w:b/>
                <w:bCs/>
              </w:rPr>
              <w:t>8</w:t>
            </w:r>
            <w:r w:rsidR="00C94D44">
              <w:rPr>
                <w:rFonts w:cs="Calibri"/>
                <w:b/>
                <w:bCs/>
              </w:rPr>
              <w:t>44</w:t>
            </w:r>
          </w:p>
        </w:tc>
      </w:tr>
    </w:tbl>
    <w:p w14:paraId="698FA019" w14:textId="6BFC79FC" w:rsidR="008D76BB" w:rsidRPr="00EF666E" w:rsidRDefault="009D13E0" w:rsidP="0012722A">
      <w:pPr>
        <w:ind w:left="0" w:right="-154" w:firstLine="0"/>
        <w:rPr>
          <w:sz w:val="20"/>
          <w:szCs w:val="20"/>
        </w:rPr>
      </w:pPr>
      <w:r w:rsidRPr="00EF666E">
        <w:rPr>
          <w:sz w:val="20"/>
          <w:szCs w:val="20"/>
        </w:rPr>
        <w:t>Notes</w:t>
      </w:r>
      <w:r w:rsidR="008D76BB" w:rsidRPr="00EF666E">
        <w:rPr>
          <w:sz w:val="20"/>
          <w:szCs w:val="20"/>
        </w:rPr>
        <w:t>:</w:t>
      </w:r>
    </w:p>
    <w:p w14:paraId="09D06700" w14:textId="0EB84A71" w:rsidR="00EF666E" w:rsidRPr="00EF666E" w:rsidRDefault="00EF666E" w:rsidP="00EF666E">
      <w:pPr>
        <w:ind w:left="0" w:right="-154" w:firstLine="0"/>
        <w:rPr>
          <w:sz w:val="20"/>
          <w:szCs w:val="20"/>
        </w:rPr>
      </w:pPr>
      <w:r w:rsidRPr="00EF666E">
        <w:rPr>
          <w:sz w:val="20"/>
          <w:szCs w:val="20"/>
        </w:rPr>
        <w:t>Column B – Resolution XIII.2 use of CHF 228K plus up to CHF 70K for 2019-2021 triennium</w:t>
      </w:r>
    </w:p>
    <w:p w14:paraId="1B0C2346" w14:textId="3DF048AA" w:rsidR="00EF666E" w:rsidRPr="00EF666E" w:rsidRDefault="00EF666E" w:rsidP="00EF666E">
      <w:pPr>
        <w:ind w:left="0" w:right="-154" w:firstLine="0"/>
        <w:rPr>
          <w:sz w:val="20"/>
          <w:szCs w:val="20"/>
        </w:rPr>
      </w:pPr>
      <w:r w:rsidRPr="00EF666E">
        <w:rPr>
          <w:sz w:val="20"/>
          <w:szCs w:val="20"/>
        </w:rPr>
        <w:t>Column C</w:t>
      </w:r>
      <w:r w:rsidRPr="00EF666E">
        <w:rPr>
          <w:b/>
          <w:sz w:val="20"/>
          <w:szCs w:val="20"/>
        </w:rPr>
        <w:t xml:space="preserve"> </w:t>
      </w:r>
      <w:r w:rsidRPr="00EF666E">
        <w:rPr>
          <w:sz w:val="20"/>
          <w:szCs w:val="20"/>
        </w:rPr>
        <w:t>– Committed from 2018 budget (see Table 1 and Paragraph 11)</w:t>
      </w:r>
    </w:p>
    <w:p w14:paraId="0D260125" w14:textId="61A65B96" w:rsidR="00A90341" w:rsidRPr="00BA0F3C" w:rsidRDefault="00EF666E" w:rsidP="0012722A">
      <w:pPr>
        <w:ind w:left="0" w:right="-154" w:firstLine="0"/>
        <w:rPr>
          <w:sz w:val="20"/>
          <w:szCs w:val="20"/>
          <w:highlight w:val="yellow"/>
        </w:rPr>
      </w:pPr>
      <w:r w:rsidRPr="00EF666E">
        <w:rPr>
          <w:sz w:val="20"/>
          <w:szCs w:val="20"/>
        </w:rPr>
        <w:t xml:space="preserve">Column D - </w:t>
      </w:r>
      <w:r w:rsidRPr="00EF666E">
        <w:rPr>
          <w:color w:val="000000"/>
          <w:sz w:val="20"/>
          <w:szCs w:val="20"/>
        </w:rPr>
        <w:t xml:space="preserve">Pre-committed from </w:t>
      </w:r>
      <w:r w:rsidRPr="00EF666E">
        <w:rPr>
          <w:color w:val="000000"/>
          <w:sz w:val="20"/>
          <w:szCs w:val="20"/>
        </w:rPr>
        <w:t xml:space="preserve">2017 </w:t>
      </w:r>
    </w:p>
    <w:sectPr w:rsidR="00A90341" w:rsidRPr="00BA0F3C" w:rsidSect="00CB6134">
      <w:headerReference w:type="default" r:id="rId8"/>
      <w:footerReference w:type="default" r:id="rId9"/>
      <w:pgSz w:w="11906" w:h="16838" w:code="9"/>
      <w:pgMar w:top="1440" w:right="1466"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AC1AF" w16cid:durableId="20AD4D2C"/>
  <w16cid:commentId w16cid:paraId="0BA8B006" w16cid:durableId="20AD4D2D"/>
  <w16cid:commentId w16cid:paraId="5791A884" w16cid:durableId="20AD4D2E"/>
  <w16cid:commentId w16cid:paraId="19C32D43" w16cid:durableId="20ADF882"/>
  <w16cid:commentId w16cid:paraId="25791C13" w16cid:durableId="20AD4D2F"/>
  <w16cid:commentId w16cid:paraId="19475659" w16cid:durableId="20ADF8A2"/>
  <w16cid:commentId w16cid:paraId="52A7489C" w16cid:durableId="20AD4D30"/>
  <w16cid:commentId w16cid:paraId="3A29B26E" w16cid:durableId="20AD4D31"/>
  <w16cid:commentId w16cid:paraId="7EDC1E1C" w16cid:durableId="20ADF8D8"/>
  <w16cid:commentId w16cid:paraId="00CC7CA7" w16cid:durableId="20AD4D32"/>
  <w16cid:commentId w16cid:paraId="62677C99" w16cid:durableId="20ADF928"/>
  <w16cid:commentId w16cid:paraId="1DD36E35" w16cid:durableId="20AD4D33"/>
  <w16cid:commentId w16cid:paraId="1A7A17E8" w16cid:durableId="20AD4D34"/>
  <w16cid:commentId w16cid:paraId="1A40060C" w16cid:durableId="20AD4D35"/>
  <w16cid:commentId w16cid:paraId="094D78CF" w16cid:durableId="20ADF957"/>
  <w16cid:commentId w16cid:paraId="0F25B948" w16cid:durableId="20AD4D36"/>
  <w16cid:commentId w16cid:paraId="64F589A6" w16cid:durableId="20ADF968"/>
  <w16cid:commentId w16cid:paraId="70E4FE4D" w16cid:durableId="20AD4D37"/>
  <w16cid:commentId w16cid:paraId="3EF5606B" w16cid:durableId="20AD4D38"/>
  <w16cid:commentId w16cid:paraId="59A04A85" w16cid:durableId="20AD4D39"/>
  <w16cid:commentId w16cid:paraId="517A649C" w16cid:durableId="20AD4D3A"/>
  <w16cid:commentId w16cid:paraId="4FB0AA0A" w16cid:durableId="20AD4D3B"/>
  <w16cid:commentId w16cid:paraId="08F61092" w16cid:durableId="20AD4D3C"/>
  <w16cid:commentId w16cid:paraId="632B32A4" w16cid:durableId="20AD4D3D"/>
  <w16cid:commentId w16cid:paraId="37EF5CED" w16cid:durableId="20ADF9CC"/>
  <w16cid:commentId w16cid:paraId="088F345F" w16cid:durableId="20AD4D3E"/>
  <w16cid:commentId w16cid:paraId="12DB7403" w16cid:durableId="20AD4D3F"/>
  <w16cid:commentId w16cid:paraId="2FECD055" w16cid:durableId="20AD4D40"/>
  <w16cid:commentId w16cid:paraId="563ED005" w16cid:durableId="20AD4D41"/>
  <w16cid:commentId w16cid:paraId="02CD8A51" w16cid:durableId="20AD4D42"/>
  <w16cid:commentId w16cid:paraId="08D90ABF" w16cid:durableId="20AD4D43"/>
  <w16cid:commentId w16cid:paraId="51EDA54A" w16cid:durableId="20ADFA1E"/>
  <w16cid:commentId w16cid:paraId="1F6F19B9" w16cid:durableId="20AD4D44"/>
  <w16cid:commentId w16cid:paraId="752F0509" w16cid:durableId="20AD4D45"/>
  <w16cid:commentId w16cid:paraId="74E07369" w16cid:durableId="20ADFA33"/>
  <w16cid:commentId w16cid:paraId="06F312F4" w16cid:durableId="20AD4D46"/>
  <w16cid:commentId w16cid:paraId="1BEEC6E9" w16cid:durableId="20ADFA8C"/>
  <w16cid:commentId w16cid:paraId="1AC7C338" w16cid:durableId="20AD4D47"/>
  <w16cid:commentId w16cid:paraId="38F1D853" w16cid:durableId="20AD4D48"/>
  <w16cid:commentId w16cid:paraId="1F46C015" w16cid:durableId="20AD4D49"/>
  <w16cid:commentId w16cid:paraId="6C3C67E9" w16cid:durableId="20AD4F05"/>
  <w16cid:commentId w16cid:paraId="4C69E720" w16cid:durableId="20AD4D4A"/>
  <w16cid:commentId w16cid:paraId="0F378C46" w16cid:durableId="20AD4D4B"/>
  <w16cid:commentId w16cid:paraId="707BDC58" w16cid:durableId="20AD4D4C"/>
  <w16cid:commentId w16cid:paraId="7D73E1D5" w16cid:durableId="20AD4D4D"/>
  <w16cid:commentId w16cid:paraId="5600D290" w16cid:durableId="20AD4D4E"/>
  <w16cid:commentId w16cid:paraId="533C1F73" w16cid:durableId="20AD4D4F"/>
  <w16cid:commentId w16cid:paraId="36379B13" w16cid:durableId="20AD4D50"/>
  <w16cid:commentId w16cid:paraId="72DACC1E" w16cid:durableId="20AD4D51"/>
  <w16cid:commentId w16cid:paraId="2097E36E" w16cid:durableId="20ADFB51"/>
  <w16cid:commentId w16cid:paraId="61A029FD" w16cid:durableId="20AD4D52"/>
  <w16cid:commentId w16cid:paraId="237FAAFD" w16cid:durableId="20AD4D53"/>
  <w16cid:commentId w16cid:paraId="3C2D0090" w16cid:durableId="20AD4D54"/>
  <w16cid:commentId w16cid:paraId="18EAD3E4" w16cid:durableId="20AD4D55"/>
  <w16cid:commentId w16cid:paraId="0B54C344" w16cid:durableId="20AD4D56"/>
  <w16cid:commentId w16cid:paraId="758C9DBF" w16cid:durableId="20AD4D57"/>
  <w16cid:commentId w16cid:paraId="1BDA7016" w16cid:durableId="20AD4D58"/>
  <w16cid:commentId w16cid:paraId="4F9001C5" w16cid:durableId="20ADFBD4"/>
  <w16cid:commentId w16cid:paraId="5DBAC90C" w16cid:durableId="20AD4D59"/>
  <w16cid:commentId w16cid:paraId="637D9BB3" w16cid:durableId="20ADFC31"/>
  <w16cid:commentId w16cid:paraId="020FFB24" w16cid:durableId="20AD4D5A"/>
  <w16cid:commentId w16cid:paraId="75DD0E47" w16cid:durableId="20AD4D5B"/>
  <w16cid:commentId w16cid:paraId="4F1064CC" w16cid:durableId="20AD4D5C"/>
  <w16cid:commentId w16cid:paraId="1DE29242" w16cid:durableId="20AD4D5D"/>
  <w16cid:commentId w16cid:paraId="216C0FCF" w16cid:durableId="20ADFC75"/>
  <w16cid:commentId w16cid:paraId="125189B6" w16cid:durableId="20AD4D5E"/>
  <w16cid:commentId w16cid:paraId="7E01078E" w16cid:durableId="20ADFCA3"/>
  <w16cid:commentId w16cid:paraId="2C549BC3" w16cid:durableId="20AD4D5F"/>
  <w16cid:commentId w16cid:paraId="470811F8" w16cid:durableId="20ADF835"/>
  <w16cid:commentId w16cid:paraId="3AE1FB09" w16cid:durableId="20ADFD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580B" w14:textId="77777777" w:rsidR="00DD11D8" w:rsidRDefault="00DD11D8" w:rsidP="00DF2386">
      <w:r>
        <w:separator/>
      </w:r>
    </w:p>
  </w:endnote>
  <w:endnote w:type="continuationSeparator" w:id="0">
    <w:p w14:paraId="693967ED" w14:textId="77777777" w:rsidR="00DD11D8" w:rsidRDefault="00DD11D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35FED455" w:rsidR="00DD11D8" w:rsidRDefault="00DD11D8" w:rsidP="002137E0">
    <w:pPr>
      <w:pStyle w:val="Header"/>
      <w:rPr>
        <w:noProof/>
      </w:rPr>
    </w:pPr>
    <w:r>
      <w:rPr>
        <w:sz w:val="20"/>
        <w:szCs w:val="20"/>
      </w:rPr>
      <w:t>SC57 Doc.7.1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D23F7">
          <w:rPr>
            <w:noProof/>
            <w:sz w:val="20"/>
            <w:szCs w:val="20"/>
          </w:rPr>
          <w:t>17</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CF57" w14:textId="77777777" w:rsidR="00DD11D8" w:rsidRDefault="00DD11D8" w:rsidP="00DF2386">
      <w:r>
        <w:separator/>
      </w:r>
    </w:p>
  </w:footnote>
  <w:footnote w:type="continuationSeparator" w:id="0">
    <w:p w14:paraId="045AF0A9" w14:textId="77777777" w:rsidR="00DD11D8" w:rsidRDefault="00DD11D8" w:rsidP="00DF2386">
      <w:r>
        <w:continuationSeparator/>
      </w:r>
    </w:p>
  </w:footnote>
  <w:footnote w:id="1">
    <w:p w14:paraId="3815565D" w14:textId="6C1F7254" w:rsidR="00DD11D8" w:rsidRDefault="00DD11D8" w:rsidP="00CB6134">
      <w:pPr>
        <w:pStyle w:val="FootnoteText"/>
      </w:pPr>
      <w:r>
        <w:rPr>
          <w:rStyle w:val="FootnoteReference"/>
        </w:rPr>
        <w:footnoteRef/>
      </w:r>
      <w:r>
        <w:t xml:space="preserve"> </w:t>
      </w:r>
      <w:hyperlink r:id="rId1" w:history="1">
        <w:r>
          <w:rPr>
            <w:rStyle w:val="Hyperlink"/>
          </w:rPr>
          <w:t>https://www.ramsar.org/document/repor</w:t>
        </w:r>
        <w:r>
          <w:rPr>
            <w:rStyle w:val="Hyperlink"/>
          </w:rPr>
          <w:t>t</w:t>
        </w:r>
        <w:r>
          <w:rPr>
            <w:rStyle w:val="Hyperlink"/>
          </w:rPr>
          <w:t>-of-the-auditor-on-the-financial-statements-2018</w:t>
        </w:r>
      </w:hyperlink>
    </w:p>
  </w:footnote>
  <w:footnote w:id="2">
    <w:p w14:paraId="3371C7ED" w14:textId="4116CA7C" w:rsidR="00DD11D8" w:rsidRDefault="00DD11D8" w:rsidP="004C6D8E">
      <w:pPr>
        <w:pStyle w:val="FootnoteText"/>
        <w:ind w:left="0" w:firstLine="0"/>
      </w:pPr>
      <w:r>
        <w:rPr>
          <w:rStyle w:val="FootnoteReference"/>
        </w:rPr>
        <w:footnoteRef/>
      </w:r>
      <w:r>
        <w:t xml:space="preserve"> Out of the 2016 surplus of CHF 510K, CHF 189K was allocated to the 2018 budget and out of the 2017 surplus of </w:t>
      </w:r>
      <w:r w:rsidRPr="0081351B">
        <w:t>CHF 825K, C</w:t>
      </w:r>
      <w:r>
        <w:t xml:space="preserve">HF 225K was allocated to the 2018 budget </w:t>
      </w:r>
      <w:r w:rsidRPr="00184E6B">
        <w:t xml:space="preserve">(see </w:t>
      </w:r>
      <w:r>
        <w:t xml:space="preserve">Decision </w:t>
      </w:r>
      <w:r w:rsidRPr="00184E6B">
        <w:t>SC54-26).</w:t>
      </w:r>
    </w:p>
  </w:footnote>
  <w:footnote w:id="3">
    <w:p w14:paraId="14D1F6CE" w14:textId="6B8A8AA7" w:rsidR="00DD11D8" w:rsidRDefault="00DD11D8">
      <w:pPr>
        <w:pStyle w:val="FootnoteText"/>
      </w:pPr>
      <w:r>
        <w:rPr>
          <w:rStyle w:val="FootnoteReference"/>
        </w:rPr>
        <w:footnoteRef/>
      </w:r>
      <w:r>
        <w:t xml:space="preserve"> </w:t>
      </w:r>
      <w:hyperlink r:id="rId2" w:history="1">
        <w:r>
          <w:rPr>
            <w:rStyle w:val="Hyperlink"/>
          </w:rPr>
          <w:t>https://www.ramsar.org/document/sc55-doc82-iucn-review-of-non-core-finances</w:t>
        </w:r>
      </w:hyperlink>
    </w:p>
  </w:footnote>
  <w:footnote w:id="4">
    <w:p w14:paraId="3D3778E3" w14:textId="1628DA3F" w:rsidR="004D0F14" w:rsidRDefault="004D0F14" w:rsidP="004D0F14">
      <w:pPr>
        <w:pStyle w:val="FootnoteText"/>
        <w:ind w:left="0" w:firstLine="0"/>
      </w:pPr>
      <w:r w:rsidRPr="00DF47CD">
        <w:rPr>
          <w:rStyle w:val="FootnoteReference"/>
        </w:rPr>
        <w:footnoteRef/>
      </w:r>
      <w:r w:rsidRPr="00DF47CD">
        <w:t xml:space="preserve"> See Notes to the Financial Statements, </w:t>
      </w:r>
      <w:r w:rsidRPr="00DF47CD">
        <w:rPr>
          <w:i/>
        </w:rPr>
        <w:t>Report of the auditor on the financial statements 2018</w:t>
      </w:r>
      <w:r w:rsidRPr="00DF47CD">
        <w:rPr>
          <w:i/>
        </w:rPr>
        <w:t xml:space="preserve"> </w:t>
      </w:r>
      <w:r w:rsidRPr="00DF47CD">
        <w:t xml:space="preserve"> </w:t>
      </w:r>
      <w:hyperlink r:id="rId3" w:history="1">
        <w:r w:rsidRPr="00DF47CD">
          <w:rPr>
            <w:rStyle w:val="Hyperlink"/>
          </w:rPr>
          <w:t>https://www.ramsar.org/document/report-of-the-auditor-on-the-financial-statements-2018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9929" w14:textId="77777777" w:rsidR="00DD11D8" w:rsidRDefault="00DD11D8">
    <w:pPr>
      <w:pStyle w:val="Header"/>
    </w:pPr>
  </w:p>
  <w:p w14:paraId="6D2485F2" w14:textId="77777777" w:rsidR="00DD11D8" w:rsidRDefault="00DD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5D80"/>
    <w:rsid w:val="00006CF6"/>
    <w:rsid w:val="00007908"/>
    <w:rsid w:val="0001295D"/>
    <w:rsid w:val="00013B5D"/>
    <w:rsid w:val="00014168"/>
    <w:rsid w:val="00017A16"/>
    <w:rsid w:val="00020298"/>
    <w:rsid w:val="00020C2D"/>
    <w:rsid w:val="00020C56"/>
    <w:rsid w:val="00024104"/>
    <w:rsid w:val="0002452B"/>
    <w:rsid w:val="00024E01"/>
    <w:rsid w:val="00025210"/>
    <w:rsid w:val="00026E09"/>
    <w:rsid w:val="0002761D"/>
    <w:rsid w:val="000279C5"/>
    <w:rsid w:val="00027FCD"/>
    <w:rsid w:val="00034C8A"/>
    <w:rsid w:val="00037CE0"/>
    <w:rsid w:val="0004214F"/>
    <w:rsid w:val="00044E37"/>
    <w:rsid w:val="000506B6"/>
    <w:rsid w:val="00053929"/>
    <w:rsid w:val="00056AA6"/>
    <w:rsid w:val="00062093"/>
    <w:rsid w:val="0006294A"/>
    <w:rsid w:val="0006326D"/>
    <w:rsid w:val="00063F47"/>
    <w:rsid w:val="00064EA7"/>
    <w:rsid w:val="00067EDC"/>
    <w:rsid w:val="00074DE8"/>
    <w:rsid w:val="000776EE"/>
    <w:rsid w:val="0008295B"/>
    <w:rsid w:val="00082D5E"/>
    <w:rsid w:val="000844F9"/>
    <w:rsid w:val="0008758E"/>
    <w:rsid w:val="000875B8"/>
    <w:rsid w:val="00095913"/>
    <w:rsid w:val="00097C4A"/>
    <w:rsid w:val="000A0568"/>
    <w:rsid w:val="000A212C"/>
    <w:rsid w:val="000A3E3E"/>
    <w:rsid w:val="000B0EA8"/>
    <w:rsid w:val="000B13F3"/>
    <w:rsid w:val="000B1951"/>
    <w:rsid w:val="000B2759"/>
    <w:rsid w:val="000B2D8F"/>
    <w:rsid w:val="000B380C"/>
    <w:rsid w:val="000B6881"/>
    <w:rsid w:val="000C10F5"/>
    <w:rsid w:val="000C240E"/>
    <w:rsid w:val="000C2489"/>
    <w:rsid w:val="000C3FCA"/>
    <w:rsid w:val="000C57BA"/>
    <w:rsid w:val="000D1BFA"/>
    <w:rsid w:val="000D5C76"/>
    <w:rsid w:val="000D6AC7"/>
    <w:rsid w:val="000E2FA0"/>
    <w:rsid w:val="000E47E9"/>
    <w:rsid w:val="000F001B"/>
    <w:rsid w:val="000F435C"/>
    <w:rsid w:val="000F547A"/>
    <w:rsid w:val="000F710F"/>
    <w:rsid w:val="001002FA"/>
    <w:rsid w:val="001032EA"/>
    <w:rsid w:val="00105D6D"/>
    <w:rsid w:val="00112016"/>
    <w:rsid w:val="0011271D"/>
    <w:rsid w:val="00112F62"/>
    <w:rsid w:val="00115F0E"/>
    <w:rsid w:val="0012096C"/>
    <w:rsid w:val="0012223B"/>
    <w:rsid w:val="0012252E"/>
    <w:rsid w:val="00123E7D"/>
    <w:rsid w:val="0012507E"/>
    <w:rsid w:val="00126808"/>
    <w:rsid w:val="0012722A"/>
    <w:rsid w:val="00127828"/>
    <w:rsid w:val="00127B41"/>
    <w:rsid w:val="0013219D"/>
    <w:rsid w:val="00133C51"/>
    <w:rsid w:val="00134BDB"/>
    <w:rsid w:val="0013536D"/>
    <w:rsid w:val="00143C80"/>
    <w:rsid w:val="00144820"/>
    <w:rsid w:val="00145434"/>
    <w:rsid w:val="001458BE"/>
    <w:rsid w:val="00150E18"/>
    <w:rsid w:val="00151B98"/>
    <w:rsid w:val="00152AA1"/>
    <w:rsid w:val="00155171"/>
    <w:rsid w:val="00155F5F"/>
    <w:rsid w:val="001571E1"/>
    <w:rsid w:val="001614FA"/>
    <w:rsid w:val="00161BDA"/>
    <w:rsid w:val="001653A7"/>
    <w:rsid w:val="00165F44"/>
    <w:rsid w:val="001670DE"/>
    <w:rsid w:val="00171618"/>
    <w:rsid w:val="00172AC9"/>
    <w:rsid w:val="001730E3"/>
    <w:rsid w:val="001748F5"/>
    <w:rsid w:val="00175433"/>
    <w:rsid w:val="001757C1"/>
    <w:rsid w:val="00175B8C"/>
    <w:rsid w:val="00176A64"/>
    <w:rsid w:val="00176B34"/>
    <w:rsid w:val="001808B3"/>
    <w:rsid w:val="001819B1"/>
    <w:rsid w:val="00183EDE"/>
    <w:rsid w:val="00184E6B"/>
    <w:rsid w:val="0018553C"/>
    <w:rsid w:val="001855E9"/>
    <w:rsid w:val="00186339"/>
    <w:rsid w:val="00195107"/>
    <w:rsid w:val="0019556E"/>
    <w:rsid w:val="00195A41"/>
    <w:rsid w:val="001968D7"/>
    <w:rsid w:val="00196992"/>
    <w:rsid w:val="001A1EBA"/>
    <w:rsid w:val="001A29A6"/>
    <w:rsid w:val="001A2D10"/>
    <w:rsid w:val="001A3EA4"/>
    <w:rsid w:val="001A4DA4"/>
    <w:rsid w:val="001B20EC"/>
    <w:rsid w:val="001B551E"/>
    <w:rsid w:val="001B67AA"/>
    <w:rsid w:val="001B6A54"/>
    <w:rsid w:val="001C0243"/>
    <w:rsid w:val="001C5386"/>
    <w:rsid w:val="001C5E41"/>
    <w:rsid w:val="001C77BC"/>
    <w:rsid w:val="001D0741"/>
    <w:rsid w:val="001D0B77"/>
    <w:rsid w:val="001D1E46"/>
    <w:rsid w:val="001D2107"/>
    <w:rsid w:val="001D3FD1"/>
    <w:rsid w:val="001D48BB"/>
    <w:rsid w:val="001D58A8"/>
    <w:rsid w:val="001D5B80"/>
    <w:rsid w:val="001D71EF"/>
    <w:rsid w:val="001E00E3"/>
    <w:rsid w:val="001E0171"/>
    <w:rsid w:val="001E2987"/>
    <w:rsid w:val="001E45FF"/>
    <w:rsid w:val="001E7677"/>
    <w:rsid w:val="001E7B2D"/>
    <w:rsid w:val="001E7FA6"/>
    <w:rsid w:val="001F1F7D"/>
    <w:rsid w:val="001F2349"/>
    <w:rsid w:val="001F3DC3"/>
    <w:rsid w:val="001F4117"/>
    <w:rsid w:val="001F657E"/>
    <w:rsid w:val="001F79E9"/>
    <w:rsid w:val="002005D2"/>
    <w:rsid w:val="00201722"/>
    <w:rsid w:val="0020298B"/>
    <w:rsid w:val="002038EA"/>
    <w:rsid w:val="00206111"/>
    <w:rsid w:val="00206AF7"/>
    <w:rsid w:val="00211A70"/>
    <w:rsid w:val="00212942"/>
    <w:rsid w:val="002137E0"/>
    <w:rsid w:val="00213C8C"/>
    <w:rsid w:val="00215D0B"/>
    <w:rsid w:val="00216155"/>
    <w:rsid w:val="002214D7"/>
    <w:rsid w:val="00222BB0"/>
    <w:rsid w:val="002238A2"/>
    <w:rsid w:val="002249B1"/>
    <w:rsid w:val="002253A7"/>
    <w:rsid w:val="0023074E"/>
    <w:rsid w:val="0023128B"/>
    <w:rsid w:val="002314B9"/>
    <w:rsid w:val="00235E12"/>
    <w:rsid w:val="0023713D"/>
    <w:rsid w:val="00242921"/>
    <w:rsid w:val="00242C38"/>
    <w:rsid w:val="00245529"/>
    <w:rsid w:val="002468FA"/>
    <w:rsid w:val="0024781C"/>
    <w:rsid w:val="00255D02"/>
    <w:rsid w:val="00255EF0"/>
    <w:rsid w:val="00257DB6"/>
    <w:rsid w:val="00264D73"/>
    <w:rsid w:val="00271D3D"/>
    <w:rsid w:val="00273609"/>
    <w:rsid w:val="00273B0B"/>
    <w:rsid w:val="00273EDF"/>
    <w:rsid w:val="002741AC"/>
    <w:rsid w:val="00275C41"/>
    <w:rsid w:val="00275D94"/>
    <w:rsid w:val="00275F13"/>
    <w:rsid w:val="0027691D"/>
    <w:rsid w:val="00280B31"/>
    <w:rsid w:val="002819C0"/>
    <w:rsid w:val="00284478"/>
    <w:rsid w:val="00295556"/>
    <w:rsid w:val="00295BB5"/>
    <w:rsid w:val="002A1BB6"/>
    <w:rsid w:val="002A1D70"/>
    <w:rsid w:val="002A5A4D"/>
    <w:rsid w:val="002A5B1A"/>
    <w:rsid w:val="002A6728"/>
    <w:rsid w:val="002B0D26"/>
    <w:rsid w:val="002B10BB"/>
    <w:rsid w:val="002B27B1"/>
    <w:rsid w:val="002B402A"/>
    <w:rsid w:val="002B419F"/>
    <w:rsid w:val="002B4262"/>
    <w:rsid w:val="002B478C"/>
    <w:rsid w:val="002B4EEA"/>
    <w:rsid w:val="002B503B"/>
    <w:rsid w:val="002B60B8"/>
    <w:rsid w:val="002B7987"/>
    <w:rsid w:val="002C0F62"/>
    <w:rsid w:val="002C293C"/>
    <w:rsid w:val="002C4FFE"/>
    <w:rsid w:val="002D3CC9"/>
    <w:rsid w:val="002D5184"/>
    <w:rsid w:val="002D5A4D"/>
    <w:rsid w:val="002D6DD5"/>
    <w:rsid w:val="002D76F8"/>
    <w:rsid w:val="002E0DFE"/>
    <w:rsid w:val="002E1255"/>
    <w:rsid w:val="002E22AF"/>
    <w:rsid w:val="002E2EC4"/>
    <w:rsid w:val="002E3398"/>
    <w:rsid w:val="002E3C7E"/>
    <w:rsid w:val="002E5B1D"/>
    <w:rsid w:val="002E6166"/>
    <w:rsid w:val="002F0826"/>
    <w:rsid w:val="002F2543"/>
    <w:rsid w:val="002F2D08"/>
    <w:rsid w:val="002F4CFC"/>
    <w:rsid w:val="002F5B7C"/>
    <w:rsid w:val="002F6793"/>
    <w:rsid w:val="00301BD4"/>
    <w:rsid w:val="00302FEE"/>
    <w:rsid w:val="00302FF3"/>
    <w:rsid w:val="0030357A"/>
    <w:rsid w:val="00306F34"/>
    <w:rsid w:val="00311940"/>
    <w:rsid w:val="00315503"/>
    <w:rsid w:val="003165A3"/>
    <w:rsid w:val="00317471"/>
    <w:rsid w:val="003204BB"/>
    <w:rsid w:val="00320D9B"/>
    <w:rsid w:val="00321C39"/>
    <w:rsid w:val="00321D0D"/>
    <w:rsid w:val="00324398"/>
    <w:rsid w:val="003243FB"/>
    <w:rsid w:val="00324E91"/>
    <w:rsid w:val="003254DB"/>
    <w:rsid w:val="00326625"/>
    <w:rsid w:val="00327DAF"/>
    <w:rsid w:val="003323B0"/>
    <w:rsid w:val="00332FCB"/>
    <w:rsid w:val="00335504"/>
    <w:rsid w:val="00336A77"/>
    <w:rsid w:val="00337CA6"/>
    <w:rsid w:val="00340811"/>
    <w:rsid w:val="00343932"/>
    <w:rsid w:val="003439AE"/>
    <w:rsid w:val="0034574A"/>
    <w:rsid w:val="00345828"/>
    <w:rsid w:val="00346BD5"/>
    <w:rsid w:val="0035205F"/>
    <w:rsid w:val="003523B0"/>
    <w:rsid w:val="003531DE"/>
    <w:rsid w:val="00357790"/>
    <w:rsid w:val="00363545"/>
    <w:rsid w:val="003644C5"/>
    <w:rsid w:val="003667FF"/>
    <w:rsid w:val="003672B9"/>
    <w:rsid w:val="003736CC"/>
    <w:rsid w:val="00376478"/>
    <w:rsid w:val="003802F2"/>
    <w:rsid w:val="00383F07"/>
    <w:rsid w:val="00384FC3"/>
    <w:rsid w:val="00385FC5"/>
    <w:rsid w:val="003906A4"/>
    <w:rsid w:val="003A0924"/>
    <w:rsid w:val="003A168F"/>
    <w:rsid w:val="003A3804"/>
    <w:rsid w:val="003A3AE1"/>
    <w:rsid w:val="003A415A"/>
    <w:rsid w:val="003A52BE"/>
    <w:rsid w:val="003A5866"/>
    <w:rsid w:val="003A6989"/>
    <w:rsid w:val="003A6E9F"/>
    <w:rsid w:val="003B0BC9"/>
    <w:rsid w:val="003B2F42"/>
    <w:rsid w:val="003C048D"/>
    <w:rsid w:val="003C2E56"/>
    <w:rsid w:val="003C35D2"/>
    <w:rsid w:val="003C5CE3"/>
    <w:rsid w:val="003D02F4"/>
    <w:rsid w:val="003D0862"/>
    <w:rsid w:val="003D1E05"/>
    <w:rsid w:val="003D4CD6"/>
    <w:rsid w:val="003D6105"/>
    <w:rsid w:val="003D733E"/>
    <w:rsid w:val="003E2167"/>
    <w:rsid w:val="003E3555"/>
    <w:rsid w:val="003E44D9"/>
    <w:rsid w:val="003E7324"/>
    <w:rsid w:val="003F65E9"/>
    <w:rsid w:val="00400F6E"/>
    <w:rsid w:val="00401624"/>
    <w:rsid w:val="0040226B"/>
    <w:rsid w:val="004142A8"/>
    <w:rsid w:val="00421152"/>
    <w:rsid w:val="004228C7"/>
    <w:rsid w:val="0042566B"/>
    <w:rsid w:val="0042598C"/>
    <w:rsid w:val="0042798B"/>
    <w:rsid w:val="00432A60"/>
    <w:rsid w:val="00434913"/>
    <w:rsid w:val="00440644"/>
    <w:rsid w:val="00441474"/>
    <w:rsid w:val="004426DF"/>
    <w:rsid w:val="0044415F"/>
    <w:rsid w:val="00444598"/>
    <w:rsid w:val="00445E61"/>
    <w:rsid w:val="004474F8"/>
    <w:rsid w:val="004479ED"/>
    <w:rsid w:val="00450A97"/>
    <w:rsid w:val="00457280"/>
    <w:rsid w:val="00457C23"/>
    <w:rsid w:val="00460BC0"/>
    <w:rsid w:val="00465271"/>
    <w:rsid w:val="004669A9"/>
    <w:rsid w:val="00466E1C"/>
    <w:rsid w:val="00467887"/>
    <w:rsid w:val="0047303C"/>
    <w:rsid w:val="00474E0B"/>
    <w:rsid w:val="004753C0"/>
    <w:rsid w:val="0047725A"/>
    <w:rsid w:val="00477550"/>
    <w:rsid w:val="00483069"/>
    <w:rsid w:val="00483CE3"/>
    <w:rsid w:val="004844A8"/>
    <w:rsid w:val="00486F1A"/>
    <w:rsid w:val="00487D67"/>
    <w:rsid w:val="00492D48"/>
    <w:rsid w:val="0049606F"/>
    <w:rsid w:val="004963DA"/>
    <w:rsid w:val="00496803"/>
    <w:rsid w:val="004A1C0C"/>
    <w:rsid w:val="004A2ABC"/>
    <w:rsid w:val="004A2F10"/>
    <w:rsid w:val="004A3FFD"/>
    <w:rsid w:val="004A4983"/>
    <w:rsid w:val="004A50E5"/>
    <w:rsid w:val="004A565C"/>
    <w:rsid w:val="004A61B3"/>
    <w:rsid w:val="004B185D"/>
    <w:rsid w:val="004B64A4"/>
    <w:rsid w:val="004B6688"/>
    <w:rsid w:val="004B6DE6"/>
    <w:rsid w:val="004C03D9"/>
    <w:rsid w:val="004C325C"/>
    <w:rsid w:val="004C3CBA"/>
    <w:rsid w:val="004C504A"/>
    <w:rsid w:val="004C6D8E"/>
    <w:rsid w:val="004C7511"/>
    <w:rsid w:val="004D0F14"/>
    <w:rsid w:val="004D203A"/>
    <w:rsid w:val="004D20BE"/>
    <w:rsid w:val="004D23F7"/>
    <w:rsid w:val="004D30AB"/>
    <w:rsid w:val="004D7734"/>
    <w:rsid w:val="004E06D3"/>
    <w:rsid w:val="004E1047"/>
    <w:rsid w:val="004E391E"/>
    <w:rsid w:val="004E6A21"/>
    <w:rsid w:val="004F24E7"/>
    <w:rsid w:val="004F31FF"/>
    <w:rsid w:val="004F4ED1"/>
    <w:rsid w:val="00500CA7"/>
    <w:rsid w:val="00501D4A"/>
    <w:rsid w:val="00502524"/>
    <w:rsid w:val="00507CA3"/>
    <w:rsid w:val="00510BD7"/>
    <w:rsid w:val="00511834"/>
    <w:rsid w:val="00515275"/>
    <w:rsid w:val="00517760"/>
    <w:rsid w:val="005202CD"/>
    <w:rsid w:val="00520A09"/>
    <w:rsid w:val="005210D8"/>
    <w:rsid w:val="005215EB"/>
    <w:rsid w:val="0052275F"/>
    <w:rsid w:val="005244A4"/>
    <w:rsid w:val="005247E1"/>
    <w:rsid w:val="00526B39"/>
    <w:rsid w:val="0052703D"/>
    <w:rsid w:val="005271A6"/>
    <w:rsid w:val="0052720A"/>
    <w:rsid w:val="00527783"/>
    <w:rsid w:val="005360D1"/>
    <w:rsid w:val="00540CB6"/>
    <w:rsid w:val="00540FEB"/>
    <w:rsid w:val="00541F61"/>
    <w:rsid w:val="00542521"/>
    <w:rsid w:val="00542F90"/>
    <w:rsid w:val="00544E1D"/>
    <w:rsid w:val="00545582"/>
    <w:rsid w:val="00552061"/>
    <w:rsid w:val="00555956"/>
    <w:rsid w:val="0056228F"/>
    <w:rsid w:val="00562F9E"/>
    <w:rsid w:val="005679B4"/>
    <w:rsid w:val="00580695"/>
    <w:rsid w:val="00580871"/>
    <w:rsid w:val="005814B5"/>
    <w:rsid w:val="00581829"/>
    <w:rsid w:val="00582723"/>
    <w:rsid w:val="0058392B"/>
    <w:rsid w:val="0058398D"/>
    <w:rsid w:val="00586A7E"/>
    <w:rsid w:val="00586C35"/>
    <w:rsid w:val="00591F68"/>
    <w:rsid w:val="00592B40"/>
    <w:rsid w:val="005975E2"/>
    <w:rsid w:val="005A4408"/>
    <w:rsid w:val="005A4CF1"/>
    <w:rsid w:val="005A7A18"/>
    <w:rsid w:val="005B6CE5"/>
    <w:rsid w:val="005C102F"/>
    <w:rsid w:val="005C136E"/>
    <w:rsid w:val="005C4B91"/>
    <w:rsid w:val="005C509C"/>
    <w:rsid w:val="005C53F3"/>
    <w:rsid w:val="005C665A"/>
    <w:rsid w:val="005D00D4"/>
    <w:rsid w:val="005D0F51"/>
    <w:rsid w:val="005D3E9D"/>
    <w:rsid w:val="005D43A8"/>
    <w:rsid w:val="005D4EFF"/>
    <w:rsid w:val="005E160C"/>
    <w:rsid w:val="005E321B"/>
    <w:rsid w:val="005E4B12"/>
    <w:rsid w:val="005E6E2E"/>
    <w:rsid w:val="005E761F"/>
    <w:rsid w:val="005F093A"/>
    <w:rsid w:val="00600BDE"/>
    <w:rsid w:val="00600E5B"/>
    <w:rsid w:val="00601130"/>
    <w:rsid w:val="00601404"/>
    <w:rsid w:val="006137D4"/>
    <w:rsid w:val="0062158F"/>
    <w:rsid w:val="00624B6F"/>
    <w:rsid w:val="006256D3"/>
    <w:rsid w:val="00625BC9"/>
    <w:rsid w:val="00626ACC"/>
    <w:rsid w:val="006270A9"/>
    <w:rsid w:val="00627BB7"/>
    <w:rsid w:val="00627E65"/>
    <w:rsid w:val="00633CFE"/>
    <w:rsid w:val="00633DD5"/>
    <w:rsid w:val="00636B62"/>
    <w:rsid w:val="0064183C"/>
    <w:rsid w:val="00644A13"/>
    <w:rsid w:val="00645C8C"/>
    <w:rsid w:val="006464E3"/>
    <w:rsid w:val="0065136E"/>
    <w:rsid w:val="006567F6"/>
    <w:rsid w:val="00656BBF"/>
    <w:rsid w:val="006574AD"/>
    <w:rsid w:val="00660691"/>
    <w:rsid w:val="00661E90"/>
    <w:rsid w:val="006656E1"/>
    <w:rsid w:val="00665B62"/>
    <w:rsid w:val="00670D71"/>
    <w:rsid w:val="00676267"/>
    <w:rsid w:val="00676B0D"/>
    <w:rsid w:val="00676F93"/>
    <w:rsid w:val="006819FA"/>
    <w:rsid w:val="0068385F"/>
    <w:rsid w:val="006874C9"/>
    <w:rsid w:val="006923A9"/>
    <w:rsid w:val="006924D5"/>
    <w:rsid w:val="006941B2"/>
    <w:rsid w:val="00695735"/>
    <w:rsid w:val="006A0B54"/>
    <w:rsid w:val="006A102F"/>
    <w:rsid w:val="006A2C8D"/>
    <w:rsid w:val="006A4032"/>
    <w:rsid w:val="006A4C5B"/>
    <w:rsid w:val="006A7C3C"/>
    <w:rsid w:val="006A7F7E"/>
    <w:rsid w:val="006B2AFB"/>
    <w:rsid w:val="006B74A1"/>
    <w:rsid w:val="006C0D7B"/>
    <w:rsid w:val="006C1657"/>
    <w:rsid w:val="006C4E73"/>
    <w:rsid w:val="006C72B2"/>
    <w:rsid w:val="006D37D1"/>
    <w:rsid w:val="006D4FE3"/>
    <w:rsid w:val="006D7EBC"/>
    <w:rsid w:val="006E3E7E"/>
    <w:rsid w:val="006E53B3"/>
    <w:rsid w:val="006E735B"/>
    <w:rsid w:val="006E7DCE"/>
    <w:rsid w:val="006F5710"/>
    <w:rsid w:val="006F5D9A"/>
    <w:rsid w:val="00701409"/>
    <w:rsid w:val="0070238D"/>
    <w:rsid w:val="00703094"/>
    <w:rsid w:val="007050FF"/>
    <w:rsid w:val="00706EAB"/>
    <w:rsid w:val="00710D2E"/>
    <w:rsid w:val="00711BC0"/>
    <w:rsid w:val="00715CB9"/>
    <w:rsid w:val="00716705"/>
    <w:rsid w:val="00720F75"/>
    <w:rsid w:val="007221A9"/>
    <w:rsid w:val="0072227C"/>
    <w:rsid w:val="0072232A"/>
    <w:rsid w:val="00722C56"/>
    <w:rsid w:val="00722C82"/>
    <w:rsid w:val="007231DF"/>
    <w:rsid w:val="007239DA"/>
    <w:rsid w:val="00732405"/>
    <w:rsid w:val="00732B82"/>
    <w:rsid w:val="00736511"/>
    <w:rsid w:val="0074567B"/>
    <w:rsid w:val="00751B3E"/>
    <w:rsid w:val="00751CEA"/>
    <w:rsid w:val="00752764"/>
    <w:rsid w:val="0075376A"/>
    <w:rsid w:val="00755504"/>
    <w:rsid w:val="007558F4"/>
    <w:rsid w:val="00755F14"/>
    <w:rsid w:val="00756669"/>
    <w:rsid w:val="00756E28"/>
    <w:rsid w:val="00757D03"/>
    <w:rsid w:val="007650B5"/>
    <w:rsid w:val="00766962"/>
    <w:rsid w:val="0076745F"/>
    <w:rsid w:val="00771645"/>
    <w:rsid w:val="00772106"/>
    <w:rsid w:val="0077267E"/>
    <w:rsid w:val="00772F09"/>
    <w:rsid w:val="00775287"/>
    <w:rsid w:val="0077681D"/>
    <w:rsid w:val="00776C90"/>
    <w:rsid w:val="0078678C"/>
    <w:rsid w:val="007867BB"/>
    <w:rsid w:val="00792EB2"/>
    <w:rsid w:val="007933C8"/>
    <w:rsid w:val="00793F47"/>
    <w:rsid w:val="00796924"/>
    <w:rsid w:val="007A0716"/>
    <w:rsid w:val="007A1335"/>
    <w:rsid w:val="007A2A6E"/>
    <w:rsid w:val="007A2D1C"/>
    <w:rsid w:val="007A3CB6"/>
    <w:rsid w:val="007A4875"/>
    <w:rsid w:val="007A6CC3"/>
    <w:rsid w:val="007B18DD"/>
    <w:rsid w:val="007B1E33"/>
    <w:rsid w:val="007B2641"/>
    <w:rsid w:val="007B531C"/>
    <w:rsid w:val="007C01AC"/>
    <w:rsid w:val="007C47AE"/>
    <w:rsid w:val="007C5105"/>
    <w:rsid w:val="007C6E09"/>
    <w:rsid w:val="007C7095"/>
    <w:rsid w:val="007D0AE2"/>
    <w:rsid w:val="007D188B"/>
    <w:rsid w:val="007D33F4"/>
    <w:rsid w:val="007D6DA7"/>
    <w:rsid w:val="007E0A1A"/>
    <w:rsid w:val="007E0EA4"/>
    <w:rsid w:val="007E2D4B"/>
    <w:rsid w:val="007E33F7"/>
    <w:rsid w:val="007E471B"/>
    <w:rsid w:val="007F3094"/>
    <w:rsid w:val="007F3ABE"/>
    <w:rsid w:val="007F501B"/>
    <w:rsid w:val="007F5D74"/>
    <w:rsid w:val="007F6533"/>
    <w:rsid w:val="00801FCF"/>
    <w:rsid w:val="00805B32"/>
    <w:rsid w:val="00807A78"/>
    <w:rsid w:val="0081351B"/>
    <w:rsid w:val="00814C9F"/>
    <w:rsid w:val="0081667C"/>
    <w:rsid w:val="00816808"/>
    <w:rsid w:val="008173F3"/>
    <w:rsid w:val="00822751"/>
    <w:rsid w:val="00823903"/>
    <w:rsid w:val="00824F48"/>
    <w:rsid w:val="00825424"/>
    <w:rsid w:val="008276E8"/>
    <w:rsid w:val="008328E9"/>
    <w:rsid w:val="00834967"/>
    <w:rsid w:val="00834C83"/>
    <w:rsid w:val="00835082"/>
    <w:rsid w:val="00835BCB"/>
    <w:rsid w:val="00835CDC"/>
    <w:rsid w:val="00840536"/>
    <w:rsid w:val="00842E75"/>
    <w:rsid w:val="00845248"/>
    <w:rsid w:val="0084654B"/>
    <w:rsid w:val="00847570"/>
    <w:rsid w:val="00850B09"/>
    <w:rsid w:val="0085126E"/>
    <w:rsid w:val="0085489C"/>
    <w:rsid w:val="0086106F"/>
    <w:rsid w:val="0086116F"/>
    <w:rsid w:val="0086165A"/>
    <w:rsid w:val="00862FC2"/>
    <w:rsid w:val="0086305C"/>
    <w:rsid w:val="00863425"/>
    <w:rsid w:val="00863B9D"/>
    <w:rsid w:val="00863BE6"/>
    <w:rsid w:val="0086541E"/>
    <w:rsid w:val="008662B7"/>
    <w:rsid w:val="00870CB6"/>
    <w:rsid w:val="00872B40"/>
    <w:rsid w:val="008775BC"/>
    <w:rsid w:val="00877FE8"/>
    <w:rsid w:val="00880FB8"/>
    <w:rsid w:val="008825A0"/>
    <w:rsid w:val="00882F1B"/>
    <w:rsid w:val="00883712"/>
    <w:rsid w:val="00884A5D"/>
    <w:rsid w:val="0089261A"/>
    <w:rsid w:val="00893636"/>
    <w:rsid w:val="00894C5C"/>
    <w:rsid w:val="0089506B"/>
    <w:rsid w:val="00896D37"/>
    <w:rsid w:val="008A23C2"/>
    <w:rsid w:val="008A347C"/>
    <w:rsid w:val="008A3B21"/>
    <w:rsid w:val="008A70CE"/>
    <w:rsid w:val="008A73A2"/>
    <w:rsid w:val="008A73C8"/>
    <w:rsid w:val="008B1247"/>
    <w:rsid w:val="008B157F"/>
    <w:rsid w:val="008C0483"/>
    <w:rsid w:val="008C18DC"/>
    <w:rsid w:val="008C25E4"/>
    <w:rsid w:val="008C2DAE"/>
    <w:rsid w:val="008C4848"/>
    <w:rsid w:val="008C6372"/>
    <w:rsid w:val="008D5BB1"/>
    <w:rsid w:val="008D6157"/>
    <w:rsid w:val="008D76BB"/>
    <w:rsid w:val="008E3029"/>
    <w:rsid w:val="008E48BA"/>
    <w:rsid w:val="008E55BA"/>
    <w:rsid w:val="008F4DA8"/>
    <w:rsid w:val="00900A1A"/>
    <w:rsid w:val="0090114F"/>
    <w:rsid w:val="00903E7A"/>
    <w:rsid w:val="009059A9"/>
    <w:rsid w:val="00910060"/>
    <w:rsid w:val="00910C00"/>
    <w:rsid w:val="009151C4"/>
    <w:rsid w:val="009153D4"/>
    <w:rsid w:val="00916078"/>
    <w:rsid w:val="009232F2"/>
    <w:rsid w:val="0092515E"/>
    <w:rsid w:val="00927A2B"/>
    <w:rsid w:val="00934D5D"/>
    <w:rsid w:val="009364F7"/>
    <w:rsid w:val="0093795D"/>
    <w:rsid w:val="009379C8"/>
    <w:rsid w:val="00940C29"/>
    <w:rsid w:val="0094138F"/>
    <w:rsid w:val="00941945"/>
    <w:rsid w:val="00942FBD"/>
    <w:rsid w:val="009433D2"/>
    <w:rsid w:val="0094770B"/>
    <w:rsid w:val="00947DA1"/>
    <w:rsid w:val="0095098C"/>
    <w:rsid w:val="00952D57"/>
    <w:rsid w:val="00954B84"/>
    <w:rsid w:val="00955C94"/>
    <w:rsid w:val="009616D3"/>
    <w:rsid w:val="00961C92"/>
    <w:rsid w:val="009645BE"/>
    <w:rsid w:val="009647EC"/>
    <w:rsid w:val="00965B6F"/>
    <w:rsid w:val="00966BF5"/>
    <w:rsid w:val="009705DA"/>
    <w:rsid w:val="00970747"/>
    <w:rsid w:val="009715DE"/>
    <w:rsid w:val="00972473"/>
    <w:rsid w:val="00973A19"/>
    <w:rsid w:val="009924BD"/>
    <w:rsid w:val="00997B52"/>
    <w:rsid w:val="009A3C86"/>
    <w:rsid w:val="009A3EEF"/>
    <w:rsid w:val="009A4759"/>
    <w:rsid w:val="009A51C2"/>
    <w:rsid w:val="009A7727"/>
    <w:rsid w:val="009B2267"/>
    <w:rsid w:val="009B75F1"/>
    <w:rsid w:val="009C1677"/>
    <w:rsid w:val="009C55B1"/>
    <w:rsid w:val="009D09AD"/>
    <w:rsid w:val="009D0B87"/>
    <w:rsid w:val="009D13E0"/>
    <w:rsid w:val="009D1EC5"/>
    <w:rsid w:val="009D425A"/>
    <w:rsid w:val="009E0AE8"/>
    <w:rsid w:val="009E0E95"/>
    <w:rsid w:val="009E4AA0"/>
    <w:rsid w:val="009E5374"/>
    <w:rsid w:val="009E5BDE"/>
    <w:rsid w:val="009F345D"/>
    <w:rsid w:val="009F57D2"/>
    <w:rsid w:val="009F5E65"/>
    <w:rsid w:val="00A0143B"/>
    <w:rsid w:val="00A0434C"/>
    <w:rsid w:val="00A04BB1"/>
    <w:rsid w:val="00A050C4"/>
    <w:rsid w:val="00A105B6"/>
    <w:rsid w:val="00A1302C"/>
    <w:rsid w:val="00A13218"/>
    <w:rsid w:val="00A136F7"/>
    <w:rsid w:val="00A146A7"/>
    <w:rsid w:val="00A167E4"/>
    <w:rsid w:val="00A17CF2"/>
    <w:rsid w:val="00A20021"/>
    <w:rsid w:val="00A205DC"/>
    <w:rsid w:val="00A22579"/>
    <w:rsid w:val="00A227A3"/>
    <w:rsid w:val="00A24A70"/>
    <w:rsid w:val="00A31490"/>
    <w:rsid w:val="00A32455"/>
    <w:rsid w:val="00A32C9A"/>
    <w:rsid w:val="00A342A6"/>
    <w:rsid w:val="00A36110"/>
    <w:rsid w:val="00A36C33"/>
    <w:rsid w:val="00A3777C"/>
    <w:rsid w:val="00A4108E"/>
    <w:rsid w:val="00A4183B"/>
    <w:rsid w:val="00A42238"/>
    <w:rsid w:val="00A446A5"/>
    <w:rsid w:val="00A47D17"/>
    <w:rsid w:val="00A51FC7"/>
    <w:rsid w:val="00A523BE"/>
    <w:rsid w:val="00A5297A"/>
    <w:rsid w:val="00A53625"/>
    <w:rsid w:val="00A558E3"/>
    <w:rsid w:val="00A5646F"/>
    <w:rsid w:val="00A56C67"/>
    <w:rsid w:val="00A57073"/>
    <w:rsid w:val="00A5797D"/>
    <w:rsid w:val="00A57A90"/>
    <w:rsid w:val="00A60B73"/>
    <w:rsid w:val="00A61887"/>
    <w:rsid w:val="00A64F9C"/>
    <w:rsid w:val="00A653DC"/>
    <w:rsid w:val="00A67F12"/>
    <w:rsid w:val="00A70BAE"/>
    <w:rsid w:val="00A71BFB"/>
    <w:rsid w:val="00A72C87"/>
    <w:rsid w:val="00A7307F"/>
    <w:rsid w:val="00A74D4B"/>
    <w:rsid w:val="00A74FF1"/>
    <w:rsid w:val="00A75267"/>
    <w:rsid w:val="00A76D19"/>
    <w:rsid w:val="00A7701F"/>
    <w:rsid w:val="00A77200"/>
    <w:rsid w:val="00A772AB"/>
    <w:rsid w:val="00A80080"/>
    <w:rsid w:val="00A81018"/>
    <w:rsid w:val="00A82238"/>
    <w:rsid w:val="00A85520"/>
    <w:rsid w:val="00A8663A"/>
    <w:rsid w:val="00A90341"/>
    <w:rsid w:val="00A90C75"/>
    <w:rsid w:val="00A960C8"/>
    <w:rsid w:val="00A968DF"/>
    <w:rsid w:val="00AA024A"/>
    <w:rsid w:val="00AA14FC"/>
    <w:rsid w:val="00AA3DF1"/>
    <w:rsid w:val="00AA5751"/>
    <w:rsid w:val="00AA69CE"/>
    <w:rsid w:val="00AB0CA9"/>
    <w:rsid w:val="00AB232A"/>
    <w:rsid w:val="00AB4541"/>
    <w:rsid w:val="00AB4951"/>
    <w:rsid w:val="00AB5653"/>
    <w:rsid w:val="00AC3603"/>
    <w:rsid w:val="00AD6525"/>
    <w:rsid w:val="00AE109C"/>
    <w:rsid w:val="00AE2219"/>
    <w:rsid w:val="00AE2D1A"/>
    <w:rsid w:val="00AE5291"/>
    <w:rsid w:val="00AF27AC"/>
    <w:rsid w:val="00AF3C32"/>
    <w:rsid w:val="00AF4483"/>
    <w:rsid w:val="00AF5F70"/>
    <w:rsid w:val="00AF7B2E"/>
    <w:rsid w:val="00B00E07"/>
    <w:rsid w:val="00B025DD"/>
    <w:rsid w:val="00B03C55"/>
    <w:rsid w:val="00B101C9"/>
    <w:rsid w:val="00B108EC"/>
    <w:rsid w:val="00B10EA9"/>
    <w:rsid w:val="00B153DB"/>
    <w:rsid w:val="00B21D97"/>
    <w:rsid w:val="00B23624"/>
    <w:rsid w:val="00B25F54"/>
    <w:rsid w:val="00B26242"/>
    <w:rsid w:val="00B27B64"/>
    <w:rsid w:val="00B3105C"/>
    <w:rsid w:val="00B315A0"/>
    <w:rsid w:val="00B33898"/>
    <w:rsid w:val="00B34A18"/>
    <w:rsid w:val="00B35466"/>
    <w:rsid w:val="00B35FF3"/>
    <w:rsid w:val="00B362A8"/>
    <w:rsid w:val="00B3694E"/>
    <w:rsid w:val="00B460F5"/>
    <w:rsid w:val="00B468CE"/>
    <w:rsid w:val="00B5204A"/>
    <w:rsid w:val="00B579CB"/>
    <w:rsid w:val="00B60B96"/>
    <w:rsid w:val="00B61B3F"/>
    <w:rsid w:val="00B62468"/>
    <w:rsid w:val="00B626CD"/>
    <w:rsid w:val="00B6428C"/>
    <w:rsid w:val="00B70083"/>
    <w:rsid w:val="00B71B58"/>
    <w:rsid w:val="00B75CAF"/>
    <w:rsid w:val="00B77030"/>
    <w:rsid w:val="00B77650"/>
    <w:rsid w:val="00B77808"/>
    <w:rsid w:val="00B8005A"/>
    <w:rsid w:val="00B821BB"/>
    <w:rsid w:val="00B82EC1"/>
    <w:rsid w:val="00B83AD6"/>
    <w:rsid w:val="00B8400C"/>
    <w:rsid w:val="00B84445"/>
    <w:rsid w:val="00BA0F3C"/>
    <w:rsid w:val="00BA2789"/>
    <w:rsid w:val="00BA5048"/>
    <w:rsid w:val="00BA5C94"/>
    <w:rsid w:val="00BA7107"/>
    <w:rsid w:val="00BB1A0B"/>
    <w:rsid w:val="00BB28F6"/>
    <w:rsid w:val="00BB455D"/>
    <w:rsid w:val="00BB4A2E"/>
    <w:rsid w:val="00BB5CF1"/>
    <w:rsid w:val="00BB6CC5"/>
    <w:rsid w:val="00BC088A"/>
    <w:rsid w:val="00BC2609"/>
    <w:rsid w:val="00BC2EB0"/>
    <w:rsid w:val="00BC5A2F"/>
    <w:rsid w:val="00BD196C"/>
    <w:rsid w:val="00BD2756"/>
    <w:rsid w:val="00BD2863"/>
    <w:rsid w:val="00BD75DB"/>
    <w:rsid w:val="00BE05CF"/>
    <w:rsid w:val="00BE27BC"/>
    <w:rsid w:val="00BF09C3"/>
    <w:rsid w:val="00BF0D31"/>
    <w:rsid w:val="00BF2BE8"/>
    <w:rsid w:val="00BF306E"/>
    <w:rsid w:val="00BF3B3A"/>
    <w:rsid w:val="00BF4AFD"/>
    <w:rsid w:val="00BF4DB0"/>
    <w:rsid w:val="00BF5F30"/>
    <w:rsid w:val="00BF7BCA"/>
    <w:rsid w:val="00C00A25"/>
    <w:rsid w:val="00C00B4D"/>
    <w:rsid w:val="00C0185E"/>
    <w:rsid w:val="00C02E87"/>
    <w:rsid w:val="00C03255"/>
    <w:rsid w:val="00C0407F"/>
    <w:rsid w:val="00C04BC6"/>
    <w:rsid w:val="00C07033"/>
    <w:rsid w:val="00C1039F"/>
    <w:rsid w:val="00C10514"/>
    <w:rsid w:val="00C13145"/>
    <w:rsid w:val="00C14316"/>
    <w:rsid w:val="00C14B83"/>
    <w:rsid w:val="00C16883"/>
    <w:rsid w:val="00C17496"/>
    <w:rsid w:val="00C2010A"/>
    <w:rsid w:val="00C22215"/>
    <w:rsid w:val="00C23752"/>
    <w:rsid w:val="00C2406E"/>
    <w:rsid w:val="00C2427E"/>
    <w:rsid w:val="00C3045E"/>
    <w:rsid w:val="00C309E0"/>
    <w:rsid w:val="00C31C53"/>
    <w:rsid w:val="00C33E5A"/>
    <w:rsid w:val="00C34538"/>
    <w:rsid w:val="00C34747"/>
    <w:rsid w:val="00C36222"/>
    <w:rsid w:val="00C36C76"/>
    <w:rsid w:val="00C42F6F"/>
    <w:rsid w:val="00C43683"/>
    <w:rsid w:val="00C45606"/>
    <w:rsid w:val="00C473F6"/>
    <w:rsid w:val="00C501D4"/>
    <w:rsid w:val="00C50729"/>
    <w:rsid w:val="00C518C9"/>
    <w:rsid w:val="00C52BA8"/>
    <w:rsid w:val="00C54D5B"/>
    <w:rsid w:val="00C5783B"/>
    <w:rsid w:val="00C57F39"/>
    <w:rsid w:val="00C61174"/>
    <w:rsid w:val="00C62007"/>
    <w:rsid w:val="00C62675"/>
    <w:rsid w:val="00C70D1A"/>
    <w:rsid w:val="00C710C1"/>
    <w:rsid w:val="00C713AE"/>
    <w:rsid w:val="00C73471"/>
    <w:rsid w:val="00C820C3"/>
    <w:rsid w:val="00C865B8"/>
    <w:rsid w:val="00C908C0"/>
    <w:rsid w:val="00C91784"/>
    <w:rsid w:val="00C93113"/>
    <w:rsid w:val="00C93FA8"/>
    <w:rsid w:val="00C946CD"/>
    <w:rsid w:val="00C94D44"/>
    <w:rsid w:val="00CA08CF"/>
    <w:rsid w:val="00CA0E3E"/>
    <w:rsid w:val="00CA4BD3"/>
    <w:rsid w:val="00CB6134"/>
    <w:rsid w:val="00CC01F6"/>
    <w:rsid w:val="00CC0661"/>
    <w:rsid w:val="00CC24F5"/>
    <w:rsid w:val="00CC3682"/>
    <w:rsid w:val="00CC3A48"/>
    <w:rsid w:val="00CC555A"/>
    <w:rsid w:val="00CD27F9"/>
    <w:rsid w:val="00CE1715"/>
    <w:rsid w:val="00CE2725"/>
    <w:rsid w:val="00CE5656"/>
    <w:rsid w:val="00CE5886"/>
    <w:rsid w:val="00CE73B9"/>
    <w:rsid w:val="00CE750F"/>
    <w:rsid w:val="00CF0FD2"/>
    <w:rsid w:val="00CF1355"/>
    <w:rsid w:val="00CF138C"/>
    <w:rsid w:val="00CF3397"/>
    <w:rsid w:val="00CF62A2"/>
    <w:rsid w:val="00CF7979"/>
    <w:rsid w:val="00D00038"/>
    <w:rsid w:val="00D103B6"/>
    <w:rsid w:val="00D10CBB"/>
    <w:rsid w:val="00D1107C"/>
    <w:rsid w:val="00D160CB"/>
    <w:rsid w:val="00D2050B"/>
    <w:rsid w:val="00D206C3"/>
    <w:rsid w:val="00D23E63"/>
    <w:rsid w:val="00D245A1"/>
    <w:rsid w:val="00D25CC8"/>
    <w:rsid w:val="00D31C30"/>
    <w:rsid w:val="00D32A47"/>
    <w:rsid w:val="00D340BA"/>
    <w:rsid w:val="00D3419E"/>
    <w:rsid w:val="00D36F52"/>
    <w:rsid w:val="00D375C2"/>
    <w:rsid w:val="00D415E2"/>
    <w:rsid w:val="00D418B6"/>
    <w:rsid w:val="00D42055"/>
    <w:rsid w:val="00D4727D"/>
    <w:rsid w:val="00D475F4"/>
    <w:rsid w:val="00D51685"/>
    <w:rsid w:val="00D534C9"/>
    <w:rsid w:val="00D54A47"/>
    <w:rsid w:val="00D57862"/>
    <w:rsid w:val="00D629B8"/>
    <w:rsid w:val="00D647C3"/>
    <w:rsid w:val="00D677A7"/>
    <w:rsid w:val="00D73142"/>
    <w:rsid w:val="00D73DDA"/>
    <w:rsid w:val="00D755B7"/>
    <w:rsid w:val="00D75AFF"/>
    <w:rsid w:val="00D803EF"/>
    <w:rsid w:val="00D812B8"/>
    <w:rsid w:val="00D84D91"/>
    <w:rsid w:val="00D852AF"/>
    <w:rsid w:val="00D95CBC"/>
    <w:rsid w:val="00D960A0"/>
    <w:rsid w:val="00D9633A"/>
    <w:rsid w:val="00D96755"/>
    <w:rsid w:val="00DA12D0"/>
    <w:rsid w:val="00DA2B5B"/>
    <w:rsid w:val="00DA46C2"/>
    <w:rsid w:val="00DA578B"/>
    <w:rsid w:val="00DA5D46"/>
    <w:rsid w:val="00DB787B"/>
    <w:rsid w:val="00DC0D32"/>
    <w:rsid w:val="00DC1D97"/>
    <w:rsid w:val="00DC30C3"/>
    <w:rsid w:val="00DC49DD"/>
    <w:rsid w:val="00DC5FC9"/>
    <w:rsid w:val="00DC6EAD"/>
    <w:rsid w:val="00DC7020"/>
    <w:rsid w:val="00DC7204"/>
    <w:rsid w:val="00DD0118"/>
    <w:rsid w:val="00DD02FD"/>
    <w:rsid w:val="00DD06AD"/>
    <w:rsid w:val="00DD11D8"/>
    <w:rsid w:val="00DD24F7"/>
    <w:rsid w:val="00DD65A4"/>
    <w:rsid w:val="00DD71E2"/>
    <w:rsid w:val="00DE0F22"/>
    <w:rsid w:val="00DE1179"/>
    <w:rsid w:val="00DE5D75"/>
    <w:rsid w:val="00DE6208"/>
    <w:rsid w:val="00DE63F0"/>
    <w:rsid w:val="00DF0404"/>
    <w:rsid w:val="00DF2386"/>
    <w:rsid w:val="00DF47CD"/>
    <w:rsid w:val="00DF7FE7"/>
    <w:rsid w:val="00E00083"/>
    <w:rsid w:val="00E02B6E"/>
    <w:rsid w:val="00E03835"/>
    <w:rsid w:val="00E10665"/>
    <w:rsid w:val="00E15F60"/>
    <w:rsid w:val="00E21282"/>
    <w:rsid w:val="00E215B3"/>
    <w:rsid w:val="00E2327D"/>
    <w:rsid w:val="00E246D8"/>
    <w:rsid w:val="00E25888"/>
    <w:rsid w:val="00E27EBA"/>
    <w:rsid w:val="00E308E6"/>
    <w:rsid w:val="00E32440"/>
    <w:rsid w:val="00E337BF"/>
    <w:rsid w:val="00E33B83"/>
    <w:rsid w:val="00E46367"/>
    <w:rsid w:val="00E472B8"/>
    <w:rsid w:val="00E509AF"/>
    <w:rsid w:val="00E526F8"/>
    <w:rsid w:val="00E53B79"/>
    <w:rsid w:val="00E57506"/>
    <w:rsid w:val="00E61CC2"/>
    <w:rsid w:val="00E625A0"/>
    <w:rsid w:val="00E63F0B"/>
    <w:rsid w:val="00E64581"/>
    <w:rsid w:val="00E64BA3"/>
    <w:rsid w:val="00E6689D"/>
    <w:rsid w:val="00E74FC5"/>
    <w:rsid w:val="00E8159A"/>
    <w:rsid w:val="00E911FD"/>
    <w:rsid w:val="00E9130A"/>
    <w:rsid w:val="00E91F83"/>
    <w:rsid w:val="00E921A2"/>
    <w:rsid w:val="00E92342"/>
    <w:rsid w:val="00E94759"/>
    <w:rsid w:val="00E95F52"/>
    <w:rsid w:val="00EA0263"/>
    <w:rsid w:val="00EA13DA"/>
    <w:rsid w:val="00EA3A7F"/>
    <w:rsid w:val="00EA3FC2"/>
    <w:rsid w:val="00EA4DD8"/>
    <w:rsid w:val="00EB151B"/>
    <w:rsid w:val="00EB2FE6"/>
    <w:rsid w:val="00EC0504"/>
    <w:rsid w:val="00EC0525"/>
    <w:rsid w:val="00EC1205"/>
    <w:rsid w:val="00EC13B3"/>
    <w:rsid w:val="00EC1AA4"/>
    <w:rsid w:val="00EC6CBC"/>
    <w:rsid w:val="00ED018D"/>
    <w:rsid w:val="00ED1F5E"/>
    <w:rsid w:val="00ED49D6"/>
    <w:rsid w:val="00ED555B"/>
    <w:rsid w:val="00ED6057"/>
    <w:rsid w:val="00EE0EB6"/>
    <w:rsid w:val="00EE484E"/>
    <w:rsid w:val="00EE63B0"/>
    <w:rsid w:val="00EE7199"/>
    <w:rsid w:val="00EF0AB8"/>
    <w:rsid w:val="00EF17AC"/>
    <w:rsid w:val="00EF5C41"/>
    <w:rsid w:val="00EF666E"/>
    <w:rsid w:val="00F02552"/>
    <w:rsid w:val="00F04266"/>
    <w:rsid w:val="00F05E48"/>
    <w:rsid w:val="00F078F1"/>
    <w:rsid w:val="00F117D1"/>
    <w:rsid w:val="00F1291E"/>
    <w:rsid w:val="00F12DEB"/>
    <w:rsid w:val="00F175F5"/>
    <w:rsid w:val="00F212AF"/>
    <w:rsid w:val="00F228A7"/>
    <w:rsid w:val="00F30BFA"/>
    <w:rsid w:val="00F32065"/>
    <w:rsid w:val="00F32D03"/>
    <w:rsid w:val="00F3443C"/>
    <w:rsid w:val="00F344DE"/>
    <w:rsid w:val="00F376CC"/>
    <w:rsid w:val="00F442BD"/>
    <w:rsid w:val="00F51E7B"/>
    <w:rsid w:val="00F547A8"/>
    <w:rsid w:val="00F55052"/>
    <w:rsid w:val="00F553CC"/>
    <w:rsid w:val="00F55684"/>
    <w:rsid w:val="00F573D2"/>
    <w:rsid w:val="00F62079"/>
    <w:rsid w:val="00F624C0"/>
    <w:rsid w:val="00F6516D"/>
    <w:rsid w:val="00F6652D"/>
    <w:rsid w:val="00F70A79"/>
    <w:rsid w:val="00F70F19"/>
    <w:rsid w:val="00F71EAD"/>
    <w:rsid w:val="00F73E71"/>
    <w:rsid w:val="00F74893"/>
    <w:rsid w:val="00F76A53"/>
    <w:rsid w:val="00F82F05"/>
    <w:rsid w:val="00F84BD4"/>
    <w:rsid w:val="00F852B9"/>
    <w:rsid w:val="00F861A9"/>
    <w:rsid w:val="00F9197D"/>
    <w:rsid w:val="00F96BA5"/>
    <w:rsid w:val="00F973A1"/>
    <w:rsid w:val="00FA07D3"/>
    <w:rsid w:val="00FA10E7"/>
    <w:rsid w:val="00FA553B"/>
    <w:rsid w:val="00FB187B"/>
    <w:rsid w:val="00FB19B9"/>
    <w:rsid w:val="00FB2057"/>
    <w:rsid w:val="00FB41AD"/>
    <w:rsid w:val="00FB584E"/>
    <w:rsid w:val="00FB620F"/>
    <w:rsid w:val="00FB7B82"/>
    <w:rsid w:val="00FB7D22"/>
    <w:rsid w:val="00FC0BF5"/>
    <w:rsid w:val="00FC192D"/>
    <w:rsid w:val="00FC462B"/>
    <w:rsid w:val="00FC51FB"/>
    <w:rsid w:val="00FC5AAA"/>
    <w:rsid w:val="00FD2E2F"/>
    <w:rsid w:val="00FD47F3"/>
    <w:rsid w:val="00FD4F37"/>
    <w:rsid w:val="00FD67D3"/>
    <w:rsid w:val="00FE1016"/>
    <w:rsid w:val="00FF0082"/>
    <w:rsid w:val="00FF0BF2"/>
    <w:rsid w:val="00FF1234"/>
    <w:rsid w:val="00FF2DC2"/>
    <w:rsid w:val="00FF35B1"/>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BED9F"/>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report-of-the-auditor-on-the-financial-statements-2018" TargetMode="External"/><Relationship Id="rId2" Type="http://schemas.openxmlformats.org/officeDocument/2006/relationships/hyperlink" Target="https://www.ramsar.org/document/sc55-doc82-iucn-review-of-non-core-finances" TargetMode="External"/><Relationship Id="rId1" Type="http://schemas.openxmlformats.org/officeDocument/2006/relationships/hyperlink" Target="https://www.ramsar.org/document/report-of-the-auditor-on-the-financial-statemen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2CC0-ECEB-464E-9D94-B03B12DF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5866</Words>
  <Characters>33438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9</cp:revision>
  <cp:lastPrinted>2019-06-14T18:04:00Z</cp:lastPrinted>
  <dcterms:created xsi:type="dcterms:W3CDTF">2019-06-14T15:40:00Z</dcterms:created>
  <dcterms:modified xsi:type="dcterms:W3CDTF">2019-06-14T18:34:00Z</dcterms:modified>
</cp:coreProperties>
</file>