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62707" w14:textId="1830610D" w:rsidR="00275F13" w:rsidRPr="00425EF4" w:rsidRDefault="00275F13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</w:rPr>
      </w:pPr>
      <w:r w:rsidRPr="00425EF4">
        <w:rPr>
          <w:bCs/>
          <w:sz w:val="24"/>
          <w:szCs w:val="24"/>
        </w:rPr>
        <w:t>RAMSAR</w:t>
      </w:r>
      <w:r w:rsidR="00E80EDB">
        <w:rPr>
          <w:bCs/>
          <w:sz w:val="24"/>
          <w:szCs w:val="24"/>
        </w:rPr>
        <w:t xml:space="preserve"> </w:t>
      </w:r>
      <w:r w:rsidR="00DF2386" w:rsidRPr="00425EF4">
        <w:rPr>
          <w:bCs/>
          <w:sz w:val="24"/>
          <w:szCs w:val="24"/>
        </w:rPr>
        <w:t>CONVENTION</w:t>
      </w:r>
      <w:r w:rsidR="00E80EDB">
        <w:rPr>
          <w:bCs/>
          <w:sz w:val="24"/>
          <w:szCs w:val="24"/>
        </w:rPr>
        <w:t xml:space="preserve"> </w:t>
      </w:r>
      <w:r w:rsidR="00DF2386" w:rsidRPr="00425EF4">
        <w:rPr>
          <w:bCs/>
          <w:sz w:val="24"/>
          <w:szCs w:val="24"/>
        </w:rPr>
        <w:t>ON</w:t>
      </w:r>
      <w:r w:rsidR="00E80EDB">
        <w:rPr>
          <w:bCs/>
          <w:sz w:val="24"/>
          <w:szCs w:val="24"/>
        </w:rPr>
        <w:t xml:space="preserve"> </w:t>
      </w:r>
      <w:r w:rsidR="00DF2386" w:rsidRPr="00425EF4">
        <w:rPr>
          <w:bCs/>
          <w:sz w:val="24"/>
          <w:szCs w:val="24"/>
        </w:rPr>
        <w:t>WETLANDS</w:t>
      </w:r>
      <w:r w:rsidR="00E80EDB">
        <w:rPr>
          <w:bCs/>
          <w:sz w:val="24"/>
          <w:szCs w:val="24"/>
        </w:rPr>
        <w:t xml:space="preserve"> </w:t>
      </w:r>
    </w:p>
    <w:p w14:paraId="0653F523" w14:textId="067BC7D1" w:rsidR="00DF2386" w:rsidRPr="00425EF4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</w:rPr>
      </w:pPr>
      <w:r w:rsidRPr="00425EF4">
        <w:rPr>
          <w:bCs/>
          <w:sz w:val="24"/>
          <w:szCs w:val="24"/>
        </w:rPr>
        <w:t>5</w:t>
      </w:r>
      <w:r w:rsidR="002F6155" w:rsidRPr="00425EF4">
        <w:rPr>
          <w:bCs/>
          <w:sz w:val="24"/>
          <w:szCs w:val="24"/>
        </w:rPr>
        <w:t>7</w:t>
      </w:r>
      <w:r w:rsidR="00275F13" w:rsidRPr="00425EF4">
        <w:rPr>
          <w:bCs/>
          <w:sz w:val="24"/>
          <w:szCs w:val="24"/>
        </w:rPr>
        <w:t>th</w:t>
      </w:r>
      <w:r w:rsidR="00E80EDB">
        <w:rPr>
          <w:bCs/>
          <w:sz w:val="24"/>
          <w:szCs w:val="24"/>
        </w:rPr>
        <w:t xml:space="preserve"> </w:t>
      </w:r>
      <w:r w:rsidRPr="00425EF4">
        <w:rPr>
          <w:bCs/>
          <w:sz w:val="24"/>
          <w:szCs w:val="24"/>
        </w:rPr>
        <w:t>Meeting</w:t>
      </w:r>
      <w:r w:rsidR="00E80EDB">
        <w:rPr>
          <w:bCs/>
          <w:sz w:val="24"/>
          <w:szCs w:val="24"/>
        </w:rPr>
        <w:t xml:space="preserve"> </w:t>
      </w:r>
      <w:r w:rsidRPr="00425EF4">
        <w:rPr>
          <w:bCs/>
          <w:sz w:val="24"/>
          <w:szCs w:val="24"/>
        </w:rPr>
        <w:t>of</w:t>
      </w:r>
      <w:r w:rsidR="00E80EDB">
        <w:rPr>
          <w:bCs/>
          <w:sz w:val="24"/>
          <w:szCs w:val="24"/>
        </w:rPr>
        <w:t xml:space="preserve"> </w:t>
      </w:r>
      <w:r w:rsidRPr="00425EF4">
        <w:rPr>
          <w:bCs/>
          <w:sz w:val="24"/>
          <w:szCs w:val="24"/>
        </w:rPr>
        <w:t>the</w:t>
      </w:r>
      <w:r w:rsidR="00E80EDB">
        <w:rPr>
          <w:bCs/>
          <w:sz w:val="24"/>
          <w:szCs w:val="24"/>
        </w:rPr>
        <w:t xml:space="preserve"> </w:t>
      </w:r>
      <w:r w:rsidRPr="00425EF4">
        <w:rPr>
          <w:bCs/>
          <w:sz w:val="24"/>
          <w:szCs w:val="24"/>
        </w:rPr>
        <w:t>Standing</w:t>
      </w:r>
      <w:r w:rsidR="00E80EDB">
        <w:rPr>
          <w:bCs/>
          <w:sz w:val="24"/>
          <w:szCs w:val="24"/>
        </w:rPr>
        <w:t xml:space="preserve"> </w:t>
      </w:r>
      <w:r w:rsidRPr="00425EF4">
        <w:rPr>
          <w:bCs/>
          <w:sz w:val="24"/>
          <w:szCs w:val="24"/>
        </w:rPr>
        <w:t>Committee</w:t>
      </w:r>
    </w:p>
    <w:p w14:paraId="5DEFFF07" w14:textId="55C24CB7" w:rsidR="00DF2386" w:rsidRPr="00425EF4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</w:rPr>
      </w:pPr>
      <w:r w:rsidRPr="00425EF4">
        <w:rPr>
          <w:bCs/>
          <w:sz w:val="24"/>
          <w:szCs w:val="24"/>
        </w:rPr>
        <w:t>Gland,</w:t>
      </w:r>
      <w:r w:rsidR="00E80EDB">
        <w:rPr>
          <w:bCs/>
          <w:sz w:val="24"/>
          <w:szCs w:val="24"/>
        </w:rPr>
        <w:t xml:space="preserve"> </w:t>
      </w:r>
      <w:r w:rsidRPr="00425EF4">
        <w:rPr>
          <w:bCs/>
          <w:sz w:val="24"/>
          <w:szCs w:val="24"/>
        </w:rPr>
        <w:t>Switzerland,</w:t>
      </w:r>
      <w:r w:rsidR="00E80EDB">
        <w:rPr>
          <w:bCs/>
          <w:sz w:val="24"/>
          <w:szCs w:val="24"/>
        </w:rPr>
        <w:t xml:space="preserve"> </w:t>
      </w:r>
      <w:r w:rsidRPr="00425EF4">
        <w:rPr>
          <w:bCs/>
          <w:sz w:val="24"/>
          <w:szCs w:val="24"/>
        </w:rPr>
        <w:t>2</w:t>
      </w:r>
      <w:r w:rsidR="00C0528F" w:rsidRPr="00425EF4">
        <w:rPr>
          <w:bCs/>
          <w:sz w:val="24"/>
          <w:szCs w:val="24"/>
        </w:rPr>
        <w:t>4</w:t>
      </w:r>
      <w:r w:rsidR="00E80EDB">
        <w:rPr>
          <w:bCs/>
          <w:sz w:val="24"/>
          <w:szCs w:val="24"/>
        </w:rPr>
        <w:t xml:space="preserve"> </w:t>
      </w:r>
      <w:r w:rsidRPr="00425EF4">
        <w:rPr>
          <w:bCs/>
          <w:sz w:val="24"/>
          <w:szCs w:val="24"/>
        </w:rPr>
        <w:t>–</w:t>
      </w:r>
      <w:r w:rsidR="00E80EDB">
        <w:rPr>
          <w:bCs/>
          <w:sz w:val="24"/>
          <w:szCs w:val="24"/>
        </w:rPr>
        <w:t xml:space="preserve"> </w:t>
      </w:r>
      <w:r w:rsidRPr="00425EF4">
        <w:rPr>
          <w:bCs/>
          <w:sz w:val="24"/>
          <w:szCs w:val="24"/>
        </w:rPr>
        <w:t>2</w:t>
      </w:r>
      <w:r w:rsidR="00C0528F" w:rsidRPr="00425EF4">
        <w:rPr>
          <w:bCs/>
          <w:sz w:val="24"/>
          <w:szCs w:val="24"/>
        </w:rPr>
        <w:t>8</w:t>
      </w:r>
      <w:r w:rsidR="00E80EDB">
        <w:rPr>
          <w:bCs/>
          <w:sz w:val="24"/>
          <w:szCs w:val="24"/>
        </w:rPr>
        <w:t xml:space="preserve"> </w:t>
      </w:r>
      <w:r w:rsidR="00C0528F" w:rsidRPr="00425EF4">
        <w:rPr>
          <w:bCs/>
          <w:sz w:val="24"/>
          <w:szCs w:val="24"/>
        </w:rPr>
        <w:t>June</w:t>
      </w:r>
      <w:r w:rsidR="00E80EDB">
        <w:rPr>
          <w:bCs/>
          <w:sz w:val="24"/>
          <w:szCs w:val="24"/>
        </w:rPr>
        <w:t xml:space="preserve"> </w:t>
      </w:r>
      <w:r w:rsidR="00C0528F" w:rsidRPr="00425EF4">
        <w:rPr>
          <w:bCs/>
          <w:sz w:val="24"/>
          <w:szCs w:val="24"/>
        </w:rPr>
        <w:t>2019</w:t>
      </w:r>
    </w:p>
    <w:p w14:paraId="5B179C0A" w14:textId="77777777" w:rsidR="00DF2386" w:rsidRPr="00425EF4" w:rsidRDefault="00DF2386" w:rsidP="00014168">
      <w:pPr>
        <w:outlineLvl w:val="0"/>
        <w:rPr>
          <w:b/>
        </w:rPr>
      </w:pPr>
    </w:p>
    <w:p w14:paraId="33CA0613" w14:textId="30360810" w:rsidR="00DF2386" w:rsidRPr="00425EF4" w:rsidRDefault="00DF2386" w:rsidP="00014168">
      <w:pPr>
        <w:jc w:val="right"/>
        <w:rPr>
          <w:rFonts w:cs="Arial"/>
          <w:sz w:val="28"/>
          <w:szCs w:val="28"/>
        </w:rPr>
      </w:pPr>
      <w:r w:rsidRPr="00425EF4">
        <w:rPr>
          <w:rFonts w:cs="Arial"/>
          <w:b/>
          <w:sz w:val="28"/>
          <w:szCs w:val="28"/>
        </w:rPr>
        <w:t>SC5</w:t>
      </w:r>
      <w:r w:rsidR="00C0528F" w:rsidRPr="00425EF4">
        <w:rPr>
          <w:rFonts w:cs="Arial"/>
          <w:b/>
          <w:sz w:val="28"/>
          <w:szCs w:val="28"/>
        </w:rPr>
        <w:t>7</w:t>
      </w:r>
      <w:r w:rsidR="00E80EDB">
        <w:rPr>
          <w:rFonts w:cs="Arial"/>
          <w:b/>
          <w:sz w:val="28"/>
          <w:szCs w:val="28"/>
        </w:rPr>
        <w:t xml:space="preserve"> </w:t>
      </w:r>
      <w:r w:rsidR="00F1152F">
        <w:rPr>
          <w:rFonts w:cs="Arial"/>
          <w:b/>
          <w:sz w:val="28"/>
          <w:szCs w:val="28"/>
        </w:rPr>
        <w:t>Doc.5</w:t>
      </w:r>
    </w:p>
    <w:p w14:paraId="6857C398" w14:textId="77777777" w:rsidR="00DF2386" w:rsidRPr="00425EF4" w:rsidRDefault="00DF2386" w:rsidP="00014168">
      <w:pPr>
        <w:rPr>
          <w:rFonts w:cs="Arial"/>
          <w:b/>
          <w:sz w:val="28"/>
          <w:szCs w:val="28"/>
        </w:rPr>
      </w:pPr>
    </w:p>
    <w:p w14:paraId="09F77D02" w14:textId="527B80E0" w:rsidR="00DF2386" w:rsidRPr="00425EF4" w:rsidRDefault="00E90337" w:rsidP="00014168">
      <w:pPr>
        <w:jc w:val="center"/>
        <w:rPr>
          <w:rFonts w:cs="Arial"/>
          <w:b/>
          <w:sz w:val="28"/>
          <w:szCs w:val="28"/>
        </w:rPr>
      </w:pPr>
      <w:r w:rsidRPr="00425EF4">
        <w:rPr>
          <w:rFonts w:cs="Arial"/>
          <w:b/>
          <w:sz w:val="28"/>
          <w:szCs w:val="28"/>
        </w:rPr>
        <w:t>Report</w:t>
      </w:r>
      <w:r w:rsidR="00E80EDB">
        <w:rPr>
          <w:rFonts w:cs="Arial"/>
          <w:b/>
          <w:sz w:val="28"/>
          <w:szCs w:val="28"/>
        </w:rPr>
        <w:t xml:space="preserve"> </w:t>
      </w:r>
      <w:r w:rsidR="0006506B">
        <w:rPr>
          <w:rFonts w:cs="Arial"/>
          <w:b/>
          <w:sz w:val="28"/>
          <w:szCs w:val="28"/>
        </w:rPr>
        <w:t>of</w:t>
      </w:r>
      <w:r w:rsidR="00E80EDB">
        <w:rPr>
          <w:rFonts w:cs="Arial"/>
          <w:b/>
          <w:sz w:val="28"/>
          <w:szCs w:val="28"/>
        </w:rPr>
        <w:t xml:space="preserve"> </w:t>
      </w:r>
      <w:r w:rsidR="0006506B">
        <w:rPr>
          <w:rFonts w:cs="Arial"/>
          <w:b/>
          <w:sz w:val="28"/>
          <w:szCs w:val="28"/>
        </w:rPr>
        <w:t>the</w:t>
      </w:r>
      <w:r w:rsidR="00E80EDB">
        <w:rPr>
          <w:rFonts w:cs="Arial"/>
          <w:b/>
          <w:sz w:val="28"/>
          <w:szCs w:val="28"/>
        </w:rPr>
        <w:t xml:space="preserve"> </w:t>
      </w:r>
      <w:r w:rsidR="0006506B">
        <w:rPr>
          <w:rFonts w:cs="Arial"/>
          <w:b/>
          <w:sz w:val="28"/>
          <w:szCs w:val="28"/>
        </w:rPr>
        <w:t>Secretary</w:t>
      </w:r>
      <w:r w:rsidR="00E80EDB">
        <w:rPr>
          <w:rFonts w:cs="Arial"/>
          <w:b/>
          <w:sz w:val="28"/>
          <w:szCs w:val="28"/>
        </w:rPr>
        <w:t xml:space="preserve"> </w:t>
      </w:r>
      <w:r w:rsidR="0006506B">
        <w:rPr>
          <w:rFonts w:cs="Arial"/>
          <w:b/>
          <w:sz w:val="28"/>
          <w:szCs w:val="28"/>
        </w:rPr>
        <w:t>General</w:t>
      </w:r>
    </w:p>
    <w:p w14:paraId="76836095" w14:textId="77777777" w:rsidR="00DF2386" w:rsidRPr="00425EF4" w:rsidRDefault="00DF2386" w:rsidP="00014168">
      <w:pPr>
        <w:rPr>
          <w:rFonts w:ascii="Garamond" w:hAnsi="Garamond" w:cs="Arial"/>
        </w:rPr>
      </w:pPr>
    </w:p>
    <w:p w14:paraId="291D3070" w14:textId="77777777" w:rsidR="000C2489" w:rsidRPr="00425EF4" w:rsidRDefault="009A7780" w:rsidP="00014168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192C53E" wp14:editId="16A58F4D">
                <wp:extent cx="5731510" cy="612775"/>
                <wp:effectExtent l="9525" t="6350" r="12065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50F1F" w14:textId="77777777" w:rsidR="00E80EDB" w:rsidRDefault="00E80EDB" w:rsidP="000C248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Actions requested:</w:t>
                            </w:r>
                          </w:p>
                          <w:p w14:paraId="2B51DF98" w14:textId="77777777" w:rsidR="00E80EDB" w:rsidRDefault="00E80EDB" w:rsidP="000C2489">
                            <w:pPr>
                              <w:pStyle w:val="ColorfulList-Accent11"/>
                              <w:ind w:left="0"/>
                            </w:pPr>
                          </w:p>
                          <w:p w14:paraId="7EFBA10F" w14:textId="77777777" w:rsidR="00E80EDB" w:rsidRDefault="00E80EDB" w:rsidP="005D6C72">
                            <w:pPr>
                              <w:pStyle w:val="ColorfulList-Accent11"/>
                              <w:ind w:left="0" w:firstLine="0"/>
                            </w:pPr>
                            <w:r>
                              <w:t xml:space="preserve">The Standing Committee is </w:t>
                            </w:r>
                            <w:r>
                              <w:rPr>
                                <w:rFonts w:cs="Calibri"/>
                              </w:rPr>
                              <w:t>invited to note the report of the Secretary General.</w:t>
                            </w:r>
                          </w:p>
                          <w:p w14:paraId="165EAA4C" w14:textId="77777777" w:rsidR="00E80EDB" w:rsidRPr="00F32D03" w:rsidRDefault="00E80EDB" w:rsidP="00275F13">
                            <w:pPr>
                              <w:pStyle w:val="ColorfulList-Accent11"/>
                              <w:ind w:left="-425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92C5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">
                <v:textbox>
                  <w:txbxContent>
                    <w:p w14:paraId="43F50F1F" w14:textId="77777777" w:rsidR="00E80EDB" w:rsidRDefault="00E80EDB" w:rsidP="000C248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Actions requested:</w:t>
                      </w:r>
                    </w:p>
                    <w:p w14:paraId="2B51DF98" w14:textId="77777777" w:rsidR="00E80EDB" w:rsidRDefault="00E80EDB" w:rsidP="000C2489">
                      <w:pPr>
                        <w:pStyle w:val="ColorfulList-Accent11"/>
                        <w:ind w:left="0"/>
                      </w:pPr>
                    </w:p>
                    <w:p w14:paraId="7EFBA10F" w14:textId="77777777" w:rsidR="00E80EDB" w:rsidRDefault="00E80EDB" w:rsidP="005D6C72">
                      <w:pPr>
                        <w:pStyle w:val="ColorfulList-Accent11"/>
                        <w:ind w:left="0" w:firstLine="0"/>
                      </w:pPr>
                      <w:r>
                        <w:t xml:space="preserve">The Standing Committee is </w:t>
                      </w:r>
                      <w:r>
                        <w:rPr>
                          <w:rFonts w:cs="Calibri"/>
                        </w:rPr>
                        <w:t>invited to note the report of the Secretary General.</w:t>
                      </w:r>
                    </w:p>
                    <w:p w14:paraId="165EAA4C" w14:textId="77777777" w:rsidR="00E80EDB" w:rsidRPr="00F32D03" w:rsidRDefault="00E80EDB" w:rsidP="00275F13">
                      <w:pPr>
                        <w:pStyle w:val="ColorfulList-Accent11"/>
                        <w:ind w:left="-425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D7F959" w14:textId="77777777" w:rsidR="000C2489" w:rsidRPr="00547DFE" w:rsidRDefault="000C2489" w:rsidP="00547DFE">
      <w:pPr>
        <w:ind w:left="0" w:firstLine="0"/>
        <w:rPr>
          <w:rFonts w:asciiTheme="minorHAnsi" w:hAnsiTheme="minorHAnsi" w:cstheme="minorHAnsi"/>
          <w:b/>
        </w:rPr>
      </w:pPr>
    </w:p>
    <w:p w14:paraId="7B85C22A" w14:textId="77777777" w:rsidR="00E90337" w:rsidRPr="00547DFE" w:rsidRDefault="00E90337" w:rsidP="00547DFE">
      <w:pPr>
        <w:rPr>
          <w:rFonts w:asciiTheme="minorHAnsi" w:hAnsiTheme="minorHAnsi" w:cstheme="minorHAnsi"/>
          <w:b/>
        </w:rPr>
      </w:pPr>
    </w:p>
    <w:p w14:paraId="5576C89B" w14:textId="095D5BD6" w:rsidR="00015D7B" w:rsidRPr="00547DFE" w:rsidRDefault="00E90337" w:rsidP="00B072AC">
      <w:pPr>
        <w:rPr>
          <w:rFonts w:asciiTheme="minorHAnsi" w:eastAsiaTheme="minorHAnsi" w:hAnsiTheme="minorHAnsi" w:cstheme="minorHAnsi"/>
        </w:rPr>
      </w:pPr>
      <w:r w:rsidRPr="00547DFE">
        <w:rPr>
          <w:rFonts w:asciiTheme="minorHAnsi" w:hAnsiTheme="minorHAnsi" w:cstheme="minorHAnsi"/>
        </w:rPr>
        <w:t>1.</w:t>
      </w:r>
      <w:r w:rsidRPr="00547DFE">
        <w:rPr>
          <w:rFonts w:asciiTheme="minorHAnsi" w:hAnsiTheme="minorHAnsi" w:cstheme="minorHAnsi"/>
        </w:rPr>
        <w:tab/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report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covers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Secret</w:t>
      </w:r>
      <w:r w:rsidR="00624345" w:rsidRPr="00547DFE">
        <w:rPr>
          <w:rFonts w:asciiTheme="minorHAnsi" w:hAnsiTheme="minorHAnsi" w:cstheme="minorHAnsi"/>
        </w:rPr>
        <w:t>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from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closing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13</w:t>
      </w:r>
      <w:r w:rsidRPr="00547DFE">
        <w:rPr>
          <w:rFonts w:asciiTheme="minorHAnsi" w:hAnsiTheme="minorHAnsi" w:cstheme="minorHAnsi"/>
        </w:rPr>
        <w:t>th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meeting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Conference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</w:t>
      </w:r>
      <w:r w:rsidR="00624345" w:rsidRPr="00547DFE">
        <w:rPr>
          <w:rFonts w:asciiTheme="minorHAnsi" w:hAnsiTheme="minorHAnsi" w:cstheme="minorHAnsi"/>
        </w:rPr>
        <w:t>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(COP13)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29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October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1152F" w:rsidRPr="00547DFE">
        <w:rPr>
          <w:rFonts w:asciiTheme="minorHAnsi" w:hAnsiTheme="minorHAnsi" w:cstheme="minorHAnsi"/>
        </w:rPr>
        <w:t>2018,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7697C">
        <w:rPr>
          <w:rFonts w:asciiTheme="minorHAnsi" w:hAnsiTheme="minorHAnsi" w:cstheme="minorHAnsi"/>
        </w:rPr>
        <w:t xml:space="preserve">through 15 </w:t>
      </w:r>
      <w:r w:rsidR="00F1140A" w:rsidRPr="00547DFE">
        <w:rPr>
          <w:rFonts w:asciiTheme="minorHAnsi" w:hAnsiTheme="minorHAnsi" w:cstheme="minorHAnsi"/>
        </w:rPr>
        <w:t>April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1140A" w:rsidRPr="00547DFE">
        <w:rPr>
          <w:rFonts w:asciiTheme="minorHAnsi" w:hAnsiTheme="minorHAnsi" w:cstheme="minorHAnsi"/>
        </w:rPr>
        <w:t>2019.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26">
        <w:rPr>
          <w:rFonts w:asciiTheme="minorHAnsi" w:hAnsiTheme="minorHAnsi" w:cstheme="minorHAnsi"/>
        </w:rPr>
        <w:t>It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provides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both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overview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selected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highlights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completed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during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period.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48FACC2F" w14:textId="77777777" w:rsidR="00DD0A59" w:rsidRPr="00547DFE" w:rsidRDefault="00DD0A59" w:rsidP="00B072AC">
      <w:pPr>
        <w:ind w:left="0" w:firstLine="0"/>
        <w:rPr>
          <w:rFonts w:asciiTheme="minorHAnsi" w:hAnsiTheme="minorHAnsi" w:cstheme="minorHAnsi"/>
        </w:rPr>
      </w:pPr>
    </w:p>
    <w:p w14:paraId="5877F3CD" w14:textId="7C8FF288" w:rsidR="004C64F4" w:rsidRPr="00547DFE" w:rsidRDefault="00DD0A59" w:rsidP="00B072AC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547DFE">
        <w:rPr>
          <w:rFonts w:asciiTheme="minorHAnsi" w:hAnsiTheme="minorHAnsi" w:cstheme="minorHAnsi"/>
          <w:sz w:val="22"/>
          <w:szCs w:val="22"/>
        </w:rPr>
        <w:t>2.</w:t>
      </w:r>
      <w:r w:rsidRPr="00547DFE">
        <w:rPr>
          <w:rFonts w:asciiTheme="minorHAnsi" w:hAnsiTheme="minorHAnsi" w:cstheme="minorHAnsi"/>
          <w:sz w:val="22"/>
          <w:szCs w:val="22"/>
        </w:rPr>
        <w:tab/>
        <w:t>COP13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was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an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important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moment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for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the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E72D1A" w:rsidRPr="00547DFE">
        <w:rPr>
          <w:rFonts w:asciiTheme="minorHAnsi" w:hAnsiTheme="minorHAnsi" w:cstheme="minorHAnsi"/>
          <w:sz w:val="22"/>
          <w:szCs w:val="22"/>
        </w:rPr>
        <w:t>C</w:t>
      </w:r>
      <w:r w:rsidRPr="00547DFE">
        <w:rPr>
          <w:rFonts w:asciiTheme="minorHAnsi" w:hAnsiTheme="minorHAnsi" w:cstheme="minorHAnsi"/>
          <w:sz w:val="22"/>
          <w:szCs w:val="22"/>
        </w:rPr>
        <w:t>onvention.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1E6E6C" w:rsidRPr="00547DFE">
        <w:rPr>
          <w:rFonts w:asciiTheme="minorHAnsi" w:hAnsiTheme="minorHAnsi" w:cstheme="minorHAnsi"/>
          <w:sz w:val="22"/>
          <w:szCs w:val="22"/>
        </w:rPr>
        <w:t>It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provided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D356D3">
        <w:rPr>
          <w:rFonts w:asciiTheme="minorHAnsi" w:hAnsiTheme="minorHAnsi" w:cstheme="minorHAnsi"/>
          <w:sz w:val="22"/>
          <w:szCs w:val="22"/>
        </w:rPr>
        <w:t>a key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milestone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by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which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the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work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of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the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E72D1A" w:rsidRPr="00547DFE">
        <w:rPr>
          <w:rFonts w:asciiTheme="minorHAnsi" w:hAnsiTheme="minorHAnsi" w:cstheme="minorHAnsi"/>
          <w:sz w:val="22"/>
          <w:szCs w:val="22"/>
        </w:rPr>
        <w:t>previous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two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years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D356D3">
        <w:rPr>
          <w:rFonts w:asciiTheme="minorHAnsi" w:hAnsiTheme="minorHAnsi" w:cstheme="minorHAnsi"/>
          <w:sz w:val="22"/>
          <w:szCs w:val="22"/>
        </w:rPr>
        <w:t>to strengthen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the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Secretariat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27697C">
        <w:rPr>
          <w:rFonts w:asciiTheme="minorHAnsi" w:hAnsiTheme="minorHAnsi" w:cstheme="minorHAnsi"/>
          <w:sz w:val="22"/>
          <w:szCs w:val="22"/>
        </w:rPr>
        <w:t>to fulfil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its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core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mandate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could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Pr="00547DFE">
        <w:rPr>
          <w:rFonts w:asciiTheme="minorHAnsi" w:hAnsiTheme="minorHAnsi" w:cstheme="minorHAnsi"/>
          <w:sz w:val="22"/>
          <w:szCs w:val="22"/>
        </w:rPr>
        <w:t>be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F1140A" w:rsidRPr="00547DFE">
        <w:rPr>
          <w:rFonts w:asciiTheme="minorHAnsi" w:hAnsiTheme="minorHAnsi" w:cstheme="minorHAnsi"/>
          <w:sz w:val="22"/>
          <w:szCs w:val="22"/>
        </w:rPr>
        <w:t>assessed.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D34EE6">
        <w:rPr>
          <w:rFonts w:asciiTheme="minorHAnsi" w:hAnsiTheme="minorHAnsi" w:cstheme="minorHAnsi"/>
          <w:sz w:val="22"/>
          <w:szCs w:val="22"/>
        </w:rPr>
        <w:t xml:space="preserve">The </w:t>
      </w:r>
      <w:r w:rsidR="00D356D3">
        <w:rPr>
          <w:rFonts w:asciiTheme="minorHAnsi" w:hAnsiTheme="minorHAnsi" w:cstheme="minorHAnsi"/>
          <w:sz w:val="22"/>
          <w:szCs w:val="22"/>
        </w:rPr>
        <w:t>Contracting P</w:t>
      </w:r>
      <w:r w:rsidR="00015D7B" w:rsidRPr="00547DFE">
        <w:rPr>
          <w:rFonts w:asciiTheme="minorHAnsi" w:hAnsiTheme="minorHAnsi" w:cstheme="minorHAnsi"/>
          <w:sz w:val="22"/>
          <w:szCs w:val="22"/>
        </w:rPr>
        <w:t>arties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expressed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satisfaction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with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the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w</w:t>
      </w:r>
      <w:r w:rsidR="00015D7B" w:rsidRPr="00D34EE6">
        <w:rPr>
          <w:rFonts w:asciiTheme="minorHAnsi" w:hAnsiTheme="minorHAnsi" w:cstheme="minorHAnsi"/>
          <w:sz w:val="22"/>
          <w:szCs w:val="22"/>
        </w:rPr>
        <w:t>ork</w:t>
      </w:r>
      <w:r w:rsidR="00E80EDB" w:rsidRPr="00D34EE6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D34EE6">
        <w:rPr>
          <w:rFonts w:asciiTheme="minorHAnsi" w:hAnsiTheme="minorHAnsi" w:cstheme="minorHAnsi"/>
          <w:sz w:val="22"/>
          <w:szCs w:val="22"/>
        </w:rPr>
        <w:t>of</w:t>
      </w:r>
      <w:r w:rsidR="00E80EDB" w:rsidRPr="00D34EE6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D34EE6">
        <w:rPr>
          <w:rFonts w:asciiTheme="minorHAnsi" w:hAnsiTheme="minorHAnsi" w:cstheme="minorHAnsi"/>
          <w:sz w:val="22"/>
          <w:szCs w:val="22"/>
        </w:rPr>
        <w:t>the</w:t>
      </w:r>
      <w:r w:rsidR="00E80EDB" w:rsidRPr="00D34EE6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D34EE6">
        <w:rPr>
          <w:rFonts w:asciiTheme="minorHAnsi" w:hAnsiTheme="minorHAnsi" w:cstheme="minorHAnsi"/>
          <w:sz w:val="22"/>
          <w:szCs w:val="22"/>
        </w:rPr>
        <w:t>Secretariat</w:t>
      </w:r>
      <w:r w:rsidR="00D34EE6">
        <w:rPr>
          <w:rFonts w:asciiTheme="minorHAnsi" w:hAnsiTheme="minorHAnsi" w:cstheme="minorHAnsi"/>
          <w:sz w:val="22"/>
          <w:szCs w:val="22"/>
        </w:rPr>
        <w:t xml:space="preserve">, </w:t>
      </w:r>
      <w:r w:rsidR="00D356D3" w:rsidRPr="00D34EE6">
        <w:rPr>
          <w:rFonts w:asciiTheme="minorHAnsi" w:hAnsiTheme="minorHAnsi" w:cstheme="minorHAnsi"/>
          <w:sz w:val="22"/>
          <w:szCs w:val="22"/>
        </w:rPr>
        <w:t>define</w:t>
      </w:r>
      <w:r w:rsidR="00D34EE6" w:rsidRPr="00D34EE6">
        <w:rPr>
          <w:rFonts w:asciiTheme="minorHAnsi" w:hAnsiTheme="minorHAnsi" w:cstheme="minorHAnsi"/>
          <w:sz w:val="22"/>
          <w:szCs w:val="22"/>
        </w:rPr>
        <w:t>d</w:t>
      </w:r>
      <w:r w:rsidR="00D356D3" w:rsidRPr="00D34EE6">
        <w:rPr>
          <w:rFonts w:asciiTheme="minorHAnsi" w:hAnsiTheme="minorHAnsi" w:cstheme="minorHAnsi"/>
          <w:sz w:val="22"/>
          <w:szCs w:val="22"/>
        </w:rPr>
        <w:t xml:space="preserve"> priorities for the new triennium </w:t>
      </w:r>
      <w:r w:rsidR="00015D7B" w:rsidRPr="00D34EE6">
        <w:rPr>
          <w:rFonts w:asciiTheme="minorHAnsi" w:hAnsiTheme="minorHAnsi" w:cstheme="minorHAnsi"/>
          <w:sz w:val="22"/>
          <w:szCs w:val="22"/>
        </w:rPr>
        <w:t>and</w:t>
      </w:r>
      <w:r w:rsidR="00E80EDB" w:rsidRPr="00D34EE6">
        <w:rPr>
          <w:rFonts w:asciiTheme="minorHAnsi" w:hAnsiTheme="minorHAnsi" w:cstheme="minorHAnsi"/>
          <w:sz w:val="22"/>
          <w:szCs w:val="22"/>
        </w:rPr>
        <w:t xml:space="preserve"> </w:t>
      </w:r>
      <w:r w:rsidR="00554A1F" w:rsidRPr="00D34EE6">
        <w:rPr>
          <w:rFonts w:asciiTheme="minorHAnsi" w:hAnsiTheme="minorHAnsi" w:cstheme="minorHAnsi"/>
          <w:sz w:val="22"/>
          <w:szCs w:val="22"/>
        </w:rPr>
        <w:t>took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decisions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renew</w:t>
      </w:r>
      <w:r w:rsidR="00554A1F" w:rsidRPr="00547DFE">
        <w:rPr>
          <w:rFonts w:asciiTheme="minorHAnsi" w:hAnsiTheme="minorHAnsi" w:cstheme="minorHAnsi"/>
          <w:sz w:val="22"/>
          <w:szCs w:val="22"/>
        </w:rPr>
        <w:t>ing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their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commitment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to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ensure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that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wetlands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and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the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Convention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are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relevant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to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the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sustainable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development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015D7B" w:rsidRPr="00547DFE">
        <w:rPr>
          <w:rFonts w:asciiTheme="minorHAnsi" w:hAnsiTheme="minorHAnsi" w:cstheme="minorHAnsi"/>
          <w:sz w:val="22"/>
          <w:szCs w:val="22"/>
        </w:rPr>
        <w:t>agenda.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EC0EEB" w:rsidRPr="00547DFE">
        <w:rPr>
          <w:rFonts w:asciiTheme="minorHAnsi" w:hAnsiTheme="minorHAnsi" w:cstheme="minorHAnsi"/>
          <w:sz w:val="22"/>
          <w:szCs w:val="22"/>
        </w:rPr>
        <w:t>According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EC0EEB" w:rsidRPr="00547DFE">
        <w:rPr>
          <w:rFonts w:asciiTheme="minorHAnsi" w:hAnsiTheme="minorHAnsi" w:cstheme="minorHAnsi"/>
          <w:sz w:val="22"/>
          <w:szCs w:val="22"/>
        </w:rPr>
        <w:t>to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EC0EEB" w:rsidRPr="00547DFE">
        <w:rPr>
          <w:rFonts w:asciiTheme="minorHAnsi" w:hAnsiTheme="minorHAnsi" w:cstheme="minorHAnsi"/>
          <w:sz w:val="22"/>
          <w:szCs w:val="22"/>
        </w:rPr>
        <w:t>the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EC0EEB" w:rsidRPr="00547DFE">
        <w:rPr>
          <w:rFonts w:asciiTheme="minorHAnsi" w:hAnsiTheme="minorHAnsi" w:cstheme="minorHAnsi"/>
          <w:sz w:val="22"/>
          <w:szCs w:val="22"/>
        </w:rPr>
        <w:t>International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EC0EEB" w:rsidRPr="00547DFE">
        <w:rPr>
          <w:rFonts w:asciiTheme="minorHAnsi" w:hAnsiTheme="minorHAnsi" w:cstheme="minorHAnsi"/>
          <w:sz w:val="22"/>
          <w:szCs w:val="22"/>
        </w:rPr>
        <w:t>Institute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EC0EEB" w:rsidRPr="00547DFE">
        <w:rPr>
          <w:rFonts w:asciiTheme="minorHAnsi" w:hAnsiTheme="minorHAnsi" w:cstheme="minorHAnsi"/>
          <w:sz w:val="22"/>
          <w:szCs w:val="22"/>
        </w:rPr>
        <w:t>for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EC0EEB" w:rsidRPr="00547DFE">
        <w:rPr>
          <w:rFonts w:asciiTheme="minorHAnsi" w:hAnsiTheme="minorHAnsi" w:cstheme="minorHAnsi"/>
          <w:sz w:val="22"/>
          <w:szCs w:val="22"/>
        </w:rPr>
        <w:t>Sustainable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EC0EEB" w:rsidRPr="00547DFE">
        <w:rPr>
          <w:rFonts w:asciiTheme="minorHAnsi" w:hAnsiTheme="minorHAnsi" w:cstheme="minorHAnsi"/>
          <w:sz w:val="22"/>
          <w:szCs w:val="22"/>
        </w:rPr>
        <w:t>Development,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EC0EEB" w:rsidRPr="00547DFE">
        <w:rPr>
          <w:rFonts w:asciiTheme="minorHAnsi" w:hAnsiTheme="minorHAnsi" w:cstheme="minorHAnsi"/>
          <w:sz w:val="22"/>
          <w:szCs w:val="22"/>
        </w:rPr>
        <w:t>n</w:t>
      </w:r>
      <w:r w:rsidR="00950B0E" w:rsidRPr="00547DFE">
        <w:rPr>
          <w:rFonts w:asciiTheme="minorHAnsi" w:hAnsiTheme="minorHAnsi" w:cstheme="minorHAnsi"/>
          <w:sz w:val="22"/>
          <w:szCs w:val="22"/>
        </w:rPr>
        <w:t>otable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accomplishments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achieved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at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COP13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included</w:t>
      </w:r>
      <w:r w:rsidR="00E64E9B" w:rsidRPr="00547DFE">
        <w:rPr>
          <w:rFonts w:asciiTheme="minorHAnsi" w:hAnsiTheme="minorHAnsi" w:cstheme="minorHAnsi"/>
          <w:sz w:val="22"/>
          <w:szCs w:val="22"/>
        </w:rPr>
        <w:t>: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the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release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of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the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i/>
          <w:sz w:val="22"/>
          <w:szCs w:val="22"/>
        </w:rPr>
        <w:t>Global</w:t>
      </w:r>
      <w:r w:rsidR="00E80EDB" w:rsidRPr="00547DF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i/>
          <w:sz w:val="22"/>
          <w:szCs w:val="22"/>
        </w:rPr>
        <w:t>Wetland</w:t>
      </w:r>
      <w:r w:rsidR="00E80EDB" w:rsidRPr="00547DF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i/>
          <w:sz w:val="22"/>
          <w:szCs w:val="22"/>
        </w:rPr>
        <w:t>Outlook</w:t>
      </w:r>
      <w:r w:rsidR="00E64E9B" w:rsidRPr="00547DFE">
        <w:rPr>
          <w:rFonts w:asciiTheme="minorHAnsi" w:hAnsiTheme="minorHAnsi" w:cstheme="minorHAnsi"/>
          <w:sz w:val="22"/>
          <w:szCs w:val="22"/>
        </w:rPr>
        <w:t>;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strengthening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F86643" w:rsidRPr="00547DFE">
        <w:rPr>
          <w:rFonts w:asciiTheme="minorHAnsi" w:hAnsiTheme="minorHAnsi" w:cstheme="minorHAnsi"/>
          <w:sz w:val="22"/>
          <w:szCs w:val="22"/>
        </w:rPr>
        <w:t>of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links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between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wetlands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and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climate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change</w:t>
      </w:r>
      <w:r w:rsidR="00E64E9B" w:rsidRPr="00547DFE">
        <w:rPr>
          <w:rFonts w:asciiTheme="minorHAnsi" w:hAnsiTheme="minorHAnsi" w:cstheme="minorHAnsi"/>
          <w:sz w:val="22"/>
          <w:szCs w:val="22"/>
        </w:rPr>
        <w:t>;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and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strengthening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F86643" w:rsidRPr="00547DFE">
        <w:rPr>
          <w:rFonts w:asciiTheme="minorHAnsi" w:hAnsiTheme="minorHAnsi" w:cstheme="minorHAnsi"/>
          <w:sz w:val="22"/>
          <w:szCs w:val="22"/>
        </w:rPr>
        <w:t>of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the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links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between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wetlands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and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the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Sustainable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Development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Goals</w:t>
      </w:r>
      <w:r w:rsidR="00E80EDB" w:rsidRPr="00547DFE">
        <w:rPr>
          <w:rFonts w:asciiTheme="minorHAnsi" w:hAnsiTheme="minorHAnsi" w:cstheme="minorHAnsi"/>
          <w:sz w:val="22"/>
          <w:szCs w:val="22"/>
        </w:rPr>
        <w:t xml:space="preserve"> </w:t>
      </w:r>
      <w:r w:rsidR="00950B0E" w:rsidRPr="00547DFE">
        <w:rPr>
          <w:rFonts w:asciiTheme="minorHAnsi" w:hAnsiTheme="minorHAnsi" w:cstheme="minorHAnsi"/>
          <w:sz w:val="22"/>
          <w:szCs w:val="22"/>
        </w:rPr>
        <w:t>(SDGs).</w:t>
      </w:r>
    </w:p>
    <w:p w14:paraId="0CD0D951" w14:textId="77777777" w:rsidR="00E90337" w:rsidRPr="00547DFE" w:rsidRDefault="00E90337" w:rsidP="00B072AC">
      <w:pPr>
        <w:ind w:left="0" w:firstLine="0"/>
        <w:rPr>
          <w:rFonts w:asciiTheme="minorHAnsi" w:hAnsiTheme="minorHAnsi" w:cstheme="minorHAnsi"/>
          <w:lang w:val="en-US"/>
        </w:rPr>
      </w:pPr>
    </w:p>
    <w:p w14:paraId="432DA3BC" w14:textId="097F1EDC" w:rsidR="00015D7B" w:rsidRPr="00547DFE" w:rsidRDefault="0043396A" w:rsidP="00B072AC">
      <w:pPr>
        <w:ind w:left="426" w:hanging="426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3.</w:t>
      </w:r>
      <w:r w:rsidRPr="00547DFE">
        <w:rPr>
          <w:rFonts w:asciiTheme="minorHAnsi" w:hAnsiTheme="minorHAnsi" w:cstheme="minorHAnsi"/>
        </w:rPr>
        <w:tab/>
      </w:r>
      <w:r w:rsidR="0062434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continues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commitment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strengthen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effectively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deliver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mandate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specified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Article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8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Convention,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5830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implement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instructions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given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it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Conference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Standing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Committee,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support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implement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Strategic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Plan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Convention.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45196" w:rsidRPr="00547DFE">
        <w:rPr>
          <w:rFonts w:asciiTheme="minorHAnsi" w:hAnsiTheme="minorHAnsi" w:cstheme="minorHAnsi"/>
        </w:rPr>
        <w:t>Importantly,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4519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45196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38C9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45196" w:rsidRPr="00547DFE">
        <w:rPr>
          <w:rFonts w:asciiTheme="minorHAnsi" w:hAnsiTheme="minorHAnsi" w:cstheme="minorHAnsi"/>
        </w:rPr>
        <w:t>taking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45196" w:rsidRPr="00547DFE">
        <w:rPr>
          <w:rFonts w:asciiTheme="minorHAnsi" w:hAnsiTheme="minorHAnsi" w:cstheme="minorHAnsi"/>
        </w:rPr>
        <w:t>assigned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45196" w:rsidRPr="00547DFE">
        <w:rPr>
          <w:rFonts w:asciiTheme="minorHAnsi" w:hAnsiTheme="minorHAnsi" w:cstheme="minorHAnsi"/>
        </w:rPr>
        <w:t>actions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45196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45196" w:rsidRPr="00547DFE">
        <w:rPr>
          <w:rFonts w:asciiTheme="minorHAnsi" w:hAnsiTheme="minorHAnsi" w:cstheme="minorHAnsi"/>
        </w:rPr>
        <w:t>Resolutions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45196" w:rsidRPr="00547DFE">
        <w:rPr>
          <w:rFonts w:asciiTheme="minorHAnsi" w:hAnsiTheme="minorHAnsi" w:cstheme="minorHAnsi"/>
        </w:rPr>
        <w:t>adopted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45196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45196" w:rsidRPr="00547DFE">
        <w:rPr>
          <w:rFonts w:asciiTheme="minorHAnsi" w:hAnsiTheme="minorHAnsi" w:cstheme="minorHAnsi"/>
        </w:rPr>
        <w:t>COP13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38C9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38C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C15C1">
        <w:rPr>
          <w:rFonts w:asciiTheme="minorHAnsi" w:hAnsiTheme="minorHAnsi" w:cstheme="minorHAnsi"/>
        </w:rPr>
        <w:t>basis 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38C9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38C9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38C9" w:rsidRPr="00547DFE">
        <w:rPr>
          <w:rFonts w:asciiTheme="minorHAnsi" w:hAnsiTheme="minorHAnsi" w:cstheme="minorHAnsi"/>
        </w:rPr>
        <w:t>plan</w:t>
      </w:r>
      <w:r w:rsidR="00A45196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5830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5830" w:rsidRPr="00547DFE">
        <w:rPr>
          <w:rFonts w:asciiTheme="minorHAnsi" w:hAnsiTheme="minorHAnsi" w:cstheme="minorHAnsi"/>
        </w:rPr>
        <w:t>m</w:t>
      </w:r>
      <w:r w:rsidR="00624345" w:rsidRPr="00547DFE">
        <w:rPr>
          <w:rFonts w:asciiTheme="minorHAnsi" w:hAnsiTheme="minorHAnsi" w:cstheme="minorHAnsi"/>
        </w:rPr>
        <w:t>ain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areas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38C9" w:rsidRPr="00547DFE">
        <w:rPr>
          <w:rFonts w:asciiTheme="minorHAnsi" w:hAnsiTheme="minorHAnsi" w:cstheme="minorHAnsi"/>
        </w:rPr>
        <w:t>during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38C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38C9" w:rsidRPr="00547DFE">
        <w:rPr>
          <w:rFonts w:asciiTheme="minorHAnsi" w:hAnsiTheme="minorHAnsi" w:cstheme="minorHAnsi"/>
        </w:rPr>
        <w:t>reporting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38C9" w:rsidRPr="00547DFE">
        <w:rPr>
          <w:rFonts w:asciiTheme="minorHAnsi" w:hAnsiTheme="minorHAnsi" w:cstheme="minorHAnsi"/>
        </w:rPr>
        <w:t>period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are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described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345" w:rsidRPr="00547DFE">
        <w:rPr>
          <w:rFonts w:asciiTheme="minorHAnsi" w:hAnsiTheme="minorHAnsi" w:cstheme="minorHAnsi"/>
        </w:rPr>
        <w:t>below</w:t>
      </w:r>
      <w:r w:rsidR="00E45830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5D7B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C15C1">
        <w:rPr>
          <w:rFonts w:asciiTheme="minorHAnsi" w:hAnsiTheme="minorHAnsi" w:cstheme="minorHAnsi"/>
        </w:rPr>
        <w:t>documents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5D7B" w:rsidRPr="00547DFE">
        <w:rPr>
          <w:rFonts w:asciiTheme="minorHAnsi" w:hAnsiTheme="minorHAnsi" w:cstheme="minorHAnsi"/>
        </w:rPr>
        <w:t>prepared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5D7B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5D7B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5830" w:rsidRPr="00547DFE">
        <w:rPr>
          <w:rFonts w:asciiTheme="minorHAnsi" w:hAnsiTheme="minorHAnsi" w:cstheme="minorHAnsi"/>
        </w:rPr>
        <w:t>present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5D7B" w:rsidRPr="00547DFE">
        <w:rPr>
          <w:rFonts w:asciiTheme="minorHAnsi" w:hAnsiTheme="minorHAnsi" w:cstheme="minorHAnsi"/>
        </w:rPr>
        <w:t>meeting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5D7B" w:rsidRPr="00547DFE">
        <w:rPr>
          <w:rFonts w:asciiTheme="minorHAnsi" w:hAnsiTheme="minorHAnsi" w:cstheme="minorHAnsi"/>
        </w:rPr>
        <w:t>(SC57)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5D7B" w:rsidRPr="00547DFE">
        <w:rPr>
          <w:rFonts w:asciiTheme="minorHAnsi" w:hAnsiTheme="minorHAnsi" w:cstheme="minorHAnsi"/>
        </w:rPr>
        <w:t>provide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5D7B" w:rsidRPr="00547DFE">
        <w:rPr>
          <w:rFonts w:asciiTheme="minorHAnsi" w:hAnsiTheme="minorHAnsi" w:cstheme="minorHAnsi"/>
        </w:rPr>
        <w:t>further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5D7B" w:rsidRPr="00547DFE">
        <w:rPr>
          <w:rFonts w:asciiTheme="minorHAnsi" w:hAnsiTheme="minorHAnsi" w:cstheme="minorHAnsi"/>
        </w:rPr>
        <w:t>detail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5D7B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5D7B" w:rsidRPr="00547DFE">
        <w:rPr>
          <w:rFonts w:asciiTheme="minorHAnsi" w:hAnsiTheme="minorHAnsi" w:cstheme="minorHAnsi"/>
        </w:rPr>
        <w:t>various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5D7B" w:rsidRPr="00547DFE">
        <w:rPr>
          <w:rFonts w:asciiTheme="minorHAnsi" w:hAnsiTheme="minorHAnsi" w:cstheme="minorHAnsi"/>
        </w:rPr>
        <w:t>areas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5D7B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5D7B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5D7B" w:rsidRPr="00547DFE">
        <w:rPr>
          <w:rFonts w:asciiTheme="minorHAnsi" w:hAnsiTheme="minorHAnsi" w:cstheme="minorHAnsi"/>
        </w:rPr>
        <w:t>Secretariat’s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15D7B" w:rsidRPr="00547DFE">
        <w:rPr>
          <w:rFonts w:asciiTheme="minorHAnsi" w:hAnsiTheme="minorHAnsi" w:cstheme="minorHAnsi"/>
        </w:rPr>
        <w:t>work.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48EF3CB0" w14:textId="77777777" w:rsidR="00624345" w:rsidRPr="00547DFE" w:rsidRDefault="00624345" w:rsidP="00B072AC">
      <w:pPr>
        <w:rPr>
          <w:rFonts w:asciiTheme="minorHAnsi" w:hAnsiTheme="minorHAnsi" w:cstheme="minorHAnsi"/>
        </w:rPr>
      </w:pPr>
    </w:p>
    <w:p w14:paraId="1CF7FA2A" w14:textId="583C08BC" w:rsidR="00E90337" w:rsidRPr="00216FD7" w:rsidRDefault="00E90337" w:rsidP="00B072AC">
      <w:pPr>
        <w:ind w:left="0" w:firstLine="0"/>
        <w:rPr>
          <w:rFonts w:asciiTheme="minorHAnsi" w:hAnsiTheme="minorHAnsi" w:cstheme="minorHAnsi"/>
          <w:b/>
          <w:bCs/>
        </w:rPr>
      </w:pPr>
      <w:r w:rsidRPr="00216FD7">
        <w:rPr>
          <w:rFonts w:asciiTheme="minorHAnsi" w:hAnsiTheme="minorHAnsi" w:cstheme="minorHAnsi"/>
          <w:b/>
          <w:bCs/>
        </w:rPr>
        <w:t>Strengthening</w:t>
      </w:r>
      <w:r w:rsidR="00E80EDB" w:rsidRPr="00547DFE">
        <w:rPr>
          <w:rFonts w:asciiTheme="minorHAnsi" w:hAnsiTheme="minorHAnsi" w:cstheme="minorHAnsi"/>
          <w:b/>
          <w:bCs/>
        </w:rPr>
        <w:t xml:space="preserve"> </w:t>
      </w:r>
      <w:r w:rsidRPr="00216FD7">
        <w:rPr>
          <w:rFonts w:asciiTheme="minorHAnsi" w:hAnsiTheme="minorHAnsi" w:cstheme="minorHAnsi"/>
          <w:b/>
          <w:bCs/>
        </w:rPr>
        <w:t>service</w:t>
      </w:r>
      <w:r w:rsidR="00E80EDB" w:rsidRPr="00547DFE">
        <w:rPr>
          <w:rFonts w:asciiTheme="minorHAnsi" w:hAnsiTheme="minorHAnsi" w:cstheme="minorHAnsi"/>
          <w:b/>
          <w:bCs/>
        </w:rPr>
        <w:t xml:space="preserve"> </w:t>
      </w:r>
      <w:r w:rsidRPr="00216FD7">
        <w:rPr>
          <w:rFonts w:asciiTheme="minorHAnsi" w:hAnsiTheme="minorHAnsi" w:cstheme="minorHAnsi"/>
          <w:b/>
          <w:bCs/>
        </w:rPr>
        <w:t>to</w:t>
      </w:r>
      <w:r w:rsidR="00E80EDB" w:rsidRPr="00547DFE">
        <w:rPr>
          <w:rFonts w:asciiTheme="minorHAnsi" w:hAnsiTheme="minorHAnsi" w:cstheme="minorHAnsi"/>
          <w:b/>
          <w:bCs/>
        </w:rPr>
        <w:t xml:space="preserve"> </w:t>
      </w:r>
      <w:r w:rsidRPr="00216FD7">
        <w:rPr>
          <w:rFonts w:asciiTheme="minorHAnsi" w:hAnsiTheme="minorHAnsi" w:cstheme="minorHAnsi"/>
          <w:b/>
          <w:bCs/>
        </w:rPr>
        <w:t>Contracting</w:t>
      </w:r>
      <w:r w:rsidR="00E80EDB" w:rsidRPr="00547DFE">
        <w:rPr>
          <w:rFonts w:asciiTheme="minorHAnsi" w:hAnsiTheme="minorHAnsi" w:cstheme="minorHAnsi"/>
          <w:b/>
          <w:bCs/>
        </w:rPr>
        <w:t xml:space="preserve"> </w:t>
      </w:r>
      <w:r w:rsidRPr="00216FD7">
        <w:rPr>
          <w:rFonts w:asciiTheme="minorHAnsi" w:hAnsiTheme="minorHAnsi" w:cstheme="minorHAnsi"/>
          <w:b/>
          <w:bCs/>
        </w:rPr>
        <w:t>Parties’</w:t>
      </w:r>
      <w:r w:rsidR="00E80EDB" w:rsidRPr="00547DFE">
        <w:rPr>
          <w:rFonts w:asciiTheme="minorHAnsi" w:hAnsiTheme="minorHAnsi" w:cstheme="minorHAnsi"/>
          <w:b/>
          <w:bCs/>
        </w:rPr>
        <w:t xml:space="preserve"> </w:t>
      </w:r>
      <w:r w:rsidRPr="00216FD7">
        <w:rPr>
          <w:rFonts w:asciiTheme="minorHAnsi" w:hAnsiTheme="minorHAnsi" w:cstheme="minorHAnsi"/>
          <w:b/>
          <w:bCs/>
        </w:rPr>
        <w:t>decision-making</w:t>
      </w:r>
      <w:r w:rsidR="00E80EDB" w:rsidRPr="00547DFE">
        <w:rPr>
          <w:rFonts w:asciiTheme="minorHAnsi" w:hAnsiTheme="minorHAnsi" w:cstheme="minorHAnsi"/>
          <w:b/>
          <w:bCs/>
        </w:rPr>
        <w:t xml:space="preserve"> </w:t>
      </w:r>
      <w:r w:rsidRPr="00216FD7">
        <w:rPr>
          <w:rFonts w:asciiTheme="minorHAnsi" w:hAnsiTheme="minorHAnsi" w:cstheme="minorHAnsi"/>
          <w:b/>
          <w:bCs/>
        </w:rPr>
        <w:t>and</w:t>
      </w:r>
      <w:r w:rsidR="00E80EDB" w:rsidRPr="00547DFE">
        <w:rPr>
          <w:rFonts w:asciiTheme="minorHAnsi" w:hAnsiTheme="minorHAnsi" w:cstheme="minorHAnsi"/>
          <w:b/>
          <w:bCs/>
        </w:rPr>
        <w:t xml:space="preserve"> </w:t>
      </w:r>
      <w:r w:rsidRPr="00216FD7">
        <w:rPr>
          <w:rFonts w:asciiTheme="minorHAnsi" w:hAnsiTheme="minorHAnsi" w:cstheme="minorHAnsi"/>
          <w:b/>
          <w:bCs/>
        </w:rPr>
        <w:t>accountability</w:t>
      </w:r>
    </w:p>
    <w:p w14:paraId="7044E902" w14:textId="77777777" w:rsidR="00E90337" w:rsidRPr="00547DFE" w:rsidRDefault="00E90337" w:rsidP="00B072AC">
      <w:pPr>
        <w:ind w:left="0" w:firstLine="0"/>
        <w:rPr>
          <w:rFonts w:asciiTheme="minorHAnsi" w:hAnsiTheme="minorHAnsi" w:cstheme="minorHAnsi"/>
        </w:rPr>
      </w:pPr>
    </w:p>
    <w:p w14:paraId="1EABE412" w14:textId="06100CA4" w:rsidR="0050655C" w:rsidRPr="00547DFE" w:rsidRDefault="00E90337" w:rsidP="00B072AC">
      <w:p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4.</w:t>
      </w:r>
      <w:r w:rsidRPr="00547DFE">
        <w:rPr>
          <w:rFonts w:asciiTheme="minorHAnsi" w:hAnsiTheme="minorHAnsi" w:cstheme="minorHAnsi"/>
        </w:rPr>
        <w:tab/>
      </w:r>
      <w:r w:rsidR="0091335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delivery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Secretariat’s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core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role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servicing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768E2" w:rsidRPr="00547DFE">
        <w:rPr>
          <w:rFonts w:asciiTheme="minorHAnsi" w:hAnsiTheme="minorHAnsi" w:cstheme="minorHAnsi"/>
        </w:rPr>
        <w:t>remains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768E2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768E2" w:rsidRPr="00547DFE">
        <w:rPr>
          <w:rFonts w:asciiTheme="minorHAnsi" w:hAnsiTheme="minorHAnsi" w:cstheme="minorHAnsi"/>
        </w:rPr>
        <w:t>priority</w:t>
      </w:r>
      <w:r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768E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768E2" w:rsidRPr="00547DFE">
        <w:rPr>
          <w:rFonts w:asciiTheme="minorHAnsi" w:hAnsiTheme="minorHAnsi" w:cstheme="minorHAnsi"/>
        </w:rPr>
        <w:t>includes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organization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meetings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governing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subsidiary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bodies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accountability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all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implement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decisions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requests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from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Parties</w:t>
      </w:r>
      <w:r w:rsidR="00913356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13356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area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prioritized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7830" w:rsidRPr="00547DFE">
        <w:rPr>
          <w:rFonts w:asciiTheme="minorHAnsi" w:hAnsiTheme="minorHAnsi" w:cstheme="minorHAnsi"/>
        </w:rPr>
        <w:t>new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05633" w:rsidRPr="00547DFE">
        <w:rPr>
          <w:rFonts w:asciiTheme="minorHAnsi" w:hAnsiTheme="minorHAnsi" w:cstheme="minorHAnsi"/>
        </w:rPr>
        <w:t>triennial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7830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7830" w:rsidRPr="00547DFE">
        <w:rPr>
          <w:rFonts w:asciiTheme="minorHAnsi" w:hAnsiTheme="minorHAnsi" w:cstheme="minorHAnsi"/>
        </w:rPr>
        <w:t>plan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7830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7830" w:rsidRPr="00547DFE">
        <w:rPr>
          <w:rFonts w:asciiTheme="minorHAnsi" w:hAnsiTheme="minorHAnsi" w:cstheme="minorHAnsi"/>
        </w:rPr>
        <w:t>2019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7830" w:rsidRPr="00547DFE">
        <w:rPr>
          <w:rFonts w:asciiTheme="minorHAnsi" w:hAnsiTheme="minorHAnsi" w:cstheme="minorHAnsi"/>
        </w:rPr>
        <w:t>annual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7830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7830" w:rsidRPr="00547DFE">
        <w:rPr>
          <w:rFonts w:asciiTheme="minorHAnsi" w:hAnsiTheme="minorHAnsi" w:cstheme="minorHAnsi"/>
        </w:rPr>
        <w:t>plan</w:t>
      </w:r>
      <w:r w:rsidR="004844FC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844FC" w:rsidRPr="00547DFE">
        <w:rPr>
          <w:rFonts w:asciiTheme="minorHAnsi" w:hAnsiTheme="minorHAnsi" w:cstheme="minorHAnsi"/>
        </w:rPr>
        <w:t>which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7830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844FC" w:rsidRPr="00547DFE">
        <w:rPr>
          <w:rFonts w:asciiTheme="minorHAnsi" w:hAnsiTheme="minorHAnsi" w:cstheme="minorHAnsi"/>
        </w:rPr>
        <w:t>also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13356" w:rsidRPr="00547DFE">
        <w:rPr>
          <w:rFonts w:asciiTheme="minorHAnsi" w:hAnsiTheme="minorHAnsi" w:cstheme="minorHAnsi"/>
        </w:rPr>
        <w:t>presented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518CD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13356" w:rsidRPr="00547DFE">
        <w:rPr>
          <w:rFonts w:asciiTheme="minorHAnsi" w:hAnsiTheme="minorHAnsi" w:cstheme="minorHAnsi"/>
        </w:rPr>
        <w:t>SC57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13356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E6E6C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E6E6C" w:rsidRPr="00547DFE">
        <w:rPr>
          <w:rFonts w:asciiTheme="minorHAnsi" w:hAnsiTheme="minorHAnsi" w:cstheme="minorHAnsi"/>
        </w:rPr>
        <w:t>consideration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05633" w:rsidRPr="00547DFE">
        <w:rPr>
          <w:rFonts w:asciiTheme="minorHAnsi" w:hAnsiTheme="minorHAnsi" w:cstheme="minorHAnsi"/>
        </w:rPr>
        <w:t>(document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05633" w:rsidRPr="00547DFE">
        <w:rPr>
          <w:rFonts w:asciiTheme="minorHAnsi" w:hAnsiTheme="minorHAnsi" w:cstheme="minorHAnsi"/>
        </w:rPr>
        <w:t>SC57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05633" w:rsidRPr="00547DFE">
        <w:rPr>
          <w:rFonts w:asciiTheme="minorHAnsi" w:hAnsiTheme="minorHAnsi" w:cstheme="minorHAnsi"/>
        </w:rPr>
        <w:t>Doc.16)</w:t>
      </w:r>
      <w:r w:rsidR="00913356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7830" w:rsidRPr="00547DFE">
        <w:rPr>
          <w:rFonts w:asciiTheme="minorHAnsi" w:hAnsiTheme="minorHAnsi" w:cstheme="minorHAnsi"/>
        </w:rPr>
        <w:t>Th</w:t>
      </w:r>
      <w:r w:rsidR="009D0646" w:rsidRPr="00547DFE">
        <w:rPr>
          <w:rFonts w:asciiTheme="minorHAnsi" w:hAnsiTheme="minorHAnsi" w:cstheme="minorHAnsi"/>
        </w:rPr>
        <w:t>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plan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explicitly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refers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F4521" w:rsidRPr="00547DFE">
        <w:rPr>
          <w:rFonts w:asciiTheme="minorHAnsi" w:hAnsiTheme="minorHAnsi" w:cstheme="minorHAnsi"/>
        </w:rPr>
        <w:t>requests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F4521" w:rsidRPr="00547DFE">
        <w:rPr>
          <w:rFonts w:asciiTheme="minorHAnsi" w:hAnsiTheme="minorHAnsi" w:cstheme="minorHAnsi"/>
        </w:rPr>
        <w:t>made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F4521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F4521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F4521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F4521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F4521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F4521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F1ECC" w:rsidRPr="00547DFE">
        <w:rPr>
          <w:rFonts w:asciiTheme="minorHAnsi" w:hAnsiTheme="minorHAnsi" w:cstheme="minorHAnsi"/>
        </w:rPr>
        <w:t>enha</w:t>
      </w:r>
      <w:r w:rsidR="006518CD" w:rsidRPr="00547DFE">
        <w:rPr>
          <w:rFonts w:asciiTheme="minorHAnsi" w:hAnsiTheme="minorHAnsi" w:cstheme="minorHAnsi"/>
        </w:rPr>
        <w:t>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F1ECC" w:rsidRPr="00547DFE">
        <w:rPr>
          <w:rFonts w:asciiTheme="minorHAnsi" w:hAnsiTheme="minorHAnsi" w:cstheme="minorHAnsi"/>
        </w:rPr>
        <w:t>accountability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F1ECC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F1EC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F1ECC" w:rsidRPr="00547DFE">
        <w:rPr>
          <w:rFonts w:asciiTheme="minorHAnsi" w:hAnsiTheme="minorHAnsi" w:cstheme="minorHAnsi"/>
        </w:rPr>
        <w:t>Secretariat.</w:t>
      </w:r>
    </w:p>
    <w:p w14:paraId="43594135" w14:textId="39CD93FF" w:rsidR="0050655C" w:rsidRPr="00547DFE" w:rsidRDefault="00E80EDB" w:rsidP="00B072AC">
      <w:pPr>
        <w:rPr>
          <w:rFonts w:asciiTheme="minorHAnsi" w:hAnsiTheme="minorHAnsi" w:cstheme="minorHAnsi"/>
          <w:b/>
          <w:i/>
        </w:rPr>
      </w:pPr>
      <w:r w:rsidRPr="00547DFE">
        <w:rPr>
          <w:rFonts w:asciiTheme="minorHAnsi" w:hAnsiTheme="minorHAnsi" w:cstheme="minorHAnsi"/>
        </w:rPr>
        <w:t xml:space="preserve"> </w:t>
      </w:r>
    </w:p>
    <w:p w14:paraId="522770B5" w14:textId="79E1A249" w:rsidR="0050655C" w:rsidRPr="00547DFE" w:rsidRDefault="00E90337" w:rsidP="00B072AC">
      <w:p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5.</w:t>
      </w:r>
      <w:r w:rsidRPr="00547DFE">
        <w:rPr>
          <w:rFonts w:asciiTheme="minorHAnsi" w:hAnsiTheme="minorHAnsi" w:cstheme="minorHAnsi"/>
        </w:rPr>
        <w:tab/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critical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function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organization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meetings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governing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subsidiary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bodies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Convention,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including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C15C1">
        <w:rPr>
          <w:rFonts w:asciiTheme="minorHAnsi" w:hAnsiTheme="minorHAnsi" w:cstheme="minorHAnsi"/>
        </w:rPr>
        <w:t xml:space="preserve">COP, </w:t>
      </w:r>
      <w:r w:rsidRPr="00547DFE">
        <w:rPr>
          <w:rFonts w:asciiTheme="minorHAnsi" w:hAnsiTheme="minorHAnsi" w:cstheme="minorHAnsi"/>
        </w:rPr>
        <w:t>Standing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Committee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Scientific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Technical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Review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Pa</w:t>
      </w:r>
      <w:r w:rsidR="00C4707A" w:rsidRPr="00547DFE">
        <w:rPr>
          <w:rFonts w:asciiTheme="minorHAnsi" w:hAnsiTheme="minorHAnsi" w:cstheme="minorHAnsi"/>
        </w:rPr>
        <w:t>nel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4707A" w:rsidRPr="00547DFE">
        <w:rPr>
          <w:rFonts w:asciiTheme="minorHAnsi" w:hAnsiTheme="minorHAnsi" w:cstheme="minorHAnsi"/>
        </w:rPr>
        <w:t>(STRP).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4707A" w:rsidRPr="00547DFE">
        <w:rPr>
          <w:rFonts w:asciiTheme="minorHAnsi" w:hAnsiTheme="minorHAnsi" w:cstheme="minorHAnsi"/>
        </w:rPr>
        <w:t>During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4707A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4707A" w:rsidRPr="00547DFE">
        <w:rPr>
          <w:rFonts w:asciiTheme="minorHAnsi" w:hAnsiTheme="minorHAnsi" w:cstheme="minorHAnsi"/>
        </w:rPr>
        <w:t>period</w:t>
      </w:r>
      <w:r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made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logistical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lastRenderedPageBreak/>
        <w:t>arrangements,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prepared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meeting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documents,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4707A" w:rsidRPr="00547DFE">
        <w:rPr>
          <w:rFonts w:asciiTheme="minorHAnsi" w:hAnsiTheme="minorHAnsi" w:cstheme="minorHAnsi"/>
        </w:rPr>
        <w:t>or</w:t>
      </w:r>
      <w:r w:rsidR="0062474B" w:rsidRPr="00547DFE">
        <w:rPr>
          <w:rFonts w:asciiTheme="minorHAnsi" w:hAnsiTheme="minorHAnsi" w:cstheme="minorHAnsi"/>
        </w:rPr>
        <w:t>ganized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74B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74B" w:rsidRPr="00547DFE">
        <w:rPr>
          <w:rFonts w:asciiTheme="minorHAnsi" w:hAnsiTheme="minorHAnsi" w:cstheme="minorHAnsi"/>
        </w:rPr>
        <w:t>convening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74B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C7FD9" w:rsidRPr="00547DFE">
        <w:rPr>
          <w:rFonts w:asciiTheme="minorHAnsi" w:hAnsiTheme="minorHAnsi" w:cstheme="minorHAnsi"/>
        </w:rPr>
        <w:t>COP13,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C7FD9" w:rsidRPr="00547DFE">
        <w:rPr>
          <w:rFonts w:asciiTheme="minorHAnsi" w:hAnsiTheme="minorHAnsi" w:cstheme="minorHAnsi"/>
        </w:rPr>
        <w:t>SC</w:t>
      </w:r>
      <w:r w:rsidR="00950B0E" w:rsidRPr="00547DFE">
        <w:rPr>
          <w:rFonts w:asciiTheme="minorHAnsi" w:hAnsiTheme="minorHAnsi" w:cstheme="minorHAnsi"/>
        </w:rPr>
        <w:t>55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0B0E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C7FD9" w:rsidRPr="00547DFE">
        <w:rPr>
          <w:rFonts w:asciiTheme="minorHAnsi" w:hAnsiTheme="minorHAnsi" w:cstheme="minorHAnsi"/>
        </w:rPr>
        <w:t>SC</w:t>
      </w:r>
      <w:r w:rsidR="00950B0E" w:rsidRPr="00547DFE">
        <w:rPr>
          <w:rFonts w:asciiTheme="minorHAnsi" w:hAnsiTheme="minorHAnsi" w:cstheme="minorHAnsi"/>
        </w:rPr>
        <w:t>56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0B0E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0B0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0B0E" w:rsidRPr="00547DFE">
        <w:rPr>
          <w:rFonts w:asciiTheme="minorHAnsi" w:hAnsiTheme="minorHAnsi" w:cstheme="minorHAnsi"/>
        </w:rPr>
        <w:t>past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0B0E" w:rsidRPr="00547DFE">
        <w:rPr>
          <w:rFonts w:asciiTheme="minorHAnsi" w:hAnsiTheme="minorHAnsi" w:cstheme="minorHAnsi"/>
        </w:rPr>
        <w:t>triennium,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0B0E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0B0E" w:rsidRPr="00547DFE">
        <w:rPr>
          <w:rFonts w:asciiTheme="minorHAnsi" w:hAnsiTheme="minorHAnsi" w:cstheme="minorHAnsi"/>
        </w:rPr>
        <w:t>well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0B0E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74B" w:rsidRPr="00547DFE">
        <w:rPr>
          <w:rFonts w:asciiTheme="minorHAnsi" w:hAnsiTheme="minorHAnsi" w:cstheme="minorHAnsi"/>
        </w:rPr>
        <w:t>STRP22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74B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2474B" w:rsidRPr="00547DFE">
        <w:rPr>
          <w:rFonts w:asciiTheme="minorHAnsi" w:hAnsiTheme="minorHAnsi" w:cstheme="minorHAnsi"/>
        </w:rPr>
        <w:t>SC57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0B0E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0B0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0B0E" w:rsidRPr="00547DFE">
        <w:rPr>
          <w:rFonts w:asciiTheme="minorHAnsi" w:hAnsiTheme="minorHAnsi" w:cstheme="minorHAnsi"/>
        </w:rPr>
        <w:t>current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0B0E" w:rsidRPr="00547DFE">
        <w:rPr>
          <w:rFonts w:asciiTheme="minorHAnsi" w:hAnsiTheme="minorHAnsi" w:cstheme="minorHAnsi"/>
        </w:rPr>
        <w:t>triennium</w:t>
      </w:r>
      <w:r w:rsidR="0062474B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4E1BC385" w14:textId="77777777" w:rsidR="0050655C" w:rsidRPr="00547DFE" w:rsidRDefault="0050655C" w:rsidP="00B072AC">
      <w:pPr>
        <w:rPr>
          <w:rFonts w:asciiTheme="minorHAnsi" w:hAnsiTheme="minorHAnsi" w:cstheme="minorHAnsi"/>
        </w:rPr>
      </w:pPr>
    </w:p>
    <w:p w14:paraId="18E044CD" w14:textId="1E352B0E" w:rsidR="004844FC" w:rsidRPr="00547DFE" w:rsidRDefault="0050655C" w:rsidP="00B072AC">
      <w:p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6.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86643" w:rsidRPr="00547DFE">
        <w:rPr>
          <w:rFonts w:asciiTheme="minorHAnsi" w:hAnsiTheme="minorHAnsi" w:cstheme="minorHAnsi"/>
        </w:rPr>
        <w:tab/>
      </w:r>
      <w:r w:rsidR="0054574B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major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highlight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organization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COP13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5A9C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5A9C" w:rsidRPr="00547DFE">
        <w:rPr>
          <w:rFonts w:asciiTheme="minorHAnsi" w:hAnsiTheme="minorHAnsi" w:cstheme="minorHAnsi"/>
        </w:rPr>
        <w:t>reported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5A9C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5A9C" w:rsidRPr="00547DFE">
        <w:rPr>
          <w:rFonts w:asciiTheme="minorHAnsi" w:hAnsiTheme="minorHAnsi" w:cstheme="minorHAnsi"/>
        </w:rPr>
        <w:t>document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844FC" w:rsidRPr="00547DFE">
        <w:rPr>
          <w:rFonts w:asciiTheme="minorHAnsi" w:hAnsiTheme="minorHAnsi" w:cstheme="minorHAnsi"/>
        </w:rPr>
        <w:t>SC57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844FC" w:rsidRPr="00547DFE">
        <w:rPr>
          <w:rFonts w:asciiTheme="minorHAnsi" w:hAnsiTheme="minorHAnsi" w:cstheme="minorHAnsi"/>
        </w:rPr>
        <w:t>Doc.21.1,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518CD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518CD" w:rsidRPr="00547DFE">
        <w:rPr>
          <w:rFonts w:asciiTheme="minorHAnsi" w:hAnsiTheme="minorHAnsi" w:cstheme="minorHAnsi"/>
        </w:rPr>
        <w:t>early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518CD" w:rsidRPr="00547DFE">
        <w:rPr>
          <w:rFonts w:asciiTheme="minorHAnsi" w:hAnsiTheme="minorHAnsi" w:cstheme="minorHAnsi"/>
        </w:rPr>
        <w:t>preparations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01DB2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7394" w:rsidRPr="00547DFE">
        <w:rPr>
          <w:rFonts w:asciiTheme="minorHAnsi" w:hAnsiTheme="minorHAnsi" w:cstheme="minorHAnsi"/>
        </w:rPr>
        <w:t>COP14</w:t>
      </w:r>
      <w:r w:rsidR="004844FC" w:rsidRPr="00547DFE">
        <w:rPr>
          <w:rFonts w:asciiTheme="minorHAnsi" w:hAnsiTheme="minorHAnsi" w:cstheme="minorHAnsi"/>
        </w:rPr>
        <w:t>:</w:t>
      </w:r>
    </w:p>
    <w:p w14:paraId="1A289125" w14:textId="2FB58012" w:rsidR="00ED7394" w:rsidRPr="00547DFE" w:rsidRDefault="00ED7394" w:rsidP="00B072AC">
      <w:pPr>
        <w:rPr>
          <w:rFonts w:asciiTheme="minorHAnsi" w:hAnsiTheme="minorHAnsi" w:cstheme="minorHAnsi"/>
        </w:rPr>
      </w:pPr>
    </w:p>
    <w:p w14:paraId="21550B64" w14:textId="74EE241C" w:rsidR="0062474B" w:rsidRPr="00547DFE" w:rsidRDefault="0054574B" w:rsidP="00B072AC">
      <w:pPr>
        <w:pStyle w:val="ListParagraph"/>
        <w:numPr>
          <w:ilvl w:val="0"/>
          <w:numId w:val="40"/>
        </w:numPr>
        <w:ind w:left="850" w:hanging="425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T</w:t>
      </w:r>
      <w:r w:rsidR="00CE38C8" w:rsidRPr="00547DFE">
        <w:rPr>
          <w:rFonts w:asciiTheme="minorHAnsi" w:hAnsiTheme="minorHAnsi" w:cstheme="minorHAnsi"/>
        </w:rPr>
        <w:t>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E38C8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E38C8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carried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out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B1B84" w:rsidRPr="00547DFE">
        <w:rPr>
          <w:rFonts w:asciiTheme="minorHAnsi" w:hAnsiTheme="minorHAnsi" w:cstheme="minorHAnsi"/>
        </w:rPr>
        <w:t>internal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B1B84" w:rsidRPr="00547DFE">
        <w:rPr>
          <w:rFonts w:asciiTheme="minorHAnsi" w:hAnsiTheme="minorHAnsi" w:cstheme="minorHAnsi"/>
        </w:rPr>
        <w:t>assessment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E38C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E38C8" w:rsidRPr="00547DFE">
        <w:rPr>
          <w:rFonts w:asciiTheme="minorHAnsi" w:hAnsiTheme="minorHAnsi" w:cstheme="minorHAnsi"/>
        </w:rPr>
        <w:t>organization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E38C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E38C8" w:rsidRPr="00547DFE">
        <w:rPr>
          <w:rFonts w:asciiTheme="minorHAnsi" w:hAnsiTheme="minorHAnsi" w:cstheme="minorHAnsi"/>
        </w:rPr>
        <w:t>COP13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E38C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E38C8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E38C8" w:rsidRPr="00547DFE">
        <w:rPr>
          <w:rFonts w:asciiTheme="minorHAnsi" w:hAnsiTheme="minorHAnsi" w:cstheme="minorHAnsi"/>
        </w:rPr>
        <w:t>identified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C7FD9" w:rsidRPr="00547DFE">
        <w:rPr>
          <w:rFonts w:asciiTheme="minorHAnsi" w:hAnsiTheme="minorHAnsi" w:cstheme="minorHAnsi"/>
        </w:rPr>
        <w:t>key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128BA" w:rsidRPr="00547DFE">
        <w:rPr>
          <w:rFonts w:asciiTheme="minorHAnsi" w:hAnsiTheme="minorHAnsi" w:cstheme="minorHAnsi"/>
        </w:rPr>
        <w:t>lessons</w:t>
      </w:r>
      <w:r w:rsidR="00FC7FD9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C7FD9" w:rsidRPr="00547DFE">
        <w:rPr>
          <w:rFonts w:asciiTheme="minorHAnsi" w:hAnsiTheme="minorHAnsi" w:cstheme="minorHAnsi"/>
        </w:rPr>
        <w:t>These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128BA" w:rsidRPr="00547DFE">
        <w:rPr>
          <w:rFonts w:asciiTheme="minorHAnsi" w:hAnsiTheme="minorHAnsi" w:cstheme="minorHAnsi"/>
        </w:rPr>
        <w:t>lessons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C7FD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C7FD9" w:rsidRPr="00547DFE">
        <w:rPr>
          <w:rFonts w:asciiTheme="minorHAnsi" w:hAnsiTheme="minorHAnsi" w:cstheme="minorHAnsi"/>
        </w:rPr>
        <w:t>best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C7FD9" w:rsidRPr="00547DFE">
        <w:rPr>
          <w:rFonts w:asciiTheme="minorHAnsi" w:hAnsiTheme="minorHAnsi" w:cstheme="minorHAnsi"/>
        </w:rPr>
        <w:t>practices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E38C8" w:rsidRPr="00547DFE">
        <w:rPr>
          <w:rFonts w:asciiTheme="minorHAnsi" w:hAnsiTheme="minorHAnsi" w:cstheme="minorHAnsi"/>
        </w:rPr>
        <w:t>have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E38C8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E38C8" w:rsidRPr="00547DFE">
        <w:rPr>
          <w:rFonts w:asciiTheme="minorHAnsi" w:hAnsiTheme="minorHAnsi" w:cstheme="minorHAnsi"/>
        </w:rPr>
        <w:t>incorporated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E38C8" w:rsidRPr="00547DFE">
        <w:rPr>
          <w:rFonts w:asciiTheme="minorHAnsi" w:hAnsiTheme="minorHAnsi" w:cstheme="minorHAnsi"/>
        </w:rPr>
        <w:t>into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new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manual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provides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guidance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planning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preparing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future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meetings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3CE1" w:rsidRPr="00547DFE">
        <w:rPr>
          <w:rFonts w:asciiTheme="minorHAnsi" w:hAnsiTheme="minorHAnsi" w:cstheme="minorHAnsi"/>
        </w:rPr>
        <w:t>COP</w:t>
      </w:r>
      <w:r w:rsidR="001B1B84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B1B84" w:rsidRPr="00547DFE">
        <w:rPr>
          <w:rFonts w:asciiTheme="minorHAnsi" w:hAnsiTheme="minorHAnsi" w:cstheme="minorHAnsi"/>
        </w:rPr>
        <w:t>S</w:t>
      </w:r>
      <w:r w:rsidR="00CE38C8" w:rsidRPr="00547DFE">
        <w:rPr>
          <w:rFonts w:asciiTheme="minorHAnsi" w:hAnsiTheme="minorHAnsi" w:cstheme="minorHAnsi"/>
        </w:rPr>
        <w:t>tandard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E38C8" w:rsidRPr="00547DFE">
        <w:rPr>
          <w:rFonts w:asciiTheme="minorHAnsi" w:hAnsiTheme="minorHAnsi" w:cstheme="minorHAnsi"/>
        </w:rPr>
        <w:t>operating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E38C8" w:rsidRPr="00547DFE">
        <w:rPr>
          <w:rFonts w:asciiTheme="minorHAnsi" w:hAnsiTheme="minorHAnsi" w:cstheme="minorHAnsi"/>
        </w:rPr>
        <w:t>procedures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B1B84" w:rsidRPr="00547DFE">
        <w:rPr>
          <w:rFonts w:asciiTheme="minorHAnsi" w:hAnsiTheme="minorHAnsi" w:cstheme="minorHAnsi"/>
        </w:rPr>
        <w:t>are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B1B84" w:rsidRPr="00547DFE">
        <w:rPr>
          <w:rFonts w:asciiTheme="minorHAnsi" w:hAnsiTheme="minorHAnsi" w:cstheme="minorHAnsi"/>
        </w:rPr>
        <w:t>being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B1B84" w:rsidRPr="00547DFE">
        <w:rPr>
          <w:rFonts w:asciiTheme="minorHAnsi" w:hAnsiTheme="minorHAnsi" w:cstheme="minorHAnsi"/>
        </w:rPr>
        <w:t>developed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B1B84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B1B84" w:rsidRPr="00547DFE">
        <w:rPr>
          <w:rFonts w:asciiTheme="minorHAnsi" w:hAnsiTheme="minorHAnsi" w:cstheme="minorHAnsi"/>
        </w:rPr>
        <w:t>part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B1B84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B1B84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B1B84" w:rsidRPr="00547DFE">
        <w:rPr>
          <w:rFonts w:asciiTheme="minorHAnsi" w:hAnsiTheme="minorHAnsi" w:cstheme="minorHAnsi"/>
        </w:rPr>
        <w:t>guidance</w:t>
      </w:r>
      <w:r w:rsidR="00FC7FD9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1F59D515" w14:textId="77777777" w:rsidR="004844FC" w:rsidRPr="00547DFE" w:rsidRDefault="004844FC" w:rsidP="00B072AC">
      <w:pPr>
        <w:ind w:left="850"/>
        <w:contextualSpacing/>
        <w:rPr>
          <w:rFonts w:asciiTheme="minorHAnsi" w:hAnsiTheme="minorHAnsi" w:cstheme="minorHAnsi"/>
        </w:rPr>
      </w:pPr>
    </w:p>
    <w:p w14:paraId="56A2B1BA" w14:textId="410646BE" w:rsidR="00E4319A" w:rsidRPr="00547DFE" w:rsidRDefault="00DF56F5" w:rsidP="00B072AC">
      <w:pPr>
        <w:pStyle w:val="ListParagraph"/>
        <w:numPr>
          <w:ilvl w:val="0"/>
          <w:numId w:val="40"/>
        </w:numPr>
        <w:ind w:left="850" w:hanging="425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Based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experience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COP13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reviewed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updated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5132C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5132C" w:rsidRPr="00547DFE">
        <w:rPr>
          <w:rFonts w:asciiTheme="minorHAnsi" w:hAnsiTheme="minorHAnsi" w:cstheme="minorHAnsi"/>
        </w:rPr>
        <w:t>standard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host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country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agreement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better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reflect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requirements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needs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5132C" w:rsidRPr="00547DFE">
        <w:rPr>
          <w:rFonts w:asciiTheme="minorHAnsi" w:hAnsiTheme="minorHAnsi" w:cstheme="minorHAnsi"/>
        </w:rPr>
        <w:t>meeting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5132C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5132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13AE4" w:rsidRPr="00547DFE">
        <w:rPr>
          <w:rFonts w:asciiTheme="minorHAnsi" w:hAnsiTheme="minorHAnsi" w:cstheme="minorHAnsi"/>
        </w:rPr>
        <w:t>COP</w:t>
      </w:r>
      <w:r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done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F2DF7" w:rsidRPr="00547DFE">
        <w:rPr>
          <w:rFonts w:asciiTheme="minorHAnsi" w:hAnsiTheme="minorHAnsi" w:cstheme="minorHAnsi"/>
        </w:rPr>
        <w:t>taking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F2DF7" w:rsidRPr="00547DFE">
        <w:rPr>
          <w:rFonts w:asciiTheme="minorHAnsi" w:hAnsiTheme="minorHAnsi" w:cstheme="minorHAnsi"/>
        </w:rPr>
        <w:t>into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F2DF7" w:rsidRPr="00547DFE">
        <w:rPr>
          <w:rFonts w:asciiTheme="minorHAnsi" w:hAnsiTheme="minorHAnsi" w:cstheme="minorHAnsi"/>
        </w:rPr>
        <w:t>account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F2DF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F2DF7" w:rsidRPr="00547DFE">
        <w:rPr>
          <w:rFonts w:asciiTheme="minorHAnsi" w:hAnsiTheme="minorHAnsi" w:cstheme="minorHAnsi"/>
        </w:rPr>
        <w:t>equivalent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F2DF7" w:rsidRPr="00547DFE">
        <w:rPr>
          <w:rFonts w:asciiTheme="minorHAnsi" w:hAnsiTheme="minorHAnsi" w:cstheme="minorHAnsi"/>
        </w:rPr>
        <w:t>agreements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F2DF7" w:rsidRPr="00547DFE">
        <w:rPr>
          <w:rFonts w:asciiTheme="minorHAnsi" w:hAnsiTheme="minorHAnsi" w:cstheme="minorHAnsi"/>
        </w:rPr>
        <w:t>used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F2DF7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F2DF7" w:rsidRPr="00547DFE">
        <w:rPr>
          <w:rFonts w:asciiTheme="minorHAnsi" w:hAnsiTheme="minorHAnsi" w:cstheme="minorHAnsi"/>
        </w:rPr>
        <w:t>secretariats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F2DF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13AE4" w:rsidRPr="00547DFE">
        <w:rPr>
          <w:rFonts w:asciiTheme="minorHAnsi" w:hAnsiTheme="minorHAnsi" w:cstheme="minorHAnsi"/>
        </w:rPr>
        <w:t>C</w:t>
      </w:r>
      <w:r w:rsidRPr="00547DFE">
        <w:rPr>
          <w:rFonts w:asciiTheme="minorHAnsi" w:hAnsiTheme="minorHAnsi" w:cstheme="minorHAnsi"/>
        </w:rPr>
        <w:t>onventions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internal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feedback.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022B4">
        <w:rPr>
          <w:rFonts w:asciiTheme="minorHAnsi" w:hAnsiTheme="minorHAnsi" w:cstheme="minorHAnsi"/>
        </w:rPr>
        <w:t>L</w:t>
      </w:r>
      <w:r w:rsidRPr="00547DFE">
        <w:rPr>
          <w:rFonts w:asciiTheme="minorHAnsi" w:hAnsiTheme="minorHAnsi" w:cstheme="minorHAnsi"/>
        </w:rPr>
        <w:t>ogistical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changes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importance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well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steps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strive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towards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more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environment</w:t>
      </w:r>
      <w:r w:rsidR="00213AE4" w:rsidRPr="00547DFE">
        <w:rPr>
          <w:rFonts w:asciiTheme="minorHAnsi" w:hAnsiTheme="minorHAnsi" w:cstheme="minorHAnsi"/>
        </w:rPr>
        <w:t>ally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friendly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7697C">
        <w:rPr>
          <w:rFonts w:asciiTheme="minorHAnsi" w:hAnsiTheme="minorHAnsi" w:cstheme="minorHAnsi"/>
        </w:rPr>
        <w:t>paperless m</w:t>
      </w:r>
      <w:r w:rsidRPr="00547DFE">
        <w:rPr>
          <w:rFonts w:asciiTheme="minorHAnsi" w:hAnsiTheme="minorHAnsi" w:cstheme="minorHAnsi"/>
        </w:rPr>
        <w:t>eeting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developed.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It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should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be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noted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financial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burden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placed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host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countries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meetings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generally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greater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than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other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C0BE7" w:rsidRPr="00547DFE">
        <w:rPr>
          <w:rFonts w:asciiTheme="minorHAnsi" w:hAnsiTheme="minorHAnsi" w:cstheme="minorHAnsi"/>
        </w:rPr>
        <w:t>C</w:t>
      </w:r>
      <w:r w:rsidR="00D459DF" w:rsidRPr="00547DFE">
        <w:rPr>
          <w:rFonts w:asciiTheme="minorHAnsi" w:hAnsiTheme="minorHAnsi" w:cstheme="minorHAnsi"/>
        </w:rPr>
        <w:t>onventions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because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budget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agreed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C0BE7" w:rsidRPr="00547DFE">
        <w:rPr>
          <w:rFonts w:asciiTheme="minorHAnsi" w:hAnsiTheme="minorHAnsi" w:cstheme="minorHAnsi"/>
        </w:rPr>
        <w:t>COP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includes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no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funds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</w:rPr>
        <w:t>meetings.</w:t>
      </w:r>
    </w:p>
    <w:p w14:paraId="652ADBE9" w14:textId="77777777" w:rsidR="004844FC" w:rsidRPr="00547DFE" w:rsidRDefault="004844FC" w:rsidP="00B072AC">
      <w:pPr>
        <w:ind w:left="850"/>
        <w:contextualSpacing/>
        <w:rPr>
          <w:rFonts w:asciiTheme="minorHAnsi" w:hAnsiTheme="minorHAnsi" w:cstheme="minorHAnsi"/>
        </w:rPr>
      </w:pPr>
    </w:p>
    <w:p w14:paraId="3A890177" w14:textId="21C465B8" w:rsidR="00E4319A" w:rsidRPr="00547DFE" w:rsidRDefault="001B1B84" w:rsidP="00B072AC">
      <w:pPr>
        <w:pStyle w:val="ListParagraph"/>
        <w:numPr>
          <w:ilvl w:val="0"/>
          <w:numId w:val="40"/>
        </w:numPr>
        <w:ind w:left="850" w:hanging="425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call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e</w:t>
      </w:r>
      <w:r w:rsidR="00F07DF1" w:rsidRPr="00547DFE">
        <w:rPr>
          <w:rFonts w:asciiTheme="minorHAnsi" w:hAnsiTheme="minorHAnsi" w:cstheme="minorHAnsi"/>
        </w:rPr>
        <w:t>xpressions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07DF1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07DF1" w:rsidRPr="00547DFE">
        <w:rPr>
          <w:rFonts w:asciiTheme="minorHAnsi" w:hAnsiTheme="minorHAnsi" w:cstheme="minorHAnsi"/>
        </w:rPr>
        <w:t>interest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274E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274E7" w:rsidRPr="00547DFE">
        <w:rPr>
          <w:rFonts w:asciiTheme="minorHAnsi" w:hAnsiTheme="minorHAnsi" w:cstheme="minorHAnsi"/>
        </w:rPr>
        <w:t>host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844FC" w:rsidRPr="00547DFE">
        <w:rPr>
          <w:rFonts w:asciiTheme="minorHAnsi" w:hAnsiTheme="minorHAnsi" w:cstheme="minorHAnsi"/>
        </w:rPr>
        <w:t>COP14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sent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19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November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2018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again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8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March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2019</w:t>
      </w:r>
      <w:r w:rsidR="004844FC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518CD" w:rsidRPr="00547DFE">
        <w:rPr>
          <w:rFonts w:asciiTheme="minorHAnsi" w:hAnsiTheme="minorHAnsi" w:cstheme="minorHAnsi"/>
        </w:rPr>
        <w:t>reflecting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518CD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518CD" w:rsidRPr="00547DFE">
        <w:rPr>
          <w:rFonts w:asciiTheme="minorHAnsi" w:hAnsiTheme="minorHAnsi" w:cstheme="minorHAnsi"/>
        </w:rPr>
        <w:t>extended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518CD" w:rsidRPr="00547DFE">
        <w:rPr>
          <w:rFonts w:asciiTheme="minorHAnsi" w:hAnsiTheme="minorHAnsi" w:cstheme="minorHAnsi"/>
        </w:rPr>
        <w:t>deadline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518CD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518CD" w:rsidRPr="00547DFE">
        <w:rPr>
          <w:rFonts w:asciiTheme="minorHAnsi" w:hAnsiTheme="minorHAnsi" w:cstheme="minorHAnsi"/>
        </w:rPr>
        <w:t>24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518CD" w:rsidRPr="00547DFE">
        <w:rPr>
          <w:rFonts w:asciiTheme="minorHAnsi" w:hAnsiTheme="minorHAnsi" w:cstheme="minorHAnsi"/>
        </w:rPr>
        <w:t>May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518CD" w:rsidRPr="00547DFE">
        <w:rPr>
          <w:rFonts w:asciiTheme="minorHAnsi" w:hAnsiTheme="minorHAnsi" w:cstheme="minorHAnsi"/>
        </w:rPr>
        <w:t>2019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established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COP13</w:t>
      </w:r>
      <w:r w:rsidR="00EB79C2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response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these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calls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expressions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79C2" w:rsidRPr="00547DFE">
        <w:rPr>
          <w:rFonts w:asciiTheme="minorHAnsi" w:hAnsiTheme="minorHAnsi" w:cstheme="minorHAnsi"/>
        </w:rPr>
        <w:t>interest,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518CD" w:rsidRPr="00547DFE">
        <w:rPr>
          <w:rFonts w:asciiTheme="minorHAnsi" w:hAnsiTheme="minorHAnsi" w:cstheme="minorHAnsi"/>
        </w:rPr>
        <w:t>s</w:t>
      </w:r>
      <w:r w:rsidRPr="00547DFE">
        <w:rPr>
          <w:rFonts w:asciiTheme="minorHAnsi" w:hAnsiTheme="minorHAnsi" w:cstheme="minorHAnsi"/>
        </w:rPr>
        <w:t>everal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countries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have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asked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additional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information.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formal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proposal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not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2A3D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received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date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writing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report</w:t>
      </w:r>
      <w:r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350A045A" w14:textId="77777777" w:rsidR="0062474B" w:rsidRPr="00547DFE" w:rsidRDefault="0062474B" w:rsidP="00B072AC">
      <w:pPr>
        <w:rPr>
          <w:rFonts w:asciiTheme="minorHAnsi" w:hAnsiTheme="minorHAnsi" w:cstheme="minorHAnsi"/>
        </w:rPr>
      </w:pPr>
    </w:p>
    <w:p w14:paraId="5C55CD88" w14:textId="1FDE988E" w:rsidR="00E4319A" w:rsidRPr="00547DFE" w:rsidRDefault="006B459F" w:rsidP="00B072AC">
      <w:p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7</w:t>
      </w:r>
      <w:r w:rsidR="0062474B" w:rsidRPr="00547DFE">
        <w:rPr>
          <w:rFonts w:asciiTheme="minorHAnsi" w:hAnsiTheme="minorHAnsi" w:cstheme="minorHAnsi"/>
        </w:rPr>
        <w:t>.</w:t>
      </w:r>
      <w:r w:rsidR="0062474B" w:rsidRPr="00547DFE">
        <w:rPr>
          <w:rFonts w:asciiTheme="minorHAnsi" w:hAnsiTheme="minorHAnsi" w:cstheme="minorHAnsi"/>
        </w:rPr>
        <w:tab/>
      </w:r>
      <w:r w:rsidR="005D5C03" w:rsidRPr="00547DFE">
        <w:rPr>
          <w:rFonts w:asciiTheme="minorHAnsi" w:hAnsiTheme="minorHAnsi" w:cstheme="minorHAnsi"/>
        </w:rPr>
        <w:t>T</w:t>
      </w:r>
      <w:r w:rsidR="00E4319A" w:rsidRPr="00547DFE">
        <w:rPr>
          <w:rFonts w:asciiTheme="minorHAnsi" w:hAnsiTheme="minorHAnsi" w:cstheme="minorHAnsi"/>
        </w:rPr>
        <w:t>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undertaken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preparations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SC57</w:t>
      </w:r>
      <w:r w:rsidR="006C0BE7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including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logistical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arrangements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8051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preparation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meeting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documents</w:t>
      </w:r>
      <w:r w:rsidR="0054574B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C0BE7" w:rsidRPr="00547DFE">
        <w:rPr>
          <w:rFonts w:asciiTheme="minorHAnsi" w:hAnsiTheme="minorHAnsi" w:cstheme="minorHAnsi"/>
        </w:rPr>
        <w:t>It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supported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07DF1" w:rsidRPr="00547DFE">
        <w:rPr>
          <w:rFonts w:asciiTheme="minorHAnsi" w:hAnsiTheme="minorHAnsi" w:cstheme="minorHAnsi"/>
        </w:rPr>
        <w:t>establish</w:t>
      </w:r>
      <w:r w:rsidR="0054574B" w:rsidRPr="00547DFE">
        <w:rPr>
          <w:rFonts w:asciiTheme="minorHAnsi" w:hAnsiTheme="minorHAnsi" w:cstheme="minorHAnsi"/>
        </w:rPr>
        <w:t>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S</w:t>
      </w:r>
      <w:r w:rsidR="00F01DB2" w:rsidRPr="00547DFE">
        <w:rPr>
          <w:rFonts w:asciiTheme="minorHAnsi" w:hAnsiTheme="minorHAnsi" w:cstheme="minorHAnsi"/>
        </w:rPr>
        <w:t>tanding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B" w:rsidRPr="00547DFE">
        <w:rPr>
          <w:rFonts w:asciiTheme="minorHAnsi" w:hAnsiTheme="minorHAnsi" w:cstheme="minorHAnsi"/>
        </w:rPr>
        <w:t>C</w:t>
      </w:r>
      <w:r w:rsidR="00F01DB2" w:rsidRPr="00547DFE">
        <w:rPr>
          <w:rFonts w:asciiTheme="minorHAnsi" w:hAnsiTheme="minorHAnsi" w:cstheme="minorHAnsi"/>
        </w:rPr>
        <w:t>ommittee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working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groups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613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6138" w:rsidRPr="00547DFE">
        <w:rPr>
          <w:rFonts w:asciiTheme="minorHAnsi" w:hAnsiTheme="minorHAnsi" w:cstheme="minorHAnsi"/>
        </w:rPr>
        <w:t>deliver</w:t>
      </w:r>
      <w:r w:rsidR="0054574B" w:rsidRPr="00547DFE">
        <w:rPr>
          <w:rFonts w:asciiTheme="minorHAnsi" w:hAnsiTheme="minorHAnsi" w:cstheme="minorHAnsi"/>
        </w:rPr>
        <w:t>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6138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6138" w:rsidRPr="00547DFE">
        <w:rPr>
          <w:rFonts w:asciiTheme="minorHAnsi" w:hAnsiTheme="minorHAnsi" w:cstheme="minorHAnsi"/>
        </w:rPr>
        <w:t>their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6138" w:rsidRPr="00547DFE">
        <w:rPr>
          <w:rFonts w:asciiTheme="minorHAnsi" w:hAnsiTheme="minorHAnsi" w:cstheme="minorHAnsi"/>
        </w:rPr>
        <w:t>mandates.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31D1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31D1C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31D1C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6138" w:rsidRPr="00547DFE">
        <w:rPr>
          <w:rFonts w:asciiTheme="minorHAnsi" w:hAnsiTheme="minorHAnsi" w:cstheme="minorHAnsi"/>
        </w:rPr>
        <w:t>support</w:t>
      </w:r>
      <w:r w:rsidR="0066287B" w:rsidRPr="00547DFE">
        <w:rPr>
          <w:rFonts w:asciiTheme="minorHAnsi" w:hAnsiTheme="minorHAnsi" w:cstheme="minorHAnsi"/>
        </w:rPr>
        <w:t>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613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2A3D" w:rsidRPr="00547DFE">
        <w:rPr>
          <w:rFonts w:asciiTheme="minorHAnsi" w:hAnsiTheme="minorHAnsi" w:cstheme="minorHAnsi"/>
        </w:rPr>
        <w:t>Strategic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2A3D" w:rsidRPr="00547DFE">
        <w:rPr>
          <w:rFonts w:asciiTheme="minorHAnsi" w:hAnsiTheme="minorHAnsi" w:cstheme="minorHAnsi"/>
        </w:rPr>
        <w:t>Plan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6138" w:rsidRPr="00547DFE">
        <w:rPr>
          <w:rFonts w:asciiTheme="minorHAnsi" w:hAnsiTheme="minorHAnsi" w:cstheme="minorHAnsi"/>
        </w:rPr>
        <w:t>Working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6138" w:rsidRPr="00547DFE">
        <w:rPr>
          <w:rFonts w:asciiTheme="minorHAnsi" w:hAnsiTheme="minorHAnsi" w:cstheme="minorHAnsi"/>
        </w:rPr>
        <w:t>Group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2A3D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2A3D" w:rsidRPr="00547DFE">
        <w:rPr>
          <w:rFonts w:asciiTheme="minorHAnsi" w:hAnsiTheme="minorHAnsi" w:cstheme="minorHAnsi"/>
        </w:rPr>
        <w:t>implementing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2A3D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2A3D" w:rsidRPr="00547DFE">
        <w:rPr>
          <w:rFonts w:asciiTheme="minorHAnsi" w:hAnsiTheme="minorHAnsi" w:cstheme="minorHAnsi"/>
        </w:rPr>
        <w:t>activities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2A3D" w:rsidRPr="00547DFE">
        <w:rPr>
          <w:rFonts w:asciiTheme="minorHAnsi" w:hAnsiTheme="minorHAnsi" w:cstheme="minorHAnsi"/>
        </w:rPr>
        <w:t>identified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2A3D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2A3D" w:rsidRPr="00547DFE">
        <w:rPr>
          <w:rFonts w:asciiTheme="minorHAnsi" w:hAnsiTheme="minorHAnsi" w:cstheme="minorHAnsi"/>
        </w:rPr>
        <w:t>COP13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2A3D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2A3D" w:rsidRPr="00547DFE">
        <w:rPr>
          <w:rFonts w:asciiTheme="minorHAnsi" w:hAnsiTheme="minorHAnsi" w:cstheme="minorHAnsi"/>
        </w:rPr>
        <w:t>conduct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2A3D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mid-term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review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Strategic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Plan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8051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Effectiveness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Working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Group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hiring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consultant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C7FD9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undertake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review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governance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E3AD3" w:rsidRPr="00547DFE">
        <w:rPr>
          <w:rFonts w:asciiTheme="minorHAnsi" w:hAnsiTheme="minorHAnsi" w:cstheme="minorHAnsi"/>
        </w:rPr>
        <w:t>Convention.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Together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Legal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Advisor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14843" w:rsidRPr="00547DFE">
        <w:rPr>
          <w:rFonts w:asciiTheme="minorHAnsi" w:hAnsiTheme="minorHAnsi" w:cstheme="minorHAnsi"/>
        </w:rPr>
        <w:t>it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assisted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6287B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6287B" w:rsidRPr="00547DFE">
        <w:rPr>
          <w:rFonts w:asciiTheme="minorHAnsi" w:hAnsiTheme="minorHAnsi" w:cstheme="minorHAnsi"/>
        </w:rPr>
        <w:t>Executive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6287B" w:rsidRPr="00547DFE">
        <w:rPr>
          <w:rFonts w:asciiTheme="minorHAnsi" w:hAnsiTheme="minorHAnsi" w:cstheme="minorHAnsi"/>
        </w:rPr>
        <w:t>Team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6287B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6287B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6287B" w:rsidRPr="00547DFE">
        <w:rPr>
          <w:rFonts w:asciiTheme="minorHAnsi" w:hAnsiTheme="minorHAnsi" w:cstheme="minorHAnsi"/>
        </w:rPr>
        <w:t>development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6287B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6287B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6287B" w:rsidRPr="00547DFE">
        <w:rPr>
          <w:rFonts w:asciiTheme="minorHAnsi" w:hAnsiTheme="minorHAnsi" w:cstheme="minorHAnsi"/>
        </w:rPr>
        <w:t>proposed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14843" w:rsidRPr="00547DFE">
        <w:rPr>
          <w:rFonts w:asciiTheme="minorHAnsi" w:hAnsiTheme="minorHAnsi" w:cstheme="minorHAnsi"/>
        </w:rPr>
        <w:t>terms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14843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14843" w:rsidRPr="00547DFE">
        <w:rPr>
          <w:rFonts w:asciiTheme="minorHAnsi" w:hAnsiTheme="minorHAnsi" w:cstheme="minorHAnsi"/>
        </w:rPr>
        <w:t>reference</w:t>
      </w:r>
      <w:r w:rsidR="0066287B" w:rsidRPr="00547DFE">
        <w:rPr>
          <w:rFonts w:asciiTheme="minorHAnsi" w:hAnsiTheme="minorHAnsi" w:cstheme="minorHAnsi"/>
        </w:rPr>
        <w:t>.</w:t>
      </w:r>
    </w:p>
    <w:p w14:paraId="62BAB644" w14:textId="77777777" w:rsidR="00E4319A" w:rsidRPr="00547DFE" w:rsidRDefault="00E4319A" w:rsidP="00B072AC">
      <w:pPr>
        <w:rPr>
          <w:rFonts w:asciiTheme="minorHAnsi" w:hAnsiTheme="minorHAnsi" w:cstheme="minorHAnsi"/>
        </w:rPr>
      </w:pPr>
    </w:p>
    <w:p w14:paraId="4D0DADA7" w14:textId="5985B5BC" w:rsidR="002022B4" w:rsidRDefault="006B459F" w:rsidP="00B072AC">
      <w:p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8</w:t>
      </w:r>
      <w:r w:rsidR="00E4319A" w:rsidRPr="00547DFE">
        <w:rPr>
          <w:rFonts w:asciiTheme="minorHAnsi" w:hAnsiTheme="minorHAnsi" w:cstheme="minorHAnsi"/>
        </w:rPr>
        <w:t>.</w:t>
      </w:r>
      <w:r w:rsidR="00E4319A" w:rsidRPr="00547DFE">
        <w:rPr>
          <w:rFonts w:asciiTheme="minorHAnsi" w:hAnsiTheme="minorHAnsi" w:cstheme="minorHAnsi"/>
        </w:rPr>
        <w:tab/>
      </w:r>
      <w:r w:rsidR="005D5C0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active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supporting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establishment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new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STRP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period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2019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–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2021.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7999E195" w14:textId="77777777" w:rsidR="002022B4" w:rsidRDefault="002022B4" w:rsidP="00B072AC">
      <w:pPr>
        <w:rPr>
          <w:rFonts w:asciiTheme="minorHAnsi" w:hAnsiTheme="minorHAnsi" w:cstheme="minorHAnsi"/>
        </w:rPr>
      </w:pPr>
    </w:p>
    <w:p w14:paraId="354125FF" w14:textId="48ED2768" w:rsidR="006B459F" w:rsidRPr="00547DFE" w:rsidRDefault="00D5351A" w:rsidP="002022B4">
      <w:pPr>
        <w:pStyle w:val="ListParagraph"/>
        <w:numPr>
          <w:ilvl w:val="0"/>
          <w:numId w:val="40"/>
        </w:numPr>
        <w:ind w:left="850" w:hanging="425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call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nominations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made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20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November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2018.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response,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received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total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51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nominations,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which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44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received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within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deadline.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Nominations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included: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59552E06" w14:textId="20768966" w:rsidR="006B459F" w:rsidRPr="00547DFE" w:rsidRDefault="006B459F" w:rsidP="002022B4">
      <w:pPr>
        <w:pStyle w:val="ListParagraph"/>
        <w:numPr>
          <w:ilvl w:val="0"/>
          <w:numId w:val="43"/>
        </w:numPr>
        <w:ind w:left="1276" w:hanging="425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 xml:space="preserve">Nine </w:t>
      </w:r>
      <w:r w:rsidR="00757029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regional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technical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experts,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15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technical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experts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20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scientific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experts.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Several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candidates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nominated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more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than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one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category.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488710EF" w14:textId="26C6DB54" w:rsidR="006B459F" w:rsidRPr="00547DFE" w:rsidRDefault="00757029" w:rsidP="002022B4">
      <w:pPr>
        <w:pStyle w:val="ListParagraph"/>
        <w:numPr>
          <w:ilvl w:val="0"/>
          <w:numId w:val="43"/>
        </w:numPr>
        <w:ind w:left="1276" w:hanging="425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Regarding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regional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balance</w:t>
      </w:r>
      <w:r w:rsidR="00D5351A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received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C0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B459F" w:rsidRPr="00547DFE">
        <w:rPr>
          <w:rFonts w:asciiTheme="minorHAnsi" w:hAnsiTheme="minorHAnsi" w:cstheme="minorHAnsi"/>
        </w:rPr>
        <w:t xml:space="preserve">following </w:t>
      </w:r>
      <w:r w:rsidR="00754124" w:rsidRPr="00547DFE">
        <w:rPr>
          <w:rFonts w:asciiTheme="minorHAnsi" w:hAnsiTheme="minorHAnsi" w:cstheme="minorHAnsi"/>
        </w:rPr>
        <w:t>nominations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within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deadline: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B459F" w:rsidRPr="00547DFE">
        <w:rPr>
          <w:rFonts w:asciiTheme="minorHAnsi" w:hAnsiTheme="minorHAnsi" w:cstheme="minorHAnsi"/>
        </w:rPr>
        <w:t xml:space="preserve">eight </w:t>
      </w:r>
      <w:r w:rsidRPr="00547DFE">
        <w:rPr>
          <w:rFonts w:asciiTheme="minorHAnsi" w:hAnsiTheme="minorHAnsi" w:cstheme="minorHAnsi"/>
        </w:rPr>
        <w:t>from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Africa</w:t>
      </w:r>
      <w:r w:rsidR="00754124" w:rsidRPr="00547DFE">
        <w:rPr>
          <w:rFonts w:asciiTheme="minorHAnsi" w:hAnsiTheme="minorHAnsi" w:cstheme="minorHAnsi"/>
        </w:rPr>
        <w:t>;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B459F" w:rsidRPr="00547DFE">
        <w:rPr>
          <w:rFonts w:asciiTheme="minorHAnsi" w:hAnsiTheme="minorHAnsi" w:cstheme="minorHAnsi"/>
        </w:rPr>
        <w:t xml:space="preserve">seven </w:t>
      </w:r>
      <w:r w:rsidRPr="00547DFE">
        <w:rPr>
          <w:rFonts w:asciiTheme="minorHAnsi" w:hAnsiTheme="minorHAnsi" w:cstheme="minorHAnsi"/>
        </w:rPr>
        <w:t>from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Asia</w:t>
      </w:r>
      <w:r w:rsidR="00754124" w:rsidRPr="00547DFE">
        <w:rPr>
          <w:rFonts w:asciiTheme="minorHAnsi" w:hAnsiTheme="minorHAnsi" w:cstheme="minorHAnsi"/>
        </w:rPr>
        <w:t>;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B459F" w:rsidRPr="00547DFE">
        <w:rPr>
          <w:rFonts w:asciiTheme="minorHAnsi" w:hAnsiTheme="minorHAnsi" w:cstheme="minorHAnsi"/>
        </w:rPr>
        <w:t>ten from Europe</w:t>
      </w:r>
      <w:r w:rsidR="00754124" w:rsidRPr="00547DFE">
        <w:rPr>
          <w:rFonts w:asciiTheme="minorHAnsi" w:hAnsiTheme="minorHAnsi" w:cstheme="minorHAnsi"/>
        </w:rPr>
        <w:t>;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B459F" w:rsidRPr="00547DFE">
        <w:rPr>
          <w:rFonts w:asciiTheme="minorHAnsi" w:hAnsiTheme="minorHAnsi" w:cstheme="minorHAnsi"/>
        </w:rPr>
        <w:t>six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from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Latin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America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Caribbean</w:t>
      </w:r>
      <w:r w:rsidR="00754124" w:rsidRPr="00547DFE">
        <w:rPr>
          <w:rFonts w:asciiTheme="minorHAnsi" w:hAnsiTheme="minorHAnsi" w:cstheme="minorHAnsi"/>
        </w:rPr>
        <w:t>;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B459F" w:rsidRPr="00547DFE">
        <w:rPr>
          <w:rFonts w:asciiTheme="minorHAnsi" w:hAnsiTheme="minorHAnsi" w:cstheme="minorHAnsi"/>
        </w:rPr>
        <w:t>three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from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North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America</w:t>
      </w:r>
      <w:r w:rsidR="00754124" w:rsidRPr="00547DFE">
        <w:rPr>
          <w:rFonts w:asciiTheme="minorHAnsi" w:hAnsiTheme="minorHAnsi" w:cstheme="minorHAnsi"/>
        </w:rPr>
        <w:t>;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B459F" w:rsidRPr="00547DFE">
        <w:rPr>
          <w:rFonts w:asciiTheme="minorHAnsi" w:hAnsiTheme="minorHAnsi" w:cstheme="minorHAnsi"/>
        </w:rPr>
        <w:t>one from Oceania</w:t>
      </w:r>
      <w:r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2FEF4311" w14:textId="1198E620" w:rsidR="00BD5388" w:rsidRPr="00547DFE" w:rsidRDefault="00757029" w:rsidP="002022B4">
      <w:pPr>
        <w:pStyle w:val="ListParagraph"/>
        <w:numPr>
          <w:ilvl w:val="0"/>
          <w:numId w:val="43"/>
        </w:numPr>
        <w:ind w:left="1276" w:hanging="425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Regarding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gender,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B459F" w:rsidRPr="00547DFE">
        <w:rPr>
          <w:rFonts w:asciiTheme="minorHAnsi" w:hAnsiTheme="minorHAnsi" w:cstheme="minorHAnsi"/>
        </w:rPr>
        <w:t xml:space="preserve">nine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candidates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B459F" w:rsidRPr="00547DFE">
        <w:rPr>
          <w:rFonts w:asciiTheme="minorHAnsi" w:hAnsiTheme="minorHAnsi" w:cstheme="minorHAnsi"/>
        </w:rPr>
        <w:t xml:space="preserve">women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26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B459F" w:rsidRPr="00547DFE">
        <w:rPr>
          <w:rFonts w:asciiTheme="minorHAnsi" w:hAnsiTheme="minorHAnsi" w:cstheme="minorHAnsi"/>
        </w:rPr>
        <w:t>men</w:t>
      </w:r>
      <w:r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would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like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recommend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more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actively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propose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women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leadership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roles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within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Convention</w:t>
      </w:r>
      <w:r w:rsidR="00446220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220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220" w:rsidRPr="00547DFE">
        <w:rPr>
          <w:rFonts w:asciiTheme="minorHAnsi" w:hAnsiTheme="minorHAnsi" w:cstheme="minorHAnsi"/>
        </w:rPr>
        <w:t>accordance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220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220" w:rsidRPr="00547DFE">
        <w:rPr>
          <w:rFonts w:asciiTheme="minorHAnsi" w:hAnsiTheme="minorHAnsi" w:cstheme="minorHAnsi"/>
        </w:rPr>
        <w:t>Resolution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220" w:rsidRPr="00547DFE">
        <w:rPr>
          <w:rFonts w:asciiTheme="minorHAnsi" w:hAnsiTheme="minorHAnsi" w:cstheme="minorHAnsi"/>
        </w:rPr>
        <w:t>XIII.18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5471D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5471D" w:rsidRPr="00547DFE">
        <w:rPr>
          <w:rFonts w:asciiTheme="minorHAnsi" w:hAnsiTheme="minorHAnsi" w:cstheme="minorHAnsi"/>
          <w:i/>
        </w:rPr>
        <w:t>Gender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25471D" w:rsidRPr="00547DFE">
        <w:rPr>
          <w:rFonts w:asciiTheme="minorHAnsi" w:hAnsiTheme="minorHAnsi" w:cstheme="minorHAnsi"/>
          <w:i/>
        </w:rPr>
        <w:t>and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5351A" w:rsidRPr="00547DFE">
        <w:rPr>
          <w:rFonts w:asciiTheme="minorHAnsi" w:hAnsiTheme="minorHAnsi" w:cstheme="minorHAnsi"/>
          <w:i/>
        </w:rPr>
        <w:t>w</w:t>
      </w:r>
      <w:r w:rsidR="0025471D" w:rsidRPr="00547DFE">
        <w:rPr>
          <w:rFonts w:asciiTheme="minorHAnsi" w:hAnsiTheme="minorHAnsi" w:cstheme="minorHAnsi"/>
          <w:i/>
        </w:rPr>
        <w:t>etlands</w:t>
      </w:r>
      <w:r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08ECC064" w14:textId="77777777" w:rsidR="00BD5388" w:rsidRPr="00547DFE" w:rsidRDefault="00BD5388" w:rsidP="00B072AC">
      <w:pPr>
        <w:rPr>
          <w:rFonts w:asciiTheme="minorHAnsi" w:hAnsiTheme="minorHAnsi" w:cstheme="minorHAnsi"/>
        </w:rPr>
      </w:pPr>
    </w:p>
    <w:p w14:paraId="7D9D6E4D" w14:textId="07BBBE98" w:rsidR="00757029" w:rsidRPr="00547DFE" w:rsidRDefault="00555518" w:rsidP="002022B4">
      <w:pPr>
        <w:pStyle w:val="ListParagraph"/>
        <w:numPr>
          <w:ilvl w:val="0"/>
          <w:numId w:val="40"/>
        </w:numPr>
        <w:ind w:left="850" w:hanging="425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lastRenderedPageBreak/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accordance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Resolution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XII.5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bookmarkStart w:id="0" w:name="_GoBack"/>
      <w:r w:rsidRPr="00E71AD7">
        <w:rPr>
          <w:rFonts w:asciiTheme="minorHAnsi" w:hAnsiTheme="minorHAnsi" w:cstheme="minorHAnsi"/>
          <w:i/>
        </w:rPr>
        <w:t>New</w:t>
      </w:r>
      <w:r w:rsidR="00E80EDB" w:rsidRPr="00E71AD7">
        <w:rPr>
          <w:rFonts w:asciiTheme="minorHAnsi" w:hAnsiTheme="minorHAnsi" w:cstheme="minorHAnsi"/>
          <w:i/>
        </w:rPr>
        <w:t xml:space="preserve"> </w:t>
      </w:r>
      <w:r w:rsidRPr="00E71AD7">
        <w:rPr>
          <w:rFonts w:asciiTheme="minorHAnsi" w:hAnsiTheme="minorHAnsi" w:cstheme="minorHAnsi"/>
          <w:i/>
        </w:rPr>
        <w:t>framework</w:t>
      </w:r>
      <w:r w:rsidR="00E80EDB" w:rsidRPr="00E71AD7">
        <w:rPr>
          <w:rFonts w:asciiTheme="minorHAnsi" w:hAnsiTheme="minorHAnsi" w:cstheme="minorHAnsi"/>
          <w:i/>
        </w:rPr>
        <w:t xml:space="preserve"> </w:t>
      </w:r>
      <w:r w:rsidRPr="00E71AD7">
        <w:rPr>
          <w:rFonts w:asciiTheme="minorHAnsi" w:hAnsiTheme="minorHAnsi" w:cstheme="minorHAnsi"/>
          <w:i/>
        </w:rPr>
        <w:t>for</w:t>
      </w:r>
      <w:r w:rsidR="00E80EDB" w:rsidRPr="00E71AD7">
        <w:rPr>
          <w:rFonts w:asciiTheme="minorHAnsi" w:hAnsiTheme="minorHAnsi" w:cstheme="minorHAnsi"/>
          <w:i/>
        </w:rPr>
        <w:t xml:space="preserve"> </w:t>
      </w:r>
      <w:r w:rsidRPr="00E71AD7">
        <w:rPr>
          <w:rFonts w:asciiTheme="minorHAnsi" w:hAnsiTheme="minorHAnsi" w:cstheme="minorHAnsi"/>
          <w:i/>
        </w:rPr>
        <w:t>delivery</w:t>
      </w:r>
      <w:r w:rsidR="00E80EDB" w:rsidRPr="00E71AD7">
        <w:rPr>
          <w:rFonts w:asciiTheme="minorHAnsi" w:hAnsiTheme="minorHAnsi" w:cstheme="minorHAnsi"/>
          <w:i/>
        </w:rPr>
        <w:t xml:space="preserve"> </w:t>
      </w:r>
      <w:r w:rsidRPr="00E71AD7">
        <w:rPr>
          <w:rFonts w:asciiTheme="minorHAnsi" w:hAnsiTheme="minorHAnsi" w:cstheme="minorHAnsi"/>
          <w:i/>
        </w:rPr>
        <w:t>of</w:t>
      </w:r>
      <w:r w:rsidR="00E80EDB" w:rsidRPr="00E71AD7">
        <w:rPr>
          <w:rFonts w:asciiTheme="minorHAnsi" w:hAnsiTheme="minorHAnsi" w:cstheme="minorHAnsi"/>
          <w:i/>
        </w:rPr>
        <w:t xml:space="preserve"> </w:t>
      </w:r>
      <w:r w:rsidRPr="00E71AD7">
        <w:rPr>
          <w:rFonts w:asciiTheme="minorHAnsi" w:hAnsiTheme="minorHAnsi" w:cstheme="minorHAnsi"/>
          <w:i/>
        </w:rPr>
        <w:t>scientific</w:t>
      </w:r>
      <w:r w:rsidR="00E80EDB" w:rsidRPr="00E71AD7">
        <w:rPr>
          <w:rFonts w:asciiTheme="minorHAnsi" w:hAnsiTheme="minorHAnsi" w:cstheme="minorHAnsi"/>
          <w:i/>
        </w:rPr>
        <w:t xml:space="preserve"> </w:t>
      </w:r>
      <w:r w:rsidRPr="00E71AD7">
        <w:rPr>
          <w:rFonts w:asciiTheme="minorHAnsi" w:hAnsiTheme="minorHAnsi" w:cstheme="minorHAnsi"/>
          <w:i/>
        </w:rPr>
        <w:t>and</w:t>
      </w:r>
      <w:r w:rsidR="00E80EDB" w:rsidRPr="00E71AD7">
        <w:rPr>
          <w:rFonts w:asciiTheme="minorHAnsi" w:hAnsiTheme="minorHAnsi" w:cstheme="minorHAnsi"/>
          <w:i/>
        </w:rPr>
        <w:t xml:space="preserve"> </w:t>
      </w:r>
      <w:r w:rsidRPr="00E71AD7">
        <w:rPr>
          <w:rFonts w:asciiTheme="minorHAnsi" w:hAnsiTheme="minorHAnsi" w:cstheme="minorHAnsi"/>
          <w:i/>
        </w:rPr>
        <w:t>technical</w:t>
      </w:r>
      <w:r w:rsidR="00E80EDB" w:rsidRPr="00E71AD7">
        <w:rPr>
          <w:rFonts w:asciiTheme="minorHAnsi" w:hAnsiTheme="minorHAnsi" w:cstheme="minorHAnsi"/>
          <w:i/>
        </w:rPr>
        <w:t xml:space="preserve"> </w:t>
      </w:r>
      <w:r w:rsidRPr="00E71AD7">
        <w:rPr>
          <w:rFonts w:asciiTheme="minorHAnsi" w:hAnsiTheme="minorHAnsi" w:cstheme="minorHAnsi"/>
          <w:i/>
        </w:rPr>
        <w:t>advice</w:t>
      </w:r>
      <w:r w:rsidR="00E80EDB" w:rsidRPr="00E71AD7">
        <w:rPr>
          <w:rFonts w:asciiTheme="minorHAnsi" w:hAnsiTheme="minorHAnsi" w:cstheme="minorHAnsi"/>
          <w:i/>
        </w:rPr>
        <w:t xml:space="preserve"> </w:t>
      </w:r>
      <w:r w:rsidRPr="00E71AD7">
        <w:rPr>
          <w:rFonts w:asciiTheme="minorHAnsi" w:hAnsiTheme="minorHAnsi" w:cstheme="minorHAnsi"/>
          <w:i/>
        </w:rPr>
        <w:t>and</w:t>
      </w:r>
      <w:r w:rsidR="00E80EDB" w:rsidRPr="00E71AD7">
        <w:rPr>
          <w:rFonts w:asciiTheme="minorHAnsi" w:hAnsiTheme="minorHAnsi" w:cstheme="minorHAnsi"/>
          <w:i/>
        </w:rPr>
        <w:t xml:space="preserve"> </w:t>
      </w:r>
      <w:r w:rsidRPr="00E71AD7">
        <w:rPr>
          <w:rFonts w:asciiTheme="minorHAnsi" w:hAnsiTheme="minorHAnsi" w:cstheme="minorHAnsi"/>
          <w:i/>
        </w:rPr>
        <w:t>guidance</w:t>
      </w:r>
      <w:r w:rsidR="00E80EDB" w:rsidRPr="00E71AD7">
        <w:rPr>
          <w:rFonts w:asciiTheme="minorHAnsi" w:hAnsiTheme="minorHAnsi" w:cstheme="minorHAnsi"/>
          <w:i/>
        </w:rPr>
        <w:t xml:space="preserve"> </w:t>
      </w:r>
      <w:r w:rsidRPr="00E71AD7">
        <w:rPr>
          <w:rFonts w:asciiTheme="minorHAnsi" w:hAnsiTheme="minorHAnsi" w:cstheme="minorHAnsi"/>
          <w:i/>
        </w:rPr>
        <w:t>on</w:t>
      </w:r>
      <w:r w:rsidR="00E80EDB" w:rsidRPr="00E71AD7">
        <w:rPr>
          <w:rFonts w:asciiTheme="minorHAnsi" w:hAnsiTheme="minorHAnsi" w:cstheme="minorHAnsi"/>
          <w:i/>
        </w:rPr>
        <w:t xml:space="preserve"> </w:t>
      </w:r>
      <w:r w:rsidRPr="00E71AD7">
        <w:rPr>
          <w:rFonts w:asciiTheme="minorHAnsi" w:hAnsiTheme="minorHAnsi" w:cstheme="minorHAnsi"/>
          <w:i/>
        </w:rPr>
        <w:t>the</w:t>
      </w:r>
      <w:r w:rsidR="00E80EDB" w:rsidRPr="00E71AD7">
        <w:rPr>
          <w:rFonts w:asciiTheme="minorHAnsi" w:hAnsiTheme="minorHAnsi" w:cstheme="minorHAnsi"/>
          <w:i/>
        </w:rPr>
        <w:t xml:space="preserve"> </w:t>
      </w:r>
      <w:r w:rsidRPr="00E71AD7">
        <w:rPr>
          <w:rFonts w:asciiTheme="minorHAnsi" w:hAnsiTheme="minorHAnsi" w:cstheme="minorHAnsi"/>
          <w:i/>
        </w:rPr>
        <w:t>Convention</w:t>
      </w:r>
      <w:bookmarkEnd w:id="0"/>
      <w:r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</w:t>
      </w:r>
      <w:r w:rsidR="00757029" w:rsidRPr="00547DFE">
        <w:rPr>
          <w:rFonts w:asciiTheme="minorHAnsi" w:hAnsiTheme="minorHAnsi" w:cstheme="minorHAnsi"/>
        </w:rPr>
        <w:t>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61050" w:rsidRPr="00547DFE">
        <w:rPr>
          <w:rFonts w:asciiTheme="minorHAnsi" w:hAnsiTheme="minorHAnsi" w:cstheme="minorHAnsi"/>
        </w:rPr>
        <w:t>submitted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61050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recommendations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appointment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61050" w:rsidRPr="00547DFE">
        <w:rPr>
          <w:rFonts w:asciiTheme="minorHAnsi" w:hAnsiTheme="minorHAnsi" w:cstheme="minorHAnsi"/>
        </w:rPr>
        <w:t>STRP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members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consideration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Management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Working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Group.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Resolution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calls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outgoing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STRP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Chair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Vice-Chair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Secretari</w:t>
      </w:r>
      <w:r w:rsidR="00BD5388" w:rsidRPr="00547DFE">
        <w:rPr>
          <w:rFonts w:asciiTheme="minorHAnsi" w:hAnsiTheme="minorHAnsi" w:cstheme="minorHAnsi"/>
        </w:rPr>
        <w:t>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make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recommendations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members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be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considered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reappointment.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Management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Working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Group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first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selected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Chair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Vice-Chair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(Mr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David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Stroud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Dr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Lisa-Maria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Rebelo,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respectively)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who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participated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selection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other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members.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E4290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E4290" w:rsidRPr="00547DFE">
        <w:rPr>
          <w:rFonts w:asciiTheme="minorHAnsi" w:hAnsiTheme="minorHAnsi" w:cstheme="minorHAnsi"/>
        </w:rPr>
        <w:t>required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E4290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Resolution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XII.5,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Management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Working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Group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automatically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accepted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six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proposed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regional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technical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experts.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A</w:t>
      </w:r>
      <w:r w:rsidR="00A96F10" w:rsidRPr="00547DFE">
        <w:rPr>
          <w:rFonts w:asciiTheme="minorHAnsi" w:hAnsiTheme="minorHAnsi" w:cstheme="minorHAnsi"/>
        </w:rPr>
        <w:t>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96F10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96F10" w:rsidRPr="00547DFE">
        <w:rPr>
          <w:rFonts w:asciiTheme="minorHAnsi" w:hAnsiTheme="minorHAnsi" w:cstheme="minorHAnsi"/>
        </w:rPr>
        <w:t>same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96F10" w:rsidRPr="00547DFE">
        <w:rPr>
          <w:rFonts w:asciiTheme="minorHAnsi" w:hAnsiTheme="minorHAnsi" w:cstheme="minorHAnsi"/>
        </w:rPr>
        <w:t>time</w:t>
      </w:r>
      <w:r w:rsidR="00D5351A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96F10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96F10" w:rsidRPr="00547DFE">
        <w:rPr>
          <w:rFonts w:asciiTheme="minorHAnsi" w:hAnsiTheme="minorHAnsi" w:cstheme="minorHAnsi"/>
        </w:rPr>
        <w:t>Management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96F10" w:rsidRPr="00547DFE">
        <w:rPr>
          <w:rFonts w:asciiTheme="minorHAnsi" w:hAnsiTheme="minorHAnsi" w:cstheme="minorHAnsi"/>
        </w:rPr>
        <w:t>W</w:t>
      </w:r>
      <w:r w:rsidR="00757029" w:rsidRPr="00547DFE">
        <w:rPr>
          <w:rFonts w:asciiTheme="minorHAnsi" w:hAnsiTheme="minorHAnsi" w:cstheme="minorHAnsi"/>
        </w:rPr>
        <w:t>orking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Group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selected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six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technical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experts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six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scientific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57029" w:rsidRPr="00547DFE">
        <w:rPr>
          <w:rFonts w:asciiTheme="minorHAnsi" w:hAnsiTheme="minorHAnsi" w:cstheme="minorHAnsi"/>
        </w:rPr>
        <w:t>experts.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1B9D8619" w14:textId="77777777" w:rsidR="00B65503" w:rsidRPr="00547DFE" w:rsidRDefault="00B65503" w:rsidP="00B072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2E25F5" w14:textId="028B4A0D" w:rsidR="00560AC6" w:rsidRPr="00547DFE" w:rsidRDefault="0050655C" w:rsidP="00B072AC">
      <w:pPr>
        <w:pStyle w:val="ListParagraph"/>
        <w:numPr>
          <w:ilvl w:val="0"/>
          <w:numId w:val="37"/>
        </w:numPr>
        <w:ind w:left="850" w:hanging="425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addition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supporting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establishment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STRP,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organiz</w:t>
      </w:r>
      <w:r w:rsidR="00560AC6" w:rsidRPr="00547DFE">
        <w:rPr>
          <w:rFonts w:asciiTheme="minorHAnsi" w:hAnsiTheme="minorHAnsi" w:cstheme="minorHAnsi"/>
        </w:rPr>
        <w:t>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841E8">
        <w:rPr>
          <w:rFonts w:asciiTheme="minorHAnsi" w:hAnsiTheme="minorHAnsi" w:cstheme="minorHAnsi"/>
        </w:rPr>
        <w:t>its</w:t>
      </w:r>
      <w:r w:rsidR="00E841E8" w:rsidRPr="00547DFE">
        <w:rPr>
          <w:rFonts w:asciiTheme="minorHAnsi" w:hAnsiTheme="minorHAnsi" w:cstheme="minorHAnsi"/>
        </w:rPr>
        <w:t xml:space="preserve"> </w:t>
      </w:r>
      <w:r w:rsidRPr="00E841E8">
        <w:rPr>
          <w:rFonts w:asciiTheme="minorHAnsi" w:hAnsiTheme="minorHAnsi" w:cstheme="minorHAnsi"/>
        </w:rPr>
        <w:t>22nd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meeting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841E8">
        <w:rPr>
          <w:rFonts w:asciiTheme="minorHAnsi" w:hAnsiTheme="minorHAnsi" w:cstheme="minorHAnsi"/>
        </w:rPr>
        <w:t>from</w:t>
      </w:r>
      <w:r w:rsidR="00E841E8" w:rsidRPr="00547DFE">
        <w:rPr>
          <w:rFonts w:asciiTheme="minorHAnsi" w:hAnsiTheme="minorHAnsi" w:cstheme="minorHAnsi"/>
        </w:rPr>
        <w:t xml:space="preserve"> </w:t>
      </w:r>
      <w:r w:rsidR="00360FB2" w:rsidRPr="00547DFE">
        <w:rPr>
          <w:rFonts w:asciiTheme="minorHAnsi" w:hAnsiTheme="minorHAnsi" w:cstheme="minorHAnsi"/>
        </w:rPr>
        <w:t>18</w:t>
      </w:r>
      <w:r w:rsidR="00E841E8">
        <w:rPr>
          <w:rFonts w:asciiTheme="minorHAnsi" w:hAnsiTheme="minorHAnsi" w:cstheme="minorHAnsi"/>
        </w:rPr>
        <w:t xml:space="preserve"> to </w:t>
      </w:r>
      <w:r w:rsidR="00360FB2" w:rsidRPr="00547DFE">
        <w:rPr>
          <w:rFonts w:asciiTheme="minorHAnsi" w:hAnsiTheme="minorHAnsi" w:cstheme="minorHAnsi"/>
        </w:rPr>
        <w:t>22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0FB2" w:rsidRPr="00547DFE">
        <w:rPr>
          <w:rFonts w:asciiTheme="minorHAnsi" w:hAnsiTheme="minorHAnsi" w:cstheme="minorHAnsi"/>
        </w:rPr>
        <w:t>March.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meeting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focused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preparation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STRP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workplan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be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submitted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SC57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approval.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Despite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short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841E8">
        <w:rPr>
          <w:rFonts w:asciiTheme="minorHAnsi" w:hAnsiTheme="minorHAnsi" w:cstheme="minorHAnsi"/>
        </w:rPr>
        <w:t xml:space="preserve">notice due to the tight </w:t>
      </w:r>
      <w:r w:rsidR="00560AC6" w:rsidRPr="00547DFE">
        <w:rPr>
          <w:rFonts w:asciiTheme="minorHAnsi" w:hAnsiTheme="minorHAnsi" w:cstheme="minorHAnsi"/>
        </w:rPr>
        <w:t>timeline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between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establishment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Panel’s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membership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841E8">
        <w:rPr>
          <w:rFonts w:asciiTheme="minorHAnsi" w:hAnsiTheme="minorHAnsi" w:cstheme="minorHAnsi"/>
        </w:rPr>
        <w:t>SC57</w:t>
      </w:r>
      <w:r w:rsidR="00560AC6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meeting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attended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C756F" w:rsidRPr="00547DFE">
        <w:rPr>
          <w:rFonts w:asciiTheme="minorHAnsi" w:hAnsiTheme="minorHAnsi" w:cstheme="minorHAnsi"/>
        </w:rPr>
        <w:t>28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AC6" w:rsidRPr="00547DFE">
        <w:rPr>
          <w:rFonts w:asciiTheme="minorHAnsi" w:hAnsiTheme="minorHAnsi" w:cstheme="minorHAnsi"/>
        </w:rPr>
        <w:t>participants.</w:t>
      </w:r>
    </w:p>
    <w:p w14:paraId="5672D64F" w14:textId="77777777" w:rsidR="00560AC6" w:rsidRPr="00547DFE" w:rsidRDefault="00560AC6" w:rsidP="00B072AC">
      <w:pPr>
        <w:ind w:left="850"/>
        <w:rPr>
          <w:rFonts w:asciiTheme="minorHAnsi" w:hAnsiTheme="minorHAnsi" w:cstheme="minorHAnsi"/>
        </w:rPr>
      </w:pPr>
    </w:p>
    <w:p w14:paraId="0E947848" w14:textId="582B9A54" w:rsidR="00E90337" w:rsidRPr="00547DFE" w:rsidRDefault="00560AC6" w:rsidP="00B072AC">
      <w:pPr>
        <w:pStyle w:val="ListParagraph"/>
        <w:numPr>
          <w:ilvl w:val="0"/>
          <w:numId w:val="37"/>
        </w:numPr>
        <w:ind w:left="850" w:hanging="425"/>
        <w:rPr>
          <w:rFonts w:asciiTheme="minorHAnsi" w:eastAsiaTheme="minorHAnsi" w:hAnsiTheme="minorHAnsi" w:cstheme="minorHAnsi"/>
        </w:rPr>
      </w:pP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supported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E20E4" w:rsidRPr="00547DFE">
        <w:rPr>
          <w:rFonts w:asciiTheme="minorHAnsi" w:hAnsiTheme="minorHAnsi" w:cstheme="minorHAnsi"/>
        </w:rPr>
        <w:t>delivery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E20E4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E20E4" w:rsidRPr="00547DFE">
        <w:rPr>
          <w:rFonts w:asciiTheme="minorHAnsi" w:hAnsiTheme="minorHAnsi" w:cstheme="minorHAnsi"/>
        </w:rPr>
        <w:t>high</w:t>
      </w:r>
      <w:r w:rsidR="009F7C5E">
        <w:rPr>
          <w:rFonts w:asciiTheme="minorHAnsi" w:hAnsiTheme="minorHAnsi" w:cstheme="minorHAnsi"/>
        </w:rPr>
        <w:t>-</w:t>
      </w:r>
      <w:r w:rsidR="005E20E4" w:rsidRPr="00547DFE">
        <w:rPr>
          <w:rFonts w:asciiTheme="minorHAnsi" w:hAnsiTheme="minorHAnsi" w:cstheme="minorHAnsi"/>
        </w:rPr>
        <w:t>priority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F7C5E" w:rsidRPr="00547DFE">
        <w:rPr>
          <w:rFonts w:asciiTheme="minorHAnsi" w:hAnsiTheme="minorHAnsi" w:cstheme="minorHAnsi"/>
        </w:rPr>
        <w:t xml:space="preserve">STRP </w:t>
      </w:r>
      <w:r w:rsidR="005E20E4" w:rsidRPr="00547DFE">
        <w:rPr>
          <w:rFonts w:asciiTheme="minorHAnsi" w:hAnsiTheme="minorHAnsi" w:cstheme="minorHAnsi"/>
        </w:rPr>
        <w:t>tasks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0FB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816C0" w:rsidRPr="00547DFE">
        <w:rPr>
          <w:rFonts w:asciiTheme="minorHAnsi" w:hAnsiTheme="minorHAnsi" w:cstheme="minorHAnsi"/>
        </w:rPr>
        <w:t>completed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tasks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within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4319A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E20E4" w:rsidRPr="00547DFE">
        <w:rPr>
          <w:rFonts w:asciiTheme="minorHAnsi" w:hAnsiTheme="minorHAnsi" w:cstheme="minorHAnsi"/>
        </w:rPr>
        <w:t>STRP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E20E4" w:rsidRPr="00547DFE">
        <w:rPr>
          <w:rFonts w:asciiTheme="minorHAnsi" w:hAnsiTheme="minorHAnsi" w:cstheme="minorHAnsi"/>
        </w:rPr>
        <w:t>2016-2018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E20E4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E20E4" w:rsidRPr="00547DFE">
        <w:rPr>
          <w:rFonts w:asciiTheme="minorHAnsi" w:hAnsiTheme="minorHAnsi" w:cstheme="minorHAnsi"/>
        </w:rPr>
        <w:t>plan</w:t>
      </w:r>
      <w:r w:rsidR="00D816C0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E20E4" w:rsidRPr="00547DFE">
        <w:rPr>
          <w:rFonts w:asciiTheme="minorHAnsi" w:hAnsiTheme="minorHAnsi" w:cstheme="minorHAnsi"/>
        </w:rPr>
        <w:t>including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E20E4" w:rsidRPr="00547DFE">
        <w:rPr>
          <w:rFonts w:asciiTheme="minorHAnsi" w:hAnsiTheme="minorHAnsi" w:cstheme="minorHAnsi"/>
        </w:rPr>
        <w:t>transla</w:t>
      </w:r>
      <w:r w:rsidR="002A4A06" w:rsidRPr="00547DFE">
        <w:rPr>
          <w:rFonts w:asciiTheme="minorHAnsi" w:hAnsiTheme="minorHAnsi" w:cstheme="minorHAnsi"/>
        </w:rPr>
        <w:t>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A4A06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A4A06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A4A06" w:rsidRPr="00547DFE">
        <w:rPr>
          <w:rFonts w:asciiTheme="minorHAnsi" w:hAnsiTheme="minorHAnsi" w:cstheme="minorHAnsi"/>
        </w:rPr>
        <w:t>Briefing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A4A06" w:rsidRPr="00547DFE">
        <w:rPr>
          <w:rFonts w:asciiTheme="minorHAnsi" w:hAnsiTheme="minorHAnsi" w:cstheme="minorHAnsi"/>
        </w:rPr>
        <w:t>Note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A4A06" w:rsidRPr="00547DFE">
        <w:rPr>
          <w:rFonts w:asciiTheme="minorHAnsi" w:hAnsiTheme="minorHAnsi" w:cstheme="minorHAnsi"/>
        </w:rPr>
        <w:t>10: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Wetland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restoration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for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climate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change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resilience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E20E4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E20E4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E20E4" w:rsidRPr="00547DFE">
        <w:rPr>
          <w:rFonts w:asciiTheme="minorHAnsi" w:hAnsiTheme="minorHAnsi" w:cstheme="minorHAnsi"/>
        </w:rPr>
        <w:t>Technical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E20E4" w:rsidRPr="00547DFE">
        <w:rPr>
          <w:rFonts w:asciiTheme="minorHAnsi" w:hAnsiTheme="minorHAnsi" w:cstheme="minorHAnsi"/>
        </w:rPr>
        <w:t>Report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E20E4" w:rsidRPr="00547DFE">
        <w:rPr>
          <w:rFonts w:asciiTheme="minorHAnsi" w:hAnsiTheme="minorHAnsi" w:cstheme="minorHAnsi"/>
        </w:rPr>
        <w:t>10</w:t>
      </w:r>
      <w:r w:rsidR="00FE5F7C" w:rsidRPr="00547DFE">
        <w:rPr>
          <w:rFonts w:asciiTheme="minorHAnsi" w:hAnsiTheme="minorHAnsi" w:cstheme="minorHAnsi"/>
        </w:rPr>
        <w:t>: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The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use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of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Earth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Observation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for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wetland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inventory,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assessment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and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459DF" w:rsidRPr="00547DFE">
        <w:rPr>
          <w:rFonts w:asciiTheme="minorHAnsi" w:hAnsiTheme="minorHAnsi" w:cstheme="minorHAnsi"/>
          <w:i/>
        </w:rPr>
        <w:t>monitoring</w:t>
      </w:r>
      <w:r w:rsidR="002A4A06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6D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6DC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6DC" w:rsidRPr="00547DFE">
        <w:rPr>
          <w:rFonts w:asciiTheme="minorHAnsi" w:hAnsiTheme="minorHAnsi" w:cstheme="minorHAnsi"/>
        </w:rPr>
        <w:t>continues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6DC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6DC" w:rsidRPr="00547DFE">
        <w:rPr>
          <w:rFonts w:asciiTheme="minorHAnsi" w:hAnsiTheme="minorHAnsi" w:cstheme="minorHAnsi"/>
        </w:rPr>
        <w:t>promote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6D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6DC" w:rsidRPr="00547DFE">
        <w:rPr>
          <w:rFonts w:asciiTheme="minorHAnsi" w:hAnsiTheme="minorHAnsi" w:cstheme="minorHAnsi"/>
        </w:rPr>
        <w:t>dissemination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6DC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6DC" w:rsidRPr="00547DFE">
        <w:rPr>
          <w:rFonts w:asciiTheme="minorHAnsi" w:hAnsiTheme="minorHAnsi" w:cstheme="minorHAnsi"/>
        </w:rPr>
        <w:t>use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6DC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6D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6DC" w:rsidRPr="00547DFE">
        <w:rPr>
          <w:rFonts w:asciiTheme="minorHAnsi" w:hAnsiTheme="minorHAnsi" w:cstheme="minorHAnsi"/>
          <w:i/>
        </w:rPr>
        <w:t>Global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6446DC" w:rsidRPr="00547DFE">
        <w:rPr>
          <w:rFonts w:asciiTheme="minorHAnsi" w:hAnsiTheme="minorHAnsi" w:cstheme="minorHAnsi"/>
          <w:i/>
        </w:rPr>
        <w:t>Wetland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6446DC" w:rsidRPr="00547DFE">
        <w:rPr>
          <w:rFonts w:asciiTheme="minorHAnsi" w:hAnsiTheme="minorHAnsi" w:cstheme="minorHAnsi"/>
          <w:i/>
        </w:rPr>
        <w:t>Outlook: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6446DC" w:rsidRPr="00547DFE">
        <w:rPr>
          <w:rFonts w:asciiTheme="minorHAnsi" w:hAnsiTheme="minorHAnsi" w:cstheme="minorHAnsi"/>
          <w:i/>
        </w:rPr>
        <w:t>State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6446DC" w:rsidRPr="00547DFE">
        <w:rPr>
          <w:rFonts w:asciiTheme="minorHAnsi" w:hAnsiTheme="minorHAnsi" w:cstheme="minorHAnsi"/>
          <w:i/>
        </w:rPr>
        <w:t>of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6446DC" w:rsidRPr="00547DFE">
        <w:rPr>
          <w:rFonts w:asciiTheme="minorHAnsi" w:hAnsiTheme="minorHAnsi" w:cstheme="minorHAnsi"/>
          <w:i/>
        </w:rPr>
        <w:t>the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6446DC" w:rsidRPr="00547DFE">
        <w:rPr>
          <w:rFonts w:asciiTheme="minorHAnsi" w:hAnsiTheme="minorHAnsi" w:cstheme="minorHAnsi"/>
          <w:i/>
        </w:rPr>
        <w:t>World’s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6446DC" w:rsidRPr="00547DFE">
        <w:rPr>
          <w:rFonts w:asciiTheme="minorHAnsi" w:hAnsiTheme="minorHAnsi" w:cstheme="minorHAnsi"/>
          <w:i/>
        </w:rPr>
        <w:t>Wetlands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6446DC" w:rsidRPr="00547DFE">
        <w:rPr>
          <w:rFonts w:asciiTheme="minorHAnsi" w:hAnsiTheme="minorHAnsi" w:cstheme="minorHAnsi"/>
          <w:i/>
        </w:rPr>
        <w:t>and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6446DC" w:rsidRPr="00547DFE">
        <w:rPr>
          <w:rFonts w:asciiTheme="minorHAnsi" w:hAnsiTheme="minorHAnsi" w:cstheme="minorHAnsi"/>
          <w:i/>
        </w:rPr>
        <w:t>their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6446DC" w:rsidRPr="00547DFE">
        <w:rPr>
          <w:rFonts w:asciiTheme="minorHAnsi" w:hAnsiTheme="minorHAnsi" w:cstheme="minorHAnsi"/>
          <w:i/>
        </w:rPr>
        <w:t>Services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6446DC" w:rsidRPr="00547DFE">
        <w:rPr>
          <w:rFonts w:asciiTheme="minorHAnsi" w:hAnsiTheme="minorHAnsi" w:cstheme="minorHAnsi"/>
          <w:i/>
        </w:rPr>
        <w:t>to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6446DC" w:rsidRPr="00547DFE">
        <w:rPr>
          <w:rFonts w:asciiTheme="minorHAnsi" w:hAnsiTheme="minorHAnsi" w:cstheme="minorHAnsi"/>
          <w:i/>
        </w:rPr>
        <w:t>People</w:t>
      </w:r>
      <w:r w:rsidR="00BD417E" w:rsidRPr="00547DFE">
        <w:rPr>
          <w:rFonts w:asciiTheme="minorHAnsi" w:hAnsiTheme="minorHAnsi" w:cstheme="minorHAnsi"/>
        </w:rPr>
        <w:t>.</w:t>
      </w:r>
    </w:p>
    <w:p w14:paraId="70D724FD" w14:textId="77777777" w:rsidR="00B238D6" w:rsidRPr="00547DFE" w:rsidRDefault="00B238D6" w:rsidP="00B072AC">
      <w:pPr>
        <w:pStyle w:val="ListParagraph"/>
        <w:ind w:left="850"/>
        <w:rPr>
          <w:rFonts w:asciiTheme="minorHAnsi" w:eastAsiaTheme="minorHAnsi" w:hAnsiTheme="minorHAnsi" w:cstheme="minorHAnsi"/>
        </w:rPr>
      </w:pPr>
    </w:p>
    <w:p w14:paraId="08B2FF04" w14:textId="23F37BEF" w:rsidR="00E90337" w:rsidRPr="00547DFE" w:rsidRDefault="009B18DC" w:rsidP="00B072AC">
      <w:pPr>
        <w:pStyle w:val="ListParagraph"/>
        <w:numPr>
          <w:ilvl w:val="0"/>
          <w:numId w:val="37"/>
        </w:numPr>
        <w:ind w:left="850" w:hanging="425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will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be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working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closely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new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STRP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ensure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02F4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products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are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developed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manner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serve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needs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Parties</w:t>
      </w:r>
      <w:r w:rsidR="00BD02F4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particular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attention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ensuring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content,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language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design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products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right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intended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audience.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Additionally,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will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seek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identify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ways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streamline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production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STRP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07B5" w:rsidRPr="00547DFE">
        <w:rPr>
          <w:rFonts w:asciiTheme="minorHAnsi" w:hAnsiTheme="minorHAnsi" w:cstheme="minorHAnsi"/>
        </w:rPr>
        <w:t>outputs</w:t>
      </w:r>
      <w:r w:rsidR="00BD02F4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F7C5E" w:rsidRPr="00547DFE">
        <w:rPr>
          <w:rFonts w:asciiTheme="minorHAnsi" w:hAnsiTheme="minorHAnsi" w:cstheme="minorHAnsi"/>
        </w:rPr>
        <w:t>enhance their distribution and utilization</w:t>
      </w:r>
      <w:r w:rsidR="009F7C5E">
        <w:rPr>
          <w:rFonts w:asciiTheme="minorHAnsi" w:hAnsiTheme="minorHAnsi" w:cstheme="minorHAnsi"/>
        </w:rPr>
        <w:t>, and</w:t>
      </w:r>
      <w:r w:rsidR="009F7C5E" w:rsidRPr="00547DFE">
        <w:rPr>
          <w:rFonts w:asciiTheme="minorHAnsi" w:hAnsiTheme="minorHAnsi" w:cstheme="minorHAnsi"/>
        </w:rPr>
        <w:t xml:space="preserve"> </w:t>
      </w:r>
      <w:r w:rsidR="00BD02F4" w:rsidRPr="00547DFE">
        <w:rPr>
          <w:rFonts w:asciiTheme="minorHAnsi" w:hAnsiTheme="minorHAnsi" w:cstheme="minorHAnsi"/>
        </w:rPr>
        <w:t>minimize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02F4" w:rsidRPr="00547DFE">
        <w:rPr>
          <w:rFonts w:asciiTheme="minorHAnsi" w:hAnsiTheme="minorHAnsi" w:cstheme="minorHAnsi"/>
        </w:rPr>
        <w:t>costs</w:t>
      </w:r>
      <w:r w:rsidR="00F407B5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55EDEEBB" w14:textId="77777777" w:rsidR="00195A26" w:rsidRPr="00547DFE" w:rsidRDefault="00195A26" w:rsidP="00B072AC">
      <w:pPr>
        <w:ind w:left="0" w:firstLine="0"/>
        <w:rPr>
          <w:rFonts w:asciiTheme="minorHAnsi" w:hAnsiTheme="minorHAnsi" w:cstheme="minorHAnsi"/>
        </w:rPr>
      </w:pPr>
    </w:p>
    <w:p w14:paraId="23EC5134" w14:textId="29F380BF" w:rsidR="001A510E" w:rsidRPr="00547DFE" w:rsidRDefault="002022B4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6B459F" w:rsidRPr="00547DFE">
        <w:rPr>
          <w:rFonts w:asciiTheme="minorHAnsi" w:hAnsiTheme="minorHAnsi" w:cstheme="minorHAnsi"/>
        </w:rPr>
        <w:t>.</w:t>
      </w:r>
      <w:r w:rsidR="00195A26" w:rsidRPr="00547DFE">
        <w:rPr>
          <w:rFonts w:asciiTheme="minorHAnsi" w:hAnsiTheme="minorHAnsi" w:cstheme="minorHAnsi"/>
        </w:rPr>
        <w:tab/>
      </w:r>
      <w:r w:rsidR="001A510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supporting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nomination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process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new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CEPA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Oversight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Panel.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Resolutions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decisions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refer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CEPA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Oversight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Panel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s</w:t>
      </w:r>
      <w:r w:rsidR="00BD5388" w:rsidRPr="00547DFE">
        <w:rPr>
          <w:rFonts w:asciiTheme="minorHAnsi" w:hAnsiTheme="minorHAnsi" w:cstheme="minorHAnsi"/>
        </w:rPr>
        <w:t>tructure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have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reviewed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prepared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proposal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f</w:t>
      </w:r>
      <w:r w:rsidR="00BD5388" w:rsidRPr="00547DFE">
        <w:rPr>
          <w:rFonts w:asciiTheme="minorHAnsi" w:hAnsiTheme="minorHAnsi" w:cstheme="minorHAnsi"/>
        </w:rPr>
        <w:t>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Oversight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Panel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composition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nomination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process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it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believes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will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streamline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process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enhance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functionality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Panel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fulfil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mandate</w:t>
      </w:r>
      <w:r w:rsidR="001A510E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621BA">
        <w:rPr>
          <w:rFonts w:asciiTheme="minorHAnsi" w:hAnsiTheme="minorHAnsi" w:cstheme="minorHAnsi"/>
        </w:rPr>
        <w:t>Intersessional approval by the Standing Committee has been requested.</w:t>
      </w:r>
    </w:p>
    <w:p w14:paraId="3BF4067E" w14:textId="77777777" w:rsidR="001A510E" w:rsidRPr="00547DFE" w:rsidRDefault="001A510E" w:rsidP="00B072AC">
      <w:pPr>
        <w:rPr>
          <w:rFonts w:asciiTheme="minorHAnsi" w:hAnsiTheme="minorHAnsi" w:cstheme="minorHAnsi"/>
        </w:rPr>
      </w:pPr>
    </w:p>
    <w:p w14:paraId="1BA9D802" w14:textId="72BDDE54" w:rsidR="00ED7394" w:rsidRPr="00547DFE" w:rsidRDefault="006B459F" w:rsidP="00B072AC">
      <w:p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1</w:t>
      </w:r>
      <w:r w:rsidR="002022B4">
        <w:rPr>
          <w:rFonts w:asciiTheme="minorHAnsi" w:hAnsiTheme="minorHAnsi" w:cstheme="minorHAnsi"/>
        </w:rPr>
        <w:t>0</w:t>
      </w:r>
      <w:r w:rsidR="001A510E" w:rsidRPr="00547DFE">
        <w:rPr>
          <w:rFonts w:asciiTheme="minorHAnsi" w:hAnsiTheme="minorHAnsi" w:cstheme="minorHAnsi"/>
        </w:rPr>
        <w:t>.</w:t>
      </w:r>
      <w:r w:rsidR="009F7C5E">
        <w:rPr>
          <w:rFonts w:asciiTheme="minorHAnsi" w:hAnsiTheme="minorHAnsi" w:cstheme="minorHAnsi"/>
        </w:rPr>
        <w:tab/>
      </w:r>
      <w:r w:rsidR="00BD538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continues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D5388" w:rsidRPr="00547DFE">
        <w:rPr>
          <w:rFonts w:asciiTheme="minorHAnsi" w:hAnsiTheme="minorHAnsi" w:cstheme="minorHAnsi"/>
        </w:rPr>
        <w:t>support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7394" w:rsidRPr="00547DFE">
        <w:rPr>
          <w:rFonts w:asciiTheme="minorHAnsi" w:hAnsiTheme="minorHAnsi" w:cstheme="minorHAnsi"/>
        </w:rPr>
        <w:t>requests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7394" w:rsidRPr="00547DFE">
        <w:rPr>
          <w:rFonts w:asciiTheme="minorHAnsi" w:hAnsiTheme="minorHAnsi" w:cstheme="minorHAnsi"/>
        </w:rPr>
        <w:t>from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7394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7394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7394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7394" w:rsidRPr="00547DFE">
        <w:rPr>
          <w:rFonts w:asciiTheme="minorHAnsi" w:hAnsiTheme="minorHAnsi" w:cstheme="minorHAnsi"/>
        </w:rPr>
        <w:t>enhance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7394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7394" w:rsidRPr="00547DFE">
        <w:rPr>
          <w:rFonts w:asciiTheme="minorHAnsi" w:hAnsiTheme="minorHAnsi" w:cstheme="minorHAnsi"/>
        </w:rPr>
        <w:t>efficiency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7394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7394" w:rsidRPr="00547DFE">
        <w:rPr>
          <w:rFonts w:asciiTheme="minorHAnsi" w:hAnsiTheme="minorHAnsi" w:cstheme="minorHAnsi"/>
        </w:rPr>
        <w:t>processes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7394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7394" w:rsidRPr="00547DFE">
        <w:rPr>
          <w:rFonts w:asciiTheme="minorHAnsi" w:hAnsiTheme="minorHAnsi" w:cstheme="minorHAnsi"/>
        </w:rPr>
        <w:t>governing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7394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7697C">
        <w:rPr>
          <w:rFonts w:asciiTheme="minorHAnsi" w:hAnsiTheme="minorHAnsi" w:cstheme="minorHAnsi"/>
        </w:rPr>
        <w:t xml:space="preserve">implementation </w:t>
      </w:r>
      <w:r w:rsidR="00BD5388" w:rsidRPr="00547DFE">
        <w:rPr>
          <w:rFonts w:asciiTheme="minorHAnsi" w:hAnsiTheme="minorHAnsi" w:cstheme="minorHAnsi"/>
        </w:rPr>
        <w:t>including</w:t>
      </w:r>
      <w:r w:rsidR="00ED7394" w:rsidRPr="00547DFE">
        <w:rPr>
          <w:rFonts w:asciiTheme="minorHAnsi" w:hAnsiTheme="minorHAnsi" w:cstheme="minorHAnsi"/>
        </w:rPr>
        <w:t>:</w:t>
      </w:r>
    </w:p>
    <w:p w14:paraId="5DD07C19" w14:textId="77777777" w:rsidR="00ED7394" w:rsidRPr="00547DFE" w:rsidRDefault="00ED7394" w:rsidP="00B072AC">
      <w:pPr>
        <w:rPr>
          <w:rFonts w:asciiTheme="minorHAnsi" w:hAnsiTheme="minorHAnsi" w:cstheme="minorHAnsi"/>
        </w:rPr>
      </w:pPr>
    </w:p>
    <w:p w14:paraId="2235ADD7" w14:textId="6A27D658" w:rsidR="00195A26" w:rsidRPr="00547DFE" w:rsidRDefault="009F3E0A" w:rsidP="00B072AC">
      <w:pPr>
        <w:pStyle w:val="ListParagraph"/>
        <w:numPr>
          <w:ilvl w:val="0"/>
          <w:numId w:val="39"/>
        </w:numPr>
        <w:ind w:left="850" w:hanging="425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instructed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61BE6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61BE6" w:rsidRPr="00547DFE">
        <w:rPr>
          <w:rFonts w:asciiTheme="minorHAnsi" w:hAnsiTheme="minorHAnsi" w:cstheme="minorHAnsi"/>
        </w:rPr>
        <w:t>Resolution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61BE6" w:rsidRPr="00547DFE">
        <w:rPr>
          <w:rFonts w:asciiTheme="minorHAnsi" w:hAnsiTheme="minorHAnsi" w:cstheme="minorHAnsi"/>
        </w:rPr>
        <w:t>XIII.4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61BE6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61BE6" w:rsidRPr="00547DFE">
        <w:rPr>
          <w:rFonts w:asciiTheme="minorHAnsi" w:hAnsiTheme="minorHAnsi" w:cstheme="minorHAnsi"/>
          <w:i/>
        </w:rPr>
        <w:t>Responsibilities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61BE6" w:rsidRPr="00547DFE">
        <w:rPr>
          <w:rFonts w:asciiTheme="minorHAnsi" w:hAnsiTheme="minorHAnsi" w:cstheme="minorHAnsi"/>
          <w:i/>
        </w:rPr>
        <w:t>roles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61BE6" w:rsidRPr="00547DFE">
        <w:rPr>
          <w:rFonts w:asciiTheme="minorHAnsi" w:hAnsiTheme="minorHAnsi" w:cstheme="minorHAnsi"/>
          <w:i/>
        </w:rPr>
        <w:t>and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61BE6" w:rsidRPr="00547DFE">
        <w:rPr>
          <w:rFonts w:asciiTheme="minorHAnsi" w:hAnsiTheme="minorHAnsi" w:cstheme="minorHAnsi"/>
          <w:i/>
        </w:rPr>
        <w:t>composition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61BE6" w:rsidRPr="00547DFE">
        <w:rPr>
          <w:rFonts w:asciiTheme="minorHAnsi" w:hAnsiTheme="minorHAnsi" w:cstheme="minorHAnsi"/>
          <w:i/>
        </w:rPr>
        <w:t>of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61BE6" w:rsidRPr="00547DFE">
        <w:rPr>
          <w:rFonts w:asciiTheme="minorHAnsi" w:hAnsiTheme="minorHAnsi" w:cstheme="minorHAnsi"/>
          <w:i/>
        </w:rPr>
        <w:t>the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61BE6" w:rsidRPr="00547DFE">
        <w:rPr>
          <w:rFonts w:asciiTheme="minorHAnsi" w:hAnsiTheme="minorHAnsi" w:cstheme="minorHAnsi"/>
          <w:i/>
        </w:rPr>
        <w:t>Standing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61BE6" w:rsidRPr="00547DFE">
        <w:rPr>
          <w:rFonts w:asciiTheme="minorHAnsi" w:hAnsiTheme="minorHAnsi" w:cstheme="minorHAnsi"/>
          <w:i/>
        </w:rPr>
        <w:t>Committee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61BE6" w:rsidRPr="00547DFE">
        <w:rPr>
          <w:rFonts w:asciiTheme="minorHAnsi" w:hAnsiTheme="minorHAnsi" w:cstheme="minorHAnsi"/>
          <w:i/>
        </w:rPr>
        <w:t>and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61BE6" w:rsidRPr="00547DFE">
        <w:rPr>
          <w:rFonts w:asciiTheme="minorHAnsi" w:hAnsiTheme="minorHAnsi" w:cstheme="minorHAnsi"/>
          <w:i/>
        </w:rPr>
        <w:t>regional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61BE6" w:rsidRPr="00547DFE">
        <w:rPr>
          <w:rFonts w:asciiTheme="minorHAnsi" w:hAnsiTheme="minorHAnsi" w:cstheme="minorHAnsi"/>
          <w:i/>
        </w:rPr>
        <w:t>categorization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61BE6" w:rsidRPr="00547DFE">
        <w:rPr>
          <w:rFonts w:asciiTheme="minorHAnsi" w:hAnsiTheme="minorHAnsi" w:cstheme="minorHAnsi"/>
          <w:i/>
        </w:rPr>
        <w:t>of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61BE6" w:rsidRPr="00547DFE">
        <w:rPr>
          <w:rFonts w:asciiTheme="minorHAnsi" w:hAnsiTheme="minorHAnsi" w:cstheme="minorHAnsi"/>
          <w:i/>
        </w:rPr>
        <w:t>countries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61BE6" w:rsidRPr="00547DFE">
        <w:rPr>
          <w:rFonts w:asciiTheme="minorHAnsi" w:hAnsiTheme="minorHAnsi" w:cstheme="minorHAnsi"/>
          <w:i/>
        </w:rPr>
        <w:t>under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61BE6" w:rsidRPr="00547DFE">
        <w:rPr>
          <w:rFonts w:asciiTheme="minorHAnsi" w:hAnsiTheme="minorHAnsi" w:cstheme="minorHAnsi"/>
          <w:i/>
        </w:rPr>
        <w:t>the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61BE6" w:rsidRPr="00547DFE">
        <w:rPr>
          <w:rFonts w:asciiTheme="minorHAnsi" w:hAnsiTheme="minorHAnsi" w:cstheme="minorHAnsi"/>
          <w:i/>
        </w:rPr>
        <w:t>Convention,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A15C2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A15C2" w:rsidRPr="00547DFE">
        <w:rPr>
          <w:rFonts w:asciiTheme="minorHAnsi" w:hAnsiTheme="minorHAnsi" w:cstheme="minorHAnsi"/>
        </w:rPr>
        <w:t>prepared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A15C2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A15C2" w:rsidRPr="00547DFE">
        <w:rPr>
          <w:rFonts w:asciiTheme="minorHAnsi" w:hAnsiTheme="minorHAnsi" w:cstheme="minorHAnsi"/>
        </w:rPr>
        <w:t>document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A15C2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A15C2" w:rsidRPr="00547DFE">
        <w:rPr>
          <w:rFonts w:asciiTheme="minorHAnsi" w:hAnsiTheme="minorHAnsi" w:cstheme="minorHAnsi"/>
        </w:rPr>
        <w:t>provide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A15C2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A15C2" w:rsidRPr="00547DFE">
        <w:rPr>
          <w:rFonts w:asciiTheme="minorHAnsi" w:hAnsiTheme="minorHAnsi" w:cstheme="minorHAnsi"/>
        </w:rPr>
        <w:t>basis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A15C2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A15C2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A15C2" w:rsidRPr="00547DFE">
        <w:rPr>
          <w:rFonts w:asciiTheme="minorHAnsi" w:hAnsiTheme="minorHAnsi" w:cstheme="minorHAnsi"/>
        </w:rPr>
        <w:t>review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A15C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A15C2" w:rsidRPr="00547DFE">
        <w:rPr>
          <w:rFonts w:asciiTheme="minorHAnsi" w:hAnsiTheme="minorHAnsi" w:cstheme="minorHAnsi"/>
        </w:rPr>
        <w:t>all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A15C2" w:rsidRPr="00547DFE">
        <w:rPr>
          <w:rFonts w:asciiTheme="minorHAnsi" w:hAnsiTheme="minorHAnsi" w:cstheme="minorHAnsi"/>
        </w:rPr>
        <w:t>Resolutions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A15C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E256F">
        <w:rPr>
          <w:rFonts w:asciiTheme="minorHAnsi" w:hAnsiTheme="minorHAnsi" w:cstheme="minorHAnsi"/>
        </w:rPr>
        <w:t>d</w:t>
      </w:r>
      <w:r w:rsidR="005E256F" w:rsidRPr="00547DFE">
        <w:rPr>
          <w:rFonts w:asciiTheme="minorHAnsi" w:hAnsiTheme="minorHAnsi" w:cstheme="minorHAnsi"/>
        </w:rPr>
        <w:t>ecisions</w:t>
      </w:r>
      <w:r w:rsidR="003A15C2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A15C2" w:rsidRPr="00547DFE">
        <w:rPr>
          <w:rFonts w:asciiTheme="minorHAnsi" w:hAnsiTheme="minorHAnsi" w:cstheme="minorHAnsi"/>
        </w:rPr>
        <w:t>Th</w:t>
      </w:r>
      <w:r w:rsidR="00C05E66" w:rsidRPr="00547DFE">
        <w:rPr>
          <w:rFonts w:asciiTheme="minorHAnsi" w:hAnsiTheme="minorHAnsi" w:cstheme="minorHAnsi"/>
        </w:rPr>
        <w:t>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05E66" w:rsidRPr="00547DFE">
        <w:rPr>
          <w:rFonts w:asciiTheme="minorHAnsi" w:hAnsiTheme="minorHAnsi" w:cstheme="minorHAnsi"/>
        </w:rPr>
        <w:t>d</w:t>
      </w:r>
      <w:r w:rsidR="00C05E66" w:rsidRPr="00006A7C">
        <w:rPr>
          <w:rFonts w:asciiTheme="minorHAnsi" w:hAnsiTheme="minorHAnsi" w:cstheme="minorHAnsi"/>
        </w:rPr>
        <w:t>ocument</w:t>
      </w:r>
      <w:r w:rsidR="00E80EDB" w:rsidRPr="00006A7C">
        <w:rPr>
          <w:rFonts w:asciiTheme="minorHAnsi" w:hAnsiTheme="minorHAnsi" w:cstheme="minorHAnsi"/>
        </w:rPr>
        <w:t xml:space="preserve"> </w:t>
      </w:r>
      <w:r w:rsidR="00C05E66" w:rsidRPr="00006A7C">
        <w:rPr>
          <w:rFonts w:asciiTheme="minorHAnsi" w:hAnsiTheme="minorHAnsi" w:cstheme="minorHAnsi"/>
        </w:rPr>
        <w:t>is</w:t>
      </w:r>
      <w:r w:rsidR="00E80EDB" w:rsidRPr="00006A7C">
        <w:rPr>
          <w:rFonts w:asciiTheme="minorHAnsi" w:hAnsiTheme="minorHAnsi" w:cstheme="minorHAnsi"/>
        </w:rPr>
        <w:t xml:space="preserve"> </w:t>
      </w:r>
      <w:r w:rsidR="003A15C2" w:rsidRPr="00006A7C">
        <w:rPr>
          <w:rFonts w:asciiTheme="minorHAnsi" w:hAnsiTheme="minorHAnsi" w:cstheme="minorHAnsi"/>
        </w:rPr>
        <w:t>provided</w:t>
      </w:r>
      <w:r w:rsidR="00E80EDB" w:rsidRPr="00006A7C">
        <w:rPr>
          <w:rFonts w:asciiTheme="minorHAnsi" w:hAnsiTheme="minorHAnsi" w:cstheme="minorHAnsi"/>
        </w:rPr>
        <w:t xml:space="preserve"> </w:t>
      </w:r>
      <w:r w:rsidR="003A15C2" w:rsidRPr="00006A7C">
        <w:rPr>
          <w:rFonts w:asciiTheme="minorHAnsi" w:hAnsiTheme="minorHAnsi" w:cstheme="minorHAnsi"/>
        </w:rPr>
        <w:t>for</w:t>
      </w:r>
      <w:r w:rsidR="00E80EDB" w:rsidRPr="00006A7C">
        <w:rPr>
          <w:rFonts w:asciiTheme="minorHAnsi" w:hAnsiTheme="minorHAnsi" w:cstheme="minorHAnsi"/>
        </w:rPr>
        <w:t xml:space="preserve"> </w:t>
      </w:r>
      <w:r w:rsidR="003A15C2" w:rsidRPr="00006A7C">
        <w:rPr>
          <w:rFonts w:asciiTheme="minorHAnsi" w:hAnsiTheme="minorHAnsi" w:cstheme="minorHAnsi"/>
        </w:rPr>
        <w:t>consideration</w:t>
      </w:r>
      <w:r w:rsidR="00E80EDB" w:rsidRPr="00006A7C">
        <w:rPr>
          <w:rFonts w:asciiTheme="minorHAnsi" w:hAnsiTheme="minorHAnsi" w:cstheme="minorHAnsi"/>
        </w:rPr>
        <w:t xml:space="preserve"> </w:t>
      </w:r>
      <w:r w:rsidR="003A15C2" w:rsidRPr="00006A7C">
        <w:rPr>
          <w:rFonts w:asciiTheme="minorHAnsi" w:hAnsiTheme="minorHAnsi" w:cstheme="minorHAnsi"/>
        </w:rPr>
        <w:t>at</w:t>
      </w:r>
      <w:r w:rsidR="00E80EDB" w:rsidRPr="00006A7C">
        <w:rPr>
          <w:rFonts w:asciiTheme="minorHAnsi" w:hAnsiTheme="minorHAnsi" w:cstheme="minorHAnsi"/>
        </w:rPr>
        <w:t xml:space="preserve"> </w:t>
      </w:r>
      <w:r w:rsidR="003A15C2" w:rsidRPr="00006A7C">
        <w:rPr>
          <w:rFonts w:asciiTheme="minorHAnsi" w:hAnsiTheme="minorHAnsi" w:cstheme="minorHAnsi"/>
        </w:rPr>
        <w:t>the</w:t>
      </w:r>
      <w:r w:rsidR="00E80EDB" w:rsidRPr="00006A7C">
        <w:rPr>
          <w:rFonts w:asciiTheme="minorHAnsi" w:hAnsiTheme="minorHAnsi" w:cstheme="minorHAnsi"/>
        </w:rPr>
        <w:t xml:space="preserve"> </w:t>
      </w:r>
      <w:r w:rsidR="003A15C2" w:rsidRPr="00006A7C">
        <w:rPr>
          <w:rFonts w:asciiTheme="minorHAnsi" w:hAnsiTheme="minorHAnsi" w:cstheme="minorHAnsi"/>
        </w:rPr>
        <w:t>present</w:t>
      </w:r>
      <w:r w:rsidR="00E80EDB" w:rsidRPr="00006A7C">
        <w:rPr>
          <w:rFonts w:asciiTheme="minorHAnsi" w:hAnsiTheme="minorHAnsi" w:cstheme="minorHAnsi"/>
        </w:rPr>
        <w:t xml:space="preserve"> </w:t>
      </w:r>
      <w:r w:rsidR="003A15C2" w:rsidRPr="00006A7C">
        <w:rPr>
          <w:rFonts w:asciiTheme="minorHAnsi" w:hAnsiTheme="minorHAnsi" w:cstheme="minorHAnsi"/>
        </w:rPr>
        <w:t>meeting</w:t>
      </w:r>
      <w:r w:rsidR="00E80EDB" w:rsidRPr="00006A7C">
        <w:rPr>
          <w:rFonts w:asciiTheme="minorHAnsi" w:hAnsiTheme="minorHAnsi" w:cstheme="minorHAnsi"/>
        </w:rPr>
        <w:t xml:space="preserve"> </w:t>
      </w:r>
      <w:r w:rsidR="003A15C2" w:rsidRPr="00006A7C">
        <w:rPr>
          <w:rFonts w:asciiTheme="minorHAnsi" w:hAnsiTheme="minorHAnsi" w:cstheme="minorHAnsi"/>
        </w:rPr>
        <w:t>as</w:t>
      </w:r>
      <w:r w:rsidR="00E80EDB" w:rsidRPr="00006A7C">
        <w:rPr>
          <w:rFonts w:asciiTheme="minorHAnsi" w:hAnsiTheme="minorHAnsi" w:cstheme="minorHAnsi"/>
        </w:rPr>
        <w:t xml:space="preserve"> </w:t>
      </w:r>
      <w:r w:rsidR="00D459DF" w:rsidRPr="00006A7C">
        <w:rPr>
          <w:rFonts w:asciiTheme="minorHAnsi" w:hAnsiTheme="minorHAnsi" w:cstheme="minorHAnsi"/>
        </w:rPr>
        <w:t>document</w:t>
      </w:r>
      <w:r w:rsidR="00E80EDB" w:rsidRPr="00006A7C">
        <w:rPr>
          <w:rFonts w:asciiTheme="minorHAnsi" w:hAnsiTheme="minorHAnsi" w:cstheme="minorHAnsi"/>
        </w:rPr>
        <w:t xml:space="preserve"> </w:t>
      </w:r>
      <w:r w:rsidR="00D459DF" w:rsidRPr="00006A7C">
        <w:rPr>
          <w:rFonts w:asciiTheme="minorHAnsi" w:hAnsiTheme="minorHAnsi" w:cstheme="minorHAnsi"/>
        </w:rPr>
        <w:t>SC57</w:t>
      </w:r>
      <w:r w:rsidR="00E80EDB" w:rsidRPr="00006A7C">
        <w:rPr>
          <w:rFonts w:asciiTheme="minorHAnsi" w:hAnsiTheme="minorHAnsi" w:cstheme="minorHAnsi"/>
        </w:rPr>
        <w:t xml:space="preserve"> </w:t>
      </w:r>
      <w:r w:rsidR="00D459DF" w:rsidRPr="00006A7C">
        <w:rPr>
          <w:rFonts w:asciiTheme="minorHAnsi" w:hAnsiTheme="minorHAnsi" w:cstheme="minorHAnsi"/>
        </w:rPr>
        <w:t>Doc</w:t>
      </w:r>
      <w:r w:rsidR="005E256F" w:rsidRPr="00006A7C">
        <w:rPr>
          <w:rFonts w:asciiTheme="minorHAnsi" w:hAnsiTheme="minorHAnsi" w:cstheme="minorHAnsi"/>
        </w:rPr>
        <w:t>.14</w:t>
      </w:r>
      <w:r w:rsidR="00D459DF" w:rsidRPr="00006A7C">
        <w:rPr>
          <w:rFonts w:asciiTheme="minorHAnsi" w:hAnsiTheme="minorHAnsi" w:cstheme="minorHAnsi"/>
        </w:rPr>
        <w:t>.</w:t>
      </w:r>
    </w:p>
    <w:p w14:paraId="005AD405" w14:textId="77777777" w:rsidR="008B6D14" w:rsidRPr="00547DFE" w:rsidRDefault="008B6D14" w:rsidP="00B072AC">
      <w:pPr>
        <w:ind w:left="850"/>
        <w:rPr>
          <w:rFonts w:asciiTheme="minorHAnsi" w:hAnsiTheme="minorHAnsi" w:cstheme="minorHAnsi"/>
        </w:rPr>
      </w:pPr>
    </w:p>
    <w:p w14:paraId="37847F29" w14:textId="3C8E2237" w:rsidR="008B6D14" w:rsidRPr="00547DFE" w:rsidRDefault="008B6D14" w:rsidP="00B072AC">
      <w:pPr>
        <w:pStyle w:val="ListParagraph"/>
        <w:numPr>
          <w:ilvl w:val="0"/>
          <w:numId w:val="39"/>
        </w:numPr>
        <w:ind w:left="850" w:hanging="425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taken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action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Resolution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XIII.6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E1B62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E1B62" w:rsidRPr="00547DFE">
        <w:rPr>
          <w:rFonts w:asciiTheme="minorHAnsi" w:hAnsiTheme="minorHAnsi" w:cstheme="minorHAnsi"/>
          <w:i/>
        </w:rPr>
        <w:t>Language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BE1B62" w:rsidRPr="00547DFE">
        <w:rPr>
          <w:rFonts w:asciiTheme="minorHAnsi" w:hAnsiTheme="minorHAnsi" w:cstheme="minorHAnsi"/>
          <w:i/>
        </w:rPr>
        <w:t>strategy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BE1B62" w:rsidRPr="00547DFE">
        <w:rPr>
          <w:rFonts w:asciiTheme="minorHAnsi" w:hAnsiTheme="minorHAnsi" w:cstheme="minorHAnsi"/>
          <w:i/>
        </w:rPr>
        <w:t>for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BE1B62" w:rsidRPr="00547DFE">
        <w:rPr>
          <w:rFonts w:asciiTheme="minorHAnsi" w:hAnsiTheme="minorHAnsi" w:cstheme="minorHAnsi"/>
          <w:i/>
        </w:rPr>
        <w:t>the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BE1B62" w:rsidRPr="00547DFE">
        <w:rPr>
          <w:rFonts w:asciiTheme="minorHAnsi" w:hAnsiTheme="minorHAnsi" w:cstheme="minorHAnsi"/>
          <w:i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C260FF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via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Exchange</w:t>
      </w:r>
      <w:r w:rsidR="00C260FF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encouraged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all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provide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translation</w:t>
      </w:r>
      <w:r w:rsidR="00C260FF" w:rsidRPr="00547DFE">
        <w:rPr>
          <w:rFonts w:asciiTheme="minorHAnsi" w:hAnsiTheme="minorHAnsi" w:cstheme="minorHAnsi"/>
        </w:rPr>
        <w:t>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most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important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information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documents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into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their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own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official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languages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make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them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publicly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available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their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national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websites.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Additionally,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invited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260FF" w:rsidRPr="00547DFE">
        <w:rPr>
          <w:rFonts w:asciiTheme="minorHAnsi" w:hAnsiTheme="minorHAnsi" w:cstheme="minorHAnsi"/>
        </w:rPr>
        <w:t>provide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translated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documents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wider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relevance</w:t>
      </w:r>
      <w:r w:rsidR="00BA50A6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A50A6" w:rsidRPr="00547DFE">
        <w:rPr>
          <w:rFonts w:asciiTheme="minorHAnsi" w:hAnsiTheme="minorHAnsi" w:cstheme="minorHAnsi"/>
        </w:rPr>
        <w:lastRenderedPageBreak/>
        <w:t>so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can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make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them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available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33921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Convention’s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website.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Currently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there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64E59" w:rsidRPr="00547DFE">
        <w:rPr>
          <w:rFonts w:asciiTheme="minorHAnsi" w:hAnsiTheme="minorHAnsi" w:cstheme="minorHAnsi"/>
        </w:rPr>
        <w:t>are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168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documents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languages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other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than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English,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French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Spanish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4A2C" w:rsidRPr="00547DFE">
        <w:rPr>
          <w:rFonts w:asciiTheme="minorHAnsi" w:hAnsiTheme="minorHAnsi" w:cstheme="minorHAnsi"/>
        </w:rPr>
        <w:t>website.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710F1C56" w14:textId="77777777" w:rsidR="00E90337" w:rsidRPr="00547DFE" w:rsidRDefault="00E90337" w:rsidP="00B072AC">
      <w:pPr>
        <w:ind w:left="0" w:firstLine="0"/>
        <w:rPr>
          <w:rFonts w:asciiTheme="minorHAnsi" w:hAnsiTheme="minorHAnsi" w:cstheme="minorHAnsi"/>
        </w:rPr>
      </w:pPr>
    </w:p>
    <w:p w14:paraId="6BBF12AA" w14:textId="350EFA82" w:rsidR="00C06BDE" w:rsidRPr="00547DFE" w:rsidRDefault="006B459F" w:rsidP="00B072AC">
      <w:p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1</w:t>
      </w:r>
      <w:r w:rsidR="002022B4">
        <w:rPr>
          <w:rFonts w:asciiTheme="minorHAnsi" w:hAnsiTheme="minorHAnsi" w:cstheme="minorHAnsi"/>
        </w:rPr>
        <w:t>1</w:t>
      </w:r>
      <w:r w:rsidR="00E90337" w:rsidRPr="00547DFE">
        <w:rPr>
          <w:rFonts w:asciiTheme="minorHAnsi" w:hAnsiTheme="minorHAnsi" w:cstheme="minorHAnsi"/>
        </w:rPr>
        <w:t>.</w:t>
      </w:r>
      <w:r w:rsidR="00E90337" w:rsidRPr="00547DFE">
        <w:rPr>
          <w:rFonts w:asciiTheme="minorHAnsi" w:hAnsiTheme="minorHAnsi" w:cstheme="minorHAnsi"/>
        </w:rPr>
        <w:tab/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made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efforts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enhance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performance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strengthening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services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7697C">
        <w:rPr>
          <w:rFonts w:asciiTheme="minorHAnsi" w:hAnsiTheme="minorHAnsi" w:cstheme="minorHAnsi"/>
        </w:rPr>
        <w:t xml:space="preserve">support </w:t>
      </w:r>
      <w:r w:rsidR="00E90337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Parties’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decision-making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accountability.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Additional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capabilities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experience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strengthened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team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last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triennium.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T</w:t>
      </w:r>
      <w:r w:rsidR="00B33539" w:rsidRPr="00547DFE">
        <w:rPr>
          <w:rFonts w:asciiTheme="minorHAnsi" w:hAnsiTheme="minorHAnsi" w:cstheme="minorHAnsi"/>
        </w:rPr>
        <w:t>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support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provided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all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meetings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governing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subsidiary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bodies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standardized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including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overall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planning,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logistics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51B2E" w:rsidRPr="00547DFE">
        <w:rPr>
          <w:rFonts w:asciiTheme="minorHAnsi" w:hAnsiTheme="minorHAnsi" w:cstheme="minorHAnsi"/>
        </w:rPr>
        <w:t>documentation.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addition</w:t>
      </w:r>
      <w:r w:rsidR="006B6D43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whole-of-Secretariat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approach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used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fulfil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function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allocation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roles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responsibilities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each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staff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member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during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meetings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these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bodies.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worked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coordinated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manner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during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3539" w:rsidRPr="00547DFE">
        <w:rPr>
          <w:rFonts w:asciiTheme="minorHAnsi" w:hAnsiTheme="minorHAnsi" w:cstheme="minorHAnsi"/>
        </w:rPr>
        <w:t>COP1</w:t>
      </w:r>
      <w:r w:rsidR="006B6D43" w:rsidRPr="00547DFE">
        <w:rPr>
          <w:rFonts w:asciiTheme="minorHAnsi" w:hAnsiTheme="minorHAnsi" w:cstheme="minorHAnsi"/>
        </w:rPr>
        <w:t>3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B6D43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B6D43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B6D43" w:rsidRPr="00547DFE">
        <w:rPr>
          <w:rFonts w:asciiTheme="minorHAnsi" w:hAnsiTheme="minorHAnsi" w:cstheme="minorHAnsi"/>
        </w:rPr>
        <w:t>consistently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032F" w:rsidRPr="00547DFE">
        <w:rPr>
          <w:rFonts w:asciiTheme="minorHAnsi" w:hAnsiTheme="minorHAnsi" w:cstheme="minorHAnsi"/>
        </w:rPr>
        <w:t>provide</w:t>
      </w:r>
      <w:r w:rsidR="00EC3F47">
        <w:rPr>
          <w:rFonts w:asciiTheme="minorHAnsi" w:hAnsiTheme="minorHAnsi" w:cstheme="minorHAnsi"/>
        </w:rPr>
        <w:t>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032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032F" w:rsidRPr="00547DFE">
        <w:rPr>
          <w:rFonts w:asciiTheme="minorHAnsi" w:hAnsiTheme="minorHAnsi" w:cstheme="minorHAnsi"/>
        </w:rPr>
        <w:t>required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A4442" w:rsidRPr="00547DFE">
        <w:rPr>
          <w:rFonts w:asciiTheme="minorHAnsi" w:hAnsiTheme="minorHAnsi" w:cstheme="minorHAnsi"/>
        </w:rPr>
        <w:t>support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B032F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A4442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A4442" w:rsidRPr="00547DFE">
        <w:rPr>
          <w:rFonts w:asciiTheme="minorHAnsi" w:hAnsiTheme="minorHAnsi" w:cstheme="minorHAnsi"/>
        </w:rPr>
        <w:t>Parties’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82ED0" w:rsidRPr="00547DFE">
        <w:rPr>
          <w:rFonts w:asciiTheme="minorHAnsi" w:hAnsiTheme="minorHAnsi" w:cstheme="minorHAnsi"/>
        </w:rPr>
        <w:t>decision-making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A444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A4442" w:rsidRPr="00547DFE">
        <w:rPr>
          <w:rFonts w:asciiTheme="minorHAnsi" w:hAnsiTheme="minorHAnsi" w:cstheme="minorHAnsi"/>
        </w:rPr>
        <w:t>accountability.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However,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effective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delivery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core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function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challenged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various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factors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brought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attention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Standing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Committee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Management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Working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Group</w:t>
      </w:r>
      <w:r w:rsidR="00C06BDE" w:rsidRPr="00547DFE">
        <w:rPr>
          <w:rFonts w:asciiTheme="minorHAnsi" w:hAnsiTheme="minorHAnsi" w:cstheme="minorHAnsi"/>
        </w:rPr>
        <w:t>:</w:t>
      </w:r>
    </w:p>
    <w:p w14:paraId="1C3BF4AD" w14:textId="77777777" w:rsidR="009437C6" w:rsidRPr="00547DFE" w:rsidRDefault="009437C6" w:rsidP="00B072AC">
      <w:pPr>
        <w:rPr>
          <w:rFonts w:asciiTheme="minorHAnsi" w:hAnsiTheme="minorHAnsi" w:cstheme="minorHAnsi"/>
        </w:rPr>
      </w:pPr>
    </w:p>
    <w:p w14:paraId="4326607F" w14:textId="466D55EA" w:rsidR="00C06BDE" w:rsidRDefault="00156EBA" w:rsidP="00B072A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</w:t>
      </w:r>
      <w:r w:rsidR="005F6682" w:rsidRPr="00547DFE">
        <w:rPr>
          <w:rFonts w:asciiTheme="minorHAnsi" w:hAnsiTheme="minorHAnsi" w:cstheme="minorHAnsi"/>
        </w:rPr>
        <w:t>ain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issues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raised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before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COP</w:t>
      </w:r>
      <w:r>
        <w:rPr>
          <w:rFonts w:asciiTheme="minorHAnsi" w:hAnsiTheme="minorHAnsi" w:cstheme="minorHAnsi"/>
        </w:rPr>
        <w:t>13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inconsistency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deadlines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submission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draft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resolutions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E2C16">
        <w:rPr>
          <w:rFonts w:asciiTheme="minorHAnsi" w:hAnsiTheme="minorHAnsi" w:cstheme="minorHAnsi"/>
        </w:rPr>
        <w:t xml:space="preserve">other </w:t>
      </w:r>
      <w:r w:rsidR="005F6682" w:rsidRPr="00547DFE">
        <w:rPr>
          <w:rFonts w:asciiTheme="minorHAnsi" w:hAnsiTheme="minorHAnsi" w:cstheme="minorHAnsi"/>
        </w:rPr>
        <w:t>documents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meetings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Standing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Committee</w:t>
      </w:r>
      <w:r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number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meetings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organized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2018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expectations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discussion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draft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resolutions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various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groups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before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F6682" w:rsidRPr="00547DFE">
        <w:rPr>
          <w:rFonts w:asciiTheme="minorHAnsi" w:hAnsiTheme="minorHAnsi" w:cstheme="minorHAnsi"/>
        </w:rPr>
        <w:t>COP.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1EA4EF58" w14:textId="77777777" w:rsidR="00156EBA" w:rsidRPr="00156EBA" w:rsidRDefault="00156EBA" w:rsidP="00B072AC">
      <w:pPr>
        <w:ind w:left="411" w:firstLine="0"/>
        <w:rPr>
          <w:rFonts w:asciiTheme="minorHAnsi" w:hAnsiTheme="minorHAnsi" w:cstheme="minorHAnsi"/>
        </w:rPr>
      </w:pPr>
    </w:p>
    <w:p w14:paraId="3250C533" w14:textId="0D27E22E" w:rsidR="00AA4442" w:rsidRPr="00547DFE" w:rsidRDefault="005F6682" w:rsidP="00B072A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would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like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also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highlight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complexity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process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establish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STRP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short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timeline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process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take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place,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new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Panel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meet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consultation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draft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STRP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workplan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before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56EBA">
        <w:rPr>
          <w:rFonts w:asciiTheme="minorHAnsi" w:hAnsiTheme="minorHAnsi" w:cstheme="minorHAnsi"/>
        </w:rPr>
        <w:t xml:space="preserve">its </w:t>
      </w:r>
      <w:r w:rsidR="00F429D6" w:rsidRPr="00547DFE">
        <w:rPr>
          <w:rFonts w:asciiTheme="minorHAnsi" w:hAnsiTheme="minorHAnsi" w:cstheme="minorHAnsi"/>
        </w:rPr>
        <w:t>submission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56EBA" w:rsidRPr="00547DFE">
        <w:rPr>
          <w:rFonts w:asciiTheme="minorHAnsi" w:hAnsiTheme="minorHAnsi" w:cstheme="minorHAnsi"/>
        </w:rPr>
        <w:t>Standing Committee</w:t>
      </w:r>
      <w:r w:rsidR="00F429D6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Challenges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have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also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faced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regarding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CEPA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Oversight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Panel</w:t>
      </w:r>
      <w:r w:rsidR="00A97744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given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lack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clear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guidance.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More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broadly,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suggests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nominations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all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subsidiary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bodies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take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place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befo</w:t>
      </w:r>
      <w:r w:rsidR="009437C6" w:rsidRPr="00547DFE">
        <w:rPr>
          <w:rFonts w:asciiTheme="minorHAnsi" w:hAnsiTheme="minorHAnsi" w:cstheme="minorHAnsi"/>
        </w:rPr>
        <w:t>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97744">
        <w:rPr>
          <w:rFonts w:asciiTheme="minorHAnsi" w:hAnsiTheme="minorHAnsi" w:cstheme="minorHAnsi"/>
        </w:rPr>
        <w:t>each</w:t>
      </w:r>
      <w:r w:rsidR="00A97744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COP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so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97744" w:rsidRPr="00547DFE">
        <w:rPr>
          <w:rFonts w:asciiTheme="minorHAnsi" w:hAnsiTheme="minorHAnsi" w:cstheme="minorHAnsi"/>
        </w:rPr>
        <w:t xml:space="preserve">Contracting </w:t>
      </w:r>
      <w:r w:rsidR="009437C6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can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take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decision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97744">
        <w:rPr>
          <w:rFonts w:asciiTheme="minorHAnsi" w:hAnsiTheme="minorHAnsi" w:cstheme="minorHAnsi"/>
        </w:rPr>
        <w:t xml:space="preserve">their </w:t>
      </w:r>
      <w:r w:rsidR="00F429D6" w:rsidRPr="00547DFE">
        <w:rPr>
          <w:rFonts w:asciiTheme="minorHAnsi" w:hAnsiTheme="minorHAnsi" w:cstheme="minorHAnsi"/>
        </w:rPr>
        <w:t>Chairs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membership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during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429D6" w:rsidRPr="00547DFE">
        <w:rPr>
          <w:rFonts w:asciiTheme="minorHAnsi" w:hAnsiTheme="minorHAnsi" w:cstheme="minorHAnsi"/>
        </w:rPr>
        <w:t>COP.</w:t>
      </w:r>
    </w:p>
    <w:p w14:paraId="5FA9FFEE" w14:textId="77777777" w:rsidR="005F6682" w:rsidRPr="00547DFE" w:rsidRDefault="005F6682" w:rsidP="00B072AC">
      <w:pPr>
        <w:rPr>
          <w:rFonts w:asciiTheme="minorHAnsi" w:hAnsiTheme="minorHAnsi" w:cstheme="minorHAnsi"/>
        </w:rPr>
      </w:pPr>
    </w:p>
    <w:p w14:paraId="102BCE35" w14:textId="2C421343" w:rsidR="00E90337" w:rsidRPr="00A97744" w:rsidRDefault="00E90337" w:rsidP="00B072AC">
      <w:pPr>
        <w:ind w:left="0" w:firstLine="0"/>
        <w:rPr>
          <w:rFonts w:asciiTheme="minorHAnsi" w:hAnsiTheme="minorHAnsi" w:cstheme="minorHAnsi"/>
          <w:b/>
          <w:bCs/>
        </w:rPr>
      </w:pPr>
      <w:r w:rsidRPr="00A97744">
        <w:rPr>
          <w:rFonts w:asciiTheme="minorHAnsi" w:hAnsiTheme="minorHAnsi" w:cstheme="minorHAnsi"/>
          <w:b/>
          <w:bCs/>
        </w:rPr>
        <w:t>Increasing</w:t>
      </w:r>
      <w:r w:rsidR="00E80EDB" w:rsidRPr="00A97744">
        <w:rPr>
          <w:rFonts w:asciiTheme="minorHAnsi" w:hAnsiTheme="minorHAnsi" w:cstheme="minorHAnsi"/>
          <w:b/>
          <w:bCs/>
        </w:rPr>
        <w:t xml:space="preserve"> </w:t>
      </w:r>
      <w:r w:rsidRPr="00A97744">
        <w:rPr>
          <w:rFonts w:asciiTheme="minorHAnsi" w:hAnsiTheme="minorHAnsi" w:cstheme="minorHAnsi"/>
          <w:b/>
          <w:bCs/>
        </w:rPr>
        <w:t>relevance</w:t>
      </w:r>
      <w:r w:rsidR="00E80EDB" w:rsidRPr="00A97744">
        <w:rPr>
          <w:rFonts w:asciiTheme="minorHAnsi" w:hAnsiTheme="minorHAnsi" w:cstheme="minorHAnsi"/>
          <w:b/>
          <w:bCs/>
        </w:rPr>
        <w:t xml:space="preserve"> </w:t>
      </w:r>
      <w:r w:rsidRPr="00A97744">
        <w:rPr>
          <w:rFonts w:asciiTheme="minorHAnsi" w:hAnsiTheme="minorHAnsi" w:cstheme="minorHAnsi"/>
          <w:b/>
          <w:bCs/>
        </w:rPr>
        <w:t>of</w:t>
      </w:r>
      <w:r w:rsidR="00E80EDB" w:rsidRPr="00A97744">
        <w:rPr>
          <w:rFonts w:asciiTheme="minorHAnsi" w:hAnsiTheme="minorHAnsi" w:cstheme="minorHAnsi"/>
          <w:b/>
          <w:bCs/>
        </w:rPr>
        <w:t xml:space="preserve"> </w:t>
      </w:r>
      <w:r w:rsidRPr="00A97744">
        <w:rPr>
          <w:rFonts w:asciiTheme="minorHAnsi" w:hAnsiTheme="minorHAnsi" w:cstheme="minorHAnsi"/>
          <w:b/>
          <w:bCs/>
        </w:rPr>
        <w:t>wetlands</w:t>
      </w:r>
      <w:r w:rsidR="00E80EDB" w:rsidRPr="00A97744">
        <w:rPr>
          <w:rFonts w:asciiTheme="minorHAnsi" w:hAnsiTheme="minorHAnsi" w:cstheme="minorHAnsi"/>
          <w:b/>
          <w:bCs/>
        </w:rPr>
        <w:t xml:space="preserve"> </w:t>
      </w:r>
      <w:r w:rsidRPr="00A97744">
        <w:rPr>
          <w:rFonts w:asciiTheme="minorHAnsi" w:hAnsiTheme="minorHAnsi" w:cstheme="minorHAnsi"/>
          <w:b/>
          <w:bCs/>
        </w:rPr>
        <w:t>and</w:t>
      </w:r>
      <w:r w:rsidR="00E80EDB" w:rsidRPr="00A97744">
        <w:rPr>
          <w:rFonts w:asciiTheme="minorHAnsi" w:hAnsiTheme="minorHAnsi" w:cstheme="minorHAnsi"/>
          <w:b/>
          <w:bCs/>
        </w:rPr>
        <w:t xml:space="preserve"> </w:t>
      </w:r>
      <w:r w:rsidRPr="00A97744">
        <w:rPr>
          <w:rFonts w:asciiTheme="minorHAnsi" w:hAnsiTheme="minorHAnsi" w:cstheme="minorHAnsi"/>
          <w:b/>
          <w:bCs/>
        </w:rPr>
        <w:t>the</w:t>
      </w:r>
      <w:r w:rsidR="00E80EDB" w:rsidRPr="00A97744">
        <w:rPr>
          <w:rFonts w:asciiTheme="minorHAnsi" w:hAnsiTheme="minorHAnsi" w:cstheme="minorHAnsi"/>
          <w:b/>
          <w:bCs/>
        </w:rPr>
        <w:t xml:space="preserve"> </w:t>
      </w:r>
      <w:r w:rsidRPr="00A97744">
        <w:rPr>
          <w:rFonts w:asciiTheme="minorHAnsi" w:hAnsiTheme="minorHAnsi" w:cstheme="minorHAnsi"/>
          <w:b/>
          <w:bCs/>
        </w:rPr>
        <w:t>Convention</w:t>
      </w:r>
      <w:r w:rsidR="00E80EDB" w:rsidRPr="00A97744">
        <w:rPr>
          <w:rFonts w:asciiTheme="minorHAnsi" w:hAnsiTheme="minorHAnsi" w:cstheme="minorHAnsi"/>
          <w:b/>
          <w:bCs/>
        </w:rPr>
        <w:t xml:space="preserve"> </w:t>
      </w:r>
      <w:r w:rsidRPr="00A97744">
        <w:rPr>
          <w:rFonts w:asciiTheme="minorHAnsi" w:hAnsiTheme="minorHAnsi" w:cstheme="minorHAnsi"/>
          <w:b/>
          <w:bCs/>
        </w:rPr>
        <w:t>to</w:t>
      </w:r>
      <w:r w:rsidR="00E80EDB" w:rsidRPr="00A97744">
        <w:rPr>
          <w:rFonts w:asciiTheme="minorHAnsi" w:hAnsiTheme="minorHAnsi" w:cstheme="minorHAnsi"/>
          <w:b/>
          <w:bCs/>
        </w:rPr>
        <w:t xml:space="preserve"> </w:t>
      </w:r>
      <w:r w:rsidRPr="00A97744">
        <w:rPr>
          <w:rFonts w:asciiTheme="minorHAnsi" w:hAnsiTheme="minorHAnsi" w:cstheme="minorHAnsi"/>
          <w:b/>
          <w:bCs/>
        </w:rPr>
        <w:t>global</w:t>
      </w:r>
      <w:r w:rsidR="00E80EDB" w:rsidRPr="00A97744">
        <w:rPr>
          <w:rFonts w:asciiTheme="minorHAnsi" w:hAnsiTheme="minorHAnsi" w:cstheme="minorHAnsi"/>
          <w:b/>
          <w:bCs/>
        </w:rPr>
        <w:t xml:space="preserve"> </w:t>
      </w:r>
      <w:r w:rsidRPr="00A97744">
        <w:rPr>
          <w:rFonts w:asciiTheme="minorHAnsi" w:hAnsiTheme="minorHAnsi" w:cstheme="minorHAnsi"/>
          <w:b/>
          <w:bCs/>
        </w:rPr>
        <w:t>sustainable</w:t>
      </w:r>
      <w:r w:rsidR="00E80EDB" w:rsidRPr="00A97744">
        <w:rPr>
          <w:rFonts w:asciiTheme="minorHAnsi" w:hAnsiTheme="minorHAnsi" w:cstheme="minorHAnsi"/>
          <w:b/>
          <w:bCs/>
        </w:rPr>
        <w:t xml:space="preserve"> </w:t>
      </w:r>
      <w:r w:rsidRPr="00A97744">
        <w:rPr>
          <w:rFonts w:asciiTheme="minorHAnsi" w:hAnsiTheme="minorHAnsi" w:cstheme="minorHAnsi"/>
          <w:b/>
          <w:bCs/>
        </w:rPr>
        <w:t>development</w:t>
      </w:r>
      <w:r w:rsidR="00E80EDB" w:rsidRPr="00A97744">
        <w:rPr>
          <w:rFonts w:asciiTheme="minorHAnsi" w:hAnsiTheme="minorHAnsi" w:cstheme="minorHAnsi"/>
          <w:b/>
          <w:bCs/>
        </w:rPr>
        <w:t xml:space="preserve"> </w:t>
      </w:r>
      <w:r w:rsidRPr="00A97744">
        <w:rPr>
          <w:rFonts w:asciiTheme="minorHAnsi" w:hAnsiTheme="minorHAnsi" w:cstheme="minorHAnsi"/>
          <w:b/>
          <w:bCs/>
        </w:rPr>
        <w:t>policy</w:t>
      </w:r>
      <w:r w:rsidR="00E80EDB" w:rsidRPr="00A97744">
        <w:rPr>
          <w:rFonts w:asciiTheme="minorHAnsi" w:hAnsiTheme="minorHAnsi" w:cstheme="minorHAnsi"/>
          <w:b/>
          <w:bCs/>
        </w:rPr>
        <w:t xml:space="preserve"> </w:t>
      </w:r>
      <w:r w:rsidRPr="00A97744">
        <w:rPr>
          <w:rFonts w:asciiTheme="minorHAnsi" w:hAnsiTheme="minorHAnsi" w:cstheme="minorHAnsi"/>
          <w:b/>
          <w:bCs/>
        </w:rPr>
        <w:t>objectives</w:t>
      </w:r>
    </w:p>
    <w:p w14:paraId="7B926EAA" w14:textId="77777777" w:rsidR="00E90337" w:rsidRPr="00547DFE" w:rsidRDefault="00E90337" w:rsidP="00B072AC">
      <w:pPr>
        <w:rPr>
          <w:rFonts w:asciiTheme="minorHAnsi" w:hAnsiTheme="minorHAnsi" w:cstheme="minorHAnsi"/>
        </w:rPr>
      </w:pPr>
    </w:p>
    <w:p w14:paraId="3BAC5E6D" w14:textId="0F729536" w:rsidR="00170872" w:rsidRPr="00547DFE" w:rsidRDefault="006B459F" w:rsidP="00B072AC">
      <w:p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1</w:t>
      </w:r>
      <w:r w:rsidR="002022B4">
        <w:rPr>
          <w:rFonts w:asciiTheme="minorHAnsi" w:hAnsiTheme="minorHAnsi" w:cstheme="minorHAnsi"/>
        </w:rPr>
        <w:t>2</w:t>
      </w:r>
      <w:r w:rsidR="00E90337" w:rsidRPr="00547DFE">
        <w:rPr>
          <w:rFonts w:asciiTheme="minorHAnsi" w:hAnsiTheme="minorHAnsi" w:cstheme="minorHAnsi"/>
        </w:rPr>
        <w:t>.</w:t>
      </w:r>
      <w:r w:rsidR="00E90337" w:rsidRPr="00547DFE">
        <w:rPr>
          <w:rFonts w:asciiTheme="minorHAnsi" w:hAnsiTheme="minorHAnsi" w:cstheme="minorHAnsi"/>
        </w:rPr>
        <w:tab/>
      </w:r>
      <w:r w:rsidR="0017087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70872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70872" w:rsidRPr="00547DFE">
        <w:rPr>
          <w:rFonts w:asciiTheme="minorHAnsi" w:hAnsiTheme="minorHAnsi" w:cstheme="minorHAnsi"/>
        </w:rPr>
        <w:t>continues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70872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70872" w:rsidRPr="00547DFE">
        <w:rPr>
          <w:rFonts w:asciiTheme="minorHAnsi" w:hAnsiTheme="minorHAnsi" w:cstheme="minorHAnsi"/>
        </w:rPr>
        <w:t>strengthen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supporting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international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cooperation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enhancing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relevance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global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policy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agend</w:t>
      </w:r>
      <w:r w:rsidR="00170872" w:rsidRPr="00547DFE">
        <w:rPr>
          <w:rFonts w:asciiTheme="minorHAnsi" w:hAnsiTheme="minorHAnsi" w:cstheme="minorHAnsi"/>
        </w:rPr>
        <w:t>a.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Given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2030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97744" w:rsidRPr="00547DFE">
        <w:rPr>
          <w:rFonts w:asciiTheme="minorHAnsi" w:hAnsiTheme="minorHAnsi" w:cstheme="minorHAnsi"/>
        </w:rPr>
        <w:t xml:space="preserve">Agenda </w:t>
      </w:r>
      <w:r w:rsidR="00A97744">
        <w:rPr>
          <w:rFonts w:asciiTheme="minorHAnsi" w:hAnsiTheme="minorHAnsi" w:cstheme="minorHAnsi"/>
        </w:rPr>
        <w:t xml:space="preserve">for </w:t>
      </w:r>
      <w:r w:rsidR="00E90337" w:rsidRPr="00547DFE">
        <w:rPr>
          <w:rFonts w:asciiTheme="minorHAnsi" w:hAnsiTheme="minorHAnsi" w:cstheme="minorHAnsi"/>
        </w:rPr>
        <w:t>Sustainable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Development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Paris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Agreement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97744" w:rsidRPr="00547DFE">
        <w:rPr>
          <w:rFonts w:asciiTheme="minorHAnsi" w:hAnsiTheme="minorHAnsi" w:cstheme="minorHAnsi"/>
        </w:rPr>
        <w:t xml:space="preserve">climate change </w:t>
      </w:r>
      <w:r w:rsidR="00E90337" w:rsidRPr="00547DFE">
        <w:rPr>
          <w:rFonts w:asciiTheme="minorHAnsi" w:hAnsiTheme="minorHAnsi" w:cstheme="minorHAnsi"/>
        </w:rPr>
        <w:t>are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driving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national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international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planning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funding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efforts,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increased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attention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given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ensure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under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contribute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policy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frameworks.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5EAF6060" w14:textId="77777777" w:rsidR="00170872" w:rsidRPr="00547DFE" w:rsidRDefault="00170872" w:rsidP="00B072AC">
      <w:pPr>
        <w:rPr>
          <w:rFonts w:asciiTheme="minorHAnsi" w:hAnsiTheme="minorHAnsi" w:cstheme="minorHAnsi"/>
        </w:rPr>
      </w:pPr>
    </w:p>
    <w:p w14:paraId="0911287B" w14:textId="4BA42A95" w:rsidR="00170872" w:rsidRPr="00547DFE" w:rsidRDefault="006B459F" w:rsidP="00B072AC">
      <w:pPr>
        <w:rPr>
          <w:rFonts w:asciiTheme="minorHAnsi" w:eastAsiaTheme="minorHAnsi" w:hAnsiTheme="minorHAnsi" w:cstheme="minorHAnsi"/>
        </w:rPr>
      </w:pPr>
      <w:r w:rsidRPr="00547DFE">
        <w:rPr>
          <w:rFonts w:asciiTheme="minorHAnsi" w:hAnsiTheme="minorHAnsi" w:cstheme="minorHAnsi"/>
        </w:rPr>
        <w:t>1</w:t>
      </w:r>
      <w:r w:rsidR="002022B4">
        <w:rPr>
          <w:rFonts w:asciiTheme="minorHAnsi" w:hAnsiTheme="minorHAnsi" w:cstheme="minorHAnsi"/>
        </w:rPr>
        <w:t>3</w:t>
      </w:r>
      <w:r w:rsidR="00170872" w:rsidRPr="00547DFE">
        <w:rPr>
          <w:rFonts w:asciiTheme="minorHAnsi" w:hAnsiTheme="minorHAnsi" w:cstheme="minorHAnsi"/>
        </w:rPr>
        <w:t>.</w:t>
      </w:r>
      <w:r w:rsidR="00170872" w:rsidRPr="00547DFE">
        <w:rPr>
          <w:rFonts w:asciiTheme="minorHAnsi" w:hAnsiTheme="minorHAnsi" w:cstheme="minorHAnsi"/>
        </w:rPr>
        <w:tab/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continues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be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actively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engaged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discussions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regarding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achievement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SDGs,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co-custodian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SDG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Indicator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6.6.1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(on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change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extent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water-related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ecosystems),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requested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Decision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SC53-17.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It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participated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eighth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meeting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of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the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Inter-agency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and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Expert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Group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on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Sustainable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Development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Goal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Indicators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(IAEG-SDGs)</w:t>
      </w:r>
      <w:r w:rsidR="00D12487" w:rsidRPr="00547DFE">
        <w:rPr>
          <w:rFonts w:asciiTheme="minorHAnsi" w:eastAsiaTheme="minorHAnsi" w:hAnsiTheme="minorHAnsi" w:cstheme="minorHAnsi"/>
        </w:rPr>
        <w:t>,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D12487" w:rsidRPr="00547DFE">
        <w:rPr>
          <w:rFonts w:asciiTheme="minorHAnsi" w:eastAsiaTheme="minorHAnsi" w:hAnsiTheme="minorHAnsi" w:cstheme="minorHAnsi"/>
        </w:rPr>
        <w:t>which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took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place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from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5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930A5A" w:rsidRPr="00547DFE">
        <w:rPr>
          <w:rFonts w:asciiTheme="minorHAnsi" w:eastAsiaTheme="minorHAnsi" w:hAnsiTheme="minorHAnsi" w:cstheme="minorHAnsi"/>
        </w:rPr>
        <w:t>to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8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November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2018.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At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th</w:t>
      </w:r>
      <w:r w:rsidR="004D1B95" w:rsidRPr="00547DFE">
        <w:rPr>
          <w:rFonts w:asciiTheme="minorHAnsi" w:eastAsiaTheme="minorHAnsi" w:hAnsiTheme="minorHAnsi" w:cstheme="minorHAnsi"/>
        </w:rPr>
        <w:t>is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meeting</w:t>
      </w:r>
      <w:r w:rsidR="00930A5A" w:rsidRPr="00547DFE">
        <w:rPr>
          <w:rFonts w:asciiTheme="minorHAnsi" w:eastAsiaTheme="minorHAnsi" w:hAnsiTheme="minorHAnsi" w:cstheme="minorHAnsi"/>
        </w:rPr>
        <w:t>,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Indicator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6.6.1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was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upgraded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930A5A" w:rsidRPr="00547DFE">
        <w:rPr>
          <w:rFonts w:asciiTheme="minorHAnsi" w:eastAsiaTheme="minorHAnsi" w:hAnsiTheme="minorHAnsi" w:cstheme="minorHAnsi"/>
        </w:rPr>
        <w:t>to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Tier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I</w:t>
      </w:r>
      <w:r w:rsidR="00930A5A" w:rsidRPr="00547DFE">
        <w:rPr>
          <w:rFonts w:asciiTheme="minorHAnsi" w:eastAsiaTheme="minorHAnsi" w:hAnsiTheme="minorHAnsi" w:cstheme="minorHAnsi"/>
        </w:rPr>
        <w:t>,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based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on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the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review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of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data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availability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in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the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global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SDG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Indicator</w:t>
      </w:r>
      <w:r w:rsidR="00E80EDB" w:rsidRPr="00547DFE">
        <w:rPr>
          <w:rFonts w:asciiTheme="minorHAnsi" w:eastAsiaTheme="minorHAnsi" w:hAnsiTheme="minorHAnsi" w:cstheme="minorHAnsi"/>
        </w:rPr>
        <w:t xml:space="preserve"> </w:t>
      </w:r>
      <w:r w:rsidR="00AD66C8" w:rsidRPr="00547DFE">
        <w:rPr>
          <w:rFonts w:asciiTheme="minorHAnsi" w:eastAsiaTheme="minorHAnsi" w:hAnsiTheme="minorHAnsi" w:cstheme="minorHAnsi"/>
        </w:rPr>
        <w:t>database.</w:t>
      </w:r>
    </w:p>
    <w:p w14:paraId="724AB5D8" w14:textId="77777777" w:rsidR="00AD66C8" w:rsidRPr="00547DFE" w:rsidRDefault="00AD66C8" w:rsidP="00B072AC">
      <w:pPr>
        <w:rPr>
          <w:rFonts w:asciiTheme="minorHAnsi" w:hAnsiTheme="minorHAnsi" w:cstheme="minorHAnsi"/>
        </w:rPr>
      </w:pPr>
    </w:p>
    <w:p w14:paraId="372F2464" w14:textId="2CC4704C" w:rsidR="00AD66C8" w:rsidRPr="00547DFE" w:rsidRDefault="006B459F" w:rsidP="00B072AC">
      <w:p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1</w:t>
      </w:r>
      <w:r w:rsidR="002022B4">
        <w:rPr>
          <w:rFonts w:asciiTheme="minorHAnsi" w:hAnsiTheme="minorHAnsi" w:cstheme="minorHAnsi"/>
        </w:rPr>
        <w:t>4</w:t>
      </w:r>
      <w:r w:rsidR="00E90337" w:rsidRPr="00547DFE">
        <w:rPr>
          <w:rFonts w:asciiTheme="minorHAnsi" w:hAnsiTheme="minorHAnsi" w:cstheme="minorHAnsi"/>
        </w:rPr>
        <w:t>.</w:t>
      </w:r>
      <w:r w:rsidR="00E90337" w:rsidRPr="00547DFE">
        <w:rPr>
          <w:rFonts w:asciiTheme="minorHAnsi" w:hAnsiTheme="minorHAnsi" w:cstheme="minorHAnsi"/>
        </w:rPr>
        <w:tab/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active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supporting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achievement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SDG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14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(“Conserve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sustainably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use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oceans,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marine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resources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sustainable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development”).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Secretary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General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Director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General</w:t>
      </w:r>
      <w:r w:rsidR="00044E4C">
        <w:rPr>
          <w:rFonts w:asciiTheme="minorHAnsi" w:hAnsiTheme="minorHAnsi" w:cstheme="minorHAnsi"/>
        </w:rPr>
        <w:t xml:space="preserve"> of the </w:t>
      </w:r>
      <w:r w:rsidR="00044E4C" w:rsidRPr="00044E4C">
        <w:rPr>
          <w:rFonts w:asciiTheme="minorHAnsi" w:hAnsiTheme="minorHAnsi" w:cstheme="minorHAnsi"/>
        </w:rPr>
        <w:t xml:space="preserve">International Union for Conservation of Nature </w:t>
      </w:r>
      <w:r w:rsidR="00044E4C">
        <w:rPr>
          <w:rFonts w:asciiTheme="minorHAnsi" w:hAnsiTheme="minorHAnsi" w:cstheme="minorHAnsi"/>
        </w:rPr>
        <w:t>(IUCN)</w:t>
      </w:r>
      <w:r w:rsidR="00116FD2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focal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points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SDG</w:t>
      </w:r>
      <w:r w:rsidR="00545745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14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Communit</w:t>
      </w:r>
      <w:r w:rsidR="00545745">
        <w:rPr>
          <w:rFonts w:asciiTheme="minorHAnsi" w:hAnsiTheme="minorHAnsi" w:cstheme="minorHAnsi"/>
        </w:rPr>
        <w:t>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Ocean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Action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Mangroves</w:t>
      </w:r>
      <w:r w:rsidR="00116FD2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invited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16FD2" w:rsidRPr="00547DFE">
        <w:rPr>
          <w:rFonts w:asciiTheme="minorHAnsi" w:hAnsiTheme="minorHAnsi" w:cstheme="minorHAnsi"/>
        </w:rPr>
        <w:t>d</w:t>
      </w:r>
      <w:r w:rsidR="00AD66C8" w:rsidRPr="00547DFE">
        <w:rPr>
          <w:rFonts w:asciiTheme="minorHAnsi" w:hAnsiTheme="minorHAnsi" w:cstheme="minorHAnsi"/>
        </w:rPr>
        <w:t>elegates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16FD2" w:rsidRPr="00547DFE">
        <w:rPr>
          <w:rFonts w:asciiTheme="minorHAnsi" w:hAnsiTheme="minorHAnsi" w:cstheme="minorHAnsi"/>
        </w:rPr>
        <w:t>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COP13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16FD2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16FD2" w:rsidRPr="00547DFE">
        <w:rPr>
          <w:rFonts w:asciiTheme="minorHAnsi" w:hAnsiTheme="minorHAnsi" w:cstheme="minorHAnsi"/>
        </w:rPr>
        <w:t>attend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16FD2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special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side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event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16FD2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“UN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Ocean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lastRenderedPageBreak/>
        <w:t>Conference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Community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Ocean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Action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Mangroves: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Progress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Opportunities”.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Ambassador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16FD2" w:rsidRPr="00547DFE">
        <w:rPr>
          <w:rFonts w:asciiTheme="minorHAnsi" w:hAnsiTheme="minorHAnsi" w:cstheme="minorHAnsi"/>
        </w:rPr>
        <w:t>Peter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Thomson,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UN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Special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Envoy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Oceans</w:t>
      </w:r>
      <w:r w:rsidR="00545745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highlighted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critical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role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mangrove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ecosystems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coastal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ocean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resilience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described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heartland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support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actions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Community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Ocean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Action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on</w:t>
      </w:r>
      <w:r w:rsidR="000A2871">
        <w:rPr>
          <w:rFonts w:asciiTheme="minorHAnsi" w:hAnsiTheme="minorHAnsi" w:cstheme="minorHAnsi"/>
        </w:rPr>
        <w:t xml:space="preserve"> Mangroves 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mangrove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6C8" w:rsidRPr="00547DFE">
        <w:rPr>
          <w:rFonts w:asciiTheme="minorHAnsi" w:hAnsiTheme="minorHAnsi" w:cstheme="minorHAnsi"/>
        </w:rPr>
        <w:t>conservation.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4D1B95" w:rsidRPr="00547DFE">
        <w:rPr>
          <w:rFonts w:asciiTheme="minorHAnsi" w:hAnsiTheme="minorHAnsi" w:cstheme="minorHAnsi"/>
          <w:bCs/>
        </w:rPr>
        <w:t>Several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4D1B95" w:rsidRPr="00547DFE">
        <w:rPr>
          <w:rFonts w:asciiTheme="minorHAnsi" w:hAnsiTheme="minorHAnsi" w:cstheme="minorHAnsi"/>
          <w:bCs/>
        </w:rPr>
        <w:t>Contracting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4D1B95" w:rsidRPr="00547DFE">
        <w:rPr>
          <w:rFonts w:asciiTheme="minorHAnsi" w:hAnsiTheme="minorHAnsi" w:cstheme="minorHAnsi"/>
          <w:bCs/>
        </w:rPr>
        <w:t>Parties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4D1B95" w:rsidRPr="00547DFE">
        <w:rPr>
          <w:rFonts w:asciiTheme="minorHAnsi" w:hAnsiTheme="minorHAnsi" w:cstheme="minorHAnsi"/>
          <w:bCs/>
        </w:rPr>
        <w:t>reported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4D1B95" w:rsidRPr="00547DFE">
        <w:rPr>
          <w:rFonts w:asciiTheme="minorHAnsi" w:hAnsiTheme="minorHAnsi" w:cstheme="minorHAnsi"/>
          <w:bCs/>
        </w:rPr>
        <w:t>on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4D1B95" w:rsidRPr="00547DFE">
        <w:rPr>
          <w:rFonts w:asciiTheme="minorHAnsi" w:hAnsiTheme="minorHAnsi" w:cstheme="minorHAnsi"/>
          <w:bCs/>
        </w:rPr>
        <w:t>their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4D1B95" w:rsidRPr="00547DFE">
        <w:rPr>
          <w:rFonts w:asciiTheme="minorHAnsi" w:hAnsiTheme="minorHAnsi" w:cstheme="minorHAnsi"/>
          <w:bCs/>
        </w:rPr>
        <w:t>commitments.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4D1B95" w:rsidRPr="00547DFE">
        <w:rPr>
          <w:rFonts w:asciiTheme="minorHAnsi" w:hAnsiTheme="minorHAnsi" w:cstheme="minorHAnsi"/>
          <w:bCs/>
        </w:rPr>
        <w:t>Ambassador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4D1B95" w:rsidRPr="00547DFE">
        <w:rPr>
          <w:rFonts w:asciiTheme="minorHAnsi" w:hAnsiTheme="minorHAnsi" w:cstheme="minorHAnsi"/>
          <w:bCs/>
        </w:rPr>
        <w:t>Thomson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encouraged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the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submission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of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new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voluntary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commitments,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and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urged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countries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and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other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stakeholders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to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update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existing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AD66C8" w:rsidRPr="00547DFE">
        <w:rPr>
          <w:rFonts w:asciiTheme="minorHAnsi" w:hAnsiTheme="minorHAnsi" w:cstheme="minorHAnsi"/>
          <w:bCs/>
        </w:rPr>
        <w:t>ones.</w:t>
      </w:r>
    </w:p>
    <w:p w14:paraId="2693F329" w14:textId="77777777" w:rsidR="00AD66C8" w:rsidRPr="00547DFE" w:rsidRDefault="00AD66C8" w:rsidP="00B072AC">
      <w:pPr>
        <w:rPr>
          <w:rFonts w:asciiTheme="minorHAnsi" w:hAnsiTheme="minorHAnsi" w:cstheme="minorHAnsi"/>
        </w:rPr>
      </w:pPr>
    </w:p>
    <w:p w14:paraId="14E435C7" w14:textId="160676D4" w:rsidR="00432B12" w:rsidRPr="00547DFE" w:rsidRDefault="006B459F" w:rsidP="00B072AC">
      <w:p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1</w:t>
      </w:r>
      <w:r w:rsidR="002022B4">
        <w:rPr>
          <w:rFonts w:asciiTheme="minorHAnsi" w:hAnsiTheme="minorHAnsi" w:cstheme="minorHAnsi"/>
        </w:rPr>
        <w:t>5</w:t>
      </w:r>
      <w:r w:rsidR="009437C6" w:rsidRPr="00547DFE">
        <w:rPr>
          <w:rFonts w:asciiTheme="minorHAnsi" w:hAnsiTheme="minorHAnsi" w:cstheme="minorHAnsi"/>
        </w:rPr>
        <w:t>.</w:t>
      </w:r>
      <w:r w:rsidR="009437C6" w:rsidRPr="00547DFE">
        <w:rPr>
          <w:rFonts w:asciiTheme="minorHAnsi" w:hAnsiTheme="minorHAnsi" w:cstheme="minorHAnsi"/>
        </w:rPr>
        <w:tab/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active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supporting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5">
        <w:rPr>
          <w:rFonts w:asciiTheme="minorHAnsi" w:hAnsiTheme="minorHAnsi" w:cstheme="minorHAnsi"/>
        </w:rPr>
        <w:t xml:space="preserve">the </w:t>
      </w:r>
      <w:r w:rsidR="00601DEE" w:rsidRPr="00547DFE">
        <w:rPr>
          <w:rFonts w:asciiTheme="minorHAnsi" w:hAnsiTheme="minorHAnsi" w:cstheme="minorHAnsi"/>
        </w:rPr>
        <w:t>achievement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01DEE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SDG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15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(“Sustainably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manage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forests,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combat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desertification,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halt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reverse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land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degradation,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halt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biodiversity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loss”)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biodiversity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agenda.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66043" w:rsidRPr="00547DFE">
        <w:rPr>
          <w:rFonts w:asciiTheme="minorHAnsi" w:hAnsiTheme="minorHAnsi" w:cstheme="minorHAnsi"/>
        </w:rPr>
        <w:t>T</w:t>
      </w:r>
      <w:r w:rsidR="00E90337" w:rsidRPr="00547DFE">
        <w:rPr>
          <w:rFonts w:asciiTheme="minorHAnsi" w:hAnsiTheme="minorHAnsi" w:cstheme="minorHAnsi"/>
        </w:rPr>
        <w:t>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continues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strengthen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engagement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93CB5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93CB5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93CB5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93CB5" w:rsidRPr="00547DFE">
        <w:rPr>
          <w:rFonts w:asciiTheme="minorHAnsi" w:hAnsiTheme="minorHAnsi" w:cstheme="minorHAnsi"/>
        </w:rPr>
        <w:t>Biological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93CB5" w:rsidRPr="00547DFE">
        <w:rPr>
          <w:rFonts w:asciiTheme="minorHAnsi" w:hAnsiTheme="minorHAnsi" w:cstheme="minorHAnsi"/>
        </w:rPr>
        <w:t>Diversity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93CB5" w:rsidRPr="00547DFE">
        <w:rPr>
          <w:rFonts w:asciiTheme="minorHAnsi" w:hAnsiTheme="minorHAnsi" w:cstheme="minorHAnsi"/>
        </w:rPr>
        <w:t>(</w:t>
      </w:r>
      <w:r w:rsidR="00432B12" w:rsidRPr="00547DFE">
        <w:rPr>
          <w:rFonts w:asciiTheme="minorHAnsi" w:hAnsiTheme="minorHAnsi" w:cstheme="minorHAnsi"/>
        </w:rPr>
        <w:t>CBD</w:t>
      </w:r>
      <w:r w:rsidR="00593CB5" w:rsidRPr="00547DFE">
        <w:rPr>
          <w:rFonts w:asciiTheme="minorHAnsi" w:hAnsiTheme="minorHAnsi" w:cstheme="minorHAnsi"/>
        </w:rPr>
        <w:t>)</w:t>
      </w:r>
      <w:r w:rsidR="00432B12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2018,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participated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actively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CBD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93CB5" w:rsidRPr="00547DFE">
        <w:rPr>
          <w:rFonts w:asciiTheme="minorHAnsi" w:hAnsiTheme="minorHAnsi" w:cstheme="minorHAnsi"/>
        </w:rPr>
        <w:t>C</w:t>
      </w:r>
      <w:r w:rsidR="00FE4018">
        <w:rPr>
          <w:rFonts w:asciiTheme="minorHAnsi" w:hAnsiTheme="minorHAnsi" w:cstheme="minorHAnsi"/>
        </w:rPr>
        <w:t>O</w:t>
      </w:r>
      <w:r w:rsidR="00593CB5" w:rsidRPr="00547DFE">
        <w:rPr>
          <w:rFonts w:asciiTheme="minorHAnsi" w:hAnsiTheme="minorHAnsi" w:cstheme="minorHAnsi"/>
        </w:rPr>
        <w:t>P</w:t>
      </w:r>
      <w:r w:rsidR="00432B12" w:rsidRPr="00547DFE">
        <w:rPr>
          <w:rFonts w:asciiTheme="minorHAnsi" w:hAnsiTheme="minorHAnsi" w:cstheme="minorHAnsi"/>
        </w:rPr>
        <w:t>14</w:t>
      </w:r>
      <w:r w:rsidR="00593CB5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Sharm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El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Sheik</w:t>
      </w:r>
      <w:r w:rsidR="00593CB5" w:rsidRPr="00547DFE">
        <w:rPr>
          <w:rFonts w:asciiTheme="minorHAnsi" w:hAnsiTheme="minorHAnsi" w:cstheme="minorHAnsi"/>
        </w:rPr>
        <w:t>h,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Egypt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(13-29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November)</w:t>
      </w:r>
      <w:r w:rsidR="00FE4018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raising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visibility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High</w:t>
      </w:r>
      <w:r w:rsidR="0087197C" w:rsidRPr="00547DFE">
        <w:rPr>
          <w:rFonts w:asciiTheme="minorHAnsi" w:hAnsiTheme="minorHAnsi" w:cstheme="minorHAnsi"/>
        </w:rPr>
        <w:t>-</w:t>
      </w:r>
      <w:r w:rsidR="00432B12" w:rsidRPr="00547DFE">
        <w:rPr>
          <w:rFonts w:asciiTheme="minorHAnsi" w:hAnsiTheme="minorHAnsi" w:cstheme="minorHAnsi"/>
        </w:rPr>
        <w:t>Level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Segment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African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Min</w:t>
      </w:r>
      <w:r w:rsidR="009437C6" w:rsidRPr="00547DFE">
        <w:rPr>
          <w:rFonts w:asciiTheme="minorHAnsi" w:hAnsiTheme="minorHAnsi" w:cstheme="minorHAnsi"/>
        </w:rPr>
        <w:t>isterial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Summit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Biodiversity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024C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024C9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roundtables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Infrastructure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and</w:t>
      </w:r>
      <w:r w:rsidR="00FE4018">
        <w:rPr>
          <w:rFonts w:asciiTheme="minorHAnsi" w:hAnsiTheme="minorHAnsi" w:cstheme="minorHAnsi"/>
        </w:rPr>
        <w:t xml:space="preserve"> 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Energy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Mining.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Secretary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General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participated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5B3A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panellist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session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Post-2020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Global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Biodiversity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Framework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Vision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2050</w:t>
      </w:r>
      <w:r w:rsidR="00D15B3A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delivered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statement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behalf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eight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5B3A" w:rsidRPr="00547DFE">
        <w:rPr>
          <w:rFonts w:asciiTheme="minorHAnsi" w:hAnsiTheme="minorHAnsi" w:cstheme="minorHAnsi"/>
        </w:rPr>
        <w:t>b</w:t>
      </w:r>
      <w:r w:rsidR="00432B12" w:rsidRPr="00547DFE">
        <w:rPr>
          <w:rFonts w:asciiTheme="minorHAnsi" w:hAnsiTheme="minorHAnsi" w:cstheme="minorHAnsi"/>
        </w:rPr>
        <w:t>iodiversity</w:t>
      </w:r>
      <w:r w:rsidR="00D15B3A" w:rsidRPr="00547DFE">
        <w:rPr>
          <w:rFonts w:asciiTheme="minorHAnsi" w:hAnsiTheme="minorHAnsi" w:cstheme="minorHAnsi"/>
        </w:rPr>
        <w:t>-</w:t>
      </w:r>
      <w:r w:rsidR="00432B12" w:rsidRPr="00547DFE">
        <w:rPr>
          <w:rFonts w:asciiTheme="minorHAnsi" w:hAnsiTheme="minorHAnsi" w:cstheme="minorHAnsi"/>
        </w:rPr>
        <w:t>related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5745">
        <w:rPr>
          <w:rFonts w:asciiTheme="minorHAnsi" w:hAnsiTheme="minorHAnsi" w:cstheme="minorHAnsi"/>
        </w:rPr>
        <w:t>C</w:t>
      </w:r>
      <w:r w:rsidR="00432B12" w:rsidRPr="00547DFE">
        <w:rPr>
          <w:rFonts w:asciiTheme="minorHAnsi" w:hAnsiTheme="minorHAnsi" w:cstheme="minorHAnsi"/>
        </w:rPr>
        <w:t>onventions.</w:t>
      </w:r>
    </w:p>
    <w:p w14:paraId="11EFCA85" w14:textId="77777777" w:rsidR="00195A26" w:rsidRPr="00547DFE" w:rsidRDefault="00195A26" w:rsidP="00B072AC">
      <w:pPr>
        <w:ind w:left="0" w:firstLine="0"/>
        <w:rPr>
          <w:rFonts w:asciiTheme="minorHAnsi" w:hAnsiTheme="minorHAnsi" w:cstheme="minorHAnsi"/>
        </w:rPr>
      </w:pPr>
    </w:p>
    <w:p w14:paraId="3738FEC6" w14:textId="32262FFF" w:rsidR="00E90337" w:rsidRPr="00547DFE" w:rsidRDefault="006B459F" w:rsidP="00B072AC">
      <w:p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1</w:t>
      </w:r>
      <w:r w:rsidR="002022B4">
        <w:rPr>
          <w:rFonts w:asciiTheme="minorHAnsi" w:hAnsiTheme="minorHAnsi" w:cstheme="minorHAnsi"/>
        </w:rPr>
        <w:t>6</w:t>
      </w:r>
      <w:r w:rsidR="00195A26" w:rsidRPr="00547DFE">
        <w:rPr>
          <w:rFonts w:asciiTheme="minorHAnsi" w:hAnsiTheme="minorHAnsi" w:cstheme="minorHAnsi"/>
        </w:rPr>
        <w:t>.</w:t>
      </w:r>
      <w:r w:rsidR="00195A26" w:rsidRPr="00547DFE">
        <w:rPr>
          <w:rFonts w:asciiTheme="minorHAnsi" w:hAnsiTheme="minorHAnsi" w:cstheme="minorHAnsi"/>
        </w:rPr>
        <w:tab/>
      </w:r>
      <w:r w:rsidR="009D022E" w:rsidRPr="00547DFE">
        <w:rPr>
          <w:rFonts w:asciiTheme="minorHAnsi" w:hAnsiTheme="minorHAnsi" w:cstheme="minorHAnsi"/>
        </w:rPr>
        <w:t>R</w:t>
      </w:r>
      <w:r w:rsidR="00A872C8" w:rsidRPr="00547DFE">
        <w:rPr>
          <w:rFonts w:asciiTheme="minorHAnsi" w:hAnsiTheme="minorHAnsi" w:cstheme="minorHAnsi"/>
        </w:rPr>
        <w:t>esolution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872C8" w:rsidRPr="00547DFE">
        <w:rPr>
          <w:rFonts w:asciiTheme="minorHAnsi" w:hAnsiTheme="minorHAnsi" w:cstheme="minorHAnsi"/>
        </w:rPr>
        <w:t>XIII.8</w:t>
      </w:r>
      <w:r w:rsidR="00E95E5D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E4161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E4161" w:rsidRPr="00547DFE">
        <w:rPr>
          <w:rFonts w:asciiTheme="minorHAnsi" w:hAnsiTheme="minorHAnsi" w:cstheme="minorHAnsi"/>
          <w:i/>
        </w:rPr>
        <w:t>Future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0E4161" w:rsidRPr="00547DFE">
        <w:rPr>
          <w:rFonts w:asciiTheme="minorHAnsi" w:hAnsiTheme="minorHAnsi" w:cstheme="minorHAnsi"/>
          <w:i/>
        </w:rPr>
        <w:t>implementation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0E4161" w:rsidRPr="00547DFE">
        <w:rPr>
          <w:rFonts w:asciiTheme="minorHAnsi" w:hAnsiTheme="minorHAnsi" w:cstheme="minorHAnsi"/>
          <w:i/>
        </w:rPr>
        <w:t>of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0E4161" w:rsidRPr="00547DFE">
        <w:rPr>
          <w:rFonts w:asciiTheme="minorHAnsi" w:hAnsiTheme="minorHAnsi" w:cstheme="minorHAnsi"/>
          <w:i/>
        </w:rPr>
        <w:t>scientific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0E4161" w:rsidRPr="00547DFE">
        <w:rPr>
          <w:rFonts w:asciiTheme="minorHAnsi" w:hAnsiTheme="minorHAnsi" w:cstheme="minorHAnsi"/>
          <w:i/>
        </w:rPr>
        <w:t>and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0E4161" w:rsidRPr="00547DFE">
        <w:rPr>
          <w:rFonts w:asciiTheme="minorHAnsi" w:hAnsiTheme="minorHAnsi" w:cstheme="minorHAnsi"/>
          <w:i/>
        </w:rPr>
        <w:t>technical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0E4161" w:rsidRPr="00547DFE">
        <w:rPr>
          <w:rFonts w:asciiTheme="minorHAnsi" w:hAnsiTheme="minorHAnsi" w:cstheme="minorHAnsi"/>
          <w:i/>
        </w:rPr>
        <w:t>aspects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0E4161" w:rsidRPr="00547DFE">
        <w:rPr>
          <w:rFonts w:asciiTheme="minorHAnsi" w:hAnsiTheme="minorHAnsi" w:cstheme="minorHAnsi"/>
          <w:i/>
        </w:rPr>
        <w:t>of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0E4161" w:rsidRPr="00547DFE">
        <w:rPr>
          <w:rFonts w:asciiTheme="minorHAnsi" w:hAnsiTheme="minorHAnsi" w:cstheme="minorHAnsi"/>
          <w:i/>
        </w:rPr>
        <w:t>the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0E4161" w:rsidRPr="00547DFE">
        <w:rPr>
          <w:rFonts w:asciiTheme="minorHAnsi" w:hAnsiTheme="minorHAnsi" w:cstheme="minorHAnsi"/>
          <w:i/>
        </w:rPr>
        <w:t>Convention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0E4161" w:rsidRPr="00547DFE">
        <w:rPr>
          <w:rFonts w:asciiTheme="minorHAnsi" w:hAnsiTheme="minorHAnsi" w:cstheme="minorHAnsi"/>
          <w:i/>
        </w:rPr>
        <w:t>for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0E4161" w:rsidRPr="00547DFE">
        <w:rPr>
          <w:rFonts w:asciiTheme="minorHAnsi" w:hAnsiTheme="minorHAnsi" w:cstheme="minorHAnsi"/>
          <w:i/>
        </w:rPr>
        <w:t>2019-2021</w:t>
      </w:r>
      <w:r w:rsidR="00E95E5D" w:rsidRPr="00547DFE">
        <w:rPr>
          <w:rFonts w:asciiTheme="minorHAnsi" w:hAnsiTheme="minorHAnsi" w:cstheme="minorHAnsi"/>
          <w:i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872C8" w:rsidRPr="00547DFE">
        <w:rPr>
          <w:rFonts w:asciiTheme="minorHAnsi" w:hAnsiTheme="minorHAnsi" w:cstheme="minorHAnsi"/>
        </w:rPr>
        <w:t>calls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developing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thematic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requests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Intergovernmental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Platform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Biodiversity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Ecosystem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Services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(IPBES)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future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programmes.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line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procedure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set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forth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Guidelines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A2871">
        <w:rPr>
          <w:rFonts w:asciiTheme="minorHAnsi" w:hAnsiTheme="minorHAnsi" w:cstheme="minorHAnsi"/>
        </w:rPr>
        <w:t>at Annex 4 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D458A" w:rsidRPr="00547DFE">
        <w:rPr>
          <w:rFonts w:asciiTheme="minorHAnsi" w:hAnsiTheme="minorHAnsi" w:cstheme="minorHAnsi"/>
        </w:rPr>
        <w:t>Resolution</w:t>
      </w:r>
      <w:r w:rsidR="000A2871">
        <w:rPr>
          <w:rFonts w:asciiTheme="minorHAnsi" w:hAnsiTheme="minorHAnsi" w:cstheme="minorHAnsi"/>
        </w:rPr>
        <w:t xml:space="preserve"> XIII.8</w:t>
      </w:r>
      <w:r w:rsidR="00D41C3F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issued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call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proposals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Parties,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International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Organization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Partners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872C8" w:rsidRPr="00547DFE">
        <w:rPr>
          <w:rFonts w:asciiTheme="minorHAnsi" w:hAnsiTheme="minorHAnsi" w:cstheme="minorHAnsi"/>
        </w:rPr>
        <w:t>(IOPs)</w:t>
      </w:r>
      <w:r w:rsidR="00D41C3F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Regional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Initiatives,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STRP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4018" w:rsidRPr="00547DFE">
        <w:rPr>
          <w:rFonts w:asciiTheme="minorHAnsi" w:hAnsiTheme="minorHAnsi" w:cstheme="minorHAnsi"/>
        </w:rPr>
        <w:t xml:space="preserve">multilateral environmental agreements </w:t>
      </w:r>
      <w:r w:rsidR="00D41C3F" w:rsidRPr="00547DFE">
        <w:rPr>
          <w:rFonts w:asciiTheme="minorHAnsi" w:hAnsiTheme="minorHAnsi" w:cstheme="minorHAnsi"/>
        </w:rPr>
        <w:t>(MEAs)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9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November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2018.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received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three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pr</w:t>
      </w:r>
      <w:r w:rsidR="009D022E" w:rsidRPr="00547DFE">
        <w:rPr>
          <w:rFonts w:asciiTheme="minorHAnsi" w:hAnsiTheme="minorHAnsi" w:cstheme="minorHAnsi"/>
        </w:rPr>
        <w:t>oposals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response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call.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01473" w:rsidRPr="00547DFE">
        <w:rPr>
          <w:rFonts w:asciiTheme="minorHAnsi" w:hAnsiTheme="minorHAnsi" w:cstheme="minorHAnsi"/>
        </w:rPr>
        <w:t>It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forwarded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proposals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</w:t>
      </w:r>
      <w:r w:rsidR="009D022E" w:rsidRPr="00547DFE">
        <w:rPr>
          <w:rFonts w:asciiTheme="minorHAnsi" w:hAnsiTheme="minorHAnsi" w:cstheme="minorHAnsi"/>
        </w:rPr>
        <w:t>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STRP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review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comment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01473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01473" w:rsidRPr="00547DFE">
        <w:rPr>
          <w:rFonts w:asciiTheme="minorHAnsi" w:hAnsiTheme="minorHAnsi" w:cstheme="minorHAnsi"/>
        </w:rPr>
        <w:t>accordance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01473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600F2" w:rsidRPr="00547DFE">
        <w:rPr>
          <w:rFonts w:asciiTheme="minorHAnsi" w:hAnsiTheme="minorHAnsi" w:cstheme="minorHAnsi"/>
        </w:rPr>
        <w:t>G</w:t>
      </w:r>
      <w:r w:rsidR="009D022E" w:rsidRPr="00547DFE">
        <w:rPr>
          <w:rFonts w:asciiTheme="minorHAnsi" w:hAnsiTheme="minorHAnsi" w:cstheme="minorHAnsi"/>
        </w:rPr>
        <w:t>uidelines.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STRP’s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feedback</w:t>
      </w:r>
      <w:r w:rsidR="00EA393A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along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proposals</w:t>
      </w:r>
      <w:r w:rsidR="00EA393A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4018">
        <w:rPr>
          <w:rFonts w:asciiTheme="minorHAnsi" w:hAnsiTheme="minorHAnsi" w:cstheme="minorHAnsi"/>
        </w:rPr>
        <w:t>was</w:t>
      </w:r>
      <w:r w:rsidR="00FE4018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sent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Standing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Committee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their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co</w:t>
      </w:r>
      <w:r w:rsidR="009D022E" w:rsidRPr="00547DFE">
        <w:rPr>
          <w:rFonts w:asciiTheme="minorHAnsi" w:hAnsiTheme="minorHAnsi" w:cstheme="minorHAnsi"/>
        </w:rPr>
        <w:t>nsideration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endorsement.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proposal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  <w:i/>
        </w:rPr>
        <w:t>Thematic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D022E" w:rsidRPr="00547DFE">
        <w:rPr>
          <w:rFonts w:asciiTheme="minorHAnsi" w:hAnsiTheme="minorHAnsi" w:cstheme="minorHAnsi"/>
          <w:i/>
        </w:rPr>
        <w:t>Assessment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D022E" w:rsidRPr="00547DFE">
        <w:rPr>
          <w:rFonts w:asciiTheme="minorHAnsi" w:hAnsiTheme="minorHAnsi" w:cstheme="minorHAnsi"/>
          <w:i/>
        </w:rPr>
        <w:t>on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D022E" w:rsidRPr="00547DFE">
        <w:rPr>
          <w:rFonts w:asciiTheme="minorHAnsi" w:hAnsiTheme="minorHAnsi" w:cstheme="minorHAnsi"/>
          <w:i/>
        </w:rPr>
        <w:t>P</w:t>
      </w:r>
      <w:r w:rsidR="00D41C3F" w:rsidRPr="00547DFE">
        <w:rPr>
          <w:rFonts w:asciiTheme="minorHAnsi" w:hAnsiTheme="minorHAnsi" w:cstheme="minorHAnsi"/>
          <w:i/>
        </w:rPr>
        <w:t>eatlands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endorsed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Standing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Committee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s</w:t>
      </w:r>
      <w:r w:rsidR="009D022E" w:rsidRPr="00547DFE">
        <w:rPr>
          <w:rFonts w:asciiTheme="minorHAnsi" w:hAnsiTheme="minorHAnsi" w:cstheme="minorHAnsi"/>
        </w:rPr>
        <w:t>ubmitted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proposal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IPBES.</w:t>
      </w:r>
    </w:p>
    <w:p w14:paraId="2092BD16" w14:textId="77777777" w:rsidR="009D022E" w:rsidRPr="00547DFE" w:rsidRDefault="009D022E" w:rsidP="00B072AC">
      <w:pPr>
        <w:rPr>
          <w:rFonts w:asciiTheme="minorHAnsi" w:hAnsiTheme="minorHAnsi" w:cstheme="minorHAnsi"/>
        </w:rPr>
      </w:pPr>
    </w:p>
    <w:p w14:paraId="386CAF96" w14:textId="69045E8B" w:rsidR="00E90337" w:rsidRPr="00547DFE" w:rsidRDefault="006B459F" w:rsidP="00B072AC">
      <w:p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1</w:t>
      </w:r>
      <w:r w:rsidR="002022B4">
        <w:rPr>
          <w:rFonts w:asciiTheme="minorHAnsi" w:hAnsiTheme="minorHAnsi" w:cstheme="minorHAnsi"/>
        </w:rPr>
        <w:t>7</w:t>
      </w:r>
      <w:r w:rsidR="009437C6" w:rsidRPr="00547DFE">
        <w:rPr>
          <w:rFonts w:asciiTheme="minorHAnsi" w:hAnsiTheme="minorHAnsi" w:cstheme="minorHAnsi"/>
        </w:rPr>
        <w:t>.</w:t>
      </w:r>
      <w:r w:rsidR="009437C6" w:rsidRPr="00547DFE">
        <w:rPr>
          <w:rFonts w:asciiTheme="minorHAnsi" w:hAnsiTheme="minorHAnsi" w:cstheme="minorHAnsi"/>
        </w:rPr>
        <w:tab/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continues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participate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actively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Biodiversity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Liaison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Group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(BLG),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particular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through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Deputy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Secretary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General’s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attendance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13th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67E70" w:rsidRPr="00547DFE">
        <w:rPr>
          <w:rFonts w:asciiTheme="minorHAnsi" w:hAnsiTheme="minorHAnsi" w:cstheme="minorHAnsi"/>
        </w:rPr>
        <w:t>o</w:t>
      </w:r>
      <w:r w:rsidR="00432B12" w:rsidRPr="00547DFE">
        <w:rPr>
          <w:rFonts w:asciiTheme="minorHAnsi" w:hAnsiTheme="minorHAnsi" w:cstheme="minorHAnsi"/>
        </w:rPr>
        <w:t>rdinary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67E70" w:rsidRPr="00547DFE">
        <w:rPr>
          <w:rFonts w:asciiTheme="minorHAnsi" w:hAnsiTheme="minorHAnsi" w:cstheme="minorHAnsi"/>
        </w:rPr>
        <w:t>m</w:t>
      </w:r>
      <w:r w:rsidR="00432B12" w:rsidRPr="00547DFE">
        <w:rPr>
          <w:rFonts w:asciiTheme="minorHAnsi" w:hAnsiTheme="minorHAnsi" w:cstheme="minorHAnsi"/>
        </w:rPr>
        <w:t>eeting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BLG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(18-19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September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2018),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which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major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focus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engagement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p</w:t>
      </w:r>
      <w:r w:rsidR="00432B12" w:rsidRPr="00547DFE">
        <w:rPr>
          <w:rFonts w:asciiTheme="minorHAnsi" w:hAnsiTheme="minorHAnsi" w:cstheme="minorHAnsi"/>
          <w:bCs/>
        </w:rPr>
        <w:t>rocess</w:t>
      </w:r>
      <w:r w:rsidR="00E80EDB" w:rsidRPr="00547DFE">
        <w:rPr>
          <w:rFonts w:asciiTheme="minorHAnsi" w:hAnsiTheme="minorHAnsi" w:cstheme="minorHAnsi"/>
          <w:b/>
          <w:bCs/>
        </w:rPr>
        <w:t xml:space="preserve"> </w:t>
      </w:r>
      <w:r w:rsidR="00432B12" w:rsidRPr="00547DFE">
        <w:rPr>
          <w:rFonts w:asciiTheme="minorHAnsi" w:hAnsiTheme="minorHAnsi" w:cstheme="minorHAnsi"/>
          <w:bCs/>
        </w:rPr>
        <w:t>for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432B12" w:rsidRPr="00547DFE">
        <w:rPr>
          <w:rFonts w:asciiTheme="minorHAnsi" w:hAnsiTheme="minorHAnsi" w:cstheme="minorHAnsi"/>
          <w:bCs/>
        </w:rPr>
        <w:t>the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432B12" w:rsidRPr="00547DFE">
        <w:rPr>
          <w:rFonts w:asciiTheme="minorHAnsi" w:hAnsiTheme="minorHAnsi" w:cstheme="minorHAnsi"/>
          <w:bCs/>
        </w:rPr>
        <w:t>development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432B12" w:rsidRPr="00547DFE">
        <w:rPr>
          <w:rFonts w:asciiTheme="minorHAnsi" w:hAnsiTheme="minorHAnsi" w:cstheme="minorHAnsi"/>
          <w:bCs/>
        </w:rPr>
        <w:t>of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432B12" w:rsidRPr="00547DFE">
        <w:rPr>
          <w:rFonts w:asciiTheme="minorHAnsi" w:hAnsiTheme="minorHAnsi" w:cstheme="minorHAnsi"/>
          <w:bCs/>
        </w:rPr>
        <w:t>the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FE4018" w:rsidRPr="00547DFE">
        <w:rPr>
          <w:rFonts w:asciiTheme="minorHAnsi" w:hAnsiTheme="minorHAnsi" w:cstheme="minorHAnsi"/>
          <w:bCs/>
        </w:rPr>
        <w:t>Post</w:t>
      </w:r>
      <w:r w:rsidR="00432B12" w:rsidRPr="00547DFE">
        <w:rPr>
          <w:rFonts w:asciiTheme="minorHAnsi" w:hAnsiTheme="minorHAnsi" w:cstheme="minorHAnsi"/>
          <w:bCs/>
        </w:rPr>
        <w:t>-2020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FE4018" w:rsidRPr="00547DFE">
        <w:rPr>
          <w:rFonts w:asciiTheme="minorHAnsi" w:hAnsiTheme="minorHAnsi" w:cstheme="minorHAnsi"/>
          <w:bCs/>
        </w:rPr>
        <w:t>Global Biodiversity Framework</w:t>
      </w:r>
      <w:r w:rsidR="00432B12" w:rsidRPr="00547DFE">
        <w:rPr>
          <w:rFonts w:asciiTheme="minorHAnsi" w:hAnsiTheme="minorHAnsi" w:cstheme="minorHAnsi"/>
          <w:bCs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3C98E8FB" w14:textId="77777777" w:rsidR="00432B12" w:rsidRPr="00547DFE" w:rsidRDefault="00432B12" w:rsidP="00B072AC">
      <w:pPr>
        <w:rPr>
          <w:rFonts w:asciiTheme="minorHAnsi" w:hAnsiTheme="minorHAnsi" w:cstheme="minorHAnsi"/>
        </w:rPr>
      </w:pPr>
    </w:p>
    <w:p w14:paraId="512EB6B4" w14:textId="4B8FE840" w:rsidR="00D41C3F" w:rsidRPr="00547DFE" w:rsidRDefault="006B459F" w:rsidP="00B072AC">
      <w:pPr>
        <w:widowControl w:val="0"/>
        <w:tabs>
          <w:tab w:val="left" w:pos="69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1</w:t>
      </w:r>
      <w:r w:rsidR="002022B4">
        <w:rPr>
          <w:rFonts w:asciiTheme="minorHAnsi" w:hAnsiTheme="minorHAnsi" w:cstheme="minorHAnsi"/>
        </w:rPr>
        <w:t>8</w:t>
      </w:r>
      <w:r w:rsidR="00E90337" w:rsidRPr="00547DFE">
        <w:rPr>
          <w:rFonts w:asciiTheme="minorHAnsi" w:hAnsiTheme="minorHAnsi" w:cstheme="minorHAnsi"/>
        </w:rPr>
        <w:t>.</w:t>
      </w:r>
      <w:r w:rsidR="00E90337" w:rsidRPr="00547DFE">
        <w:rPr>
          <w:rFonts w:asciiTheme="minorHAnsi" w:hAnsiTheme="minorHAnsi" w:cstheme="minorHAnsi"/>
        </w:rPr>
        <w:tab/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CA5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CA5" w:rsidRPr="00547DFE">
        <w:rPr>
          <w:rFonts w:asciiTheme="minorHAnsi" w:hAnsiTheme="minorHAnsi" w:cstheme="minorHAnsi"/>
        </w:rPr>
        <w:t>renewed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CA5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Memorandum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Cooperation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C0A5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C0A55" w:rsidRPr="00547DFE">
        <w:rPr>
          <w:rFonts w:asciiTheme="minorHAnsi" w:hAnsiTheme="minorHAnsi" w:cstheme="minorHAnsi"/>
        </w:rPr>
        <w:t>United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C0A55" w:rsidRPr="00547DFE">
        <w:rPr>
          <w:rFonts w:asciiTheme="minorHAnsi" w:hAnsiTheme="minorHAnsi" w:cstheme="minorHAnsi"/>
        </w:rPr>
        <w:t>Nations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C0A55" w:rsidRPr="00547DFE">
        <w:rPr>
          <w:rFonts w:asciiTheme="minorHAnsi" w:hAnsiTheme="minorHAnsi" w:cstheme="minorHAnsi"/>
        </w:rPr>
        <w:t>Environment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C0A55" w:rsidRPr="00547DFE">
        <w:rPr>
          <w:rFonts w:asciiTheme="minorHAnsi" w:hAnsiTheme="minorHAnsi" w:cstheme="minorHAnsi"/>
        </w:rPr>
        <w:t>Programme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C0A55" w:rsidRPr="00547DFE">
        <w:rPr>
          <w:rFonts w:asciiTheme="minorHAnsi" w:hAnsiTheme="minorHAnsi" w:cstheme="minorHAnsi"/>
        </w:rPr>
        <w:t>(</w:t>
      </w:r>
      <w:r w:rsidR="009D022E" w:rsidRPr="00547DFE">
        <w:rPr>
          <w:rFonts w:asciiTheme="minorHAnsi" w:hAnsiTheme="minorHAnsi" w:cstheme="minorHAnsi"/>
        </w:rPr>
        <w:t>UNEP</w:t>
      </w:r>
      <w:r w:rsidR="000C0A55" w:rsidRPr="00547DFE">
        <w:rPr>
          <w:rFonts w:asciiTheme="minorHAnsi" w:hAnsiTheme="minorHAnsi" w:cstheme="minorHAnsi"/>
        </w:rPr>
        <w:t>)</w:t>
      </w:r>
      <w:r w:rsidR="009D022E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Memorandum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reaffirms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formalizes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ongoing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partnership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between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UNEP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regarding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531A4" w:rsidRPr="00547DFE">
        <w:rPr>
          <w:rFonts w:asciiTheme="minorHAnsi" w:hAnsiTheme="minorHAnsi" w:cstheme="minorHAnsi"/>
        </w:rPr>
        <w:t>specified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activities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relating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conservation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wise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use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1C3F" w:rsidRPr="00547DFE">
        <w:rPr>
          <w:rFonts w:asciiTheme="minorHAnsi" w:hAnsiTheme="minorHAnsi" w:cstheme="minorHAnsi"/>
        </w:rPr>
        <w:t>wetlands.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08240936" w14:textId="77777777" w:rsidR="00E90337" w:rsidRPr="00547DFE" w:rsidRDefault="00E90337" w:rsidP="00B072AC">
      <w:pPr>
        <w:ind w:left="0" w:firstLine="0"/>
        <w:rPr>
          <w:rFonts w:asciiTheme="minorHAnsi" w:hAnsiTheme="minorHAnsi" w:cstheme="minorHAnsi"/>
        </w:rPr>
      </w:pPr>
    </w:p>
    <w:p w14:paraId="69820CB8" w14:textId="3C98E6DF" w:rsidR="0064447C" w:rsidRPr="00547DFE" w:rsidRDefault="002022B4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E90337" w:rsidRPr="00547DFE">
        <w:rPr>
          <w:rFonts w:asciiTheme="minorHAnsi" w:hAnsiTheme="minorHAnsi" w:cstheme="minorHAnsi"/>
        </w:rPr>
        <w:t>.</w:t>
      </w:r>
      <w:r w:rsidR="00E90337" w:rsidRPr="00547DFE">
        <w:rPr>
          <w:rFonts w:asciiTheme="minorHAnsi" w:hAnsiTheme="minorHAnsi" w:cstheme="minorHAnsi"/>
        </w:rPr>
        <w:tab/>
        <w:t>Given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critical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role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played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climate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change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mitigation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adaptation,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engaged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437C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climate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change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policy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agenda.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particular,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32B1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participated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COP24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78F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78F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78F7" w:rsidRPr="00547DFE">
        <w:rPr>
          <w:rFonts w:asciiTheme="minorHAnsi" w:hAnsiTheme="minorHAnsi" w:cstheme="minorHAnsi"/>
        </w:rPr>
        <w:t>United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78F7" w:rsidRPr="00547DFE">
        <w:rPr>
          <w:rFonts w:asciiTheme="minorHAnsi" w:hAnsiTheme="minorHAnsi" w:cstheme="minorHAnsi"/>
        </w:rPr>
        <w:t>Nations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78F7" w:rsidRPr="00547DFE">
        <w:rPr>
          <w:rFonts w:asciiTheme="minorHAnsi" w:hAnsiTheme="minorHAnsi" w:cstheme="minorHAnsi"/>
        </w:rPr>
        <w:t>Framework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78F7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78F7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78F7" w:rsidRPr="00547DFE">
        <w:rPr>
          <w:rFonts w:asciiTheme="minorHAnsi" w:hAnsiTheme="minorHAnsi" w:cstheme="minorHAnsi"/>
        </w:rPr>
        <w:t>Climate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78F7" w:rsidRPr="00547DFE">
        <w:rPr>
          <w:rFonts w:asciiTheme="minorHAnsi" w:hAnsiTheme="minorHAnsi" w:cstheme="minorHAnsi"/>
        </w:rPr>
        <w:t>Change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78F7" w:rsidRPr="00547DFE">
        <w:rPr>
          <w:rFonts w:asciiTheme="minorHAnsi" w:hAnsiTheme="minorHAnsi" w:cstheme="minorHAnsi"/>
        </w:rPr>
        <w:t>(UNFCCC),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78F7" w:rsidRPr="00547DFE">
        <w:rPr>
          <w:rFonts w:asciiTheme="minorHAnsi" w:hAnsiTheme="minorHAnsi" w:cstheme="minorHAnsi"/>
        </w:rPr>
        <w:t>held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78F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Katowice,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22E" w:rsidRPr="00547DFE">
        <w:rPr>
          <w:rFonts w:asciiTheme="minorHAnsi" w:hAnsiTheme="minorHAnsi" w:cstheme="minorHAnsi"/>
        </w:rPr>
        <w:t>Poland</w:t>
      </w:r>
      <w:r w:rsidR="009D78F7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78F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78F7" w:rsidRPr="00547DFE">
        <w:rPr>
          <w:rFonts w:asciiTheme="minorHAnsi" w:hAnsiTheme="minorHAnsi" w:cstheme="minorHAnsi"/>
        </w:rPr>
        <w:t>December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78F7" w:rsidRPr="00547DFE">
        <w:rPr>
          <w:rFonts w:asciiTheme="minorHAnsi" w:hAnsiTheme="minorHAnsi" w:cstheme="minorHAnsi"/>
        </w:rPr>
        <w:t>2018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66043" w:rsidRPr="00547DFE">
        <w:rPr>
          <w:rFonts w:asciiTheme="minorHAnsi" w:hAnsiTheme="minorHAnsi" w:cstheme="minorHAnsi"/>
        </w:rPr>
        <w:t>including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66043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F4097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66043" w:rsidRPr="00547DFE">
        <w:rPr>
          <w:rFonts w:asciiTheme="minorHAnsi" w:hAnsiTheme="minorHAnsi" w:cstheme="minorHAnsi"/>
        </w:rPr>
        <w:t>panellist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66043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6604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66043" w:rsidRPr="00547DFE">
        <w:rPr>
          <w:rFonts w:asciiTheme="minorHAnsi" w:hAnsiTheme="minorHAnsi" w:cstheme="minorHAnsi"/>
        </w:rPr>
        <w:t>following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66043" w:rsidRPr="00547DFE">
        <w:rPr>
          <w:rFonts w:asciiTheme="minorHAnsi" w:hAnsiTheme="minorHAnsi" w:cstheme="minorHAnsi"/>
        </w:rPr>
        <w:t>events:</w:t>
      </w:r>
    </w:p>
    <w:p w14:paraId="4A5C4AA3" w14:textId="77777777" w:rsidR="0064447C" w:rsidRPr="00547DFE" w:rsidRDefault="0064447C" w:rsidP="00B072AC">
      <w:pPr>
        <w:rPr>
          <w:rFonts w:asciiTheme="minorHAnsi" w:hAnsiTheme="minorHAnsi" w:cstheme="minorHAnsi"/>
        </w:rPr>
      </w:pPr>
    </w:p>
    <w:p w14:paraId="51A832F2" w14:textId="73801494" w:rsidR="0064447C" w:rsidRDefault="0064447C" w:rsidP="00F26B22">
      <w:pPr>
        <w:pStyle w:val="ListParagraph"/>
        <w:numPr>
          <w:ilvl w:val="0"/>
          <w:numId w:val="35"/>
        </w:numPr>
        <w:ind w:left="850" w:hanging="425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“Protecting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Tropical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Peatlands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Together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–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Triple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win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130C" w:rsidRPr="00547DFE">
        <w:rPr>
          <w:rFonts w:asciiTheme="minorHAnsi" w:hAnsiTheme="minorHAnsi" w:cstheme="minorHAnsi"/>
        </w:rPr>
        <w:t>Climate,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130C" w:rsidRPr="00547DFE">
        <w:rPr>
          <w:rFonts w:asciiTheme="minorHAnsi" w:hAnsiTheme="minorHAnsi" w:cstheme="minorHAnsi"/>
        </w:rPr>
        <w:t>People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130C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130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130C" w:rsidRPr="00547DFE">
        <w:rPr>
          <w:rFonts w:asciiTheme="minorHAnsi" w:hAnsiTheme="minorHAnsi" w:cstheme="minorHAnsi"/>
        </w:rPr>
        <w:t>Planet”</w:t>
      </w:r>
      <w:r w:rsidR="00FE4018">
        <w:rPr>
          <w:rFonts w:asciiTheme="minorHAnsi" w:hAnsiTheme="minorHAnsi" w:cstheme="minorHAnsi"/>
        </w:rPr>
        <w:t>: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4018">
        <w:rPr>
          <w:rFonts w:asciiTheme="minorHAnsi" w:hAnsiTheme="minorHAnsi" w:cstheme="minorHAnsi"/>
        </w:rPr>
        <w:t>t</w:t>
      </w:r>
      <w:r w:rsidR="00FE4018" w:rsidRPr="00547DFE">
        <w:rPr>
          <w:rFonts w:asciiTheme="minorHAnsi" w:hAnsiTheme="minorHAnsi" w:cstheme="minorHAnsi"/>
        </w:rPr>
        <w:t xml:space="preserve">he </w:t>
      </w:r>
      <w:r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other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partners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A68FD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A68FD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A68FD" w:rsidRPr="00547DFE">
        <w:rPr>
          <w:rFonts w:asciiTheme="minorHAnsi" w:hAnsiTheme="minorHAnsi" w:cstheme="minorHAnsi"/>
        </w:rPr>
        <w:t>Global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A68FD" w:rsidRPr="00547DFE">
        <w:rPr>
          <w:rFonts w:asciiTheme="minorHAnsi" w:hAnsiTheme="minorHAnsi" w:cstheme="minorHAnsi"/>
        </w:rPr>
        <w:t>Peatlands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A68FD" w:rsidRPr="00547DFE">
        <w:rPr>
          <w:rFonts w:asciiTheme="minorHAnsi" w:hAnsiTheme="minorHAnsi" w:cstheme="minorHAnsi"/>
        </w:rPr>
        <w:t>Initiative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highlighted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importance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peatlands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key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often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overlooked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ecosystem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climate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change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mitigation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adaptation,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biodiversity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conservation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ecosystem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services</w:t>
      </w:r>
      <w:r w:rsidR="002E3528" w:rsidRPr="00547DFE">
        <w:rPr>
          <w:rFonts w:asciiTheme="minorHAnsi" w:hAnsiTheme="minorHAnsi" w:cstheme="minorHAnsi"/>
        </w:rPr>
        <w:t>;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E352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5BDC26BD" w14:textId="77777777" w:rsidR="00FE4018" w:rsidRPr="00FE4018" w:rsidRDefault="00FE4018" w:rsidP="00F26B22">
      <w:pPr>
        <w:ind w:left="850"/>
        <w:rPr>
          <w:rFonts w:asciiTheme="minorHAnsi" w:hAnsiTheme="minorHAnsi" w:cstheme="minorHAnsi"/>
        </w:rPr>
      </w:pPr>
    </w:p>
    <w:p w14:paraId="3CB73EB0" w14:textId="62CBDF66" w:rsidR="0064447C" w:rsidRPr="00547DFE" w:rsidRDefault="004F4097" w:rsidP="00F26B22">
      <w:pPr>
        <w:pStyle w:val="ListParagraph"/>
        <w:numPr>
          <w:ilvl w:val="0"/>
          <w:numId w:val="35"/>
        </w:numPr>
        <w:ind w:left="850" w:hanging="425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lastRenderedPageBreak/>
        <w:t>I</w:t>
      </w:r>
      <w:r w:rsidR="0064447C" w:rsidRPr="00547DFE">
        <w:rPr>
          <w:rFonts w:asciiTheme="minorHAnsi" w:hAnsiTheme="minorHAnsi" w:cstheme="minorHAnsi"/>
        </w:rPr>
        <w:t>nnovative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climate-smart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management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South-South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cooperation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global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scale</w:t>
      </w:r>
      <w:r w:rsidR="00A21438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143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1438" w:rsidRPr="00547DFE">
        <w:rPr>
          <w:rFonts w:asciiTheme="minorHAnsi" w:hAnsiTheme="minorHAnsi" w:cstheme="minorHAnsi"/>
        </w:rPr>
        <w:t>panel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1438" w:rsidRPr="00547DFE">
        <w:rPr>
          <w:rFonts w:asciiTheme="minorHAnsi" w:hAnsiTheme="minorHAnsi" w:cstheme="minorHAnsi"/>
        </w:rPr>
        <w:t>shared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D5D1C" w:rsidRPr="00547DFE">
        <w:rPr>
          <w:rFonts w:asciiTheme="minorHAnsi" w:hAnsiTheme="minorHAnsi" w:cstheme="minorHAnsi"/>
        </w:rPr>
        <w:t>experience</w:t>
      </w:r>
      <w:r w:rsidR="009F3D2F">
        <w:rPr>
          <w:rFonts w:asciiTheme="minorHAnsi" w:hAnsiTheme="minorHAnsi" w:cstheme="minorHAnsi"/>
        </w:rPr>
        <w:t>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D5D1C" w:rsidRPr="00547DFE">
        <w:rPr>
          <w:rFonts w:asciiTheme="minorHAnsi" w:hAnsiTheme="minorHAnsi" w:cstheme="minorHAnsi"/>
        </w:rPr>
        <w:t>regarding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progress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37965" w:rsidRPr="00547DFE">
        <w:rPr>
          <w:rFonts w:asciiTheme="minorHAnsi" w:hAnsiTheme="minorHAnsi" w:cstheme="minorHAnsi"/>
        </w:rPr>
        <w:t>collaborative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37965" w:rsidRPr="00547DFE">
        <w:rPr>
          <w:rFonts w:asciiTheme="minorHAnsi" w:hAnsiTheme="minorHAnsi" w:cstheme="minorHAnsi"/>
        </w:rPr>
        <w:t>efforts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37965" w:rsidRPr="00547DFE">
        <w:rPr>
          <w:rFonts w:asciiTheme="minorHAnsi" w:hAnsiTheme="minorHAnsi" w:cstheme="minorHAnsi"/>
        </w:rPr>
        <w:t>across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37965" w:rsidRPr="00547DFE">
        <w:rPr>
          <w:rFonts w:asciiTheme="minorHAnsi" w:hAnsiTheme="minorHAnsi" w:cstheme="minorHAnsi"/>
        </w:rPr>
        <w:t>sectors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tackle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challenge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peatland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protection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restoration.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006C53A5" w14:textId="05EB3DA8" w:rsidR="0064447C" w:rsidRPr="00547DFE" w:rsidRDefault="0064447C" w:rsidP="00B072AC">
      <w:pPr>
        <w:ind w:left="0" w:firstLine="0"/>
        <w:rPr>
          <w:rFonts w:asciiTheme="minorHAnsi" w:hAnsiTheme="minorHAnsi" w:cstheme="minorHAnsi"/>
        </w:rPr>
      </w:pPr>
    </w:p>
    <w:p w14:paraId="56D181D5" w14:textId="13A273C5" w:rsidR="0064447C" w:rsidRPr="00547DFE" w:rsidRDefault="009A68FD" w:rsidP="00B072AC">
      <w:pPr>
        <w:ind w:firstLine="0"/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identifying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opportunities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further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engagement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prior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2504A" w:rsidRPr="00547DFE">
        <w:rPr>
          <w:rFonts w:asciiTheme="minorHAnsi" w:hAnsiTheme="minorHAnsi" w:cstheme="minorHAnsi"/>
        </w:rPr>
        <w:t>UNFCCC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B515A" w:rsidRPr="00547DFE">
        <w:rPr>
          <w:rFonts w:asciiTheme="minorHAnsi" w:hAnsiTheme="minorHAnsi" w:cstheme="minorHAnsi"/>
        </w:rPr>
        <w:t>COP25</w:t>
      </w:r>
      <w:r w:rsidR="00D2504A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B515A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B515A" w:rsidRPr="00547DFE">
        <w:rPr>
          <w:rFonts w:asciiTheme="minorHAnsi" w:hAnsiTheme="minorHAnsi" w:cstheme="minorHAnsi"/>
        </w:rPr>
        <w:t>Chile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2504A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2504A" w:rsidRPr="00547DFE">
        <w:rPr>
          <w:rFonts w:asciiTheme="minorHAnsi" w:hAnsiTheme="minorHAnsi" w:cstheme="minorHAnsi"/>
        </w:rPr>
        <w:t>2020,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4447C" w:rsidRPr="00547DFE">
        <w:rPr>
          <w:rFonts w:asciiTheme="minorHAnsi" w:hAnsiTheme="minorHAnsi" w:cstheme="minorHAnsi"/>
        </w:rPr>
        <w:t>t</w:t>
      </w:r>
      <w:r w:rsidR="0054130C" w:rsidRPr="00547DFE">
        <w:rPr>
          <w:rFonts w:asciiTheme="minorHAnsi" w:hAnsiTheme="minorHAnsi" w:cstheme="minorHAnsi"/>
        </w:rPr>
        <w:t>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2504A" w:rsidRPr="00547DFE">
        <w:rPr>
          <w:rFonts w:asciiTheme="minorHAnsi" w:hAnsiTheme="minorHAnsi" w:cstheme="minorHAnsi"/>
        </w:rPr>
        <w:t>basis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2504A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COP13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resolutions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related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climate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</w:rPr>
        <w:t>change.</w:t>
      </w:r>
    </w:p>
    <w:p w14:paraId="3E6EBE9E" w14:textId="77777777" w:rsidR="0064447C" w:rsidRPr="00547DFE" w:rsidRDefault="0064447C" w:rsidP="00B072AC">
      <w:pPr>
        <w:rPr>
          <w:rFonts w:asciiTheme="minorHAnsi" w:hAnsiTheme="minorHAnsi" w:cstheme="minorHAnsi"/>
        </w:rPr>
      </w:pPr>
    </w:p>
    <w:p w14:paraId="39938A77" w14:textId="4CF0609D" w:rsidR="00B94492" w:rsidRPr="00547DFE" w:rsidRDefault="006B459F" w:rsidP="00B072AC">
      <w:p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2</w:t>
      </w:r>
      <w:r w:rsidR="002022B4">
        <w:rPr>
          <w:rFonts w:asciiTheme="minorHAnsi" w:hAnsiTheme="minorHAnsi" w:cstheme="minorHAnsi"/>
        </w:rPr>
        <w:t>0</w:t>
      </w:r>
      <w:r w:rsidR="00E90337" w:rsidRPr="00547DFE">
        <w:rPr>
          <w:rFonts w:asciiTheme="minorHAnsi" w:hAnsiTheme="minorHAnsi" w:cstheme="minorHAnsi"/>
        </w:rPr>
        <w:t>.</w:t>
      </w:r>
      <w:r w:rsidR="00E90337" w:rsidRPr="00547DFE">
        <w:rPr>
          <w:rFonts w:asciiTheme="minorHAnsi" w:hAnsiTheme="minorHAnsi" w:cstheme="minorHAnsi"/>
        </w:rPr>
        <w:tab/>
      </w:r>
      <w:r w:rsidR="00B9449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Secretar</w:t>
      </w:r>
      <w:r w:rsidR="009A68FD" w:rsidRPr="00547DFE">
        <w:rPr>
          <w:rFonts w:asciiTheme="minorHAnsi" w:hAnsiTheme="minorHAnsi" w:cstheme="minorHAnsi"/>
        </w:rPr>
        <w:t>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A68FD" w:rsidRPr="00547DFE">
        <w:rPr>
          <w:rFonts w:asciiTheme="minorHAnsi" w:hAnsiTheme="minorHAnsi" w:cstheme="minorHAnsi"/>
        </w:rPr>
        <w:t>General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engage</w:t>
      </w:r>
      <w:r w:rsidR="00FD5BFB" w:rsidRPr="00547DFE">
        <w:rPr>
          <w:rFonts w:asciiTheme="minorHAnsi" w:hAnsiTheme="minorHAnsi" w:cstheme="minorHAnsi"/>
        </w:rPr>
        <w:t>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actively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High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Level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Segment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07B1E" w:rsidRPr="00547DFE">
        <w:rPr>
          <w:rFonts w:asciiTheme="minorHAnsi" w:hAnsiTheme="minorHAnsi" w:cstheme="minorHAnsi"/>
        </w:rPr>
        <w:t>fourth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session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United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Nations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Environment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Assembly</w:t>
      </w:r>
      <w:r w:rsidR="00FD5BFB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Nairobi</w:t>
      </w:r>
      <w:r w:rsidR="00F26B22">
        <w:rPr>
          <w:rFonts w:asciiTheme="minorHAnsi" w:hAnsiTheme="minorHAnsi" w:cstheme="minorHAnsi"/>
        </w:rPr>
        <w:t>, Kenya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(11-15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March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2019),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emphasizing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role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sustainable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production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their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contribution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248A8" w:rsidRPr="00547DFE">
        <w:rPr>
          <w:rFonts w:asciiTheme="minorHAnsi" w:hAnsiTheme="minorHAnsi" w:cstheme="minorHAnsi"/>
        </w:rPr>
        <w:t>achievement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248A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SDGs</w:t>
      </w:r>
      <w:r w:rsidR="00F26B22">
        <w:rPr>
          <w:rFonts w:asciiTheme="minorHAnsi" w:hAnsiTheme="minorHAnsi" w:cstheme="minorHAnsi"/>
        </w:rPr>
        <w:t>.</w:t>
      </w:r>
    </w:p>
    <w:p w14:paraId="6C33D39D" w14:textId="77777777" w:rsidR="00DF56F5" w:rsidRPr="00547DFE" w:rsidRDefault="00DF56F5" w:rsidP="00B072AC">
      <w:pPr>
        <w:ind w:left="0" w:firstLine="0"/>
        <w:rPr>
          <w:rFonts w:asciiTheme="minorHAnsi" w:hAnsiTheme="minorHAnsi" w:cstheme="minorHAnsi"/>
        </w:rPr>
      </w:pPr>
    </w:p>
    <w:p w14:paraId="1B4A2CD1" w14:textId="19AE5A9B" w:rsidR="00DF56F5" w:rsidRPr="00547DFE" w:rsidRDefault="006B459F" w:rsidP="00B072AC">
      <w:pPr>
        <w:rPr>
          <w:rFonts w:asciiTheme="minorHAnsi" w:eastAsiaTheme="minorHAnsi" w:hAnsiTheme="minorHAnsi" w:cstheme="minorHAnsi"/>
        </w:rPr>
      </w:pPr>
      <w:r w:rsidRPr="00547DFE">
        <w:rPr>
          <w:rFonts w:asciiTheme="minorHAnsi" w:hAnsiTheme="minorHAnsi" w:cstheme="minorHAnsi"/>
        </w:rPr>
        <w:t>2</w:t>
      </w:r>
      <w:r w:rsidR="002022B4">
        <w:rPr>
          <w:rFonts w:asciiTheme="minorHAnsi" w:hAnsiTheme="minorHAnsi" w:cstheme="minorHAnsi"/>
        </w:rPr>
        <w:t>1</w:t>
      </w:r>
      <w:r w:rsidR="00B94492" w:rsidRPr="00547DFE">
        <w:rPr>
          <w:rFonts w:asciiTheme="minorHAnsi" w:hAnsiTheme="minorHAnsi" w:cstheme="minorHAnsi"/>
        </w:rPr>
        <w:t>.</w:t>
      </w:r>
      <w:r w:rsidR="00B94492" w:rsidRPr="00547DFE">
        <w:rPr>
          <w:rFonts w:asciiTheme="minorHAnsi" w:hAnsiTheme="minorHAnsi" w:cstheme="minorHAnsi"/>
        </w:rPr>
        <w:tab/>
      </w:r>
      <w:r w:rsidR="0054130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130C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55A5E" w:rsidRPr="00547DFE">
        <w:rPr>
          <w:rFonts w:asciiTheme="minorHAnsi" w:hAnsiTheme="minorHAnsi" w:cstheme="minorHAnsi"/>
        </w:rPr>
        <w:t>participated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35EF1" w:rsidRPr="00547DFE">
        <w:rPr>
          <w:rFonts w:asciiTheme="minorHAnsi" w:hAnsiTheme="minorHAnsi" w:cstheme="minorHAnsi"/>
        </w:rPr>
        <w:t>seco</w:t>
      </w:r>
      <w:r w:rsidR="00DF56F5" w:rsidRPr="00547DFE">
        <w:rPr>
          <w:rFonts w:asciiTheme="minorHAnsi" w:hAnsiTheme="minorHAnsi" w:cstheme="minorHAnsi"/>
        </w:rPr>
        <w:t>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Arctic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Biodiversity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Congress</w:t>
      </w:r>
      <w:r w:rsidR="008E7135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hosted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Finland</w:t>
      </w:r>
      <w:r w:rsidR="008E7135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A68FD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A68FD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A68FD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Arctic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Council</w:t>
      </w:r>
      <w:r w:rsidR="009A68FD" w:rsidRPr="00547DFE">
        <w:rPr>
          <w:rFonts w:asciiTheme="minorHAnsi" w:hAnsiTheme="minorHAnsi" w:cstheme="minorHAnsi"/>
        </w:rPr>
        <w:t>’s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working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group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Conservation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Arctic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Flora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Fauna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135" w:rsidRPr="00547DFE">
        <w:rPr>
          <w:rFonts w:asciiTheme="minorHAnsi" w:hAnsiTheme="minorHAnsi" w:cstheme="minorHAnsi"/>
        </w:rPr>
        <w:t>(</w:t>
      </w:r>
      <w:r w:rsidR="00DF56F5" w:rsidRPr="00547DFE">
        <w:rPr>
          <w:rFonts w:asciiTheme="minorHAnsi" w:hAnsiTheme="minorHAnsi" w:cstheme="minorHAnsi"/>
        </w:rPr>
        <w:t>CAFF</w:t>
      </w:r>
      <w:r w:rsidR="008E7135" w:rsidRPr="00547DFE">
        <w:rPr>
          <w:rFonts w:asciiTheme="minorHAnsi" w:hAnsiTheme="minorHAnsi" w:cstheme="minorHAnsi"/>
        </w:rPr>
        <w:t>)</w:t>
      </w:r>
      <w:r w:rsidR="009A68FD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R</w:t>
      </w:r>
      <w:r w:rsidR="00F0459C" w:rsidRPr="00547DFE">
        <w:rPr>
          <w:rFonts w:asciiTheme="minorHAnsi" w:hAnsiTheme="minorHAnsi" w:cstheme="minorHAnsi"/>
        </w:rPr>
        <w:t>eference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0459C"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0459C" w:rsidRPr="00547DFE">
        <w:rPr>
          <w:rFonts w:asciiTheme="minorHAnsi" w:hAnsiTheme="minorHAnsi" w:cstheme="minorHAnsi"/>
        </w:rPr>
        <w:t>made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0459C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Nordic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Council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policy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peatlands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climate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context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(elaborated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2D66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2D66" w:rsidRPr="00547DFE">
        <w:rPr>
          <w:rFonts w:asciiTheme="minorHAnsi" w:hAnsiTheme="minorHAnsi" w:cstheme="minorHAnsi"/>
        </w:rPr>
        <w:t>Regional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D2D66" w:rsidRPr="00547DFE">
        <w:rPr>
          <w:rFonts w:asciiTheme="minorHAnsi" w:hAnsiTheme="minorHAnsi" w:cstheme="minorHAnsi"/>
        </w:rPr>
        <w:t>Initiative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NorBalWet),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well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current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Arctic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wetland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project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CAFF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810F8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Resolution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XIII.23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  <w:i/>
        </w:rPr>
        <w:t>Wetlands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F56F5" w:rsidRPr="00547DFE">
        <w:rPr>
          <w:rFonts w:asciiTheme="minorHAnsi" w:hAnsiTheme="minorHAnsi" w:cstheme="minorHAnsi"/>
          <w:i/>
        </w:rPr>
        <w:t>in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F56F5" w:rsidRPr="00547DFE">
        <w:rPr>
          <w:rFonts w:asciiTheme="minorHAnsi" w:hAnsiTheme="minorHAnsi" w:cstheme="minorHAnsi"/>
          <w:i/>
        </w:rPr>
        <w:t>the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F56F5" w:rsidRPr="00547DFE">
        <w:rPr>
          <w:rFonts w:asciiTheme="minorHAnsi" w:hAnsiTheme="minorHAnsi" w:cstheme="minorHAnsi"/>
          <w:i/>
        </w:rPr>
        <w:t>Arctic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F56F5" w:rsidRPr="00547DFE">
        <w:rPr>
          <w:rFonts w:asciiTheme="minorHAnsi" w:hAnsiTheme="minorHAnsi" w:cstheme="minorHAnsi"/>
          <w:i/>
        </w:rPr>
        <w:t>and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DF56F5" w:rsidRPr="00547DFE">
        <w:rPr>
          <w:rFonts w:asciiTheme="minorHAnsi" w:hAnsiTheme="minorHAnsi" w:cstheme="minorHAnsi"/>
          <w:i/>
        </w:rPr>
        <w:t>Sub-Arctic</w:t>
      </w:r>
      <w:r w:rsidR="00DF56F5" w:rsidRPr="00547DFE">
        <w:rPr>
          <w:rFonts w:asciiTheme="minorHAnsi" w:hAnsiTheme="minorHAnsi" w:cstheme="minorHAnsi"/>
        </w:rPr>
        <w:t>.</w:t>
      </w:r>
    </w:p>
    <w:p w14:paraId="07A60E4B" w14:textId="77777777" w:rsidR="00DF56F5" w:rsidRPr="00547DFE" w:rsidRDefault="00DF56F5" w:rsidP="00B072AC">
      <w:pPr>
        <w:rPr>
          <w:rFonts w:asciiTheme="minorHAnsi" w:hAnsiTheme="minorHAnsi" w:cstheme="minorHAnsi"/>
        </w:rPr>
      </w:pPr>
    </w:p>
    <w:p w14:paraId="087F07D9" w14:textId="4F153570" w:rsidR="00DF56F5" w:rsidRPr="00547DFE" w:rsidRDefault="006B459F" w:rsidP="00B072AC">
      <w:p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2</w:t>
      </w:r>
      <w:r w:rsidR="002022B4">
        <w:rPr>
          <w:rFonts w:asciiTheme="minorHAnsi" w:hAnsiTheme="minorHAnsi" w:cstheme="minorHAnsi"/>
        </w:rPr>
        <w:t>2</w:t>
      </w:r>
      <w:r w:rsidR="005D5A71" w:rsidRPr="00547DFE">
        <w:rPr>
          <w:rFonts w:asciiTheme="minorHAnsi" w:hAnsiTheme="minorHAnsi" w:cstheme="minorHAnsi"/>
        </w:rPr>
        <w:t>.</w:t>
      </w:r>
      <w:r w:rsidRPr="00547DFE">
        <w:rPr>
          <w:rFonts w:asciiTheme="minorHAnsi" w:hAnsiTheme="minorHAnsi" w:cstheme="minorHAnsi"/>
        </w:rPr>
        <w:tab/>
      </w:r>
      <w:r w:rsidR="005D5A71" w:rsidRPr="00547DFE">
        <w:rPr>
          <w:rFonts w:asciiTheme="minorHAnsi" w:hAnsiTheme="minorHAnsi" w:cstheme="minorHAnsi"/>
        </w:rPr>
        <w:t>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invitation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Austria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President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E</w:t>
      </w:r>
      <w:r w:rsidR="00F26B22">
        <w:rPr>
          <w:rFonts w:asciiTheme="minorHAnsi" w:hAnsiTheme="minorHAnsi" w:cstheme="minorHAnsi"/>
        </w:rPr>
        <w:t xml:space="preserve">uropean </w:t>
      </w:r>
      <w:r w:rsidR="005D5A71" w:rsidRPr="00547DFE">
        <w:rPr>
          <w:rFonts w:asciiTheme="minorHAnsi" w:hAnsiTheme="minorHAnsi" w:cstheme="minorHAnsi"/>
        </w:rPr>
        <w:t>U</w:t>
      </w:r>
      <w:r w:rsidR="00F26B22">
        <w:rPr>
          <w:rFonts w:asciiTheme="minorHAnsi" w:hAnsiTheme="minorHAnsi" w:cstheme="minorHAnsi"/>
        </w:rPr>
        <w:t>nion</w:t>
      </w:r>
      <w:r w:rsidR="005D5A71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Secretary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General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contributed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deliberations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4130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50AF6">
        <w:rPr>
          <w:rFonts w:asciiTheme="minorHAnsi" w:hAnsiTheme="minorHAnsi" w:cstheme="minorHAnsi"/>
        </w:rPr>
        <w:t>EU</w:t>
      </w:r>
      <w:r w:rsidR="00DF56F5" w:rsidRPr="00547DFE">
        <w:rPr>
          <w:rFonts w:asciiTheme="minorHAnsi" w:hAnsiTheme="minorHAnsi" w:cstheme="minorHAnsi"/>
        </w:rPr>
        <w:t>’s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W</w:t>
      </w:r>
      <w:r w:rsidR="00991E80" w:rsidRPr="00547DFE">
        <w:rPr>
          <w:rFonts w:asciiTheme="minorHAnsi" w:hAnsiTheme="minorHAnsi" w:cstheme="minorHAnsi"/>
        </w:rPr>
        <w:t>ater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91E80" w:rsidRPr="00547DFE">
        <w:rPr>
          <w:rFonts w:asciiTheme="minorHAnsi" w:hAnsiTheme="minorHAnsi" w:cstheme="minorHAnsi"/>
        </w:rPr>
        <w:t>Directors’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91E80" w:rsidRPr="00547DFE">
        <w:rPr>
          <w:rFonts w:asciiTheme="minorHAnsi" w:hAnsiTheme="minorHAnsi" w:cstheme="minorHAnsi"/>
        </w:rPr>
        <w:t>meeting</w:t>
      </w:r>
      <w:r w:rsidR="005D5A71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5A71" w:rsidRPr="00547DFE">
        <w:rPr>
          <w:rFonts w:asciiTheme="minorHAnsi" w:hAnsiTheme="minorHAnsi" w:cstheme="minorHAnsi"/>
        </w:rPr>
        <w:t>stressing</w:t>
      </w:r>
      <w:r w:rsidR="00425BE5" w:rsidRPr="00547DFE">
        <w:rPr>
          <w:rStyle w:val="CommentReference"/>
          <w:rFonts w:asciiTheme="minorHAnsi" w:hAnsiTheme="minorHAnsi" w:cstheme="minorHAnsi"/>
          <w:vanish/>
          <w:sz w:val="22"/>
          <w:szCs w:val="22"/>
        </w:rPr>
        <w:commentReference w:id="1"/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links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between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water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management,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notably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flood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risk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mitigation,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water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quality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improvement,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agriculture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biodiversity</w:t>
      </w:r>
      <w:r w:rsidR="007D42BD">
        <w:rPr>
          <w:rFonts w:asciiTheme="minorHAnsi" w:hAnsiTheme="minorHAnsi" w:cstheme="minorHAnsi"/>
        </w:rPr>
        <w:t>, in the context of the ongoing work on the EU Water Directive.</w:t>
      </w:r>
    </w:p>
    <w:p w14:paraId="0C5CD6F1" w14:textId="77777777" w:rsidR="00E90337" w:rsidRPr="00547DFE" w:rsidRDefault="00E90337" w:rsidP="00B072AC">
      <w:pPr>
        <w:pStyle w:val="NormalNonumber"/>
        <w:spacing w:after="0"/>
        <w:ind w:left="425" w:hanging="425"/>
        <w:rPr>
          <w:rFonts w:asciiTheme="minorHAnsi" w:hAnsiTheme="minorHAnsi" w:cstheme="minorHAnsi"/>
          <w:iCs/>
          <w:snapToGrid w:val="0"/>
          <w:sz w:val="22"/>
          <w:szCs w:val="22"/>
          <w:lang w:val="en-US"/>
        </w:rPr>
      </w:pPr>
    </w:p>
    <w:p w14:paraId="60AE9D7C" w14:textId="4283E751" w:rsidR="00E90337" w:rsidRPr="00547DFE" w:rsidRDefault="006B459F" w:rsidP="00B072AC">
      <w:p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2</w:t>
      </w:r>
      <w:r w:rsidR="002022B4">
        <w:rPr>
          <w:rFonts w:asciiTheme="minorHAnsi" w:hAnsiTheme="minorHAnsi" w:cstheme="minorHAnsi"/>
        </w:rPr>
        <w:t>3</w:t>
      </w:r>
      <w:r w:rsidR="00E90337" w:rsidRPr="00547DFE">
        <w:rPr>
          <w:rFonts w:asciiTheme="minorHAnsi" w:hAnsiTheme="minorHAnsi" w:cstheme="minorHAnsi"/>
        </w:rPr>
        <w:t>.</w:t>
      </w:r>
      <w:r w:rsidR="00E90337" w:rsidRPr="00547DFE">
        <w:rPr>
          <w:rFonts w:asciiTheme="minorHAnsi" w:hAnsiTheme="minorHAnsi" w:cstheme="minorHAnsi"/>
        </w:rPr>
        <w:tab/>
        <w:t>During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reporting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period,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actively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sought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strengthen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relationship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Geneva-based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32961" w:rsidRPr="00547DFE">
        <w:rPr>
          <w:rFonts w:asciiTheme="minorHAnsi" w:hAnsiTheme="minorHAnsi" w:cstheme="minorHAnsi"/>
        </w:rPr>
        <w:t xml:space="preserve">Permanent Missions to the United Nations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UN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age</w:t>
      </w:r>
      <w:r w:rsidR="008E7CA5" w:rsidRPr="00547DFE">
        <w:rPr>
          <w:rFonts w:asciiTheme="minorHAnsi" w:hAnsiTheme="minorHAnsi" w:cstheme="minorHAnsi"/>
        </w:rPr>
        <w:t>ncies.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CA5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CA5" w:rsidRPr="00547DFE">
        <w:rPr>
          <w:rFonts w:asciiTheme="minorHAnsi" w:hAnsiTheme="minorHAnsi" w:cstheme="minorHAnsi"/>
        </w:rPr>
        <w:t>31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CA5" w:rsidRPr="00547DFE">
        <w:rPr>
          <w:rFonts w:asciiTheme="minorHAnsi" w:hAnsiTheme="minorHAnsi" w:cstheme="minorHAnsi"/>
        </w:rPr>
        <w:t>January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CA5" w:rsidRPr="00547DFE">
        <w:rPr>
          <w:rFonts w:asciiTheme="minorHAnsi" w:hAnsiTheme="minorHAnsi" w:cstheme="minorHAnsi"/>
        </w:rPr>
        <w:t>201</w:t>
      </w:r>
      <w:r w:rsidR="009D281A" w:rsidRPr="00547DFE">
        <w:rPr>
          <w:rFonts w:asciiTheme="minorHAnsi" w:hAnsiTheme="minorHAnsi" w:cstheme="minorHAnsi"/>
        </w:rPr>
        <w:t>9</w:t>
      </w:r>
      <w:r w:rsidR="008E7CA5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CA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CA5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CA5" w:rsidRPr="00547DFE">
        <w:rPr>
          <w:rFonts w:asciiTheme="minorHAnsi" w:hAnsiTheme="minorHAnsi" w:cstheme="minorHAnsi"/>
        </w:rPr>
        <w:t>hosted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CA5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CA5" w:rsidRPr="00547DFE">
        <w:rPr>
          <w:rFonts w:asciiTheme="minorHAnsi" w:hAnsiTheme="minorHAnsi" w:cstheme="minorHAnsi"/>
        </w:rPr>
        <w:t>World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CA5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CA5" w:rsidRPr="00547DFE">
        <w:rPr>
          <w:rFonts w:asciiTheme="minorHAnsi" w:hAnsiTheme="minorHAnsi" w:cstheme="minorHAnsi"/>
        </w:rPr>
        <w:t>Day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CA5" w:rsidRPr="00547DFE">
        <w:rPr>
          <w:rFonts w:asciiTheme="minorHAnsi" w:hAnsiTheme="minorHAnsi" w:cstheme="minorHAnsi"/>
        </w:rPr>
        <w:t>event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E7CA5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Permanent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Missions</w:t>
      </w:r>
      <w:r w:rsidR="0044606D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UN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agencies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Geneva</w:t>
      </w:r>
      <w:r w:rsidR="009D281A" w:rsidRPr="00547DFE">
        <w:rPr>
          <w:rFonts w:asciiTheme="minorHAnsi" w:hAnsiTheme="minorHAnsi" w:cstheme="minorHAnsi"/>
        </w:rPr>
        <w:t>-</w:t>
      </w:r>
      <w:r w:rsidR="0044606D" w:rsidRPr="00547DFE">
        <w:rPr>
          <w:rFonts w:asciiTheme="minorHAnsi" w:hAnsiTheme="minorHAnsi" w:cstheme="minorHAnsi"/>
        </w:rPr>
        <w:t>based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NGOs</w:t>
      </w:r>
      <w:r w:rsidR="00E90337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“</w:t>
      </w:r>
      <w:r w:rsidR="0044606D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natural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solution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reducing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carbon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4606D" w:rsidRPr="00547DFE">
        <w:rPr>
          <w:rFonts w:asciiTheme="minorHAnsi" w:hAnsiTheme="minorHAnsi" w:cstheme="minorHAnsi"/>
        </w:rPr>
        <w:t>emissions”</w:t>
      </w:r>
      <w:r w:rsidR="00AD08E1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25DC9842" w14:textId="77777777" w:rsidR="00E90337" w:rsidRPr="00547DFE" w:rsidRDefault="00E90337" w:rsidP="00B072AC">
      <w:pPr>
        <w:pStyle w:val="NormalNonumber"/>
        <w:spacing w:after="0"/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1AC9D945" w14:textId="7450C948" w:rsidR="00E90337" w:rsidRPr="00547DFE" w:rsidRDefault="008F789B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022B4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6D56CD" w:rsidRPr="00547DFE">
        <w:rPr>
          <w:rFonts w:asciiTheme="minorHAnsi" w:hAnsiTheme="minorHAnsi" w:cstheme="minorHAnsi"/>
        </w:rPr>
        <w:t>Other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23B0" w:rsidRPr="00547DFE">
        <w:rPr>
          <w:rFonts w:asciiTheme="minorHAnsi" w:hAnsiTheme="minorHAnsi" w:cstheme="minorHAnsi"/>
        </w:rPr>
        <w:t>meetings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23B0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323B0" w:rsidRPr="00547DFE">
        <w:rPr>
          <w:rFonts w:asciiTheme="minorHAnsi" w:hAnsiTheme="minorHAnsi" w:cstheme="minorHAnsi"/>
        </w:rPr>
        <w:t>whi</w:t>
      </w:r>
      <w:r w:rsidR="006D56CD" w:rsidRPr="00547DFE">
        <w:rPr>
          <w:rFonts w:asciiTheme="minorHAnsi" w:hAnsiTheme="minorHAnsi" w:cstheme="minorHAnsi"/>
        </w:rPr>
        <w:t>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D56CD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D56CD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D56CD" w:rsidRPr="00547DFE">
        <w:rPr>
          <w:rFonts w:asciiTheme="minorHAnsi" w:hAnsiTheme="minorHAnsi" w:cstheme="minorHAnsi"/>
        </w:rPr>
        <w:t>participated</w:t>
      </w:r>
      <w:r w:rsidR="00413AAB">
        <w:rPr>
          <w:rFonts w:asciiTheme="minorHAnsi" w:hAnsiTheme="minorHAnsi" w:cstheme="minorHAnsi"/>
        </w:rPr>
        <w:t xml:space="preserve"> were</w:t>
      </w:r>
      <w:r w:rsidR="00E90337" w:rsidRPr="00547DFE">
        <w:rPr>
          <w:rFonts w:asciiTheme="minorHAnsi" w:hAnsiTheme="minorHAnsi" w:cstheme="minorHAnsi"/>
        </w:rPr>
        <w:t>:</w:t>
      </w:r>
    </w:p>
    <w:p w14:paraId="4CA0F5DF" w14:textId="392DBB7D" w:rsidR="00DF56F5" w:rsidRPr="00547DFE" w:rsidRDefault="00F32961" w:rsidP="00B072A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 xml:space="preserve">Partnership for Environment and Disaster Risk Reduction </w:t>
      </w:r>
      <w:r w:rsidR="00DF56F5" w:rsidRPr="00547DFE">
        <w:rPr>
          <w:rFonts w:asciiTheme="minorHAnsi" w:hAnsiTheme="minorHAnsi" w:cstheme="minorHAnsi"/>
        </w:rPr>
        <w:t>(</w:t>
      </w:r>
      <w:r w:rsidRPr="00547DFE">
        <w:rPr>
          <w:rFonts w:asciiTheme="minorHAnsi" w:hAnsiTheme="minorHAnsi" w:cstheme="minorHAnsi"/>
        </w:rPr>
        <w:t>PEDRR</w:t>
      </w:r>
      <w:r w:rsidR="00DF56F5" w:rsidRPr="00547DFE">
        <w:rPr>
          <w:rFonts w:asciiTheme="minorHAnsi" w:hAnsiTheme="minorHAnsi" w:cstheme="minorHAnsi"/>
        </w:rPr>
        <w:t>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Seminar</w:t>
      </w:r>
      <w:r w:rsidR="000B1F8D">
        <w:rPr>
          <w:rFonts w:asciiTheme="minorHAnsi" w:hAnsiTheme="minorHAnsi" w:cstheme="minorHAnsi"/>
        </w:rPr>
        <w:t>, 4 December 2018, Geneva;</w:t>
      </w:r>
    </w:p>
    <w:p w14:paraId="560542A1" w14:textId="7E759E70" w:rsidR="00DF56F5" w:rsidRPr="00547DFE" w:rsidRDefault="00DF56F5" w:rsidP="00B072A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PEDRR</w:t>
      </w:r>
      <w:r w:rsidR="00F32961">
        <w:rPr>
          <w:rFonts w:asciiTheme="minorHAnsi" w:hAnsiTheme="minorHAnsi" w:cstheme="minorHAnsi"/>
        </w:rPr>
        <w:t>:</w:t>
      </w:r>
      <w:r w:rsidR="00E80EDB" w:rsidRPr="00547DFE">
        <w:rPr>
          <w:rFonts w:asciiTheme="minorHAnsi" w:hAnsiTheme="minorHAnsi" w:cstheme="minorHAnsi"/>
        </w:rPr>
        <w:t xml:space="preserve"> </w:t>
      </w:r>
      <w:r w:rsidRPr="00547DFE">
        <w:rPr>
          <w:rFonts w:asciiTheme="minorHAnsi" w:hAnsiTheme="minorHAnsi" w:cstheme="minorHAnsi"/>
          <w:bCs/>
        </w:rPr>
        <w:t>the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Pr="00547DFE">
        <w:rPr>
          <w:rFonts w:asciiTheme="minorHAnsi" w:hAnsiTheme="minorHAnsi" w:cstheme="minorHAnsi"/>
          <w:bCs/>
        </w:rPr>
        <w:t>International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Pr="00547DFE">
        <w:rPr>
          <w:rFonts w:asciiTheme="minorHAnsi" w:hAnsiTheme="minorHAnsi" w:cstheme="minorHAnsi"/>
          <w:bCs/>
        </w:rPr>
        <w:t>Science-Policy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Pr="00547DFE">
        <w:rPr>
          <w:rFonts w:asciiTheme="minorHAnsi" w:hAnsiTheme="minorHAnsi" w:cstheme="minorHAnsi"/>
          <w:bCs/>
        </w:rPr>
        <w:t>Workshop</w:t>
      </w:r>
      <w:r w:rsidR="000B1F8D">
        <w:rPr>
          <w:rFonts w:asciiTheme="minorHAnsi" w:hAnsiTheme="minorHAnsi" w:cstheme="minorHAnsi"/>
          <w:bCs/>
        </w:rPr>
        <w:t>, 12-14 February 2019, Bonn, Germany; and</w:t>
      </w:r>
    </w:p>
    <w:p w14:paraId="22D9F36E" w14:textId="014C2860" w:rsidR="00DF56F5" w:rsidRPr="00547DFE" w:rsidRDefault="00DF56F5" w:rsidP="00413AA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  <w:bCs/>
        </w:rPr>
        <w:t>East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Pr="00547DFE">
        <w:rPr>
          <w:rFonts w:asciiTheme="minorHAnsi" w:hAnsiTheme="minorHAnsi" w:cstheme="minorHAnsi"/>
          <w:bCs/>
        </w:rPr>
        <w:t>Asian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Pr="00547DFE">
        <w:rPr>
          <w:rFonts w:asciiTheme="minorHAnsi" w:hAnsiTheme="minorHAnsi" w:cstheme="minorHAnsi"/>
          <w:bCs/>
        </w:rPr>
        <w:t>–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Pr="00547DFE">
        <w:rPr>
          <w:rFonts w:asciiTheme="minorHAnsi" w:hAnsiTheme="minorHAnsi" w:cstheme="minorHAnsi"/>
          <w:bCs/>
        </w:rPr>
        <w:t>Australasian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Pr="00547DFE">
        <w:rPr>
          <w:rFonts w:asciiTheme="minorHAnsi" w:hAnsiTheme="minorHAnsi" w:cstheme="minorHAnsi"/>
          <w:bCs/>
        </w:rPr>
        <w:t>Flyway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Pr="00547DFE">
        <w:rPr>
          <w:rFonts w:asciiTheme="minorHAnsi" w:hAnsiTheme="minorHAnsi" w:cstheme="minorHAnsi"/>
          <w:bCs/>
        </w:rPr>
        <w:t>Partnership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="00F32961">
        <w:rPr>
          <w:rFonts w:asciiTheme="minorHAnsi" w:hAnsiTheme="minorHAnsi" w:cstheme="minorHAnsi"/>
          <w:bCs/>
        </w:rPr>
        <w:t xml:space="preserve">10th </w:t>
      </w:r>
      <w:r w:rsidRPr="00547DFE">
        <w:rPr>
          <w:rFonts w:asciiTheme="minorHAnsi" w:hAnsiTheme="minorHAnsi" w:cstheme="minorHAnsi"/>
          <w:bCs/>
        </w:rPr>
        <w:t>Meeting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Pr="00547DFE">
        <w:rPr>
          <w:rFonts w:asciiTheme="minorHAnsi" w:hAnsiTheme="minorHAnsi" w:cstheme="minorHAnsi"/>
          <w:bCs/>
        </w:rPr>
        <w:t>of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Pr="00547DFE">
        <w:rPr>
          <w:rFonts w:asciiTheme="minorHAnsi" w:hAnsiTheme="minorHAnsi" w:cstheme="minorHAnsi"/>
          <w:bCs/>
        </w:rPr>
        <w:t>Partners</w:t>
      </w:r>
      <w:r w:rsidR="00E80EDB" w:rsidRPr="00547DFE">
        <w:rPr>
          <w:rFonts w:asciiTheme="minorHAnsi" w:hAnsiTheme="minorHAnsi" w:cstheme="minorHAnsi"/>
          <w:bCs/>
        </w:rPr>
        <w:t xml:space="preserve"> </w:t>
      </w:r>
      <w:r w:rsidRPr="00547DFE">
        <w:rPr>
          <w:rFonts w:asciiTheme="minorHAnsi" w:hAnsiTheme="minorHAnsi" w:cstheme="minorHAnsi"/>
          <w:bCs/>
        </w:rPr>
        <w:t>(MOP10</w:t>
      </w:r>
      <w:r w:rsidR="00F32961">
        <w:rPr>
          <w:rFonts w:asciiTheme="minorHAnsi" w:hAnsiTheme="minorHAnsi" w:cstheme="minorHAnsi"/>
          <w:bCs/>
        </w:rPr>
        <w:t>)</w:t>
      </w:r>
      <w:r w:rsidR="000B1F8D">
        <w:rPr>
          <w:rFonts w:asciiTheme="minorHAnsi" w:hAnsiTheme="minorHAnsi" w:cstheme="minorHAnsi"/>
          <w:bCs/>
        </w:rPr>
        <w:t>, 10-</w:t>
      </w:r>
      <w:r w:rsidR="000B1F8D" w:rsidRPr="000B1F8D">
        <w:rPr>
          <w:rFonts w:asciiTheme="minorHAnsi" w:hAnsiTheme="minorHAnsi" w:cstheme="minorHAnsi"/>
          <w:bCs/>
        </w:rPr>
        <w:t>14</w:t>
      </w:r>
      <w:r w:rsidR="000B1F8D">
        <w:rPr>
          <w:rFonts w:asciiTheme="minorHAnsi" w:hAnsiTheme="minorHAnsi" w:cstheme="minorHAnsi"/>
          <w:bCs/>
        </w:rPr>
        <w:t xml:space="preserve"> December</w:t>
      </w:r>
      <w:r w:rsidR="000B1F8D" w:rsidRPr="000B1F8D">
        <w:rPr>
          <w:rFonts w:asciiTheme="minorHAnsi" w:hAnsiTheme="minorHAnsi" w:cstheme="minorHAnsi"/>
          <w:bCs/>
        </w:rPr>
        <w:t xml:space="preserve"> 2018</w:t>
      </w:r>
      <w:r w:rsidR="000B1F8D">
        <w:rPr>
          <w:rFonts w:asciiTheme="minorHAnsi" w:hAnsiTheme="minorHAnsi" w:cstheme="minorHAnsi"/>
          <w:bCs/>
        </w:rPr>
        <w:t xml:space="preserve">, </w:t>
      </w:r>
      <w:r w:rsidR="00413AAB" w:rsidRPr="00413AAB">
        <w:rPr>
          <w:rFonts w:asciiTheme="minorHAnsi" w:hAnsiTheme="minorHAnsi" w:cstheme="minorHAnsi"/>
          <w:bCs/>
        </w:rPr>
        <w:t>Changjiang</w:t>
      </w:r>
      <w:r w:rsidR="00413AAB">
        <w:rPr>
          <w:rFonts w:asciiTheme="minorHAnsi" w:hAnsiTheme="minorHAnsi" w:cstheme="minorHAnsi"/>
          <w:bCs/>
        </w:rPr>
        <w:t>, China.</w:t>
      </w:r>
    </w:p>
    <w:p w14:paraId="1E5C8DBE" w14:textId="77777777" w:rsidR="0044606D" w:rsidRPr="00547DFE" w:rsidRDefault="0044606D" w:rsidP="00B072AC">
      <w:pPr>
        <w:pStyle w:val="ListParagraph"/>
        <w:ind w:left="850" w:firstLine="0"/>
        <w:rPr>
          <w:rFonts w:asciiTheme="minorHAnsi" w:hAnsiTheme="minorHAnsi" w:cstheme="minorHAnsi"/>
        </w:rPr>
      </w:pPr>
    </w:p>
    <w:p w14:paraId="5FB67023" w14:textId="647B4632" w:rsidR="00FE0E9B" w:rsidRPr="00547DFE" w:rsidRDefault="00413AAB" w:rsidP="00B072AC">
      <w:pPr>
        <w:rPr>
          <w:rFonts w:asciiTheme="minorHAnsi" w:eastAsiaTheme="minorHAnsi" w:hAnsiTheme="minorHAnsi" w:cstheme="minorHAnsi"/>
        </w:rPr>
      </w:pPr>
      <w:r w:rsidRPr="00547DFE">
        <w:rPr>
          <w:rFonts w:asciiTheme="minorHAnsi" w:hAnsiTheme="minorHAnsi" w:cstheme="minorHAnsi"/>
        </w:rPr>
        <w:t>2</w:t>
      </w:r>
      <w:r w:rsidR="002022B4">
        <w:rPr>
          <w:rFonts w:asciiTheme="minorHAnsi" w:hAnsiTheme="minorHAnsi" w:cstheme="minorHAnsi"/>
        </w:rPr>
        <w:t>5</w:t>
      </w:r>
      <w:r w:rsidR="00E90337" w:rsidRPr="00547DFE">
        <w:rPr>
          <w:rFonts w:asciiTheme="minorHAnsi" w:hAnsiTheme="minorHAnsi" w:cstheme="minorHAnsi"/>
        </w:rPr>
        <w:t>.</w:t>
      </w:r>
      <w:r w:rsidR="00E90337" w:rsidRPr="00547DFE">
        <w:rPr>
          <w:rFonts w:asciiTheme="minorHAnsi" w:hAnsiTheme="minorHAnsi" w:cstheme="minorHAnsi"/>
        </w:rPr>
        <w:tab/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fulfilment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mandate,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32961" w:rsidRPr="00547DFE">
        <w:rPr>
          <w:rFonts w:asciiTheme="minorHAnsi" w:hAnsiTheme="minorHAnsi" w:cstheme="minorHAnsi"/>
        </w:rPr>
        <w:t xml:space="preserve">Ramsar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enhanced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engagement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relevant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32961">
        <w:rPr>
          <w:rFonts w:asciiTheme="minorHAnsi" w:hAnsiTheme="minorHAnsi" w:cstheme="minorHAnsi"/>
        </w:rPr>
        <w:t>MEAs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32961">
        <w:rPr>
          <w:rFonts w:asciiTheme="minorHAnsi" w:hAnsiTheme="minorHAnsi" w:cstheme="minorHAnsi"/>
        </w:rPr>
        <w:t>UN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processes.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However,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major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challenge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remains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F7A2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F7A27" w:rsidRPr="00547DFE">
        <w:rPr>
          <w:rFonts w:asciiTheme="minorHAnsi" w:hAnsiTheme="minorHAnsi" w:cstheme="minorHAnsi"/>
        </w:rPr>
        <w:t>fact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does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not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have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observer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status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UN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General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Assembly,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nor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UN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Economic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Social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Council,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which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UN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platform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debate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sustainable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development.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SC54,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Decision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SC54-07,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Standing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Committee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“instructed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conjunction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interested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Parties,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continue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exploring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options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gaining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access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meetings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United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Nations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General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Assembly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related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high-level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fora”</w:t>
      </w:r>
      <w:r w:rsidR="00F32961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Decision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SC55-12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instruct</w:t>
      </w:r>
      <w:r w:rsidR="008217D7" w:rsidRPr="00547DFE">
        <w:rPr>
          <w:rFonts w:asciiTheme="minorHAnsi" w:hAnsiTheme="minorHAnsi" w:cstheme="minorHAnsi"/>
        </w:rPr>
        <w:t>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support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from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informal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group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interested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bring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forward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structured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proposal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consideration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2111D" w:rsidRPr="00547DFE">
        <w:rPr>
          <w:rFonts w:asciiTheme="minorHAnsi" w:hAnsiTheme="minorHAnsi" w:cstheme="minorHAnsi"/>
        </w:rPr>
        <w:t>SC57.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Accordingly</w:t>
      </w:r>
      <w:r w:rsidR="00537965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requested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express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their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interest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32961">
        <w:rPr>
          <w:rFonts w:asciiTheme="minorHAnsi" w:hAnsiTheme="minorHAnsi" w:cstheme="minorHAnsi"/>
        </w:rPr>
        <w:t>in being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members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informal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group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217D7" w:rsidRPr="00547DFE">
        <w:rPr>
          <w:rFonts w:asciiTheme="minorHAnsi" w:hAnsiTheme="minorHAnsi" w:cstheme="minorHAnsi"/>
        </w:rPr>
        <w:t>implement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217D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217D7" w:rsidRPr="00547DFE">
        <w:rPr>
          <w:rFonts w:asciiTheme="minorHAnsi" w:hAnsiTheme="minorHAnsi" w:cstheme="minorHAnsi"/>
        </w:rPr>
        <w:t>decision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217D7" w:rsidRPr="00547DFE">
        <w:rPr>
          <w:rFonts w:asciiTheme="minorHAnsi" w:hAnsiTheme="minorHAnsi" w:cstheme="minorHAnsi"/>
        </w:rPr>
        <w:t>from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D56CD" w:rsidRPr="00547DFE">
        <w:rPr>
          <w:rFonts w:asciiTheme="minorHAnsi" w:hAnsiTheme="minorHAnsi" w:cstheme="minorHAnsi"/>
        </w:rPr>
        <w:t>SC55.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also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encountered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limitations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engagement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32961">
        <w:rPr>
          <w:rFonts w:asciiTheme="minorHAnsi" w:hAnsiTheme="minorHAnsi" w:cstheme="minorHAnsi"/>
        </w:rPr>
        <w:t>in</w:t>
      </w:r>
      <w:r w:rsidR="00F32961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32961">
        <w:rPr>
          <w:rFonts w:asciiTheme="minorHAnsi" w:hAnsiTheme="minorHAnsi" w:cstheme="minorHAnsi"/>
        </w:rPr>
        <w:t xml:space="preserve">UN </w:t>
      </w:r>
      <w:r w:rsidR="00FE0E9B" w:rsidRPr="00547DFE">
        <w:rPr>
          <w:rFonts w:asciiTheme="minorHAnsi" w:hAnsiTheme="minorHAnsi" w:cstheme="minorHAnsi"/>
        </w:rPr>
        <w:t>water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agenda,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which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coordinated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across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UN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system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UN-Water.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32961">
        <w:rPr>
          <w:rFonts w:asciiTheme="minorHAnsi" w:hAnsiTheme="minorHAnsi" w:cstheme="minorHAnsi"/>
        </w:rPr>
        <w:t xml:space="preserve">Unlike </w:t>
      </w:r>
      <w:r w:rsidR="00FE0E9B" w:rsidRPr="00547DFE">
        <w:rPr>
          <w:rFonts w:asciiTheme="minorHAnsi" w:hAnsiTheme="minorHAnsi" w:cstheme="minorHAnsi"/>
        </w:rPr>
        <w:t>other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32961">
        <w:rPr>
          <w:rFonts w:asciiTheme="minorHAnsi" w:hAnsiTheme="minorHAnsi" w:cstheme="minorHAnsi"/>
        </w:rPr>
        <w:t>MEAs</w:t>
      </w:r>
      <w:r w:rsidR="00FE0E9B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not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“member”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UN-Water,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it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not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part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32961">
        <w:rPr>
          <w:rFonts w:asciiTheme="minorHAnsi" w:hAnsiTheme="minorHAnsi" w:cstheme="minorHAnsi"/>
        </w:rPr>
        <w:t>UN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system.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can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only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contribute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“partner”,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which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implies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limitations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E0E9B" w:rsidRPr="00547DFE">
        <w:rPr>
          <w:rFonts w:asciiTheme="minorHAnsi" w:hAnsiTheme="minorHAnsi" w:cstheme="minorHAnsi"/>
        </w:rPr>
        <w:t>engagement.</w:t>
      </w:r>
    </w:p>
    <w:p w14:paraId="74F8DECE" w14:textId="77777777" w:rsidR="0043396A" w:rsidRPr="00547DFE" w:rsidRDefault="0043396A" w:rsidP="00B072AC">
      <w:pPr>
        <w:ind w:left="0" w:firstLine="0"/>
        <w:rPr>
          <w:rFonts w:asciiTheme="minorHAnsi" w:hAnsiTheme="minorHAnsi" w:cstheme="minorHAnsi"/>
          <w:bCs/>
          <w:u w:val="single"/>
        </w:rPr>
      </w:pPr>
    </w:p>
    <w:p w14:paraId="30DDB3F8" w14:textId="6D97AB10" w:rsidR="00E90337" w:rsidRPr="00F32961" w:rsidRDefault="00E90337" w:rsidP="00F32961">
      <w:pPr>
        <w:keepNext/>
        <w:ind w:left="0" w:firstLine="0"/>
        <w:rPr>
          <w:rFonts w:asciiTheme="minorHAnsi" w:hAnsiTheme="minorHAnsi" w:cstheme="minorHAnsi"/>
          <w:b/>
          <w:bCs/>
        </w:rPr>
      </w:pPr>
      <w:r w:rsidRPr="00F32961">
        <w:rPr>
          <w:rFonts w:asciiTheme="minorHAnsi" w:hAnsiTheme="minorHAnsi" w:cstheme="minorHAnsi"/>
          <w:b/>
          <w:bCs/>
        </w:rPr>
        <w:t>Strengthening</w:t>
      </w:r>
      <w:r w:rsidR="00E80EDB" w:rsidRPr="00F32961">
        <w:rPr>
          <w:rFonts w:asciiTheme="minorHAnsi" w:hAnsiTheme="minorHAnsi" w:cstheme="minorHAnsi"/>
          <w:b/>
          <w:bCs/>
        </w:rPr>
        <w:t xml:space="preserve"> </w:t>
      </w:r>
      <w:r w:rsidRPr="00F32961">
        <w:rPr>
          <w:rFonts w:asciiTheme="minorHAnsi" w:hAnsiTheme="minorHAnsi" w:cstheme="minorHAnsi"/>
          <w:b/>
          <w:bCs/>
        </w:rPr>
        <w:t>support</w:t>
      </w:r>
      <w:r w:rsidR="00E80EDB" w:rsidRPr="00F32961">
        <w:rPr>
          <w:rFonts w:asciiTheme="minorHAnsi" w:hAnsiTheme="minorHAnsi" w:cstheme="minorHAnsi"/>
          <w:b/>
          <w:bCs/>
        </w:rPr>
        <w:t xml:space="preserve"> </w:t>
      </w:r>
      <w:r w:rsidRPr="00F32961">
        <w:rPr>
          <w:rFonts w:asciiTheme="minorHAnsi" w:hAnsiTheme="minorHAnsi" w:cstheme="minorHAnsi"/>
          <w:b/>
          <w:bCs/>
        </w:rPr>
        <w:t>and</w:t>
      </w:r>
      <w:r w:rsidR="00E80EDB" w:rsidRPr="00F32961">
        <w:rPr>
          <w:rFonts w:asciiTheme="minorHAnsi" w:hAnsiTheme="minorHAnsi" w:cstheme="minorHAnsi"/>
          <w:b/>
          <w:bCs/>
        </w:rPr>
        <w:t xml:space="preserve"> </w:t>
      </w:r>
      <w:r w:rsidRPr="00F32961">
        <w:rPr>
          <w:rFonts w:asciiTheme="minorHAnsi" w:hAnsiTheme="minorHAnsi" w:cstheme="minorHAnsi"/>
          <w:b/>
          <w:bCs/>
        </w:rPr>
        <w:t>enabling</w:t>
      </w:r>
      <w:r w:rsidR="00E80EDB" w:rsidRPr="00F32961">
        <w:rPr>
          <w:rFonts w:asciiTheme="minorHAnsi" w:hAnsiTheme="minorHAnsi" w:cstheme="minorHAnsi"/>
          <w:b/>
          <w:bCs/>
        </w:rPr>
        <w:t xml:space="preserve"> </w:t>
      </w:r>
      <w:r w:rsidRPr="00F32961">
        <w:rPr>
          <w:rFonts w:asciiTheme="minorHAnsi" w:hAnsiTheme="minorHAnsi" w:cstheme="minorHAnsi"/>
          <w:b/>
          <w:bCs/>
        </w:rPr>
        <w:t>implementation</w:t>
      </w:r>
    </w:p>
    <w:p w14:paraId="444E0277" w14:textId="77777777" w:rsidR="00E90337" w:rsidRPr="00547DFE" w:rsidRDefault="00E90337" w:rsidP="00F32961">
      <w:pPr>
        <w:keepNext/>
        <w:rPr>
          <w:rFonts w:asciiTheme="minorHAnsi" w:hAnsiTheme="minorHAnsi" w:cstheme="minorHAnsi"/>
        </w:rPr>
      </w:pPr>
    </w:p>
    <w:p w14:paraId="7FC1731B" w14:textId="619F5E49" w:rsidR="000C756F" w:rsidRPr="00547DFE" w:rsidRDefault="00413AAB" w:rsidP="00B072AC">
      <w:pPr>
        <w:rPr>
          <w:rFonts w:asciiTheme="minorHAnsi" w:hAnsiTheme="minorHAnsi" w:cstheme="minorHAnsi"/>
        </w:rPr>
      </w:pPr>
      <w:r w:rsidRPr="00547DFE">
        <w:rPr>
          <w:rFonts w:asciiTheme="minorHAnsi" w:hAnsiTheme="minorHAnsi" w:cstheme="minorHAnsi"/>
        </w:rPr>
        <w:t>2</w:t>
      </w:r>
      <w:r w:rsidR="002022B4">
        <w:rPr>
          <w:rFonts w:asciiTheme="minorHAnsi" w:hAnsiTheme="minorHAnsi" w:cstheme="minorHAnsi"/>
        </w:rPr>
        <w:t>6</w:t>
      </w:r>
      <w:r w:rsidR="00362634" w:rsidRPr="00547DFE">
        <w:rPr>
          <w:rFonts w:asciiTheme="minorHAnsi" w:hAnsiTheme="minorHAnsi" w:cstheme="minorHAnsi"/>
        </w:rPr>
        <w:t>.</w:t>
      </w:r>
      <w:r w:rsidR="00362634" w:rsidRPr="00547DFE">
        <w:rPr>
          <w:rFonts w:asciiTheme="minorHAnsi" w:hAnsiTheme="minorHAnsi" w:cstheme="minorHAnsi"/>
        </w:rPr>
        <w:tab/>
        <w:t>During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2634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2634" w:rsidRPr="00547DFE">
        <w:rPr>
          <w:rFonts w:asciiTheme="minorHAnsi" w:hAnsiTheme="minorHAnsi" w:cstheme="minorHAnsi"/>
        </w:rPr>
        <w:t>reporting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2634" w:rsidRPr="00547DFE">
        <w:rPr>
          <w:rFonts w:asciiTheme="minorHAnsi" w:hAnsiTheme="minorHAnsi" w:cstheme="minorHAnsi"/>
        </w:rPr>
        <w:t>period</w:t>
      </w:r>
      <w:r w:rsidR="007255EB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provided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support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designation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6132A">
        <w:rPr>
          <w:rFonts w:asciiTheme="minorHAnsi" w:hAnsiTheme="minorHAnsi" w:cstheme="minorHAnsi"/>
        </w:rPr>
        <w:t>ten</w:t>
      </w:r>
      <w:r w:rsidR="0096132A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Sites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</w:t>
      </w:r>
      <w:r w:rsidR="005D3422" w:rsidRPr="00547DFE">
        <w:rPr>
          <w:rFonts w:asciiTheme="minorHAnsi" w:hAnsiTheme="minorHAnsi" w:cstheme="minorHAnsi"/>
        </w:rPr>
        <w:t>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3422" w:rsidRPr="00547DFE">
        <w:rPr>
          <w:rFonts w:asciiTheme="minorHAnsi" w:hAnsiTheme="minorHAnsi" w:cstheme="minorHAnsi"/>
        </w:rPr>
        <w:t>update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342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3422" w:rsidRPr="00547DFE">
        <w:rPr>
          <w:rFonts w:asciiTheme="minorHAnsi" w:hAnsiTheme="minorHAnsi" w:cstheme="minorHAnsi"/>
        </w:rPr>
        <w:t>information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3422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D3422" w:rsidRPr="00547DFE">
        <w:rPr>
          <w:rFonts w:asciiTheme="minorHAnsi" w:hAnsiTheme="minorHAnsi" w:cstheme="minorHAnsi"/>
        </w:rPr>
        <w:t>seven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existing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Sites</w:t>
      </w:r>
      <w:r w:rsidR="007418A3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418A3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418A3" w:rsidRPr="00547DFE">
        <w:rPr>
          <w:rFonts w:asciiTheme="minorHAnsi" w:hAnsiTheme="minorHAnsi" w:cstheme="minorHAnsi"/>
        </w:rPr>
        <w:t>included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support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transfer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418A3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418A3" w:rsidRPr="00547DFE">
        <w:rPr>
          <w:rFonts w:asciiTheme="minorHAnsi" w:hAnsiTheme="minorHAnsi" w:cstheme="minorHAnsi"/>
        </w:rPr>
        <w:t>data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new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Sites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Information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System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(RSIS),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6132A">
        <w:rPr>
          <w:rFonts w:asciiTheme="minorHAnsi" w:hAnsiTheme="minorHAnsi" w:cstheme="minorHAnsi"/>
        </w:rPr>
        <w:t xml:space="preserve">and </w:t>
      </w:r>
      <w:r w:rsidR="00E90337" w:rsidRPr="00547DFE">
        <w:rPr>
          <w:rFonts w:asciiTheme="minorHAnsi" w:hAnsiTheme="minorHAnsi" w:cstheme="minorHAnsi"/>
        </w:rPr>
        <w:t>publication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translation</w:t>
      </w:r>
      <w:r w:rsidR="0096132A">
        <w:rPr>
          <w:rFonts w:asciiTheme="minorHAnsi" w:hAnsiTheme="minorHAnsi" w:cstheme="minorHAnsi"/>
        </w:rPr>
        <w:t xml:space="preserve"> of Site summaries</w:t>
      </w:r>
      <w:r w:rsidR="00E90337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3B69D7E2" w14:textId="77777777" w:rsidR="000C756F" w:rsidRPr="00547DFE" w:rsidRDefault="000C756F" w:rsidP="00B072AC">
      <w:pPr>
        <w:rPr>
          <w:rFonts w:asciiTheme="minorHAnsi" w:hAnsiTheme="minorHAnsi" w:cstheme="minorHAnsi"/>
        </w:rPr>
      </w:pPr>
    </w:p>
    <w:p w14:paraId="668BC35A" w14:textId="4D34D918" w:rsidR="000C756F" w:rsidRPr="00547DFE" w:rsidRDefault="00413AAB" w:rsidP="00B072AC">
      <w:pPr>
        <w:rPr>
          <w:rFonts w:asciiTheme="minorHAnsi" w:hAnsiTheme="minorHAnsi" w:cstheme="minorHAnsi"/>
          <w:i/>
        </w:rPr>
      </w:pPr>
      <w:r w:rsidRPr="00547DFE">
        <w:rPr>
          <w:rFonts w:asciiTheme="minorHAnsi" w:hAnsiTheme="minorHAnsi" w:cstheme="minorHAnsi"/>
        </w:rPr>
        <w:t>2</w:t>
      </w:r>
      <w:r w:rsidR="002022B4">
        <w:rPr>
          <w:rFonts w:asciiTheme="minorHAnsi" w:hAnsiTheme="minorHAnsi" w:cstheme="minorHAnsi"/>
        </w:rPr>
        <w:t>7</w:t>
      </w:r>
      <w:r w:rsidR="000C756F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C31B4">
        <w:rPr>
          <w:rFonts w:asciiTheme="minorHAnsi" w:hAnsiTheme="minorHAnsi" w:cstheme="minorHAnsi"/>
        </w:rPr>
        <w:tab/>
      </w:r>
      <w:r w:rsidR="000C756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C756F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E2C16">
        <w:rPr>
          <w:rFonts w:asciiTheme="minorHAnsi" w:hAnsiTheme="minorHAnsi" w:cstheme="minorHAnsi"/>
        </w:rPr>
        <w:t>carried out 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C756F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C756F" w:rsidRPr="00547DFE">
        <w:rPr>
          <w:rFonts w:asciiTheme="minorHAnsi" w:hAnsiTheme="minorHAnsi" w:cstheme="minorHAnsi"/>
        </w:rPr>
        <w:t>Advisory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C756F" w:rsidRPr="00547DFE">
        <w:rPr>
          <w:rFonts w:asciiTheme="minorHAnsi" w:hAnsiTheme="minorHAnsi" w:cstheme="minorHAnsi"/>
        </w:rPr>
        <w:t>Mission</w:t>
      </w:r>
      <w:r w:rsidR="00D27DBC">
        <w:rPr>
          <w:rFonts w:asciiTheme="minorHAnsi" w:hAnsiTheme="minorHAnsi" w:cstheme="minorHAnsi"/>
        </w:rPr>
        <w:t xml:space="preserve"> (RAM)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C756F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C756F" w:rsidRPr="00547DFE">
        <w:rPr>
          <w:rFonts w:asciiTheme="minorHAnsi" w:hAnsiTheme="minorHAnsi" w:cstheme="minorHAnsi"/>
        </w:rPr>
        <w:t>Grand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C756F" w:rsidRPr="00547DFE">
        <w:rPr>
          <w:rFonts w:asciiTheme="minorHAnsi" w:hAnsiTheme="minorHAnsi" w:cstheme="minorHAnsi"/>
        </w:rPr>
        <w:t>Ba</w:t>
      </w:r>
      <w:r w:rsidR="00D126FD" w:rsidRPr="00547DFE">
        <w:rPr>
          <w:rFonts w:asciiTheme="minorHAnsi" w:hAnsiTheme="minorHAnsi" w:cstheme="minorHAnsi"/>
        </w:rPr>
        <w:t>ssam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Site,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6132A" w:rsidRPr="00547DFE">
        <w:rPr>
          <w:rFonts w:asciiTheme="minorHAnsi" w:hAnsiTheme="minorHAnsi" w:cstheme="minorHAnsi"/>
        </w:rPr>
        <w:t>C</w:t>
      </w:r>
      <w:r w:rsidR="0096132A">
        <w:rPr>
          <w:rFonts w:asciiTheme="minorHAnsi" w:hAnsiTheme="minorHAnsi" w:cstheme="minorHAnsi"/>
        </w:rPr>
        <w:t>ô</w:t>
      </w:r>
      <w:r w:rsidR="0096132A" w:rsidRPr="00547DFE">
        <w:rPr>
          <w:rFonts w:asciiTheme="minorHAnsi" w:hAnsiTheme="minorHAnsi" w:cstheme="minorHAnsi"/>
        </w:rPr>
        <w:t xml:space="preserve">te </w:t>
      </w:r>
      <w:r w:rsidR="00537965" w:rsidRPr="00547DFE">
        <w:rPr>
          <w:rFonts w:asciiTheme="minorHAnsi" w:hAnsiTheme="minorHAnsi" w:cstheme="minorHAnsi"/>
        </w:rPr>
        <w:t>d’Ivoire</w:t>
      </w:r>
      <w:r w:rsidR="0096132A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37965" w:rsidRPr="00547DFE">
        <w:rPr>
          <w:rFonts w:asciiTheme="minorHAnsi" w:hAnsiTheme="minorHAnsi" w:cstheme="minorHAnsi"/>
        </w:rPr>
        <w:t>from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37965" w:rsidRPr="00547DFE">
        <w:rPr>
          <w:rFonts w:asciiTheme="minorHAnsi" w:hAnsiTheme="minorHAnsi" w:cstheme="minorHAnsi"/>
        </w:rPr>
        <w:t>23</w:t>
      </w:r>
      <w:r w:rsidR="0096132A">
        <w:rPr>
          <w:rFonts w:asciiTheme="minorHAnsi" w:hAnsiTheme="minorHAnsi" w:cstheme="minorHAnsi"/>
        </w:rPr>
        <w:t xml:space="preserve"> to </w:t>
      </w:r>
      <w:r w:rsidR="00537965" w:rsidRPr="00547DFE">
        <w:rPr>
          <w:rFonts w:asciiTheme="minorHAnsi" w:hAnsiTheme="minorHAnsi" w:cstheme="minorHAnsi"/>
        </w:rPr>
        <w:t>30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37965" w:rsidRPr="00547DFE">
        <w:rPr>
          <w:rFonts w:asciiTheme="minorHAnsi" w:hAnsiTheme="minorHAnsi" w:cstheme="minorHAnsi"/>
        </w:rPr>
        <w:t>November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2018</w:t>
      </w:r>
      <w:r w:rsidR="00480640">
        <w:rPr>
          <w:rFonts w:asciiTheme="minorHAnsi" w:hAnsiTheme="minorHAnsi" w:cstheme="minorHAnsi"/>
        </w:rPr>
        <w:t>.</w:t>
      </w:r>
    </w:p>
    <w:p w14:paraId="1AD25420" w14:textId="77777777" w:rsidR="005D3422" w:rsidRPr="00547DFE" w:rsidRDefault="005D3422" w:rsidP="00B072AC">
      <w:pPr>
        <w:ind w:left="0" w:firstLine="0"/>
        <w:rPr>
          <w:rFonts w:asciiTheme="minorHAnsi" w:hAnsiTheme="minorHAnsi" w:cstheme="minorHAnsi"/>
        </w:rPr>
      </w:pPr>
    </w:p>
    <w:p w14:paraId="11F20FD7" w14:textId="4ED6ACB7" w:rsidR="00E90337" w:rsidRPr="00547DFE" w:rsidRDefault="00413AAB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022B4">
        <w:rPr>
          <w:rFonts w:asciiTheme="minorHAnsi" w:hAnsiTheme="minorHAnsi" w:cstheme="minorHAnsi"/>
        </w:rPr>
        <w:t>8</w:t>
      </w:r>
      <w:r w:rsidR="00E90337" w:rsidRPr="00547DFE">
        <w:rPr>
          <w:rFonts w:asciiTheme="minorHAnsi" w:hAnsiTheme="minorHAnsi" w:cstheme="minorHAnsi"/>
        </w:rPr>
        <w:t>.</w:t>
      </w:r>
      <w:r w:rsidR="00E90337" w:rsidRPr="00547DFE">
        <w:rPr>
          <w:rFonts w:asciiTheme="minorHAnsi" w:hAnsiTheme="minorHAnsi" w:cstheme="minorHAnsi"/>
        </w:rPr>
        <w:tab/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F3F91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continue</w:t>
      </w:r>
      <w:r w:rsidR="007F3F91" w:rsidRPr="00547DFE">
        <w:rPr>
          <w:rFonts w:asciiTheme="minorHAnsi" w:hAnsiTheme="minorHAnsi" w:cstheme="minorHAnsi"/>
        </w:rPr>
        <w:t>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efforts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strengthen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“enabling”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role,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use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limited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capacity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resources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more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efficient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strategic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way.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Regarding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capacity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building,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F3F91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engaged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numerous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capacity</w:t>
      </w:r>
      <w:r w:rsidR="007F3F91" w:rsidRPr="00547DFE">
        <w:rPr>
          <w:rFonts w:asciiTheme="minorHAnsi" w:hAnsiTheme="minorHAnsi" w:cstheme="minorHAnsi"/>
        </w:rPr>
        <w:t>-</w:t>
      </w:r>
      <w:r w:rsidR="00E90337" w:rsidRPr="00547DFE">
        <w:rPr>
          <w:rFonts w:asciiTheme="minorHAnsi" w:hAnsiTheme="minorHAnsi" w:cstheme="minorHAnsi"/>
        </w:rPr>
        <w:t>building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efforts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including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training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sessions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workshops.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looking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enhancing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effectiveness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reach,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introduced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internet-based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approaches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particular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use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webinars.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37965" w:rsidRPr="00547DFE">
        <w:rPr>
          <w:rFonts w:asciiTheme="minorHAnsi" w:hAnsiTheme="minorHAnsi" w:cstheme="minorHAnsi"/>
        </w:rPr>
        <w:t>During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3796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37965" w:rsidRPr="00547DFE">
        <w:rPr>
          <w:rFonts w:asciiTheme="minorHAnsi" w:hAnsiTheme="minorHAnsi" w:cstheme="minorHAnsi"/>
        </w:rPr>
        <w:t>reporting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37965" w:rsidRPr="00547DFE">
        <w:rPr>
          <w:rFonts w:asciiTheme="minorHAnsi" w:hAnsiTheme="minorHAnsi" w:cstheme="minorHAnsi"/>
        </w:rPr>
        <w:t>period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four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sessions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organized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provide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training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use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RSIS</w:t>
      </w:r>
      <w:r w:rsidR="00367C12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65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attendees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from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41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Parties.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Results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from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F247D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satisfaction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survey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participants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indicates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a</w:t>
      </w:r>
      <w:r w:rsidR="00D4247A" w:rsidRPr="00547DFE">
        <w:rPr>
          <w:rFonts w:asciiTheme="minorHAnsi" w:hAnsiTheme="minorHAnsi" w:cstheme="minorHAnsi"/>
          <w:color w:val="000000" w:themeColor="text1"/>
        </w:rPr>
        <w:t>ll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the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participants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367C12" w:rsidRPr="00547DFE">
        <w:rPr>
          <w:rFonts w:asciiTheme="minorHAnsi" w:hAnsiTheme="minorHAnsi" w:cstheme="minorHAnsi"/>
          <w:color w:val="000000" w:themeColor="text1"/>
        </w:rPr>
        <w:t>found</w:t>
      </w:r>
      <w:r w:rsidR="00367C12">
        <w:rPr>
          <w:rFonts w:asciiTheme="minorHAnsi" w:hAnsiTheme="minorHAnsi" w:cstheme="minorHAnsi"/>
          <w:color w:val="000000" w:themeColor="text1"/>
        </w:rPr>
        <w:t xml:space="preserve"> the </w:t>
      </w:r>
      <w:r w:rsidR="00D4247A" w:rsidRPr="00547DFE">
        <w:rPr>
          <w:rFonts w:asciiTheme="minorHAnsi" w:hAnsiTheme="minorHAnsi" w:cstheme="minorHAnsi"/>
          <w:color w:val="000000" w:themeColor="text1"/>
        </w:rPr>
        <w:t>webinars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on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367C12">
        <w:rPr>
          <w:rFonts w:asciiTheme="minorHAnsi" w:hAnsiTheme="minorHAnsi" w:cstheme="minorHAnsi"/>
          <w:color w:val="000000" w:themeColor="text1"/>
        </w:rPr>
        <w:t xml:space="preserve">the </w:t>
      </w:r>
      <w:r w:rsidR="00D4247A" w:rsidRPr="00547DFE">
        <w:rPr>
          <w:rFonts w:asciiTheme="minorHAnsi" w:hAnsiTheme="minorHAnsi" w:cstheme="minorHAnsi"/>
          <w:color w:val="000000" w:themeColor="text1"/>
        </w:rPr>
        <w:t>RSIS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useful</w:t>
      </w:r>
      <w:r w:rsidR="00367C12">
        <w:rPr>
          <w:rFonts w:asciiTheme="minorHAnsi" w:hAnsiTheme="minorHAnsi" w:cstheme="minorHAnsi"/>
          <w:color w:val="000000" w:themeColor="text1"/>
        </w:rPr>
        <w:t>,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scoring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an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average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of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4.26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out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of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5</w:t>
      </w:r>
      <w:r w:rsidR="00D4247A" w:rsidRPr="00547DFE">
        <w:rPr>
          <w:rFonts w:asciiTheme="minorHAnsi" w:hAnsiTheme="minorHAnsi" w:cstheme="minorHAnsi"/>
          <w:color w:val="000000" w:themeColor="text1"/>
        </w:rPr>
        <w:t>.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537965" w:rsidRPr="00547DFE">
        <w:rPr>
          <w:rFonts w:asciiTheme="minorHAnsi" w:hAnsiTheme="minorHAnsi" w:cstheme="minorHAnsi"/>
          <w:color w:val="000000" w:themeColor="text1"/>
        </w:rPr>
        <w:t>Among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suggestions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537965" w:rsidRPr="00547DFE">
        <w:rPr>
          <w:rFonts w:asciiTheme="minorHAnsi" w:hAnsiTheme="minorHAnsi" w:cstheme="minorHAnsi"/>
          <w:color w:val="000000" w:themeColor="text1"/>
        </w:rPr>
        <w:t>received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were</w:t>
      </w:r>
      <w:r w:rsidR="00367C12">
        <w:rPr>
          <w:rFonts w:asciiTheme="minorHAnsi" w:hAnsiTheme="minorHAnsi" w:cstheme="minorHAnsi"/>
          <w:color w:val="000000" w:themeColor="text1"/>
        </w:rPr>
        <w:t>:</w:t>
      </w:r>
      <w:r w:rsidR="00367C12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to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make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the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webinars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more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interactive;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to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organize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webinars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covering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specific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part</w:t>
      </w:r>
      <w:r w:rsidR="00657FD9" w:rsidRPr="00547DFE">
        <w:rPr>
          <w:rFonts w:asciiTheme="minorHAnsi" w:hAnsiTheme="minorHAnsi" w:cstheme="minorHAnsi"/>
          <w:color w:val="000000" w:themeColor="text1"/>
        </w:rPr>
        <w:t>s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of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the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657FD9" w:rsidRPr="00547DFE">
        <w:rPr>
          <w:rFonts w:asciiTheme="minorHAnsi" w:hAnsiTheme="minorHAnsi" w:cstheme="minorHAnsi"/>
          <w:color w:val="000000" w:themeColor="text1"/>
        </w:rPr>
        <w:t>RSIS</w:t>
      </w:r>
      <w:r w:rsidR="00D4247A" w:rsidRPr="00547DFE">
        <w:rPr>
          <w:rFonts w:asciiTheme="minorHAnsi" w:hAnsiTheme="minorHAnsi" w:cstheme="minorHAnsi"/>
          <w:color w:val="000000" w:themeColor="text1"/>
        </w:rPr>
        <w:t>,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367C12" w:rsidRPr="00547DFE">
        <w:rPr>
          <w:rFonts w:asciiTheme="minorHAnsi" w:hAnsiTheme="minorHAnsi" w:cstheme="minorHAnsi"/>
          <w:color w:val="000000" w:themeColor="text1"/>
        </w:rPr>
        <w:t>us</w:t>
      </w:r>
      <w:r w:rsidR="00367C12">
        <w:rPr>
          <w:rFonts w:asciiTheme="minorHAnsi" w:hAnsiTheme="minorHAnsi" w:cstheme="minorHAnsi"/>
          <w:color w:val="000000" w:themeColor="text1"/>
        </w:rPr>
        <w:t>ing</w:t>
      </w:r>
      <w:r w:rsidR="00367C12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real</w:t>
      </w:r>
      <w:r w:rsidR="00367C12">
        <w:rPr>
          <w:rFonts w:asciiTheme="minorHAnsi" w:hAnsiTheme="minorHAnsi" w:cstheme="minorHAnsi"/>
          <w:color w:val="000000" w:themeColor="text1"/>
        </w:rPr>
        <w:t>-</w:t>
      </w:r>
      <w:r w:rsidR="00D4247A" w:rsidRPr="00547DFE">
        <w:rPr>
          <w:rFonts w:asciiTheme="minorHAnsi" w:hAnsiTheme="minorHAnsi" w:cstheme="minorHAnsi"/>
          <w:color w:val="000000" w:themeColor="text1"/>
        </w:rPr>
        <w:t>life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examples</w:t>
      </w:r>
      <w:r w:rsidR="00AE68DB" w:rsidRPr="00547DFE">
        <w:rPr>
          <w:rFonts w:asciiTheme="minorHAnsi" w:hAnsiTheme="minorHAnsi" w:cstheme="minorHAnsi"/>
          <w:color w:val="000000" w:themeColor="text1"/>
        </w:rPr>
        <w:t>;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AE68DB" w:rsidRPr="00547DFE">
        <w:rPr>
          <w:rFonts w:asciiTheme="minorHAnsi" w:hAnsiTheme="minorHAnsi" w:cstheme="minorHAnsi"/>
          <w:color w:val="000000" w:themeColor="text1"/>
        </w:rPr>
        <w:t>and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AE68DB" w:rsidRPr="00547DFE">
        <w:rPr>
          <w:rFonts w:asciiTheme="minorHAnsi" w:hAnsiTheme="minorHAnsi" w:cstheme="minorHAnsi"/>
          <w:color w:val="000000" w:themeColor="text1"/>
        </w:rPr>
        <w:t>to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AE68DB" w:rsidRPr="00547DFE">
        <w:rPr>
          <w:rFonts w:asciiTheme="minorHAnsi" w:hAnsiTheme="minorHAnsi" w:cstheme="minorHAnsi"/>
          <w:color w:val="000000" w:themeColor="text1"/>
        </w:rPr>
        <w:t>organize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training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on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the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functioning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of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negotiations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during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COP</w:t>
      </w:r>
      <w:r w:rsidR="00AE68DB" w:rsidRPr="00547DFE">
        <w:rPr>
          <w:rFonts w:asciiTheme="minorHAnsi" w:hAnsiTheme="minorHAnsi" w:cstheme="minorHAnsi"/>
          <w:color w:val="000000" w:themeColor="text1"/>
        </w:rPr>
        <w:t>s</w:t>
      </w:r>
      <w:r w:rsidR="00537965" w:rsidRPr="00547DFE">
        <w:rPr>
          <w:rFonts w:asciiTheme="minorHAnsi" w:hAnsiTheme="minorHAnsi" w:cstheme="minorHAnsi"/>
          <w:color w:val="000000" w:themeColor="text1"/>
        </w:rPr>
        <w:t>,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367C12">
        <w:rPr>
          <w:rFonts w:asciiTheme="minorHAnsi" w:hAnsiTheme="minorHAnsi" w:cstheme="minorHAnsi"/>
          <w:color w:val="000000" w:themeColor="text1"/>
        </w:rPr>
        <w:t xml:space="preserve">on </w:t>
      </w:r>
      <w:r w:rsidR="00537965" w:rsidRPr="00547DFE">
        <w:rPr>
          <w:rFonts w:asciiTheme="minorHAnsi" w:hAnsiTheme="minorHAnsi" w:cstheme="minorHAnsi"/>
          <w:color w:val="000000" w:themeColor="text1"/>
        </w:rPr>
        <w:t>how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Convention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bodies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work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and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367C12">
        <w:rPr>
          <w:rFonts w:asciiTheme="minorHAnsi" w:hAnsiTheme="minorHAnsi" w:cstheme="minorHAnsi"/>
          <w:color w:val="000000" w:themeColor="text1"/>
        </w:rPr>
        <w:t xml:space="preserve">on </w:t>
      </w:r>
      <w:r w:rsidR="00D4247A" w:rsidRPr="00547DFE">
        <w:rPr>
          <w:rFonts w:asciiTheme="minorHAnsi" w:hAnsiTheme="minorHAnsi" w:cstheme="minorHAnsi"/>
          <w:color w:val="000000" w:themeColor="text1"/>
        </w:rPr>
        <w:t>Ramsar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367C12">
        <w:rPr>
          <w:rFonts w:asciiTheme="minorHAnsi" w:hAnsiTheme="minorHAnsi" w:cstheme="minorHAnsi"/>
          <w:color w:val="000000" w:themeColor="text1"/>
        </w:rPr>
        <w:t>S</w:t>
      </w:r>
      <w:r w:rsidR="00D4247A" w:rsidRPr="00547DFE">
        <w:rPr>
          <w:rFonts w:asciiTheme="minorHAnsi" w:hAnsiTheme="minorHAnsi" w:cstheme="minorHAnsi"/>
          <w:color w:val="000000" w:themeColor="text1"/>
        </w:rPr>
        <w:t>ite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management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and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wise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use.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More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regular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715BC7" w:rsidRPr="00547DFE">
        <w:rPr>
          <w:rFonts w:asciiTheme="minorHAnsi" w:hAnsiTheme="minorHAnsi" w:cstheme="minorHAnsi"/>
          <w:color w:val="000000" w:themeColor="text1"/>
        </w:rPr>
        <w:t>training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sessions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were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D4247A" w:rsidRPr="00547DFE">
        <w:rPr>
          <w:rFonts w:asciiTheme="minorHAnsi" w:hAnsiTheme="minorHAnsi" w:cstheme="minorHAnsi"/>
          <w:color w:val="000000" w:themeColor="text1"/>
        </w:rPr>
        <w:t>requested.</w:t>
      </w:r>
      <w:r w:rsidR="00E80EDB" w:rsidRPr="00547DFE">
        <w:rPr>
          <w:rFonts w:asciiTheme="minorHAnsi" w:hAnsiTheme="minorHAnsi" w:cstheme="minorHAnsi"/>
          <w:color w:val="000000" w:themeColor="text1"/>
        </w:rPr>
        <w:t xml:space="preserve"> </w:t>
      </w:r>
      <w:r w:rsidR="00A23058" w:rsidRPr="00547DFE">
        <w:rPr>
          <w:rFonts w:asciiTheme="minorHAnsi" w:hAnsiTheme="minorHAnsi" w:cstheme="minorHAnsi"/>
        </w:rPr>
        <w:t>Efforts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are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underway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put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place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more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effective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coordinated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whole-of-Secretariat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approach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capacity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building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including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use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23058" w:rsidRPr="00547DFE">
        <w:rPr>
          <w:rFonts w:asciiTheme="minorHAnsi" w:hAnsiTheme="minorHAnsi" w:cstheme="minorHAnsi"/>
        </w:rPr>
        <w:t>t</w:t>
      </w:r>
      <w:r w:rsidR="00715BC7" w:rsidRPr="00547DFE">
        <w:rPr>
          <w:rFonts w:asciiTheme="minorHAnsi" w:hAnsiTheme="minorHAnsi" w:cstheme="minorHAnsi"/>
        </w:rPr>
        <w:t>ype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cost-effective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approach</w:t>
      </w:r>
      <w:r w:rsidR="00A23058" w:rsidRPr="00547DFE">
        <w:rPr>
          <w:rFonts w:asciiTheme="minorHAnsi" w:hAnsiTheme="minorHAnsi" w:cstheme="minorHAnsi"/>
        </w:rPr>
        <w:t>.</w:t>
      </w:r>
    </w:p>
    <w:p w14:paraId="0E567823" w14:textId="77777777" w:rsidR="00123272" w:rsidRPr="00547DFE" w:rsidRDefault="00123272" w:rsidP="00B072AC">
      <w:pPr>
        <w:ind w:left="0" w:firstLine="0"/>
        <w:rPr>
          <w:rFonts w:asciiTheme="minorHAnsi" w:hAnsiTheme="minorHAnsi" w:cstheme="minorHAnsi"/>
        </w:rPr>
      </w:pPr>
    </w:p>
    <w:p w14:paraId="264B7FB4" w14:textId="0E85DA08" w:rsidR="00E90337" w:rsidRPr="00547DFE" w:rsidRDefault="002022B4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123272" w:rsidRPr="00547DFE">
        <w:rPr>
          <w:rFonts w:asciiTheme="minorHAnsi" w:hAnsiTheme="minorHAnsi" w:cstheme="minorHAnsi"/>
        </w:rPr>
        <w:t>.</w:t>
      </w:r>
      <w:r w:rsidR="00123272" w:rsidRPr="00547DFE">
        <w:rPr>
          <w:rFonts w:asciiTheme="minorHAnsi" w:hAnsiTheme="minorHAnsi" w:cstheme="minorHAnsi"/>
        </w:rPr>
        <w:tab/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23272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23272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2327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2327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23272" w:rsidRPr="00547DFE">
        <w:rPr>
          <w:rFonts w:asciiTheme="minorHAnsi" w:hAnsiTheme="minorHAnsi" w:cstheme="minorHAnsi"/>
        </w:rPr>
        <w:t>process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2327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23272" w:rsidRPr="00547DFE">
        <w:rPr>
          <w:rFonts w:asciiTheme="minorHAnsi" w:hAnsiTheme="minorHAnsi" w:cstheme="minorHAnsi"/>
        </w:rPr>
        <w:t>renewing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partnership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Danone</w:t>
      </w:r>
      <w:r w:rsidR="00123272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</w:t>
      </w:r>
      <w:r w:rsidR="00123272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23272" w:rsidRPr="00547DFE">
        <w:rPr>
          <w:rFonts w:asciiTheme="minorHAnsi" w:hAnsiTheme="minorHAnsi" w:cstheme="minorHAnsi"/>
        </w:rPr>
        <w:t>partnership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23272" w:rsidRPr="00547DFE">
        <w:rPr>
          <w:rFonts w:asciiTheme="minorHAnsi" w:hAnsiTheme="minorHAnsi" w:cstheme="minorHAnsi"/>
        </w:rPr>
        <w:t>extension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23272" w:rsidRPr="00547DFE">
        <w:rPr>
          <w:rFonts w:asciiTheme="minorHAnsi" w:hAnsiTheme="minorHAnsi" w:cstheme="minorHAnsi"/>
        </w:rPr>
        <w:t>will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23272" w:rsidRPr="00547DFE">
        <w:rPr>
          <w:rFonts w:asciiTheme="minorHAnsi" w:hAnsiTheme="minorHAnsi" w:cstheme="minorHAnsi"/>
        </w:rPr>
        <w:t>provide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23272" w:rsidRPr="00547DFE">
        <w:rPr>
          <w:rFonts w:asciiTheme="minorHAnsi" w:hAnsiTheme="minorHAnsi" w:cstheme="minorHAnsi"/>
        </w:rPr>
        <w:t>resources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23272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activities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increase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visibility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awareness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</w:t>
      </w:r>
      <w:r w:rsidR="00715BC7" w:rsidRPr="00547DFE">
        <w:rPr>
          <w:rFonts w:asciiTheme="minorHAnsi" w:hAnsiTheme="minorHAnsi" w:cstheme="minorHAnsi"/>
        </w:rPr>
        <w:t>onvention.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partnership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will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support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Danone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developing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validated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sustainable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watershed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management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</w:t>
      </w:r>
      <w:r w:rsidR="00715BC7" w:rsidRPr="00547DFE">
        <w:rPr>
          <w:rFonts w:asciiTheme="minorHAnsi" w:hAnsiTheme="minorHAnsi" w:cstheme="minorHAnsi"/>
        </w:rPr>
        <w:t>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climate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change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tools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methodologies.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E2C16">
        <w:rPr>
          <w:rFonts w:asciiTheme="minorHAnsi" w:hAnsiTheme="minorHAnsi" w:cstheme="minorHAnsi"/>
        </w:rPr>
        <w:t>Following a change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Danone’s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priorities,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need</w:t>
      </w:r>
      <w:r w:rsidR="002419E4">
        <w:rPr>
          <w:rFonts w:asciiTheme="minorHAnsi" w:hAnsiTheme="minorHAnsi" w:cstheme="minorHAnsi"/>
        </w:rPr>
        <w:t>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raise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additional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funds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World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Day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celebrations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Awards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programme.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Danone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partnership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continues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open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doors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new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opportunities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such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potential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collaboration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Livelihoods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Fund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CEO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Water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Mandate</w:t>
      </w:r>
      <w:r w:rsidR="00715BC7" w:rsidRPr="00547DFE">
        <w:rPr>
          <w:rFonts w:asciiTheme="minorHAnsi" w:hAnsiTheme="minorHAnsi" w:cstheme="minorHAnsi"/>
        </w:rPr>
        <w:t>.</w:t>
      </w:r>
    </w:p>
    <w:p w14:paraId="396EDD94" w14:textId="77777777" w:rsidR="00123272" w:rsidRPr="00547DFE" w:rsidRDefault="00123272" w:rsidP="00B072AC">
      <w:pPr>
        <w:rPr>
          <w:rFonts w:asciiTheme="minorHAnsi" w:hAnsiTheme="minorHAnsi" w:cstheme="minorHAnsi"/>
        </w:rPr>
      </w:pPr>
    </w:p>
    <w:p w14:paraId="6D3751A7" w14:textId="1FD1903E" w:rsidR="00E90337" w:rsidRPr="00547DFE" w:rsidRDefault="00413AAB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022B4">
        <w:rPr>
          <w:rFonts w:asciiTheme="minorHAnsi" w:hAnsiTheme="minorHAnsi" w:cstheme="minorHAnsi"/>
        </w:rPr>
        <w:t>0</w:t>
      </w:r>
      <w:r w:rsidR="0093199F" w:rsidRPr="00547DFE">
        <w:rPr>
          <w:rFonts w:asciiTheme="minorHAnsi" w:hAnsiTheme="minorHAnsi" w:cstheme="minorHAnsi"/>
        </w:rPr>
        <w:t>.</w:t>
      </w:r>
      <w:r w:rsidR="0093199F" w:rsidRPr="00547DFE">
        <w:rPr>
          <w:rFonts w:asciiTheme="minorHAnsi" w:hAnsiTheme="minorHAnsi" w:cstheme="minorHAnsi"/>
        </w:rPr>
        <w:tab/>
        <w:t>T</w:t>
      </w:r>
      <w:r w:rsidR="00E90337" w:rsidRPr="00547DFE">
        <w:rPr>
          <w:rFonts w:asciiTheme="minorHAnsi" w:hAnsiTheme="minorHAnsi" w:cstheme="minorHAnsi"/>
        </w:rPr>
        <w:t>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continues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65CD7" w:rsidRPr="00547DFE">
        <w:rPr>
          <w:rFonts w:asciiTheme="minorHAnsi" w:hAnsiTheme="minorHAnsi" w:cstheme="minorHAnsi"/>
        </w:rPr>
        <w:t>strengthened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collaborat</w:t>
      </w:r>
      <w:r w:rsidR="00E65CD7" w:rsidRPr="00547DFE">
        <w:rPr>
          <w:rFonts w:asciiTheme="minorHAnsi" w:hAnsiTheme="minorHAnsi" w:cstheme="minorHAnsi"/>
        </w:rPr>
        <w:t>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BC7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I</w:t>
      </w:r>
      <w:r w:rsidR="00E65CD7" w:rsidRPr="00547DFE">
        <w:rPr>
          <w:rFonts w:asciiTheme="minorHAnsi" w:hAnsiTheme="minorHAnsi" w:cstheme="minorHAnsi"/>
        </w:rPr>
        <w:t>nternational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O</w:t>
      </w:r>
      <w:r w:rsidR="00E65CD7" w:rsidRPr="00547DFE">
        <w:rPr>
          <w:rFonts w:asciiTheme="minorHAnsi" w:hAnsiTheme="minorHAnsi" w:cstheme="minorHAnsi"/>
        </w:rPr>
        <w:t>rganization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P</w:t>
      </w:r>
      <w:r w:rsidR="00E65CD7" w:rsidRPr="00547DFE">
        <w:rPr>
          <w:rFonts w:asciiTheme="minorHAnsi" w:hAnsiTheme="minorHAnsi" w:cstheme="minorHAnsi"/>
        </w:rPr>
        <w:t>artner</w:t>
      </w:r>
      <w:r w:rsidR="0093199F" w:rsidRPr="00547DFE">
        <w:rPr>
          <w:rFonts w:asciiTheme="minorHAnsi" w:hAnsiTheme="minorHAnsi" w:cstheme="minorHAnsi"/>
        </w:rPr>
        <w:t>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meeting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review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implementation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Joint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Activities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Collaboration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65CD7" w:rsidRPr="00547DFE">
        <w:rPr>
          <w:rFonts w:asciiTheme="minorHAnsi" w:hAnsiTheme="minorHAnsi" w:cstheme="minorHAnsi"/>
        </w:rPr>
        <w:t>renewed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Memorandum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Cooperation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held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margins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2071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COP13.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During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55A5E" w:rsidRPr="00547DFE">
        <w:rPr>
          <w:rFonts w:asciiTheme="minorHAnsi" w:hAnsiTheme="minorHAnsi" w:cstheme="minorHAnsi"/>
        </w:rPr>
        <w:t>meeting,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number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joint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communications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activities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agreed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including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2071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2071" w:rsidRPr="00547DFE">
        <w:rPr>
          <w:rFonts w:asciiTheme="minorHAnsi" w:hAnsiTheme="minorHAnsi" w:cstheme="minorHAnsi"/>
        </w:rPr>
        <w:t>issuance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2071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joint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statement</w:t>
      </w:r>
      <w:r w:rsidR="0093199F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production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World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Day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materials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dissemination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  <w:i/>
        </w:rPr>
        <w:t>Global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3199F" w:rsidRPr="00547DFE">
        <w:rPr>
          <w:rFonts w:asciiTheme="minorHAnsi" w:hAnsiTheme="minorHAnsi" w:cstheme="minorHAnsi"/>
          <w:i/>
        </w:rPr>
        <w:t>Wetland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93199F" w:rsidRPr="00547DFE">
        <w:rPr>
          <w:rFonts w:asciiTheme="minorHAnsi" w:hAnsiTheme="minorHAnsi" w:cstheme="minorHAnsi"/>
          <w:i/>
        </w:rPr>
        <w:t>Outlook</w:t>
      </w:r>
      <w:r w:rsidR="0093199F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4A86" w:rsidRPr="00547DFE">
        <w:rPr>
          <w:rFonts w:asciiTheme="minorHAnsi" w:hAnsiTheme="minorHAnsi" w:cstheme="minorHAnsi"/>
        </w:rPr>
        <w:t>New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4A86" w:rsidRPr="00547DFE">
        <w:rPr>
          <w:rFonts w:asciiTheme="minorHAnsi" w:hAnsiTheme="minorHAnsi" w:cstheme="minorHAnsi"/>
        </w:rPr>
        <w:t>areas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4A86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4A86" w:rsidRPr="00547DFE">
        <w:rPr>
          <w:rFonts w:asciiTheme="minorHAnsi" w:hAnsiTheme="minorHAnsi" w:cstheme="minorHAnsi"/>
        </w:rPr>
        <w:t>collaboration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4A86" w:rsidRPr="00547DFE">
        <w:rPr>
          <w:rFonts w:asciiTheme="minorHAnsi" w:hAnsiTheme="minorHAnsi" w:cstheme="minorHAnsi"/>
        </w:rPr>
        <w:t>include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27DBC" w:rsidRPr="00547DFE">
        <w:rPr>
          <w:rFonts w:asciiTheme="minorHAnsi" w:hAnsiTheme="minorHAnsi" w:cstheme="minorHAnsi"/>
        </w:rPr>
        <w:t xml:space="preserve">IOPs </w:t>
      </w:r>
      <w:r w:rsidR="00574C6F" w:rsidRPr="00547DFE">
        <w:rPr>
          <w:rFonts w:asciiTheme="minorHAnsi" w:hAnsiTheme="minorHAnsi" w:cstheme="minorHAnsi"/>
        </w:rPr>
        <w:t>featuring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more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prominently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27DBC">
        <w:rPr>
          <w:rFonts w:asciiTheme="minorHAnsi" w:hAnsiTheme="minorHAnsi" w:cstheme="minorHAnsi"/>
        </w:rPr>
        <w:t xml:space="preserve">their </w:t>
      </w:r>
      <w:r w:rsidR="00574C6F" w:rsidRPr="00547DFE">
        <w:rPr>
          <w:rFonts w:asciiTheme="minorHAnsi" w:hAnsiTheme="minorHAnsi" w:cstheme="minorHAnsi"/>
        </w:rPr>
        <w:t>visibility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engagement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campaigns,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joint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outreach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private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sector,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shared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post</w:t>
      </w:r>
      <w:r w:rsidR="00A93AE9" w:rsidRPr="00547DFE">
        <w:rPr>
          <w:rFonts w:asciiTheme="minorHAnsi" w:hAnsiTheme="minorHAnsi" w:cstheme="minorHAnsi"/>
        </w:rPr>
        <w:t>-</w:t>
      </w:r>
      <w:r w:rsidR="00574C6F" w:rsidRPr="00547DFE">
        <w:rPr>
          <w:rFonts w:asciiTheme="minorHAnsi" w:hAnsiTheme="minorHAnsi" w:cstheme="minorHAnsi"/>
        </w:rPr>
        <w:t>2020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74C6F" w:rsidRPr="00547DFE">
        <w:rPr>
          <w:rFonts w:asciiTheme="minorHAnsi" w:hAnsiTheme="minorHAnsi" w:cstheme="minorHAnsi"/>
        </w:rPr>
        <w:t>messaging.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follow-up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teleconference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held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4A86" w:rsidRPr="00547DFE">
        <w:rPr>
          <w:rFonts w:asciiTheme="minorHAnsi" w:hAnsiTheme="minorHAnsi" w:cstheme="minorHAnsi"/>
        </w:rPr>
        <w:t>8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4A86" w:rsidRPr="00547DFE">
        <w:rPr>
          <w:rFonts w:asciiTheme="minorHAnsi" w:hAnsiTheme="minorHAnsi" w:cstheme="minorHAnsi"/>
        </w:rPr>
        <w:t>March</w:t>
      </w:r>
      <w:r w:rsidR="00D27DBC">
        <w:rPr>
          <w:rFonts w:asciiTheme="minorHAnsi" w:hAnsiTheme="minorHAnsi" w:cstheme="minorHAnsi"/>
        </w:rPr>
        <w:t xml:space="preserve"> 2019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review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progress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discuss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future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plans.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7E445A2B" w14:textId="77777777" w:rsidR="00E90337" w:rsidRPr="00547DFE" w:rsidRDefault="00E90337" w:rsidP="00B072AC">
      <w:pPr>
        <w:ind w:left="0" w:firstLine="0"/>
        <w:rPr>
          <w:rFonts w:asciiTheme="minorHAnsi" w:hAnsiTheme="minorHAnsi" w:cstheme="minorHAnsi"/>
        </w:rPr>
      </w:pPr>
    </w:p>
    <w:p w14:paraId="1F44100B" w14:textId="680AAD4D" w:rsidR="00E90337" w:rsidRPr="00547DFE" w:rsidRDefault="00413AAB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022B4">
        <w:rPr>
          <w:rFonts w:asciiTheme="minorHAnsi" w:hAnsiTheme="minorHAnsi" w:cstheme="minorHAnsi"/>
        </w:rPr>
        <w:t>1</w:t>
      </w:r>
      <w:r w:rsidR="00E90337" w:rsidRPr="00547DFE">
        <w:rPr>
          <w:rFonts w:asciiTheme="minorHAnsi" w:hAnsiTheme="minorHAnsi" w:cstheme="minorHAnsi"/>
        </w:rPr>
        <w:t>.</w:t>
      </w:r>
      <w:r w:rsidR="00E90337" w:rsidRPr="00547DFE">
        <w:rPr>
          <w:rFonts w:asciiTheme="minorHAnsi" w:hAnsiTheme="minorHAnsi" w:cstheme="minorHAnsi"/>
        </w:rPr>
        <w:tab/>
      </w:r>
      <w:r w:rsidR="0050555F" w:rsidRPr="00547DFE">
        <w:rPr>
          <w:rFonts w:asciiTheme="minorHAnsi" w:hAnsiTheme="minorHAnsi" w:cstheme="minorHAnsi"/>
        </w:rPr>
        <w:t>T</w:t>
      </w:r>
      <w:r w:rsidR="0093199F" w:rsidRPr="00547DFE">
        <w:rPr>
          <w:rFonts w:asciiTheme="minorHAnsi" w:hAnsiTheme="minorHAnsi" w:cstheme="minorHAnsi"/>
        </w:rPr>
        <w:t>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Resource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Mobilization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Plan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updated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reflect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new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non-core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funding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priorities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identified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A66F6" w:rsidRPr="00547DFE">
        <w:rPr>
          <w:rFonts w:asciiTheme="minorHAnsi" w:hAnsiTheme="minorHAnsi" w:cstheme="minorHAnsi"/>
        </w:rPr>
        <w:t>Annex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A66F6" w:rsidRPr="00547DFE">
        <w:rPr>
          <w:rFonts w:asciiTheme="minorHAnsi" w:hAnsiTheme="minorHAnsi" w:cstheme="minorHAnsi"/>
        </w:rPr>
        <w:t>3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A66F6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Resolution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3199F" w:rsidRPr="00547DFE">
        <w:rPr>
          <w:rFonts w:asciiTheme="minorHAnsi" w:hAnsiTheme="minorHAnsi" w:cstheme="minorHAnsi"/>
        </w:rPr>
        <w:t>XIII.</w:t>
      </w:r>
      <w:r w:rsidR="00843622" w:rsidRPr="00547DFE">
        <w:rPr>
          <w:rFonts w:asciiTheme="minorHAnsi" w:hAnsiTheme="minorHAnsi" w:cstheme="minorHAnsi"/>
        </w:rPr>
        <w:t>2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A66F6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A66F6" w:rsidRPr="00547DFE">
        <w:rPr>
          <w:rFonts w:asciiTheme="minorHAnsi" w:hAnsiTheme="minorHAnsi" w:cstheme="minorHAnsi"/>
          <w:i/>
        </w:rPr>
        <w:t>Financial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BA66F6" w:rsidRPr="00547DFE">
        <w:rPr>
          <w:rFonts w:asciiTheme="minorHAnsi" w:hAnsiTheme="minorHAnsi" w:cstheme="minorHAnsi"/>
          <w:i/>
        </w:rPr>
        <w:t>and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BA66F6" w:rsidRPr="00547DFE">
        <w:rPr>
          <w:rFonts w:asciiTheme="minorHAnsi" w:hAnsiTheme="minorHAnsi" w:cstheme="minorHAnsi"/>
          <w:i/>
        </w:rPr>
        <w:t>budgetary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BA66F6" w:rsidRPr="00547DFE">
        <w:rPr>
          <w:rFonts w:asciiTheme="minorHAnsi" w:hAnsiTheme="minorHAnsi" w:cstheme="minorHAnsi"/>
          <w:i/>
        </w:rPr>
        <w:t>matters</w:t>
      </w:r>
      <w:r w:rsidR="00843622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During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period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82ED0" w:rsidRPr="00547DFE">
        <w:rPr>
          <w:rFonts w:asciiTheme="minorHAnsi" w:hAnsiTheme="minorHAnsi" w:cstheme="minorHAnsi"/>
        </w:rPr>
        <w:t>report,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database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potential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A510E" w:rsidRPr="00547DFE">
        <w:rPr>
          <w:rFonts w:asciiTheme="minorHAnsi" w:hAnsiTheme="minorHAnsi" w:cstheme="minorHAnsi"/>
        </w:rPr>
        <w:t>funders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completed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funding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proposals</w:t>
      </w:r>
      <w:r w:rsidR="00991E80" w:rsidRPr="00547DFE">
        <w:rPr>
          <w:rFonts w:asciiTheme="minorHAnsi" w:hAnsiTheme="minorHAnsi" w:cstheme="minorHAnsi"/>
        </w:rPr>
        <w:t>/templates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27DBC">
        <w:rPr>
          <w:rFonts w:asciiTheme="minorHAnsi" w:hAnsiTheme="minorHAnsi" w:cstheme="minorHAnsi"/>
        </w:rPr>
        <w:t>g</w:t>
      </w:r>
      <w:r w:rsidR="00D27DBC" w:rsidRPr="00547DFE">
        <w:rPr>
          <w:rFonts w:asciiTheme="minorHAnsi" w:hAnsiTheme="minorHAnsi" w:cstheme="minorHAnsi"/>
        </w:rPr>
        <w:t>ender</w:t>
      </w:r>
      <w:r w:rsidR="00843622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4A86" w:rsidRPr="00547DFE">
        <w:rPr>
          <w:rFonts w:asciiTheme="minorHAnsi" w:hAnsiTheme="minorHAnsi" w:cstheme="minorHAnsi"/>
        </w:rPr>
        <w:t>RAMs,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27DBC">
        <w:rPr>
          <w:rFonts w:asciiTheme="minorHAnsi" w:hAnsiTheme="minorHAnsi" w:cstheme="minorHAnsi"/>
        </w:rPr>
        <w:t xml:space="preserve">Ramsar </w:t>
      </w:r>
      <w:r w:rsidR="00D44A86" w:rsidRPr="00547DFE">
        <w:rPr>
          <w:rFonts w:asciiTheme="minorHAnsi" w:hAnsiTheme="minorHAnsi" w:cstheme="minorHAnsi"/>
        </w:rPr>
        <w:t>Regional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4A86" w:rsidRPr="00547DFE">
        <w:rPr>
          <w:rFonts w:asciiTheme="minorHAnsi" w:hAnsiTheme="minorHAnsi" w:cstheme="minorHAnsi"/>
        </w:rPr>
        <w:t>Initiatives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4A86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4A86" w:rsidRPr="00547DFE">
        <w:rPr>
          <w:rFonts w:asciiTheme="minorHAnsi" w:hAnsiTheme="minorHAnsi" w:cstheme="minorHAnsi"/>
        </w:rPr>
        <w:t>W</w:t>
      </w:r>
      <w:r w:rsidR="00843622" w:rsidRPr="00547DFE">
        <w:rPr>
          <w:rFonts w:asciiTheme="minorHAnsi" w:hAnsiTheme="minorHAnsi" w:cstheme="minorHAnsi"/>
        </w:rPr>
        <w:t>orld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Day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have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completed.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Outreach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potential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funders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these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547DFE">
        <w:rPr>
          <w:rFonts w:asciiTheme="minorHAnsi" w:hAnsiTheme="minorHAnsi" w:cstheme="minorHAnsi"/>
        </w:rPr>
        <w:t>priority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43622" w:rsidRPr="00D27DBC">
        <w:rPr>
          <w:rFonts w:asciiTheme="minorHAnsi" w:hAnsiTheme="minorHAnsi" w:cstheme="minorHAnsi"/>
        </w:rPr>
        <w:t>activities</w:t>
      </w:r>
      <w:r w:rsidR="00E80EDB" w:rsidRPr="00D27DBC">
        <w:rPr>
          <w:rFonts w:asciiTheme="minorHAnsi" w:hAnsiTheme="minorHAnsi" w:cstheme="minorHAnsi"/>
        </w:rPr>
        <w:t xml:space="preserve"> </w:t>
      </w:r>
      <w:r w:rsidR="00843622" w:rsidRPr="00D27DBC">
        <w:rPr>
          <w:rFonts w:asciiTheme="minorHAnsi" w:hAnsiTheme="minorHAnsi" w:cstheme="minorHAnsi"/>
        </w:rPr>
        <w:t>has</w:t>
      </w:r>
      <w:r w:rsidR="00E80EDB" w:rsidRPr="00D27DBC">
        <w:rPr>
          <w:rFonts w:asciiTheme="minorHAnsi" w:hAnsiTheme="minorHAnsi" w:cstheme="minorHAnsi"/>
        </w:rPr>
        <w:t xml:space="preserve"> </w:t>
      </w:r>
      <w:r w:rsidR="00843622" w:rsidRPr="00D27DBC">
        <w:rPr>
          <w:rFonts w:asciiTheme="minorHAnsi" w:hAnsiTheme="minorHAnsi" w:cstheme="minorHAnsi"/>
        </w:rPr>
        <w:t>begun.</w:t>
      </w:r>
      <w:r w:rsidR="00E80EDB" w:rsidRPr="00D27DBC">
        <w:rPr>
          <w:rFonts w:asciiTheme="minorHAnsi" w:hAnsiTheme="minorHAnsi" w:cstheme="minorHAnsi"/>
        </w:rPr>
        <w:t xml:space="preserve"> </w:t>
      </w:r>
      <w:r w:rsidR="00843622" w:rsidRPr="00D27DBC">
        <w:rPr>
          <w:rFonts w:asciiTheme="minorHAnsi" w:hAnsiTheme="minorHAnsi" w:cstheme="minorHAnsi"/>
        </w:rPr>
        <w:t>Full</w:t>
      </w:r>
      <w:r w:rsidR="00E80EDB" w:rsidRPr="00D27DBC">
        <w:rPr>
          <w:rFonts w:asciiTheme="minorHAnsi" w:hAnsiTheme="minorHAnsi" w:cstheme="minorHAnsi"/>
        </w:rPr>
        <w:t xml:space="preserve"> </w:t>
      </w:r>
      <w:r w:rsidR="00843622" w:rsidRPr="00D27DBC">
        <w:rPr>
          <w:rFonts w:asciiTheme="minorHAnsi" w:hAnsiTheme="minorHAnsi" w:cstheme="minorHAnsi"/>
        </w:rPr>
        <w:t>details</w:t>
      </w:r>
      <w:r w:rsidR="00E80EDB" w:rsidRPr="00D27DBC">
        <w:rPr>
          <w:rFonts w:asciiTheme="minorHAnsi" w:hAnsiTheme="minorHAnsi" w:cstheme="minorHAnsi"/>
        </w:rPr>
        <w:t xml:space="preserve"> </w:t>
      </w:r>
      <w:r w:rsidR="00843622" w:rsidRPr="00D27DBC">
        <w:rPr>
          <w:rFonts w:asciiTheme="minorHAnsi" w:hAnsiTheme="minorHAnsi" w:cstheme="minorHAnsi"/>
        </w:rPr>
        <w:t>of</w:t>
      </w:r>
      <w:r w:rsidR="00E80EDB" w:rsidRPr="00D27DBC">
        <w:rPr>
          <w:rFonts w:asciiTheme="minorHAnsi" w:hAnsiTheme="minorHAnsi" w:cstheme="minorHAnsi"/>
        </w:rPr>
        <w:t xml:space="preserve"> </w:t>
      </w:r>
      <w:r w:rsidR="00843622" w:rsidRPr="00D27DBC">
        <w:rPr>
          <w:rFonts w:asciiTheme="minorHAnsi" w:hAnsiTheme="minorHAnsi" w:cstheme="minorHAnsi"/>
        </w:rPr>
        <w:t>the</w:t>
      </w:r>
      <w:r w:rsidR="00E80EDB" w:rsidRPr="00D27DBC">
        <w:rPr>
          <w:rFonts w:asciiTheme="minorHAnsi" w:hAnsiTheme="minorHAnsi" w:cstheme="minorHAnsi"/>
        </w:rPr>
        <w:t xml:space="preserve"> </w:t>
      </w:r>
      <w:r w:rsidR="00843622" w:rsidRPr="00D27DBC">
        <w:rPr>
          <w:rFonts w:asciiTheme="minorHAnsi" w:hAnsiTheme="minorHAnsi" w:cstheme="minorHAnsi"/>
        </w:rPr>
        <w:t>updated</w:t>
      </w:r>
      <w:r w:rsidR="00E80EDB" w:rsidRPr="00D27DBC">
        <w:rPr>
          <w:rFonts w:asciiTheme="minorHAnsi" w:hAnsiTheme="minorHAnsi" w:cstheme="minorHAnsi"/>
        </w:rPr>
        <w:t xml:space="preserve"> </w:t>
      </w:r>
      <w:r w:rsidR="00843622" w:rsidRPr="00D27DBC">
        <w:rPr>
          <w:rFonts w:asciiTheme="minorHAnsi" w:hAnsiTheme="minorHAnsi" w:cstheme="minorHAnsi"/>
        </w:rPr>
        <w:t>Resource</w:t>
      </w:r>
      <w:r w:rsidR="00E80EDB" w:rsidRPr="00D27DBC">
        <w:rPr>
          <w:rFonts w:asciiTheme="minorHAnsi" w:hAnsiTheme="minorHAnsi" w:cstheme="minorHAnsi"/>
        </w:rPr>
        <w:t xml:space="preserve"> </w:t>
      </w:r>
      <w:r w:rsidR="00843622" w:rsidRPr="00D27DBC">
        <w:rPr>
          <w:rFonts w:asciiTheme="minorHAnsi" w:hAnsiTheme="minorHAnsi" w:cstheme="minorHAnsi"/>
        </w:rPr>
        <w:t>Mobilization</w:t>
      </w:r>
      <w:r w:rsidR="00E80EDB" w:rsidRPr="00D27DBC">
        <w:rPr>
          <w:rFonts w:asciiTheme="minorHAnsi" w:hAnsiTheme="minorHAnsi" w:cstheme="minorHAnsi"/>
        </w:rPr>
        <w:t xml:space="preserve"> </w:t>
      </w:r>
      <w:r w:rsidR="00D07F19" w:rsidRPr="00D27DBC">
        <w:rPr>
          <w:rFonts w:asciiTheme="minorHAnsi" w:hAnsiTheme="minorHAnsi" w:cstheme="minorHAnsi"/>
        </w:rPr>
        <w:t>Work</w:t>
      </w:r>
      <w:r w:rsidR="00E80EDB" w:rsidRPr="00D27DBC">
        <w:rPr>
          <w:rFonts w:asciiTheme="minorHAnsi" w:hAnsiTheme="minorHAnsi" w:cstheme="minorHAnsi"/>
        </w:rPr>
        <w:t xml:space="preserve"> </w:t>
      </w:r>
      <w:r w:rsidR="00843622" w:rsidRPr="00D27DBC">
        <w:rPr>
          <w:rFonts w:asciiTheme="minorHAnsi" w:hAnsiTheme="minorHAnsi" w:cstheme="minorHAnsi"/>
        </w:rPr>
        <w:t>Plan</w:t>
      </w:r>
      <w:r w:rsidR="00E80EDB" w:rsidRPr="00D27DBC">
        <w:rPr>
          <w:rFonts w:asciiTheme="minorHAnsi" w:hAnsiTheme="minorHAnsi" w:cstheme="minorHAnsi"/>
        </w:rPr>
        <w:t xml:space="preserve"> </w:t>
      </w:r>
      <w:r w:rsidR="00843622" w:rsidRPr="00D27DBC">
        <w:rPr>
          <w:rFonts w:asciiTheme="minorHAnsi" w:hAnsiTheme="minorHAnsi" w:cstheme="minorHAnsi"/>
        </w:rPr>
        <w:t>are</w:t>
      </w:r>
      <w:r w:rsidR="00E80EDB" w:rsidRPr="00D27DBC">
        <w:rPr>
          <w:rFonts w:asciiTheme="minorHAnsi" w:hAnsiTheme="minorHAnsi" w:cstheme="minorHAnsi"/>
        </w:rPr>
        <w:t xml:space="preserve"> </w:t>
      </w:r>
      <w:r w:rsidR="00843622" w:rsidRPr="00D27DBC">
        <w:rPr>
          <w:rFonts w:asciiTheme="minorHAnsi" w:hAnsiTheme="minorHAnsi" w:cstheme="minorHAnsi"/>
        </w:rPr>
        <w:t>found</w:t>
      </w:r>
      <w:r w:rsidR="00E80EDB" w:rsidRPr="00D27DBC">
        <w:rPr>
          <w:rFonts w:asciiTheme="minorHAnsi" w:hAnsiTheme="minorHAnsi" w:cstheme="minorHAnsi"/>
        </w:rPr>
        <w:t xml:space="preserve"> </w:t>
      </w:r>
      <w:r w:rsidR="00843622" w:rsidRPr="00D27DBC">
        <w:rPr>
          <w:rFonts w:asciiTheme="minorHAnsi" w:hAnsiTheme="minorHAnsi" w:cstheme="minorHAnsi"/>
        </w:rPr>
        <w:t>in</w:t>
      </w:r>
      <w:r w:rsidR="00E80EDB" w:rsidRPr="00D27DBC">
        <w:rPr>
          <w:rFonts w:asciiTheme="minorHAnsi" w:hAnsiTheme="minorHAnsi" w:cstheme="minorHAnsi"/>
        </w:rPr>
        <w:t xml:space="preserve"> </w:t>
      </w:r>
      <w:r w:rsidR="001E0580" w:rsidRPr="00D27DBC">
        <w:rPr>
          <w:rFonts w:asciiTheme="minorHAnsi" w:hAnsiTheme="minorHAnsi" w:cstheme="minorHAnsi"/>
        </w:rPr>
        <w:t>document</w:t>
      </w:r>
      <w:r w:rsidR="00E80EDB" w:rsidRPr="00D27DBC">
        <w:rPr>
          <w:rFonts w:asciiTheme="minorHAnsi" w:hAnsiTheme="minorHAnsi" w:cstheme="minorHAnsi"/>
        </w:rPr>
        <w:t xml:space="preserve"> </w:t>
      </w:r>
      <w:r w:rsidR="00843622" w:rsidRPr="00D27DBC">
        <w:rPr>
          <w:rFonts w:asciiTheme="minorHAnsi" w:hAnsiTheme="minorHAnsi" w:cstheme="minorHAnsi"/>
        </w:rPr>
        <w:t>SC57</w:t>
      </w:r>
      <w:r w:rsidR="00D27DBC" w:rsidRPr="00D27DBC">
        <w:rPr>
          <w:rFonts w:asciiTheme="minorHAnsi" w:hAnsiTheme="minorHAnsi" w:cstheme="minorHAnsi"/>
        </w:rPr>
        <w:t xml:space="preserve"> Doc.19</w:t>
      </w:r>
      <w:r w:rsidR="00843622" w:rsidRPr="00D27DBC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1128498B" w14:textId="77777777" w:rsidR="00E90337" w:rsidRPr="00547DFE" w:rsidRDefault="00E90337" w:rsidP="00B072AC">
      <w:pPr>
        <w:rPr>
          <w:rFonts w:asciiTheme="minorHAnsi" w:hAnsiTheme="minorHAnsi" w:cstheme="minorHAnsi"/>
        </w:rPr>
      </w:pPr>
    </w:p>
    <w:p w14:paraId="519A2147" w14:textId="5C9D01BB" w:rsidR="00E90337" w:rsidRPr="00547DFE" w:rsidRDefault="00413AAB" w:rsidP="00B072AC">
      <w:p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022B4">
        <w:rPr>
          <w:rFonts w:asciiTheme="minorHAnsi" w:hAnsiTheme="minorHAnsi" w:cstheme="minorHAnsi"/>
        </w:rPr>
        <w:t>2</w:t>
      </w:r>
      <w:r w:rsidR="00D07F19" w:rsidRPr="00547DFE">
        <w:rPr>
          <w:rFonts w:asciiTheme="minorHAnsi" w:hAnsiTheme="minorHAnsi" w:cstheme="minorHAnsi"/>
        </w:rPr>
        <w:t>.</w:t>
      </w:r>
      <w:r w:rsidR="00D07F19" w:rsidRPr="00547DFE">
        <w:rPr>
          <w:rFonts w:asciiTheme="minorHAnsi" w:hAnsiTheme="minorHAnsi" w:cstheme="minorHAnsi"/>
        </w:rPr>
        <w:tab/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27DBC" w:rsidRPr="00547DFE">
        <w:rPr>
          <w:rFonts w:asciiTheme="minorHAnsi" w:hAnsiTheme="minorHAnsi" w:cstheme="minorHAnsi"/>
        </w:rPr>
        <w:t xml:space="preserve">has </w:t>
      </w:r>
      <w:r w:rsidR="00E90337" w:rsidRPr="00547DFE">
        <w:rPr>
          <w:rFonts w:asciiTheme="minorHAnsi" w:hAnsiTheme="minorHAnsi" w:cstheme="minorHAnsi"/>
        </w:rPr>
        <w:t>also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provided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support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Part</w:t>
      </w:r>
      <w:r w:rsidR="00991E80" w:rsidRPr="00547DFE">
        <w:rPr>
          <w:rFonts w:asciiTheme="minorHAnsi" w:hAnsiTheme="minorHAnsi" w:cstheme="minorHAnsi"/>
        </w:rPr>
        <w:t>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91E80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91E80" w:rsidRPr="00547DFE">
        <w:rPr>
          <w:rFonts w:asciiTheme="minorHAnsi" w:hAnsiTheme="minorHAnsi" w:cstheme="minorHAnsi"/>
        </w:rPr>
        <w:t>their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91E80" w:rsidRPr="00547DFE">
        <w:rPr>
          <w:rFonts w:asciiTheme="minorHAnsi" w:hAnsiTheme="minorHAnsi" w:cstheme="minorHAnsi"/>
        </w:rPr>
        <w:t>fundraising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91E80" w:rsidRPr="00547DFE">
        <w:rPr>
          <w:rFonts w:asciiTheme="minorHAnsi" w:hAnsiTheme="minorHAnsi" w:cstheme="minorHAnsi"/>
        </w:rPr>
        <w:t>efforts.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facilitate</w:t>
      </w:r>
      <w:r w:rsidR="00991E80" w:rsidRPr="00547DFE">
        <w:rPr>
          <w:rFonts w:asciiTheme="minorHAnsi" w:hAnsiTheme="minorHAnsi" w:cstheme="minorHAnsi"/>
        </w:rPr>
        <w:t>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meetings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(6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7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February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2019)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between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National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Designate</w:t>
      </w:r>
      <w:r w:rsidR="00D27DBC">
        <w:rPr>
          <w:rFonts w:asciiTheme="minorHAnsi" w:hAnsiTheme="minorHAnsi" w:cstheme="minorHAnsi"/>
        </w:rPr>
        <w:t>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Authority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44E4C" w:rsidRPr="00547DFE">
        <w:rPr>
          <w:rFonts w:asciiTheme="minorHAnsi" w:hAnsiTheme="minorHAnsi" w:cstheme="minorHAnsi"/>
        </w:rPr>
        <w:t xml:space="preserve">Burkina </w:t>
      </w:r>
      <w:r w:rsidR="00044E4C">
        <w:rPr>
          <w:rFonts w:asciiTheme="minorHAnsi" w:hAnsiTheme="minorHAnsi" w:cstheme="minorHAnsi"/>
        </w:rPr>
        <w:t>Faso for the</w:t>
      </w:r>
      <w:r w:rsidR="00044E4C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Green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Climate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Fund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B1F29" w:rsidRPr="00547DFE">
        <w:rPr>
          <w:rFonts w:asciiTheme="minorHAnsi" w:hAnsiTheme="minorHAnsi" w:cstheme="minorHAnsi"/>
        </w:rPr>
        <w:t>(GCF)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44E4C">
        <w:rPr>
          <w:rFonts w:asciiTheme="minorHAnsi" w:hAnsiTheme="minorHAnsi" w:cstheme="minorHAnsi"/>
        </w:rPr>
        <w:t>the IUCN office for West and Central Africa (</w:t>
      </w:r>
      <w:r w:rsidR="00D4247A" w:rsidRPr="00547DFE">
        <w:rPr>
          <w:rFonts w:asciiTheme="minorHAnsi" w:hAnsiTheme="minorHAnsi" w:cstheme="minorHAnsi"/>
        </w:rPr>
        <w:t>IUCN/PACO</w:t>
      </w:r>
      <w:r w:rsidR="00044E4C">
        <w:rPr>
          <w:rFonts w:asciiTheme="minorHAnsi" w:hAnsiTheme="minorHAnsi" w:cstheme="minorHAnsi"/>
        </w:rPr>
        <w:t>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develop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44E4C">
        <w:rPr>
          <w:rFonts w:asciiTheme="minorHAnsi" w:hAnsiTheme="minorHAnsi" w:cstheme="minorHAnsi"/>
        </w:rPr>
        <w:t>n</w:t>
      </w:r>
      <w:r w:rsidR="00D4247A" w:rsidRPr="00547DFE">
        <w:rPr>
          <w:rFonts w:asciiTheme="minorHAnsi" w:hAnsiTheme="minorHAnsi" w:cstheme="minorHAnsi"/>
        </w:rPr>
        <w:t>ational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44E4C">
        <w:rPr>
          <w:rFonts w:asciiTheme="minorHAnsi" w:hAnsiTheme="minorHAnsi" w:cstheme="minorHAnsi"/>
        </w:rPr>
        <w:t>w</w:t>
      </w:r>
      <w:r w:rsidR="00D4247A" w:rsidRPr="00547DFE">
        <w:rPr>
          <w:rFonts w:asciiTheme="minorHAnsi" w:hAnsiTheme="minorHAnsi" w:cstheme="minorHAnsi"/>
        </w:rPr>
        <w:t>etland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44E4C">
        <w:rPr>
          <w:rFonts w:asciiTheme="minorHAnsi" w:hAnsiTheme="minorHAnsi" w:cstheme="minorHAnsi"/>
        </w:rPr>
        <w:t>p</w:t>
      </w:r>
      <w:r w:rsidR="00D4247A" w:rsidRPr="00547DFE">
        <w:rPr>
          <w:rFonts w:asciiTheme="minorHAnsi" w:hAnsiTheme="minorHAnsi" w:cstheme="minorHAnsi"/>
        </w:rPr>
        <w:t>roject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be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submitted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GCF.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also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facilitate</w:t>
      </w:r>
      <w:r w:rsidR="00991E80" w:rsidRPr="00547DFE">
        <w:rPr>
          <w:rFonts w:asciiTheme="minorHAnsi" w:hAnsiTheme="minorHAnsi" w:cstheme="minorHAnsi"/>
        </w:rPr>
        <w:t>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planning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workshop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during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Second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Governing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Council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Meeting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A6BFA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A6BFA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A6BFA" w:rsidRPr="00547DFE">
        <w:rPr>
          <w:rFonts w:asciiTheme="minorHAnsi" w:hAnsiTheme="minorHAnsi" w:cstheme="minorHAnsi"/>
        </w:rPr>
        <w:t>Centre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A6BFA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A6BFA" w:rsidRPr="00547DFE">
        <w:rPr>
          <w:rFonts w:asciiTheme="minorHAnsi" w:hAnsiTheme="minorHAnsi" w:cstheme="minorHAnsi"/>
        </w:rPr>
        <w:t>Eastern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A6BFA" w:rsidRPr="00547DFE">
        <w:rPr>
          <w:rFonts w:asciiTheme="minorHAnsi" w:hAnsiTheme="minorHAnsi" w:cstheme="minorHAnsi"/>
        </w:rPr>
        <w:t>Africa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(19-20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February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2019)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plan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2019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activity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F341A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develop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sub-regional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55A5E" w:rsidRPr="00547DFE">
        <w:rPr>
          <w:rFonts w:asciiTheme="minorHAnsi" w:hAnsiTheme="minorHAnsi" w:cstheme="minorHAnsi"/>
        </w:rPr>
        <w:t>program</w:t>
      </w:r>
      <w:r w:rsidR="007F341A" w:rsidRPr="00547DFE">
        <w:rPr>
          <w:rFonts w:asciiTheme="minorHAnsi" w:hAnsiTheme="minorHAnsi" w:cstheme="minorHAnsi"/>
        </w:rPr>
        <w:t>me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55A5E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be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submitted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4247A" w:rsidRPr="00547DFE">
        <w:rPr>
          <w:rFonts w:asciiTheme="minorHAnsi" w:hAnsiTheme="minorHAnsi" w:cstheme="minorHAnsi"/>
        </w:rPr>
        <w:t>GCF.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C0FFA" w:rsidRPr="00547DFE">
        <w:rPr>
          <w:rFonts w:asciiTheme="minorHAnsi" w:hAnsiTheme="minorHAnsi" w:cstheme="minorHAnsi"/>
        </w:rPr>
        <w:t>I</w:t>
      </w:r>
      <w:r w:rsidR="00B94492" w:rsidRPr="00547DFE">
        <w:rPr>
          <w:rFonts w:asciiTheme="minorHAnsi" w:hAnsiTheme="minorHAnsi" w:cstheme="minorHAnsi"/>
        </w:rPr>
        <w:t>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Americas</w:t>
      </w:r>
      <w:r w:rsidR="00EC0FFA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supporting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countries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High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Andean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44E4C">
        <w:rPr>
          <w:rFonts w:asciiTheme="minorHAnsi" w:hAnsiTheme="minorHAnsi" w:cstheme="minorHAnsi"/>
        </w:rPr>
        <w:t xml:space="preserve">the </w:t>
      </w:r>
      <w:r w:rsidR="00B94492" w:rsidRPr="00547DFE">
        <w:rPr>
          <w:rFonts w:asciiTheme="minorHAnsi" w:hAnsiTheme="minorHAnsi" w:cstheme="minorHAnsi"/>
        </w:rPr>
        <w:t>Mangroves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Coral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Reefs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Regional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Initiatives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submission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regional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projects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donors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(GEF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C0FFA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4492" w:rsidRPr="00547DFE">
        <w:rPr>
          <w:rFonts w:asciiTheme="minorHAnsi" w:hAnsiTheme="minorHAnsi" w:cstheme="minorHAnsi"/>
        </w:rPr>
        <w:t>IKI).</w:t>
      </w:r>
      <w:r w:rsidR="00E80EDB" w:rsidRPr="00547DFE">
        <w:rPr>
          <w:rFonts w:asciiTheme="minorHAnsi" w:hAnsiTheme="minorHAnsi" w:cstheme="minorHAnsi"/>
        </w:rPr>
        <w:t xml:space="preserve">   </w:t>
      </w:r>
    </w:p>
    <w:p w14:paraId="20FB7B15" w14:textId="77777777" w:rsidR="003B053D" w:rsidRPr="00547DFE" w:rsidRDefault="003B053D" w:rsidP="00B072AC">
      <w:pPr>
        <w:ind w:left="0" w:firstLine="0"/>
        <w:rPr>
          <w:rFonts w:asciiTheme="minorHAnsi" w:hAnsiTheme="minorHAnsi" w:cstheme="minorHAnsi"/>
        </w:rPr>
      </w:pPr>
    </w:p>
    <w:p w14:paraId="6AADA9BF" w14:textId="1DEE315B" w:rsidR="00E90337" w:rsidRPr="00044E4C" w:rsidRDefault="00E90337" w:rsidP="00B072AC">
      <w:pPr>
        <w:keepNext/>
        <w:ind w:left="0" w:firstLine="0"/>
        <w:rPr>
          <w:rFonts w:asciiTheme="minorHAnsi" w:hAnsiTheme="minorHAnsi" w:cstheme="minorHAnsi"/>
          <w:b/>
          <w:bCs/>
        </w:rPr>
      </w:pPr>
      <w:r w:rsidRPr="00044E4C">
        <w:rPr>
          <w:rFonts w:asciiTheme="minorHAnsi" w:hAnsiTheme="minorHAnsi" w:cstheme="minorHAnsi"/>
          <w:b/>
          <w:bCs/>
        </w:rPr>
        <w:t>Enhancing</w:t>
      </w:r>
      <w:r w:rsidR="00E80EDB" w:rsidRPr="00044E4C">
        <w:rPr>
          <w:rFonts w:asciiTheme="minorHAnsi" w:hAnsiTheme="minorHAnsi" w:cstheme="minorHAnsi"/>
          <w:b/>
          <w:bCs/>
        </w:rPr>
        <w:t xml:space="preserve"> </w:t>
      </w:r>
      <w:r w:rsidRPr="00044E4C">
        <w:rPr>
          <w:rFonts w:asciiTheme="minorHAnsi" w:hAnsiTheme="minorHAnsi" w:cstheme="minorHAnsi"/>
          <w:b/>
          <w:bCs/>
        </w:rPr>
        <w:t>the</w:t>
      </w:r>
      <w:r w:rsidR="00E80EDB" w:rsidRPr="00044E4C">
        <w:rPr>
          <w:rFonts w:asciiTheme="minorHAnsi" w:hAnsiTheme="minorHAnsi" w:cstheme="minorHAnsi"/>
          <w:b/>
          <w:bCs/>
        </w:rPr>
        <w:t xml:space="preserve"> </w:t>
      </w:r>
      <w:r w:rsidRPr="00044E4C">
        <w:rPr>
          <w:rFonts w:asciiTheme="minorHAnsi" w:hAnsiTheme="minorHAnsi" w:cstheme="minorHAnsi"/>
          <w:b/>
          <w:bCs/>
        </w:rPr>
        <w:t>visibility</w:t>
      </w:r>
      <w:r w:rsidR="00E80EDB" w:rsidRPr="00044E4C">
        <w:rPr>
          <w:rFonts w:asciiTheme="minorHAnsi" w:hAnsiTheme="minorHAnsi" w:cstheme="minorHAnsi"/>
          <w:b/>
          <w:bCs/>
        </w:rPr>
        <w:t xml:space="preserve"> </w:t>
      </w:r>
      <w:r w:rsidRPr="00044E4C">
        <w:rPr>
          <w:rFonts w:asciiTheme="minorHAnsi" w:hAnsiTheme="minorHAnsi" w:cstheme="minorHAnsi"/>
          <w:b/>
          <w:bCs/>
        </w:rPr>
        <w:t>of</w:t>
      </w:r>
      <w:r w:rsidR="00E80EDB" w:rsidRPr="00044E4C">
        <w:rPr>
          <w:rFonts w:asciiTheme="minorHAnsi" w:hAnsiTheme="minorHAnsi" w:cstheme="minorHAnsi"/>
          <w:b/>
          <w:bCs/>
        </w:rPr>
        <w:t xml:space="preserve"> </w:t>
      </w:r>
      <w:r w:rsidRPr="00044E4C">
        <w:rPr>
          <w:rFonts w:asciiTheme="minorHAnsi" w:hAnsiTheme="minorHAnsi" w:cstheme="minorHAnsi"/>
          <w:b/>
          <w:bCs/>
        </w:rPr>
        <w:t>wetlands</w:t>
      </w:r>
      <w:r w:rsidR="00E80EDB" w:rsidRPr="00044E4C">
        <w:rPr>
          <w:rFonts w:asciiTheme="minorHAnsi" w:hAnsiTheme="minorHAnsi" w:cstheme="minorHAnsi"/>
          <w:b/>
          <w:bCs/>
        </w:rPr>
        <w:t xml:space="preserve"> </w:t>
      </w:r>
      <w:r w:rsidRPr="00044E4C">
        <w:rPr>
          <w:rFonts w:asciiTheme="minorHAnsi" w:hAnsiTheme="minorHAnsi" w:cstheme="minorHAnsi"/>
          <w:b/>
          <w:bCs/>
        </w:rPr>
        <w:t>and</w:t>
      </w:r>
      <w:r w:rsidR="00E80EDB" w:rsidRPr="00044E4C">
        <w:rPr>
          <w:rFonts w:asciiTheme="minorHAnsi" w:hAnsiTheme="minorHAnsi" w:cstheme="minorHAnsi"/>
          <w:b/>
          <w:bCs/>
        </w:rPr>
        <w:t xml:space="preserve"> </w:t>
      </w:r>
      <w:r w:rsidRPr="00044E4C">
        <w:rPr>
          <w:rFonts w:asciiTheme="minorHAnsi" w:hAnsiTheme="minorHAnsi" w:cstheme="minorHAnsi"/>
          <w:b/>
          <w:bCs/>
        </w:rPr>
        <w:t>the</w:t>
      </w:r>
      <w:r w:rsidR="00E80EDB" w:rsidRPr="00044E4C">
        <w:rPr>
          <w:rFonts w:asciiTheme="minorHAnsi" w:hAnsiTheme="minorHAnsi" w:cstheme="minorHAnsi"/>
          <w:b/>
          <w:bCs/>
        </w:rPr>
        <w:t xml:space="preserve"> </w:t>
      </w:r>
      <w:r w:rsidRPr="00044E4C">
        <w:rPr>
          <w:rFonts w:asciiTheme="minorHAnsi" w:hAnsiTheme="minorHAnsi" w:cstheme="minorHAnsi"/>
          <w:b/>
          <w:bCs/>
        </w:rPr>
        <w:t>Convention</w:t>
      </w:r>
    </w:p>
    <w:p w14:paraId="2355EB6A" w14:textId="77777777" w:rsidR="00E90337" w:rsidRPr="00547DFE" w:rsidRDefault="00E90337" w:rsidP="00B072AC">
      <w:pPr>
        <w:keepNext/>
        <w:rPr>
          <w:rFonts w:asciiTheme="minorHAnsi" w:hAnsiTheme="minorHAnsi" w:cstheme="minorHAnsi"/>
        </w:rPr>
      </w:pPr>
    </w:p>
    <w:p w14:paraId="323511FB" w14:textId="5D2E52AD" w:rsidR="00E90337" w:rsidRPr="00547DFE" w:rsidRDefault="00413AAB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022B4">
        <w:rPr>
          <w:rFonts w:asciiTheme="minorHAnsi" w:hAnsiTheme="minorHAnsi" w:cstheme="minorHAnsi"/>
        </w:rPr>
        <w:t>3</w:t>
      </w:r>
      <w:r w:rsidR="00E90337" w:rsidRPr="00547DFE">
        <w:rPr>
          <w:rFonts w:asciiTheme="minorHAnsi" w:hAnsiTheme="minorHAnsi" w:cstheme="minorHAnsi"/>
        </w:rPr>
        <w:t>.</w:t>
      </w:r>
      <w:r w:rsidR="00E90337" w:rsidRPr="00547DFE">
        <w:rPr>
          <w:rFonts w:asciiTheme="minorHAnsi" w:hAnsiTheme="minorHAnsi" w:cstheme="minorHAnsi"/>
        </w:rPr>
        <w:tab/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visibility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25D05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being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raised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through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variety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communications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outreach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efforts.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strengthened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information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sharing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among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stakeholders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25D05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increased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public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awareness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about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wetland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services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benefits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through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website,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social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media,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25D0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F06493" w:rsidRPr="00547DFE">
        <w:rPr>
          <w:rFonts w:asciiTheme="minorHAnsi" w:hAnsiTheme="minorHAnsi" w:cstheme="minorHAnsi"/>
        </w:rPr>
        <w:t>N</w:t>
      </w:r>
      <w:r w:rsidR="00E90337" w:rsidRPr="00547DFE">
        <w:rPr>
          <w:rFonts w:asciiTheme="minorHAnsi" w:hAnsiTheme="minorHAnsi" w:cstheme="minorHAnsi"/>
        </w:rPr>
        <w:t>ewsletter</w:t>
      </w:r>
      <w:r w:rsidR="00525D05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outreach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campaigns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such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World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Day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other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international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days</w:t>
      </w:r>
      <w:r w:rsidR="00E90337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taken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approach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speak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“one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voice”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across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our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target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audiences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about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issues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linking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relevant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policy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frameworks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such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SDGs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E2C16">
        <w:rPr>
          <w:rFonts w:asciiTheme="minorHAnsi" w:hAnsiTheme="minorHAnsi" w:cstheme="minorHAnsi"/>
        </w:rPr>
        <w:t>The Paris Agreement.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During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reporting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period</w:t>
      </w:r>
      <w:r w:rsidR="00431B87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11C11" w:rsidRPr="00547DFE">
        <w:rPr>
          <w:rFonts w:asciiTheme="minorHAnsi" w:hAnsiTheme="minorHAnsi" w:cstheme="minorHAnsi"/>
        </w:rPr>
        <w:t>website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11C11"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11C11" w:rsidRPr="00547DFE">
        <w:rPr>
          <w:rFonts w:asciiTheme="minorHAnsi" w:hAnsiTheme="minorHAnsi" w:cstheme="minorHAnsi"/>
        </w:rPr>
        <w:t>visited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11C11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11C11" w:rsidRPr="00547DFE">
        <w:rPr>
          <w:rFonts w:asciiTheme="minorHAnsi" w:hAnsiTheme="minorHAnsi" w:cstheme="minorHAnsi"/>
        </w:rPr>
        <w:t>nearly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11C11" w:rsidRPr="00547DFE">
        <w:rPr>
          <w:rFonts w:asciiTheme="minorHAnsi" w:hAnsiTheme="minorHAnsi" w:cstheme="minorHAnsi"/>
        </w:rPr>
        <w:t>280,000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95C91" w:rsidRPr="00547DFE">
        <w:rPr>
          <w:rFonts w:asciiTheme="minorHAnsi" w:hAnsiTheme="minorHAnsi" w:cstheme="minorHAnsi"/>
        </w:rPr>
        <w:t>users</w:t>
      </w:r>
      <w:r w:rsidR="00431B87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95C91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95C91" w:rsidRPr="00547DFE">
        <w:rPr>
          <w:rFonts w:asciiTheme="minorHAnsi" w:hAnsiTheme="minorHAnsi" w:cstheme="minorHAnsi"/>
        </w:rPr>
        <w:t>over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95C91" w:rsidRPr="00547DFE">
        <w:rPr>
          <w:rFonts w:asciiTheme="minorHAnsi" w:hAnsiTheme="minorHAnsi" w:cstheme="minorHAnsi"/>
        </w:rPr>
        <w:t>100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news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stories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published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website.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average,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all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social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media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pla</w:t>
      </w:r>
      <w:r w:rsidR="00295C91" w:rsidRPr="00547DFE">
        <w:rPr>
          <w:rFonts w:asciiTheme="minorHAnsi" w:hAnsiTheme="minorHAnsi" w:cstheme="minorHAnsi"/>
        </w:rPr>
        <w:t>tforms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95C91" w:rsidRPr="00547DFE">
        <w:rPr>
          <w:rFonts w:asciiTheme="minorHAnsi" w:hAnsiTheme="minorHAnsi" w:cstheme="minorHAnsi"/>
        </w:rPr>
        <w:t>(Twitter,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95C91" w:rsidRPr="00547DFE">
        <w:rPr>
          <w:rFonts w:asciiTheme="minorHAnsi" w:hAnsiTheme="minorHAnsi" w:cstheme="minorHAnsi"/>
        </w:rPr>
        <w:t>Facebook,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95C91" w:rsidRPr="00547DFE">
        <w:rPr>
          <w:rFonts w:asciiTheme="minorHAnsi" w:hAnsiTheme="minorHAnsi" w:cstheme="minorHAnsi"/>
        </w:rPr>
        <w:t>YouTube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Instagram)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have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seen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steady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increase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engagement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over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past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174" w:rsidRPr="00547DFE">
        <w:rPr>
          <w:rFonts w:asciiTheme="minorHAnsi" w:hAnsiTheme="minorHAnsi" w:cstheme="minorHAnsi"/>
        </w:rPr>
        <w:t>year</w:t>
      </w:r>
      <w:r w:rsidR="006E4080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Newsletter,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disseminated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every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3-4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months,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now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well-established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means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communication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between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Parties.</w:t>
      </w:r>
    </w:p>
    <w:p w14:paraId="38FFA72C" w14:textId="77777777" w:rsidR="00614307" w:rsidRPr="00547DFE" w:rsidRDefault="00614307" w:rsidP="00B072AC">
      <w:pPr>
        <w:rPr>
          <w:rFonts w:asciiTheme="minorHAnsi" w:hAnsiTheme="minorHAnsi" w:cstheme="minorHAnsi"/>
        </w:rPr>
      </w:pPr>
    </w:p>
    <w:p w14:paraId="42BD066C" w14:textId="3106AF0B" w:rsidR="006E4080" w:rsidRPr="00547DFE" w:rsidRDefault="00413AAB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022B4">
        <w:rPr>
          <w:rFonts w:asciiTheme="minorHAnsi" w:hAnsiTheme="minorHAnsi" w:cstheme="minorHAnsi"/>
        </w:rPr>
        <w:t>4</w:t>
      </w:r>
      <w:r w:rsidR="006E4080" w:rsidRPr="00547DFE">
        <w:rPr>
          <w:rFonts w:asciiTheme="minorHAnsi" w:hAnsiTheme="minorHAnsi" w:cstheme="minorHAnsi"/>
        </w:rPr>
        <w:t>.</w:t>
      </w:r>
      <w:r w:rsidR="006E4080" w:rsidRPr="00547DFE">
        <w:rPr>
          <w:rFonts w:asciiTheme="minorHAnsi" w:hAnsiTheme="minorHAnsi" w:cstheme="minorHAnsi"/>
        </w:rPr>
        <w:tab/>
      </w:r>
      <w:r w:rsidR="00614307" w:rsidRPr="00547DFE">
        <w:rPr>
          <w:rFonts w:asciiTheme="minorHAnsi" w:hAnsiTheme="minorHAnsi" w:cstheme="minorHAnsi"/>
        </w:rPr>
        <w:t>Since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last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reporting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period,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launch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  <w:i/>
        </w:rPr>
        <w:t>Global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614307" w:rsidRPr="00547DFE">
        <w:rPr>
          <w:rFonts w:asciiTheme="minorHAnsi" w:hAnsiTheme="minorHAnsi" w:cstheme="minorHAnsi"/>
          <w:i/>
        </w:rPr>
        <w:t>Wetland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614307" w:rsidRPr="00547DFE">
        <w:rPr>
          <w:rFonts w:asciiTheme="minorHAnsi" w:hAnsiTheme="minorHAnsi" w:cstheme="minorHAnsi"/>
          <w:i/>
        </w:rPr>
        <w:t>Outlook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COP13</w:t>
      </w:r>
      <w:r w:rsidR="0027313E">
        <w:rPr>
          <w:rFonts w:asciiTheme="minorHAnsi" w:hAnsiTheme="minorHAnsi" w:cstheme="minorHAnsi"/>
        </w:rPr>
        <w:t xml:space="preserve"> in </w:t>
      </w:r>
      <w:r w:rsidR="0027313E" w:rsidRPr="00547DFE">
        <w:rPr>
          <w:rFonts w:asciiTheme="minorHAnsi" w:hAnsiTheme="minorHAnsi" w:cstheme="minorHAnsi"/>
        </w:rPr>
        <w:t>Dubai</w:t>
      </w:r>
      <w:r w:rsidR="00165524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September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October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2018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respectively</w:t>
      </w:r>
      <w:r w:rsidR="00165524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presented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important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outreach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opportunities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give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global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visibility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status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wetlands.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0660C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0660C" w:rsidRPr="00547DFE">
        <w:rPr>
          <w:rFonts w:asciiTheme="minorHAnsi" w:hAnsiTheme="minorHAnsi" w:cstheme="minorHAnsi"/>
        </w:rPr>
        <w:t>comprehensive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0660C" w:rsidRPr="00547DFE">
        <w:rPr>
          <w:rFonts w:asciiTheme="minorHAnsi" w:hAnsiTheme="minorHAnsi" w:cstheme="minorHAnsi"/>
        </w:rPr>
        <w:t>media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0660C" w:rsidRPr="00547DFE">
        <w:rPr>
          <w:rFonts w:asciiTheme="minorHAnsi" w:hAnsiTheme="minorHAnsi" w:cstheme="minorHAnsi"/>
        </w:rPr>
        <w:t>outreach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0660C" w:rsidRPr="00547DFE">
        <w:rPr>
          <w:rFonts w:asciiTheme="minorHAnsi" w:hAnsiTheme="minorHAnsi" w:cstheme="minorHAnsi"/>
        </w:rPr>
        <w:t>strategy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0660C"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0660C" w:rsidRPr="00547DFE">
        <w:rPr>
          <w:rFonts w:asciiTheme="minorHAnsi" w:hAnsiTheme="minorHAnsi" w:cstheme="minorHAnsi"/>
        </w:rPr>
        <w:t>implemented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weeks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leading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up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COP13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7313E">
        <w:rPr>
          <w:rFonts w:asciiTheme="minorHAnsi" w:hAnsiTheme="minorHAnsi" w:cstheme="minorHAnsi"/>
        </w:rPr>
        <w:t>which</w:t>
      </w:r>
      <w:r w:rsidR="0027313E" w:rsidRPr="00547DFE">
        <w:rPr>
          <w:rFonts w:asciiTheme="minorHAnsi" w:hAnsiTheme="minorHAnsi" w:cstheme="minorHAnsi"/>
        </w:rPr>
        <w:t xml:space="preserve"> </w:t>
      </w:r>
      <w:r w:rsidR="0070660C" w:rsidRPr="00547DFE">
        <w:rPr>
          <w:rFonts w:asciiTheme="minorHAnsi" w:hAnsiTheme="minorHAnsi" w:cstheme="minorHAnsi"/>
        </w:rPr>
        <w:t>included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E7AB3" w:rsidRPr="00547DFE">
        <w:rPr>
          <w:rFonts w:asciiTheme="minorHAnsi" w:hAnsiTheme="minorHAnsi" w:cstheme="minorHAnsi"/>
        </w:rPr>
        <w:t>p</w:t>
      </w:r>
      <w:r w:rsidR="00614307" w:rsidRPr="00547DFE">
        <w:rPr>
          <w:rFonts w:asciiTheme="minorHAnsi" w:hAnsiTheme="minorHAnsi" w:cstheme="minorHAnsi"/>
        </w:rPr>
        <w:t>ress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E7AB3" w:rsidRPr="00547DFE">
        <w:rPr>
          <w:rFonts w:asciiTheme="minorHAnsi" w:hAnsiTheme="minorHAnsi" w:cstheme="minorHAnsi"/>
        </w:rPr>
        <w:t>r</w:t>
      </w:r>
      <w:r w:rsidR="00614307" w:rsidRPr="00547DFE">
        <w:rPr>
          <w:rFonts w:asciiTheme="minorHAnsi" w:hAnsiTheme="minorHAnsi" w:cstheme="minorHAnsi"/>
        </w:rPr>
        <w:t>elease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media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briefing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journalists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accredited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7313E">
        <w:rPr>
          <w:rFonts w:asciiTheme="minorHAnsi" w:hAnsiTheme="minorHAnsi" w:cstheme="minorHAnsi"/>
        </w:rPr>
        <w:t>UN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Geneva.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addition,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dedicated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website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7313E" w:rsidRPr="0027313E">
        <w:rPr>
          <w:rFonts w:asciiTheme="minorHAnsi" w:hAnsiTheme="minorHAnsi" w:cstheme="minorHAnsi"/>
          <w:i/>
        </w:rPr>
        <w:t>Outlook</w:t>
      </w:r>
      <w:r w:rsidR="0027313E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published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so</w:t>
      </w:r>
      <w:r w:rsidR="006E4080" w:rsidRPr="00547DFE">
        <w:rPr>
          <w:rFonts w:asciiTheme="minorHAnsi" w:hAnsiTheme="minorHAnsi" w:cstheme="minorHAnsi"/>
        </w:rPr>
        <w:t>cial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media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campaign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conducted.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Four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leadership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pieces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authored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Secretary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General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published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months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August,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September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October</w:t>
      </w:r>
      <w:r w:rsidR="00BA2B66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all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highlighting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opportunities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challenges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w</w:t>
      </w:r>
      <w:r w:rsidR="006E4080" w:rsidRPr="00547DFE">
        <w:rPr>
          <w:rFonts w:asciiTheme="minorHAnsi" w:hAnsiTheme="minorHAnsi" w:cstheme="minorHAnsi"/>
        </w:rPr>
        <w:t>etland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E4080" w:rsidRPr="00547DFE">
        <w:rPr>
          <w:rFonts w:asciiTheme="minorHAnsi" w:hAnsiTheme="minorHAnsi" w:cstheme="minorHAnsi"/>
        </w:rPr>
        <w:t>conservation.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These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efforts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resulted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1</w:t>
      </w:r>
      <w:r w:rsidR="00B16DC2">
        <w:rPr>
          <w:rFonts w:asciiTheme="minorHAnsi" w:hAnsiTheme="minorHAnsi" w:cstheme="minorHAnsi"/>
        </w:rPr>
        <w:t>,</w:t>
      </w:r>
      <w:r w:rsidR="008A5D38" w:rsidRPr="00547DFE">
        <w:rPr>
          <w:rFonts w:asciiTheme="minorHAnsi" w:hAnsiTheme="minorHAnsi" w:cstheme="minorHAnsi"/>
        </w:rPr>
        <w:t>794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articles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broadcast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interviews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reach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1.2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A2B66" w:rsidRPr="00547DFE">
        <w:rPr>
          <w:rFonts w:asciiTheme="minorHAnsi" w:hAnsiTheme="minorHAnsi" w:cstheme="minorHAnsi"/>
        </w:rPr>
        <w:t>billion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individuals.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Outlets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referencing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  <w:i/>
        </w:rPr>
        <w:t>Global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8A5D38" w:rsidRPr="00547DFE">
        <w:rPr>
          <w:rFonts w:asciiTheme="minorHAnsi" w:hAnsiTheme="minorHAnsi" w:cstheme="minorHAnsi"/>
          <w:i/>
        </w:rPr>
        <w:t>Wetland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36283B" w:rsidRPr="00547DFE">
        <w:rPr>
          <w:rFonts w:asciiTheme="minorHAnsi" w:hAnsiTheme="minorHAnsi" w:cstheme="minorHAnsi"/>
          <w:i/>
        </w:rPr>
        <w:t>O</w:t>
      </w:r>
      <w:r w:rsidR="008A5D38" w:rsidRPr="00547DFE">
        <w:rPr>
          <w:rFonts w:asciiTheme="minorHAnsi" w:hAnsiTheme="minorHAnsi" w:cstheme="minorHAnsi"/>
          <w:i/>
        </w:rPr>
        <w:t>utlook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included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Monde,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Der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Spiegel,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Daily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Mail,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South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China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Morning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Post,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Times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India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El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Tiempo.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equivalent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media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value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coverage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16DC2">
        <w:rPr>
          <w:rFonts w:asciiTheme="minorHAnsi" w:hAnsiTheme="minorHAnsi" w:cstheme="minorHAnsi"/>
        </w:rPr>
        <w:t>EUR</w:t>
      </w:r>
      <w:r w:rsidR="00B16DC2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10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million.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Additionally,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16DC2">
        <w:rPr>
          <w:rFonts w:asciiTheme="minorHAnsi" w:hAnsiTheme="minorHAnsi" w:cstheme="minorHAnsi"/>
        </w:rPr>
        <w:t xml:space="preserve">a </w:t>
      </w:r>
      <w:r w:rsidR="008A5D38" w:rsidRPr="00547DFE">
        <w:rPr>
          <w:rFonts w:asciiTheme="minorHAnsi" w:hAnsiTheme="minorHAnsi" w:cstheme="minorHAnsi"/>
        </w:rPr>
        <w:t>p</w:t>
      </w:r>
      <w:r w:rsidR="00614307" w:rsidRPr="00547DFE">
        <w:rPr>
          <w:rFonts w:asciiTheme="minorHAnsi" w:hAnsiTheme="minorHAnsi" w:cstheme="minorHAnsi"/>
        </w:rPr>
        <w:t>otential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74.2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E538E" w:rsidRPr="00547DFE">
        <w:rPr>
          <w:rFonts w:asciiTheme="minorHAnsi" w:hAnsiTheme="minorHAnsi" w:cstheme="minorHAnsi"/>
        </w:rPr>
        <w:t>million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people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reached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via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social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media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campaign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promoted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key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m</w:t>
      </w:r>
      <w:r w:rsidR="004D2E8F" w:rsidRPr="00547DFE">
        <w:rPr>
          <w:rFonts w:asciiTheme="minorHAnsi" w:hAnsiTheme="minorHAnsi" w:cstheme="minorHAnsi"/>
        </w:rPr>
        <w:t>essages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D2E8F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D2E8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16DC2" w:rsidRPr="00B16DC2">
        <w:rPr>
          <w:rFonts w:asciiTheme="minorHAnsi" w:hAnsiTheme="minorHAnsi" w:cstheme="minorHAnsi"/>
          <w:i/>
        </w:rPr>
        <w:t>Outlook</w:t>
      </w:r>
      <w:r w:rsidR="00B16DC2" w:rsidRPr="00547DFE">
        <w:rPr>
          <w:rFonts w:asciiTheme="minorHAnsi" w:hAnsiTheme="minorHAnsi" w:cstheme="minorHAnsi"/>
        </w:rPr>
        <w:t xml:space="preserve"> </w:t>
      </w:r>
      <w:r w:rsidR="004D2E8F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COP13.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68AC22FE" w14:textId="77777777" w:rsidR="008A5D38" w:rsidRPr="00547DFE" w:rsidRDefault="008A5D38" w:rsidP="00B072AC">
      <w:pPr>
        <w:rPr>
          <w:rFonts w:asciiTheme="minorHAnsi" w:hAnsiTheme="minorHAnsi" w:cstheme="minorHAnsi"/>
        </w:rPr>
      </w:pPr>
    </w:p>
    <w:p w14:paraId="2EC7483C" w14:textId="199876E5" w:rsidR="00CF497C" w:rsidRPr="00547DFE" w:rsidRDefault="00413AAB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022B4">
        <w:rPr>
          <w:rFonts w:asciiTheme="minorHAnsi" w:hAnsiTheme="minorHAnsi" w:cstheme="minorHAnsi"/>
        </w:rPr>
        <w:t>5</w:t>
      </w:r>
      <w:r w:rsidR="00E235D0" w:rsidRPr="00547DFE">
        <w:rPr>
          <w:rFonts w:asciiTheme="minorHAnsi" w:hAnsiTheme="minorHAnsi" w:cstheme="minorHAnsi"/>
        </w:rPr>
        <w:t>.</w:t>
      </w:r>
      <w:r w:rsidR="008A5D38" w:rsidRPr="00547DFE">
        <w:rPr>
          <w:rFonts w:asciiTheme="minorHAnsi" w:hAnsiTheme="minorHAnsi" w:cstheme="minorHAnsi"/>
        </w:rPr>
        <w:tab/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worked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closely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Ministry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Climate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Change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Environment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23DC5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23DC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23DC5" w:rsidRPr="00547DFE">
        <w:rPr>
          <w:rFonts w:asciiTheme="minorHAnsi" w:hAnsiTheme="minorHAnsi" w:cstheme="minorHAnsi"/>
        </w:rPr>
        <w:t>United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23DC5" w:rsidRPr="00547DFE">
        <w:rPr>
          <w:rFonts w:asciiTheme="minorHAnsi" w:hAnsiTheme="minorHAnsi" w:cstheme="minorHAnsi"/>
        </w:rPr>
        <w:t>Arab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23DC5" w:rsidRPr="00547DFE">
        <w:rPr>
          <w:rFonts w:asciiTheme="minorHAnsi" w:hAnsiTheme="minorHAnsi" w:cstheme="minorHAnsi"/>
        </w:rPr>
        <w:t>Emirates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raise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5719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visibility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57192" w:rsidRPr="00547DFE">
        <w:rPr>
          <w:rFonts w:asciiTheme="minorHAnsi" w:hAnsiTheme="minorHAnsi" w:cstheme="minorHAnsi"/>
        </w:rPr>
        <w:t>occasion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COP13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D2E8F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D2E8F" w:rsidRPr="00547DFE">
        <w:rPr>
          <w:rFonts w:asciiTheme="minorHAnsi" w:hAnsiTheme="minorHAnsi" w:cstheme="minorHAnsi"/>
        </w:rPr>
        <w:t>Dubai</w:t>
      </w:r>
      <w:r w:rsidR="008A5D38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communication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outreach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plan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implemented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included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press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releases,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press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conferences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thought</w:t>
      </w:r>
      <w:r w:rsidR="003F3992" w:rsidRPr="00547DFE">
        <w:rPr>
          <w:rFonts w:asciiTheme="minorHAnsi" w:hAnsiTheme="minorHAnsi" w:cstheme="minorHAnsi"/>
        </w:rPr>
        <w:t>-</w:t>
      </w:r>
      <w:r w:rsidR="008A5D38" w:rsidRPr="00547DFE">
        <w:rPr>
          <w:rFonts w:asciiTheme="minorHAnsi" w:hAnsiTheme="minorHAnsi" w:cstheme="minorHAnsi"/>
        </w:rPr>
        <w:t>leadership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article</w:t>
      </w:r>
      <w:r w:rsidR="00717B80" w:rsidRPr="00547DFE">
        <w:rPr>
          <w:rFonts w:asciiTheme="minorHAnsi" w:hAnsiTheme="minorHAnsi" w:cstheme="minorHAnsi"/>
        </w:rPr>
        <w:t>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resulted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218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articles.</w:t>
      </w:r>
    </w:p>
    <w:p w14:paraId="2E2AF718" w14:textId="77777777" w:rsidR="003612A3" w:rsidRPr="00547DFE" w:rsidRDefault="003612A3" w:rsidP="00B072AC">
      <w:pPr>
        <w:rPr>
          <w:rFonts w:asciiTheme="minorHAnsi" w:hAnsiTheme="minorHAnsi" w:cstheme="minorHAnsi"/>
        </w:rPr>
      </w:pPr>
    </w:p>
    <w:p w14:paraId="415630A1" w14:textId="50B3B9C9" w:rsidR="003612A3" w:rsidRPr="00547DFE" w:rsidRDefault="00413AAB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022B4">
        <w:rPr>
          <w:rFonts w:asciiTheme="minorHAnsi" w:hAnsiTheme="minorHAnsi" w:cstheme="minorHAnsi"/>
        </w:rPr>
        <w:t>6</w:t>
      </w:r>
      <w:r w:rsidR="00D07F19" w:rsidRPr="00547DFE">
        <w:rPr>
          <w:rFonts w:asciiTheme="minorHAnsi" w:hAnsiTheme="minorHAnsi" w:cstheme="minorHAnsi"/>
        </w:rPr>
        <w:t>.</w:t>
      </w:r>
      <w:r w:rsidR="00D07F19" w:rsidRPr="00547DFE">
        <w:rPr>
          <w:rFonts w:asciiTheme="minorHAnsi" w:hAnsiTheme="minorHAnsi" w:cstheme="minorHAnsi"/>
        </w:rPr>
        <w:tab/>
      </w:r>
      <w:r w:rsidR="003612A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continues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update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enhance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4178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41787" w:rsidRPr="00547DFE">
        <w:rPr>
          <w:rFonts w:asciiTheme="minorHAnsi" w:hAnsiTheme="minorHAnsi" w:cstheme="minorHAnsi"/>
        </w:rPr>
        <w:t>website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41787" w:rsidRPr="00547DFE">
        <w:rPr>
          <w:rFonts w:asciiTheme="minorHAnsi" w:hAnsiTheme="minorHAnsi" w:cstheme="minorHAnsi"/>
        </w:rPr>
        <w:t>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16DC2">
        <w:rPr>
          <w:rFonts w:asciiTheme="minorHAnsi" w:hAnsiTheme="minorHAnsi" w:cstheme="minorHAnsi"/>
        </w:rPr>
        <w:t>www.</w:t>
      </w:r>
      <w:r w:rsidR="00856D6E" w:rsidRPr="00547DFE">
        <w:rPr>
          <w:rFonts w:asciiTheme="minorHAnsi" w:hAnsiTheme="minorHAnsi" w:cstheme="minorHAnsi"/>
        </w:rPr>
        <w:t>r</w:t>
      </w:r>
      <w:r w:rsidR="003612A3" w:rsidRPr="00547DFE">
        <w:rPr>
          <w:rFonts w:asciiTheme="minorHAnsi" w:hAnsiTheme="minorHAnsi" w:cstheme="minorHAnsi"/>
        </w:rPr>
        <w:t>amsar.org</w:t>
      </w:r>
      <w:r w:rsidR="00856D6E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so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it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better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serves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needs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other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users.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annual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update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website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(all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website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pages)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completed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February.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homepage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features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two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re-designed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blocks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emphasize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current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important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events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projects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(currently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16DC2">
        <w:rPr>
          <w:rFonts w:asciiTheme="minorHAnsi" w:hAnsiTheme="minorHAnsi" w:cstheme="minorHAnsi"/>
        </w:rPr>
        <w:t>SC</w:t>
      </w:r>
      <w:r w:rsidR="003612A3" w:rsidRPr="00547DFE">
        <w:rPr>
          <w:rFonts w:asciiTheme="minorHAnsi" w:hAnsiTheme="minorHAnsi" w:cstheme="minorHAnsi"/>
        </w:rPr>
        <w:t>57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  <w:i/>
        </w:rPr>
        <w:lastRenderedPageBreak/>
        <w:t>Global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3612A3" w:rsidRPr="00547DFE">
        <w:rPr>
          <w:rFonts w:asciiTheme="minorHAnsi" w:hAnsiTheme="minorHAnsi" w:cstheme="minorHAnsi"/>
          <w:i/>
        </w:rPr>
        <w:t>Wetland</w:t>
      </w:r>
      <w:r w:rsidR="00E80EDB" w:rsidRPr="00547DFE">
        <w:rPr>
          <w:rFonts w:asciiTheme="minorHAnsi" w:hAnsiTheme="minorHAnsi" w:cstheme="minorHAnsi"/>
          <w:i/>
        </w:rPr>
        <w:t xml:space="preserve"> </w:t>
      </w:r>
      <w:r w:rsidR="003612A3" w:rsidRPr="00547DFE">
        <w:rPr>
          <w:rFonts w:asciiTheme="minorHAnsi" w:hAnsiTheme="minorHAnsi" w:cstheme="minorHAnsi"/>
          <w:i/>
        </w:rPr>
        <w:t>Outlook</w:t>
      </w:r>
      <w:r w:rsidR="003612A3" w:rsidRPr="00547DFE">
        <w:rPr>
          <w:rFonts w:asciiTheme="minorHAnsi" w:hAnsiTheme="minorHAnsi" w:cstheme="minorHAnsi"/>
        </w:rPr>
        <w:t>).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new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“Quick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Search”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16DC2" w:rsidRPr="00547DFE">
        <w:rPr>
          <w:rFonts w:asciiTheme="minorHAnsi" w:hAnsiTheme="minorHAnsi" w:cstheme="minorHAnsi"/>
        </w:rPr>
        <w:t xml:space="preserve">function </w:t>
      </w:r>
      <w:r w:rsidR="003612A3" w:rsidRPr="00547DFE">
        <w:rPr>
          <w:rFonts w:asciiTheme="minorHAnsi" w:hAnsiTheme="minorHAnsi" w:cstheme="minorHAnsi"/>
        </w:rPr>
        <w:t>will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provide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clear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easy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access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D2E8F" w:rsidRPr="00547DFE">
        <w:rPr>
          <w:rFonts w:asciiTheme="minorHAnsi" w:hAnsiTheme="minorHAnsi" w:cstheme="minorHAnsi"/>
        </w:rPr>
        <w:t>core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D2E8F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official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documents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D2E8F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three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D2E8F" w:rsidRPr="00547DFE">
        <w:rPr>
          <w:rFonts w:asciiTheme="minorHAnsi" w:hAnsiTheme="minorHAnsi" w:cstheme="minorHAnsi"/>
        </w:rPr>
        <w:t>official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languages.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It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will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be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integrated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within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website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612A3" w:rsidRPr="00547DFE">
        <w:rPr>
          <w:rFonts w:asciiTheme="minorHAnsi" w:hAnsiTheme="minorHAnsi" w:cstheme="minorHAnsi"/>
        </w:rPr>
        <w:t>2019.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22947352" w14:textId="77777777" w:rsidR="00E90337" w:rsidRPr="00547DFE" w:rsidRDefault="00E90337" w:rsidP="00B072AC">
      <w:pPr>
        <w:rPr>
          <w:rFonts w:asciiTheme="minorHAnsi" w:hAnsiTheme="minorHAnsi" w:cstheme="minorHAnsi"/>
        </w:rPr>
      </w:pPr>
    </w:p>
    <w:p w14:paraId="3418DAAB" w14:textId="535F4BC2" w:rsidR="00991E80" w:rsidRPr="00547DFE" w:rsidRDefault="00413AAB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022B4">
        <w:rPr>
          <w:rFonts w:asciiTheme="minorHAnsi" w:hAnsiTheme="minorHAnsi" w:cstheme="minorHAnsi"/>
        </w:rPr>
        <w:t>7</w:t>
      </w:r>
      <w:r w:rsidR="00E90337" w:rsidRPr="00547DFE">
        <w:rPr>
          <w:rFonts w:asciiTheme="minorHAnsi" w:hAnsiTheme="minorHAnsi" w:cstheme="minorHAnsi"/>
        </w:rPr>
        <w:t>.</w:t>
      </w:r>
      <w:r w:rsidR="00E90337" w:rsidRPr="00547DFE">
        <w:rPr>
          <w:rFonts w:asciiTheme="minorHAnsi" w:hAnsiTheme="minorHAnsi" w:cstheme="minorHAnsi"/>
        </w:rPr>
        <w:tab/>
      </w:r>
      <w:r w:rsidR="00CF497C" w:rsidRPr="00547DFE">
        <w:rPr>
          <w:rFonts w:asciiTheme="minorHAnsi" w:hAnsiTheme="minorHAnsi" w:cstheme="minorHAnsi"/>
        </w:rPr>
        <w:t>World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Day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continues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be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powerful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outreach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platform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from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which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raise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global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national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awareness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about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wetlands.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Secretariat</w:t>
      </w:r>
      <w:r w:rsidR="00196F71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funding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from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Danone</w:t>
      </w:r>
      <w:r w:rsidR="00196F71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produced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range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information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materials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support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outreach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efforts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countries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2019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under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umbrella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theme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C4757" w:rsidRPr="00547DFE">
        <w:rPr>
          <w:rFonts w:asciiTheme="minorHAnsi" w:hAnsiTheme="minorHAnsi" w:cstheme="minorHAnsi"/>
        </w:rPr>
        <w:t>“</w:t>
      </w:r>
      <w:r w:rsidR="00CF497C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climate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change</w:t>
      </w:r>
      <w:r w:rsidR="003C4757" w:rsidRPr="00547DFE">
        <w:rPr>
          <w:rFonts w:asciiTheme="minorHAnsi" w:hAnsiTheme="minorHAnsi" w:cstheme="minorHAnsi"/>
        </w:rPr>
        <w:t>”</w:t>
      </w:r>
      <w:r w:rsidR="00CF497C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These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materials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made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available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download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World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Day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4CE0" w:rsidRPr="00547DFE">
        <w:rPr>
          <w:rFonts w:asciiTheme="minorHAnsi" w:hAnsiTheme="minorHAnsi" w:cstheme="minorHAnsi"/>
        </w:rPr>
        <w:t>w</w:t>
      </w:r>
      <w:r w:rsidR="00CF497C" w:rsidRPr="00547DFE">
        <w:rPr>
          <w:rFonts w:asciiTheme="minorHAnsi" w:hAnsiTheme="minorHAnsi" w:cstheme="minorHAnsi"/>
        </w:rPr>
        <w:t>ebsite.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addition,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same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website</w:t>
      </w:r>
      <w:r w:rsidR="009D63CF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could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register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their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planned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activities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map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events</w:t>
      </w:r>
      <w:r w:rsidR="00111B4D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thus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giving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visibility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global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reach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national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interest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day.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tota</w:t>
      </w:r>
      <w:r w:rsidR="00717B80" w:rsidRPr="00547DFE">
        <w:rPr>
          <w:rFonts w:asciiTheme="minorHAnsi" w:hAnsiTheme="minorHAnsi" w:cstheme="minorHAnsi"/>
        </w:rPr>
        <w:t>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1,425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events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7B80" w:rsidRPr="00547DFE">
        <w:rPr>
          <w:rFonts w:asciiTheme="minorHAnsi" w:hAnsiTheme="minorHAnsi" w:cstheme="minorHAnsi"/>
        </w:rPr>
        <w:t>registered.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Furthermore,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Secretariat</w:t>
      </w:r>
      <w:r w:rsidR="00111B4D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partnership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Canon</w:t>
      </w:r>
      <w:r w:rsidR="00111B4D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organized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photo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contest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highlight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beauty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wetlands.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11B4D" w:rsidRPr="00547DFE">
        <w:rPr>
          <w:rFonts w:asciiTheme="minorHAnsi" w:hAnsiTheme="minorHAnsi" w:cstheme="minorHAnsi"/>
        </w:rPr>
        <w:t>c</w:t>
      </w:r>
      <w:r w:rsidR="00CF497C" w:rsidRPr="00547DFE">
        <w:rPr>
          <w:rFonts w:asciiTheme="minorHAnsi" w:hAnsiTheme="minorHAnsi" w:cstheme="minorHAnsi"/>
        </w:rPr>
        <w:t>ontest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received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over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400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F497C" w:rsidRPr="00547DFE">
        <w:rPr>
          <w:rFonts w:asciiTheme="minorHAnsi" w:hAnsiTheme="minorHAnsi" w:cstheme="minorHAnsi"/>
        </w:rPr>
        <w:t>entries</w:t>
      </w:r>
      <w:r w:rsidR="0070660C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55A5E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staff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participated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events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23B38" w:rsidRPr="00547DFE">
        <w:rPr>
          <w:rFonts w:asciiTheme="minorHAnsi" w:hAnsiTheme="minorHAnsi" w:cstheme="minorHAnsi"/>
        </w:rPr>
        <w:t>Burkina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23B38" w:rsidRPr="00547DFE">
        <w:rPr>
          <w:rFonts w:asciiTheme="minorHAnsi" w:hAnsiTheme="minorHAnsi" w:cstheme="minorHAnsi"/>
        </w:rPr>
        <w:t>Faso,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China,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Myanmar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323B38" w:rsidRPr="00547DFE">
        <w:rPr>
          <w:rFonts w:asciiTheme="minorHAnsi" w:hAnsiTheme="minorHAnsi" w:cstheme="minorHAnsi"/>
        </w:rPr>
        <w:t>Switzerland</w:t>
      </w:r>
      <w:r w:rsidR="008A5D38" w:rsidRPr="00547DFE">
        <w:rPr>
          <w:rFonts w:asciiTheme="minorHAnsi" w:hAnsiTheme="minorHAnsi" w:cstheme="minorHAnsi"/>
        </w:rPr>
        <w:t>.</w:t>
      </w:r>
    </w:p>
    <w:p w14:paraId="3889AFB5" w14:textId="77777777" w:rsidR="00037F4D" w:rsidRPr="00547DFE" w:rsidRDefault="00037F4D" w:rsidP="00B072AC">
      <w:pPr>
        <w:rPr>
          <w:rFonts w:asciiTheme="minorHAnsi" w:hAnsiTheme="minorHAnsi" w:cstheme="minorHAnsi"/>
        </w:rPr>
      </w:pPr>
    </w:p>
    <w:p w14:paraId="15268793" w14:textId="0BF1A748" w:rsidR="008A5D38" w:rsidRPr="00547DFE" w:rsidRDefault="00413AAB" w:rsidP="00B072AC">
      <w:p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022B4">
        <w:rPr>
          <w:rFonts w:asciiTheme="minorHAnsi" w:hAnsiTheme="minorHAnsi" w:cstheme="minorHAnsi"/>
        </w:rPr>
        <w:t>8</w:t>
      </w:r>
      <w:r w:rsidR="00D07F19" w:rsidRPr="00547DFE">
        <w:rPr>
          <w:rFonts w:asciiTheme="minorHAnsi" w:hAnsiTheme="minorHAnsi" w:cstheme="minorHAnsi"/>
        </w:rPr>
        <w:t>.</w:t>
      </w:r>
      <w:r w:rsidR="00D07F19" w:rsidRPr="00547DFE">
        <w:rPr>
          <w:rFonts w:asciiTheme="minorHAnsi" w:hAnsiTheme="minorHAnsi" w:cstheme="minorHAnsi"/>
        </w:rPr>
        <w:tab/>
      </w:r>
      <w:r w:rsidR="00CD057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Wetland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City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Accreditation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program</w:t>
      </w:r>
      <w:r w:rsidR="00647084" w:rsidRPr="00547DFE">
        <w:rPr>
          <w:rFonts w:asciiTheme="minorHAnsi" w:hAnsiTheme="minorHAnsi" w:cstheme="minorHAnsi"/>
        </w:rPr>
        <w:t>me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proven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effective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03DEC">
        <w:rPr>
          <w:rFonts w:asciiTheme="minorHAnsi" w:hAnsiTheme="minorHAnsi" w:cstheme="minorHAnsi"/>
        </w:rPr>
        <w:t>in</w:t>
      </w:r>
      <w:r w:rsidR="00203DEC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enhancing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visibility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Convention.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webpage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26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464266" w:rsidRPr="00547DFE">
        <w:rPr>
          <w:rFonts w:asciiTheme="minorHAnsi" w:hAnsiTheme="minorHAnsi" w:cstheme="minorHAnsi"/>
        </w:rPr>
        <w:t>website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created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features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program</w:t>
      </w:r>
      <w:r w:rsidR="0041506F" w:rsidRPr="00547DFE">
        <w:rPr>
          <w:rFonts w:asciiTheme="minorHAnsi" w:hAnsiTheme="minorHAnsi" w:cstheme="minorHAnsi"/>
        </w:rPr>
        <w:t>me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an</w:t>
      </w:r>
      <w:r w:rsidR="00195A26" w:rsidRPr="00547DFE">
        <w:rPr>
          <w:rFonts w:asciiTheme="minorHAnsi" w:hAnsiTheme="minorHAnsi" w:cstheme="minorHAnsi"/>
        </w:rPr>
        <w:t>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95A26" w:rsidRPr="00547DFE">
        <w:rPr>
          <w:rFonts w:asciiTheme="minorHAnsi" w:hAnsiTheme="minorHAnsi" w:cstheme="minorHAnsi"/>
        </w:rPr>
        <w:t>recognizes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95A2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95A26" w:rsidRPr="00547DFE">
        <w:rPr>
          <w:rFonts w:asciiTheme="minorHAnsi" w:hAnsiTheme="minorHAnsi" w:cstheme="minorHAnsi"/>
        </w:rPr>
        <w:t>cities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B0BD1" w:rsidRPr="00547DFE">
        <w:rPr>
          <w:rFonts w:asciiTheme="minorHAnsi" w:hAnsiTheme="minorHAnsi" w:cstheme="minorHAnsi"/>
        </w:rPr>
        <w:t>accredited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COP13</w:t>
      </w:r>
      <w:r w:rsidR="00DF56F5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Discussions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are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underway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C5858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Ramsar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Regional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Centre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–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East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Asia,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which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leading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F56F5" w:rsidRPr="00547DFE">
        <w:rPr>
          <w:rFonts w:asciiTheme="minorHAnsi" w:hAnsiTheme="minorHAnsi" w:cstheme="minorHAnsi"/>
        </w:rPr>
        <w:t>develop</w:t>
      </w:r>
      <w:r w:rsidR="008A5D38" w:rsidRPr="00547DFE">
        <w:rPr>
          <w:rFonts w:asciiTheme="minorHAnsi" w:hAnsiTheme="minorHAnsi" w:cstheme="minorHAnsi"/>
        </w:rPr>
        <w:t>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network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wetland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A5D38" w:rsidRPr="00547DFE">
        <w:rPr>
          <w:rFonts w:asciiTheme="minorHAnsi" w:hAnsiTheme="minorHAnsi" w:cstheme="minorHAnsi"/>
        </w:rPr>
        <w:t>cities</w:t>
      </w:r>
      <w:r w:rsidR="00EA0897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14307" w:rsidRPr="00547DFE">
        <w:rPr>
          <w:rFonts w:asciiTheme="minorHAnsi" w:hAnsiTheme="minorHAnsi" w:cstheme="minorHAnsi"/>
        </w:rPr>
        <w:t>T</w:t>
      </w:r>
      <w:r w:rsidR="00CD0572" w:rsidRPr="00547DFE">
        <w:rPr>
          <w:rFonts w:asciiTheme="minorHAnsi" w:hAnsiTheme="minorHAnsi" w:cstheme="minorHAnsi"/>
        </w:rPr>
        <w:t>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submitted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document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present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meeting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(document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917" w:rsidRPr="00715917">
        <w:rPr>
          <w:rFonts w:asciiTheme="minorHAnsi" w:hAnsiTheme="minorHAnsi" w:cstheme="minorHAnsi"/>
        </w:rPr>
        <w:t>SC57 Doc.26</w:t>
      </w:r>
      <w:r w:rsidR="00EA0897" w:rsidRPr="00547DFE">
        <w:rPr>
          <w:rFonts w:asciiTheme="minorHAnsi" w:hAnsiTheme="minorHAnsi" w:cstheme="minorHAnsi"/>
        </w:rPr>
        <w:t>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CD0572" w:rsidRPr="00547DFE">
        <w:rPr>
          <w:rFonts w:asciiTheme="minorHAnsi" w:hAnsiTheme="minorHAnsi" w:cstheme="minorHAnsi"/>
        </w:rPr>
        <w:t>requ</w:t>
      </w:r>
      <w:r w:rsidR="00195A26" w:rsidRPr="00547DFE">
        <w:rPr>
          <w:rFonts w:asciiTheme="minorHAnsi" w:hAnsiTheme="minorHAnsi" w:cstheme="minorHAnsi"/>
        </w:rPr>
        <w:t>esting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Standing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Committee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guide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ensure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95A26" w:rsidRPr="00547DFE">
        <w:rPr>
          <w:rFonts w:asciiTheme="minorHAnsi" w:hAnsiTheme="minorHAnsi" w:cstheme="minorHAnsi"/>
        </w:rPr>
        <w:t>greater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95A26" w:rsidRPr="00547DFE">
        <w:rPr>
          <w:rFonts w:asciiTheme="minorHAnsi" w:hAnsiTheme="minorHAnsi" w:cstheme="minorHAnsi"/>
        </w:rPr>
        <w:t>clarity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A089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95A2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95A26" w:rsidRPr="00547DFE">
        <w:rPr>
          <w:rFonts w:asciiTheme="minorHAnsi" w:hAnsiTheme="minorHAnsi" w:cstheme="minorHAnsi"/>
        </w:rPr>
        <w:t>accreditation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95A26" w:rsidRPr="00547DFE">
        <w:rPr>
          <w:rFonts w:asciiTheme="minorHAnsi" w:hAnsiTheme="minorHAnsi" w:cstheme="minorHAnsi"/>
        </w:rPr>
        <w:t>process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95A26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95A2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95A26" w:rsidRPr="00547DFE">
        <w:rPr>
          <w:rFonts w:asciiTheme="minorHAnsi" w:hAnsiTheme="minorHAnsi" w:cstheme="minorHAnsi"/>
        </w:rPr>
        <w:t>current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95A26" w:rsidRPr="00547DFE">
        <w:rPr>
          <w:rFonts w:asciiTheme="minorHAnsi" w:hAnsiTheme="minorHAnsi" w:cstheme="minorHAnsi"/>
        </w:rPr>
        <w:t>triennium.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022BDD8F" w14:textId="77777777" w:rsidR="003B053D" w:rsidRPr="00547DFE" w:rsidRDefault="003B053D" w:rsidP="00B072AC">
      <w:pPr>
        <w:rPr>
          <w:rFonts w:asciiTheme="minorHAnsi" w:hAnsiTheme="minorHAnsi" w:cstheme="minorHAnsi"/>
        </w:rPr>
      </w:pPr>
    </w:p>
    <w:p w14:paraId="67DF718B" w14:textId="0C095C6F" w:rsidR="003B053D" w:rsidRPr="00547DFE" w:rsidRDefault="002022B4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39</w:t>
      </w:r>
      <w:r w:rsidR="00E235D0" w:rsidRPr="00547DFE">
        <w:rPr>
          <w:rFonts w:asciiTheme="minorHAnsi" w:hAnsiTheme="minorHAnsi" w:cstheme="minorHAnsi"/>
        </w:rPr>
        <w:t>.</w:t>
      </w:r>
      <w:r w:rsidR="003B053D" w:rsidRPr="00547DFE">
        <w:rPr>
          <w:rFonts w:asciiTheme="minorHAnsi" w:hAnsiTheme="minorHAnsi" w:cstheme="minorHAnsi"/>
        </w:rPr>
        <w:tab/>
      </w:r>
      <w:r w:rsidR="00231F6E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1F6E" w:rsidRPr="00547DFE">
        <w:rPr>
          <w:rFonts w:asciiTheme="minorHAnsi" w:hAnsiTheme="minorHAnsi" w:cstheme="minorHAnsi"/>
        </w:rPr>
        <w:t>key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1F6E" w:rsidRPr="00547DFE">
        <w:rPr>
          <w:rFonts w:asciiTheme="minorHAnsi" w:hAnsiTheme="minorHAnsi" w:cstheme="minorHAnsi"/>
        </w:rPr>
        <w:t>challenge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1F6E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1F6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1F6E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1F6E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1F6E" w:rsidRPr="00547DFE">
        <w:rPr>
          <w:rFonts w:asciiTheme="minorHAnsi" w:hAnsiTheme="minorHAnsi" w:cstheme="minorHAnsi"/>
        </w:rPr>
        <w:t>enhancing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1F6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1F6E" w:rsidRPr="00547DFE">
        <w:rPr>
          <w:rFonts w:asciiTheme="minorHAnsi" w:hAnsiTheme="minorHAnsi" w:cstheme="minorHAnsi"/>
        </w:rPr>
        <w:t>visibility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1F6E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1F6E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1F6E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1F6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1F6E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1F6E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231F6E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limited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resources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capacity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undertake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communication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outreach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activities.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addressing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challenge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focusing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efforts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providing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communications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tools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assets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other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organizations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use,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leveraging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communications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events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917">
        <w:rPr>
          <w:rFonts w:asciiTheme="minorHAnsi" w:hAnsiTheme="minorHAnsi" w:cstheme="minorHAnsi"/>
        </w:rPr>
        <w:t>such as</w:t>
      </w:r>
      <w:r w:rsidR="00715917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World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Day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86C2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Wetland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City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82ED0" w:rsidRPr="00547DFE">
        <w:rPr>
          <w:rFonts w:asciiTheme="minorHAnsi" w:hAnsiTheme="minorHAnsi" w:cstheme="minorHAnsi"/>
        </w:rPr>
        <w:t>Accreditation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86C22" w:rsidRPr="00547DFE">
        <w:rPr>
          <w:rFonts w:asciiTheme="minorHAnsi" w:hAnsiTheme="minorHAnsi" w:cstheme="minorHAnsi"/>
        </w:rPr>
        <w:t>scheme</w:t>
      </w:r>
      <w:r w:rsidR="00782ED0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pursuing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strategic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engagement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IOPs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other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organizations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have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ability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raise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visibility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wetlands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861AE9" w:rsidRPr="00547DFE">
        <w:rPr>
          <w:rFonts w:asciiTheme="minorHAnsi" w:hAnsiTheme="minorHAnsi" w:cstheme="minorHAnsi"/>
        </w:rPr>
        <w:t>Convention.</w:t>
      </w:r>
    </w:p>
    <w:p w14:paraId="0213BCFD" w14:textId="77777777" w:rsidR="00E90337" w:rsidRPr="00547DFE" w:rsidRDefault="00E90337" w:rsidP="00B072AC">
      <w:pPr>
        <w:ind w:left="0" w:firstLine="0"/>
        <w:rPr>
          <w:rFonts w:asciiTheme="minorHAnsi" w:hAnsiTheme="minorHAnsi" w:cstheme="minorHAnsi"/>
        </w:rPr>
      </w:pPr>
    </w:p>
    <w:p w14:paraId="4A45F812" w14:textId="6C6957CA" w:rsidR="00E90337" w:rsidRPr="00715917" w:rsidRDefault="00E90337" w:rsidP="00B072AC">
      <w:pPr>
        <w:rPr>
          <w:rFonts w:asciiTheme="minorHAnsi" w:eastAsiaTheme="minorHAnsi" w:hAnsiTheme="minorHAnsi" w:cstheme="minorHAnsi"/>
          <w:b/>
          <w:bCs/>
        </w:rPr>
      </w:pPr>
      <w:r w:rsidRPr="00715917">
        <w:rPr>
          <w:rFonts w:asciiTheme="minorHAnsi" w:hAnsiTheme="minorHAnsi" w:cstheme="minorHAnsi"/>
          <w:b/>
          <w:bCs/>
        </w:rPr>
        <w:t>Strengthening</w:t>
      </w:r>
      <w:r w:rsidR="00E80EDB" w:rsidRPr="00715917">
        <w:rPr>
          <w:rFonts w:asciiTheme="minorHAnsi" w:hAnsiTheme="minorHAnsi" w:cstheme="minorHAnsi"/>
          <w:b/>
          <w:bCs/>
        </w:rPr>
        <w:t xml:space="preserve"> </w:t>
      </w:r>
      <w:r w:rsidRPr="00715917">
        <w:rPr>
          <w:rFonts w:asciiTheme="minorHAnsi" w:hAnsiTheme="minorHAnsi" w:cstheme="minorHAnsi"/>
          <w:b/>
          <w:bCs/>
        </w:rPr>
        <w:t>the</w:t>
      </w:r>
      <w:r w:rsidR="00E80EDB" w:rsidRPr="00715917">
        <w:rPr>
          <w:rFonts w:asciiTheme="minorHAnsi" w:hAnsiTheme="minorHAnsi" w:cstheme="minorHAnsi"/>
          <w:b/>
          <w:bCs/>
        </w:rPr>
        <w:t xml:space="preserve"> </w:t>
      </w:r>
      <w:r w:rsidRPr="00715917">
        <w:rPr>
          <w:rFonts w:asciiTheme="minorHAnsi" w:hAnsiTheme="minorHAnsi" w:cstheme="minorHAnsi"/>
          <w:b/>
          <w:bCs/>
        </w:rPr>
        <w:t>Secretariat’s</w:t>
      </w:r>
      <w:r w:rsidR="00E80EDB" w:rsidRPr="00715917">
        <w:rPr>
          <w:rFonts w:asciiTheme="minorHAnsi" w:hAnsiTheme="minorHAnsi" w:cstheme="minorHAnsi"/>
          <w:b/>
          <w:bCs/>
        </w:rPr>
        <w:t xml:space="preserve"> </w:t>
      </w:r>
      <w:r w:rsidRPr="00715917">
        <w:rPr>
          <w:rFonts w:asciiTheme="minorHAnsi" w:hAnsiTheme="minorHAnsi" w:cstheme="minorHAnsi"/>
          <w:b/>
          <w:bCs/>
        </w:rPr>
        <w:t>efficiency</w:t>
      </w:r>
      <w:r w:rsidR="00E80EDB" w:rsidRPr="00715917">
        <w:rPr>
          <w:rFonts w:asciiTheme="minorHAnsi" w:hAnsiTheme="minorHAnsi" w:cstheme="minorHAnsi"/>
          <w:b/>
          <w:bCs/>
        </w:rPr>
        <w:t xml:space="preserve"> </w:t>
      </w:r>
      <w:r w:rsidRPr="00715917">
        <w:rPr>
          <w:rFonts w:asciiTheme="minorHAnsi" w:hAnsiTheme="minorHAnsi" w:cstheme="minorHAnsi"/>
          <w:b/>
          <w:bCs/>
        </w:rPr>
        <w:t>and</w:t>
      </w:r>
      <w:r w:rsidR="00E80EDB" w:rsidRPr="00715917">
        <w:rPr>
          <w:rFonts w:asciiTheme="minorHAnsi" w:hAnsiTheme="minorHAnsi" w:cstheme="minorHAnsi"/>
          <w:b/>
          <w:bCs/>
        </w:rPr>
        <w:t xml:space="preserve"> </w:t>
      </w:r>
      <w:r w:rsidRPr="00715917">
        <w:rPr>
          <w:rFonts w:asciiTheme="minorHAnsi" w:hAnsiTheme="minorHAnsi" w:cstheme="minorHAnsi"/>
          <w:b/>
          <w:bCs/>
        </w:rPr>
        <w:t>effectiveness</w:t>
      </w:r>
    </w:p>
    <w:p w14:paraId="794AB34A" w14:textId="77777777" w:rsidR="00E90337" w:rsidRPr="00547DFE" w:rsidRDefault="00E90337" w:rsidP="00B072AC">
      <w:pPr>
        <w:rPr>
          <w:rFonts w:asciiTheme="minorHAnsi" w:hAnsiTheme="minorHAnsi" w:cstheme="minorHAnsi"/>
        </w:rPr>
      </w:pPr>
    </w:p>
    <w:p w14:paraId="41CD0C2D" w14:textId="242DC6D6" w:rsidR="00E90337" w:rsidRPr="00547DFE" w:rsidRDefault="00413AAB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022B4">
        <w:rPr>
          <w:rFonts w:asciiTheme="minorHAnsi" w:hAnsiTheme="minorHAnsi" w:cstheme="minorHAnsi"/>
        </w:rPr>
        <w:t>0</w:t>
      </w:r>
      <w:r w:rsidR="00E90337" w:rsidRPr="00547DFE">
        <w:rPr>
          <w:rFonts w:asciiTheme="minorHAnsi" w:hAnsiTheme="minorHAnsi" w:cstheme="minorHAnsi"/>
        </w:rPr>
        <w:t>.</w:t>
      </w:r>
      <w:r w:rsidR="00E90337" w:rsidRPr="00547DFE">
        <w:rPr>
          <w:rFonts w:asciiTheme="minorHAnsi" w:hAnsiTheme="minorHAnsi" w:cstheme="minorHAnsi"/>
        </w:rPr>
        <w:tab/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guiding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objective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since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current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General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took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office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“organize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deliver”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Strategic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Plan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mandate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Parties,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use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limited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resources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capacities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F3C45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F3C4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F3C45" w:rsidRPr="00547DFE">
        <w:rPr>
          <w:rFonts w:asciiTheme="minorHAnsi" w:hAnsiTheme="minorHAnsi" w:cstheme="minorHAnsi"/>
        </w:rPr>
        <w:t>most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F3C45" w:rsidRPr="00547DFE">
        <w:rPr>
          <w:rFonts w:asciiTheme="minorHAnsi" w:hAnsiTheme="minorHAnsi" w:cstheme="minorHAnsi"/>
        </w:rPr>
        <w:t>efficient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F3C45" w:rsidRPr="00547DFE">
        <w:rPr>
          <w:rFonts w:asciiTheme="minorHAnsi" w:hAnsiTheme="minorHAnsi" w:cstheme="minorHAnsi"/>
        </w:rPr>
        <w:t>way</w:t>
      </w:r>
      <w:r w:rsidR="00E90337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72590292" w14:textId="77777777" w:rsidR="00E90337" w:rsidRPr="00547DFE" w:rsidRDefault="00E90337" w:rsidP="00B072AC">
      <w:pPr>
        <w:rPr>
          <w:rFonts w:asciiTheme="minorHAnsi" w:hAnsiTheme="minorHAnsi" w:cstheme="minorHAnsi"/>
        </w:rPr>
      </w:pPr>
    </w:p>
    <w:p w14:paraId="5BC48E47" w14:textId="0EE873F7" w:rsidR="00E90337" w:rsidRPr="00547DFE" w:rsidRDefault="00413AAB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022B4">
        <w:rPr>
          <w:rFonts w:asciiTheme="minorHAnsi" w:hAnsiTheme="minorHAnsi" w:cstheme="minorHAnsi"/>
        </w:rPr>
        <w:t>1</w:t>
      </w:r>
      <w:r w:rsidR="00E90337" w:rsidRPr="00547DFE">
        <w:rPr>
          <w:rFonts w:asciiTheme="minorHAnsi" w:hAnsiTheme="minorHAnsi" w:cstheme="minorHAnsi"/>
        </w:rPr>
        <w:t>.</w:t>
      </w:r>
      <w:r w:rsidR="00E90337" w:rsidRPr="00547DFE">
        <w:rPr>
          <w:rFonts w:asciiTheme="minorHAnsi" w:hAnsiTheme="minorHAnsi" w:cstheme="minorHAnsi"/>
        </w:rPr>
        <w:tab/>
        <w:t>Capacity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gaps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identified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especially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two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areas,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namely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function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supporting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governing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subsidiary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bodies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link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relevant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policy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processes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through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policy-relevant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science.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Adjustments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were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made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job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descriptions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vacant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posts,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D55F2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D55F2" w:rsidRPr="00547DFE">
        <w:rPr>
          <w:rFonts w:asciiTheme="minorHAnsi" w:hAnsiTheme="minorHAnsi" w:cstheme="minorHAnsi"/>
        </w:rPr>
        <w:t>some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D55F2" w:rsidRPr="00547DFE">
        <w:rPr>
          <w:rFonts w:asciiTheme="minorHAnsi" w:hAnsiTheme="minorHAnsi" w:cstheme="minorHAnsi"/>
        </w:rPr>
        <w:t>cases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after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retirement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incumbents,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2BBC" w:rsidRPr="00547DFE">
        <w:rPr>
          <w:rFonts w:asciiTheme="minorHAnsi" w:hAnsiTheme="minorHAnsi" w:cstheme="minorHAnsi"/>
        </w:rPr>
        <w:t>also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2BBC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2BBC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2BBC" w:rsidRPr="00547DFE">
        <w:rPr>
          <w:rFonts w:asciiTheme="minorHAnsi" w:hAnsiTheme="minorHAnsi" w:cstheme="minorHAnsi"/>
        </w:rPr>
        <w:t>job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2BBC" w:rsidRPr="00547DFE">
        <w:rPr>
          <w:rFonts w:asciiTheme="minorHAnsi" w:hAnsiTheme="minorHAnsi" w:cstheme="minorHAnsi"/>
        </w:rPr>
        <w:t>descriptions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52BBC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administrative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staff</w:t>
      </w:r>
      <w:r w:rsidR="00952BBC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cover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capac</w:t>
      </w:r>
      <w:r w:rsidR="00BB36F9" w:rsidRPr="00547DFE">
        <w:rPr>
          <w:rFonts w:asciiTheme="minorHAnsi" w:hAnsiTheme="minorHAnsi" w:cstheme="minorHAnsi"/>
        </w:rPr>
        <w:t>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B36F9" w:rsidRPr="00547DFE">
        <w:rPr>
          <w:rFonts w:asciiTheme="minorHAnsi" w:hAnsiTheme="minorHAnsi" w:cstheme="minorHAnsi"/>
        </w:rPr>
        <w:t>gaps.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These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changes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will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result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enhanced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support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governing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subsidiary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bodies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strengthened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visibility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an</w:t>
      </w:r>
      <w:r w:rsidR="00D126FD" w:rsidRPr="00547DFE">
        <w:rPr>
          <w:rFonts w:asciiTheme="minorHAnsi" w:hAnsiTheme="minorHAnsi" w:cstheme="minorHAnsi"/>
        </w:rPr>
        <w:t>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relevance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Convention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key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policy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processes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(see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3466D" w:rsidRPr="00547DFE">
        <w:rPr>
          <w:rFonts w:asciiTheme="minorHAnsi" w:hAnsiTheme="minorHAnsi" w:cstheme="minorHAnsi"/>
        </w:rPr>
        <w:t>above).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During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917" w:rsidRPr="00547DFE">
        <w:rPr>
          <w:rFonts w:asciiTheme="minorHAnsi" w:hAnsiTheme="minorHAnsi" w:cstheme="minorHAnsi"/>
        </w:rPr>
        <w:t xml:space="preserve">process </w:t>
      </w:r>
      <w:r w:rsidR="00715917">
        <w:rPr>
          <w:rFonts w:asciiTheme="minorHAnsi" w:hAnsiTheme="minorHAnsi" w:cstheme="minorHAnsi"/>
        </w:rPr>
        <w:t xml:space="preserve">of </w:t>
      </w:r>
      <w:r w:rsidR="00D126FD" w:rsidRPr="00547DFE">
        <w:rPr>
          <w:rFonts w:asciiTheme="minorHAnsi" w:hAnsiTheme="minorHAnsi" w:cstheme="minorHAnsi"/>
        </w:rPr>
        <w:t>recruitment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vacant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posts,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efforts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are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126FD" w:rsidRPr="00547DFE">
        <w:rPr>
          <w:rFonts w:asciiTheme="minorHAnsi" w:hAnsiTheme="minorHAnsi" w:cstheme="minorHAnsi"/>
        </w:rPr>
        <w:t>being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made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95E2D" w:rsidRPr="00547DFE">
        <w:rPr>
          <w:rFonts w:asciiTheme="minorHAnsi" w:hAnsiTheme="minorHAnsi" w:cstheme="minorHAnsi"/>
        </w:rPr>
        <w:t>ensure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regional</w:t>
      </w:r>
      <w:r w:rsidR="00995E2D" w:rsidRPr="00547DFE">
        <w:rPr>
          <w:rFonts w:asciiTheme="minorHAnsi" w:hAnsiTheme="minorHAnsi" w:cstheme="minorHAnsi"/>
        </w:rPr>
        <w:t>-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gender</w:t>
      </w:r>
      <w:r w:rsidR="00995E2D" w:rsidRPr="00547DFE">
        <w:rPr>
          <w:rFonts w:asciiTheme="minorHAnsi" w:hAnsiTheme="minorHAnsi" w:cstheme="minorHAnsi"/>
        </w:rPr>
        <w:t>-</w:t>
      </w:r>
      <w:r w:rsidR="00E90337" w:rsidRPr="00547DFE">
        <w:rPr>
          <w:rFonts w:asciiTheme="minorHAnsi" w:hAnsiTheme="minorHAnsi" w:cstheme="minorHAnsi"/>
        </w:rPr>
        <w:t>diversity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extent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possible.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Currently,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60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917">
        <w:rPr>
          <w:rFonts w:asciiTheme="minorHAnsi" w:hAnsiTheme="minorHAnsi" w:cstheme="minorHAnsi"/>
        </w:rPr>
        <w:t>%</w:t>
      </w:r>
      <w:r w:rsidR="00715917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staff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women.</w:t>
      </w:r>
      <w:r w:rsidR="00E80EDB" w:rsidRPr="00547DFE">
        <w:rPr>
          <w:rFonts w:asciiTheme="minorHAnsi" w:hAnsiTheme="minorHAnsi" w:cstheme="minorHAnsi"/>
        </w:rPr>
        <w:t xml:space="preserve"> </w:t>
      </w:r>
    </w:p>
    <w:p w14:paraId="1E9321B9" w14:textId="77777777" w:rsidR="00E90337" w:rsidRPr="00547DFE" w:rsidRDefault="00E90337" w:rsidP="00B072AC">
      <w:pPr>
        <w:rPr>
          <w:rFonts w:asciiTheme="minorHAnsi" w:hAnsiTheme="minorHAnsi" w:cstheme="minorHAnsi"/>
        </w:rPr>
      </w:pPr>
    </w:p>
    <w:p w14:paraId="0D816737" w14:textId="5ECCAB69" w:rsidR="00E90337" w:rsidRPr="00547DFE" w:rsidRDefault="00413AAB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022B4">
        <w:rPr>
          <w:rFonts w:asciiTheme="minorHAnsi" w:hAnsiTheme="minorHAnsi" w:cstheme="minorHAnsi"/>
        </w:rPr>
        <w:t>2</w:t>
      </w:r>
      <w:r w:rsidR="00E90337" w:rsidRPr="00547DFE">
        <w:rPr>
          <w:rFonts w:asciiTheme="minorHAnsi" w:hAnsiTheme="minorHAnsi" w:cstheme="minorHAnsi"/>
        </w:rPr>
        <w:t>.</w:t>
      </w:r>
      <w:r w:rsidR="00E90337" w:rsidRPr="00547DFE">
        <w:rPr>
          <w:rFonts w:asciiTheme="minorHAnsi" w:hAnsiTheme="minorHAnsi" w:cstheme="minorHAnsi"/>
        </w:rPr>
        <w:tab/>
        <w:t>Technologies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business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practices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improve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efficiency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effectiveness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have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actively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evaluated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adopted.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particular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importance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adoption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new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Customer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Relationship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Management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(CRM)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database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6D56CD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enabl</w:t>
      </w:r>
      <w:r w:rsidR="00921775" w:rsidRPr="00547DFE">
        <w:rPr>
          <w:rFonts w:asciiTheme="minorHAnsi" w:hAnsiTheme="minorHAnsi" w:cstheme="minorHAnsi"/>
        </w:rPr>
        <w:t>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more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efficient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lastRenderedPageBreak/>
        <w:t>management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mailings,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meeting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registration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contacts</w:t>
      </w:r>
      <w:r w:rsidR="005B31C1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allow</w:t>
      </w:r>
      <w:r w:rsidR="00715917">
        <w:rPr>
          <w:rFonts w:asciiTheme="minorHAnsi" w:hAnsiTheme="minorHAnsi" w:cstheme="minorHAnsi"/>
        </w:rPr>
        <w:t>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compliance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ne</w:t>
      </w:r>
      <w:r w:rsidR="00026E8B" w:rsidRPr="00547DFE">
        <w:rPr>
          <w:rFonts w:asciiTheme="minorHAnsi" w:hAnsiTheme="minorHAnsi" w:cstheme="minorHAnsi"/>
        </w:rPr>
        <w:t>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privacy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laws.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CRM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brings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together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all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contact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information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managed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into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sing</w:t>
      </w:r>
      <w:r w:rsidR="005B31C1" w:rsidRPr="00547DFE">
        <w:rPr>
          <w:rFonts w:asciiTheme="minorHAnsi" w:hAnsiTheme="minorHAnsi" w:cstheme="minorHAnsi"/>
        </w:rPr>
        <w:t>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database.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715917">
        <w:rPr>
          <w:rFonts w:asciiTheme="minorHAnsi" w:hAnsiTheme="minorHAnsi" w:cstheme="minorHAnsi"/>
        </w:rPr>
        <w:t>It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was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used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managing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aspects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registration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COP13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now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being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used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all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correspondence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management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meetings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including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SC57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26E8B" w:rsidRPr="00547DFE">
        <w:rPr>
          <w:rFonts w:asciiTheme="minorHAnsi" w:hAnsiTheme="minorHAnsi" w:cstheme="minorHAnsi"/>
        </w:rPr>
        <w:t>STRP</w:t>
      </w:r>
      <w:r w:rsidR="00715917">
        <w:rPr>
          <w:rFonts w:asciiTheme="minorHAnsi" w:hAnsiTheme="minorHAnsi" w:cstheme="minorHAnsi"/>
        </w:rPr>
        <w:t>22</w:t>
      </w:r>
      <w:r w:rsidR="00E90337" w:rsidRPr="00547DFE">
        <w:rPr>
          <w:rFonts w:asciiTheme="minorHAnsi" w:hAnsiTheme="minorHAnsi" w:cstheme="minorHAnsi"/>
        </w:rPr>
        <w:t>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technologies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have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adopted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include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voice-over-internet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services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conference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calls,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online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learning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(webinars)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higher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utilization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digital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document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sharing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mechanisms.</w:t>
      </w:r>
    </w:p>
    <w:p w14:paraId="38615484" w14:textId="77777777" w:rsidR="00E90337" w:rsidRPr="00547DFE" w:rsidRDefault="00E90337" w:rsidP="00B072AC">
      <w:pPr>
        <w:rPr>
          <w:rFonts w:asciiTheme="minorHAnsi" w:hAnsiTheme="minorHAnsi" w:cstheme="minorHAnsi"/>
        </w:rPr>
      </w:pPr>
    </w:p>
    <w:p w14:paraId="08F413E3" w14:textId="56763CF7" w:rsidR="00E90337" w:rsidRPr="00547DFE" w:rsidRDefault="00413AAB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022B4">
        <w:rPr>
          <w:rFonts w:asciiTheme="minorHAnsi" w:hAnsiTheme="minorHAnsi" w:cstheme="minorHAnsi"/>
        </w:rPr>
        <w:t>3</w:t>
      </w:r>
      <w:r w:rsidR="00057B25" w:rsidRPr="00547DFE">
        <w:rPr>
          <w:rFonts w:asciiTheme="minorHAnsi" w:hAnsiTheme="minorHAnsi" w:cstheme="minorHAnsi"/>
        </w:rPr>
        <w:t>.</w:t>
      </w:r>
      <w:r w:rsidR="00057B25" w:rsidRPr="00547DFE">
        <w:rPr>
          <w:rFonts w:asciiTheme="minorHAnsi" w:hAnsiTheme="minorHAnsi" w:cstheme="minorHAnsi"/>
        </w:rPr>
        <w:tab/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professionally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facilitated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planning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w</w:t>
      </w:r>
      <w:r w:rsidR="00C5757F" w:rsidRPr="00547DFE">
        <w:rPr>
          <w:rFonts w:asciiTheme="minorHAnsi" w:hAnsiTheme="minorHAnsi" w:cstheme="minorHAnsi"/>
        </w:rPr>
        <w:t>orkshop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</w:t>
      </w:r>
      <w:r w:rsidR="00C5757F" w:rsidRPr="00547DFE">
        <w:rPr>
          <w:rFonts w:asciiTheme="minorHAnsi" w:hAnsiTheme="minorHAnsi" w:cstheme="minorHAnsi"/>
        </w:rPr>
        <w:t>t</w:t>
      </w:r>
      <w:r w:rsidR="005301E9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conducted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January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301E9" w:rsidRPr="00547DFE">
        <w:rPr>
          <w:rFonts w:asciiTheme="minorHAnsi" w:hAnsiTheme="minorHAnsi" w:cstheme="minorHAnsi"/>
        </w:rPr>
        <w:t>2019,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focused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assessing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progress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implementation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9D0646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2018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plan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12459">
        <w:rPr>
          <w:rFonts w:asciiTheme="minorHAnsi" w:hAnsiTheme="minorHAnsi" w:cstheme="minorHAnsi"/>
        </w:rPr>
        <w:t xml:space="preserve">on </w:t>
      </w:r>
      <w:r w:rsidR="00057B25" w:rsidRPr="00547DFE">
        <w:rPr>
          <w:rFonts w:asciiTheme="minorHAnsi" w:hAnsiTheme="minorHAnsi" w:cstheme="minorHAnsi"/>
        </w:rPr>
        <w:t>develop</w:t>
      </w:r>
      <w:r w:rsidR="009D0646" w:rsidRPr="00547DFE">
        <w:rPr>
          <w:rFonts w:asciiTheme="minorHAnsi" w:hAnsiTheme="minorHAnsi" w:cstheme="minorHAnsi"/>
        </w:rPr>
        <w:t>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new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triennial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annual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plan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organized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around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seven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key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functions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5B338C">
        <w:rPr>
          <w:rFonts w:asciiTheme="minorHAnsi" w:hAnsiTheme="minorHAnsi" w:cstheme="minorHAnsi"/>
        </w:rPr>
        <w:t>approved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3082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3082" w:rsidRPr="00547DFE">
        <w:rPr>
          <w:rFonts w:asciiTheme="minorHAnsi" w:hAnsiTheme="minorHAnsi" w:cstheme="minorHAnsi"/>
        </w:rPr>
        <w:t>Standing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3082" w:rsidRPr="00547DFE">
        <w:rPr>
          <w:rFonts w:asciiTheme="minorHAnsi" w:hAnsiTheme="minorHAnsi" w:cstheme="minorHAnsi"/>
        </w:rPr>
        <w:t>Committee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B93082" w:rsidRPr="00547DFE">
        <w:rPr>
          <w:rFonts w:asciiTheme="minorHAnsi" w:hAnsiTheme="minorHAnsi" w:cstheme="minorHAnsi"/>
        </w:rPr>
        <w:t>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057B25" w:rsidRPr="00547DFE">
        <w:rPr>
          <w:rFonts w:asciiTheme="minorHAnsi" w:hAnsiTheme="minorHAnsi" w:cstheme="minorHAnsi"/>
        </w:rPr>
        <w:t>SC54.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new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streamlined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plan</w:t>
      </w:r>
      <w:r w:rsidR="001876AE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presented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1876AE" w:rsidRPr="00547DFE">
        <w:rPr>
          <w:rFonts w:asciiTheme="minorHAnsi" w:hAnsiTheme="minorHAnsi" w:cstheme="minorHAnsi"/>
        </w:rPr>
        <w:t>document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12459" w:rsidRPr="00A12459">
        <w:rPr>
          <w:rFonts w:asciiTheme="minorHAnsi" w:hAnsiTheme="minorHAnsi" w:cstheme="minorHAnsi"/>
        </w:rPr>
        <w:t xml:space="preserve">SC57 Doc.16, </w:t>
      </w:r>
      <w:r w:rsidR="00AD6B8D" w:rsidRPr="00547DFE">
        <w:rPr>
          <w:rFonts w:asciiTheme="minorHAnsi" w:hAnsiTheme="minorHAnsi" w:cstheme="minorHAnsi"/>
        </w:rPr>
        <w:t>will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better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enable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focus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those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assigned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activities,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deliverables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outcomes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have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identified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being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most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critical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effective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implementation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AD6B8D" w:rsidRPr="00547DFE">
        <w:rPr>
          <w:rFonts w:asciiTheme="minorHAnsi" w:hAnsiTheme="minorHAnsi" w:cstheme="minorHAnsi"/>
        </w:rPr>
        <w:t>Convention.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Mandatory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gender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equality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mainstreaming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training</w:t>
      </w:r>
      <w:r w:rsidR="005C6BDB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called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Resolution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XIII.18</w:t>
      </w:r>
      <w:r w:rsidR="005C6BDB" w:rsidRPr="00547DFE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being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organized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will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be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completed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B70BA" w:rsidRPr="00547DFE">
        <w:rPr>
          <w:rFonts w:asciiTheme="minorHAnsi" w:hAnsiTheme="minorHAnsi" w:cstheme="minorHAnsi"/>
        </w:rPr>
        <w:t>2019.</w:t>
      </w:r>
    </w:p>
    <w:p w14:paraId="16ABAD54" w14:textId="77777777" w:rsidR="00445A22" w:rsidRPr="00547DFE" w:rsidRDefault="00445A22" w:rsidP="00B072AC">
      <w:pPr>
        <w:rPr>
          <w:rFonts w:asciiTheme="minorHAnsi" w:hAnsiTheme="minorHAnsi" w:cstheme="minorHAnsi"/>
        </w:rPr>
      </w:pPr>
    </w:p>
    <w:p w14:paraId="46F7BB14" w14:textId="7B58D015" w:rsidR="00F344DE" w:rsidRPr="00547DFE" w:rsidRDefault="00413AAB" w:rsidP="00B07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022B4">
        <w:rPr>
          <w:rFonts w:asciiTheme="minorHAnsi" w:hAnsiTheme="minorHAnsi" w:cstheme="minorHAnsi"/>
        </w:rPr>
        <w:t>4</w:t>
      </w:r>
      <w:r w:rsidR="00E90337" w:rsidRPr="00547DFE">
        <w:rPr>
          <w:rFonts w:asciiTheme="minorHAnsi" w:hAnsiTheme="minorHAnsi" w:cstheme="minorHAnsi"/>
        </w:rPr>
        <w:t>.</w:t>
      </w:r>
      <w:r w:rsidR="00E90337" w:rsidRPr="00547DFE">
        <w:rPr>
          <w:rFonts w:asciiTheme="minorHAnsi" w:hAnsiTheme="minorHAnsi" w:cstheme="minorHAnsi"/>
        </w:rPr>
        <w:tab/>
        <w:t>Considerable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progress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been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made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strengthening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Secretariat’s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efficiency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effectiveness,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filling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gaps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capabilities.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team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worked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hard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regard</w:t>
      </w:r>
      <w:r w:rsidR="00A12459">
        <w:rPr>
          <w:rFonts w:asciiTheme="minorHAnsi" w:hAnsiTheme="minorHAnsi" w:cstheme="minorHAnsi"/>
        </w:rPr>
        <w:t>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encouraging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results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key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areas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described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report.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However,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further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still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needed.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Moving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towards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whole-of-Secretariat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approach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has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presented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challenges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requires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changes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ways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working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organizational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culture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within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its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engagement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Parties.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developing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510B0" w:rsidRPr="00547DFE">
        <w:rPr>
          <w:rFonts w:asciiTheme="minorHAnsi" w:hAnsiTheme="minorHAnsi" w:cstheme="minorHAnsi"/>
        </w:rPr>
        <w:t xml:space="preserve">standard operating procedures </w:t>
      </w:r>
      <w:r w:rsidR="00E55A5E" w:rsidRPr="00547DFE">
        <w:rPr>
          <w:rFonts w:asciiTheme="minorHAnsi" w:hAnsiTheme="minorHAnsi" w:cstheme="minorHAnsi"/>
        </w:rPr>
        <w:t>that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will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contribute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making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further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progress.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areas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further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work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include: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developing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more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coherent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coordinated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approaches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across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regions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510B0">
        <w:rPr>
          <w:rFonts w:asciiTheme="minorHAnsi" w:hAnsiTheme="minorHAnsi" w:cstheme="minorHAnsi"/>
        </w:rPr>
        <w:t>achieve</w:t>
      </w:r>
      <w:r w:rsidR="00E510B0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efficiencies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better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serve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Parties;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balancing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enhanced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accountability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for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implementation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decisions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taken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by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COP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Standing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Committee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with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service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provided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Contracting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Parties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each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region;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balanc</w:t>
      </w:r>
      <w:r w:rsidR="00EC4D11" w:rsidRPr="00547DFE">
        <w:rPr>
          <w:rFonts w:asciiTheme="minorHAnsi" w:hAnsiTheme="minorHAnsi" w:cstheme="minorHAnsi"/>
        </w:rPr>
        <w:t>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regional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thematic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approac</w:t>
      </w:r>
      <w:r w:rsidR="00DA70DF" w:rsidRPr="00547DFE">
        <w:rPr>
          <w:rFonts w:asciiTheme="minorHAnsi" w:hAnsiTheme="minorHAnsi" w:cstheme="minorHAnsi"/>
        </w:rPr>
        <w:t>hes;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A70DF" w:rsidRPr="00547DFE">
        <w:rPr>
          <w:rFonts w:asciiTheme="minorHAnsi" w:hAnsiTheme="minorHAnsi" w:cstheme="minorHAnsi"/>
        </w:rPr>
        <w:t>further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A70DF" w:rsidRPr="00547DFE">
        <w:rPr>
          <w:rFonts w:asciiTheme="minorHAnsi" w:hAnsiTheme="minorHAnsi" w:cstheme="minorHAnsi"/>
        </w:rPr>
        <w:t>strengthening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A70DF" w:rsidRPr="00547DFE">
        <w:rPr>
          <w:rFonts w:asciiTheme="minorHAnsi" w:hAnsiTheme="minorHAnsi" w:cstheme="minorHAnsi"/>
        </w:rPr>
        <w:t>financial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DA70DF" w:rsidRPr="00547DFE">
        <w:rPr>
          <w:rFonts w:asciiTheme="minorHAnsi" w:hAnsiTheme="minorHAnsi" w:cstheme="minorHAnsi"/>
        </w:rPr>
        <w:t>management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operational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procedures;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continuing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to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build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capacities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and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skills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in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core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functional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areas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of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the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Secretariat’s</w:t>
      </w:r>
      <w:r w:rsidR="00E80EDB" w:rsidRPr="00547DFE">
        <w:rPr>
          <w:rFonts w:asciiTheme="minorHAnsi" w:hAnsiTheme="minorHAnsi" w:cstheme="minorHAnsi"/>
        </w:rPr>
        <w:t xml:space="preserve"> </w:t>
      </w:r>
      <w:r w:rsidR="00E90337" w:rsidRPr="00547DFE">
        <w:rPr>
          <w:rFonts w:asciiTheme="minorHAnsi" w:hAnsiTheme="minorHAnsi" w:cstheme="minorHAnsi"/>
        </w:rPr>
        <w:t>work.</w:t>
      </w:r>
    </w:p>
    <w:sectPr w:rsidR="00F344DE" w:rsidRPr="00547DFE" w:rsidSect="002137E0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 B" w:date="2019-03-20T12:33:00Z" w:initials="JB">
    <w:p w14:paraId="427E7B70" w14:textId="77777777" w:rsidR="00E80EDB" w:rsidRDefault="00E80EDB">
      <w:pPr>
        <w:pStyle w:val="CommentText"/>
      </w:pPr>
      <w:r>
        <w:rPr>
          <w:rStyle w:val="CommentReference"/>
        </w:rPr>
        <w:annotationRef/>
      </w:r>
      <w:r>
        <w:t>Is this what you mean … that the Secretariat stressed …?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7E7B7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2AF8D" w14:textId="77777777" w:rsidR="00E7071D" w:rsidRDefault="00E7071D" w:rsidP="00DF2386">
      <w:r>
        <w:separator/>
      </w:r>
    </w:p>
  </w:endnote>
  <w:endnote w:type="continuationSeparator" w:id="0">
    <w:p w14:paraId="0F8C588F" w14:textId="77777777" w:rsidR="00E7071D" w:rsidRDefault="00E7071D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F5F60" w14:textId="76F3EF8A" w:rsidR="00E80EDB" w:rsidRDefault="00605121" w:rsidP="002137E0">
    <w:pPr>
      <w:pStyle w:val="Header"/>
      <w:rPr>
        <w:noProof/>
      </w:rPr>
    </w:pPr>
    <w:r>
      <w:rPr>
        <w:sz w:val="20"/>
        <w:szCs w:val="20"/>
      </w:rPr>
      <w:t>SC57 Doc.5</w:t>
    </w:r>
    <w:r w:rsidR="00E80EDB">
      <w:tab/>
    </w:r>
    <w:r w:rsidR="00E80EDB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80EDB">
          <w:rPr>
            <w:noProof/>
            <w:sz w:val="20"/>
            <w:szCs w:val="20"/>
          </w:rPr>
          <w:fldChar w:fldCharType="begin"/>
        </w:r>
        <w:r w:rsidR="00E80EDB">
          <w:rPr>
            <w:noProof/>
            <w:sz w:val="20"/>
            <w:szCs w:val="20"/>
          </w:rPr>
          <w:instrText xml:space="preserve"> PAGE   \* MERGEFORMAT </w:instrText>
        </w:r>
        <w:r w:rsidR="00E80EDB">
          <w:rPr>
            <w:noProof/>
            <w:sz w:val="20"/>
            <w:szCs w:val="20"/>
          </w:rPr>
          <w:fldChar w:fldCharType="separate"/>
        </w:r>
        <w:r w:rsidR="00E71AD7">
          <w:rPr>
            <w:noProof/>
            <w:sz w:val="20"/>
            <w:szCs w:val="20"/>
          </w:rPr>
          <w:t>3</w:t>
        </w:r>
        <w:r w:rsidR="00E80EDB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5A407" w14:textId="77777777" w:rsidR="00E7071D" w:rsidRDefault="00E7071D" w:rsidP="00DF2386">
      <w:r>
        <w:separator/>
      </w:r>
    </w:p>
  </w:footnote>
  <w:footnote w:type="continuationSeparator" w:id="0">
    <w:p w14:paraId="7297A7B4" w14:textId="77777777" w:rsidR="00E7071D" w:rsidRDefault="00E7071D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D95A" w14:textId="77777777" w:rsidR="00E80EDB" w:rsidRDefault="00E80EDB">
    <w:pPr>
      <w:pStyle w:val="Header"/>
    </w:pPr>
  </w:p>
  <w:p w14:paraId="74ED2576" w14:textId="77777777" w:rsidR="00E80EDB" w:rsidRDefault="00E80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EF0"/>
    <w:multiLevelType w:val="hybridMultilevel"/>
    <w:tmpl w:val="D0B2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A9F"/>
    <w:multiLevelType w:val="hybridMultilevel"/>
    <w:tmpl w:val="EAFE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2382"/>
    <w:multiLevelType w:val="hybridMultilevel"/>
    <w:tmpl w:val="E7566BEC"/>
    <w:lvl w:ilvl="0" w:tplc="76E24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D1A2F"/>
    <w:multiLevelType w:val="hybridMultilevel"/>
    <w:tmpl w:val="6B1EFEF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1047E6E"/>
    <w:multiLevelType w:val="hybridMultilevel"/>
    <w:tmpl w:val="0A70DED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16D4276"/>
    <w:multiLevelType w:val="hybridMultilevel"/>
    <w:tmpl w:val="30325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3C15F13"/>
    <w:multiLevelType w:val="hybridMultilevel"/>
    <w:tmpl w:val="27BE296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B55B92"/>
    <w:multiLevelType w:val="hybridMultilevel"/>
    <w:tmpl w:val="5D54CB78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30D21CDD"/>
    <w:multiLevelType w:val="hybridMultilevel"/>
    <w:tmpl w:val="A35EF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96742D7"/>
    <w:multiLevelType w:val="hybridMultilevel"/>
    <w:tmpl w:val="220A2BD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F50456B"/>
    <w:multiLevelType w:val="hybridMultilevel"/>
    <w:tmpl w:val="B7A6D15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E0020"/>
    <w:multiLevelType w:val="hybridMultilevel"/>
    <w:tmpl w:val="0BDA1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D2E21"/>
    <w:multiLevelType w:val="hybridMultilevel"/>
    <w:tmpl w:val="AB543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74B4EA">
      <w:start w:val="1"/>
      <w:numFmt w:val="bullet"/>
      <w:lvlText w:val="­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4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0"/>
  </w:num>
  <w:num w:numId="13">
    <w:abstractNumId w:val="25"/>
  </w:num>
  <w:num w:numId="14">
    <w:abstractNumId w:val="18"/>
  </w:num>
  <w:num w:numId="15">
    <w:abstractNumId w:val="5"/>
  </w:num>
  <w:num w:numId="16">
    <w:abstractNumId w:val="22"/>
  </w:num>
  <w:num w:numId="17">
    <w:abstractNumId w:val="28"/>
  </w:num>
  <w:num w:numId="18">
    <w:abstractNumId w:val="39"/>
  </w:num>
  <w:num w:numId="19">
    <w:abstractNumId w:val="36"/>
  </w:num>
  <w:num w:numId="20">
    <w:abstractNumId w:val="30"/>
  </w:num>
  <w:num w:numId="21">
    <w:abstractNumId w:val="32"/>
  </w:num>
  <w:num w:numId="22">
    <w:abstractNumId w:val="23"/>
  </w:num>
  <w:num w:numId="23">
    <w:abstractNumId w:val="29"/>
  </w:num>
  <w:num w:numId="24">
    <w:abstractNumId w:val="26"/>
  </w:num>
  <w:num w:numId="25">
    <w:abstractNumId w:val="35"/>
  </w:num>
  <w:num w:numId="26">
    <w:abstractNumId w:val="14"/>
  </w:num>
  <w:num w:numId="27">
    <w:abstractNumId w:val="1"/>
  </w:num>
  <w:num w:numId="28">
    <w:abstractNumId w:val="17"/>
  </w:num>
  <w:num w:numId="29">
    <w:abstractNumId w:val="6"/>
  </w:num>
  <w:num w:numId="30">
    <w:abstractNumId w:val="16"/>
  </w:num>
  <w:num w:numId="31">
    <w:abstractNumId w:val="3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4"/>
  </w:num>
  <w:num w:numId="35">
    <w:abstractNumId w:val="7"/>
  </w:num>
  <w:num w:numId="36">
    <w:abstractNumId w:val="33"/>
  </w:num>
  <w:num w:numId="37">
    <w:abstractNumId w:val="20"/>
  </w:num>
  <w:num w:numId="38">
    <w:abstractNumId w:val="37"/>
  </w:num>
  <w:num w:numId="39">
    <w:abstractNumId w:val="27"/>
  </w:num>
  <w:num w:numId="40">
    <w:abstractNumId w:val="0"/>
  </w:num>
  <w:num w:numId="41">
    <w:abstractNumId w:val="19"/>
  </w:num>
  <w:num w:numId="42">
    <w:abstractNumId w:val="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179E"/>
    <w:rsid w:val="00006A7C"/>
    <w:rsid w:val="00006AD4"/>
    <w:rsid w:val="00007294"/>
    <w:rsid w:val="00010FD2"/>
    <w:rsid w:val="000138C9"/>
    <w:rsid w:val="00014168"/>
    <w:rsid w:val="00015D7B"/>
    <w:rsid w:val="00017A16"/>
    <w:rsid w:val="0002490F"/>
    <w:rsid w:val="00026E09"/>
    <w:rsid w:val="00026E8B"/>
    <w:rsid w:val="00036B4D"/>
    <w:rsid w:val="00037CE0"/>
    <w:rsid w:val="00037F4D"/>
    <w:rsid w:val="00044E4C"/>
    <w:rsid w:val="00053929"/>
    <w:rsid w:val="00057B25"/>
    <w:rsid w:val="0006506B"/>
    <w:rsid w:val="00065C9E"/>
    <w:rsid w:val="000663B9"/>
    <w:rsid w:val="00074DE8"/>
    <w:rsid w:val="00092F4E"/>
    <w:rsid w:val="000A2871"/>
    <w:rsid w:val="000A3437"/>
    <w:rsid w:val="000A3E3E"/>
    <w:rsid w:val="000A4D3D"/>
    <w:rsid w:val="000A6BFA"/>
    <w:rsid w:val="000B1F8D"/>
    <w:rsid w:val="000C0A55"/>
    <w:rsid w:val="000C2489"/>
    <w:rsid w:val="000C756F"/>
    <w:rsid w:val="000D1884"/>
    <w:rsid w:val="000D5C76"/>
    <w:rsid w:val="000E2FA0"/>
    <w:rsid w:val="000E4161"/>
    <w:rsid w:val="000E47E9"/>
    <w:rsid w:val="000F1ECC"/>
    <w:rsid w:val="000F247D"/>
    <w:rsid w:val="000F7A27"/>
    <w:rsid w:val="00106655"/>
    <w:rsid w:val="00111B4D"/>
    <w:rsid w:val="00114843"/>
    <w:rsid w:val="00116FD2"/>
    <w:rsid w:val="0012096C"/>
    <w:rsid w:val="001217B7"/>
    <w:rsid w:val="00123272"/>
    <w:rsid w:val="00127828"/>
    <w:rsid w:val="0013466D"/>
    <w:rsid w:val="00141787"/>
    <w:rsid w:val="00156EBA"/>
    <w:rsid w:val="00157656"/>
    <w:rsid w:val="00161BDA"/>
    <w:rsid w:val="001645BB"/>
    <w:rsid w:val="00165524"/>
    <w:rsid w:val="001663DB"/>
    <w:rsid w:val="00170872"/>
    <w:rsid w:val="00171618"/>
    <w:rsid w:val="001819B1"/>
    <w:rsid w:val="00186706"/>
    <w:rsid w:val="001876AE"/>
    <w:rsid w:val="00195A26"/>
    <w:rsid w:val="00196F71"/>
    <w:rsid w:val="001A12BF"/>
    <w:rsid w:val="001A2071"/>
    <w:rsid w:val="001A2D10"/>
    <w:rsid w:val="001A510E"/>
    <w:rsid w:val="001A6850"/>
    <w:rsid w:val="001B1B84"/>
    <w:rsid w:val="001C263A"/>
    <w:rsid w:val="001C5E41"/>
    <w:rsid w:val="001C77BC"/>
    <w:rsid w:val="001D13B8"/>
    <w:rsid w:val="001D48BB"/>
    <w:rsid w:val="001D55F2"/>
    <w:rsid w:val="001E00E3"/>
    <w:rsid w:val="001E0580"/>
    <w:rsid w:val="001E6E6C"/>
    <w:rsid w:val="001E7AB3"/>
    <w:rsid w:val="001F2349"/>
    <w:rsid w:val="001F2708"/>
    <w:rsid w:val="001F3C45"/>
    <w:rsid w:val="001F4521"/>
    <w:rsid w:val="002005D2"/>
    <w:rsid w:val="002022B4"/>
    <w:rsid w:val="0020298B"/>
    <w:rsid w:val="00203DEC"/>
    <w:rsid w:val="00206111"/>
    <w:rsid w:val="002128BA"/>
    <w:rsid w:val="002137E0"/>
    <w:rsid w:val="00213AE4"/>
    <w:rsid w:val="00216FD7"/>
    <w:rsid w:val="0022111D"/>
    <w:rsid w:val="00231F6E"/>
    <w:rsid w:val="00233CED"/>
    <w:rsid w:val="00237830"/>
    <w:rsid w:val="002419E4"/>
    <w:rsid w:val="00250E23"/>
    <w:rsid w:val="00252C88"/>
    <w:rsid w:val="0025471D"/>
    <w:rsid w:val="002663AA"/>
    <w:rsid w:val="0027313E"/>
    <w:rsid w:val="002741AC"/>
    <w:rsid w:val="00275F13"/>
    <w:rsid w:val="0027697C"/>
    <w:rsid w:val="002819C0"/>
    <w:rsid w:val="00295556"/>
    <w:rsid w:val="00295BB5"/>
    <w:rsid w:val="00295C91"/>
    <w:rsid w:val="002A2748"/>
    <w:rsid w:val="002A4A06"/>
    <w:rsid w:val="002A5A4D"/>
    <w:rsid w:val="002A6A9D"/>
    <w:rsid w:val="002B0BD1"/>
    <w:rsid w:val="002B4262"/>
    <w:rsid w:val="002C01DA"/>
    <w:rsid w:val="002C2A5F"/>
    <w:rsid w:val="002C739E"/>
    <w:rsid w:val="002D4876"/>
    <w:rsid w:val="002D5A4D"/>
    <w:rsid w:val="002E22AF"/>
    <w:rsid w:val="002E3528"/>
    <w:rsid w:val="002F3C29"/>
    <w:rsid w:val="002F6155"/>
    <w:rsid w:val="002F77D7"/>
    <w:rsid w:val="003234F4"/>
    <w:rsid w:val="00323B38"/>
    <w:rsid w:val="00324398"/>
    <w:rsid w:val="00327C35"/>
    <w:rsid w:val="00337B4E"/>
    <w:rsid w:val="00337B60"/>
    <w:rsid w:val="00346AD5"/>
    <w:rsid w:val="00346BE0"/>
    <w:rsid w:val="00355D2B"/>
    <w:rsid w:val="00360FB2"/>
    <w:rsid w:val="003612A3"/>
    <w:rsid w:val="00362634"/>
    <w:rsid w:val="0036283B"/>
    <w:rsid w:val="00367C12"/>
    <w:rsid w:val="00384FC3"/>
    <w:rsid w:val="00391C79"/>
    <w:rsid w:val="003A039A"/>
    <w:rsid w:val="003A15C2"/>
    <w:rsid w:val="003A3804"/>
    <w:rsid w:val="003A52BE"/>
    <w:rsid w:val="003A5713"/>
    <w:rsid w:val="003A5866"/>
    <w:rsid w:val="003A6E9F"/>
    <w:rsid w:val="003B053D"/>
    <w:rsid w:val="003C4757"/>
    <w:rsid w:val="003D0D54"/>
    <w:rsid w:val="003D4525"/>
    <w:rsid w:val="003D4CD6"/>
    <w:rsid w:val="003E3AD3"/>
    <w:rsid w:val="003F1FA8"/>
    <w:rsid w:val="003F2999"/>
    <w:rsid w:val="003F3992"/>
    <w:rsid w:val="00400AFA"/>
    <w:rsid w:val="00413AAB"/>
    <w:rsid w:val="0041506F"/>
    <w:rsid w:val="0041513F"/>
    <w:rsid w:val="004228C7"/>
    <w:rsid w:val="00425BE5"/>
    <w:rsid w:val="00425EF4"/>
    <w:rsid w:val="0042798B"/>
    <w:rsid w:val="00431B87"/>
    <w:rsid w:val="00432B12"/>
    <w:rsid w:val="0043396A"/>
    <w:rsid w:val="00434913"/>
    <w:rsid w:val="00445A22"/>
    <w:rsid w:val="0044606D"/>
    <w:rsid w:val="00446220"/>
    <w:rsid w:val="004474F8"/>
    <w:rsid w:val="00464126"/>
    <w:rsid w:val="00464174"/>
    <w:rsid w:val="00464266"/>
    <w:rsid w:val="00477550"/>
    <w:rsid w:val="00480640"/>
    <w:rsid w:val="004844A8"/>
    <w:rsid w:val="004844FC"/>
    <w:rsid w:val="004872D5"/>
    <w:rsid w:val="00496803"/>
    <w:rsid w:val="004A55A7"/>
    <w:rsid w:val="004B515A"/>
    <w:rsid w:val="004B6688"/>
    <w:rsid w:val="004B6D9F"/>
    <w:rsid w:val="004C0107"/>
    <w:rsid w:val="004C5041"/>
    <w:rsid w:val="004C64F4"/>
    <w:rsid w:val="004D1B95"/>
    <w:rsid w:val="004D2E8F"/>
    <w:rsid w:val="004D458A"/>
    <w:rsid w:val="004E0240"/>
    <w:rsid w:val="004E32AB"/>
    <w:rsid w:val="004F4097"/>
    <w:rsid w:val="0050555F"/>
    <w:rsid w:val="0050655C"/>
    <w:rsid w:val="005244A4"/>
    <w:rsid w:val="00525D05"/>
    <w:rsid w:val="00527483"/>
    <w:rsid w:val="00527783"/>
    <w:rsid w:val="005301E9"/>
    <w:rsid w:val="00537965"/>
    <w:rsid w:val="0054130C"/>
    <w:rsid w:val="00541C1A"/>
    <w:rsid w:val="00545745"/>
    <w:rsid w:val="0054574B"/>
    <w:rsid w:val="00547DFE"/>
    <w:rsid w:val="00554A1F"/>
    <w:rsid w:val="00555518"/>
    <w:rsid w:val="005600F2"/>
    <w:rsid w:val="00560AC6"/>
    <w:rsid w:val="005645A2"/>
    <w:rsid w:val="00574C6F"/>
    <w:rsid w:val="00575A9C"/>
    <w:rsid w:val="005814B5"/>
    <w:rsid w:val="00593CB5"/>
    <w:rsid w:val="005B31C1"/>
    <w:rsid w:val="005B338C"/>
    <w:rsid w:val="005B7719"/>
    <w:rsid w:val="005C6BDB"/>
    <w:rsid w:val="005D3422"/>
    <w:rsid w:val="005D3E9D"/>
    <w:rsid w:val="005D5A71"/>
    <w:rsid w:val="005D5C03"/>
    <w:rsid w:val="005D6C72"/>
    <w:rsid w:val="005E20E4"/>
    <w:rsid w:val="005E256F"/>
    <w:rsid w:val="005E798B"/>
    <w:rsid w:val="005F6682"/>
    <w:rsid w:val="00600BD7"/>
    <w:rsid w:val="00601DEE"/>
    <w:rsid w:val="00603AA3"/>
    <w:rsid w:val="00605121"/>
    <w:rsid w:val="006107A3"/>
    <w:rsid w:val="00611386"/>
    <w:rsid w:val="00614307"/>
    <w:rsid w:val="00624345"/>
    <w:rsid w:val="0062474B"/>
    <w:rsid w:val="006256D3"/>
    <w:rsid w:val="00625F8D"/>
    <w:rsid w:val="00627BB7"/>
    <w:rsid w:val="00635EF1"/>
    <w:rsid w:val="00643CE1"/>
    <w:rsid w:val="0064447C"/>
    <w:rsid w:val="006446DC"/>
    <w:rsid w:val="00644A13"/>
    <w:rsid w:val="00647084"/>
    <w:rsid w:val="0065136E"/>
    <w:rsid w:val="006518CD"/>
    <w:rsid w:val="00654C4E"/>
    <w:rsid w:val="00657FD9"/>
    <w:rsid w:val="0066287B"/>
    <w:rsid w:val="00664E59"/>
    <w:rsid w:val="00670D71"/>
    <w:rsid w:val="00671192"/>
    <w:rsid w:val="006B459F"/>
    <w:rsid w:val="006B6D43"/>
    <w:rsid w:val="006B7C5D"/>
    <w:rsid w:val="006C0BE7"/>
    <w:rsid w:val="006C1C5E"/>
    <w:rsid w:val="006C4B67"/>
    <w:rsid w:val="006D56CD"/>
    <w:rsid w:val="006E4037"/>
    <w:rsid w:val="006E4080"/>
    <w:rsid w:val="006E7DCE"/>
    <w:rsid w:val="006F061B"/>
    <w:rsid w:val="0070383E"/>
    <w:rsid w:val="007050FF"/>
    <w:rsid w:val="00705633"/>
    <w:rsid w:val="0070660C"/>
    <w:rsid w:val="00715917"/>
    <w:rsid w:val="00715BC7"/>
    <w:rsid w:val="00717B80"/>
    <w:rsid w:val="007255EB"/>
    <w:rsid w:val="00726DB1"/>
    <w:rsid w:val="00730E92"/>
    <w:rsid w:val="00731382"/>
    <w:rsid w:val="00731914"/>
    <w:rsid w:val="007370AF"/>
    <w:rsid w:val="007418A3"/>
    <w:rsid w:val="007524C3"/>
    <w:rsid w:val="00752764"/>
    <w:rsid w:val="00754124"/>
    <w:rsid w:val="00757029"/>
    <w:rsid w:val="00766962"/>
    <w:rsid w:val="00775287"/>
    <w:rsid w:val="007768E2"/>
    <w:rsid w:val="00781464"/>
    <w:rsid w:val="00782ED0"/>
    <w:rsid w:val="00786D99"/>
    <w:rsid w:val="00797071"/>
    <w:rsid w:val="007A13A3"/>
    <w:rsid w:val="007A13CC"/>
    <w:rsid w:val="007A2CB9"/>
    <w:rsid w:val="007C15C1"/>
    <w:rsid w:val="007C774A"/>
    <w:rsid w:val="007D33F4"/>
    <w:rsid w:val="007D391D"/>
    <w:rsid w:val="007D42BD"/>
    <w:rsid w:val="007E725D"/>
    <w:rsid w:val="007F0A11"/>
    <w:rsid w:val="007F2DF7"/>
    <w:rsid w:val="007F341A"/>
    <w:rsid w:val="007F3ABE"/>
    <w:rsid w:val="007F3F91"/>
    <w:rsid w:val="00811DAA"/>
    <w:rsid w:val="00820909"/>
    <w:rsid w:val="008217D7"/>
    <w:rsid w:val="0082537D"/>
    <w:rsid w:val="008328E9"/>
    <w:rsid w:val="00834C78"/>
    <w:rsid w:val="00835BCB"/>
    <w:rsid w:val="00835CDC"/>
    <w:rsid w:val="00836446"/>
    <w:rsid w:val="0083661D"/>
    <w:rsid w:val="00843622"/>
    <w:rsid w:val="00850B09"/>
    <w:rsid w:val="00851B2E"/>
    <w:rsid w:val="008526B2"/>
    <w:rsid w:val="008561D2"/>
    <w:rsid w:val="00856D6E"/>
    <w:rsid w:val="00861775"/>
    <w:rsid w:val="00861AE9"/>
    <w:rsid w:val="00863B9D"/>
    <w:rsid w:val="00863BE6"/>
    <w:rsid w:val="0087197C"/>
    <w:rsid w:val="008760C2"/>
    <w:rsid w:val="008775BC"/>
    <w:rsid w:val="00880518"/>
    <w:rsid w:val="00882F1B"/>
    <w:rsid w:val="00895E0F"/>
    <w:rsid w:val="008A1544"/>
    <w:rsid w:val="008A5D38"/>
    <w:rsid w:val="008A70CE"/>
    <w:rsid w:val="008B6D14"/>
    <w:rsid w:val="008C25E4"/>
    <w:rsid w:val="008C2DAE"/>
    <w:rsid w:val="008D417A"/>
    <w:rsid w:val="008E7135"/>
    <w:rsid w:val="008E7CA5"/>
    <w:rsid w:val="008F789B"/>
    <w:rsid w:val="00901473"/>
    <w:rsid w:val="009024C9"/>
    <w:rsid w:val="009059A9"/>
    <w:rsid w:val="00911C11"/>
    <w:rsid w:val="00913356"/>
    <w:rsid w:val="00916CDF"/>
    <w:rsid w:val="00917824"/>
    <w:rsid w:val="00921775"/>
    <w:rsid w:val="0092261B"/>
    <w:rsid w:val="00923DC5"/>
    <w:rsid w:val="00924348"/>
    <w:rsid w:val="0092515E"/>
    <w:rsid w:val="009274E7"/>
    <w:rsid w:val="00930A5A"/>
    <w:rsid w:val="0093199F"/>
    <w:rsid w:val="00932A3D"/>
    <w:rsid w:val="009422B2"/>
    <w:rsid w:val="00942FBD"/>
    <w:rsid w:val="009437C6"/>
    <w:rsid w:val="00944A2C"/>
    <w:rsid w:val="0094770B"/>
    <w:rsid w:val="009507BA"/>
    <w:rsid w:val="00950B0E"/>
    <w:rsid w:val="00952BBC"/>
    <w:rsid w:val="0096132A"/>
    <w:rsid w:val="00961BE6"/>
    <w:rsid w:val="009763AC"/>
    <w:rsid w:val="00984C28"/>
    <w:rsid w:val="00991E80"/>
    <w:rsid w:val="00993A23"/>
    <w:rsid w:val="00995683"/>
    <w:rsid w:val="00995E2D"/>
    <w:rsid w:val="009A122E"/>
    <w:rsid w:val="009A68FD"/>
    <w:rsid w:val="009A7780"/>
    <w:rsid w:val="009B18DC"/>
    <w:rsid w:val="009B2267"/>
    <w:rsid w:val="009B6F5E"/>
    <w:rsid w:val="009B7C1C"/>
    <w:rsid w:val="009D022E"/>
    <w:rsid w:val="009D0646"/>
    <w:rsid w:val="009D281A"/>
    <w:rsid w:val="009D63CF"/>
    <w:rsid w:val="009D6F4A"/>
    <w:rsid w:val="009D78F7"/>
    <w:rsid w:val="009E0AE8"/>
    <w:rsid w:val="009E4024"/>
    <w:rsid w:val="009E5374"/>
    <w:rsid w:val="009F1E2A"/>
    <w:rsid w:val="009F345D"/>
    <w:rsid w:val="009F3D2F"/>
    <w:rsid w:val="009F3E0A"/>
    <w:rsid w:val="009F7C5E"/>
    <w:rsid w:val="00A10928"/>
    <w:rsid w:val="00A12459"/>
    <w:rsid w:val="00A13218"/>
    <w:rsid w:val="00A21438"/>
    <w:rsid w:val="00A227A3"/>
    <w:rsid w:val="00A23058"/>
    <w:rsid w:val="00A42A3F"/>
    <w:rsid w:val="00A45196"/>
    <w:rsid w:val="00A470F3"/>
    <w:rsid w:val="00A60B73"/>
    <w:rsid w:val="00A6715F"/>
    <w:rsid w:val="00A744DD"/>
    <w:rsid w:val="00A80080"/>
    <w:rsid w:val="00A82AB0"/>
    <w:rsid w:val="00A86C22"/>
    <w:rsid w:val="00A872C8"/>
    <w:rsid w:val="00A93AE9"/>
    <w:rsid w:val="00A96F10"/>
    <w:rsid w:val="00A97744"/>
    <w:rsid w:val="00AA4442"/>
    <w:rsid w:val="00AB2918"/>
    <w:rsid w:val="00AB4951"/>
    <w:rsid w:val="00AB5C29"/>
    <w:rsid w:val="00AB64EB"/>
    <w:rsid w:val="00AC0CC2"/>
    <w:rsid w:val="00AC5858"/>
    <w:rsid w:val="00AD08E1"/>
    <w:rsid w:val="00AD66C8"/>
    <w:rsid w:val="00AD6B8D"/>
    <w:rsid w:val="00AE1ED3"/>
    <w:rsid w:val="00AE4290"/>
    <w:rsid w:val="00AE68DB"/>
    <w:rsid w:val="00AF1364"/>
    <w:rsid w:val="00AF1F3E"/>
    <w:rsid w:val="00AF740B"/>
    <w:rsid w:val="00B072AC"/>
    <w:rsid w:val="00B1587A"/>
    <w:rsid w:val="00B16DC2"/>
    <w:rsid w:val="00B2229B"/>
    <w:rsid w:val="00B22A18"/>
    <w:rsid w:val="00B238D6"/>
    <w:rsid w:val="00B315A0"/>
    <w:rsid w:val="00B323B0"/>
    <w:rsid w:val="00B33539"/>
    <w:rsid w:val="00B34A18"/>
    <w:rsid w:val="00B465F1"/>
    <w:rsid w:val="00B468CE"/>
    <w:rsid w:val="00B57192"/>
    <w:rsid w:val="00B579CB"/>
    <w:rsid w:val="00B626CD"/>
    <w:rsid w:val="00B65503"/>
    <w:rsid w:val="00B70083"/>
    <w:rsid w:val="00B703F1"/>
    <w:rsid w:val="00B74440"/>
    <w:rsid w:val="00B74592"/>
    <w:rsid w:val="00B76CC5"/>
    <w:rsid w:val="00B83D6F"/>
    <w:rsid w:val="00B87E7A"/>
    <w:rsid w:val="00B919C3"/>
    <w:rsid w:val="00B92BF4"/>
    <w:rsid w:val="00B93082"/>
    <w:rsid w:val="00B94492"/>
    <w:rsid w:val="00BA2B66"/>
    <w:rsid w:val="00BA50A6"/>
    <w:rsid w:val="00BA66F6"/>
    <w:rsid w:val="00BB1F29"/>
    <w:rsid w:val="00BB28F6"/>
    <w:rsid w:val="00BB30CC"/>
    <w:rsid w:val="00BB36F9"/>
    <w:rsid w:val="00BC2609"/>
    <w:rsid w:val="00BC2C67"/>
    <w:rsid w:val="00BD02F4"/>
    <w:rsid w:val="00BD339A"/>
    <w:rsid w:val="00BD417E"/>
    <w:rsid w:val="00BD5388"/>
    <w:rsid w:val="00BD6138"/>
    <w:rsid w:val="00BE04A1"/>
    <w:rsid w:val="00BE1B62"/>
    <w:rsid w:val="00BE2AEE"/>
    <w:rsid w:val="00BE3FC2"/>
    <w:rsid w:val="00BF2F50"/>
    <w:rsid w:val="00BF487F"/>
    <w:rsid w:val="00C00D28"/>
    <w:rsid w:val="00C03AA6"/>
    <w:rsid w:val="00C0450E"/>
    <w:rsid w:val="00C0528F"/>
    <w:rsid w:val="00C05E66"/>
    <w:rsid w:val="00C06BDE"/>
    <w:rsid w:val="00C13145"/>
    <w:rsid w:val="00C2108A"/>
    <w:rsid w:val="00C260FF"/>
    <w:rsid w:val="00C4707A"/>
    <w:rsid w:val="00C5132C"/>
    <w:rsid w:val="00C5757F"/>
    <w:rsid w:val="00C63109"/>
    <w:rsid w:val="00C67E70"/>
    <w:rsid w:val="00C80304"/>
    <w:rsid w:val="00C91AE5"/>
    <w:rsid w:val="00CA0EFF"/>
    <w:rsid w:val="00CC48BF"/>
    <w:rsid w:val="00CD0572"/>
    <w:rsid w:val="00CD0AF8"/>
    <w:rsid w:val="00CE38C8"/>
    <w:rsid w:val="00CE750F"/>
    <w:rsid w:val="00CF497C"/>
    <w:rsid w:val="00CF5F16"/>
    <w:rsid w:val="00D063A8"/>
    <w:rsid w:val="00D07F19"/>
    <w:rsid w:val="00D12487"/>
    <w:rsid w:val="00D126FD"/>
    <w:rsid w:val="00D14CE0"/>
    <w:rsid w:val="00D15B3A"/>
    <w:rsid w:val="00D160CB"/>
    <w:rsid w:val="00D245A1"/>
    <w:rsid w:val="00D2504A"/>
    <w:rsid w:val="00D27DBC"/>
    <w:rsid w:val="00D31D1C"/>
    <w:rsid w:val="00D32DC6"/>
    <w:rsid w:val="00D34EE6"/>
    <w:rsid w:val="00D356D3"/>
    <w:rsid w:val="00D369FB"/>
    <w:rsid w:val="00D415E2"/>
    <w:rsid w:val="00D4187E"/>
    <w:rsid w:val="00D41C3F"/>
    <w:rsid w:val="00D42055"/>
    <w:rsid w:val="00D4247A"/>
    <w:rsid w:val="00D44A86"/>
    <w:rsid w:val="00D459DF"/>
    <w:rsid w:val="00D531A4"/>
    <w:rsid w:val="00D5351A"/>
    <w:rsid w:val="00D647C3"/>
    <w:rsid w:val="00D66043"/>
    <w:rsid w:val="00D751D0"/>
    <w:rsid w:val="00D816C0"/>
    <w:rsid w:val="00D84654"/>
    <w:rsid w:val="00D9126E"/>
    <w:rsid w:val="00D9633A"/>
    <w:rsid w:val="00DA2040"/>
    <w:rsid w:val="00DA70DF"/>
    <w:rsid w:val="00DB70BA"/>
    <w:rsid w:val="00DC2D2B"/>
    <w:rsid w:val="00DD0A59"/>
    <w:rsid w:val="00DE2C16"/>
    <w:rsid w:val="00DE3C51"/>
    <w:rsid w:val="00DE538E"/>
    <w:rsid w:val="00DE6EA9"/>
    <w:rsid w:val="00DF0587"/>
    <w:rsid w:val="00DF2386"/>
    <w:rsid w:val="00DF3E50"/>
    <w:rsid w:val="00DF56F5"/>
    <w:rsid w:val="00DF6C5A"/>
    <w:rsid w:val="00DF7FE7"/>
    <w:rsid w:val="00E14BA7"/>
    <w:rsid w:val="00E15B18"/>
    <w:rsid w:val="00E224CE"/>
    <w:rsid w:val="00E235D0"/>
    <w:rsid w:val="00E33921"/>
    <w:rsid w:val="00E4319A"/>
    <w:rsid w:val="00E45830"/>
    <w:rsid w:val="00E46367"/>
    <w:rsid w:val="00E50AF6"/>
    <w:rsid w:val="00E510B0"/>
    <w:rsid w:val="00E55A5E"/>
    <w:rsid w:val="00E57322"/>
    <w:rsid w:val="00E61050"/>
    <w:rsid w:val="00E621BA"/>
    <w:rsid w:val="00E62BE4"/>
    <w:rsid w:val="00E63F0B"/>
    <w:rsid w:val="00E64E9B"/>
    <w:rsid w:val="00E65CD7"/>
    <w:rsid w:val="00E7071D"/>
    <w:rsid w:val="00E715FC"/>
    <w:rsid w:val="00E71AD7"/>
    <w:rsid w:val="00E72D1A"/>
    <w:rsid w:val="00E80EDB"/>
    <w:rsid w:val="00E810F8"/>
    <w:rsid w:val="00E841E8"/>
    <w:rsid w:val="00E90337"/>
    <w:rsid w:val="00E95E5D"/>
    <w:rsid w:val="00EA0897"/>
    <w:rsid w:val="00EA393A"/>
    <w:rsid w:val="00EA3A7F"/>
    <w:rsid w:val="00EB032F"/>
    <w:rsid w:val="00EB79C2"/>
    <w:rsid w:val="00EC0EEB"/>
    <w:rsid w:val="00EC0FFA"/>
    <w:rsid w:val="00EC3F47"/>
    <w:rsid w:val="00EC4D11"/>
    <w:rsid w:val="00ED2D66"/>
    <w:rsid w:val="00ED7394"/>
    <w:rsid w:val="00EE06FA"/>
    <w:rsid w:val="00EF2ACE"/>
    <w:rsid w:val="00F01DB2"/>
    <w:rsid w:val="00F0219C"/>
    <w:rsid w:val="00F0459C"/>
    <w:rsid w:val="00F06493"/>
    <w:rsid w:val="00F072EF"/>
    <w:rsid w:val="00F078F1"/>
    <w:rsid w:val="00F0791D"/>
    <w:rsid w:val="00F07B1E"/>
    <w:rsid w:val="00F07DF1"/>
    <w:rsid w:val="00F1140A"/>
    <w:rsid w:val="00F1152F"/>
    <w:rsid w:val="00F227F6"/>
    <w:rsid w:val="00F248A8"/>
    <w:rsid w:val="00F26B22"/>
    <w:rsid w:val="00F3097E"/>
    <w:rsid w:val="00F32961"/>
    <w:rsid w:val="00F32D03"/>
    <w:rsid w:val="00F344DE"/>
    <w:rsid w:val="00F35DDE"/>
    <w:rsid w:val="00F407B5"/>
    <w:rsid w:val="00F429D6"/>
    <w:rsid w:val="00F45B4A"/>
    <w:rsid w:val="00F45FC0"/>
    <w:rsid w:val="00F711CC"/>
    <w:rsid w:val="00F73E71"/>
    <w:rsid w:val="00F86643"/>
    <w:rsid w:val="00F907D9"/>
    <w:rsid w:val="00FA21A7"/>
    <w:rsid w:val="00FA721F"/>
    <w:rsid w:val="00FB0F4C"/>
    <w:rsid w:val="00FC31B4"/>
    <w:rsid w:val="00FC7FD9"/>
    <w:rsid w:val="00FD5BFB"/>
    <w:rsid w:val="00FD5D1C"/>
    <w:rsid w:val="00FD6A25"/>
    <w:rsid w:val="00FE0305"/>
    <w:rsid w:val="00FE0E9B"/>
    <w:rsid w:val="00FE3503"/>
    <w:rsid w:val="00FE4018"/>
    <w:rsid w:val="00FE48D3"/>
    <w:rsid w:val="00FE5F7C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070A"/>
  <w15:docId w15:val="{41C903DC-A715-4EE8-A197-D0D0339D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14307"/>
    <w:pPr>
      <w:spacing w:before="100" w:beforeAutospacing="1" w:after="100" w:afterAutospacing="1"/>
      <w:ind w:left="0" w:firstLine="0"/>
      <w:outlineLvl w:val="1"/>
    </w:pPr>
    <w:rPr>
      <w:rFonts w:ascii="Times New Roman" w:eastAsiaTheme="minorHAnsi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E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basedOn w:val="DefaultParagraphFont"/>
    <w:semiHidden/>
    <w:unhideWhenUsed/>
    <w:qFormat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NormalNonumber">
    <w:name w:val="Normal_No_number"/>
    <w:basedOn w:val="Normal"/>
    <w:uiPriority w:val="99"/>
    <w:rsid w:val="00E90337"/>
    <w:pPr>
      <w:spacing w:after="120"/>
      <w:ind w:left="1247" w:firstLine="0"/>
    </w:pPr>
    <w:rPr>
      <w:rFonts w:ascii="Times New Roman" w:eastAsiaTheme="minorHAnsi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C64F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233CED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307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E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3468-EF76-460A-AAEE-DC2AF2C9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5576</Words>
  <Characters>29166</Characters>
  <Application>Microsoft Office Word</Application>
  <DocSecurity>0</DocSecurity>
  <Lines>478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JENNINGS Edmund</cp:lastModifiedBy>
  <cp:revision>2</cp:revision>
  <cp:lastPrinted>2016-10-06T13:08:00Z</cp:lastPrinted>
  <dcterms:created xsi:type="dcterms:W3CDTF">2019-04-29T07:34:00Z</dcterms:created>
  <dcterms:modified xsi:type="dcterms:W3CDTF">2019-04-29T07:34:00Z</dcterms:modified>
</cp:coreProperties>
</file>