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2F58" w14:textId="1CC85AD8" w:rsidR="00DF2386" w:rsidRPr="008F7503" w:rsidRDefault="00C27C07" w:rsidP="00E75B3E">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sz w:val="24"/>
          <w:szCs w:val="24"/>
        </w:rPr>
      </w:pPr>
      <w:r w:rsidRPr="008F7503">
        <w:rPr>
          <w:bCs/>
          <w:sz w:val="24"/>
          <w:szCs w:val="24"/>
        </w:rPr>
        <w:t xml:space="preserve">RAMSAR </w:t>
      </w:r>
      <w:r w:rsidR="00DF2386" w:rsidRPr="008F7503">
        <w:rPr>
          <w:bCs/>
          <w:sz w:val="24"/>
          <w:szCs w:val="24"/>
        </w:rPr>
        <w:t>CONVENTION ON W</w:t>
      </w:r>
      <w:r w:rsidR="00AA3DB1" w:rsidRPr="008F7503">
        <w:rPr>
          <w:bCs/>
          <w:sz w:val="24"/>
          <w:szCs w:val="24"/>
        </w:rPr>
        <w:t>E</w:t>
      </w:r>
      <w:r w:rsidR="00DF2386" w:rsidRPr="008F7503">
        <w:rPr>
          <w:bCs/>
          <w:sz w:val="24"/>
          <w:szCs w:val="24"/>
        </w:rPr>
        <w:t>TLANDS</w:t>
      </w:r>
    </w:p>
    <w:p w14:paraId="4C67C423" w14:textId="77777777" w:rsidR="00282418" w:rsidRPr="008F7503" w:rsidRDefault="00282418" w:rsidP="00282418">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sz w:val="24"/>
          <w:szCs w:val="24"/>
        </w:rPr>
      </w:pPr>
      <w:r w:rsidRPr="008F7503">
        <w:rPr>
          <w:bCs/>
          <w:sz w:val="24"/>
          <w:szCs w:val="24"/>
        </w:rPr>
        <w:t>57th Meeting of the Standing Committee</w:t>
      </w:r>
    </w:p>
    <w:p w14:paraId="297CE852" w14:textId="43DC4A02" w:rsidR="00DF2386" w:rsidRPr="008F7503" w:rsidRDefault="00282418" w:rsidP="00282418">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sz w:val="24"/>
          <w:szCs w:val="24"/>
        </w:rPr>
      </w:pPr>
      <w:r w:rsidRPr="008F7503">
        <w:rPr>
          <w:bCs/>
          <w:sz w:val="24"/>
          <w:szCs w:val="24"/>
        </w:rPr>
        <w:t>Gland, Switzerland, 24 – 28 June 2019</w:t>
      </w:r>
    </w:p>
    <w:p w14:paraId="2CC68E91" w14:textId="77777777" w:rsidR="000D0D3E" w:rsidRPr="008F1DB9" w:rsidRDefault="000D0D3E" w:rsidP="00282418">
      <w:pPr>
        <w:tabs>
          <w:tab w:val="left" w:pos="10650"/>
          <w:tab w:val="right" w:pos="13958"/>
        </w:tabs>
        <w:spacing w:after="0" w:line="240" w:lineRule="auto"/>
        <w:jc w:val="right"/>
        <w:rPr>
          <w:rFonts w:cs="Arial"/>
          <w:b/>
          <w:sz w:val="28"/>
          <w:szCs w:val="28"/>
        </w:rPr>
      </w:pPr>
    </w:p>
    <w:p w14:paraId="64656B0E" w14:textId="6442BEF3" w:rsidR="00282418" w:rsidRPr="00B417C7" w:rsidRDefault="00282418" w:rsidP="00282418">
      <w:pPr>
        <w:tabs>
          <w:tab w:val="left" w:pos="10650"/>
          <w:tab w:val="right" w:pos="13958"/>
        </w:tabs>
        <w:spacing w:after="0" w:line="240" w:lineRule="auto"/>
        <w:jc w:val="right"/>
        <w:rPr>
          <w:rFonts w:cs="Arial"/>
          <w:sz w:val="28"/>
          <w:szCs w:val="28"/>
        </w:rPr>
      </w:pPr>
      <w:r w:rsidRPr="00B417C7">
        <w:rPr>
          <w:rFonts w:cs="Arial"/>
          <w:b/>
          <w:sz w:val="28"/>
          <w:szCs w:val="28"/>
        </w:rPr>
        <w:t>SC57 Doc.</w:t>
      </w:r>
      <w:r w:rsidR="00B417C7" w:rsidRPr="00B417C7">
        <w:rPr>
          <w:rFonts w:cs="Arial"/>
          <w:b/>
          <w:sz w:val="28"/>
          <w:szCs w:val="28"/>
        </w:rPr>
        <w:t>2 Rev.</w:t>
      </w:r>
      <w:r w:rsidR="00F23444" w:rsidRPr="00B417C7">
        <w:rPr>
          <w:rFonts w:cs="Arial"/>
          <w:b/>
          <w:sz w:val="28"/>
          <w:szCs w:val="28"/>
        </w:rPr>
        <w:t>1</w:t>
      </w:r>
      <w:r w:rsidR="00DB61B2" w:rsidRPr="00B417C7">
        <w:rPr>
          <w:rFonts w:cs="Arial"/>
          <w:b/>
          <w:sz w:val="28"/>
          <w:szCs w:val="28"/>
        </w:rPr>
        <w:t xml:space="preserve"> Addendum</w:t>
      </w:r>
    </w:p>
    <w:p w14:paraId="106E35B1" w14:textId="77777777" w:rsidR="00C04170" w:rsidRPr="00B417C7" w:rsidRDefault="00C04170" w:rsidP="00E75B3E">
      <w:pPr>
        <w:spacing w:after="0" w:line="240" w:lineRule="auto"/>
        <w:jc w:val="center"/>
        <w:rPr>
          <w:rFonts w:cs="Arial"/>
          <w:b/>
          <w:sz w:val="28"/>
          <w:szCs w:val="28"/>
        </w:rPr>
      </w:pPr>
    </w:p>
    <w:p w14:paraId="181626A7" w14:textId="519C0C5D" w:rsidR="00DF2386" w:rsidRPr="00B417C7" w:rsidRDefault="00BD67C6" w:rsidP="00E75B3E">
      <w:pPr>
        <w:spacing w:after="0" w:line="240" w:lineRule="auto"/>
        <w:jc w:val="center"/>
        <w:rPr>
          <w:rFonts w:cs="Arial"/>
          <w:b/>
          <w:sz w:val="28"/>
          <w:szCs w:val="28"/>
        </w:rPr>
      </w:pPr>
      <w:r w:rsidRPr="00B417C7">
        <w:rPr>
          <w:rFonts w:cs="Arial"/>
          <w:b/>
          <w:sz w:val="28"/>
          <w:szCs w:val="28"/>
        </w:rPr>
        <w:t xml:space="preserve">Annotated </w:t>
      </w:r>
      <w:r w:rsidR="00DB61B2" w:rsidRPr="00B417C7">
        <w:rPr>
          <w:rFonts w:cs="Arial"/>
          <w:b/>
          <w:sz w:val="28"/>
          <w:szCs w:val="28"/>
        </w:rPr>
        <w:t>provisional a</w:t>
      </w:r>
      <w:r w:rsidRPr="00B417C7">
        <w:rPr>
          <w:rFonts w:cs="Arial"/>
          <w:b/>
          <w:sz w:val="28"/>
          <w:szCs w:val="28"/>
        </w:rPr>
        <w:t>genda</w:t>
      </w:r>
    </w:p>
    <w:p w14:paraId="24D5824D" w14:textId="2AAA975A" w:rsidR="00DF7FE7" w:rsidRPr="00B417C7" w:rsidRDefault="00DF7FE7" w:rsidP="00E75B3E">
      <w:pPr>
        <w:spacing w:after="0" w:line="240" w:lineRule="auto"/>
        <w:contextualSpacing/>
        <w:rPr>
          <w:bCs/>
          <w:sz w:val="28"/>
          <w:szCs w:val="28"/>
        </w:rPr>
      </w:pPr>
    </w:p>
    <w:p w14:paraId="4E68543F" w14:textId="573E079C"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w:t>
      </w:r>
      <w:r w:rsidRPr="004964A4">
        <w:rPr>
          <w:rFonts w:asciiTheme="minorHAnsi" w:hAnsiTheme="minorHAnsi" w:cstheme="minorHAnsi"/>
          <w:bCs/>
        </w:rPr>
        <w:tab/>
        <w:t xml:space="preserve">Opening statements </w:t>
      </w:r>
    </w:p>
    <w:p w14:paraId="72AD7883" w14:textId="77777777" w:rsidR="0026231C" w:rsidRPr="004964A4" w:rsidRDefault="0026231C" w:rsidP="004964A4">
      <w:pPr>
        <w:keepNext/>
        <w:spacing w:after="0" w:line="240" w:lineRule="auto"/>
        <w:ind w:left="1134" w:hanging="567"/>
        <w:contextualSpacing/>
        <w:rPr>
          <w:rFonts w:asciiTheme="minorHAnsi" w:hAnsiTheme="minorHAnsi" w:cstheme="minorHAnsi"/>
          <w:bCs/>
        </w:rPr>
      </w:pPr>
    </w:p>
    <w:p w14:paraId="06226235" w14:textId="25FE9FDE" w:rsidR="00B6355F"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1.1</w:t>
      </w:r>
      <w:r w:rsidR="00C82EB2" w:rsidRPr="004964A4">
        <w:rPr>
          <w:rFonts w:asciiTheme="minorHAnsi" w:hAnsiTheme="minorHAnsi" w:cstheme="minorHAnsi"/>
          <w:bCs/>
        </w:rPr>
        <w:tab/>
      </w:r>
      <w:r w:rsidR="00A4397F" w:rsidRPr="004964A4">
        <w:rPr>
          <w:rFonts w:asciiTheme="minorHAnsi" w:hAnsiTheme="minorHAnsi" w:cstheme="minorHAnsi"/>
          <w:bCs/>
        </w:rPr>
        <w:t>Chair of the Standing Committee</w:t>
      </w:r>
      <w:r w:rsidR="00B6355F" w:rsidRPr="004964A4">
        <w:rPr>
          <w:rFonts w:asciiTheme="minorHAnsi" w:hAnsiTheme="minorHAnsi" w:cstheme="minorHAnsi"/>
          <w:bCs/>
        </w:rPr>
        <w:t xml:space="preserve"> (U</w:t>
      </w:r>
      <w:r w:rsidR="000D0D3E" w:rsidRPr="004964A4">
        <w:rPr>
          <w:rFonts w:asciiTheme="minorHAnsi" w:hAnsiTheme="minorHAnsi" w:cstheme="minorHAnsi"/>
          <w:bCs/>
        </w:rPr>
        <w:t xml:space="preserve">nited </w:t>
      </w:r>
      <w:r w:rsidR="00B6355F" w:rsidRPr="004964A4">
        <w:rPr>
          <w:rFonts w:asciiTheme="minorHAnsi" w:hAnsiTheme="minorHAnsi" w:cstheme="minorHAnsi"/>
          <w:bCs/>
        </w:rPr>
        <w:t>A</w:t>
      </w:r>
      <w:r w:rsidR="000D0D3E" w:rsidRPr="004964A4">
        <w:rPr>
          <w:rFonts w:asciiTheme="minorHAnsi" w:hAnsiTheme="minorHAnsi" w:cstheme="minorHAnsi"/>
          <w:bCs/>
        </w:rPr>
        <w:t xml:space="preserve">rab </w:t>
      </w:r>
      <w:r w:rsidR="00B6355F" w:rsidRPr="004964A4">
        <w:rPr>
          <w:rFonts w:asciiTheme="minorHAnsi" w:hAnsiTheme="minorHAnsi" w:cstheme="minorHAnsi"/>
          <w:bCs/>
        </w:rPr>
        <w:t>E</w:t>
      </w:r>
      <w:r w:rsidR="000D0D3E" w:rsidRPr="004964A4">
        <w:rPr>
          <w:rFonts w:asciiTheme="minorHAnsi" w:hAnsiTheme="minorHAnsi" w:cstheme="minorHAnsi"/>
          <w:bCs/>
        </w:rPr>
        <w:t>mirates</w:t>
      </w:r>
      <w:r w:rsidR="00B6355F" w:rsidRPr="004964A4">
        <w:rPr>
          <w:rFonts w:asciiTheme="minorHAnsi" w:hAnsiTheme="minorHAnsi" w:cstheme="minorHAnsi"/>
          <w:bCs/>
        </w:rPr>
        <w:t>)</w:t>
      </w:r>
    </w:p>
    <w:p w14:paraId="03F5402A" w14:textId="77777777" w:rsidR="0026231C" w:rsidRPr="004964A4" w:rsidRDefault="0026231C" w:rsidP="004964A4">
      <w:pPr>
        <w:spacing w:after="0" w:line="240" w:lineRule="auto"/>
        <w:ind w:left="1134" w:hanging="567"/>
        <w:contextualSpacing/>
        <w:rPr>
          <w:rFonts w:asciiTheme="minorHAnsi" w:hAnsiTheme="minorHAnsi" w:cstheme="minorHAnsi"/>
          <w:bCs/>
        </w:rPr>
      </w:pPr>
    </w:p>
    <w:p w14:paraId="018D99DF" w14:textId="2BAC2560" w:rsidR="00C82EB2"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1.2</w:t>
      </w:r>
      <w:r w:rsidR="00C82EB2" w:rsidRPr="004964A4">
        <w:rPr>
          <w:rFonts w:asciiTheme="minorHAnsi" w:hAnsiTheme="minorHAnsi" w:cstheme="minorHAnsi"/>
          <w:bCs/>
        </w:rPr>
        <w:tab/>
      </w:r>
      <w:r w:rsidR="00714741" w:rsidRPr="004964A4">
        <w:rPr>
          <w:rFonts w:asciiTheme="minorHAnsi" w:hAnsiTheme="minorHAnsi" w:cstheme="minorHAnsi"/>
          <w:bCs/>
        </w:rPr>
        <w:t>Director General of the International Union for Conservation of Nature (IUCN)</w:t>
      </w:r>
    </w:p>
    <w:p w14:paraId="72AB476C" w14:textId="77777777" w:rsidR="0026231C" w:rsidRPr="004964A4" w:rsidRDefault="0026231C" w:rsidP="004964A4">
      <w:pPr>
        <w:spacing w:after="0" w:line="240" w:lineRule="auto"/>
        <w:ind w:left="1134" w:hanging="567"/>
        <w:contextualSpacing/>
        <w:rPr>
          <w:rFonts w:asciiTheme="minorHAnsi" w:hAnsiTheme="minorHAnsi" w:cstheme="minorHAnsi"/>
          <w:bCs/>
        </w:rPr>
      </w:pPr>
    </w:p>
    <w:p w14:paraId="30549EA9" w14:textId="7DED45A9" w:rsidR="00C82EB2"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1.3</w:t>
      </w:r>
      <w:r w:rsidR="00C82EB2" w:rsidRPr="004964A4">
        <w:rPr>
          <w:rFonts w:asciiTheme="minorHAnsi" w:hAnsiTheme="minorHAnsi" w:cstheme="minorHAnsi"/>
          <w:bCs/>
        </w:rPr>
        <w:tab/>
        <w:t>Inte</w:t>
      </w:r>
      <w:r w:rsidR="006F3781" w:rsidRPr="004964A4">
        <w:rPr>
          <w:rFonts w:asciiTheme="minorHAnsi" w:hAnsiTheme="minorHAnsi" w:cstheme="minorHAnsi"/>
          <w:bCs/>
        </w:rPr>
        <w:t>rnational Organization Partners</w:t>
      </w:r>
      <w:r w:rsidR="00036670" w:rsidRPr="004964A4">
        <w:rPr>
          <w:rFonts w:asciiTheme="minorHAnsi" w:hAnsiTheme="minorHAnsi" w:cstheme="minorHAnsi"/>
          <w:bCs/>
        </w:rPr>
        <w:t xml:space="preserve"> (</w:t>
      </w:r>
      <w:r w:rsidR="000E6B8A" w:rsidRPr="004964A4">
        <w:rPr>
          <w:rFonts w:asciiTheme="minorHAnsi" w:hAnsiTheme="minorHAnsi" w:cstheme="minorHAnsi"/>
          <w:bCs/>
        </w:rPr>
        <w:t>WWF</w:t>
      </w:r>
      <w:r w:rsidR="00036670" w:rsidRPr="004964A4">
        <w:rPr>
          <w:rFonts w:asciiTheme="minorHAnsi" w:hAnsiTheme="minorHAnsi" w:cstheme="minorHAnsi"/>
          <w:bCs/>
        </w:rPr>
        <w:t>)</w:t>
      </w:r>
    </w:p>
    <w:p w14:paraId="2FDFF4F8" w14:textId="77777777" w:rsidR="0026231C" w:rsidRPr="004964A4" w:rsidRDefault="0026231C" w:rsidP="004964A4">
      <w:pPr>
        <w:spacing w:after="0" w:line="240" w:lineRule="auto"/>
        <w:ind w:left="1134" w:hanging="567"/>
        <w:contextualSpacing/>
        <w:rPr>
          <w:rFonts w:asciiTheme="minorHAnsi" w:hAnsiTheme="minorHAnsi" w:cstheme="minorHAnsi"/>
          <w:bCs/>
        </w:rPr>
      </w:pPr>
    </w:p>
    <w:p w14:paraId="39577809" w14:textId="040ED987" w:rsidR="00C82EB2"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1.4</w:t>
      </w:r>
      <w:r w:rsidR="00C82EB2" w:rsidRPr="004964A4">
        <w:rPr>
          <w:rFonts w:asciiTheme="minorHAnsi" w:hAnsiTheme="minorHAnsi" w:cstheme="minorHAnsi"/>
          <w:bCs/>
        </w:rPr>
        <w:tab/>
        <w:t>Secretary General of the Convention</w:t>
      </w:r>
    </w:p>
    <w:p w14:paraId="6BA4D0EA" w14:textId="77777777" w:rsidR="00C82EB2" w:rsidRPr="004964A4" w:rsidRDefault="00C82EB2" w:rsidP="004964A4">
      <w:pPr>
        <w:spacing w:after="0" w:line="240" w:lineRule="auto"/>
        <w:ind w:left="425" w:hanging="425"/>
        <w:contextualSpacing/>
        <w:rPr>
          <w:rFonts w:asciiTheme="minorHAnsi" w:hAnsiTheme="minorHAnsi" w:cstheme="minorHAnsi"/>
          <w:bCs/>
        </w:rPr>
      </w:pPr>
    </w:p>
    <w:p w14:paraId="2CEF88DC" w14:textId="0B050B7D"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w:t>
      </w:r>
      <w:r w:rsidRPr="004964A4">
        <w:rPr>
          <w:rFonts w:asciiTheme="minorHAnsi" w:hAnsiTheme="minorHAnsi" w:cstheme="minorHAnsi"/>
          <w:bCs/>
        </w:rPr>
        <w:tab/>
      </w:r>
      <w:r w:rsidR="00567CD0" w:rsidRPr="004964A4">
        <w:rPr>
          <w:rFonts w:asciiTheme="minorHAnsi" w:hAnsiTheme="minorHAnsi" w:cstheme="minorHAnsi"/>
          <w:bCs/>
        </w:rPr>
        <w:t>A</w:t>
      </w:r>
      <w:r w:rsidR="002B64A4" w:rsidRPr="004964A4">
        <w:rPr>
          <w:rFonts w:asciiTheme="minorHAnsi" w:hAnsiTheme="minorHAnsi" w:cstheme="minorHAnsi"/>
          <w:bCs/>
        </w:rPr>
        <w:t>doption of the p</w:t>
      </w:r>
      <w:r w:rsidR="004418D3" w:rsidRPr="004964A4">
        <w:rPr>
          <w:rFonts w:asciiTheme="minorHAnsi" w:hAnsiTheme="minorHAnsi" w:cstheme="minorHAnsi"/>
          <w:bCs/>
        </w:rPr>
        <w:t>rovisional agenda</w:t>
      </w:r>
    </w:p>
    <w:p w14:paraId="5B965FCC" w14:textId="6923B948" w:rsidR="00036670" w:rsidRPr="004964A4" w:rsidRDefault="00036670" w:rsidP="004964A4">
      <w:pPr>
        <w:keepNext/>
        <w:spacing w:after="0" w:line="240" w:lineRule="auto"/>
        <w:ind w:left="567" w:hanging="567"/>
        <w:contextualSpacing/>
        <w:rPr>
          <w:rFonts w:asciiTheme="minorHAnsi" w:hAnsiTheme="minorHAnsi" w:cstheme="minorHAnsi"/>
          <w:bCs/>
        </w:rPr>
      </w:pPr>
    </w:p>
    <w:p w14:paraId="5450EA30" w14:textId="2B505CC0" w:rsidR="00897D34" w:rsidRPr="004964A4" w:rsidRDefault="00036670"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 will put under consideration the adoption of the </w:t>
      </w:r>
      <w:r w:rsidR="00897D34" w:rsidRPr="004964A4">
        <w:rPr>
          <w:rFonts w:asciiTheme="minorHAnsi" w:hAnsiTheme="minorHAnsi" w:cstheme="minorHAnsi"/>
          <w:bCs/>
        </w:rPr>
        <w:t xml:space="preserve">provisional </w:t>
      </w:r>
      <w:r w:rsidRPr="004964A4">
        <w:rPr>
          <w:rFonts w:asciiTheme="minorHAnsi" w:hAnsiTheme="minorHAnsi" w:cstheme="minorHAnsi"/>
          <w:bCs/>
        </w:rPr>
        <w:t>agenda</w:t>
      </w:r>
      <w:r w:rsidR="00897D34" w:rsidRPr="004964A4">
        <w:rPr>
          <w:rFonts w:asciiTheme="minorHAnsi" w:hAnsiTheme="minorHAnsi" w:cstheme="minorHAnsi"/>
          <w:bCs/>
        </w:rPr>
        <w:t xml:space="preserve"> (</w:t>
      </w:r>
      <w:r w:rsidR="006111C2" w:rsidRPr="004964A4">
        <w:rPr>
          <w:rFonts w:asciiTheme="minorHAnsi" w:hAnsiTheme="minorHAnsi" w:cstheme="minorHAnsi"/>
          <w:bCs/>
        </w:rPr>
        <w:t xml:space="preserve">document </w:t>
      </w:r>
      <w:r w:rsidR="00897D34" w:rsidRPr="004964A4">
        <w:rPr>
          <w:rFonts w:asciiTheme="minorHAnsi" w:hAnsiTheme="minorHAnsi" w:cstheme="minorHAnsi"/>
          <w:bCs/>
        </w:rPr>
        <w:t>SC57</w:t>
      </w:r>
      <w:r w:rsidR="003922AE" w:rsidRPr="004964A4">
        <w:rPr>
          <w:rFonts w:asciiTheme="minorHAnsi" w:hAnsiTheme="minorHAnsi" w:cstheme="minorHAnsi"/>
          <w:bCs/>
        </w:rPr>
        <w:t xml:space="preserve"> Doc</w:t>
      </w:r>
      <w:r w:rsidR="00897D34" w:rsidRPr="004964A4">
        <w:rPr>
          <w:rFonts w:asciiTheme="minorHAnsi" w:hAnsiTheme="minorHAnsi" w:cstheme="minorHAnsi"/>
          <w:bCs/>
        </w:rPr>
        <w:t>.2 Rev.1)</w:t>
      </w:r>
      <w:r w:rsidR="00302DF1">
        <w:rPr>
          <w:rFonts w:asciiTheme="minorHAnsi" w:hAnsiTheme="minorHAnsi" w:cstheme="minorHAnsi"/>
          <w:bCs/>
        </w:rPr>
        <w:t>.</w:t>
      </w:r>
    </w:p>
    <w:p w14:paraId="667582FC" w14:textId="77777777" w:rsidR="00897D34" w:rsidRPr="004964A4" w:rsidRDefault="00897D34" w:rsidP="004964A4">
      <w:pPr>
        <w:spacing w:after="0" w:line="240" w:lineRule="auto"/>
        <w:ind w:left="567" w:hanging="567"/>
        <w:contextualSpacing/>
        <w:rPr>
          <w:rFonts w:asciiTheme="minorHAnsi" w:hAnsiTheme="minorHAnsi" w:cstheme="minorHAnsi"/>
          <w:bCs/>
        </w:rPr>
      </w:pPr>
    </w:p>
    <w:p w14:paraId="5DEA4F8C" w14:textId="39C90B86"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3.</w:t>
      </w:r>
      <w:r w:rsidRPr="004964A4">
        <w:rPr>
          <w:rFonts w:asciiTheme="minorHAnsi" w:hAnsiTheme="minorHAnsi" w:cstheme="minorHAnsi"/>
          <w:bCs/>
        </w:rPr>
        <w:tab/>
      </w:r>
      <w:r w:rsidR="00276E63" w:rsidRPr="004964A4">
        <w:rPr>
          <w:rFonts w:asciiTheme="minorHAnsi" w:hAnsiTheme="minorHAnsi" w:cstheme="minorHAnsi"/>
          <w:bCs/>
        </w:rPr>
        <w:t xml:space="preserve">Adoption </w:t>
      </w:r>
      <w:r w:rsidR="002B64A4" w:rsidRPr="004964A4">
        <w:rPr>
          <w:rFonts w:asciiTheme="minorHAnsi" w:hAnsiTheme="minorHAnsi" w:cstheme="minorHAnsi"/>
          <w:bCs/>
        </w:rPr>
        <w:t>of the p</w:t>
      </w:r>
      <w:r w:rsidR="007F03EE" w:rsidRPr="004964A4">
        <w:rPr>
          <w:rFonts w:asciiTheme="minorHAnsi" w:hAnsiTheme="minorHAnsi" w:cstheme="minorHAnsi"/>
          <w:bCs/>
        </w:rPr>
        <w:t>rovisional w</w:t>
      </w:r>
      <w:r w:rsidRPr="004964A4">
        <w:rPr>
          <w:rFonts w:asciiTheme="minorHAnsi" w:hAnsiTheme="minorHAnsi" w:cstheme="minorHAnsi"/>
          <w:bCs/>
        </w:rPr>
        <w:t>orking programme</w:t>
      </w:r>
    </w:p>
    <w:p w14:paraId="70CBD9F6" w14:textId="1692DB41" w:rsidR="00036670" w:rsidRPr="004964A4" w:rsidRDefault="00036670" w:rsidP="004964A4">
      <w:pPr>
        <w:keepNext/>
        <w:spacing w:after="0" w:line="240" w:lineRule="auto"/>
        <w:ind w:left="567" w:hanging="567"/>
        <w:contextualSpacing/>
        <w:rPr>
          <w:rFonts w:asciiTheme="minorHAnsi" w:hAnsiTheme="minorHAnsi" w:cstheme="minorHAnsi"/>
          <w:bCs/>
        </w:rPr>
      </w:pPr>
    </w:p>
    <w:p w14:paraId="1AF2160C" w14:textId="1AFFAD76" w:rsidR="00036670" w:rsidRPr="004964A4" w:rsidRDefault="00036670"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 will put under consideration the adoption of the </w:t>
      </w:r>
      <w:r w:rsidR="00897D34" w:rsidRPr="004964A4">
        <w:rPr>
          <w:rFonts w:asciiTheme="minorHAnsi" w:hAnsiTheme="minorHAnsi" w:cstheme="minorHAnsi"/>
          <w:bCs/>
        </w:rPr>
        <w:t>working programme</w:t>
      </w:r>
      <w:r w:rsidR="00CE525B" w:rsidRPr="004964A4">
        <w:rPr>
          <w:rFonts w:asciiTheme="minorHAnsi" w:hAnsiTheme="minorHAnsi" w:cstheme="minorHAnsi"/>
          <w:bCs/>
        </w:rPr>
        <w:t xml:space="preserve"> (SC57</w:t>
      </w:r>
      <w:r w:rsidR="003922AE" w:rsidRPr="004964A4">
        <w:rPr>
          <w:rFonts w:asciiTheme="minorHAnsi" w:hAnsiTheme="minorHAnsi" w:cstheme="minorHAnsi"/>
          <w:bCs/>
        </w:rPr>
        <w:t xml:space="preserve"> Doc.</w:t>
      </w:r>
      <w:r w:rsidR="00CE525B" w:rsidRPr="004964A4">
        <w:rPr>
          <w:rFonts w:asciiTheme="minorHAnsi" w:hAnsiTheme="minorHAnsi" w:cstheme="minorHAnsi"/>
          <w:bCs/>
        </w:rPr>
        <w:t>3)</w:t>
      </w:r>
      <w:r w:rsidR="00302DF1">
        <w:rPr>
          <w:rFonts w:asciiTheme="minorHAnsi" w:hAnsiTheme="minorHAnsi" w:cstheme="minorHAnsi"/>
          <w:bCs/>
        </w:rPr>
        <w:t>.</w:t>
      </w:r>
    </w:p>
    <w:p w14:paraId="126607BD" w14:textId="3D167837" w:rsidR="00897D34" w:rsidRPr="004964A4" w:rsidRDefault="00897D34" w:rsidP="004964A4">
      <w:pPr>
        <w:spacing w:after="0" w:line="240" w:lineRule="auto"/>
        <w:contextualSpacing/>
        <w:rPr>
          <w:rFonts w:asciiTheme="minorHAnsi" w:hAnsiTheme="minorHAnsi" w:cstheme="minorHAnsi"/>
          <w:bCs/>
        </w:rPr>
      </w:pPr>
    </w:p>
    <w:p w14:paraId="28009B02" w14:textId="471E4D1C" w:rsidR="00C82EB2" w:rsidRPr="004964A4" w:rsidRDefault="00C82EB2"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4</w:t>
      </w:r>
      <w:r w:rsidR="004418D3" w:rsidRPr="004964A4">
        <w:rPr>
          <w:rFonts w:asciiTheme="minorHAnsi" w:hAnsiTheme="minorHAnsi" w:cstheme="minorHAnsi"/>
          <w:bCs/>
        </w:rPr>
        <w:t>.</w:t>
      </w:r>
      <w:r w:rsidR="004418D3" w:rsidRPr="004964A4">
        <w:rPr>
          <w:rFonts w:asciiTheme="minorHAnsi" w:hAnsiTheme="minorHAnsi" w:cstheme="minorHAnsi"/>
          <w:bCs/>
        </w:rPr>
        <w:tab/>
        <w:t>Admission of observers</w:t>
      </w:r>
    </w:p>
    <w:p w14:paraId="5F6E4569" w14:textId="315E5AA9" w:rsidR="00802A92" w:rsidRPr="004964A4" w:rsidRDefault="00802A92" w:rsidP="004964A4">
      <w:pPr>
        <w:keepNext/>
        <w:spacing w:after="0" w:line="240" w:lineRule="auto"/>
        <w:ind w:left="567" w:hanging="567"/>
        <w:contextualSpacing/>
        <w:rPr>
          <w:rFonts w:asciiTheme="minorHAnsi" w:hAnsiTheme="minorHAnsi" w:cstheme="minorHAnsi"/>
        </w:rPr>
      </w:pPr>
    </w:p>
    <w:p w14:paraId="3AA0595B" w14:textId="52F85CFB" w:rsidR="00CE525B" w:rsidRPr="004964A4" w:rsidRDefault="00CE525B" w:rsidP="004964A4">
      <w:pPr>
        <w:shd w:val="clear" w:color="auto" w:fill="FFFFFF" w:themeFill="background1"/>
        <w:spacing w:after="0" w:line="240" w:lineRule="auto"/>
        <w:rPr>
          <w:rFonts w:asciiTheme="minorHAnsi" w:hAnsiTheme="minorHAnsi" w:cstheme="minorHAnsi"/>
          <w:bCs/>
        </w:rPr>
      </w:pPr>
      <w:r w:rsidRPr="004964A4">
        <w:rPr>
          <w:rFonts w:asciiTheme="minorHAnsi" w:hAnsiTheme="minorHAnsi" w:cstheme="minorHAnsi"/>
          <w:bCs/>
        </w:rPr>
        <w:t xml:space="preserve">The Deputy </w:t>
      </w:r>
      <w:r w:rsidR="00887231" w:rsidRPr="004964A4">
        <w:rPr>
          <w:rFonts w:asciiTheme="minorHAnsi" w:hAnsiTheme="minorHAnsi" w:cstheme="minorHAnsi"/>
          <w:bCs/>
        </w:rPr>
        <w:t xml:space="preserve">Secretary General </w:t>
      </w:r>
      <w:r w:rsidRPr="004964A4">
        <w:rPr>
          <w:rFonts w:asciiTheme="minorHAnsi" w:hAnsiTheme="minorHAnsi" w:cstheme="minorHAnsi"/>
          <w:bCs/>
        </w:rPr>
        <w:t xml:space="preserve">will introduce </w:t>
      </w:r>
      <w:r w:rsidR="003922AE" w:rsidRPr="004964A4">
        <w:rPr>
          <w:rFonts w:asciiTheme="minorHAnsi" w:hAnsiTheme="minorHAnsi" w:cstheme="minorHAnsi"/>
          <w:bCs/>
        </w:rPr>
        <w:t xml:space="preserve">document </w:t>
      </w:r>
      <w:r w:rsidRPr="004964A4">
        <w:rPr>
          <w:rFonts w:asciiTheme="minorHAnsi" w:hAnsiTheme="minorHAnsi" w:cstheme="minorHAnsi"/>
          <w:bCs/>
        </w:rPr>
        <w:t>SC57</w:t>
      </w:r>
      <w:r w:rsidR="003922AE" w:rsidRPr="004964A4">
        <w:rPr>
          <w:rFonts w:asciiTheme="minorHAnsi" w:hAnsiTheme="minorHAnsi" w:cstheme="minorHAnsi"/>
          <w:bCs/>
        </w:rPr>
        <w:t xml:space="preserve"> Doc.</w:t>
      </w:r>
      <w:r w:rsidRPr="004964A4">
        <w:rPr>
          <w:rFonts w:asciiTheme="minorHAnsi" w:hAnsiTheme="minorHAnsi" w:cstheme="minorHAnsi"/>
          <w:bCs/>
        </w:rPr>
        <w:t xml:space="preserve">4 with the list of registered observers whose attendance must be approved by the Standing Committee. </w:t>
      </w:r>
    </w:p>
    <w:p w14:paraId="0BC8D619" w14:textId="77777777" w:rsidR="00CE525B" w:rsidRPr="004964A4" w:rsidRDefault="00CE525B" w:rsidP="004964A4">
      <w:pPr>
        <w:spacing w:after="0" w:line="240" w:lineRule="auto"/>
        <w:ind w:left="567" w:hanging="567"/>
        <w:contextualSpacing/>
        <w:rPr>
          <w:rFonts w:asciiTheme="minorHAnsi" w:hAnsiTheme="minorHAnsi" w:cstheme="minorHAnsi"/>
        </w:rPr>
      </w:pPr>
    </w:p>
    <w:p w14:paraId="6150E60A" w14:textId="53FC7BFA"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5.</w:t>
      </w:r>
      <w:r w:rsidRPr="004964A4">
        <w:rPr>
          <w:rFonts w:asciiTheme="minorHAnsi" w:hAnsiTheme="minorHAnsi" w:cstheme="minorHAnsi"/>
          <w:bCs/>
        </w:rPr>
        <w:tab/>
      </w:r>
      <w:r w:rsidR="004418D3" w:rsidRPr="004964A4">
        <w:rPr>
          <w:rFonts w:asciiTheme="minorHAnsi" w:hAnsiTheme="minorHAnsi" w:cstheme="minorHAnsi"/>
          <w:bCs/>
        </w:rPr>
        <w:t>Report of the Secretary General</w:t>
      </w:r>
    </w:p>
    <w:p w14:paraId="182D1877" w14:textId="77777777" w:rsidR="0027478E" w:rsidRPr="004964A4" w:rsidRDefault="0027478E" w:rsidP="004964A4">
      <w:pPr>
        <w:keepNext/>
        <w:spacing w:after="0" w:line="240" w:lineRule="auto"/>
        <w:ind w:left="567" w:hanging="567"/>
        <w:contextualSpacing/>
        <w:rPr>
          <w:rFonts w:asciiTheme="minorHAnsi" w:hAnsiTheme="minorHAnsi" w:cstheme="minorHAnsi"/>
          <w:bCs/>
        </w:rPr>
      </w:pPr>
    </w:p>
    <w:p w14:paraId="6B8CF4E1" w14:textId="56BB33D5" w:rsidR="00CE525B" w:rsidRPr="004964A4" w:rsidRDefault="00BD67C6" w:rsidP="004964A4">
      <w:pPr>
        <w:spacing w:after="0" w:line="240" w:lineRule="auto"/>
        <w:contextualSpacing/>
        <w:rPr>
          <w:rFonts w:asciiTheme="minorHAnsi" w:hAnsiTheme="minorHAnsi" w:cstheme="minorHAnsi"/>
        </w:rPr>
      </w:pPr>
      <w:r w:rsidRPr="004964A4">
        <w:rPr>
          <w:rFonts w:asciiTheme="minorHAnsi" w:hAnsiTheme="minorHAnsi" w:cstheme="minorHAnsi"/>
        </w:rPr>
        <w:t>T</w:t>
      </w:r>
      <w:r w:rsidR="00CE525B" w:rsidRPr="004964A4">
        <w:rPr>
          <w:rFonts w:asciiTheme="minorHAnsi" w:hAnsiTheme="minorHAnsi" w:cstheme="minorHAnsi"/>
        </w:rPr>
        <w:t>he Secretary General will present her r</w:t>
      </w:r>
      <w:r w:rsidR="00CE525B" w:rsidRPr="004964A4">
        <w:rPr>
          <w:rFonts w:asciiTheme="minorHAnsi" w:hAnsiTheme="minorHAnsi" w:cstheme="minorHAnsi"/>
          <w:bCs/>
        </w:rPr>
        <w:t xml:space="preserve">eport </w:t>
      </w:r>
      <w:r w:rsidR="00CE525B" w:rsidRPr="004964A4">
        <w:rPr>
          <w:rFonts w:asciiTheme="minorHAnsi" w:hAnsiTheme="minorHAnsi" w:cstheme="minorHAnsi"/>
        </w:rPr>
        <w:t xml:space="preserve">highlighting the work of the Secretariat since </w:t>
      </w:r>
      <w:r w:rsidR="00BE7AF7" w:rsidRPr="004964A4">
        <w:rPr>
          <w:rFonts w:asciiTheme="minorHAnsi" w:hAnsiTheme="minorHAnsi" w:cstheme="minorHAnsi"/>
        </w:rPr>
        <w:t>COP13 in October 2018 (SC57</w:t>
      </w:r>
      <w:r w:rsidR="007F5E09" w:rsidRPr="007F5E09">
        <w:rPr>
          <w:rFonts w:asciiTheme="minorHAnsi" w:hAnsiTheme="minorHAnsi" w:cstheme="minorHAnsi"/>
        </w:rPr>
        <w:t xml:space="preserve"> </w:t>
      </w:r>
      <w:r w:rsidR="007F5E09" w:rsidRPr="004964A4">
        <w:rPr>
          <w:rFonts w:asciiTheme="minorHAnsi" w:hAnsiTheme="minorHAnsi" w:cstheme="minorHAnsi"/>
        </w:rPr>
        <w:t>D</w:t>
      </w:r>
      <w:r w:rsidR="007F5E09">
        <w:rPr>
          <w:rFonts w:asciiTheme="minorHAnsi" w:hAnsiTheme="minorHAnsi" w:cstheme="minorHAnsi"/>
        </w:rPr>
        <w:t>oc.</w:t>
      </w:r>
      <w:r w:rsidR="00BE7AF7" w:rsidRPr="004964A4">
        <w:rPr>
          <w:rFonts w:asciiTheme="minorHAnsi" w:hAnsiTheme="minorHAnsi" w:cstheme="minorHAnsi"/>
        </w:rPr>
        <w:t>5).</w:t>
      </w:r>
      <w:r w:rsidR="00CE525B" w:rsidRPr="004964A4">
        <w:rPr>
          <w:rFonts w:asciiTheme="minorHAnsi" w:hAnsiTheme="minorHAnsi" w:cstheme="minorHAnsi"/>
        </w:rPr>
        <w:t xml:space="preserve"> </w:t>
      </w:r>
    </w:p>
    <w:p w14:paraId="1795C546" w14:textId="572A2549" w:rsidR="00802A92" w:rsidRPr="004964A4" w:rsidRDefault="00802A92" w:rsidP="004964A4">
      <w:pPr>
        <w:spacing w:after="0" w:line="240" w:lineRule="auto"/>
        <w:ind w:left="567" w:hanging="567"/>
        <w:contextualSpacing/>
        <w:rPr>
          <w:rFonts w:asciiTheme="minorHAnsi" w:hAnsiTheme="minorHAnsi" w:cstheme="minorHAnsi"/>
          <w:bCs/>
        </w:rPr>
      </w:pPr>
    </w:p>
    <w:p w14:paraId="4EBDE908" w14:textId="1E789404"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6.</w:t>
      </w:r>
      <w:r w:rsidRPr="004964A4">
        <w:rPr>
          <w:rFonts w:asciiTheme="minorHAnsi" w:hAnsiTheme="minorHAnsi" w:cstheme="minorHAnsi"/>
          <w:bCs/>
        </w:rPr>
        <w:tab/>
        <w:t>Report of the Management Working Group</w:t>
      </w:r>
    </w:p>
    <w:p w14:paraId="12D32443" w14:textId="1A19223D" w:rsidR="00BE7AF7" w:rsidRPr="004964A4" w:rsidRDefault="00BE7AF7" w:rsidP="004964A4">
      <w:pPr>
        <w:keepNext/>
        <w:spacing w:after="0" w:line="240" w:lineRule="auto"/>
        <w:ind w:left="567" w:hanging="567"/>
        <w:contextualSpacing/>
        <w:rPr>
          <w:rFonts w:asciiTheme="minorHAnsi" w:hAnsiTheme="minorHAnsi" w:cstheme="minorHAnsi"/>
          <w:bCs/>
        </w:rPr>
      </w:pPr>
    </w:p>
    <w:p w14:paraId="7C9306E2" w14:textId="1D13E952" w:rsidR="00BE7AF7" w:rsidRPr="004964A4" w:rsidRDefault="00BE7AF7" w:rsidP="004964A4">
      <w:pPr>
        <w:pStyle w:val="ListParagraph"/>
        <w:numPr>
          <w:ilvl w:val="0"/>
          <w:numId w:val="3"/>
        </w:numPr>
        <w:spacing w:after="0" w:line="240" w:lineRule="auto"/>
        <w:ind w:left="851" w:hanging="284"/>
        <w:rPr>
          <w:rFonts w:asciiTheme="minorHAnsi" w:hAnsiTheme="minorHAnsi" w:cstheme="minorHAnsi"/>
        </w:rPr>
      </w:pPr>
      <w:r w:rsidRPr="004964A4">
        <w:rPr>
          <w:rFonts w:asciiTheme="minorHAnsi" w:hAnsiTheme="minorHAnsi" w:cstheme="minorHAnsi"/>
        </w:rPr>
        <w:t xml:space="preserve">Report on the selection process of the </w:t>
      </w:r>
      <w:r w:rsidRPr="004964A4">
        <w:rPr>
          <w:rFonts w:asciiTheme="minorHAnsi" w:hAnsiTheme="minorHAnsi" w:cstheme="minorHAnsi"/>
          <w:bCs/>
        </w:rPr>
        <w:t>Scientific and Technical Review Panel</w:t>
      </w:r>
      <w:r w:rsidRPr="004964A4">
        <w:rPr>
          <w:rFonts w:asciiTheme="minorHAnsi" w:hAnsiTheme="minorHAnsi" w:cstheme="minorHAnsi"/>
        </w:rPr>
        <w:t xml:space="preserve"> for the triennium 2019-2021 </w:t>
      </w:r>
      <w:r w:rsidR="00DB61B2" w:rsidRPr="004964A4">
        <w:rPr>
          <w:rFonts w:asciiTheme="minorHAnsi" w:hAnsiTheme="minorHAnsi" w:cstheme="minorHAnsi"/>
        </w:rPr>
        <w:t>in accordance with</w:t>
      </w:r>
      <w:r w:rsidRPr="004964A4">
        <w:rPr>
          <w:rFonts w:asciiTheme="minorHAnsi" w:hAnsiTheme="minorHAnsi" w:cstheme="minorHAnsi"/>
        </w:rPr>
        <w:t xml:space="preserve"> Resolution XII.5.</w:t>
      </w:r>
    </w:p>
    <w:p w14:paraId="1329D7B4" w14:textId="3A4C2F32" w:rsidR="00BE7AF7" w:rsidRPr="004964A4" w:rsidRDefault="00BE7AF7" w:rsidP="004964A4">
      <w:pPr>
        <w:pStyle w:val="ListParagraph"/>
        <w:numPr>
          <w:ilvl w:val="0"/>
          <w:numId w:val="3"/>
        </w:numPr>
        <w:spacing w:after="0" w:line="240" w:lineRule="auto"/>
        <w:ind w:left="567" w:firstLine="0"/>
        <w:rPr>
          <w:rFonts w:asciiTheme="minorHAnsi" w:hAnsiTheme="minorHAnsi" w:cstheme="minorHAnsi"/>
          <w:bCs/>
        </w:rPr>
      </w:pPr>
      <w:r w:rsidRPr="004964A4">
        <w:rPr>
          <w:rFonts w:asciiTheme="minorHAnsi" w:hAnsiTheme="minorHAnsi" w:cstheme="minorHAnsi"/>
          <w:bCs/>
        </w:rPr>
        <w:t>Report on the Establishment of the CEPA Oversight Panel</w:t>
      </w:r>
      <w:r w:rsidR="00302DF1">
        <w:rPr>
          <w:rFonts w:asciiTheme="minorHAnsi" w:hAnsiTheme="minorHAnsi" w:cstheme="minorHAnsi"/>
          <w:bCs/>
        </w:rPr>
        <w:t>.</w:t>
      </w:r>
    </w:p>
    <w:p w14:paraId="3F976468" w14:textId="7AF655A0" w:rsidR="00BE7AF7" w:rsidRPr="004964A4" w:rsidRDefault="00BE7AF7" w:rsidP="004964A4">
      <w:pPr>
        <w:spacing w:after="0" w:line="240" w:lineRule="auto"/>
        <w:ind w:left="567" w:hanging="567"/>
        <w:contextualSpacing/>
        <w:rPr>
          <w:rFonts w:asciiTheme="minorHAnsi" w:hAnsiTheme="minorHAnsi" w:cstheme="minorHAnsi"/>
          <w:bCs/>
        </w:rPr>
      </w:pPr>
    </w:p>
    <w:p w14:paraId="3FAA89ED" w14:textId="1FEAA3FE" w:rsidR="00BE7AF7" w:rsidRPr="004964A4" w:rsidRDefault="00BE7AF7"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Chair of the Management Working </w:t>
      </w:r>
      <w:r w:rsidR="00DB61B2" w:rsidRPr="004964A4">
        <w:rPr>
          <w:rFonts w:asciiTheme="minorHAnsi" w:hAnsiTheme="minorHAnsi" w:cstheme="minorHAnsi"/>
          <w:bCs/>
        </w:rPr>
        <w:t xml:space="preserve">Group </w:t>
      </w:r>
      <w:r w:rsidRPr="004964A4">
        <w:rPr>
          <w:rFonts w:asciiTheme="minorHAnsi" w:hAnsiTheme="minorHAnsi" w:cstheme="minorHAnsi"/>
          <w:bCs/>
        </w:rPr>
        <w:t>will present its report to the Standing Committee on the above items.</w:t>
      </w:r>
    </w:p>
    <w:p w14:paraId="573FE31E" w14:textId="77777777" w:rsidR="00BE7AF7" w:rsidRPr="004964A4" w:rsidRDefault="00BE7AF7" w:rsidP="004964A4">
      <w:pPr>
        <w:spacing w:after="0" w:line="240" w:lineRule="auto"/>
        <w:ind w:left="567" w:hanging="567"/>
        <w:contextualSpacing/>
        <w:rPr>
          <w:rFonts w:asciiTheme="minorHAnsi" w:hAnsiTheme="minorHAnsi" w:cstheme="minorHAnsi"/>
          <w:bCs/>
        </w:rPr>
      </w:pPr>
    </w:p>
    <w:p w14:paraId="4D433BF5" w14:textId="5FE5EBCA" w:rsidR="00C91725" w:rsidRPr="004964A4" w:rsidRDefault="00C91725"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lastRenderedPageBreak/>
        <w:t>7.</w:t>
      </w:r>
      <w:r w:rsidRPr="004964A4">
        <w:rPr>
          <w:rFonts w:asciiTheme="minorHAnsi" w:hAnsiTheme="minorHAnsi" w:cstheme="minorHAnsi"/>
          <w:bCs/>
        </w:rPr>
        <w:tab/>
        <w:t>Financial and budgetary matters</w:t>
      </w:r>
      <w:r w:rsidR="00A521AE" w:rsidRPr="004964A4">
        <w:rPr>
          <w:rFonts w:asciiTheme="minorHAnsi" w:hAnsiTheme="minorHAnsi" w:cstheme="minorHAnsi"/>
          <w:bCs/>
        </w:rPr>
        <w:t xml:space="preserve"> – report of the Subgroup on Finance</w:t>
      </w:r>
    </w:p>
    <w:p w14:paraId="275FF50E" w14:textId="77777777" w:rsidR="00C91725" w:rsidRPr="004964A4" w:rsidRDefault="00C91725" w:rsidP="004964A4">
      <w:pPr>
        <w:keepNext/>
        <w:spacing w:after="0" w:line="240" w:lineRule="auto"/>
        <w:contextualSpacing/>
        <w:rPr>
          <w:rFonts w:asciiTheme="minorHAnsi" w:hAnsiTheme="minorHAnsi" w:cstheme="minorHAnsi"/>
          <w:bCs/>
        </w:rPr>
      </w:pPr>
    </w:p>
    <w:p w14:paraId="2748E5C4" w14:textId="6BE9ABBF" w:rsidR="00C91725" w:rsidRPr="004964A4" w:rsidRDefault="00C91725"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7.1</w:t>
      </w:r>
      <w:r w:rsidRPr="004964A4">
        <w:rPr>
          <w:rFonts w:asciiTheme="minorHAnsi" w:hAnsiTheme="minorHAnsi" w:cstheme="minorHAnsi"/>
          <w:bCs/>
        </w:rPr>
        <w:tab/>
        <w:t>Report on financial matters for 2018 and 2019</w:t>
      </w:r>
      <w:r w:rsidR="007E574A" w:rsidRPr="004964A4">
        <w:rPr>
          <w:rFonts w:asciiTheme="minorHAnsi" w:hAnsiTheme="minorHAnsi" w:cstheme="minorHAnsi"/>
          <w:bCs/>
        </w:rPr>
        <w:t xml:space="preserve"> (SC57</w:t>
      </w:r>
      <w:r w:rsidR="00F23444" w:rsidRPr="004964A4">
        <w:rPr>
          <w:rFonts w:asciiTheme="minorHAnsi" w:hAnsiTheme="minorHAnsi" w:cstheme="minorHAnsi"/>
          <w:bCs/>
        </w:rPr>
        <w:t xml:space="preserve"> Doc</w:t>
      </w:r>
      <w:r w:rsidR="00650667">
        <w:rPr>
          <w:rFonts w:asciiTheme="minorHAnsi" w:hAnsiTheme="minorHAnsi" w:cstheme="minorHAnsi"/>
          <w:bCs/>
        </w:rPr>
        <w:t>.</w:t>
      </w:r>
      <w:r w:rsidR="00F23444" w:rsidRPr="004964A4">
        <w:rPr>
          <w:rFonts w:asciiTheme="minorHAnsi" w:hAnsiTheme="minorHAnsi" w:cstheme="minorHAnsi"/>
          <w:bCs/>
        </w:rPr>
        <w:t>7.1</w:t>
      </w:r>
      <w:r w:rsidR="007E574A" w:rsidRPr="004964A4">
        <w:rPr>
          <w:rFonts w:asciiTheme="minorHAnsi" w:hAnsiTheme="minorHAnsi" w:cstheme="minorHAnsi"/>
          <w:bCs/>
        </w:rPr>
        <w:t>)</w:t>
      </w:r>
    </w:p>
    <w:p w14:paraId="32A35537" w14:textId="77777777" w:rsidR="00C91725" w:rsidRPr="004964A4" w:rsidRDefault="00C91725" w:rsidP="004964A4">
      <w:pPr>
        <w:spacing w:after="0" w:line="240" w:lineRule="auto"/>
        <w:ind w:left="1134" w:hanging="567"/>
        <w:contextualSpacing/>
        <w:rPr>
          <w:rFonts w:asciiTheme="minorHAnsi" w:hAnsiTheme="minorHAnsi" w:cstheme="minorHAnsi"/>
          <w:bCs/>
        </w:rPr>
      </w:pPr>
    </w:p>
    <w:p w14:paraId="3F08DD9F" w14:textId="360F2C7B" w:rsidR="00C91725" w:rsidRPr="004964A4" w:rsidRDefault="00C91725"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7.2</w:t>
      </w:r>
      <w:r w:rsidRPr="004964A4">
        <w:rPr>
          <w:rFonts w:asciiTheme="minorHAnsi" w:hAnsiTheme="minorHAnsi" w:cstheme="minorHAnsi"/>
          <w:bCs/>
        </w:rPr>
        <w:tab/>
        <w:t>Report of the auditor on the financial statements 2018</w:t>
      </w:r>
      <w:r w:rsidR="00A12CC5" w:rsidRPr="004964A4">
        <w:rPr>
          <w:rFonts w:asciiTheme="minorHAnsi" w:hAnsiTheme="minorHAnsi" w:cstheme="minorHAnsi"/>
          <w:bCs/>
        </w:rPr>
        <w:t xml:space="preserve"> (included in item 7.1)</w:t>
      </w:r>
    </w:p>
    <w:p w14:paraId="522AF0E8" w14:textId="77777777" w:rsidR="00C91725" w:rsidRPr="004964A4" w:rsidRDefault="00C91725" w:rsidP="004964A4">
      <w:pPr>
        <w:spacing w:after="0" w:line="240" w:lineRule="auto"/>
        <w:ind w:left="1134" w:hanging="567"/>
        <w:contextualSpacing/>
        <w:rPr>
          <w:rFonts w:asciiTheme="minorHAnsi" w:hAnsiTheme="minorHAnsi" w:cstheme="minorHAnsi"/>
          <w:bCs/>
        </w:rPr>
      </w:pPr>
    </w:p>
    <w:p w14:paraId="5468CD72" w14:textId="3E07964B" w:rsidR="00C91725" w:rsidRPr="004964A4" w:rsidRDefault="00C91725"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7.3</w:t>
      </w:r>
      <w:r w:rsidRPr="004964A4">
        <w:rPr>
          <w:rFonts w:asciiTheme="minorHAnsi" w:hAnsiTheme="minorHAnsi" w:cstheme="minorHAnsi"/>
          <w:bCs/>
        </w:rPr>
        <w:tab/>
        <w:t>Status of annual contributions</w:t>
      </w:r>
      <w:r w:rsidR="00F23444" w:rsidRPr="004964A4">
        <w:rPr>
          <w:rFonts w:asciiTheme="minorHAnsi" w:hAnsiTheme="minorHAnsi" w:cstheme="minorHAnsi"/>
          <w:bCs/>
        </w:rPr>
        <w:t xml:space="preserve"> (SC57 Doc.7.3)</w:t>
      </w:r>
    </w:p>
    <w:p w14:paraId="5DDB7BC2" w14:textId="6124C38C" w:rsidR="001E7909" w:rsidRPr="004964A4" w:rsidRDefault="001E7909" w:rsidP="004964A4">
      <w:pPr>
        <w:spacing w:after="0" w:line="240" w:lineRule="auto"/>
        <w:ind w:left="1134" w:hanging="567"/>
        <w:contextualSpacing/>
        <w:rPr>
          <w:rFonts w:asciiTheme="minorHAnsi" w:hAnsiTheme="minorHAnsi" w:cstheme="minorHAnsi"/>
          <w:bCs/>
        </w:rPr>
      </w:pPr>
    </w:p>
    <w:p w14:paraId="6E1A638D" w14:textId="791F7DC6" w:rsidR="001E7909" w:rsidRPr="004964A4" w:rsidRDefault="001E7909"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w:t>
      </w:r>
      <w:r w:rsidR="006C2602" w:rsidRPr="004964A4">
        <w:rPr>
          <w:rFonts w:asciiTheme="minorHAnsi" w:hAnsiTheme="minorHAnsi" w:cstheme="minorHAnsi"/>
          <w:bCs/>
        </w:rPr>
        <w:t>4</w:t>
      </w:r>
      <w:r w:rsidRPr="004964A4">
        <w:rPr>
          <w:rFonts w:asciiTheme="minorHAnsi" w:hAnsiTheme="minorHAnsi" w:cstheme="minorHAnsi"/>
          <w:bCs/>
        </w:rPr>
        <w:tab/>
      </w:r>
      <w:r w:rsidR="003922AE" w:rsidRPr="004964A4">
        <w:rPr>
          <w:rFonts w:asciiTheme="minorHAnsi" w:hAnsiTheme="minorHAnsi" w:cstheme="minorHAnsi"/>
        </w:rPr>
        <w:t>Small Grants Fund – Proposal for final beneficiaries</w:t>
      </w:r>
      <w:r w:rsidR="003922AE" w:rsidRPr="004964A4" w:rsidDel="003922AE">
        <w:rPr>
          <w:rFonts w:asciiTheme="minorHAnsi" w:hAnsiTheme="minorHAnsi" w:cstheme="minorHAnsi"/>
          <w:lang w:val="en-US"/>
        </w:rPr>
        <w:t xml:space="preserve"> </w:t>
      </w:r>
      <w:r w:rsidR="00F23444" w:rsidRPr="004964A4">
        <w:rPr>
          <w:rFonts w:asciiTheme="minorHAnsi" w:hAnsiTheme="minorHAnsi" w:cstheme="minorHAnsi"/>
          <w:lang w:val="en-US"/>
        </w:rPr>
        <w:t>(SC57 Doc.7.4)</w:t>
      </w:r>
    </w:p>
    <w:p w14:paraId="76C47F4E" w14:textId="4356B114" w:rsidR="00C91725" w:rsidRPr="004964A4" w:rsidRDefault="00C91725" w:rsidP="004964A4">
      <w:pPr>
        <w:spacing w:after="0" w:line="240" w:lineRule="auto"/>
        <w:ind w:left="567" w:hanging="567"/>
        <w:contextualSpacing/>
        <w:rPr>
          <w:rFonts w:asciiTheme="minorHAnsi" w:hAnsiTheme="minorHAnsi" w:cstheme="minorHAnsi"/>
          <w:bCs/>
        </w:rPr>
      </w:pPr>
    </w:p>
    <w:p w14:paraId="70E14C91" w14:textId="680EAE46" w:rsidR="00341A03" w:rsidRPr="004964A4" w:rsidRDefault="00341A03" w:rsidP="004964A4">
      <w:pPr>
        <w:spacing w:after="0" w:line="240" w:lineRule="auto"/>
        <w:rPr>
          <w:rFonts w:asciiTheme="minorHAnsi" w:hAnsiTheme="minorHAnsi" w:cstheme="minorHAnsi"/>
        </w:rPr>
      </w:pPr>
      <w:r w:rsidRPr="004964A4">
        <w:rPr>
          <w:rFonts w:asciiTheme="minorHAnsi" w:hAnsiTheme="minorHAnsi" w:cstheme="minorHAnsi"/>
          <w:bCs/>
        </w:rPr>
        <w:t xml:space="preserve">The Chair of the Subgroup on Finance will present the report of the Subgroup with recommendations on financial matters for Standing Committee consideration. </w:t>
      </w:r>
    </w:p>
    <w:p w14:paraId="6FD436A9" w14:textId="7A20CE03" w:rsidR="00341A03" w:rsidRPr="004964A4" w:rsidRDefault="00341A03" w:rsidP="004964A4">
      <w:pPr>
        <w:spacing w:after="0" w:line="240" w:lineRule="auto"/>
        <w:ind w:left="567" w:hanging="567"/>
        <w:contextualSpacing/>
        <w:rPr>
          <w:rFonts w:asciiTheme="minorHAnsi" w:hAnsiTheme="minorHAnsi" w:cstheme="minorHAnsi"/>
          <w:bCs/>
        </w:rPr>
      </w:pPr>
    </w:p>
    <w:p w14:paraId="21414362" w14:textId="1E2F963E" w:rsidR="00341A03" w:rsidRPr="004964A4" w:rsidRDefault="00E64258" w:rsidP="004964A4">
      <w:pPr>
        <w:keepNext/>
        <w:spacing w:after="0" w:line="240" w:lineRule="auto"/>
        <w:ind w:left="567" w:hanging="567"/>
        <w:contextualSpacing/>
        <w:rPr>
          <w:rFonts w:asciiTheme="minorHAnsi" w:hAnsiTheme="minorHAnsi" w:cstheme="minorHAnsi"/>
          <w:bCs/>
        </w:rPr>
      </w:pPr>
      <w:r w:rsidRPr="004964A4" w:rsidDel="009665D9">
        <w:rPr>
          <w:rFonts w:asciiTheme="minorHAnsi" w:hAnsiTheme="minorHAnsi" w:cstheme="minorHAnsi"/>
          <w:bCs/>
        </w:rPr>
        <w:t>8.</w:t>
      </w:r>
      <w:r w:rsidRPr="004964A4" w:rsidDel="009665D9">
        <w:rPr>
          <w:rFonts w:asciiTheme="minorHAnsi" w:hAnsiTheme="minorHAnsi" w:cstheme="minorHAnsi"/>
          <w:bCs/>
        </w:rPr>
        <w:tab/>
        <w:t xml:space="preserve">Urgent challenges to </w:t>
      </w:r>
      <w:r w:rsidR="003922AE" w:rsidRPr="004964A4">
        <w:rPr>
          <w:rFonts w:asciiTheme="minorHAnsi" w:hAnsiTheme="minorHAnsi" w:cstheme="minorHAnsi"/>
          <w:bCs/>
        </w:rPr>
        <w:t xml:space="preserve">the </w:t>
      </w:r>
      <w:r w:rsidRPr="004964A4" w:rsidDel="009665D9">
        <w:rPr>
          <w:rFonts w:asciiTheme="minorHAnsi" w:hAnsiTheme="minorHAnsi" w:cstheme="minorHAnsi"/>
          <w:bCs/>
        </w:rPr>
        <w:t xml:space="preserve">wise use </w:t>
      </w:r>
      <w:r w:rsidR="00996E40" w:rsidRPr="004964A4">
        <w:rPr>
          <w:rFonts w:asciiTheme="minorHAnsi" w:hAnsiTheme="minorHAnsi" w:cstheme="minorHAnsi"/>
          <w:bCs/>
        </w:rPr>
        <w:t xml:space="preserve">of wetlands </w:t>
      </w:r>
      <w:r w:rsidRPr="004964A4" w:rsidDel="009665D9">
        <w:rPr>
          <w:rFonts w:asciiTheme="minorHAnsi" w:hAnsiTheme="minorHAnsi" w:cstheme="minorHAnsi"/>
          <w:bCs/>
        </w:rPr>
        <w:t>to receive enhanced attention</w:t>
      </w:r>
    </w:p>
    <w:p w14:paraId="0F4E6308" w14:textId="77777777" w:rsidR="006261C9" w:rsidRPr="004964A4" w:rsidRDefault="006261C9" w:rsidP="004964A4">
      <w:pPr>
        <w:keepNext/>
        <w:spacing w:after="0" w:line="240" w:lineRule="auto"/>
        <w:rPr>
          <w:rFonts w:asciiTheme="minorHAnsi" w:hAnsiTheme="minorHAnsi" w:cstheme="minorHAnsi"/>
        </w:rPr>
      </w:pPr>
    </w:p>
    <w:p w14:paraId="383F79FA" w14:textId="562CCA01" w:rsidR="006261C9" w:rsidRPr="004964A4" w:rsidRDefault="006261C9" w:rsidP="004964A4">
      <w:pPr>
        <w:spacing w:after="0" w:line="240" w:lineRule="auto"/>
        <w:rPr>
          <w:rFonts w:asciiTheme="minorHAnsi" w:hAnsiTheme="minorHAnsi" w:cstheme="minorHAnsi"/>
        </w:rPr>
      </w:pPr>
      <w:r w:rsidRPr="004964A4">
        <w:rPr>
          <w:rFonts w:asciiTheme="minorHAnsi" w:hAnsiTheme="minorHAnsi" w:cstheme="minorHAnsi"/>
        </w:rPr>
        <w:t xml:space="preserve">Resolution XIII.4 on </w:t>
      </w:r>
      <w:r w:rsidRPr="004964A4">
        <w:rPr>
          <w:rFonts w:asciiTheme="minorHAnsi" w:hAnsiTheme="minorHAnsi" w:cstheme="minorHAnsi"/>
          <w:i/>
        </w:rPr>
        <w:t>Responsibilities, roles and composition of the Standing Committee and regional categorization of countries under the Convention</w:t>
      </w:r>
      <w:r w:rsidRPr="004964A4">
        <w:rPr>
          <w:rFonts w:asciiTheme="minorHAnsi" w:hAnsiTheme="minorHAnsi" w:cstheme="minorHAnsi"/>
        </w:rPr>
        <w:t xml:space="preserve"> requests that the Standing Committee, at its first full meeting following each meeting of the Conference of the Contracting Parties, identify, with the support of the Secretariat, a limited set of urgent challenges to the wise use of wetlands, in the framework of the Ramsar Strategic Plan and the broader environmental agenda, to receive enhanced attention during the coming triennium. </w:t>
      </w:r>
    </w:p>
    <w:p w14:paraId="743EFA56" w14:textId="77777777" w:rsidR="006261C9" w:rsidRPr="004964A4" w:rsidRDefault="006261C9" w:rsidP="004964A4">
      <w:pPr>
        <w:spacing w:after="0" w:line="240" w:lineRule="auto"/>
        <w:contextualSpacing/>
        <w:rPr>
          <w:rFonts w:asciiTheme="minorHAnsi" w:hAnsiTheme="minorHAnsi" w:cstheme="minorHAnsi"/>
          <w:bCs/>
        </w:rPr>
      </w:pPr>
    </w:p>
    <w:p w14:paraId="7836E366" w14:textId="16409C2F" w:rsidR="00341A03" w:rsidRPr="004964A4" w:rsidDel="009665D9" w:rsidRDefault="00341A03"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Secretariat will </w:t>
      </w:r>
      <w:r w:rsidR="006261C9" w:rsidRPr="004964A4">
        <w:rPr>
          <w:rFonts w:asciiTheme="minorHAnsi" w:hAnsiTheme="minorHAnsi" w:cstheme="minorHAnsi"/>
          <w:bCs/>
        </w:rPr>
        <w:t>introduce</w:t>
      </w:r>
      <w:r w:rsidRPr="004964A4">
        <w:rPr>
          <w:rFonts w:asciiTheme="minorHAnsi" w:hAnsiTheme="minorHAnsi" w:cstheme="minorHAnsi"/>
          <w:bCs/>
        </w:rPr>
        <w:t xml:space="preserve"> </w:t>
      </w:r>
      <w:r w:rsidR="003922AE" w:rsidRPr="004964A4">
        <w:rPr>
          <w:rFonts w:asciiTheme="minorHAnsi" w:hAnsiTheme="minorHAnsi" w:cstheme="minorHAnsi"/>
          <w:bCs/>
        </w:rPr>
        <w:t xml:space="preserve">document </w:t>
      </w:r>
      <w:r w:rsidRPr="004964A4">
        <w:rPr>
          <w:rFonts w:asciiTheme="minorHAnsi" w:hAnsiTheme="minorHAnsi" w:cstheme="minorHAnsi"/>
          <w:bCs/>
        </w:rPr>
        <w:t>SC57</w:t>
      </w:r>
      <w:r w:rsidR="00F23444" w:rsidRPr="004964A4">
        <w:rPr>
          <w:rFonts w:asciiTheme="minorHAnsi" w:hAnsiTheme="minorHAnsi" w:cstheme="minorHAnsi"/>
          <w:bCs/>
        </w:rPr>
        <w:t xml:space="preserve"> Doc.8</w:t>
      </w:r>
      <w:r w:rsidRPr="004964A4">
        <w:rPr>
          <w:rFonts w:asciiTheme="minorHAnsi" w:hAnsiTheme="minorHAnsi" w:cstheme="minorHAnsi"/>
          <w:bCs/>
        </w:rPr>
        <w:t xml:space="preserve"> </w:t>
      </w:r>
      <w:r w:rsidRPr="004964A4">
        <w:rPr>
          <w:rFonts w:asciiTheme="minorHAnsi" w:hAnsiTheme="minorHAnsi" w:cstheme="minorHAnsi"/>
          <w:bCs/>
          <w:i/>
        </w:rPr>
        <w:t>Urgent challenges to the wise use of wetlands to receive enhanced attention</w:t>
      </w:r>
      <w:r w:rsidRPr="004964A4">
        <w:rPr>
          <w:rFonts w:asciiTheme="minorHAnsi" w:hAnsiTheme="minorHAnsi" w:cstheme="minorHAnsi"/>
          <w:bCs/>
        </w:rPr>
        <w:t xml:space="preserve"> for Standing Committee consideration.</w:t>
      </w:r>
      <w:r w:rsidR="00A12002" w:rsidRPr="004964A4">
        <w:rPr>
          <w:rFonts w:asciiTheme="minorHAnsi" w:hAnsiTheme="minorHAnsi" w:cstheme="minorHAnsi"/>
          <w:bCs/>
        </w:rPr>
        <w:t xml:space="preserve"> </w:t>
      </w:r>
    </w:p>
    <w:p w14:paraId="47F88627" w14:textId="19D01920" w:rsidR="00E64258" w:rsidRPr="004964A4" w:rsidRDefault="00E64258" w:rsidP="004964A4">
      <w:pPr>
        <w:spacing w:after="0" w:line="240" w:lineRule="auto"/>
        <w:ind w:left="567" w:hanging="567"/>
        <w:contextualSpacing/>
        <w:rPr>
          <w:rFonts w:asciiTheme="minorHAnsi" w:hAnsiTheme="minorHAnsi" w:cstheme="minorHAnsi"/>
          <w:bCs/>
        </w:rPr>
      </w:pPr>
    </w:p>
    <w:p w14:paraId="5E14E9CF" w14:textId="71160257" w:rsidR="00E64258" w:rsidRPr="004964A4" w:rsidRDefault="00E64258"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9.</w:t>
      </w:r>
      <w:r w:rsidRPr="004964A4">
        <w:rPr>
          <w:rFonts w:asciiTheme="minorHAnsi" w:hAnsiTheme="minorHAnsi" w:cstheme="minorHAnsi"/>
          <w:bCs/>
        </w:rPr>
        <w:tab/>
      </w:r>
      <w:r w:rsidRPr="004964A4">
        <w:rPr>
          <w:rFonts w:asciiTheme="minorHAnsi" w:hAnsiTheme="minorHAnsi" w:cstheme="minorHAnsi"/>
        </w:rPr>
        <w:t>Report of the Working Group on the Review of the Strategic Plan of the Ramsar Convention</w:t>
      </w:r>
    </w:p>
    <w:p w14:paraId="7464A994" w14:textId="36437734" w:rsidR="006261C9" w:rsidRPr="004964A4" w:rsidRDefault="006261C9" w:rsidP="004964A4">
      <w:pPr>
        <w:keepNext/>
        <w:spacing w:after="0" w:line="240" w:lineRule="auto"/>
        <w:ind w:left="567" w:hanging="567"/>
        <w:contextualSpacing/>
        <w:rPr>
          <w:rFonts w:asciiTheme="minorHAnsi" w:hAnsiTheme="minorHAnsi" w:cstheme="minorHAnsi"/>
        </w:rPr>
      </w:pPr>
    </w:p>
    <w:p w14:paraId="7BBFA248" w14:textId="6F06B94A" w:rsidR="006261C9" w:rsidRPr="004964A4" w:rsidRDefault="006261C9"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Working Group will present the report of the Working Group</w:t>
      </w:r>
      <w:r w:rsidR="00C57E8C" w:rsidRPr="004964A4">
        <w:rPr>
          <w:rFonts w:asciiTheme="minorHAnsi" w:hAnsiTheme="minorHAnsi" w:cstheme="minorHAnsi"/>
          <w:bCs/>
        </w:rPr>
        <w:t xml:space="preserve"> </w:t>
      </w:r>
      <w:r w:rsidR="00302DF1">
        <w:rPr>
          <w:rFonts w:asciiTheme="minorHAnsi" w:hAnsiTheme="minorHAnsi" w:cstheme="minorHAnsi"/>
          <w:bCs/>
        </w:rPr>
        <w:t>in accordance</w:t>
      </w:r>
      <w:r w:rsidR="00302DF1" w:rsidRPr="004964A4">
        <w:rPr>
          <w:rFonts w:asciiTheme="minorHAnsi" w:hAnsiTheme="minorHAnsi" w:cstheme="minorHAnsi"/>
          <w:bCs/>
        </w:rPr>
        <w:t xml:space="preserve"> </w:t>
      </w:r>
      <w:r w:rsidR="00C57E8C" w:rsidRPr="004964A4">
        <w:rPr>
          <w:rFonts w:asciiTheme="minorHAnsi" w:hAnsiTheme="minorHAnsi" w:cstheme="minorHAnsi"/>
          <w:bCs/>
        </w:rPr>
        <w:t xml:space="preserve">with the terms of </w:t>
      </w:r>
      <w:r w:rsidR="00C57E8C" w:rsidRPr="004964A4">
        <w:rPr>
          <w:rFonts w:asciiTheme="minorHAnsi" w:hAnsiTheme="minorHAnsi" w:cstheme="minorHAnsi"/>
        </w:rPr>
        <w:t xml:space="preserve">Resolution XIII.5 </w:t>
      </w:r>
      <w:r w:rsidR="00C57E8C" w:rsidRPr="004964A4">
        <w:rPr>
          <w:rFonts w:asciiTheme="minorHAnsi" w:hAnsiTheme="minorHAnsi" w:cstheme="minorHAnsi"/>
          <w:i/>
        </w:rPr>
        <w:t>Review of the fourth Strategic Plan of the Ramsar Convention</w:t>
      </w:r>
      <w:r w:rsidR="00F23444" w:rsidRPr="004964A4">
        <w:rPr>
          <w:rFonts w:asciiTheme="minorHAnsi" w:hAnsiTheme="minorHAnsi" w:cstheme="minorHAnsi"/>
        </w:rPr>
        <w:t xml:space="preserve"> and </w:t>
      </w:r>
      <w:r w:rsidR="003922AE" w:rsidRPr="004964A4">
        <w:rPr>
          <w:rFonts w:asciiTheme="minorHAnsi" w:hAnsiTheme="minorHAnsi" w:cstheme="minorHAnsi"/>
        </w:rPr>
        <w:t xml:space="preserve">document </w:t>
      </w:r>
      <w:r w:rsidR="00F23444" w:rsidRPr="004964A4">
        <w:rPr>
          <w:rFonts w:asciiTheme="minorHAnsi" w:hAnsiTheme="minorHAnsi" w:cstheme="minorHAnsi"/>
        </w:rPr>
        <w:t>SC57</w:t>
      </w:r>
      <w:r w:rsidR="003C59CE" w:rsidRPr="004964A4">
        <w:rPr>
          <w:rFonts w:asciiTheme="minorHAnsi" w:hAnsiTheme="minorHAnsi" w:cstheme="minorHAnsi"/>
        </w:rPr>
        <w:t xml:space="preserve"> Doc.9</w:t>
      </w:r>
      <w:r w:rsidR="00C57E8C" w:rsidRPr="004964A4">
        <w:rPr>
          <w:rFonts w:asciiTheme="minorHAnsi" w:hAnsiTheme="minorHAnsi" w:cstheme="minorHAnsi"/>
        </w:rPr>
        <w:t>.</w:t>
      </w:r>
    </w:p>
    <w:p w14:paraId="6268B90D" w14:textId="4B13D348" w:rsidR="003C59CE" w:rsidRPr="004964A4" w:rsidRDefault="003C59CE" w:rsidP="004964A4">
      <w:pPr>
        <w:spacing w:after="0" w:line="240" w:lineRule="auto"/>
        <w:contextualSpacing/>
        <w:rPr>
          <w:rFonts w:asciiTheme="minorHAnsi" w:hAnsiTheme="minorHAnsi" w:cstheme="minorHAnsi"/>
        </w:rPr>
      </w:pPr>
    </w:p>
    <w:p w14:paraId="1B145E83" w14:textId="2E05D189" w:rsidR="003C59CE" w:rsidRPr="00414A52" w:rsidRDefault="003C59CE" w:rsidP="004964A4">
      <w:pPr>
        <w:keepNext/>
        <w:spacing w:after="0" w:line="240" w:lineRule="auto"/>
        <w:ind w:left="567" w:hanging="567"/>
        <w:contextualSpacing/>
        <w:rPr>
          <w:rFonts w:asciiTheme="minorHAnsi" w:hAnsiTheme="minorHAnsi" w:cstheme="minorHAnsi"/>
          <w:bCs/>
          <w:spacing w:val="-2"/>
        </w:rPr>
      </w:pPr>
      <w:r w:rsidRPr="00414A52">
        <w:rPr>
          <w:rFonts w:asciiTheme="minorHAnsi" w:hAnsiTheme="minorHAnsi" w:cstheme="minorHAnsi"/>
          <w:bCs/>
          <w:spacing w:val="-2"/>
        </w:rPr>
        <w:t>10.</w:t>
      </w:r>
      <w:r w:rsidRPr="00414A52">
        <w:rPr>
          <w:rFonts w:asciiTheme="minorHAnsi" w:hAnsiTheme="minorHAnsi" w:cstheme="minorHAnsi"/>
          <w:bCs/>
          <w:spacing w:val="-2"/>
        </w:rPr>
        <w:tab/>
        <w:t xml:space="preserve">Report of the Effectiveness Working Group and approval of the </w:t>
      </w:r>
      <w:r w:rsidR="006111C2" w:rsidRPr="00414A52">
        <w:rPr>
          <w:rFonts w:asciiTheme="minorHAnsi" w:hAnsiTheme="minorHAnsi" w:cstheme="minorHAnsi"/>
          <w:bCs/>
          <w:spacing w:val="-2"/>
        </w:rPr>
        <w:t>t</w:t>
      </w:r>
      <w:r w:rsidRPr="00414A52">
        <w:rPr>
          <w:rFonts w:asciiTheme="minorHAnsi" w:hAnsiTheme="minorHAnsi" w:cstheme="minorHAnsi"/>
          <w:bCs/>
          <w:spacing w:val="-2"/>
        </w:rPr>
        <w:t xml:space="preserve">erms of </w:t>
      </w:r>
      <w:r w:rsidR="006111C2" w:rsidRPr="00414A52">
        <w:rPr>
          <w:rFonts w:asciiTheme="minorHAnsi" w:hAnsiTheme="minorHAnsi" w:cstheme="minorHAnsi"/>
          <w:bCs/>
          <w:spacing w:val="-2"/>
        </w:rPr>
        <w:t>r</w:t>
      </w:r>
      <w:r w:rsidRPr="00414A52">
        <w:rPr>
          <w:rFonts w:asciiTheme="minorHAnsi" w:hAnsiTheme="minorHAnsi" w:cstheme="minorHAnsi"/>
          <w:bCs/>
          <w:spacing w:val="-2"/>
        </w:rPr>
        <w:t>eference of the Group</w:t>
      </w:r>
    </w:p>
    <w:p w14:paraId="777A92F7" w14:textId="77777777" w:rsidR="003C59CE" w:rsidRPr="004964A4" w:rsidRDefault="003C59CE" w:rsidP="004964A4">
      <w:pPr>
        <w:keepNext/>
        <w:spacing w:after="0" w:line="240" w:lineRule="auto"/>
        <w:contextualSpacing/>
        <w:rPr>
          <w:rFonts w:asciiTheme="minorHAnsi" w:hAnsiTheme="minorHAnsi" w:cstheme="minorHAnsi"/>
          <w:bCs/>
        </w:rPr>
      </w:pPr>
    </w:p>
    <w:p w14:paraId="34650398" w14:textId="55F69E28" w:rsidR="003C59CE" w:rsidRPr="004964A4" w:rsidRDefault="003C59CE"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Working Group will present the report on the progress of </w:t>
      </w:r>
      <w:r w:rsidR="006111C2" w:rsidRPr="004964A4">
        <w:rPr>
          <w:rFonts w:asciiTheme="minorHAnsi" w:hAnsiTheme="minorHAnsi" w:cstheme="minorHAnsi"/>
          <w:bCs/>
        </w:rPr>
        <w:t xml:space="preserve">its </w:t>
      </w:r>
      <w:r w:rsidRPr="004964A4">
        <w:rPr>
          <w:rFonts w:asciiTheme="minorHAnsi" w:hAnsiTheme="minorHAnsi" w:cstheme="minorHAnsi"/>
          <w:bCs/>
        </w:rPr>
        <w:t xml:space="preserve">activities and the </w:t>
      </w:r>
      <w:r w:rsidR="006111C2" w:rsidRPr="004964A4">
        <w:rPr>
          <w:rFonts w:asciiTheme="minorHAnsi" w:hAnsiTheme="minorHAnsi" w:cstheme="minorHAnsi"/>
          <w:bCs/>
        </w:rPr>
        <w:t xml:space="preserve">terms of reference </w:t>
      </w:r>
      <w:r w:rsidRPr="004964A4">
        <w:rPr>
          <w:rFonts w:asciiTheme="minorHAnsi" w:hAnsiTheme="minorHAnsi" w:cstheme="minorHAnsi"/>
          <w:bCs/>
        </w:rPr>
        <w:t>of the Group for Standing Committee consideration and approval</w:t>
      </w:r>
      <w:r w:rsidR="00180022" w:rsidRPr="004964A4">
        <w:rPr>
          <w:rFonts w:asciiTheme="minorHAnsi" w:hAnsiTheme="minorHAnsi" w:cstheme="minorHAnsi"/>
          <w:bCs/>
        </w:rPr>
        <w:t xml:space="preserve"> (SC57 Doc</w:t>
      </w:r>
      <w:r w:rsidR="006111C2" w:rsidRPr="004964A4">
        <w:rPr>
          <w:rFonts w:asciiTheme="minorHAnsi" w:hAnsiTheme="minorHAnsi" w:cstheme="minorHAnsi"/>
          <w:bCs/>
        </w:rPr>
        <w:t>.</w:t>
      </w:r>
      <w:r w:rsidR="00180022" w:rsidRPr="004964A4">
        <w:rPr>
          <w:rFonts w:asciiTheme="minorHAnsi" w:hAnsiTheme="minorHAnsi" w:cstheme="minorHAnsi"/>
          <w:bCs/>
        </w:rPr>
        <w:t>10)</w:t>
      </w:r>
      <w:r w:rsidRPr="004964A4">
        <w:rPr>
          <w:rFonts w:asciiTheme="minorHAnsi" w:hAnsiTheme="minorHAnsi" w:cstheme="minorHAnsi"/>
          <w:bCs/>
        </w:rPr>
        <w:t>.</w:t>
      </w:r>
    </w:p>
    <w:p w14:paraId="093BE022" w14:textId="77777777" w:rsidR="003C59CE" w:rsidRPr="004964A4" w:rsidRDefault="003C59CE" w:rsidP="004964A4">
      <w:pPr>
        <w:spacing w:after="0" w:line="240" w:lineRule="auto"/>
        <w:contextualSpacing/>
        <w:rPr>
          <w:rFonts w:asciiTheme="minorHAnsi" w:hAnsiTheme="minorHAnsi" w:cstheme="minorHAnsi"/>
          <w:bCs/>
        </w:rPr>
      </w:pPr>
    </w:p>
    <w:p w14:paraId="49E98594" w14:textId="77777777" w:rsidR="00180022" w:rsidRPr="004964A4" w:rsidRDefault="0018002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11.</w:t>
      </w:r>
      <w:r w:rsidRPr="004964A4">
        <w:rPr>
          <w:rFonts w:asciiTheme="minorHAnsi" w:hAnsiTheme="minorHAnsi" w:cstheme="minorHAnsi"/>
          <w:bCs/>
        </w:rPr>
        <w:tab/>
        <w:t>Final reports of the Chairs of retired working groups</w:t>
      </w:r>
    </w:p>
    <w:p w14:paraId="1EB651F0" w14:textId="77777777" w:rsidR="00180022" w:rsidRPr="004964A4" w:rsidRDefault="00180022" w:rsidP="004964A4">
      <w:pPr>
        <w:keepNext/>
        <w:spacing w:after="0" w:line="240" w:lineRule="auto"/>
        <w:ind w:left="567" w:hanging="567"/>
        <w:contextualSpacing/>
        <w:rPr>
          <w:rFonts w:asciiTheme="minorHAnsi" w:hAnsiTheme="minorHAnsi" w:cstheme="minorHAnsi"/>
          <w:bCs/>
        </w:rPr>
      </w:pPr>
    </w:p>
    <w:p w14:paraId="53722F7D" w14:textId="26D170B0" w:rsidR="00180022" w:rsidRPr="004964A4" w:rsidRDefault="00180022" w:rsidP="004964A4">
      <w:pPr>
        <w:spacing w:after="0" w:line="240" w:lineRule="auto"/>
        <w:contextualSpacing/>
        <w:rPr>
          <w:rFonts w:asciiTheme="minorHAnsi" w:hAnsiTheme="minorHAnsi" w:cstheme="minorHAnsi"/>
          <w:bCs/>
        </w:rPr>
      </w:pPr>
      <w:r w:rsidRPr="004964A4">
        <w:rPr>
          <w:rFonts w:asciiTheme="minorHAnsi" w:hAnsiTheme="minorHAnsi" w:cstheme="minorHAnsi"/>
          <w:bCs/>
        </w:rPr>
        <w:t>In paragraph 10 of Resolution XIII.3</w:t>
      </w:r>
      <w:r w:rsidR="006111C2" w:rsidRPr="004964A4">
        <w:rPr>
          <w:rFonts w:asciiTheme="minorHAnsi" w:hAnsiTheme="minorHAnsi" w:cstheme="minorHAnsi"/>
          <w:bCs/>
        </w:rPr>
        <w:t xml:space="preserve"> on</w:t>
      </w:r>
      <w:r w:rsidRPr="004964A4">
        <w:rPr>
          <w:rFonts w:asciiTheme="minorHAnsi" w:hAnsiTheme="minorHAnsi" w:cstheme="minorHAnsi"/>
          <w:bCs/>
        </w:rPr>
        <w:t xml:space="preserve"> </w:t>
      </w:r>
      <w:r w:rsidRPr="004964A4">
        <w:rPr>
          <w:rFonts w:asciiTheme="minorHAnsi" w:hAnsiTheme="minorHAnsi" w:cstheme="minorHAnsi"/>
          <w:bCs/>
          <w:i/>
        </w:rPr>
        <w:t>Governance of the Convention</w:t>
      </w:r>
      <w:r w:rsidRPr="004964A4">
        <w:rPr>
          <w:rFonts w:asciiTheme="minorHAnsi" w:hAnsiTheme="minorHAnsi" w:cstheme="minorHAnsi"/>
          <w:bCs/>
        </w:rPr>
        <w:t xml:space="preserve">, the Chairs of the retired working </w:t>
      </w:r>
      <w:r w:rsidR="006111C2" w:rsidRPr="004964A4">
        <w:rPr>
          <w:rFonts w:asciiTheme="minorHAnsi" w:hAnsiTheme="minorHAnsi" w:cstheme="minorHAnsi"/>
          <w:bCs/>
        </w:rPr>
        <w:t xml:space="preserve">groups </w:t>
      </w:r>
      <w:r w:rsidRPr="004964A4">
        <w:rPr>
          <w:rFonts w:asciiTheme="minorHAnsi" w:hAnsiTheme="minorHAnsi" w:cstheme="minorHAnsi"/>
        </w:rPr>
        <w:t>listed in Annex 1 of the Resolution were invited to provide to the Standing Committee the final report on the outcome of their work</w:t>
      </w:r>
      <w:r w:rsidR="006111C2" w:rsidRPr="004964A4">
        <w:rPr>
          <w:rFonts w:asciiTheme="minorHAnsi" w:hAnsiTheme="minorHAnsi" w:cstheme="minorHAnsi"/>
        </w:rPr>
        <w:t>,</w:t>
      </w:r>
      <w:r w:rsidRPr="004964A4">
        <w:rPr>
          <w:rFonts w:asciiTheme="minorHAnsi" w:hAnsiTheme="minorHAnsi" w:cstheme="minorHAnsi"/>
        </w:rPr>
        <w:t xml:space="preserve"> to be posted on the Convention website by the 57th meeting of the Standing Committee</w:t>
      </w:r>
      <w:r w:rsidR="00302DF1">
        <w:rPr>
          <w:rFonts w:asciiTheme="minorHAnsi" w:hAnsiTheme="minorHAnsi" w:cstheme="minorHAnsi"/>
        </w:rPr>
        <w:t xml:space="preserve"> (SC57)</w:t>
      </w:r>
      <w:r w:rsidRPr="004964A4">
        <w:rPr>
          <w:rFonts w:asciiTheme="minorHAnsi" w:hAnsiTheme="minorHAnsi" w:cstheme="minorHAnsi"/>
        </w:rPr>
        <w:t>.</w:t>
      </w:r>
      <w:r w:rsidR="00A12002" w:rsidRPr="004964A4">
        <w:rPr>
          <w:rFonts w:asciiTheme="minorHAnsi" w:hAnsiTheme="minorHAnsi" w:cstheme="minorHAnsi"/>
        </w:rPr>
        <w:t xml:space="preserve"> </w:t>
      </w:r>
      <w:r w:rsidRPr="004964A4">
        <w:rPr>
          <w:rFonts w:asciiTheme="minorHAnsi" w:hAnsiTheme="minorHAnsi" w:cstheme="minorHAnsi"/>
          <w:bCs/>
        </w:rPr>
        <w:t>Consequently, all reports are provided in items 11.1 to 11.6:</w:t>
      </w:r>
    </w:p>
    <w:p w14:paraId="5E94BD4D" w14:textId="77777777" w:rsidR="00180022" w:rsidRPr="004964A4" w:rsidRDefault="00180022" w:rsidP="004964A4">
      <w:pPr>
        <w:spacing w:after="0" w:line="240" w:lineRule="auto"/>
        <w:contextualSpacing/>
        <w:rPr>
          <w:rFonts w:asciiTheme="minorHAnsi" w:hAnsiTheme="minorHAnsi" w:cstheme="minorHAnsi"/>
          <w:bCs/>
        </w:rPr>
      </w:pPr>
    </w:p>
    <w:p w14:paraId="0B2F2C96" w14:textId="47553FE1" w:rsidR="00180022" w:rsidRPr="004964A4" w:rsidRDefault="00180022" w:rsidP="00EF3A11">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11.1</w:t>
      </w:r>
      <w:r w:rsidRPr="004964A4">
        <w:rPr>
          <w:rFonts w:asciiTheme="minorHAnsi" w:hAnsiTheme="minorHAnsi" w:cstheme="minorHAnsi"/>
          <w:bCs/>
        </w:rPr>
        <w:tab/>
      </w:r>
      <w:r w:rsidRPr="004964A4">
        <w:rPr>
          <w:rFonts w:asciiTheme="minorHAnsi" w:hAnsiTheme="minorHAnsi" w:cstheme="minorHAnsi"/>
        </w:rPr>
        <w:t>Transition Committee</w:t>
      </w:r>
      <w:r w:rsidR="00C8359F" w:rsidRPr="004964A4">
        <w:rPr>
          <w:rFonts w:asciiTheme="minorHAnsi" w:hAnsiTheme="minorHAnsi" w:cstheme="minorHAnsi"/>
        </w:rPr>
        <w:t xml:space="preserve"> (SC57 Doc.11.1)</w:t>
      </w:r>
    </w:p>
    <w:p w14:paraId="2BCE2267" w14:textId="0F28BF1C" w:rsidR="00180022" w:rsidRPr="004964A4" w:rsidRDefault="00180022" w:rsidP="00EF3A11">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11.2</w:t>
      </w:r>
      <w:r w:rsidRPr="004964A4">
        <w:rPr>
          <w:rFonts w:asciiTheme="minorHAnsi" w:hAnsiTheme="minorHAnsi" w:cstheme="minorHAnsi"/>
          <w:bCs/>
        </w:rPr>
        <w:tab/>
      </w:r>
      <w:r w:rsidRPr="004964A4">
        <w:rPr>
          <w:rFonts w:asciiTheme="minorHAnsi" w:hAnsiTheme="minorHAnsi" w:cstheme="minorHAnsi"/>
        </w:rPr>
        <w:t>Resource Mobilization Working Group</w:t>
      </w:r>
      <w:r w:rsidR="00C8359F" w:rsidRPr="004964A4">
        <w:rPr>
          <w:rFonts w:asciiTheme="minorHAnsi" w:hAnsiTheme="minorHAnsi" w:cstheme="minorHAnsi"/>
        </w:rPr>
        <w:t xml:space="preserve"> (SC57 Doc.11.2)</w:t>
      </w:r>
    </w:p>
    <w:p w14:paraId="1E0A8DD4" w14:textId="011DFEB3" w:rsidR="00180022" w:rsidRPr="004964A4" w:rsidRDefault="00180022" w:rsidP="00EF3A11">
      <w:pPr>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t>11.3</w:t>
      </w:r>
      <w:r w:rsidRPr="004964A4">
        <w:rPr>
          <w:rFonts w:asciiTheme="minorHAnsi" w:hAnsiTheme="minorHAnsi" w:cstheme="minorHAnsi"/>
          <w:bCs/>
        </w:rPr>
        <w:tab/>
        <w:t>Working Group on CEPA Implementation</w:t>
      </w:r>
      <w:r w:rsidR="00C8359F" w:rsidRPr="004964A4">
        <w:rPr>
          <w:rFonts w:asciiTheme="minorHAnsi" w:hAnsiTheme="minorHAnsi" w:cstheme="minorHAnsi"/>
          <w:bCs/>
        </w:rPr>
        <w:t xml:space="preserve"> (</w:t>
      </w:r>
      <w:r w:rsidR="00C8359F" w:rsidRPr="004964A4">
        <w:rPr>
          <w:rFonts w:asciiTheme="minorHAnsi" w:hAnsiTheme="minorHAnsi" w:cstheme="minorHAnsi"/>
        </w:rPr>
        <w:t>SC57 Doc.11.3)</w:t>
      </w:r>
    </w:p>
    <w:p w14:paraId="15EFD1A3" w14:textId="26A12808" w:rsidR="00180022" w:rsidRPr="004964A4" w:rsidRDefault="00180022" w:rsidP="00EF3A11">
      <w:pPr>
        <w:spacing w:after="0" w:line="240" w:lineRule="auto"/>
        <w:ind w:left="1134" w:hanging="567"/>
        <w:contextualSpacing/>
        <w:rPr>
          <w:rFonts w:asciiTheme="minorHAnsi" w:hAnsiTheme="minorHAnsi" w:cstheme="minorHAnsi"/>
        </w:rPr>
      </w:pPr>
      <w:r w:rsidRPr="004964A4">
        <w:rPr>
          <w:rFonts w:asciiTheme="minorHAnsi" w:hAnsiTheme="minorHAnsi" w:cstheme="minorHAnsi"/>
        </w:rPr>
        <w:t>11.4</w:t>
      </w:r>
      <w:r w:rsidRPr="004964A4">
        <w:rPr>
          <w:rFonts w:asciiTheme="minorHAnsi" w:hAnsiTheme="minorHAnsi" w:cstheme="minorHAnsi"/>
        </w:rPr>
        <w:tab/>
        <w:t>Facilitation Working Group</w:t>
      </w:r>
      <w:r w:rsidR="00C8359F" w:rsidRPr="004964A4">
        <w:rPr>
          <w:rFonts w:asciiTheme="minorHAnsi" w:hAnsiTheme="minorHAnsi" w:cstheme="minorHAnsi"/>
        </w:rPr>
        <w:t xml:space="preserve"> (SC57 Doc.11.4)</w:t>
      </w:r>
    </w:p>
    <w:p w14:paraId="2C4A28F7" w14:textId="3A951976" w:rsidR="00180022" w:rsidRPr="004964A4" w:rsidRDefault="00180022" w:rsidP="00EF3A11">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rPr>
        <w:t>11.5</w:t>
      </w:r>
      <w:r w:rsidRPr="004964A4">
        <w:rPr>
          <w:rFonts w:asciiTheme="minorHAnsi" w:hAnsiTheme="minorHAnsi" w:cstheme="minorHAnsi"/>
        </w:rPr>
        <w:tab/>
        <w:t xml:space="preserve">Language Strategy Working Group </w:t>
      </w:r>
      <w:r w:rsidR="00C8359F" w:rsidRPr="004964A4">
        <w:rPr>
          <w:rFonts w:asciiTheme="minorHAnsi" w:hAnsiTheme="minorHAnsi" w:cstheme="minorHAnsi"/>
        </w:rPr>
        <w:t>(SC57 Doc.11.5)</w:t>
      </w:r>
    </w:p>
    <w:p w14:paraId="341261E6" w14:textId="2ADEBCAF" w:rsidR="00180022" w:rsidRPr="004964A4" w:rsidRDefault="00180022" w:rsidP="00EF3A11">
      <w:pPr>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t>11.6</w:t>
      </w:r>
      <w:r w:rsidRPr="004964A4">
        <w:rPr>
          <w:rFonts w:asciiTheme="minorHAnsi" w:hAnsiTheme="minorHAnsi" w:cstheme="minorHAnsi"/>
          <w:bCs/>
        </w:rPr>
        <w:tab/>
      </w:r>
      <w:r w:rsidRPr="004964A4">
        <w:rPr>
          <w:rFonts w:asciiTheme="minorHAnsi" w:hAnsiTheme="minorHAnsi" w:cstheme="minorHAnsi"/>
        </w:rPr>
        <w:t>Staffing Working Group</w:t>
      </w:r>
      <w:r w:rsidR="00C8359F" w:rsidRPr="004964A4">
        <w:rPr>
          <w:rFonts w:asciiTheme="minorHAnsi" w:hAnsiTheme="minorHAnsi" w:cstheme="minorHAnsi"/>
        </w:rPr>
        <w:t xml:space="preserve"> (SC57 Doc.11.6)</w:t>
      </w:r>
    </w:p>
    <w:p w14:paraId="3DF95A9E" w14:textId="77777777" w:rsidR="00C8359F" w:rsidRPr="004964A4" w:rsidRDefault="00C8359F" w:rsidP="004964A4">
      <w:pPr>
        <w:spacing w:after="0" w:line="240" w:lineRule="auto"/>
        <w:ind w:left="1134" w:hanging="567"/>
        <w:contextualSpacing/>
        <w:rPr>
          <w:rFonts w:asciiTheme="minorHAnsi" w:hAnsiTheme="minorHAnsi" w:cstheme="minorHAnsi"/>
          <w:bCs/>
        </w:rPr>
      </w:pPr>
    </w:p>
    <w:p w14:paraId="73A79111" w14:textId="77777777" w:rsidR="00180022" w:rsidRPr="004964A4" w:rsidRDefault="0018002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12.</w:t>
      </w:r>
      <w:r w:rsidRPr="004964A4">
        <w:rPr>
          <w:rFonts w:asciiTheme="minorHAnsi" w:hAnsiTheme="minorHAnsi" w:cstheme="minorHAnsi"/>
          <w:bCs/>
        </w:rPr>
        <w:tab/>
        <w:t>Terms of reference of the Executive Team</w:t>
      </w:r>
    </w:p>
    <w:p w14:paraId="7E751C9A" w14:textId="77777777" w:rsidR="00180022" w:rsidRPr="004964A4" w:rsidRDefault="00180022" w:rsidP="004964A4">
      <w:pPr>
        <w:keepNext/>
        <w:spacing w:after="0" w:line="240" w:lineRule="auto"/>
        <w:ind w:left="567" w:hanging="567"/>
        <w:contextualSpacing/>
        <w:rPr>
          <w:rFonts w:asciiTheme="minorHAnsi" w:hAnsiTheme="minorHAnsi" w:cstheme="minorHAnsi"/>
          <w:bCs/>
        </w:rPr>
      </w:pPr>
    </w:p>
    <w:p w14:paraId="75FE40F6" w14:textId="56BC2B5C" w:rsidR="00180022" w:rsidRPr="004964A4" w:rsidRDefault="00180022" w:rsidP="004964A4">
      <w:pPr>
        <w:spacing w:after="0" w:line="240" w:lineRule="auto"/>
        <w:rPr>
          <w:rFonts w:asciiTheme="minorHAnsi" w:hAnsiTheme="minorHAnsi" w:cstheme="minorHAnsi"/>
        </w:rPr>
      </w:pPr>
      <w:r w:rsidRPr="004964A4">
        <w:rPr>
          <w:rFonts w:asciiTheme="minorHAnsi" w:hAnsiTheme="minorHAnsi" w:cstheme="minorHAnsi"/>
        </w:rPr>
        <w:t>At its 13th meeting (COP13</w:t>
      </w:r>
      <w:r w:rsidR="00A12002" w:rsidRPr="004964A4">
        <w:rPr>
          <w:rFonts w:asciiTheme="minorHAnsi" w:hAnsiTheme="minorHAnsi" w:cstheme="minorHAnsi"/>
        </w:rPr>
        <w:t>, Dubai, 2018</w:t>
      </w:r>
      <w:r w:rsidRPr="004964A4">
        <w:rPr>
          <w:rFonts w:asciiTheme="minorHAnsi" w:hAnsiTheme="minorHAnsi" w:cstheme="minorHAnsi"/>
        </w:rPr>
        <w:t xml:space="preserve">) the Conference of the Contracting Parties, through Resolution XIII.4 </w:t>
      </w:r>
      <w:r w:rsidR="007C4340" w:rsidRPr="004964A4">
        <w:rPr>
          <w:rFonts w:asciiTheme="minorHAnsi" w:hAnsiTheme="minorHAnsi" w:cstheme="minorHAnsi"/>
        </w:rPr>
        <w:t>on</w:t>
      </w:r>
      <w:r w:rsidR="003827F3" w:rsidRPr="004964A4">
        <w:rPr>
          <w:rFonts w:asciiTheme="minorHAnsi" w:eastAsia="Times New Roman" w:hAnsiTheme="minorHAnsi" w:cstheme="minorHAnsi"/>
          <w:bCs/>
          <w:i/>
        </w:rPr>
        <w:t xml:space="preserve"> </w:t>
      </w:r>
      <w:r w:rsidRPr="004964A4">
        <w:rPr>
          <w:rFonts w:asciiTheme="minorHAnsi" w:eastAsia="Times New Roman" w:hAnsiTheme="minorHAnsi" w:cstheme="minorHAnsi"/>
          <w:bCs/>
          <w:i/>
        </w:rPr>
        <w:t>Responsibilities, roles and composition of the Standing Committee and regional categorization of countries under the Convention</w:t>
      </w:r>
      <w:r w:rsidRPr="004964A4">
        <w:rPr>
          <w:rFonts w:asciiTheme="minorHAnsi" w:eastAsia="Times New Roman" w:hAnsiTheme="minorHAnsi" w:cstheme="minorHAnsi"/>
          <w:bCs/>
        </w:rPr>
        <w:t xml:space="preserve">, </w:t>
      </w:r>
      <w:r w:rsidRPr="004964A4">
        <w:rPr>
          <w:rFonts w:asciiTheme="minorHAnsi" w:hAnsiTheme="minorHAnsi" w:cstheme="minorHAnsi"/>
        </w:rPr>
        <w:t xml:space="preserve">paragraph 16, requested the Executive Team to define its terms of reference for approval by the Standing Committee at </w:t>
      </w:r>
      <w:r w:rsidR="00A12002" w:rsidRPr="004964A4">
        <w:rPr>
          <w:rFonts w:asciiTheme="minorHAnsi" w:hAnsiTheme="minorHAnsi" w:cstheme="minorHAnsi"/>
        </w:rPr>
        <w:t>SC57</w:t>
      </w:r>
      <w:r w:rsidRPr="004964A4">
        <w:rPr>
          <w:rFonts w:asciiTheme="minorHAnsi" w:hAnsiTheme="minorHAnsi" w:cstheme="minorHAnsi"/>
        </w:rPr>
        <w:t>.</w:t>
      </w:r>
    </w:p>
    <w:p w14:paraId="360F1E78" w14:textId="77777777" w:rsidR="00180022" w:rsidRPr="004964A4" w:rsidRDefault="00180022" w:rsidP="004964A4">
      <w:pPr>
        <w:spacing w:after="0" w:line="240" w:lineRule="auto"/>
        <w:ind w:left="567" w:hanging="567"/>
        <w:contextualSpacing/>
        <w:rPr>
          <w:rFonts w:asciiTheme="minorHAnsi" w:hAnsiTheme="minorHAnsi" w:cstheme="minorHAnsi"/>
          <w:bCs/>
        </w:rPr>
      </w:pPr>
    </w:p>
    <w:p w14:paraId="7D10BA3B" w14:textId="665B2F9E" w:rsidR="00180022" w:rsidRPr="004964A4" w:rsidRDefault="00180022"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 will introduce </w:t>
      </w:r>
      <w:r w:rsidR="007C4340" w:rsidRPr="004964A4">
        <w:rPr>
          <w:rFonts w:asciiTheme="minorHAnsi" w:hAnsiTheme="minorHAnsi" w:cstheme="minorHAnsi"/>
          <w:bCs/>
        </w:rPr>
        <w:t xml:space="preserve">document </w:t>
      </w:r>
      <w:r w:rsidRPr="004964A4">
        <w:rPr>
          <w:rFonts w:asciiTheme="minorHAnsi" w:hAnsiTheme="minorHAnsi" w:cstheme="minorHAnsi"/>
          <w:bCs/>
        </w:rPr>
        <w:t>SC57 Doc.12 with the terms of reference of the Executive Team for Standing Committee consideration and approval.</w:t>
      </w:r>
      <w:r w:rsidR="00A12002" w:rsidRPr="004964A4">
        <w:rPr>
          <w:rFonts w:asciiTheme="minorHAnsi" w:hAnsiTheme="minorHAnsi" w:cstheme="minorHAnsi"/>
          <w:bCs/>
        </w:rPr>
        <w:t xml:space="preserve"> </w:t>
      </w:r>
    </w:p>
    <w:p w14:paraId="16187A76" w14:textId="56751150" w:rsidR="00180022" w:rsidRPr="004964A4" w:rsidRDefault="00180022" w:rsidP="004964A4">
      <w:pPr>
        <w:spacing w:after="0" w:line="240" w:lineRule="auto"/>
        <w:ind w:left="567" w:hanging="567"/>
        <w:contextualSpacing/>
        <w:rPr>
          <w:rFonts w:asciiTheme="minorHAnsi" w:hAnsiTheme="minorHAnsi" w:cstheme="minorHAnsi"/>
        </w:rPr>
      </w:pPr>
    </w:p>
    <w:p w14:paraId="7CB10CA6" w14:textId="7FA9BBB1" w:rsidR="00180022" w:rsidRPr="004964A4" w:rsidRDefault="0018002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13.</w:t>
      </w:r>
      <w:r w:rsidRPr="004964A4">
        <w:rPr>
          <w:rFonts w:asciiTheme="minorHAnsi" w:hAnsiTheme="minorHAnsi" w:cstheme="minorHAnsi"/>
          <w:bCs/>
        </w:rPr>
        <w:tab/>
        <w:t>Review of the Rules of Procedure</w:t>
      </w:r>
    </w:p>
    <w:p w14:paraId="2D926864" w14:textId="3F7107F4" w:rsidR="000C3DF2" w:rsidRPr="004964A4" w:rsidRDefault="000C3DF2" w:rsidP="004964A4">
      <w:pPr>
        <w:keepNext/>
        <w:spacing w:after="0" w:line="240" w:lineRule="auto"/>
        <w:ind w:left="567" w:hanging="567"/>
        <w:contextualSpacing/>
        <w:rPr>
          <w:rFonts w:asciiTheme="minorHAnsi" w:hAnsiTheme="minorHAnsi" w:cstheme="minorHAnsi"/>
          <w:bCs/>
        </w:rPr>
      </w:pPr>
    </w:p>
    <w:p w14:paraId="52AEE2A2" w14:textId="3CC091C1" w:rsidR="000C3DF2" w:rsidRPr="004964A4" w:rsidRDefault="000C3DF2" w:rsidP="004964A4">
      <w:pPr>
        <w:pStyle w:val="ColorfulList-Accent11"/>
        <w:spacing w:after="0" w:line="240" w:lineRule="auto"/>
        <w:ind w:left="0"/>
        <w:rPr>
          <w:rFonts w:asciiTheme="minorHAnsi" w:hAnsiTheme="minorHAnsi" w:cstheme="minorHAnsi"/>
          <w:color w:val="000000" w:themeColor="text1"/>
        </w:rPr>
      </w:pPr>
      <w:r w:rsidRPr="004964A4">
        <w:rPr>
          <w:rFonts w:asciiTheme="minorHAnsi" w:hAnsiTheme="minorHAnsi" w:cstheme="minorHAnsi"/>
          <w:bCs/>
        </w:rPr>
        <w:t>The Secretariat will introduce</w:t>
      </w:r>
      <w:r w:rsidR="00A12002" w:rsidRPr="004964A4">
        <w:rPr>
          <w:rFonts w:asciiTheme="minorHAnsi" w:hAnsiTheme="minorHAnsi" w:cstheme="minorHAnsi"/>
          <w:bCs/>
        </w:rPr>
        <w:t xml:space="preserve"> document</w:t>
      </w:r>
      <w:r w:rsidRPr="004964A4">
        <w:rPr>
          <w:rFonts w:asciiTheme="minorHAnsi" w:hAnsiTheme="minorHAnsi" w:cstheme="minorHAnsi"/>
          <w:bCs/>
        </w:rPr>
        <w:t xml:space="preserve"> SC57 Doc.13 </w:t>
      </w:r>
      <w:r w:rsidRPr="004964A4">
        <w:rPr>
          <w:rFonts w:asciiTheme="minorHAnsi" w:hAnsiTheme="minorHAnsi" w:cstheme="minorHAnsi"/>
          <w:bCs/>
          <w:i/>
        </w:rPr>
        <w:t>Review of the Rules of Procedure</w:t>
      </w:r>
      <w:r w:rsidRPr="004964A4">
        <w:rPr>
          <w:rFonts w:asciiTheme="minorHAnsi" w:hAnsiTheme="minorHAnsi" w:cstheme="minorHAnsi"/>
          <w:bCs/>
        </w:rPr>
        <w:t>.</w:t>
      </w:r>
      <w:r w:rsidR="00A12002" w:rsidRPr="004964A4">
        <w:rPr>
          <w:rFonts w:asciiTheme="minorHAnsi" w:hAnsiTheme="minorHAnsi" w:cstheme="minorHAnsi"/>
          <w:bCs/>
        </w:rPr>
        <w:t xml:space="preserve"> </w:t>
      </w:r>
      <w:r w:rsidRPr="004964A4">
        <w:rPr>
          <w:rFonts w:asciiTheme="minorHAnsi" w:hAnsiTheme="minorHAnsi" w:cstheme="minorHAnsi"/>
          <w:bCs/>
        </w:rPr>
        <w:t>The Standing Committee is invited to</w:t>
      </w:r>
      <w:r w:rsidRPr="004964A4">
        <w:rPr>
          <w:rFonts w:asciiTheme="minorHAnsi" w:hAnsiTheme="minorHAnsi" w:cstheme="minorHAnsi"/>
          <w:color w:val="000000" w:themeColor="text1"/>
        </w:rPr>
        <w:t xml:space="preserve"> request the Secretariat – on the basis of the input provided at SC57, and with additional input from interested Parties – to prepare revised Rules of Procedure for the Conference of the Parties and new Rules for the Standing Committee (to apply </w:t>
      </w:r>
      <w:r w:rsidRPr="004964A4">
        <w:rPr>
          <w:rFonts w:asciiTheme="minorHAnsi" w:hAnsiTheme="minorHAnsi" w:cstheme="minorHAnsi"/>
          <w:i/>
          <w:color w:val="000000" w:themeColor="text1"/>
        </w:rPr>
        <w:t>mutatis mutandis</w:t>
      </w:r>
      <w:r w:rsidRPr="004964A4">
        <w:rPr>
          <w:rFonts w:asciiTheme="minorHAnsi" w:hAnsiTheme="minorHAnsi" w:cstheme="minorHAnsi"/>
          <w:color w:val="000000" w:themeColor="text1"/>
        </w:rPr>
        <w:t xml:space="preserve"> to other subsidiary bodies) for consideration at SC58.</w:t>
      </w:r>
    </w:p>
    <w:p w14:paraId="1126E99A" w14:textId="658DD35C" w:rsidR="000C3DF2" w:rsidRPr="004964A4" w:rsidRDefault="000C3DF2" w:rsidP="004964A4">
      <w:pPr>
        <w:pStyle w:val="ColorfulList-Accent11"/>
        <w:spacing w:after="0" w:line="240" w:lineRule="auto"/>
        <w:ind w:left="0"/>
        <w:rPr>
          <w:rFonts w:asciiTheme="minorHAnsi" w:hAnsiTheme="minorHAnsi" w:cstheme="minorHAnsi"/>
          <w:color w:val="000000" w:themeColor="text1"/>
        </w:rPr>
      </w:pPr>
    </w:p>
    <w:p w14:paraId="0603B6C7" w14:textId="77777777" w:rsidR="000C3DF2" w:rsidRPr="004964A4" w:rsidRDefault="000C3DF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14.</w:t>
      </w:r>
      <w:r w:rsidRPr="004964A4">
        <w:rPr>
          <w:rFonts w:asciiTheme="minorHAnsi" w:hAnsiTheme="minorHAnsi" w:cstheme="minorHAnsi"/>
          <w:bCs/>
        </w:rPr>
        <w:tab/>
        <w:t>Review of all previous Resolutions and decisions</w:t>
      </w:r>
    </w:p>
    <w:p w14:paraId="5787948F" w14:textId="77777777" w:rsidR="000C3DF2" w:rsidRPr="004964A4" w:rsidRDefault="000C3DF2" w:rsidP="004964A4">
      <w:pPr>
        <w:keepNext/>
        <w:spacing w:after="0" w:line="240" w:lineRule="auto"/>
        <w:ind w:left="567" w:hanging="567"/>
        <w:contextualSpacing/>
        <w:rPr>
          <w:rFonts w:asciiTheme="minorHAnsi" w:hAnsiTheme="minorHAnsi" w:cstheme="minorHAnsi"/>
          <w:bCs/>
        </w:rPr>
      </w:pPr>
    </w:p>
    <w:p w14:paraId="1FBB462F" w14:textId="68EBD231" w:rsidR="000C3DF2" w:rsidRPr="004964A4" w:rsidRDefault="001E6EED" w:rsidP="004964A4">
      <w:pPr>
        <w:spacing w:after="0" w:line="240" w:lineRule="auto"/>
        <w:rPr>
          <w:rFonts w:asciiTheme="minorHAnsi" w:hAnsiTheme="minorHAnsi" w:cstheme="minorHAnsi"/>
          <w:bCs/>
        </w:rPr>
      </w:pPr>
      <w:r w:rsidRPr="004964A4">
        <w:rPr>
          <w:rFonts w:asciiTheme="minorHAnsi" w:hAnsiTheme="minorHAnsi" w:cstheme="minorHAnsi"/>
        </w:rPr>
        <w:t xml:space="preserve">At </w:t>
      </w:r>
      <w:r w:rsidR="00302DF1">
        <w:rPr>
          <w:rFonts w:asciiTheme="minorHAnsi" w:hAnsiTheme="minorHAnsi" w:cstheme="minorHAnsi"/>
        </w:rPr>
        <w:t>COP13</w:t>
      </w:r>
      <w:r w:rsidRPr="004964A4">
        <w:rPr>
          <w:rFonts w:asciiTheme="minorHAnsi" w:hAnsiTheme="minorHAnsi" w:cstheme="minorHAnsi"/>
        </w:rPr>
        <w:t xml:space="preserve">, the Conference of the Contracting Parties adopted Resolution XIII.4 on </w:t>
      </w:r>
      <w:r w:rsidRPr="004964A4">
        <w:rPr>
          <w:rFonts w:asciiTheme="minorHAnsi" w:hAnsiTheme="minorHAnsi" w:cstheme="minorHAnsi"/>
          <w:i/>
        </w:rPr>
        <w:t>Responsibilities, roles and composition of the Standing Committee and regional categorization of countries under the Convention</w:t>
      </w:r>
      <w:r w:rsidRPr="004964A4">
        <w:rPr>
          <w:rFonts w:asciiTheme="minorHAnsi" w:hAnsiTheme="minorHAnsi" w:cstheme="minorHAnsi"/>
        </w:rPr>
        <w:t xml:space="preserve">, which includes in paragraphs 24 and 25 specific requests related to the review of previous </w:t>
      </w:r>
      <w:r w:rsidR="004964A4" w:rsidRPr="004964A4">
        <w:rPr>
          <w:rFonts w:asciiTheme="minorHAnsi" w:hAnsiTheme="minorHAnsi" w:cstheme="minorHAnsi"/>
        </w:rPr>
        <w:t>R</w:t>
      </w:r>
      <w:r w:rsidRPr="004964A4">
        <w:rPr>
          <w:rFonts w:asciiTheme="minorHAnsi" w:hAnsiTheme="minorHAnsi" w:cstheme="minorHAnsi"/>
        </w:rPr>
        <w:t xml:space="preserve">esolutions and decisions. </w:t>
      </w:r>
      <w:r w:rsidRPr="004964A4">
        <w:rPr>
          <w:rFonts w:asciiTheme="minorHAnsi" w:hAnsiTheme="minorHAnsi" w:cstheme="minorHAnsi"/>
          <w:bCs/>
        </w:rPr>
        <w:t xml:space="preserve">The Secretariat will introduce </w:t>
      </w:r>
      <w:r w:rsidR="004964A4" w:rsidRPr="004964A4">
        <w:rPr>
          <w:rFonts w:asciiTheme="minorHAnsi" w:hAnsiTheme="minorHAnsi" w:cstheme="minorHAnsi"/>
          <w:bCs/>
        </w:rPr>
        <w:t xml:space="preserve">document </w:t>
      </w:r>
      <w:r w:rsidRPr="004964A4">
        <w:rPr>
          <w:rFonts w:asciiTheme="minorHAnsi" w:hAnsiTheme="minorHAnsi" w:cstheme="minorHAnsi"/>
          <w:bCs/>
        </w:rPr>
        <w:t xml:space="preserve">SC57 Doc.14 </w:t>
      </w:r>
      <w:r w:rsidRPr="004964A4">
        <w:rPr>
          <w:rFonts w:asciiTheme="minorHAnsi" w:hAnsiTheme="minorHAnsi" w:cstheme="minorHAnsi"/>
          <w:bCs/>
          <w:i/>
        </w:rPr>
        <w:t xml:space="preserve">Review of all previous Resolutions and </w:t>
      </w:r>
      <w:r w:rsidR="004964A4" w:rsidRPr="004964A4">
        <w:rPr>
          <w:rFonts w:asciiTheme="minorHAnsi" w:hAnsiTheme="minorHAnsi" w:cstheme="minorHAnsi"/>
          <w:bCs/>
          <w:i/>
        </w:rPr>
        <w:t>d</w:t>
      </w:r>
      <w:r w:rsidRPr="004964A4">
        <w:rPr>
          <w:rFonts w:asciiTheme="minorHAnsi" w:hAnsiTheme="minorHAnsi" w:cstheme="minorHAnsi"/>
          <w:bCs/>
          <w:i/>
        </w:rPr>
        <w:t>ecisions</w:t>
      </w:r>
      <w:r w:rsidRPr="004964A4">
        <w:rPr>
          <w:rFonts w:asciiTheme="minorHAnsi" w:hAnsiTheme="minorHAnsi" w:cstheme="minorHAnsi"/>
          <w:bCs/>
        </w:rPr>
        <w:t xml:space="preserve"> for Standing Committee consideration. </w:t>
      </w:r>
    </w:p>
    <w:p w14:paraId="5BC75FD3" w14:textId="12D757DB" w:rsidR="00180022" w:rsidRPr="004964A4" w:rsidRDefault="00180022" w:rsidP="004964A4">
      <w:pPr>
        <w:spacing w:after="0" w:line="240" w:lineRule="auto"/>
        <w:ind w:left="567" w:hanging="567"/>
        <w:contextualSpacing/>
        <w:rPr>
          <w:rFonts w:asciiTheme="minorHAnsi" w:hAnsiTheme="minorHAnsi" w:cstheme="minorHAnsi"/>
        </w:rPr>
      </w:pPr>
    </w:p>
    <w:p w14:paraId="7FDF9A56" w14:textId="77777777" w:rsidR="002845F1" w:rsidRPr="004964A4" w:rsidRDefault="002845F1"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15.</w:t>
      </w:r>
      <w:r w:rsidRPr="004964A4">
        <w:rPr>
          <w:rFonts w:asciiTheme="minorHAnsi" w:hAnsiTheme="minorHAnsi" w:cstheme="minorHAnsi"/>
          <w:bCs/>
        </w:rPr>
        <w:tab/>
      </w:r>
      <w:r w:rsidRPr="004964A4">
        <w:rPr>
          <w:rFonts w:asciiTheme="minorHAnsi" w:hAnsiTheme="minorHAnsi" w:cstheme="minorHAnsi"/>
        </w:rPr>
        <w:t>Communication, capacity building, education, participation and awareness (CEPA)</w:t>
      </w:r>
    </w:p>
    <w:p w14:paraId="4030D2D3" w14:textId="77777777" w:rsidR="002845F1" w:rsidRPr="004964A4" w:rsidRDefault="002845F1" w:rsidP="004964A4">
      <w:pPr>
        <w:keepNext/>
        <w:spacing w:after="0" w:line="240" w:lineRule="auto"/>
        <w:ind w:left="567" w:hanging="567"/>
        <w:contextualSpacing/>
        <w:rPr>
          <w:rFonts w:asciiTheme="minorHAnsi" w:hAnsiTheme="minorHAnsi" w:cstheme="minorHAnsi"/>
        </w:rPr>
      </w:pPr>
    </w:p>
    <w:p w14:paraId="2C14AC9D" w14:textId="77777777" w:rsidR="002845F1" w:rsidRPr="004964A4" w:rsidRDefault="002845F1" w:rsidP="004964A4">
      <w:pPr>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t>15.1</w:t>
      </w:r>
      <w:r w:rsidRPr="004964A4">
        <w:rPr>
          <w:rFonts w:asciiTheme="minorHAnsi" w:hAnsiTheme="minorHAnsi" w:cstheme="minorHAnsi"/>
          <w:bCs/>
        </w:rPr>
        <w:tab/>
      </w:r>
      <w:r w:rsidRPr="004964A4">
        <w:rPr>
          <w:rFonts w:asciiTheme="minorHAnsi" w:hAnsiTheme="minorHAnsi" w:cstheme="minorHAnsi"/>
        </w:rPr>
        <w:t>Establishment of the CEPA Oversight Panel</w:t>
      </w:r>
    </w:p>
    <w:p w14:paraId="302ED336" w14:textId="39EB8143" w:rsidR="002845F1" w:rsidRPr="004964A4" w:rsidRDefault="002845F1" w:rsidP="004964A4">
      <w:pPr>
        <w:spacing w:after="0" w:line="240" w:lineRule="auto"/>
        <w:ind w:left="567"/>
        <w:contextualSpacing/>
        <w:rPr>
          <w:rFonts w:asciiTheme="minorHAnsi" w:hAnsiTheme="minorHAnsi" w:cstheme="minorHAnsi"/>
          <w:bCs/>
        </w:rPr>
      </w:pPr>
      <w:r w:rsidRPr="004964A4">
        <w:rPr>
          <w:rFonts w:asciiTheme="minorHAnsi" w:hAnsiTheme="minorHAnsi" w:cstheme="minorHAnsi"/>
        </w:rPr>
        <w:t xml:space="preserve">(Proposal to assume the responsibilities assigned in Resolution XII.9 </w:t>
      </w:r>
      <w:r w:rsidRPr="004964A4">
        <w:rPr>
          <w:rFonts w:asciiTheme="minorHAnsi" w:hAnsiTheme="minorHAnsi" w:cstheme="minorHAnsi"/>
          <w:i/>
        </w:rPr>
        <w:t>The Ramsar Convention´s CEPA Programme</w:t>
      </w:r>
      <w:r w:rsidRPr="004964A4">
        <w:rPr>
          <w:rFonts w:asciiTheme="minorHAnsi" w:hAnsiTheme="minorHAnsi" w:cstheme="minorHAnsi"/>
        </w:rPr>
        <w:t xml:space="preserve"> and in accordance with Decision SC50-08 tasked to the Working Group on CEPA Implementation to develop a new approach for supporting CEPA implementation: </w:t>
      </w:r>
      <w:r w:rsidRPr="004964A4">
        <w:rPr>
          <w:rFonts w:asciiTheme="minorHAnsi" w:hAnsiTheme="minorHAnsi" w:cstheme="minorHAnsi"/>
          <w:bCs/>
        </w:rPr>
        <w:t xml:space="preserve">paragraphs 25 and 26 of Resolution XIII.5 </w:t>
      </w:r>
      <w:r w:rsidRPr="004964A4">
        <w:rPr>
          <w:rFonts w:asciiTheme="minorHAnsi" w:hAnsiTheme="minorHAnsi" w:cstheme="minorHAnsi"/>
          <w:bCs/>
          <w:i/>
        </w:rPr>
        <w:t>Review of the fourth Strategic Plan of the Ramsar Convention</w:t>
      </w:r>
      <w:r w:rsidR="00302DF1">
        <w:rPr>
          <w:rFonts w:asciiTheme="minorHAnsi" w:hAnsiTheme="minorHAnsi" w:cstheme="minorHAnsi"/>
          <w:bCs/>
          <w:i/>
        </w:rPr>
        <w:t>.</w:t>
      </w:r>
      <w:r w:rsidRPr="004964A4">
        <w:rPr>
          <w:rFonts w:asciiTheme="minorHAnsi" w:hAnsiTheme="minorHAnsi" w:cstheme="minorHAnsi"/>
          <w:bCs/>
        </w:rPr>
        <w:t>)</w:t>
      </w:r>
    </w:p>
    <w:p w14:paraId="0F697FBC" w14:textId="77777777" w:rsidR="002845F1" w:rsidRPr="004964A4" w:rsidRDefault="002845F1" w:rsidP="004964A4">
      <w:pPr>
        <w:spacing w:after="0" w:line="240" w:lineRule="auto"/>
        <w:ind w:left="567"/>
        <w:contextualSpacing/>
        <w:rPr>
          <w:rFonts w:asciiTheme="minorHAnsi" w:hAnsiTheme="minorHAnsi" w:cstheme="minorHAnsi"/>
          <w:bCs/>
        </w:rPr>
      </w:pPr>
    </w:p>
    <w:p w14:paraId="5D55FCDA" w14:textId="3FF25457" w:rsidR="002845F1" w:rsidRPr="004964A4" w:rsidRDefault="002845F1"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CEPA Oversight Panel will request that the newly-formed Panel present to </w:t>
      </w:r>
      <w:r w:rsidR="00302DF1">
        <w:rPr>
          <w:rFonts w:asciiTheme="minorHAnsi" w:hAnsiTheme="minorHAnsi" w:cstheme="minorHAnsi"/>
          <w:bCs/>
        </w:rPr>
        <w:t xml:space="preserve">SC58 </w:t>
      </w:r>
      <w:r w:rsidRPr="004964A4">
        <w:rPr>
          <w:rFonts w:asciiTheme="minorHAnsi" w:hAnsiTheme="minorHAnsi" w:cstheme="minorHAnsi"/>
          <w:bCs/>
        </w:rPr>
        <w:t xml:space="preserve">its proposal to assume </w:t>
      </w:r>
      <w:r w:rsidRPr="004964A4">
        <w:rPr>
          <w:rFonts w:asciiTheme="minorHAnsi" w:hAnsiTheme="minorHAnsi" w:cstheme="minorHAnsi"/>
        </w:rPr>
        <w:t xml:space="preserve">the responsibilities assigned in Resolution XII.9 </w:t>
      </w:r>
      <w:r w:rsidRPr="004964A4">
        <w:rPr>
          <w:rFonts w:asciiTheme="minorHAnsi" w:hAnsiTheme="minorHAnsi" w:cstheme="minorHAnsi"/>
          <w:i/>
        </w:rPr>
        <w:t xml:space="preserve">The Ramsar Convention´s </w:t>
      </w:r>
      <w:r w:rsidR="004964A4" w:rsidRPr="004964A4">
        <w:rPr>
          <w:rFonts w:asciiTheme="minorHAnsi" w:hAnsiTheme="minorHAnsi" w:cstheme="minorHAnsi"/>
          <w:i/>
        </w:rPr>
        <w:t>Programme on communication, capacity building, education, participation and awareness (CEPA) 2016-2024</w:t>
      </w:r>
      <w:r w:rsidR="004964A4" w:rsidRPr="004964A4">
        <w:rPr>
          <w:rFonts w:asciiTheme="minorHAnsi" w:hAnsiTheme="minorHAnsi" w:cstheme="minorHAnsi"/>
        </w:rPr>
        <w:t xml:space="preserve"> </w:t>
      </w:r>
      <w:r w:rsidRPr="004964A4">
        <w:rPr>
          <w:rFonts w:asciiTheme="minorHAnsi" w:hAnsiTheme="minorHAnsi" w:cstheme="minorHAnsi"/>
        </w:rPr>
        <w:t>to develop a new approach for supporting CEPA implementation (SC57 Doc 15.1)</w:t>
      </w:r>
      <w:r w:rsidRPr="004964A4">
        <w:rPr>
          <w:rFonts w:asciiTheme="minorHAnsi" w:hAnsiTheme="minorHAnsi" w:cstheme="minorHAnsi"/>
          <w:bCs/>
        </w:rPr>
        <w:t xml:space="preserve"> </w:t>
      </w:r>
    </w:p>
    <w:p w14:paraId="46D221D1" w14:textId="77777777" w:rsidR="002845F1" w:rsidRPr="004964A4" w:rsidRDefault="002845F1" w:rsidP="004964A4">
      <w:pPr>
        <w:spacing w:after="0" w:line="240" w:lineRule="auto"/>
        <w:ind w:left="1134" w:hanging="567"/>
        <w:contextualSpacing/>
        <w:rPr>
          <w:rFonts w:asciiTheme="minorHAnsi" w:hAnsiTheme="minorHAnsi" w:cstheme="minorHAnsi"/>
        </w:rPr>
      </w:pPr>
    </w:p>
    <w:p w14:paraId="06683AFA" w14:textId="77777777" w:rsidR="002845F1" w:rsidRPr="004964A4" w:rsidRDefault="002845F1"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rPr>
        <w:t>15.2</w:t>
      </w:r>
      <w:r w:rsidRPr="004964A4">
        <w:rPr>
          <w:rFonts w:asciiTheme="minorHAnsi" w:hAnsiTheme="minorHAnsi" w:cstheme="minorHAnsi"/>
        </w:rPr>
        <w:tab/>
      </w:r>
      <w:r w:rsidRPr="004964A4">
        <w:rPr>
          <w:rFonts w:asciiTheme="minorHAnsi" w:hAnsiTheme="minorHAnsi" w:cstheme="minorHAnsi"/>
          <w:bCs/>
        </w:rPr>
        <w:t>Report of the Secretariat on World Wetlands Day</w:t>
      </w:r>
    </w:p>
    <w:p w14:paraId="67AB3972" w14:textId="77777777" w:rsidR="002845F1" w:rsidRPr="004964A4" w:rsidRDefault="002845F1" w:rsidP="004964A4">
      <w:pPr>
        <w:spacing w:after="0" w:line="240" w:lineRule="auto"/>
        <w:contextualSpacing/>
        <w:rPr>
          <w:rFonts w:asciiTheme="minorHAnsi" w:hAnsiTheme="minorHAnsi" w:cstheme="minorHAnsi"/>
          <w:bCs/>
        </w:rPr>
      </w:pPr>
    </w:p>
    <w:p w14:paraId="410B48B3" w14:textId="4A93512F" w:rsidR="002845F1" w:rsidRPr="004964A4" w:rsidRDefault="0027478E" w:rsidP="004964A4">
      <w:pPr>
        <w:pStyle w:val="Default"/>
        <w:rPr>
          <w:rFonts w:asciiTheme="minorHAnsi" w:hAnsiTheme="minorHAnsi" w:cstheme="minorHAnsi"/>
          <w:bCs/>
          <w:sz w:val="22"/>
          <w:szCs w:val="22"/>
        </w:rPr>
      </w:pPr>
      <w:r w:rsidRPr="004964A4">
        <w:rPr>
          <w:rFonts w:asciiTheme="minorHAnsi" w:hAnsiTheme="minorHAnsi" w:cstheme="minorHAnsi"/>
          <w:bCs/>
          <w:sz w:val="22"/>
          <w:szCs w:val="22"/>
        </w:rPr>
        <w:t>The Secretariat will present a verbal report on the activities undertaken for World Wetlands Day 2019. In addition</w:t>
      </w:r>
      <w:r w:rsidR="00DB1564" w:rsidRPr="004964A4">
        <w:rPr>
          <w:rFonts w:asciiTheme="minorHAnsi" w:hAnsiTheme="minorHAnsi" w:cstheme="minorHAnsi"/>
          <w:bCs/>
          <w:sz w:val="22"/>
          <w:szCs w:val="22"/>
        </w:rPr>
        <w:t>,</w:t>
      </w:r>
      <w:r w:rsidRPr="004964A4">
        <w:rPr>
          <w:rFonts w:asciiTheme="minorHAnsi" w:hAnsiTheme="minorHAnsi" w:cstheme="minorHAnsi"/>
          <w:bCs/>
          <w:sz w:val="22"/>
          <w:szCs w:val="22"/>
        </w:rPr>
        <w:t xml:space="preserve"> t</w:t>
      </w:r>
      <w:r w:rsidR="002845F1" w:rsidRPr="004964A4">
        <w:rPr>
          <w:rFonts w:asciiTheme="minorHAnsi" w:hAnsiTheme="minorHAnsi" w:cstheme="minorHAnsi"/>
          <w:bCs/>
          <w:sz w:val="22"/>
          <w:szCs w:val="22"/>
        </w:rPr>
        <w:t>he Secretariat will present the progress on the actions to implement</w:t>
      </w:r>
      <w:r w:rsidRPr="004964A4">
        <w:rPr>
          <w:rFonts w:asciiTheme="minorHAnsi" w:hAnsiTheme="minorHAnsi" w:cstheme="minorHAnsi"/>
          <w:bCs/>
          <w:sz w:val="22"/>
          <w:szCs w:val="22"/>
        </w:rPr>
        <w:t xml:space="preserve"> </w:t>
      </w:r>
      <w:r w:rsidR="002845F1" w:rsidRPr="004964A4">
        <w:rPr>
          <w:rFonts w:asciiTheme="minorHAnsi" w:hAnsiTheme="minorHAnsi" w:cstheme="minorHAnsi"/>
          <w:bCs/>
          <w:sz w:val="22"/>
          <w:szCs w:val="22"/>
        </w:rPr>
        <w:t xml:space="preserve">paragraph </w:t>
      </w:r>
      <w:r w:rsidR="004964A4">
        <w:rPr>
          <w:rFonts w:asciiTheme="minorHAnsi" w:hAnsiTheme="minorHAnsi" w:cstheme="minorHAnsi"/>
          <w:bCs/>
          <w:sz w:val="22"/>
          <w:szCs w:val="22"/>
        </w:rPr>
        <w:t xml:space="preserve">7 </w:t>
      </w:r>
      <w:r w:rsidR="002845F1" w:rsidRPr="004964A4">
        <w:rPr>
          <w:rFonts w:asciiTheme="minorHAnsi" w:hAnsiTheme="minorHAnsi" w:cstheme="minorHAnsi"/>
          <w:bCs/>
          <w:sz w:val="22"/>
          <w:szCs w:val="22"/>
        </w:rPr>
        <w:t xml:space="preserve">of Resolution XIII.1 </w:t>
      </w:r>
      <w:r w:rsidR="004964A4">
        <w:rPr>
          <w:rFonts w:asciiTheme="minorHAnsi" w:hAnsiTheme="minorHAnsi" w:cstheme="minorHAnsi"/>
          <w:bCs/>
          <w:sz w:val="22"/>
          <w:szCs w:val="22"/>
        </w:rPr>
        <w:t xml:space="preserve">on </w:t>
      </w:r>
      <w:r w:rsidR="002845F1" w:rsidRPr="004964A4">
        <w:rPr>
          <w:rFonts w:asciiTheme="minorHAnsi" w:hAnsiTheme="minorHAnsi" w:cstheme="minorHAnsi"/>
          <w:bCs/>
          <w:i/>
          <w:sz w:val="22"/>
          <w:szCs w:val="22"/>
        </w:rPr>
        <w:t>Wor</w:t>
      </w:r>
      <w:r w:rsidR="004964A4">
        <w:rPr>
          <w:rFonts w:asciiTheme="minorHAnsi" w:hAnsiTheme="minorHAnsi" w:cstheme="minorHAnsi"/>
          <w:bCs/>
          <w:i/>
          <w:sz w:val="22"/>
          <w:szCs w:val="22"/>
        </w:rPr>
        <w:t>l</w:t>
      </w:r>
      <w:r w:rsidR="002845F1" w:rsidRPr="004964A4">
        <w:rPr>
          <w:rFonts w:asciiTheme="minorHAnsi" w:hAnsiTheme="minorHAnsi" w:cstheme="minorHAnsi"/>
          <w:bCs/>
          <w:i/>
          <w:sz w:val="22"/>
          <w:szCs w:val="22"/>
        </w:rPr>
        <w:t>d Wetlands Day</w:t>
      </w:r>
      <w:r w:rsidR="004964A4" w:rsidRPr="004964A4">
        <w:rPr>
          <w:rFonts w:asciiTheme="minorHAnsi" w:hAnsiTheme="minorHAnsi" w:cstheme="minorHAnsi"/>
          <w:bCs/>
          <w:sz w:val="22"/>
          <w:szCs w:val="22"/>
        </w:rPr>
        <w:t>,</w:t>
      </w:r>
      <w:r w:rsidR="002845F1" w:rsidRPr="004964A4">
        <w:rPr>
          <w:rFonts w:asciiTheme="minorHAnsi" w:hAnsiTheme="minorHAnsi" w:cstheme="minorHAnsi"/>
          <w:bCs/>
          <w:sz w:val="22"/>
          <w:szCs w:val="22"/>
        </w:rPr>
        <w:t xml:space="preserve"> </w:t>
      </w:r>
      <w:r w:rsidR="004964A4">
        <w:rPr>
          <w:rFonts w:asciiTheme="minorHAnsi" w:hAnsiTheme="minorHAnsi" w:cstheme="minorHAnsi"/>
          <w:bCs/>
          <w:sz w:val="22"/>
          <w:szCs w:val="22"/>
        </w:rPr>
        <w:t xml:space="preserve">in which </w:t>
      </w:r>
      <w:r w:rsidR="004964A4" w:rsidRPr="004964A4">
        <w:rPr>
          <w:rFonts w:asciiTheme="minorHAnsi" w:hAnsiTheme="minorHAnsi" w:cstheme="minorHAnsi"/>
          <w:sz w:val="22"/>
          <w:szCs w:val="22"/>
        </w:rPr>
        <w:t xml:space="preserve">the Conference of the Contracting Parties </w:t>
      </w:r>
      <w:r w:rsidR="002845F1" w:rsidRPr="004964A4">
        <w:rPr>
          <w:rFonts w:asciiTheme="minorHAnsi" w:hAnsiTheme="minorHAnsi" w:cstheme="minorHAnsi"/>
          <w:bCs/>
          <w:sz w:val="22"/>
          <w:szCs w:val="22"/>
        </w:rPr>
        <w:t>“</w:t>
      </w:r>
      <w:r w:rsidR="004964A4">
        <w:rPr>
          <w:rFonts w:asciiTheme="minorHAnsi" w:hAnsiTheme="minorHAnsi" w:cstheme="minorHAnsi"/>
          <w:bCs/>
          <w:sz w:val="22"/>
          <w:szCs w:val="22"/>
        </w:rPr>
        <w:t xml:space="preserve">invites </w:t>
      </w:r>
      <w:r w:rsidR="002845F1" w:rsidRPr="004964A4">
        <w:rPr>
          <w:rFonts w:asciiTheme="minorHAnsi" w:hAnsiTheme="minorHAnsi" w:cstheme="minorHAnsi"/>
          <w:bCs/>
          <w:sz w:val="22"/>
          <w:szCs w:val="22"/>
        </w:rPr>
        <w:t xml:space="preserve">the United Nations General Assembly </w:t>
      </w:r>
      <w:r w:rsidR="002845F1" w:rsidRPr="004964A4">
        <w:rPr>
          <w:rFonts w:asciiTheme="minorHAnsi" w:hAnsiTheme="minorHAnsi" w:cstheme="minorHAnsi"/>
          <w:sz w:val="22"/>
          <w:szCs w:val="22"/>
        </w:rPr>
        <w:t>to recognize 2 February of each year, the date of adoption of the Convention on Wetlands, as World Wetlands Day”.</w:t>
      </w:r>
      <w:r w:rsidR="00A12002" w:rsidRPr="004964A4">
        <w:rPr>
          <w:rFonts w:asciiTheme="minorHAnsi" w:hAnsiTheme="minorHAnsi" w:cstheme="minorHAnsi"/>
          <w:sz w:val="22"/>
          <w:szCs w:val="22"/>
        </w:rPr>
        <w:t xml:space="preserve"> </w:t>
      </w:r>
    </w:p>
    <w:p w14:paraId="749C33F6" w14:textId="5B01D43F" w:rsidR="00180022" w:rsidRPr="004964A4" w:rsidRDefault="00180022" w:rsidP="004964A4">
      <w:pPr>
        <w:spacing w:after="0" w:line="240" w:lineRule="auto"/>
        <w:ind w:left="567" w:hanging="567"/>
        <w:contextualSpacing/>
        <w:rPr>
          <w:rFonts w:asciiTheme="minorHAnsi" w:hAnsiTheme="minorHAnsi" w:cstheme="minorHAnsi"/>
        </w:rPr>
      </w:pPr>
    </w:p>
    <w:p w14:paraId="5F4DB1DB" w14:textId="77777777" w:rsidR="002845F1" w:rsidRPr="004964A4" w:rsidRDefault="002845F1"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lastRenderedPageBreak/>
        <w:t>16.</w:t>
      </w:r>
      <w:r w:rsidRPr="004964A4">
        <w:rPr>
          <w:rFonts w:asciiTheme="minorHAnsi" w:hAnsiTheme="minorHAnsi" w:cstheme="minorHAnsi"/>
          <w:bCs/>
        </w:rPr>
        <w:tab/>
        <w:t>Work plan of the Secretariat for 2019-2021</w:t>
      </w:r>
    </w:p>
    <w:p w14:paraId="42AD0403" w14:textId="77777777" w:rsidR="002845F1" w:rsidRPr="004964A4" w:rsidRDefault="002845F1" w:rsidP="004964A4">
      <w:pPr>
        <w:keepNext/>
        <w:spacing w:after="0" w:line="240" w:lineRule="auto"/>
        <w:contextualSpacing/>
        <w:rPr>
          <w:rFonts w:asciiTheme="minorHAnsi" w:hAnsiTheme="minorHAnsi" w:cstheme="minorHAnsi"/>
          <w:bCs/>
        </w:rPr>
      </w:pPr>
    </w:p>
    <w:p w14:paraId="027FBEAF" w14:textId="097BC3A1" w:rsidR="002845F1" w:rsidRPr="004964A4" w:rsidRDefault="002845F1"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Secretary General will introduce </w:t>
      </w:r>
      <w:r w:rsidR="00EF3A11">
        <w:rPr>
          <w:rFonts w:asciiTheme="minorHAnsi" w:hAnsiTheme="minorHAnsi" w:cstheme="minorHAnsi"/>
          <w:bCs/>
        </w:rPr>
        <w:t xml:space="preserve">document </w:t>
      </w:r>
      <w:r w:rsidRPr="004964A4">
        <w:rPr>
          <w:rFonts w:asciiTheme="minorHAnsi" w:hAnsiTheme="minorHAnsi" w:cstheme="minorHAnsi"/>
          <w:bCs/>
        </w:rPr>
        <w:t>SC57</w:t>
      </w:r>
      <w:r w:rsidR="00067F1E" w:rsidRPr="004964A4">
        <w:rPr>
          <w:rFonts w:asciiTheme="minorHAnsi" w:hAnsiTheme="minorHAnsi" w:cstheme="minorHAnsi"/>
          <w:bCs/>
        </w:rPr>
        <w:t xml:space="preserve"> Doc.</w:t>
      </w:r>
      <w:r w:rsidRPr="004964A4">
        <w:rPr>
          <w:rFonts w:asciiTheme="minorHAnsi" w:hAnsiTheme="minorHAnsi" w:cstheme="minorHAnsi"/>
          <w:bCs/>
        </w:rPr>
        <w:t xml:space="preserve">16 with the </w:t>
      </w:r>
      <w:r w:rsidR="00EF3A11" w:rsidRPr="004964A4">
        <w:rPr>
          <w:rFonts w:asciiTheme="minorHAnsi" w:hAnsiTheme="minorHAnsi" w:cstheme="minorHAnsi"/>
          <w:bCs/>
        </w:rPr>
        <w:t xml:space="preserve">work plan </w:t>
      </w:r>
      <w:r w:rsidRPr="004964A4">
        <w:rPr>
          <w:rFonts w:asciiTheme="minorHAnsi" w:hAnsiTheme="minorHAnsi" w:cstheme="minorHAnsi"/>
          <w:bCs/>
        </w:rPr>
        <w:t>of the Secretariat for 2019-2021. The Standing Committee is invited to approve the Secretariat´s integrated Annual Plan for 2019 and Triennial Plan for 2019-2021, which reflects the structure and format adopted in Decision SC54-10.</w:t>
      </w:r>
      <w:r w:rsidR="00A12002" w:rsidRPr="004964A4">
        <w:rPr>
          <w:rFonts w:asciiTheme="minorHAnsi" w:hAnsiTheme="minorHAnsi" w:cstheme="minorHAnsi"/>
          <w:bCs/>
        </w:rPr>
        <w:t xml:space="preserve">  </w:t>
      </w:r>
    </w:p>
    <w:p w14:paraId="79C30002" w14:textId="77777777" w:rsidR="002845F1" w:rsidRPr="004964A4" w:rsidRDefault="002845F1" w:rsidP="004964A4">
      <w:pPr>
        <w:spacing w:after="0" w:line="240" w:lineRule="auto"/>
        <w:contextualSpacing/>
        <w:rPr>
          <w:rFonts w:asciiTheme="minorHAnsi" w:hAnsiTheme="minorHAnsi" w:cstheme="minorHAnsi"/>
          <w:bCs/>
        </w:rPr>
      </w:pPr>
    </w:p>
    <w:p w14:paraId="680C87AD" w14:textId="77777777" w:rsidR="00067F1E" w:rsidRPr="004964A4" w:rsidRDefault="00067F1E"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17.</w:t>
      </w:r>
      <w:r w:rsidRPr="004964A4">
        <w:rPr>
          <w:rFonts w:asciiTheme="minorHAnsi" w:hAnsiTheme="minorHAnsi" w:cstheme="minorHAnsi"/>
          <w:bCs/>
        </w:rPr>
        <w:tab/>
        <w:t>Enhancing the Convention’s visibility and synergies with other multilateral environmental agreements and other international institutions</w:t>
      </w:r>
    </w:p>
    <w:p w14:paraId="43BDF8E0" w14:textId="77777777" w:rsidR="00067F1E" w:rsidRPr="004964A4" w:rsidRDefault="00067F1E" w:rsidP="004964A4">
      <w:pPr>
        <w:keepNext/>
        <w:spacing w:after="0" w:line="240" w:lineRule="auto"/>
        <w:ind w:left="567" w:hanging="567"/>
        <w:contextualSpacing/>
        <w:rPr>
          <w:rFonts w:asciiTheme="minorHAnsi" w:hAnsiTheme="minorHAnsi" w:cstheme="minorHAnsi"/>
        </w:rPr>
      </w:pPr>
    </w:p>
    <w:p w14:paraId="55D774E1" w14:textId="736C2AD4" w:rsidR="00067F1E" w:rsidRPr="004964A4" w:rsidRDefault="00067F1E" w:rsidP="004964A4">
      <w:pPr>
        <w:spacing w:after="0" w:line="240" w:lineRule="auto"/>
        <w:contextualSpacing/>
        <w:rPr>
          <w:rFonts w:asciiTheme="minorHAnsi" w:hAnsiTheme="minorHAnsi" w:cstheme="minorHAnsi"/>
        </w:rPr>
      </w:pPr>
      <w:r w:rsidRPr="004964A4">
        <w:rPr>
          <w:rFonts w:asciiTheme="minorHAnsi" w:hAnsiTheme="minorHAnsi" w:cstheme="minorHAnsi"/>
        </w:rPr>
        <w:t xml:space="preserve">The Secretariat will introduce </w:t>
      </w:r>
      <w:r w:rsidR="00EF3A11">
        <w:rPr>
          <w:rFonts w:asciiTheme="minorHAnsi" w:hAnsiTheme="minorHAnsi" w:cstheme="minorHAnsi"/>
        </w:rPr>
        <w:t xml:space="preserve">document </w:t>
      </w:r>
      <w:r w:rsidRPr="004964A4">
        <w:rPr>
          <w:rFonts w:asciiTheme="minorHAnsi" w:hAnsiTheme="minorHAnsi" w:cstheme="minorHAnsi"/>
        </w:rPr>
        <w:t>SC57</w:t>
      </w:r>
      <w:r w:rsidR="00EF3A11" w:rsidRPr="00EF3A11">
        <w:rPr>
          <w:rFonts w:asciiTheme="minorHAnsi" w:hAnsiTheme="minorHAnsi" w:cstheme="minorHAnsi"/>
        </w:rPr>
        <w:t xml:space="preserve"> </w:t>
      </w:r>
      <w:r w:rsidR="00EF3A11" w:rsidRPr="004964A4">
        <w:rPr>
          <w:rFonts w:asciiTheme="minorHAnsi" w:hAnsiTheme="minorHAnsi" w:cstheme="minorHAnsi"/>
        </w:rPr>
        <w:t>Doc.</w:t>
      </w:r>
      <w:r w:rsidRPr="004964A4">
        <w:rPr>
          <w:rFonts w:asciiTheme="minorHAnsi" w:hAnsiTheme="minorHAnsi" w:cstheme="minorHAnsi"/>
        </w:rPr>
        <w:t>17</w:t>
      </w:r>
      <w:r w:rsidR="00EF3A11">
        <w:rPr>
          <w:rFonts w:asciiTheme="minorHAnsi" w:hAnsiTheme="minorHAnsi" w:cstheme="minorHAnsi"/>
        </w:rPr>
        <w:t xml:space="preserve"> </w:t>
      </w:r>
      <w:r w:rsidRPr="00EF3A11">
        <w:rPr>
          <w:rFonts w:asciiTheme="minorHAnsi" w:hAnsiTheme="minorHAnsi" w:cstheme="minorHAnsi"/>
          <w:i/>
        </w:rPr>
        <w:t xml:space="preserve">Enhancing the Convention´s visibility and synergies with other </w:t>
      </w:r>
      <w:r w:rsidRPr="00EF3A11">
        <w:rPr>
          <w:rFonts w:asciiTheme="minorHAnsi" w:hAnsiTheme="minorHAnsi" w:cstheme="minorHAnsi"/>
          <w:bCs/>
          <w:i/>
        </w:rPr>
        <w:t>multilateral environmental agreements and other international institutions</w:t>
      </w:r>
      <w:r w:rsidRPr="004964A4">
        <w:rPr>
          <w:rFonts w:asciiTheme="minorHAnsi" w:hAnsiTheme="minorHAnsi" w:cstheme="minorHAnsi"/>
          <w:bCs/>
        </w:rPr>
        <w:t xml:space="preserve">. The Standing Committee is invited </w:t>
      </w:r>
      <w:r w:rsidRPr="004964A4">
        <w:rPr>
          <w:rFonts w:asciiTheme="minorHAnsi" w:hAnsiTheme="minorHAnsi" w:cstheme="minorHAnsi"/>
        </w:rPr>
        <w:t xml:space="preserve">to take note of the report on progress in implementing Resolution XIII.7 on synergies. </w:t>
      </w:r>
    </w:p>
    <w:p w14:paraId="70384FC6" w14:textId="2FA07C76" w:rsidR="002845F1" w:rsidRPr="004964A4" w:rsidRDefault="002845F1" w:rsidP="004964A4">
      <w:pPr>
        <w:spacing w:after="0" w:line="240" w:lineRule="auto"/>
        <w:ind w:left="567" w:hanging="567"/>
        <w:contextualSpacing/>
        <w:rPr>
          <w:rFonts w:asciiTheme="minorHAnsi" w:hAnsiTheme="minorHAnsi" w:cstheme="minorHAnsi"/>
        </w:rPr>
      </w:pPr>
    </w:p>
    <w:p w14:paraId="53DF196D" w14:textId="77777777" w:rsidR="00067F1E" w:rsidRPr="004964A4" w:rsidRDefault="00067F1E"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18.</w:t>
      </w:r>
      <w:r w:rsidRPr="004964A4">
        <w:rPr>
          <w:rFonts w:asciiTheme="minorHAnsi" w:hAnsiTheme="minorHAnsi" w:cstheme="minorHAnsi"/>
          <w:bCs/>
        </w:rPr>
        <w:tab/>
        <w:t>Observer status in the United Nations General Assembly</w:t>
      </w:r>
    </w:p>
    <w:p w14:paraId="30DF4C15" w14:textId="77777777" w:rsidR="00067F1E" w:rsidRPr="004964A4" w:rsidRDefault="00067F1E" w:rsidP="004964A4">
      <w:pPr>
        <w:keepNext/>
        <w:spacing w:after="0" w:line="240" w:lineRule="auto"/>
        <w:ind w:left="567" w:hanging="567"/>
        <w:contextualSpacing/>
        <w:rPr>
          <w:rFonts w:asciiTheme="minorHAnsi" w:hAnsiTheme="minorHAnsi" w:cstheme="minorHAnsi"/>
          <w:bCs/>
        </w:rPr>
      </w:pPr>
    </w:p>
    <w:p w14:paraId="19C59036" w14:textId="45CC0376" w:rsidR="00067F1E" w:rsidRPr="00302DF1" w:rsidRDefault="00067F1E" w:rsidP="004964A4">
      <w:pPr>
        <w:spacing w:after="0" w:line="240" w:lineRule="auto"/>
        <w:rPr>
          <w:rFonts w:asciiTheme="minorHAnsi" w:hAnsiTheme="minorHAnsi" w:cstheme="minorHAnsi"/>
          <w:iCs/>
        </w:rPr>
      </w:pPr>
      <w:r w:rsidRPr="004964A4">
        <w:rPr>
          <w:rFonts w:asciiTheme="minorHAnsi" w:hAnsiTheme="minorHAnsi" w:cstheme="minorHAnsi"/>
        </w:rPr>
        <w:t xml:space="preserve">The Standing Committee discussed the issue of the </w:t>
      </w:r>
      <w:r w:rsidR="00EF3A11">
        <w:rPr>
          <w:rFonts w:asciiTheme="minorHAnsi" w:hAnsiTheme="minorHAnsi" w:cstheme="minorHAnsi"/>
        </w:rPr>
        <w:t>o</w:t>
      </w:r>
      <w:r w:rsidR="00EF3A11" w:rsidRPr="004964A4">
        <w:rPr>
          <w:rFonts w:asciiTheme="minorHAnsi" w:hAnsiTheme="minorHAnsi" w:cstheme="minorHAnsi"/>
        </w:rPr>
        <w:t xml:space="preserve">bserver status </w:t>
      </w:r>
      <w:r w:rsidRPr="004964A4">
        <w:rPr>
          <w:rFonts w:asciiTheme="minorHAnsi" w:hAnsiTheme="minorHAnsi" w:cstheme="minorHAnsi"/>
        </w:rPr>
        <w:t xml:space="preserve">at its </w:t>
      </w:r>
      <w:r w:rsidRPr="00EF3A11">
        <w:rPr>
          <w:rFonts w:asciiTheme="minorHAnsi" w:hAnsiTheme="minorHAnsi" w:cstheme="minorHAnsi"/>
        </w:rPr>
        <w:t>54th and 55th</w:t>
      </w:r>
      <w:r w:rsidRPr="004964A4">
        <w:rPr>
          <w:rFonts w:asciiTheme="minorHAnsi" w:hAnsiTheme="minorHAnsi" w:cstheme="minorHAnsi"/>
        </w:rPr>
        <w:t xml:space="preserve"> meetings (SC54, April 2018 and SC55, Dubai</w:t>
      </w:r>
      <w:r w:rsidR="00EF3A11">
        <w:rPr>
          <w:rFonts w:asciiTheme="minorHAnsi" w:hAnsiTheme="minorHAnsi" w:cstheme="minorHAnsi"/>
        </w:rPr>
        <w:t>,</w:t>
      </w:r>
      <w:r w:rsidRPr="004964A4">
        <w:rPr>
          <w:rFonts w:asciiTheme="minorHAnsi" w:hAnsiTheme="minorHAnsi" w:cstheme="minorHAnsi"/>
        </w:rPr>
        <w:t xml:space="preserve"> October 2018).</w:t>
      </w:r>
      <w:r w:rsidR="009C6D7D" w:rsidRPr="004964A4">
        <w:rPr>
          <w:rFonts w:asciiTheme="minorHAnsi" w:hAnsiTheme="minorHAnsi" w:cstheme="minorHAnsi"/>
        </w:rPr>
        <w:t xml:space="preserve"> </w:t>
      </w:r>
      <w:r w:rsidRPr="004964A4">
        <w:rPr>
          <w:rFonts w:asciiTheme="minorHAnsi" w:hAnsiTheme="minorHAnsi" w:cstheme="minorHAnsi"/>
        </w:rPr>
        <w:t>SC55</w:t>
      </w:r>
      <w:r w:rsidR="00302DF1">
        <w:rPr>
          <w:rFonts w:asciiTheme="minorHAnsi" w:hAnsiTheme="minorHAnsi" w:cstheme="minorHAnsi"/>
        </w:rPr>
        <w:t xml:space="preserve"> </w:t>
      </w:r>
      <w:r w:rsidRPr="004964A4">
        <w:rPr>
          <w:rFonts w:asciiTheme="minorHAnsi" w:hAnsiTheme="minorHAnsi" w:cstheme="minorHAnsi"/>
        </w:rPr>
        <w:t xml:space="preserve">adopted </w:t>
      </w:r>
      <w:r w:rsidR="00302DF1">
        <w:rPr>
          <w:rFonts w:asciiTheme="minorHAnsi" w:hAnsiTheme="minorHAnsi" w:cstheme="minorHAnsi"/>
        </w:rPr>
        <w:t>D</w:t>
      </w:r>
      <w:r w:rsidRPr="004964A4">
        <w:rPr>
          <w:rFonts w:asciiTheme="minorHAnsi" w:hAnsiTheme="minorHAnsi" w:cstheme="minorHAnsi"/>
        </w:rPr>
        <w:t>ecision</w:t>
      </w:r>
      <w:r w:rsidR="00302DF1">
        <w:rPr>
          <w:rFonts w:asciiTheme="minorHAnsi" w:hAnsiTheme="minorHAnsi" w:cstheme="minorHAnsi"/>
        </w:rPr>
        <w:t xml:space="preserve"> SC55-12</w:t>
      </w:r>
      <w:r w:rsidRPr="004964A4">
        <w:rPr>
          <w:rFonts w:asciiTheme="minorHAnsi" w:hAnsiTheme="minorHAnsi" w:cstheme="minorHAnsi"/>
        </w:rPr>
        <w:t>:</w:t>
      </w:r>
      <w:r w:rsidR="00302DF1" w:rsidRPr="00302DF1">
        <w:rPr>
          <w:rFonts w:asciiTheme="minorHAnsi" w:hAnsiTheme="minorHAnsi" w:cstheme="minorHAnsi"/>
          <w:iCs/>
        </w:rPr>
        <w:t xml:space="preserve"> </w:t>
      </w:r>
      <w:r w:rsidR="009C6D7D" w:rsidRPr="00302DF1">
        <w:rPr>
          <w:rFonts w:asciiTheme="minorHAnsi" w:hAnsiTheme="minorHAnsi" w:cstheme="minorHAnsi"/>
          <w:iCs/>
        </w:rPr>
        <w:t>“</w:t>
      </w:r>
      <w:r w:rsidRPr="004964A4">
        <w:rPr>
          <w:rFonts w:asciiTheme="minorHAnsi" w:hAnsiTheme="minorHAnsi" w:cstheme="minorHAnsi"/>
          <w:i/>
          <w:iCs/>
        </w:rPr>
        <w:t>The Standing Committee instructed the Secretariat, with support from an informal group of interested Contracting Parties, to bring forward a structured proposal, taking into account the various options, for consideration at SC57</w:t>
      </w:r>
      <w:r w:rsidR="00302DF1" w:rsidRPr="00302DF1">
        <w:rPr>
          <w:rFonts w:asciiTheme="minorHAnsi" w:hAnsiTheme="minorHAnsi" w:cstheme="minorHAnsi"/>
          <w:iCs/>
        </w:rPr>
        <w:t>.</w:t>
      </w:r>
      <w:r w:rsidR="009C6D7D" w:rsidRPr="00302DF1">
        <w:rPr>
          <w:rFonts w:asciiTheme="minorHAnsi" w:hAnsiTheme="minorHAnsi" w:cstheme="minorHAnsi"/>
          <w:iCs/>
        </w:rPr>
        <w:t>”</w:t>
      </w:r>
    </w:p>
    <w:p w14:paraId="4B3A2FC6" w14:textId="77777777" w:rsidR="00067F1E" w:rsidRPr="00302DF1" w:rsidRDefault="00067F1E" w:rsidP="004964A4">
      <w:pPr>
        <w:spacing w:after="0" w:line="240" w:lineRule="auto"/>
        <w:contextualSpacing/>
        <w:rPr>
          <w:rFonts w:asciiTheme="minorHAnsi" w:hAnsiTheme="minorHAnsi" w:cstheme="minorHAnsi"/>
          <w:bCs/>
        </w:rPr>
      </w:pPr>
    </w:p>
    <w:p w14:paraId="124795B3" w14:textId="37CC421C" w:rsidR="00067F1E" w:rsidRPr="004964A4" w:rsidRDefault="00067F1E" w:rsidP="004964A4">
      <w:pPr>
        <w:spacing w:after="0" w:line="240" w:lineRule="auto"/>
        <w:contextualSpacing/>
        <w:rPr>
          <w:rFonts w:asciiTheme="minorHAnsi" w:hAnsiTheme="minorHAnsi" w:cstheme="minorHAnsi"/>
          <w:bCs/>
        </w:rPr>
      </w:pPr>
      <w:r w:rsidRPr="004964A4">
        <w:rPr>
          <w:rFonts w:asciiTheme="minorHAnsi" w:hAnsiTheme="minorHAnsi" w:cstheme="minorHAnsi"/>
          <w:bCs/>
        </w:rPr>
        <w:t>Bolivia will present the report of the informal group of interested Contracting Parties. The Standing Committee</w:t>
      </w:r>
      <w:r w:rsidR="005F15A3" w:rsidRPr="004964A4">
        <w:rPr>
          <w:rFonts w:asciiTheme="minorHAnsi" w:hAnsiTheme="minorHAnsi" w:cstheme="minorHAnsi"/>
          <w:bCs/>
        </w:rPr>
        <w:t xml:space="preserve"> will </w:t>
      </w:r>
      <w:r w:rsidRPr="004964A4">
        <w:rPr>
          <w:rFonts w:asciiTheme="minorHAnsi" w:hAnsiTheme="minorHAnsi" w:cstheme="minorHAnsi"/>
          <w:bCs/>
        </w:rPr>
        <w:t xml:space="preserve">decide on the way forward according with the recommendations of the informal group on the observer status. </w:t>
      </w:r>
    </w:p>
    <w:p w14:paraId="3AD38113" w14:textId="217396B9" w:rsidR="002845F1" w:rsidRPr="004964A4" w:rsidRDefault="002845F1" w:rsidP="004964A4">
      <w:pPr>
        <w:spacing w:after="0" w:line="240" w:lineRule="auto"/>
        <w:ind w:left="567" w:hanging="567"/>
        <w:contextualSpacing/>
        <w:rPr>
          <w:rFonts w:asciiTheme="minorHAnsi" w:hAnsiTheme="minorHAnsi" w:cstheme="minorHAnsi"/>
        </w:rPr>
      </w:pPr>
    </w:p>
    <w:p w14:paraId="598540C3" w14:textId="77777777" w:rsidR="005F15A3" w:rsidRPr="004964A4" w:rsidRDefault="005F15A3"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19.</w:t>
      </w:r>
      <w:r w:rsidRPr="004964A4">
        <w:rPr>
          <w:rFonts w:asciiTheme="minorHAnsi" w:hAnsiTheme="minorHAnsi" w:cstheme="minorHAnsi"/>
          <w:bCs/>
        </w:rPr>
        <w:tab/>
        <w:t>Ramsar Convention Resource Mobilization Work Plan</w:t>
      </w:r>
    </w:p>
    <w:p w14:paraId="681270A6" w14:textId="77777777" w:rsidR="005F15A3" w:rsidRPr="004964A4" w:rsidRDefault="005F15A3" w:rsidP="004964A4">
      <w:pPr>
        <w:keepNext/>
        <w:spacing w:after="0" w:line="240" w:lineRule="auto"/>
        <w:ind w:left="567" w:hanging="567"/>
        <w:contextualSpacing/>
        <w:rPr>
          <w:rFonts w:asciiTheme="minorHAnsi" w:hAnsiTheme="minorHAnsi" w:cstheme="minorHAnsi"/>
        </w:rPr>
      </w:pPr>
    </w:p>
    <w:p w14:paraId="26787B28" w14:textId="3EADA2C7" w:rsidR="005F15A3" w:rsidRPr="004964A4" w:rsidRDefault="005F15A3" w:rsidP="004964A4">
      <w:pPr>
        <w:pStyle w:val="ColorfulList-Accent11"/>
        <w:spacing w:after="0" w:line="240" w:lineRule="auto"/>
        <w:ind w:left="0"/>
        <w:rPr>
          <w:rFonts w:asciiTheme="minorHAnsi" w:hAnsiTheme="minorHAnsi" w:cstheme="minorHAnsi"/>
        </w:rPr>
      </w:pPr>
      <w:r w:rsidRPr="004964A4">
        <w:rPr>
          <w:rFonts w:asciiTheme="minorHAnsi" w:hAnsiTheme="minorHAnsi" w:cstheme="minorHAnsi"/>
        </w:rPr>
        <w:t xml:space="preserve">The Secretariat will introduce </w:t>
      </w:r>
      <w:r w:rsidR="00EF3A11">
        <w:rPr>
          <w:rFonts w:asciiTheme="minorHAnsi" w:hAnsiTheme="minorHAnsi" w:cstheme="minorHAnsi"/>
        </w:rPr>
        <w:t xml:space="preserve">document </w:t>
      </w:r>
      <w:r w:rsidRPr="004964A4">
        <w:rPr>
          <w:rFonts w:asciiTheme="minorHAnsi" w:hAnsiTheme="minorHAnsi" w:cstheme="minorHAnsi"/>
        </w:rPr>
        <w:t xml:space="preserve">SC57 Doc.19 </w:t>
      </w:r>
      <w:r w:rsidRPr="00EF3A11">
        <w:rPr>
          <w:rFonts w:asciiTheme="minorHAnsi" w:hAnsiTheme="minorHAnsi" w:cstheme="minorHAnsi"/>
          <w:bCs/>
          <w:i/>
        </w:rPr>
        <w:t>Ramsar Convention Resource Mobilization Work Plan</w:t>
      </w:r>
      <w:r w:rsidRPr="004964A4">
        <w:rPr>
          <w:rFonts w:asciiTheme="minorHAnsi" w:hAnsiTheme="minorHAnsi" w:cstheme="minorHAnsi"/>
          <w:bCs/>
        </w:rPr>
        <w:t>. T</w:t>
      </w:r>
      <w:r w:rsidRPr="004964A4">
        <w:rPr>
          <w:rFonts w:asciiTheme="minorHAnsi" w:hAnsiTheme="minorHAnsi" w:cstheme="minorHAnsi"/>
        </w:rPr>
        <w:t xml:space="preserve">he Work Plan has been updated to reflect the priorities identified in </w:t>
      </w:r>
      <w:r w:rsidR="00AC019B" w:rsidRPr="004964A4">
        <w:rPr>
          <w:rFonts w:asciiTheme="minorHAnsi" w:hAnsiTheme="minorHAnsi" w:cstheme="minorHAnsi"/>
        </w:rPr>
        <w:t>Annex 3</w:t>
      </w:r>
      <w:r w:rsidR="00AC019B">
        <w:rPr>
          <w:rFonts w:asciiTheme="minorHAnsi" w:hAnsiTheme="minorHAnsi" w:cstheme="minorHAnsi"/>
        </w:rPr>
        <w:t xml:space="preserve"> of </w:t>
      </w:r>
      <w:r w:rsidRPr="004964A4">
        <w:rPr>
          <w:rFonts w:asciiTheme="minorHAnsi" w:hAnsiTheme="minorHAnsi" w:cstheme="minorHAnsi"/>
        </w:rPr>
        <w:t>Resolution XIII.2</w:t>
      </w:r>
      <w:r w:rsidR="00AC019B">
        <w:rPr>
          <w:rFonts w:asciiTheme="minorHAnsi" w:hAnsiTheme="minorHAnsi" w:cstheme="minorHAnsi"/>
        </w:rPr>
        <w:t xml:space="preserve"> on </w:t>
      </w:r>
      <w:r w:rsidR="00AC019B" w:rsidRPr="00AC019B">
        <w:rPr>
          <w:i/>
        </w:rPr>
        <w:t>Financial and budgetary matters</w:t>
      </w:r>
      <w:r w:rsidRPr="004964A4">
        <w:rPr>
          <w:rFonts w:asciiTheme="minorHAnsi" w:hAnsiTheme="minorHAnsi" w:cstheme="minorHAnsi"/>
        </w:rPr>
        <w:t>. The Standing Committee is invited to consider the Convention’s Resource Mobilization Work Plan.</w:t>
      </w:r>
    </w:p>
    <w:p w14:paraId="6A69ED3A" w14:textId="7401FE3A" w:rsidR="00067F1E" w:rsidRPr="004964A4" w:rsidRDefault="00067F1E" w:rsidP="004964A4">
      <w:pPr>
        <w:spacing w:after="0" w:line="240" w:lineRule="auto"/>
        <w:ind w:left="567" w:hanging="567"/>
        <w:contextualSpacing/>
        <w:rPr>
          <w:rFonts w:asciiTheme="minorHAnsi" w:hAnsiTheme="minorHAnsi" w:cstheme="minorHAnsi"/>
        </w:rPr>
      </w:pPr>
    </w:p>
    <w:p w14:paraId="513ADE88" w14:textId="77777777" w:rsidR="007900E7" w:rsidRPr="004964A4" w:rsidRDefault="007900E7"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20.</w:t>
      </w:r>
      <w:r w:rsidRPr="004964A4">
        <w:rPr>
          <w:rFonts w:asciiTheme="minorHAnsi" w:hAnsiTheme="minorHAnsi" w:cstheme="minorHAnsi"/>
          <w:bCs/>
        </w:rPr>
        <w:tab/>
        <w:t>Report of the Chair of the Scientific and Technical Review Panel</w:t>
      </w:r>
      <w:r w:rsidRPr="004964A4">
        <w:rPr>
          <w:rFonts w:asciiTheme="minorHAnsi" w:hAnsiTheme="minorHAnsi" w:cstheme="minorHAnsi"/>
        </w:rPr>
        <w:t xml:space="preserve">, including work plan for </w:t>
      </w:r>
      <w:r w:rsidRPr="004964A4">
        <w:rPr>
          <w:rFonts w:asciiTheme="minorHAnsi" w:hAnsiTheme="minorHAnsi" w:cstheme="minorHAnsi"/>
        </w:rPr>
        <w:br/>
        <w:t>2019-2021</w:t>
      </w:r>
    </w:p>
    <w:p w14:paraId="5A77D914" w14:textId="77777777" w:rsidR="007900E7" w:rsidRPr="004964A4" w:rsidRDefault="007900E7" w:rsidP="004964A4">
      <w:pPr>
        <w:keepNext/>
        <w:spacing w:after="0" w:line="240" w:lineRule="auto"/>
        <w:ind w:left="1134" w:hanging="567"/>
        <w:contextualSpacing/>
        <w:rPr>
          <w:rFonts w:asciiTheme="minorHAnsi" w:hAnsiTheme="minorHAnsi" w:cstheme="minorHAnsi"/>
          <w:bCs/>
        </w:rPr>
      </w:pPr>
    </w:p>
    <w:p w14:paraId="42CFADA8" w14:textId="59BE9A73" w:rsidR="007900E7" w:rsidRPr="004964A4" w:rsidRDefault="007900E7"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Scientific and Technical Review Panel will present the work plan for 20</w:t>
      </w:r>
      <w:bookmarkStart w:id="0" w:name="_GoBack"/>
      <w:bookmarkEnd w:id="0"/>
      <w:r w:rsidRPr="004964A4">
        <w:rPr>
          <w:rFonts w:asciiTheme="minorHAnsi" w:hAnsiTheme="minorHAnsi" w:cstheme="minorHAnsi"/>
          <w:bCs/>
        </w:rPr>
        <w:t>19-2021 (SC57 Doc.20</w:t>
      </w:r>
      <w:r w:rsidR="00AC019B">
        <w:rPr>
          <w:rFonts w:asciiTheme="minorHAnsi" w:hAnsiTheme="minorHAnsi" w:cstheme="minorHAnsi"/>
          <w:bCs/>
        </w:rPr>
        <w:t xml:space="preserve"> Rev.1</w:t>
      </w:r>
      <w:r w:rsidRPr="004964A4">
        <w:rPr>
          <w:rFonts w:asciiTheme="minorHAnsi" w:hAnsiTheme="minorHAnsi" w:cstheme="minorHAnsi"/>
          <w:bCs/>
        </w:rPr>
        <w:t>) for Standing Committee consideration and approval.</w:t>
      </w:r>
      <w:r w:rsidR="00A12002" w:rsidRPr="004964A4">
        <w:rPr>
          <w:rFonts w:asciiTheme="minorHAnsi" w:hAnsiTheme="minorHAnsi" w:cstheme="minorHAnsi"/>
          <w:bCs/>
        </w:rPr>
        <w:t xml:space="preserve">  </w:t>
      </w:r>
    </w:p>
    <w:p w14:paraId="6C832B4C" w14:textId="53B63915" w:rsidR="00067F1E" w:rsidRPr="004964A4" w:rsidRDefault="00067F1E" w:rsidP="004964A4">
      <w:pPr>
        <w:spacing w:after="0" w:line="240" w:lineRule="auto"/>
        <w:ind w:left="567" w:hanging="567"/>
        <w:contextualSpacing/>
        <w:rPr>
          <w:rFonts w:asciiTheme="minorHAnsi" w:hAnsiTheme="minorHAnsi" w:cstheme="minorHAnsi"/>
        </w:rPr>
      </w:pPr>
    </w:p>
    <w:p w14:paraId="70C1C465" w14:textId="77777777" w:rsidR="007900E7" w:rsidRPr="004964A4" w:rsidRDefault="007900E7"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21.</w:t>
      </w:r>
      <w:r w:rsidRPr="004964A4">
        <w:rPr>
          <w:rFonts w:asciiTheme="minorHAnsi" w:hAnsiTheme="minorHAnsi" w:cstheme="minorHAnsi"/>
          <w:bCs/>
        </w:rPr>
        <w:tab/>
      </w:r>
      <w:r w:rsidRPr="004964A4">
        <w:rPr>
          <w:rFonts w:asciiTheme="minorHAnsi" w:hAnsiTheme="minorHAnsi" w:cstheme="minorHAnsi"/>
        </w:rPr>
        <w:t>Follow up to COP13 and preparation of COP14</w:t>
      </w:r>
    </w:p>
    <w:p w14:paraId="54984EBA" w14:textId="77777777" w:rsidR="007900E7" w:rsidRPr="004964A4" w:rsidRDefault="007900E7" w:rsidP="004964A4">
      <w:pPr>
        <w:keepNext/>
        <w:spacing w:after="0" w:line="240" w:lineRule="auto"/>
        <w:ind w:left="567" w:hanging="567"/>
        <w:contextualSpacing/>
        <w:rPr>
          <w:rFonts w:asciiTheme="minorHAnsi" w:hAnsiTheme="minorHAnsi" w:cstheme="minorHAnsi"/>
          <w:bCs/>
        </w:rPr>
      </w:pPr>
    </w:p>
    <w:p w14:paraId="72110F1B" w14:textId="77777777" w:rsidR="007900E7" w:rsidRPr="004964A4" w:rsidRDefault="007900E7"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21.1</w:t>
      </w:r>
      <w:r w:rsidRPr="004964A4">
        <w:rPr>
          <w:rFonts w:asciiTheme="minorHAnsi" w:hAnsiTheme="minorHAnsi" w:cstheme="minorHAnsi"/>
          <w:bCs/>
        </w:rPr>
        <w:tab/>
        <w:t>Report of the Secretariat on COP13</w:t>
      </w:r>
    </w:p>
    <w:p w14:paraId="137D8156" w14:textId="77777777" w:rsidR="007900E7" w:rsidRPr="004964A4" w:rsidRDefault="007900E7" w:rsidP="004964A4">
      <w:pPr>
        <w:spacing w:after="0" w:line="240" w:lineRule="auto"/>
        <w:ind w:left="1134" w:hanging="567"/>
        <w:contextualSpacing/>
        <w:rPr>
          <w:rFonts w:asciiTheme="minorHAnsi" w:hAnsiTheme="minorHAnsi" w:cstheme="minorHAnsi"/>
          <w:bCs/>
        </w:rPr>
      </w:pPr>
    </w:p>
    <w:p w14:paraId="591E98BA" w14:textId="0038029A" w:rsidR="007900E7" w:rsidRPr="004964A4" w:rsidRDefault="007900E7" w:rsidP="004964A4">
      <w:pPr>
        <w:spacing w:after="0" w:line="240" w:lineRule="auto"/>
        <w:contextualSpacing/>
        <w:rPr>
          <w:rFonts w:asciiTheme="minorHAnsi" w:hAnsiTheme="minorHAnsi" w:cstheme="minorHAnsi"/>
        </w:rPr>
      </w:pPr>
      <w:r w:rsidRPr="004964A4">
        <w:rPr>
          <w:rFonts w:asciiTheme="minorHAnsi" w:hAnsiTheme="minorHAnsi" w:cstheme="minorHAnsi"/>
          <w:bCs/>
        </w:rPr>
        <w:t>The Secretariat will introduce</w:t>
      </w:r>
      <w:r w:rsidR="00AC019B">
        <w:rPr>
          <w:rFonts w:asciiTheme="minorHAnsi" w:hAnsiTheme="minorHAnsi" w:cstheme="minorHAnsi"/>
          <w:bCs/>
        </w:rPr>
        <w:t xml:space="preserve"> document</w:t>
      </w:r>
      <w:r w:rsidRPr="004964A4">
        <w:rPr>
          <w:rFonts w:asciiTheme="minorHAnsi" w:hAnsiTheme="minorHAnsi" w:cstheme="minorHAnsi"/>
          <w:bCs/>
        </w:rPr>
        <w:t xml:space="preserve"> SC57 Doc 21.1 </w:t>
      </w:r>
      <w:r w:rsidRPr="00AC019B">
        <w:rPr>
          <w:rFonts w:asciiTheme="minorHAnsi" w:hAnsiTheme="minorHAnsi" w:cstheme="minorHAnsi"/>
          <w:i/>
        </w:rPr>
        <w:t>Report of the Secretariat on COP13</w:t>
      </w:r>
      <w:r w:rsidRPr="004964A4">
        <w:rPr>
          <w:rFonts w:asciiTheme="minorHAnsi" w:hAnsiTheme="minorHAnsi" w:cstheme="minorHAnsi"/>
        </w:rPr>
        <w:t>. The Standing Committee is invited to provide feedback to the Secretariat regarding lessons learned from COP13 and consider as appropriate suggestions raised in relation to potential improvement of processes established by Contracting Parties.</w:t>
      </w:r>
    </w:p>
    <w:p w14:paraId="05D5EA12" w14:textId="77777777" w:rsidR="007900E7" w:rsidRPr="004964A4" w:rsidRDefault="007900E7" w:rsidP="004964A4">
      <w:pPr>
        <w:spacing w:after="0" w:line="240" w:lineRule="auto"/>
        <w:ind w:left="1134" w:hanging="1134"/>
        <w:contextualSpacing/>
        <w:rPr>
          <w:rFonts w:asciiTheme="minorHAnsi" w:hAnsiTheme="minorHAnsi" w:cstheme="minorHAnsi"/>
          <w:bCs/>
        </w:rPr>
      </w:pPr>
    </w:p>
    <w:p w14:paraId="7A81677D" w14:textId="77777777" w:rsidR="007900E7" w:rsidRPr="004964A4" w:rsidRDefault="007900E7" w:rsidP="004964A4">
      <w:pPr>
        <w:keepNext/>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lastRenderedPageBreak/>
        <w:t>21.2</w:t>
      </w:r>
      <w:r w:rsidRPr="004964A4">
        <w:rPr>
          <w:rFonts w:asciiTheme="minorHAnsi" w:hAnsiTheme="minorHAnsi" w:cstheme="minorHAnsi"/>
          <w:bCs/>
        </w:rPr>
        <w:tab/>
      </w:r>
      <w:r w:rsidRPr="004964A4">
        <w:rPr>
          <w:rFonts w:asciiTheme="minorHAnsi" w:hAnsiTheme="minorHAnsi" w:cstheme="minorHAnsi"/>
        </w:rPr>
        <w:t>COP14 Host and establishment of the Subgroup on COP14</w:t>
      </w:r>
    </w:p>
    <w:p w14:paraId="516C1408" w14:textId="77777777" w:rsidR="007900E7" w:rsidRPr="004964A4" w:rsidRDefault="007900E7" w:rsidP="004964A4">
      <w:pPr>
        <w:keepNext/>
        <w:spacing w:after="0" w:line="240" w:lineRule="auto"/>
        <w:rPr>
          <w:rFonts w:asciiTheme="minorHAnsi" w:hAnsiTheme="minorHAnsi" w:cstheme="minorHAnsi"/>
        </w:rPr>
      </w:pPr>
    </w:p>
    <w:p w14:paraId="7A65CC6E" w14:textId="074F562B" w:rsidR="007900E7" w:rsidRPr="00AC019B" w:rsidRDefault="007900E7" w:rsidP="004964A4">
      <w:pPr>
        <w:spacing w:after="0" w:line="240" w:lineRule="auto"/>
        <w:rPr>
          <w:rFonts w:asciiTheme="minorHAnsi" w:hAnsiTheme="minorHAnsi" w:cstheme="minorHAnsi"/>
          <w:i/>
        </w:rPr>
      </w:pPr>
      <w:r w:rsidRPr="00AC019B">
        <w:rPr>
          <w:rFonts w:asciiTheme="minorHAnsi" w:hAnsiTheme="minorHAnsi" w:cstheme="minorHAnsi"/>
          <w:i/>
        </w:rPr>
        <w:t>COP14 Host</w:t>
      </w:r>
    </w:p>
    <w:p w14:paraId="09A971E6" w14:textId="77777777" w:rsidR="007900E7" w:rsidRPr="004964A4" w:rsidRDefault="007900E7" w:rsidP="004964A4">
      <w:pPr>
        <w:spacing w:after="0" w:line="240" w:lineRule="auto"/>
        <w:rPr>
          <w:rFonts w:asciiTheme="minorHAnsi" w:hAnsiTheme="minorHAnsi" w:cstheme="minorHAnsi"/>
        </w:rPr>
      </w:pPr>
    </w:p>
    <w:p w14:paraId="33B82251" w14:textId="47E67741" w:rsidR="00286DD1" w:rsidRPr="004964A4" w:rsidRDefault="007900E7" w:rsidP="004964A4">
      <w:pPr>
        <w:spacing w:after="0" w:line="240" w:lineRule="auto"/>
        <w:rPr>
          <w:rFonts w:asciiTheme="minorHAnsi" w:hAnsiTheme="minorHAnsi" w:cstheme="minorHAnsi"/>
        </w:rPr>
      </w:pPr>
      <w:r w:rsidRPr="004964A4">
        <w:rPr>
          <w:rFonts w:asciiTheme="minorHAnsi" w:hAnsiTheme="minorHAnsi" w:cstheme="minorHAnsi"/>
        </w:rPr>
        <w:t xml:space="preserve">The </w:t>
      </w:r>
      <w:r w:rsidRPr="00AC019B">
        <w:rPr>
          <w:rFonts w:asciiTheme="minorHAnsi" w:hAnsiTheme="minorHAnsi" w:cstheme="minorHAnsi"/>
        </w:rPr>
        <w:t xml:space="preserve">13th </w:t>
      </w:r>
      <w:r w:rsidRPr="004964A4">
        <w:rPr>
          <w:rFonts w:asciiTheme="minorHAnsi" w:hAnsiTheme="minorHAnsi" w:cstheme="minorHAnsi"/>
        </w:rPr>
        <w:t xml:space="preserve">Conference of the Parties </w:t>
      </w:r>
      <w:r w:rsidR="00286DD1" w:rsidRPr="004964A4">
        <w:rPr>
          <w:rFonts w:asciiTheme="minorHAnsi" w:hAnsiTheme="minorHAnsi" w:cstheme="minorHAnsi"/>
        </w:rPr>
        <w:t xml:space="preserve">noted that no offer had been received to host the 14th meeting. Consequently, the Conference established a new deadline for the submission of offers, one month before </w:t>
      </w:r>
      <w:r w:rsidR="00302DF1">
        <w:rPr>
          <w:rFonts w:asciiTheme="minorHAnsi" w:hAnsiTheme="minorHAnsi" w:cstheme="minorHAnsi"/>
        </w:rPr>
        <w:t>SC57,</w:t>
      </w:r>
      <w:r w:rsidR="00286DD1" w:rsidRPr="004964A4">
        <w:rPr>
          <w:rFonts w:asciiTheme="minorHAnsi" w:hAnsiTheme="minorHAnsi" w:cstheme="minorHAnsi"/>
        </w:rPr>
        <w:t xml:space="preserve"> that is</w:t>
      </w:r>
      <w:r w:rsidR="00302DF1">
        <w:rPr>
          <w:rFonts w:asciiTheme="minorHAnsi" w:hAnsiTheme="minorHAnsi" w:cstheme="minorHAnsi"/>
        </w:rPr>
        <w:t xml:space="preserve">, </w:t>
      </w:r>
      <w:r w:rsidR="00286DD1" w:rsidRPr="004964A4">
        <w:rPr>
          <w:rFonts w:asciiTheme="minorHAnsi" w:hAnsiTheme="minorHAnsi" w:cstheme="minorHAnsi"/>
        </w:rPr>
        <w:t xml:space="preserve">by </w:t>
      </w:r>
      <w:r w:rsidR="00286DD1" w:rsidRPr="004964A4">
        <w:rPr>
          <w:rFonts w:asciiTheme="minorHAnsi" w:hAnsiTheme="minorHAnsi" w:cstheme="minorHAnsi"/>
          <w:bCs/>
        </w:rPr>
        <w:t>24 May 2019</w:t>
      </w:r>
      <w:r w:rsidR="00286DD1" w:rsidRPr="004964A4">
        <w:rPr>
          <w:rFonts w:asciiTheme="minorHAnsi" w:hAnsiTheme="minorHAnsi" w:cstheme="minorHAnsi"/>
        </w:rPr>
        <w:t>.</w:t>
      </w:r>
    </w:p>
    <w:p w14:paraId="5C01974E" w14:textId="77777777" w:rsidR="00DB1564" w:rsidRPr="004964A4" w:rsidRDefault="00DB1564" w:rsidP="004964A4">
      <w:pPr>
        <w:spacing w:after="0" w:line="240" w:lineRule="auto"/>
        <w:rPr>
          <w:rFonts w:asciiTheme="minorHAnsi" w:eastAsiaTheme="minorHAnsi" w:hAnsiTheme="minorHAnsi" w:cstheme="minorHAnsi"/>
        </w:rPr>
      </w:pPr>
    </w:p>
    <w:p w14:paraId="57345C45" w14:textId="7ED45B5D" w:rsidR="007900E7" w:rsidRPr="004964A4" w:rsidRDefault="007900E7" w:rsidP="004964A4">
      <w:pPr>
        <w:spacing w:after="0" w:line="240" w:lineRule="auto"/>
        <w:contextualSpacing/>
        <w:rPr>
          <w:rFonts w:asciiTheme="minorHAnsi" w:hAnsiTheme="minorHAnsi" w:cstheme="minorHAnsi"/>
          <w:bCs/>
        </w:rPr>
      </w:pPr>
      <w:r w:rsidRPr="004964A4">
        <w:rPr>
          <w:rFonts w:asciiTheme="minorHAnsi" w:hAnsiTheme="minorHAnsi" w:cstheme="minorHAnsi"/>
          <w:bCs/>
        </w:rPr>
        <w:t>The Secretariat will present an update of the offers received to host COP14 by the deadline</w:t>
      </w:r>
      <w:r w:rsidR="00286DD1" w:rsidRPr="004964A4">
        <w:rPr>
          <w:rFonts w:asciiTheme="minorHAnsi" w:hAnsiTheme="minorHAnsi" w:cstheme="minorHAnsi"/>
          <w:bCs/>
        </w:rPr>
        <w:t xml:space="preserve">. </w:t>
      </w:r>
      <w:r w:rsidRPr="004964A4">
        <w:rPr>
          <w:rFonts w:asciiTheme="minorHAnsi" w:hAnsiTheme="minorHAnsi" w:cstheme="minorHAnsi"/>
          <w:bCs/>
        </w:rPr>
        <w:t xml:space="preserve">The Standing Committee will decide </w:t>
      </w:r>
      <w:r w:rsidR="00286DD1" w:rsidRPr="004964A4">
        <w:rPr>
          <w:rFonts w:asciiTheme="minorHAnsi" w:hAnsiTheme="minorHAnsi" w:cstheme="minorHAnsi"/>
          <w:bCs/>
        </w:rPr>
        <w:t xml:space="preserve">on the host of COP14 </w:t>
      </w:r>
      <w:r w:rsidRPr="004964A4">
        <w:rPr>
          <w:rFonts w:asciiTheme="minorHAnsi" w:hAnsiTheme="minorHAnsi" w:cstheme="minorHAnsi"/>
          <w:bCs/>
        </w:rPr>
        <w:t>based on the offers received</w:t>
      </w:r>
      <w:r w:rsidR="00286DD1" w:rsidRPr="004964A4">
        <w:rPr>
          <w:rFonts w:asciiTheme="minorHAnsi" w:hAnsiTheme="minorHAnsi" w:cstheme="minorHAnsi"/>
          <w:bCs/>
        </w:rPr>
        <w:t>.</w:t>
      </w:r>
      <w:r w:rsidRPr="004964A4">
        <w:rPr>
          <w:rFonts w:asciiTheme="minorHAnsi" w:hAnsiTheme="minorHAnsi" w:cstheme="minorHAnsi"/>
          <w:bCs/>
        </w:rPr>
        <w:t xml:space="preserve"> </w:t>
      </w:r>
    </w:p>
    <w:p w14:paraId="0EC4AC92" w14:textId="77CC8D5E" w:rsidR="007900E7" w:rsidRPr="004964A4" w:rsidRDefault="007900E7" w:rsidP="004964A4">
      <w:pPr>
        <w:spacing w:after="0" w:line="240" w:lineRule="auto"/>
        <w:contextualSpacing/>
        <w:rPr>
          <w:rFonts w:asciiTheme="minorHAnsi" w:hAnsiTheme="minorHAnsi" w:cstheme="minorHAnsi"/>
          <w:bCs/>
        </w:rPr>
      </w:pPr>
    </w:p>
    <w:p w14:paraId="7D583B6B" w14:textId="3A752B1E" w:rsidR="007900E7" w:rsidRPr="00AC019B" w:rsidRDefault="00637694" w:rsidP="004964A4">
      <w:pPr>
        <w:spacing w:after="0" w:line="240" w:lineRule="auto"/>
        <w:contextualSpacing/>
        <w:rPr>
          <w:rFonts w:asciiTheme="minorHAnsi" w:hAnsiTheme="minorHAnsi" w:cstheme="minorHAnsi"/>
          <w:bCs/>
          <w:i/>
        </w:rPr>
      </w:pPr>
      <w:r w:rsidRPr="00AC019B">
        <w:rPr>
          <w:rFonts w:asciiTheme="minorHAnsi" w:hAnsiTheme="minorHAnsi" w:cstheme="minorHAnsi"/>
          <w:i/>
        </w:rPr>
        <w:t>E</w:t>
      </w:r>
      <w:r w:rsidR="007900E7" w:rsidRPr="00AC019B">
        <w:rPr>
          <w:rFonts w:asciiTheme="minorHAnsi" w:hAnsiTheme="minorHAnsi" w:cstheme="minorHAnsi"/>
          <w:i/>
        </w:rPr>
        <w:t>stablishment of the Subgroup on COP14</w:t>
      </w:r>
    </w:p>
    <w:p w14:paraId="4C17D610" w14:textId="77777777" w:rsidR="00637694" w:rsidRPr="004964A4" w:rsidRDefault="00637694" w:rsidP="004964A4">
      <w:pPr>
        <w:spacing w:after="0" w:line="240" w:lineRule="auto"/>
        <w:contextualSpacing/>
        <w:rPr>
          <w:rFonts w:asciiTheme="minorHAnsi" w:hAnsiTheme="minorHAnsi" w:cstheme="minorHAnsi"/>
          <w:bCs/>
        </w:rPr>
      </w:pPr>
    </w:p>
    <w:p w14:paraId="2A1D06ED" w14:textId="4442F28E" w:rsidR="007900E7" w:rsidRPr="004964A4" w:rsidRDefault="007900E7"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will invite the establishment of the Subgroup on COP14 with a representative of each of the six Ramsar regions.</w:t>
      </w:r>
      <w:r w:rsidR="00A12002" w:rsidRPr="004964A4">
        <w:rPr>
          <w:rFonts w:asciiTheme="minorHAnsi" w:hAnsiTheme="minorHAnsi" w:cstheme="minorHAnsi"/>
          <w:bCs/>
        </w:rPr>
        <w:t xml:space="preserve"> </w:t>
      </w:r>
    </w:p>
    <w:p w14:paraId="369F7A2E" w14:textId="77777777" w:rsidR="007900E7" w:rsidRPr="004964A4" w:rsidRDefault="007900E7" w:rsidP="004964A4">
      <w:pPr>
        <w:spacing w:after="0" w:line="240" w:lineRule="auto"/>
        <w:contextualSpacing/>
        <w:rPr>
          <w:rFonts w:asciiTheme="minorHAnsi" w:hAnsiTheme="minorHAnsi" w:cstheme="minorHAnsi"/>
          <w:bCs/>
        </w:rPr>
      </w:pPr>
    </w:p>
    <w:p w14:paraId="71EDB570"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rPr>
        <w:t>22.</w:t>
      </w:r>
      <w:r w:rsidRPr="004964A4">
        <w:rPr>
          <w:rFonts w:asciiTheme="minorHAnsi" w:hAnsiTheme="minorHAnsi" w:cstheme="minorHAnsi"/>
        </w:rPr>
        <w:tab/>
      </w:r>
      <w:r w:rsidRPr="004964A4">
        <w:rPr>
          <w:rFonts w:asciiTheme="minorHAnsi" w:hAnsiTheme="minorHAnsi" w:cstheme="minorHAnsi"/>
          <w:bCs/>
        </w:rPr>
        <w:t>National Reports for COP14</w:t>
      </w:r>
    </w:p>
    <w:p w14:paraId="47566EFE"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p>
    <w:p w14:paraId="59ECCFED" w14:textId="57600342" w:rsidR="00637694" w:rsidRPr="004964A4" w:rsidRDefault="00637694" w:rsidP="004964A4">
      <w:pPr>
        <w:autoSpaceDE w:val="0"/>
        <w:autoSpaceDN w:val="0"/>
        <w:adjustRightInd w:val="0"/>
        <w:spacing w:after="0" w:line="240" w:lineRule="auto"/>
        <w:rPr>
          <w:rFonts w:asciiTheme="minorHAnsi" w:hAnsiTheme="minorHAnsi" w:cstheme="minorHAnsi"/>
          <w:b/>
          <w:bCs/>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 xml:space="preserve">SC57 Doc.22 </w:t>
      </w:r>
      <w:r w:rsidRPr="00E56BBA">
        <w:rPr>
          <w:rFonts w:asciiTheme="minorHAnsi" w:hAnsiTheme="minorHAnsi" w:cstheme="minorHAnsi"/>
          <w:bCs/>
          <w:i/>
        </w:rPr>
        <w:t>Draft format for National Reports to COP14</w:t>
      </w:r>
      <w:r w:rsidRPr="004964A4">
        <w:rPr>
          <w:rFonts w:asciiTheme="minorHAnsi" w:hAnsiTheme="minorHAnsi" w:cstheme="minorHAnsi"/>
          <w:bCs/>
        </w:rPr>
        <w:t xml:space="preserve">. </w:t>
      </w:r>
      <w:r w:rsidRPr="004964A4">
        <w:rPr>
          <w:rFonts w:asciiTheme="minorHAnsi" w:hAnsiTheme="minorHAnsi" w:cstheme="minorHAnsi"/>
        </w:rPr>
        <w:t xml:space="preserve">The Standing Committee is invited to review and approve the COP14 National Report form for finalization and issuing to Contracting Parties as soon as possible after SC57. </w:t>
      </w:r>
    </w:p>
    <w:p w14:paraId="68C73F18" w14:textId="0E4F9EE5" w:rsidR="007900E7" w:rsidRPr="004964A4" w:rsidRDefault="007900E7" w:rsidP="004964A4">
      <w:pPr>
        <w:spacing w:after="0" w:line="240" w:lineRule="auto"/>
        <w:ind w:left="567" w:hanging="567"/>
        <w:contextualSpacing/>
        <w:rPr>
          <w:rFonts w:asciiTheme="minorHAnsi" w:hAnsiTheme="minorHAnsi" w:cstheme="minorHAnsi"/>
        </w:rPr>
      </w:pPr>
    </w:p>
    <w:p w14:paraId="38A1F938"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23.</w:t>
      </w:r>
      <w:r w:rsidRPr="004964A4">
        <w:rPr>
          <w:rFonts w:asciiTheme="minorHAnsi" w:hAnsiTheme="minorHAnsi" w:cstheme="minorHAnsi"/>
          <w:bCs/>
        </w:rPr>
        <w:tab/>
        <w:t>Update on the status of Sites on the List of Wetlands of International Importance</w:t>
      </w:r>
    </w:p>
    <w:p w14:paraId="38E2B582"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p>
    <w:p w14:paraId="6C59FFBC" w14:textId="4A673855" w:rsidR="00637694" w:rsidRPr="004964A4" w:rsidRDefault="00637694" w:rsidP="004964A4">
      <w:pPr>
        <w:spacing w:after="0" w:line="240" w:lineRule="auto"/>
        <w:contextualSpacing/>
        <w:rPr>
          <w:rFonts w:asciiTheme="minorHAnsi" w:hAnsiTheme="minorHAnsi" w:cstheme="minorHAnsi"/>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 xml:space="preserve">SC57 Doc.23 </w:t>
      </w:r>
      <w:r w:rsidR="00AC019B">
        <w:rPr>
          <w:rFonts w:asciiTheme="minorHAnsi" w:hAnsiTheme="minorHAnsi" w:cstheme="minorHAnsi"/>
        </w:rPr>
        <w:t xml:space="preserve">Rev.1 </w:t>
      </w:r>
      <w:r w:rsidRPr="00AC019B">
        <w:rPr>
          <w:rFonts w:asciiTheme="minorHAnsi" w:hAnsiTheme="minorHAnsi" w:cstheme="minorHAnsi"/>
          <w:bCs/>
          <w:i/>
        </w:rPr>
        <w:t>Update on the status of Sites on the List of Wetlands of International Importance</w:t>
      </w:r>
      <w:r w:rsidRPr="004964A4">
        <w:rPr>
          <w:rFonts w:asciiTheme="minorHAnsi" w:hAnsiTheme="minorHAnsi" w:cstheme="minorHAnsi"/>
          <w:bCs/>
        </w:rPr>
        <w:t xml:space="preserve">. </w:t>
      </w:r>
      <w:r w:rsidR="00302DF1">
        <w:rPr>
          <w:rFonts w:asciiTheme="minorHAnsi" w:hAnsiTheme="minorHAnsi" w:cstheme="minorHAnsi"/>
          <w:bCs/>
        </w:rPr>
        <w:t xml:space="preserve">The </w:t>
      </w:r>
      <w:r w:rsidRPr="004964A4">
        <w:rPr>
          <w:rFonts w:asciiTheme="minorHAnsi" w:hAnsiTheme="minorHAnsi" w:cstheme="minorHAnsi"/>
          <w:spacing w:val="-1"/>
        </w:rPr>
        <w:t>Standing Committee</w:t>
      </w:r>
      <w:r w:rsidRPr="004964A4">
        <w:rPr>
          <w:rFonts w:asciiTheme="minorHAnsi" w:hAnsiTheme="minorHAnsi" w:cstheme="minorHAnsi"/>
          <w:spacing w:val="-2"/>
        </w:rPr>
        <w:t xml:space="preserve"> </w:t>
      </w:r>
      <w:r w:rsidRPr="004964A4">
        <w:rPr>
          <w:rFonts w:asciiTheme="minorHAnsi" w:hAnsiTheme="minorHAnsi" w:cstheme="minorHAnsi"/>
          <w:spacing w:val="-1"/>
        </w:rPr>
        <w:t>is</w:t>
      </w:r>
      <w:r w:rsidRPr="004964A4">
        <w:rPr>
          <w:rFonts w:asciiTheme="minorHAnsi" w:hAnsiTheme="minorHAnsi" w:cstheme="minorHAnsi"/>
        </w:rPr>
        <w:t xml:space="preserve"> </w:t>
      </w:r>
      <w:r w:rsidRPr="004964A4">
        <w:rPr>
          <w:rFonts w:asciiTheme="minorHAnsi" w:hAnsiTheme="minorHAnsi" w:cstheme="minorHAnsi"/>
          <w:spacing w:val="-1"/>
        </w:rPr>
        <w:t>invited to advise</w:t>
      </w:r>
      <w:r w:rsidRPr="004964A4">
        <w:rPr>
          <w:rFonts w:asciiTheme="minorHAnsi" w:hAnsiTheme="minorHAnsi" w:cstheme="minorHAnsi"/>
          <w:spacing w:val="-2"/>
        </w:rPr>
        <w:t xml:space="preserve"> </w:t>
      </w:r>
      <w:r w:rsidRPr="004964A4">
        <w:rPr>
          <w:rFonts w:asciiTheme="minorHAnsi" w:hAnsiTheme="minorHAnsi" w:cstheme="minorHAnsi"/>
        </w:rPr>
        <w:t>on</w:t>
      </w:r>
      <w:r w:rsidRPr="004964A4">
        <w:rPr>
          <w:rFonts w:asciiTheme="minorHAnsi" w:hAnsiTheme="minorHAnsi" w:cstheme="minorHAnsi"/>
          <w:spacing w:val="-1"/>
        </w:rPr>
        <w:t xml:space="preserve"> activities</w:t>
      </w:r>
      <w:r w:rsidRPr="004964A4">
        <w:rPr>
          <w:rFonts w:asciiTheme="minorHAnsi" w:hAnsiTheme="minorHAnsi" w:cstheme="minorHAnsi"/>
          <w:spacing w:val="-2"/>
        </w:rPr>
        <w:t xml:space="preserve"> </w:t>
      </w:r>
      <w:r w:rsidRPr="004964A4">
        <w:rPr>
          <w:rFonts w:asciiTheme="minorHAnsi" w:hAnsiTheme="minorHAnsi" w:cstheme="minorHAnsi"/>
        </w:rPr>
        <w:t>to</w:t>
      </w:r>
      <w:r w:rsidRPr="004964A4">
        <w:rPr>
          <w:rFonts w:asciiTheme="minorHAnsi" w:hAnsiTheme="minorHAnsi" w:cstheme="minorHAnsi"/>
          <w:spacing w:val="-1"/>
        </w:rPr>
        <w:t xml:space="preserve"> be</w:t>
      </w:r>
      <w:r w:rsidRPr="004964A4">
        <w:rPr>
          <w:rFonts w:asciiTheme="minorHAnsi" w:hAnsiTheme="minorHAnsi" w:cstheme="minorHAnsi"/>
          <w:spacing w:val="-2"/>
        </w:rPr>
        <w:t xml:space="preserve"> </w:t>
      </w:r>
      <w:r w:rsidRPr="004964A4">
        <w:rPr>
          <w:rFonts w:asciiTheme="minorHAnsi" w:hAnsiTheme="minorHAnsi" w:cstheme="minorHAnsi"/>
          <w:spacing w:val="-1"/>
        </w:rPr>
        <w:t xml:space="preserve">undertaken </w:t>
      </w:r>
      <w:r w:rsidRPr="004964A4">
        <w:rPr>
          <w:rFonts w:asciiTheme="minorHAnsi" w:hAnsiTheme="minorHAnsi" w:cstheme="minorHAnsi"/>
          <w:spacing w:val="-2"/>
        </w:rPr>
        <w:t>by</w:t>
      </w:r>
      <w:r w:rsidRPr="004964A4">
        <w:rPr>
          <w:rFonts w:asciiTheme="minorHAnsi" w:hAnsiTheme="minorHAnsi" w:cstheme="minorHAnsi"/>
          <w:spacing w:val="1"/>
        </w:rPr>
        <w:t xml:space="preserve"> </w:t>
      </w:r>
      <w:r w:rsidRPr="004964A4">
        <w:rPr>
          <w:rFonts w:asciiTheme="minorHAnsi" w:hAnsiTheme="minorHAnsi" w:cstheme="minorHAnsi"/>
          <w:spacing w:val="-1"/>
        </w:rPr>
        <w:t>regional</w:t>
      </w:r>
      <w:r w:rsidRPr="004964A4">
        <w:rPr>
          <w:rFonts w:asciiTheme="minorHAnsi" w:hAnsiTheme="minorHAnsi" w:cstheme="minorHAnsi"/>
        </w:rPr>
        <w:t xml:space="preserve"> </w:t>
      </w:r>
      <w:r w:rsidRPr="004964A4">
        <w:rPr>
          <w:rFonts w:asciiTheme="minorHAnsi" w:hAnsiTheme="minorHAnsi" w:cstheme="minorHAnsi"/>
          <w:spacing w:val="-1"/>
        </w:rPr>
        <w:t>representatives</w:t>
      </w:r>
      <w:r w:rsidRPr="004964A4">
        <w:rPr>
          <w:rFonts w:asciiTheme="minorHAnsi" w:hAnsiTheme="minorHAnsi" w:cstheme="minorHAnsi"/>
          <w:spacing w:val="-2"/>
        </w:rPr>
        <w:t xml:space="preserve"> </w:t>
      </w:r>
      <w:r w:rsidRPr="004964A4">
        <w:rPr>
          <w:rFonts w:asciiTheme="minorHAnsi" w:hAnsiTheme="minorHAnsi" w:cstheme="minorHAnsi"/>
        </w:rPr>
        <w:t>on</w:t>
      </w:r>
      <w:r w:rsidRPr="004964A4">
        <w:rPr>
          <w:rFonts w:asciiTheme="minorHAnsi" w:hAnsiTheme="minorHAnsi" w:cstheme="minorHAnsi"/>
          <w:spacing w:val="-3"/>
        </w:rPr>
        <w:t xml:space="preserve"> </w:t>
      </w:r>
      <w:r w:rsidRPr="004964A4">
        <w:rPr>
          <w:rFonts w:asciiTheme="minorHAnsi" w:hAnsiTheme="minorHAnsi" w:cstheme="minorHAnsi"/>
          <w:spacing w:val="-1"/>
        </w:rPr>
        <w:t>the</w:t>
      </w:r>
      <w:r w:rsidRPr="004964A4">
        <w:rPr>
          <w:rFonts w:asciiTheme="minorHAnsi" w:hAnsiTheme="minorHAnsi" w:cstheme="minorHAnsi"/>
          <w:spacing w:val="1"/>
        </w:rPr>
        <w:t xml:space="preserve"> </w:t>
      </w:r>
      <w:r w:rsidRPr="004964A4">
        <w:rPr>
          <w:rFonts w:asciiTheme="minorHAnsi" w:hAnsiTheme="minorHAnsi" w:cstheme="minorHAnsi"/>
          <w:spacing w:val="-1"/>
        </w:rPr>
        <w:t>Standing</w:t>
      </w:r>
      <w:r w:rsidRPr="004964A4">
        <w:rPr>
          <w:rFonts w:asciiTheme="minorHAnsi" w:hAnsiTheme="minorHAnsi" w:cstheme="minorHAnsi"/>
          <w:spacing w:val="41"/>
        </w:rPr>
        <w:t xml:space="preserve"> </w:t>
      </w:r>
      <w:r w:rsidRPr="004964A4">
        <w:rPr>
          <w:rFonts w:asciiTheme="minorHAnsi" w:hAnsiTheme="minorHAnsi" w:cstheme="minorHAnsi"/>
          <w:spacing w:val="-1"/>
        </w:rPr>
        <w:t>Committee</w:t>
      </w:r>
      <w:r w:rsidRPr="004964A4">
        <w:rPr>
          <w:rFonts w:asciiTheme="minorHAnsi" w:hAnsiTheme="minorHAnsi" w:cstheme="minorHAnsi"/>
          <w:spacing w:val="1"/>
        </w:rPr>
        <w:t xml:space="preserve"> </w:t>
      </w:r>
      <w:r w:rsidRPr="004964A4">
        <w:rPr>
          <w:rFonts w:asciiTheme="minorHAnsi" w:hAnsiTheme="minorHAnsi" w:cstheme="minorHAnsi"/>
          <w:spacing w:val="-1"/>
        </w:rPr>
        <w:t>and those</w:t>
      </w:r>
      <w:r w:rsidRPr="004964A4">
        <w:rPr>
          <w:rFonts w:asciiTheme="minorHAnsi" w:hAnsiTheme="minorHAnsi" w:cstheme="minorHAnsi"/>
          <w:spacing w:val="-2"/>
        </w:rPr>
        <w:t xml:space="preserve"> </w:t>
      </w:r>
      <w:r w:rsidRPr="004964A4">
        <w:rPr>
          <w:rFonts w:asciiTheme="minorHAnsi" w:hAnsiTheme="minorHAnsi" w:cstheme="minorHAnsi"/>
          <w:spacing w:val="-1"/>
        </w:rPr>
        <w:t>Contracting Parties</w:t>
      </w:r>
      <w:r w:rsidRPr="004964A4">
        <w:rPr>
          <w:rFonts w:asciiTheme="minorHAnsi" w:hAnsiTheme="minorHAnsi" w:cstheme="minorHAnsi"/>
        </w:rPr>
        <w:t xml:space="preserve"> </w:t>
      </w:r>
      <w:r w:rsidRPr="004964A4">
        <w:rPr>
          <w:rFonts w:asciiTheme="minorHAnsi" w:hAnsiTheme="minorHAnsi" w:cstheme="minorHAnsi"/>
          <w:spacing w:val="-1"/>
        </w:rPr>
        <w:t>directly</w:t>
      </w:r>
      <w:r w:rsidRPr="004964A4">
        <w:rPr>
          <w:rFonts w:asciiTheme="minorHAnsi" w:hAnsiTheme="minorHAnsi" w:cstheme="minorHAnsi"/>
          <w:spacing w:val="1"/>
        </w:rPr>
        <w:t xml:space="preserve"> </w:t>
      </w:r>
      <w:r w:rsidRPr="004964A4">
        <w:rPr>
          <w:rFonts w:asciiTheme="minorHAnsi" w:hAnsiTheme="minorHAnsi" w:cstheme="minorHAnsi"/>
          <w:spacing w:val="-1"/>
        </w:rPr>
        <w:t xml:space="preserve">concerned. </w:t>
      </w:r>
    </w:p>
    <w:p w14:paraId="17202205" w14:textId="77777777" w:rsidR="00970D6A" w:rsidRPr="004964A4" w:rsidRDefault="00970D6A" w:rsidP="004964A4">
      <w:pPr>
        <w:spacing w:after="0" w:line="240" w:lineRule="auto"/>
        <w:ind w:left="567" w:hanging="567"/>
        <w:contextualSpacing/>
        <w:rPr>
          <w:rFonts w:asciiTheme="minorHAnsi" w:hAnsiTheme="minorHAnsi" w:cstheme="minorHAnsi"/>
          <w:bCs/>
        </w:rPr>
      </w:pPr>
    </w:p>
    <w:p w14:paraId="65F66A9B" w14:textId="42B7901B" w:rsidR="009C79B0" w:rsidRPr="004964A4" w:rsidRDefault="009C79B0"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24.</w:t>
      </w:r>
      <w:r w:rsidRPr="004964A4">
        <w:rPr>
          <w:rFonts w:asciiTheme="minorHAnsi" w:hAnsiTheme="minorHAnsi" w:cstheme="minorHAnsi"/>
          <w:bCs/>
        </w:rPr>
        <w:tab/>
        <w:t>Ramsar Advisory Missions: Operational</w:t>
      </w:r>
      <w:r w:rsidRPr="004964A4">
        <w:rPr>
          <w:rFonts w:asciiTheme="minorHAnsi" w:hAnsiTheme="minorHAnsi" w:cstheme="minorHAnsi"/>
        </w:rPr>
        <w:t xml:space="preserve"> guidance</w:t>
      </w:r>
    </w:p>
    <w:p w14:paraId="3964AECD" w14:textId="77777777" w:rsidR="009C79B0" w:rsidRPr="004964A4" w:rsidRDefault="009C79B0" w:rsidP="004964A4">
      <w:pPr>
        <w:keepNext/>
        <w:spacing w:after="0" w:line="240" w:lineRule="auto"/>
        <w:ind w:left="567" w:hanging="567"/>
        <w:contextualSpacing/>
        <w:rPr>
          <w:rFonts w:asciiTheme="minorHAnsi" w:hAnsiTheme="minorHAnsi" w:cstheme="minorHAnsi"/>
        </w:rPr>
      </w:pPr>
    </w:p>
    <w:p w14:paraId="50D6ED0D" w14:textId="1969D45E" w:rsidR="009C79B0" w:rsidRPr="004964A4" w:rsidRDefault="009C79B0" w:rsidP="004964A4">
      <w:pPr>
        <w:spacing w:after="0" w:line="240" w:lineRule="auto"/>
        <w:rPr>
          <w:rFonts w:asciiTheme="minorHAnsi" w:hAnsiTheme="minorHAnsi" w:cstheme="minorHAnsi"/>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 xml:space="preserve">SC57 Doc.24 </w:t>
      </w:r>
      <w:r w:rsidRPr="00E56BBA">
        <w:rPr>
          <w:rFonts w:asciiTheme="minorHAnsi" w:hAnsiTheme="minorHAnsi" w:cstheme="minorHAnsi"/>
          <w:i/>
        </w:rPr>
        <w:t>Ramsar Advisory Missions: Operational guidance</w:t>
      </w:r>
      <w:r w:rsidRPr="004964A4">
        <w:rPr>
          <w:rFonts w:asciiTheme="minorHAnsi" w:hAnsiTheme="minorHAnsi" w:cstheme="minorHAnsi"/>
        </w:rPr>
        <w:t>.</w:t>
      </w:r>
      <w:r w:rsidR="00E56BBA">
        <w:rPr>
          <w:rFonts w:asciiTheme="minorHAnsi" w:hAnsiTheme="minorHAnsi" w:cstheme="minorHAnsi"/>
        </w:rPr>
        <w:t xml:space="preserve"> </w:t>
      </w:r>
      <w:r w:rsidRPr="004964A4">
        <w:rPr>
          <w:rFonts w:asciiTheme="minorHAnsi" w:hAnsiTheme="minorHAnsi" w:cstheme="minorHAnsi"/>
        </w:rPr>
        <w:t xml:space="preserve">The Standing Committee is invited to adopt the operational guidance for Ramsar Advisory Missions and instruct the Secretariat to publish the operational guidance on the Convention website to be used when preparing future Ramsar Advisory Missions. </w:t>
      </w:r>
    </w:p>
    <w:p w14:paraId="1F8F6DD1" w14:textId="68E0F049" w:rsidR="007900E7" w:rsidRPr="004964A4" w:rsidRDefault="007900E7" w:rsidP="004964A4">
      <w:pPr>
        <w:spacing w:after="0" w:line="240" w:lineRule="auto"/>
        <w:ind w:left="567" w:hanging="567"/>
        <w:contextualSpacing/>
        <w:rPr>
          <w:rFonts w:asciiTheme="minorHAnsi" w:hAnsiTheme="minorHAnsi" w:cstheme="minorHAnsi"/>
        </w:rPr>
      </w:pPr>
    </w:p>
    <w:p w14:paraId="42BF6F1E" w14:textId="6A2EA3F6" w:rsidR="00AF56EC" w:rsidRPr="004964A4" w:rsidRDefault="00262DF0"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25.</w:t>
      </w:r>
      <w:r w:rsidR="00B40295" w:rsidRPr="004964A4">
        <w:rPr>
          <w:rFonts w:asciiTheme="minorHAnsi" w:hAnsiTheme="minorHAnsi" w:cstheme="minorHAnsi"/>
          <w:bCs/>
        </w:rPr>
        <w:tab/>
      </w:r>
      <w:r w:rsidRPr="004964A4">
        <w:rPr>
          <w:rFonts w:asciiTheme="minorHAnsi" w:hAnsiTheme="minorHAnsi" w:cstheme="minorHAnsi"/>
          <w:bCs/>
        </w:rPr>
        <w:t>Report of the Secretariat on the Ramsar Regional Initiatives in 2018 and 2019, and establishment of the Ramsar Regional Initiatives Working Group</w:t>
      </w:r>
      <w:r w:rsidR="00C57E8C" w:rsidRPr="004964A4">
        <w:rPr>
          <w:rFonts w:asciiTheme="minorHAnsi" w:hAnsiTheme="minorHAnsi" w:cstheme="minorHAnsi"/>
          <w:bCs/>
        </w:rPr>
        <w:t>.</w:t>
      </w:r>
    </w:p>
    <w:p w14:paraId="1A54F853" w14:textId="4C341F55" w:rsidR="00C57E8C" w:rsidRPr="004964A4" w:rsidRDefault="00C57E8C" w:rsidP="004964A4">
      <w:pPr>
        <w:keepNext/>
        <w:spacing w:after="0" w:line="240" w:lineRule="auto"/>
        <w:ind w:left="567" w:hanging="567"/>
        <w:contextualSpacing/>
        <w:rPr>
          <w:rFonts w:asciiTheme="minorHAnsi" w:hAnsiTheme="minorHAnsi" w:cstheme="minorHAnsi"/>
          <w:bCs/>
        </w:rPr>
      </w:pPr>
    </w:p>
    <w:p w14:paraId="2A7A3BC0" w14:textId="6736181C" w:rsidR="00DD52E1" w:rsidRPr="004964A4" w:rsidRDefault="00EB2424" w:rsidP="004964A4">
      <w:pPr>
        <w:spacing w:after="0" w:line="240" w:lineRule="auto"/>
        <w:rPr>
          <w:rFonts w:asciiTheme="minorHAnsi" w:hAnsiTheme="minorHAnsi" w:cstheme="minorHAnsi"/>
        </w:rPr>
      </w:pPr>
      <w:r w:rsidRPr="004964A4">
        <w:rPr>
          <w:rFonts w:asciiTheme="minorHAnsi" w:hAnsiTheme="minorHAnsi" w:cstheme="minorHAnsi"/>
          <w:bCs/>
        </w:rPr>
        <w:t xml:space="preserve">The Secretariat will introduce </w:t>
      </w:r>
      <w:r w:rsidR="00E56BBA">
        <w:rPr>
          <w:rFonts w:asciiTheme="minorHAnsi" w:hAnsiTheme="minorHAnsi" w:cstheme="minorHAnsi"/>
          <w:bCs/>
        </w:rPr>
        <w:t xml:space="preserve">document </w:t>
      </w:r>
      <w:r w:rsidRPr="004964A4">
        <w:rPr>
          <w:rFonts w:asciiTheme="minorHAnsi" w:hAnsiTheme="minorHAnsi" w:cstheme="minorHAnsi"/>
          <w:bCs/>
        </w:rPr>
        <w:t>SC57</w:t>
      </w:r>
      <w:r w:rsidR="003C59CE" w:rsidRPr="004964A4">
        <w:rPr>
          <w:rFonts w:asciiTheme="minorHAnsi" w:hAnsiTheme="minorHAnsi" w:cstheme="minorHAnsi"/>
          <w:bCs/>
        </w:rPr>
        <w:t xml:space="preserve"> Doc.</w:t>
      </w:r>
      <w:r w:rsidRPr="004964A4">
        <w:rPr>
          <w:rFonts w:asciiTheme="minorHAnsi" w:hAnsiTheme="minorHAnsi" w:cstheme="minorHAnsi"/>
          <w:bCs/>
        </w:rPr>
        <w:t>25</w:t>
      </w:r>
      <w:r w:rsidR="00887231" w:rsidRPr="004964A4">
        <w:rPr>
          <w:rFonts w:asciiTheme="minorHAnsi" w:hAnsiTheme="minorHAnsi" w:cstheme="minorHAnsi"/>
          <w:bCs/>
        </w:rPr>
        <w:t xml:space="preserve"> </w:t>
      </w:r>
      <w:r w:rsidR="00E56BBA" w:rsidRPr="00E56BBA">
        <w:rPr>
          <w:rFonts w:asciiTheme="minorHAnsi" w:hAnsiTheme="minorHAnsi" w:cstheme="minorHAnsi"/>
          <w:bCs/>
          <w:i/>
        </w:rPr>
        <w:t>2019 update on the Ramsar Regional Initiatives</w:t>
      </w:r>
      <w:r w:rsidR="008B5BA6" w:rsidRPr="004964A4">
        <w:rPr>
          <w:rFonts w:asciiTheme="minorHAnsi" w:hAnsiTheme="minorHAnsi" w:cstheme="minorHAnsi"/>
        </w:rPr>
        <w:t xml:space="preserve">. </w:t>
      </w:r>
    </w:p>
    <w:p w14:paraId="2898B93D" w14:textId="77777777" w:rsidR="00B37B82" w:rsidRPr="004964A4" w:rsidRDefault="00B37B82" w:rsidP="004964A4">
      <w:pPr>
        <w:spacing w:after="0" w:line="240" w:lineRule="auto"/>
        <w:rPr>
          <w:rFonts w:asciiTheme="minorHAnsi" w:hAnsiTheme="minorHAnsi" w:cstheme="minorHAnsi"/>
        </w:rPr>
      </w:pPr>
    </w:p>
    <w:p w14:paraId="1B93471D" w14:textId="2147E50E" w:rsidR="004F669E" w:rsidRPr="004964A4" w:rsidRDefault="008B5BA6" w:rsidP="004964A4">
      <w:pPr>
        <w:spacing w:after="0" w:line="240" w:lineRule="auto"/>
        <w:rPr>
          <w:rFonts w:asciiTheme="minorHAnsi" w:hAnsiTheme="minorHAnsi" w:cstheme="minorHAnsi"/>
          <w:bCs/>
        </w:rPr>
      </w:pPr>
      <w:r w:rsidRPr="004964A4">
        <w:rPr>
          <w:rFonts w:asciiTheme="minorHAnsi" w:hAnsiTheme="minorHAnsi" w:cstheme="minorHAnsi"/>
        </w:rPr>
        <w:t xml:space="preserve">The Standing Committee </w:t>
      </w:r>
      <w:r w:rsidR="003C59CE" w:rsidRPr="004964A4">
        <w:rPr>
          <w:rFonts w:asciiTheme="minorHAnsi" w:hAnsiTheme="minorHAnsi" w:cstheme="minorHAnsi"/>
        </w:rPr>
        <w:t xml:space="preserve">will </w:t>
      </w:r>
      <w:r w:rsidRPr="004964A4">
        <w:rPr>
          <w:rFonts w:asciiTheme="minorHAnsi" w:hAnsiTheme="minorHAnsi" w:cstheme="minorHAnsi"/>
        </w:rPr>
        <w:t>take decisions on</w:t>
      </w:r>
      <w:r w:rsidR="003C59CE" w:rsidRPr="004964A4">
        <w:rPr>
          <w:rFonts w:asciiTheme="minorHAnsi" w:hAnsiTheme="minorHAnsi" w:cstheme="minorHAnsi"/>
        </w:rPr>
        <w:t xml:space="preserve"> the</w:t>
      </w:r>
      <w:r w:rsidR="004F669E" w:rsidRPr="004964A4">
        <w:rPr>
          <w:rFonts w:asciiTheme="minorHAnsi" w:hAnsiTheme="minorHAnsi" w:cstheme="minorHAnsi"/>
        </w:rPr>
        <w:t xml:space="preserve"> </w:t>
      </w:r>
      <w:r w:rsidR="003C59CE" w:rsidRPr="004964A4">
        <w:rPr>
          <w:rFonts w:asciiTheme="minorHAnsi" w:hAnsiTheme="minorHAnsi" w:cstheme="minorHAnsi"/>
        </w:rPr>
        <w:t>a</w:t>
      </w:r>
      <w:r w:rsidR="004F669E" w:rsidRPr="004964A4">
        <w:rPr>
          <w:rFonts w:asciiTheme="minorHAnsi" w:hAnsiTheme="minorHAnsi" w:cstheme="minorHAnsi"/>
        </w:rPr>
        <w:t>llocat</w:t>
      </w:r>
      <w:r w:rsidR="003C59CE" w:rsidRPr="004964A4">
        <w:rPr>
          <w:rFonts w:asciiTheme="minorHAnsi" w:hAnsiTheme="minorHAnsi" w:cstheme="minorHAnsi"/>
        </w:rPr>
        <w:t xml:space="preserve">ion of </w:t>
      </w:r>
      <w:r w:rsidR="004F669E" w:rsidRPr="004964A4">
        <w:rPr>
          <w:rFonts w:asciiTheme="minorHAnsi" w:hAnsiTheme="minorHAnsi" w:cstheme="minorHAnsi"/>
        </w:rPr>
        <w:t>funds from the 2019 Ramsar core budget line D “Support to Regional Initiatives”</w:t>
      </w:r>
      <w:r w:rsidR="004F669E" w:rsidRPr="004964A4" w:rsidDel="00DC06E6">
        <w:rPr>
          <w:rFonts w:asciiTheme="minorHAnsi" w:hAnsiTheme="minorHAnsi" w:cstheme="minorHAnsi"/>
        </w:rPr>
        <w:t xml:space="preserve"> </w:t>
      </w:r>
      <w:r w:rsidR="004F669E" w:rsidRPr="004964A4">
        <w:rPr>
          <w:rFonts w:asciiTheme="minorHAnsi" w:hAnsiTheme="minorHAnsi" w:cstheme="minorHAnsi"/>
        </w:rPr>
        <w:t>(Resolution XIII.2) to provide start-up funding to newly established Initiatives for their activities in 2019.</w:t>
      </w:r>
      <w:r w:rsidR="00A12002" w:rsidRPr="004964A4">
        <w:rPr>
          <w:rFonts w:asciiTheme="minorHAnsi" w:hAnsiTheme="minorHAnsi" w:cstheme="minorHAnsi"/>
        </w:rPr>
        <w:t xml:space="preserve"> </w:t>
      </w:r>
      <w:r w:rsidR="003C59CE" w:rsidRPr="004964A4">
        <w:rPr>
          <w:rFonts w:asciiTheme="minorHAnsi" w:hAnsiTheme="minorHAnsi" w:cstheme="minorHAnsi"/>
        </w:rPr>
        <w:t>In addition, the Standing Committee will c</w:t>
      </w:r>
      <w:r w:rsidR="004F669E" w:rsidRPr="004964A4">
        <w:rPr>
          <w:rFonts w:asciiTheme="minorHAnsi" w:hAnsiTheme="minorHAnsi" w:cstheme="minorHAnsi"/>
        </w:rPr>
        <w:t xml:space="preserve">onsider the Ramsar Regional Initiatives Working Group and the allocation of funds, according to paragraph 9 of Resolution XIII.9 </w:t>
      </w:r>
      <w:r w:rsidR="00E56BBA">
        <w:rPr>
          <w:rFonts w:asciiTheme="minorHAnsi" w:hAnsiTheme="minorHAnsi" w:cstheme="minorHAnsi"/>
        </w:rPr>
        <w:t xml:space="preserve">on </w:t>
      </w:r>
      <w:r w:rsidR="00E56BBA" w:rsidRPr="00E56BBA">
        <w:rPr>
          <w:i/>
        </w:rPr>
        <w:t>Ramsar Regional Initiatives 2019-2021</w:t>
      </w:r>
      <w:r w:rsidR="00E56BBA" w:rsidRPr="004964A4">
        <w:rPr>
          <w:rFonts w:asciiTheme="minorHAnsi" w:hAnsiTheme="minorHAnsi" w:cstheme="minorHAnsi"/>
        </w:rPr>
        <w:t xml:space="preserve"> </w:t>
      </w:r>
      <w:r w:rsidR="004F669E" w:rsidRPr="004964A4">
        <w:rPr>
          <w:rFonts w:asciiTheme="minorHAnsi" w:hAnsiTheme="minorHAnsi" w:cstheme="minorHAnsi"/>
        </w:rPr>
        <w:t xml:space="preserve">and Standing Committee </w:t>
      </w:r>
      <w:r w:rsidR="004F669E" w:rsidRPr="004964A4">
        <w:rPr>
          <w:rFonts w:asciiTheme="minorHAnsi" w:hAnsiTheme="minorHAnsi" w:cstheme="minorHAnsi"/>
          <w:bCs/>
        </w:rPr>
        <w:t xml:space="preserve">Decision SC56-07. </w:t>
      </w:r>
    </w:p>
    <w:p w14:paraId="02118D19" w14:textId="326596A7" w:rsidR="009C79B0" w:rsidRPr="004964A4" w:rsidRDefault="009C79B0" w:rsidP="004964A4">
      <w:pPr>
        <w:spacing w:after="0" w:line="240" w:lineRule="auto"/>
        <w:rPr>
          <w:rFonts w:asciiTheme="minorHAnsi" w:hAnsiTheme="minorHAnsi" w:cstheme="minorHAnsi"/>
          <w:bCs/>
        </w:rPr>
      </w:pPr>
    </w:p>
    <w:p w14:paraId="118FB27E" w14:textId="77777777" w:rsidR="009C79B0" w:rsidRPr="004964A4" w:rsidRDefault="009C79B0"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rPr>
        <w:lastRenderedPageBreak/>
        <w:t>26.</w:t>
      </w:r>
      <w:r w:rsidRPr="004964A4">
        <w:rPr>
          <w:rFonts w:asciiTheme="minorHAnsi" w:hAnsiTheme="minorHAnsi" w:cstheme="minorHAnsi"/>
        </w:rPr>
        <w:tab/>
        <w:t>Wetland City Accreditation: Guidance for the 2019-2021 triennium</w:t>
      </w:r>
    </w:p>
    <w:p w14:paraId="50BF37E8" w14:textId="77777777" w:rsidR="009C79B0" w:rsidRPr="004964A4" w:rsidRDefault="009C79B0" w:rsidP="004964A4">
      <w:pPr>
        <w:keepNext/>
        <w:spacing w:after="0" w:line="240" w:lineRule="auto"/>
        <w:ind w:left="1134" w:hanging="1134"/>
        <w:contextualSpacing/>
        <w:rPr>
          <w:rFonts w:asciiTheme="minorHAnsi" w:hAnsiTheme="minorHAnsi" w:cstheme="minorHAnsi"/>
          <w:bCs/>
        </w:rPr>
      </w:pPr>
    </w:p>
    <w:p w14:paraId="31DCC3FB" w14:textId="7B65A0A7" w:rsidR="009C79B0" w:rsidRPr="004964A4" w:rsidRDefault="009C79B0" w:rsidP="004964A4">
      <w:pPr>
        <w:spacing w:after="0" w:line="240" w:lineRule="auto"/>
        <w:contextualSpacing/>
        <w:rPr>
          <w:rFonts w:asciiTheme="minorHAnsi" w:eastAsiaTheme="minorEastAsia" w:hAnsiTheme="minorHAnsi" w:cstheme="minorHAnsi"/>
          <w:lang w:val="en-US"/>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SC57 Doc</w:t>
      </w:r>
      <w:r w:rsidR="00E56BBA">
        <w:rPr>
          <w:rFonts w:asciiTheme="minorHAnsi" w:hAnsiTheme="minorHAnsi" w:cstheme="minorHAnsi"/>
        </w:rPr>
        <w:t>.</w:t>
      </w:r>
      <w:r w:rsidRPr="004964A4">
        <w:rPr>
          <w:rFonts w:asciiTheme="minorHAnsi" w:hAnsiTheme="minorHAnsi" w:cstheme="minorHAnsi"/>
        </w:rPr>
        <w:t xml:space="preserve">26 </w:t>
      </w:r>
      <w:r w:rsidRPr="00C16FB1">
        <w:rPr>
          <w:rFonts w:asciiTheme="minorHAnsi" w:hAnsiTheme="minorHAnsi" w:cstheme="minorHAnsi"/>
          <w:i/>
        </w:rPr>
        <w:t>Wetland City Accreditation: Guidance for the 2019-2021 triennium</w:t>
      </w:r>
      <w:r w:rsidRPr="004964A4">
        <w:rPr>
          <w:rFonts w:asciiTheme="minorHAnsi" w:hAnsiTheme="minorHAnsi" w:cstheme="minorHAnsi"/>
        </w:rPr>
        <w:t xml:space="preserve">. The Standing Committee is invited to provide guidance </w:t>
      </w:r>
      <w:r w:rsidRPr="004964A4">
        <w:rPr>
          <w:rStyle w:val="tlid-translation"/>
          <w:rFonts w:asciiTheme="minorHAnsi" w:hAnsiTheme="minorHAnsi" w:cstheme="minorHAnsi"/>
          <w:lang w:val="en"/>
        </w:rPr>
        <w:t>for the accreditation process for the 2019-2021 triennium, including</w:t>
      </w:r>
      <w:r w:rsidR="00A12002" w:rsidRPr="004964A4">
        <w:rPr>
          <w:rStyle w:val="tlid-translation"/>
          <w:rFonts w:asciiTheme="minorHAnsi" w:hAnsiTheme="minorHAnsi" w:cstheme="minorHAnsi"/>
          <w:lang w:val="en"/>
        </w:rPr>
        <w:t xml:space="preserve"> </w:t>
      </w:r>
      <w:r w:rsidRPr="004964A4">
        <w:rPr>
          <w:rStyle w:val="tlid-translation"/>
          <w:rFonts w:asciiTheme="minorHAnsi" w:eastAsiaTheme="minorEastAsia" w:hAnsiTheme="minorHAnsi" w:cstheme="minorHAnsi"/>
          <w:lang w:val="en-US"/>
        </w:rPr>
        <w:t>membership of the Independent Advisory Committee (IAC)</w:t>
      </w:r>
      <w:r w:rsidR="00302DF1">
        <w:rPr>
          <w:rStyle w:val="tlid-translation"/>
          <w:rFonts w:asciiTheme="minorHAnsi" w:eastAsiaTheme="minorEastAsia" w:hAnsiTheme="minorHAnsi" w:cstheme="minorHAnsi"/>
          <w:lang w:val="en-US"/>
        </w:rPr>
        <w:t>,</w:t>
      </w:r>
      <w:r w:rsidR="00A12002" w:rsidRPr="004964A4">
        <w:rPr>
          <w:rStyle w:val="tlid-translation"/>
          <w:rFonts w:asciiTheme="minorHAnsi" w:eastAsiaTheme="minorEastAsia" w:hAnsiTheme="minorHAnsi" w:cstheme="minorHAnsi"/>
          <w:lang w:val="en-US"/>
        </w:rPr>
        <w:t xml:space="preserve"> </w:t>
      </w:r>
      <w:r w:rsidRPr="004964A4">
        <w:rPr>
          <w:rStyle w:val="tlid-translation"/>
          <w:rFonts w:asciiTheme="minorHAnsi" w:eastAsiaTheme="minorEastAsia" w:hAnsiTheme="minorHAnsi" w:cstheme="minorHAnsi"/>
          <w:lang w:val="en-US"/>
        </w:rPr>
        <w:t>the role of the Secretariat</w:t>
      </w:r>
      <w:r w:rsidR="00302DF1">
        <w:rPr>
          <w:rStyle w:val="tlid-translation"/>
          <w:rFonts w:asciiTheme="minorHAnsi" w:eastAsiaTheme="minorEastAsia" w:hAnsiTheme="minorHAnsi" w:cstheme="minorHAnsi"/>
          <w:lang w:val="en-US"/>
        </w:rPr>
        <w:t>, and</w:t>
      </w:r>
      <w:r w:rsidRPr="004964A4">
        <w:rPr>
          <w:rStyle w:val="tlid-translation"/>
          <w:rFonts w:asciiTheme="minorHAnsi" w:eastAsiaTheme="minorEastAsia" w:hAnsiTheme="minorHAnsi" w:cstheme="minorHAnsi"/>
          <w:lang w:val="en-US"/>
        </w:rPr>
        <w:t xml:space="preserve"> the process and timeline for the 2019-2021 triennium; and </w:t>
      </w:r>
      <w:r w:rsidRPr="004964A4">
        <w:rPr>
          <w:rFonts w:asciiTheme="minorHAnsi" w:eastAsiaTheme="minorEastAsia" w:hAnsiTheme="minorHAnsi" w:cstheme="minorHAnsi"/>
          <w:lang w:val="en-US"/>
        </w:rPr>
        <w:t xml:space="preserve">consider requesting the IAC to review the process. </w:t>
      </w:r>
    </w:p>
    <w:p w14:paraId="7E514D32" w14:textId="77777777" w:rsidR="009C79B0" w:rsidRPr="004964A4" w:rsidRDefault="009C79B0" w:rsidP="004964A4">
      <w:pPr>
        <w:spacing w:after="0" w:line="240" w:lineRule="auto"/>
        <w:rPr>
          <w:rFonts w:asciiTheme="minorHAnsi" w:hAnsiTheme="minorHAnsi" w:cstheme="minorHAnsi"/>
          <w:lang w:val="en-US"/>
        </w:rPr>
      </w:pPr>
    </w:p>
    <w:p w14:paraId="5DE8AD8B" w14:textId="77777777" w:rsidR="009C79B0" w:rsidRPr="004964A4" w:rsidRDefault="009C79B0"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 xml:space="preserve">27. </w:t>
      </w:r>
      <w:r w:rsidRPr="004964A4">
        <w:rPr>
          <w:rFonts w:asciiTheme="minorHAnsi" w:hAnsiTheme="minorHAnsi" w:cstheme="minorHAnsi"/>
          <w:bCs/>
        </w:rPr>
        <w:tab/>
        <w:t>58th meeting of the Standing Committee</w:t>
      </w:r>
    </w:p>
    <w:p w14:paraId="425699B1" w14:textId="77777777" w:rsidR="009C79B0" w:rsidRPr="004964A4" w:rsidRDefault="009C79B0" w:rsidP="004964A4">
      <w:pPr>
        <w:keepNext/>
        <w:spacing w:after="0" w:line="240" w:lineRule="auto"/>
        <w:ind w:left="567" w:hanging="567"/>
        <w:contextualSpacing/>
        <w:rPr>
          <w:rFonts w:asciiTheme="minorHAnsi" w:hAnsiTheme="minorHAnsi" w:cstheme="minorHAnsi"/>
          <w:bCs/>
        </w:rPr>
      </w:pPr>
    </w:p>
    <w:p w14:paraId="0F53003C" w14:textId="77777777" w:rsidR="009C79B0" w:rsidRPr="004964A4" w:rsidRDefault="009C79B0"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27.1</w:t>
      </w:r>
      <w:r w:rsidRPr="004964A4">
        <w:rPr>
          <w:rFonts w:asciiTheme="minorHAnsi" w:hAnsiTheme="minorHAnsi" w:cstheme="minorHAnsi"/>
          <w:bCs/>
        </w:rPr>
        <w:tab/>
      </w:r>
      <w:r w:rsidRPr="004964A4">
        <w:rPr>
          <w:rFonts w:asciiTheme="minorHAnsi" w:hAnsiTheme="minorHAnsi" w:cstheme="minorHAnsi"/>
        </w:rPr>
        <w:t xml:space="preserve">Implications of joint meetings of the Standing Committee and the </w:t>
      </w:r>
      <w:r w:rsidRPr="004964A4">
        <w:rPr>
          <w:rFonts w:asciiTheme="minorHAnsi" w:hAnsiTheme="minorHAnsi" w:cstheme="minorHAnsi"/>
          <w:bCs/>
        </w:rPr>
        <w:t>Scientific and Technical Review Panel</w:t>
      </w:r>
    </w:p>
    <w:p w14:paraId="7E3CA49B" w14:textId="77777777" w:rsidR="009C79B0" w:rsidRPr="004964A4" w:rsidRDefault="009C79B0" w:rsidP="004964A4">
      <w:pPr>
        <w:spacing w:after="0" w:line="240" w:lineRule="auto"/>
        <w:ind w:left="1134" w:hanging="567"/>
        <w:contextualSpacing/>
        <w:rPr>
          <w:rFonts w:asciiTheme="minorHAnsi" w:hAnsiTheme="minorHAnsi" w:cstheme="minorHAnsi"/>
          <w:bCs/>
        </w:rPr>
      </w:pPr>
    </w:p>
    <w:p w14:paraId="6F2F4FA5" w14:textId="63A26F3A" w:rsidR="009C79B0" w:rsidRPr="004964A4" w:rsidRDefault="009C79B0"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Secretariat </w:t>
      </w:r>
      <w:r w:rsidRPr="004964A4">
        <w:rPr>
          <w:rFonts w:asciiTheme="minorHAnsi" w:hAnsiTheme="minorHAnsi" w:cstheme="minorHAnsi"/>
        </w:rPr>
        <w:t>will introduce</w:t>
      </w:r>
      <w:r w:rsidR="00C16FB1">
        <w:rPr>
          <w:rFonts w:asciiTheme="minorHAnsi" w:hAnsiTheme="minorHAnsi" w:cstheme="minorHAnsi"/>
        </w:rPr>
        <w:t xml:space="preserve"> document</w:t>
      </w:r>
      <w:r w:rsidRPr="004964A4">
        <w:rPr>
          <w:rFonts w:asciiTheme="minorHAnsi" w:hAnsiTheme="minorHAnsi" w:cstheme="minorHAnsi"/>
        </w:rPr>
        <w:t xml:space="preserve"> SC57</w:t>
      </w:r>
      <w:r w:rsidR="00970D6A" w:rsidRPr="004964A4">
        <w:rPr>
          <w:rFonts w:asciiTheme="minorHAnsi" w:hAnsiTheme="minorHAnsi" w:cstheme="minorHAnsi"/>
        </w:rPr>
        <w:t xml:space="preserve"> Doc.</w:t>
      </w:r>
      <w:r w:rsidRPr="004964A4">
        <w:rPr>
          <w:rFonts w:asciiTheme="minorHAnsi" w:hAnsiTheme="minorHAnsi" w:cstheme="minorHAnsi"/>
        </w:rPr>
        <w:t xml:space="preserve">27 </w:t>
      </w:r>
      <w:r w:rsidRPr="00C16FB1">
        <w:rPr>
          <w:rFonts w:asciiTheme="minorHAnsi" w:hAnsiTheme="minorHAnsi" w:cstheme="minorHAnsi"/>
          <w:i/>
        </w:rPr>
        <w:t xml:space="preserve">Implications of joint meetings of the Standing Committee and </w:t>
      </w:r>
      <w:r w:rsidR="00C16FB1" w:rsidRPr="00C16FB1">
        <w:rPr>
          <w:rFonts w:asciiTheme="minorHAnsi" w:hAnsiTheme="minorHAnsi" w:cstheme="minorHAnsi"/>
          <w:i/>
        </w:rPr>
        <w:t xml:space="preserve">the Scientific and </w:t>
      </w:r>
      <w:r w:rsidRPr="00C16FB1">
        <w:rPr>
          <w:rFonts w:asciiTheme="minorHAnsi" w:hAnsiTheme="minorHAnsi" w:cstheme="minorHAnsi"/>
          <w:i/>
        </w:rPr>
        <w:t>Technical Review Panel</w:t>
      </w:r>
      <w:r w:rsidRPr="004964A4">
        <w:rPr>
          <w:rFonts w:asciiTheme="minorHAnsi" w:hAnsiTheme="minorHAnsi" w:cstheme="minorHAnsi"/>
        </w:rPr>
        <w:t>. The Standing Committee is invited to</w:t>
      </w:r>
      <w:r w:rsidR="00C16FB1">
        <w:rPr>
          <w:rFonts w:asciiTheme="minorHAnsi" w:hAnsiTheme="minorHAnsi" w:cstheme="minorHAnsi"/>
        </w:rPr>
        <w:t xml:space="preserve"> </w:t>
      </w:r>
      <w:r w:rsidRPr="004964A4">
        <w:rPr>
          <w:rFonts w:asciiTheme="minorHAnsi" w:hAnsiTheme="minorHAnsi" w:cstheme="minorHAnsi"/>
        </w:rPr>
        <w:t>take note of the review provided on options for and implications of joint meetings of the Standing Committee and the Scientific and Technical Review Panel; and consider the scenarios proposed and provide guidance to the Secretariat on how to proceed with the organization of STRP23 and SC58.</w:t>
      </w:r>
    </w:p>
    <w:p w14:paraId="050F4F40" w14:textId="77777777" w:rsidR="009C79B0" w:rsidRPr="004964A4" w:rsidRDefault="009C79B0" w:rsidP="004964A4">
      <w:pPr>
        <w:spacing w:after="0" w:line="240" w:lineRule="auto"/>
        <w:contextualSpacing/>
        <w:rPr>
          <w:rFonts w:asciiTheme="minorHAnsi" w:hAnsiTheme="minorHAnsi" w:cstheme="minorHAnsi"/>
        </w:rPr>
      </w:pPr>
    </w:p>
    <w:p w14:paraId="5146A0C0" w14:textId="77777777" w:rsidR="009C79B0" w:rsidRPr="004964A4" w:rsidRDefault="009C79B0"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27.2</w:t>
      </w:r>
      <w:r w:rsidRPr="004964A4">
        <w:rPr>
          <w:rFonts w:asciiTheme="minorHAnsi" w:hAnsiTheme="minorHAnsi" w:cstheme="minorHAnsi"/>
          <w:bCs/>
        </w:rPr>
        <w:tab/>
        <w:t>Dates of the 58th meeting</w:t>
      </w:r>
    </w:p>
    <w:p w14:paraId="1D91C476" w14:textId="77777777" w:rsidR="009C79B0" w:rsidRPr="004964A4" w:rsidRDefault="009C79B0" w:rsidP="004964A4">
      <w:pPr>
        <w:spacing w:after="0" w:line="240" w:lineRule="auto"/>
        <w:ind w:left="1134" w:hanging="567"/>
        <w:contextualSpacing/>
        <w:rPr>
          <w:rFonts w:asciiTheme="minorHAnsi" w:hAnsiTheme="minorHAnsi" w:cstheme="minorHAnsi"/>
          <w:bCs/>
        </w:rPr>
      </w:pPr>
    </w:p>
    <w:p w14:paraId="7C2AAD1E" w14:textId="6991EFAA" w:rsidR="009C79B0" w:rsidRPr="004964A4" w:rsidRDefault="00A12002" w:rsidP="004964A4">
      <w:pPr>
        <w:spacing w:after="0" w:line="240" w:lineRule="auto"/>
        <w:ind w:left="1134" w:hanging="1276"/>
        <w:contextualSpacing/>
        <w:rPr>
          <w:rFonts w:asciiTheme="minorHAnsi" w:hAnsiTheme="minorHAnsi" w:cstheme="minorHAnsi"/>
          <w:bCs/>
        </w:rPr>
      </w:pPr>
      <w:r w:rsidRPr="004964A4">
        <w:rPr>
          <w:rFonts w:asciiTheme="minorHAnsi" w:hAnsiTheme="minorHAnsi" w:cstheme="minorHAnsi"/>
          <w:bCs/>
        </w:rPr>
        <w:t xml:space="preserve"> </w:t>
      </w:r>
      <w:r w:rsidR="009C79B0" w:rsidRPr="004964A4">
        <w:rPr>
          <w:rFonts w:asciiTheme="minorHAnsi" w:hAnsiTheme="minorHAnsi" w:cstheme="minorHAnsi"/>
          <w:bCs/>
        </w:rPr>
        <w:t>The Secretariat will note the dates for SC58 in 2020 for the approval of the Standing Committee.</w:t>
      </w:r>
    </w:p>
    <w:p w14:paraId="6AC20DCB" w14:textId="77777777" w:rsidR="007C4340" w:rsidRPr="004964A4" w:rsidRDefault="007C4340" w:rsidP="004964A4">
      <w:pPr>
        <w:spacing w:after="0" w:line="240" w:lineRule="auto"/>
        <w:ind w:left="567" w:hanging="567"/>
        <w:contextualSpacing/>
        <w:rPr>
          <w:rFonts w:asciiTheme="minorHAnsi" w:hAnsiTheme="minorHAnsi" w:cstheme="minorHAnsi"/>
          <w:bCs/>
        </w:rPr>
      </w:pPr>
    </w:p>
    <w:p w14:paraId="66D643F8" w14:textId="2AE693D5" w:rsidR="00970D6A" w:rsidRPr="004964A4" w:rsidRDefault="00970D6A"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28.</w:t>
      </w:r>
      <w:r w:rsidRPr="004964A4">
        <w:rPr>
          <w:rFonts w:asciiTheme="minorHAnsi" w:hAnsiTheme="minorHAnsi" w:cstheme="minorHAnsi"/>
          <w:bCs/>
        </w:rPr>
        <w:tab/>
        <w:t>Adoption of the report of the meeting</w:t>
      </w:r>
    </w:p>
    <w:p w14:paraId="44FA6FB0" w14:textId="77777777" w:rsidR="00970D6A" w:rsidRPr="004964A4" w:rsidRDefault="00970D6A" w:rsidP="004964A4">
      <w:pPr>
        <w:keepNext/>
        <w:spacing w:after="0" w:line="240" w:lineRule="auto"/>
        <w:ind w:left="567" w:hanging="567"/>
        <w:contextualSpacing/>
        <w:rPr>
          <w:rFonts w:asciiTheme="minorHAnsi" w:hAnsiTheme="minorHAnsi" w:cstheme="minorHAnsi"/>
          <w:bCs/>
        </w:rPr>
      </w:pPr>
    </w:p>
    <w:p w14:paraId="569B90AC" w14:textId="1EA446AB" w:rsidR="00970D6A" w:rsidRPr="004964A4" w:rsidRDefault="00970D6A" w:rsidP="00C16FB1">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record of the meeting will be presented for approval by 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w:t>
      </w:r>
    </w:p>
    <w:p w14:paraId="2909F93E" w14:textId="77777777" w:rsidR="00970D6A" w:rsidRPr="004964A4" w:rsidRDefault="00970D6A" w:rsidP="004964A4">
      <w:pPr>
        <w:spacing w:after="0" w:line="240" w:lineRule="auto"/>
        <w:ind w:left="567" w:hanging="567"/>
        <w:contextualSpacing/>
        <w:rPr>
          <w:rFonts w:asciiTheme="minorHAnsi" w:hAnsiTheme="minorHAnsi" w:cstheme="minorHAnsi"/>
          <w:bCs/>
        </w:rPr>
      </w:pPr>
    </w:p>
    <w:p w14:paraId="7EAB826E" w14:textId="77777777" w:rsidR="00970D6A" w:rsidRPr="004964A4" w:rsidRDefault="00970D6A"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29.</w:t>
      </w:r>
      <w:r w:rsidRPr="004964A4">
        <w:rPr>
          <w:rFonts w:asciiTheme="minorHAnsi" w:hAnsiTheme="minorHAnsi" w:cstheme="minorHAnsi"/>
          <w:bCs/>
        </w:rPr>
        <w:tab/>
        <w:t>Any other business</w:t>
      </w:r>
    </w:p>
    <w:p w14:paraId="14B7BE09" w14:textId="77777777" w:rsidR="00970D6A" w:rsidRPr="004964A4" w:rsidRDefault="00970D6A" w:rsidP="004964A4">
      <w:pPr>
        <w:keepNext/>
        <w:spacing w:after="0" w:line="240" w:lineRule="auto"/>
        <w:ind w:left="567" w:hanging="567"/>
        <w:contextualSpacing/>
        <w:rPr>
          <w:rFonts w:asciiTheme="minorHAnsi" w:hAnsiTheme="minorHAnsi" w:cstheme="minorHAnsi"/>
          <w:bCs/>
        </w:rPr>
      </w:pPr>
    </w:p>
    <w:p w14:paraId="7BC7E08B" w14:textId="1F37D5E8" w:rsidR="00970D6A" w:rsidRPr="004964A4" w:rsidRDefault="00970D6A"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30.</w:t>
      </w:r>
      <w:r w:rsidRPr="004964A4">
        <w:rPr>
          <w:rFonts w:asciiTheme="minorHAnsi" w:hAnsiTheme="minorHAnsi" w:cstheme="minorHAnsi"/>
          <w:bCs/>
        </w:rPr>
        <w:tab/>
        <w:t>Closing remarks</w:t>
      </w:r>
    </w:p>
    <w:sectPr w:rsidR="00970D6A" w:rsidRPr="004964A4" w:rsidSect="004655F6">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8750" w14:textId="77777777" w:rsidR="00524169" w:rsidRDefault="00524169" w:rsidP="00DF2386">
      <w:pPr>
        <w:spacing w:after="0" w:line="240" w:lineRule="auto"/>
      </w:pPr>
      <w:r>
        <w:separator/>
      </w:r>
    </w:p>
  </w:endnote>
  <w:endnote w:type="continuationSeparator" w:id="0">
    <w:p w14:paraId="5012A4B7" w14:textId="77777777" w:rsidR="00524169" w:rsidRDefault="00524169" w:rsidP="00DF2386">
      <w:pPr>
        <w:spacing w:after="0" w:line="240" w:lineRule="auto"/>
      </w:pPr>
      <w:r>
        <w:continuationSeparator/>
      </w:r>
    </w:p>
  </w:endnote>
  <w:endnote w:type="continuationNotice" w:id="1">
    <w:p w14:paraId="74563093" w14:textId="77777777" w:rsidR="00524169" w:rsidRDefault="00524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582C4470" w:rsidR="006359A5" w:rsidRPr="007C4340" w:rsidRDefault="007C4340" w:rsidP="002F38B2">
    <w:pPr>
      <w:pStyle w:val="Footer"/>
      <w:rPr>
        <w:sz w:val="20"/>
        <w:szCs w:val="20"/>
      </w:rPr>
    </w:pPr>
    <w:r w:rsidRPr="007C4340">
      <w:rPr>
        <w:sz w:val="20"/>
        <w:szCs w:val="20"/>
      </w:rPr>
      <w:t>SC57 Doc.2 Rev.1 Addendum</w:t>
    </w:r>
    <w:r w:rsidR="006359A5" w:rsidRPr="007C4340">
      <w:rPr>
        <w:sz w:val="20"/>
        <w:szCs w:val="20"/>
      </w:rPr>
      <w:tab/>
    </w:r>
    <w:r w:rsidR="006359A5" w:rsidRPr="007C4340">
      <w:rPr>
        <w:sz w:val="20"/>
        <w:szCs w:val="20"/>
      </w:rPr>
      <w:tab/>
    </w:r>
    <w:r w:rsidR="006359A5" w:rsidRPr="007C4340">
      <w:rPr>
        <w:sz w:val="20"/>
        <w:szCs w:val="20"/>
      </w:rPr>
      <w:fldChar w:fldCharType="begin"/>
    </w:r>
    <w:r w:rsidR="006359A5" w:rsidRPr="007C4340">
      <w:rPr>
        <w:sz w:val="20"/>
        <w:szCs w:val="20"/>
      </w:rPr>
      <w:instrText xml:space="preserve"> PAGE   \* MERGEFORMAT </w:instrText>
    </w:r>
    <w:r w:rsidR="006359A5" w:rsidRPr="007C4340">
      <w:rPr>
        <w:sz w:val="20"/>
        <w:szCs w:val="20"/>
      </w:rPr>
      <w:fldChar w:fldCharType="separate"/>
    </w:r>
    <w:r w:rsidR="004564F9">
      <w:rPr>
        <w:noProof/>
        <w:sz w:val="20"/>
        <w:szCs w:val="20"/>
      </w:rPr>
      <w:t>5</w:t>
    </w:r>
    <w:r w:rsidR="006359A5" w:rsidRPr="007C43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5AB2" w14:textId="77777777" w:rsidR="00524169" w:rsidRDefault="00524169" w:rsidP="00DF2386">
      <w:pPr>
        <w:spacing w:after="0" w:line="240" w:lineRule="auto"/>
      </w:pPr>
      <w:r>
        <w:separator/>
      </w:r>
    </w:p>
  </w:footnote>
  <w:footnote w:type="continuationSeparator" w:id="0">
    <w:p w14:paraId="7BD9D899" w14:textId="77777777" w:rsidR="00524169" w:rsidRDefault="00524169" w:rsidP="00DF2386">
      <w:pPr>
        <w:spacing w:after="0" w:line="240" w:lineRule="auto"/>
      </w:pPr>
      <w:r>
        <w:continuationSeparator/>
      </w:r>
    </w:p>
  </w:footnote>
  <w:footnote w:type="continuationNotice" w:id="1">
    <w:p w14:paraId="082D7315" w14:textId="77777777" w:rsidR="00524169" w:rsidRDefault="00524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FCF9" w14:textId="77777777" w:rsidR="006359A5" w:rsidRPr="00BC6F24" w:rsidRDefault="006359A5">
    <w:pPr>
      <w:pStyle w:val="Header"/>
      <w:rPr>
        <w:sz w:val="20"/>
        <w:szCs w:val="20"/>
      </w:rPr>
    </w:pPr>
  </w:p>
  <w:p w14:paraId="0E2AA9B6" w14:textId="77777777" w:rsidR="006359A5" w:rsidRDefault="006359A5">
    <w:pPr>
      <w:pStyle w:val="Header"/>
    </w:pPr>
  </w:p>
  <w:p w14:paraId="064653D3" w14:textId="77777777" w:rsidR="006359A5" w:rsidRDefault="006359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5"/>
  </w:num>
  <w:num w:numId="6">
    <w:abstractNumId w:val="0"/>
  </w:num>
  <w:num w:numId="7">
    <w:abstractNumId w:val="1"/>
  </w:num>
  <w:num w:numId="8">
    <w:abstractNumId w:val="9"/>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1FE9"/>
    <w:rsid w:val="0001280D"/>
    <w:rsid w:val="00017A16"/>
    <w:rsid w:val="00030B1D"/>
    <w:rsid w:val="00033E40"/>
    <w:rsid w:val="00034C1E"/>
    <w:rsid w:val="00036670"/>
    <w:rsid w:val="00037CE0"/>
    <w:rsid w:val="00050008"/>
    <w:rsid w:val="000524CC"/>
    <w:rsid w:val="000525E0"/>
    <w:rsid w:val="00053929"/>
    <w:rsid w:val="000602D4"/>
    <w:rsid w:val="000662FE"/>
    <w:rsid w:val="00067F1E"/>
    <w:rsid w:val="00074DE8"/>
    <w:rsid w:val="0008208F"/>
    <w:rsid w:val="00082A48"/>
    <w:rsid w:val="00087E71"/>
    <w:rsid w:val="00090F51"/>
    <w:rsid w:val="00096665"/>
    <w:rsid w:val="000A3656"/>
    <w:rsid w:val="000A3E3E"/>
    <w:rsid w:val="000B03AB"/>
    <w:rsid w:val="000B0A7B"/>
    <w:rsid w:val="000B2E45"/>
    <w:rsid w:val="000B4A65"/>
    <w:rsid w:val="000C227D"/>
    <w:rsid w:val="000C3DF2"/>
    <w:rsid w:val="000C66CA"/>
    <w:rsid w:val="000D0D3E"/>
    <w:rsid w:val="000D54DD"/>
    <w:rsid w:val="000D5C76"/>
    <w:rsid w:val="000D795A"/>
    <w:rsid w:val="000D7F4E"/>
    <w:rsid w:val="000E2FA0"/>
    <w:rsid w:val="000E47E9"/>
    <w:rsid w:val="000E64B4"/>
    <w:rsid w:val="000E6B8A"/>
    <w:rsid w:val="000F0443"/>
    <w:rsid w:val="000F0D7C"/>
    <w:rsid w:val="000F30D7"/>
    <w:rsid w:val="000F4BF0"/>
    <w:rsid w:val="000F73E5"/>
    <w:rsid w:val="00100B62"/>
    <w:rsid w:val="00110148"/>
    <w:rsid w:val="00111C1D"/>
    <w:rsid w:val="00112287"/>
    <w:rsid w:val="001200B2"/>
    <w:rsid w:val="001208BC"/>
    <w:rsid w:val="0012096C"/>
    <w:rsid w:val="00121597"/>
    <w:rsid w:val="0012693D"/>
    <w:rsid w:val="00127828"/>
    <w:rsid w:val="001308F5"/>
    <w:rsid w:val="0013509E"/>
    <w:rsid w:val="001365A6"/>
    <w:rsid w:val="00145080"/>
    <w:rsid w:val="00145C6A"/>
    <w:rsid w:val="00150004"/>
    <w:rsid w:val="00152D3A"/>
    <w:rsid w:val="00160371"/>
    <w:rsid w:val="00161BDA"/>
    <w:rsid w:val="0016280B"/>
    <w:rsid w:val="00163246"/>
    <w:rsid w:val="00164D68"/>
    <w:rsid w:val="00165720"/>
    <w:rsid w:val="00170956"/>
    <w:rsid w:val="0017099E"/>
    <w:rsid w:val="00171618"/>
    <w:rsid w:val="001762BF"/>
    <w:rsid w:val="00180022"/>
    <w:rsid w:val="001819B1"/>
    <w:rsid w:val="00182658"/>
    <w:rsid w:val="00182BB7"/>
    <w:rsid w:val="00187BFC"/>
    <w:rsid w:val="00190197"/>
    <w:rsid w:val="0019169D"/>
    <w:rsid w:val="00192951"/>
    <w:rsid w:val="00192DDE"/>
    <w:rsid w:val="001A1CDC"/>
    <w:rsid w:val="001A46C7"/>
    <w:rsid w:val="001A48C7"/>
    <w:rsid w:val="001A7044"/>
    <w:rsid w:val="001B0870"/>
    <w:rsid w:val="001B1821"/>
    <w:rsid w:val="001C291A"/>
    <w:rsid w:val="001C4484"/>
    <w:rsid w:val="001C5E41"/>
    <w:rsid w:val="001C77BC"/>
    <w:rsid w:val="001D1697"/>
    <w:rsid w:val="001D3320"/>
    <w:rsid w:val="001D42C7"/>
    <w:rsid w:val="001D48BB"/>
    <w:rsid w:val="001D640A"/>
    <w:rsid w:val="001E00E3"/>
    <w:rsid w:val="001E013F"/>
    <w:rsid w:val="001E2204"/>
    <w:rsid w:val="001E6EED"/>
    <w:rsid w:val="001E7909"/>
    <w:rsid w:val="001F2349"/>
    <w:rsid w:val="001F4E9C"/>
    <w:rsid w:val="001F773C"/>
    <w:rsid w:val="002005D2"/>
    <w:rsid w:val="00201663"/>
    <w:rsid w:val="0020298B"/>
    <w:rsid w:val="002053F4"/>
    <w:rsid w:val="00206111"/>
    <w:rsid w:val="002137E0"/>
    <w:rsid w:val="00217F8A"/>
    <w:rsid w:val="00223214"/>
    <w:rsid w:val="00224F8D"/>
    <w:rsid w:val="00227310"/>
    <w:rsid w:val="00230891"/>
    <w:rsid w:val="00243A5C"/>
    <w:rsid w:val="00246E5E"/>
    <w:rsid w:val="00255544"/>
    <w:rsid w:val="00261880"/>
    <w:rsid w:val="0026231C"/>
    <w:rsid w:val="00262DF0"/>
    <w:rsid w:val="00263B44"/>
    <w:rsid w:val="002655B4"/>
    <w:rsid w:val="00266F2F"/>
    <w:rsid w:val="00270DEF"/>
    <w:rsid w:val="00272269"/>
    <w:rsid w:val="00273463"/>
    <w:rsid w:val="002741AC"/>
    <w:rsid w:val="002743AC"/>
    <w:rsid w:val="0027478E"/>
    <w:rsid w:val="002759BB"/>
    <w:rsid w:val="00276E63"/>
    <w:rsid w:val="00280BF1"/>
    <w:rsid w:val="002819C0"/>
    <w:rsid w:val="00282418"/>
    <w:rsid w:val="00282B18"/>
    <w:rsid w:val="002845F1"/>
    <w:rsid w:val="00286DD1"/>
    <w:rsid w:val="0028719B"/>
    <w:rsid w:val="00295556"/>
    <w:rsid w:val="00295BB5"/>
    <w:rsid w:val="002A47CA"/>
    <w:rsid w:val="002A5A4D"/>
    <w:rsid w:val="002B4262"/>
    <w:rsid w:val="002B60AB"/>
    <w:rsid w:val="002B64A4"/>
    <w:rsid w:val="002B6B2B"/>
    <w:rsid w:val="002B77B9"/>
    <w:rsid w:val="002C0750"/>
    <w:rsid w:val="002C728A"/>
    <w:rsid w:val="002C7F04"/>
    <w:rsid w:val="002D5A4D"/>
    <w:rsid w:val="002E002E"/>
    <w:rsid w:val="002E2226"/>
    <w:rsid w:val="002E22AF"/>
    <w:rsid w:val="002E398D"/>
    <w:rsid w:val="002E3F59"/>
    <w:rsid w:val="002E4240"/>
    <w:rsid w:val="002E5902"/>
    <w:rsid w:val="002E653F"/>
    <w:rsid w:val="002F38B2"/>
    <w:rsid w:val="002F4041"/>
    <w:rsid w:val="002F4302"/>
    <w:rsid w:val="002F47A9"/>
    <w:rsid w:val="002F6887"/>
    <w:rsid w:val="002F6D8C"/>
    <w:rsid w:val="003022E1"/>
    <w:rsid w:val="0030261B"/>
    <w:rsid w:val="00302DF1"/>
    <w:rsid w:val="003067A9"/>
    <w:rsid w:val="00322441"/>
    <w:rsid w:val="00324398"/>
    <w:rsid w:val="00326E14"/>
    <w:rsid w:val="003309B5"/>
    <w:rsid w:val="00341A03"/>
    <w:rsid w:val="00345F66"/>
    <w:rsid w:val="003466CC"/>
    <w:rsid w:val="00351CCA"/>
    <w:rsid w:val="00351DB5"/>
    <w:rsid w:val="00356062"/>
    <w:rsid w:val="003576F6"/>
    <w:rsid w:val="00357C52"/>
    <w:rsid w:val="00374815"/>
    <w:rsid w:val="003767CF"/>
    <w:rsid w:val="0038070B"/>
    <w:rsid w:val="003827F3"/>
    <w:rsid w:val="00384FC3"/>
    <w:rsid w:val="003864C3"/>
    <w:rsid w:val="003872C7"/>
    <w:rsid w:val="00390AD7"/>
    <w:rsid w:val="00391429"/>
    <w:rsid w:val="00391FEF"/>
    <w:rsid w:val="003922AE"/>
    <w:rsid w:val="00392538"/>
    <w:rsid w:val="0039424B"/>
    <w:rsid w:val="00394FD7"/>
    <w:rsid w:val="00396359"/>
    <w:rsid w:val="003A3804"/>
    <w:rsid w:val="003A4C88"/>
    <w:rsid w:val="003A52BE"/>
    <w:rsid w:val="003A5866"/>
    <w:rsid w:val="003A6E9F"/>
    <w:rsid w:val="003B7FB2"/>
    <w:rsid w:val="003C3E13"/>
    <w:rsid w:val="003C55AB"/>
    <w:rsid w:val="003C59CE"/>
    <w:rsid w:val="003C6998"/>
    <w:rsid w:val="003D1784"/>
    <w:rsid w:val="003D4CD6"/>
    <w:rsid w:val="003D6306"/>
    <w:rsid w:val="003D72BC"/>
    <w:rsid w:val="003E2F84"/>
    <w:rsid w:val="003E7A36"/>
    <w:rsid w:val="004020D4"/>
    <w:rsid w:val="0040316C"/>
    <w:rsid w:val="00404B63"/>
    <w:rsid w:val="00406861"/>
    <w:rsid w:val="00410920"/>
    <w:rsid w:val="004109FA"/>
    <w:rsid w:val="00414A52"/>
    <w:rsid w:val="004200D3"/>
    <w:rsid w:val="004228C7"/>
    <w:rsid w:val="00427063"/>
    <w:rsid w:val="00427605"/>
    <w:rsid w:val="0042798B"/>
    <w:rsid w:val="0043135C"/>
    <w:rsid w:val="00434913"/>
    <w:rsid w:val="004351EF"/>
    <w:rsid w:val="00436009"/>
    <w:rsid w:val="004371D1"/>
    <w:rsid w:val="004418D3"/>
    <w:rsid w:val="00442E26"/>
    <w:rsid w:val="00444D5F"/>
    <w:rsid w:val="004474F8"/>
    <w:rsid w:val="00450623"/>
    <w:rsid w:val="004564F9"/>
    <w:rsid w:val="0045707E"/>
    <w:rsid w:val="00457CF8"/>
    <w:rsid w:val="00462A06"/>
    <w:rsid w:val="004655F6"/>
    <w:rsid w:val="0047230A"/>
    <w:rsid w:val="004723BD"/>
    <w:rsid w:val="00477550"/>
    <w:rsid w:val="00477ED6"/>
    <w:rsid w:val="004804F5"/>
    <w:rsid w:val="00480C8A"/>
    <w:rsid w:val="004825EE"/>
    <w:rsid w:val="004844A8"/>
    <w:rsid w:val="00484A82"/>
    <w:rsid w:val="004964A4"/>
    <w:rsid w:val="00496803"/>
    <w:rsid w:val="00496CC4"/>
    <w:rsid w:val="00497E7C"/>
    <w:rsid w:val="004A2733"/>
    <w:rsid w:val="004A2742"/>
    <w:rsid w:val="004A44AD"/>
    <w:rsid w:val="004A72FF"/>
    <w:rsid w:val="004B4597"/>
    <w:rsid w:val="004B6688"/>
    <w:rsid w:val="004B752E"/>
    <w:rsid w:val="004C1B3E"/>
    <w:rsid w:val="004C34EB"/>
    <w:rsid w:val="004C70CA"/>
    <w:rsid w:val="004E4CC8"/>
    <w:rsid w:val="004F497B"/>
    <w:rsid w:val="004F538A"/>
    <w:rsid w:val="004F55EA"/>
    <w:rsid w:val="004F5D62"/>
    <w:rsid w:val="004F61E4"/>
    <w:rsid w:val="004F63CB"/>
    <w:rsid w:val="004F669E"/>
    <w:rsid w:val="00504F63"/>
    <w:rsid w:val="00505585"/>
    <w:rsid w:val="00506DF9"/>
    <w:rsid w:val="00506F27"/>
    <w:rsid w:val="00513084"/>
    <w:rsid w:val="00523786"/>
    <w:rsid w:val="00524169"/>
    <w:rsid w:val="005244A4"/>
    <w:rsid w:val="00525BEB"/>
    <w:rsid w:val="00526526"/>
    <w:rsid w:val="00526BDD"/>
    <w:rsid w:val="00527783"/>
    <w:rsid w:val="00531347"/>
    <w:rsid w:val="00541DBC"/>
    <w:rsid w:val="00543329"/>
    <w:rsid w:val="00546DFC"/>
    <w:rsid w:val="00554488"/>
    <w:rsid w:val="0056179C"/>
    <w:rsid w:val="005622E3"/>
    <w:rsid w:val="005636AE"/>
    <w:rsid w:val="00566B2F"/>
    <w:rsid w:val="00567CD0"/>
    <w:rsid w:val="00571A2F"/>
    <w:rsid w:val="00575A03"/>
    <w:rsid w:val="005814B5"/>
    <w:rsid w:val="00583F39"/>
    <w:rsid w:val="00584E91"/>
    <w:rsid w:val="00585C7B"/>
    <w:rsid w:val="00597AA6"/>
    <w:rsid w:val="005A2ACC"/>
    <w:rsid w:val="005A5AE7"/>
    <w:rsid w:val="005B23A9"/>
    <w:rsid w:val="005B517C"/>
    <w:rsid w:val="005C2E4A"/>
    <w:rsid w:val="005D18F7"/>
    <w:rsid w:val="005D2741"/>
    <w:rsid w:val="005D2BDB"/>
    <w:rsid w:val="005D3316"/>
    <w:rsid w:val="005D377E"/>
    <w:rsid w:val="005D3E9D"/>
    <w:rsid w:val="005E2568"/>
    <w:rsid w:val="005E4D72"/>
    <w:rsid w:val="005E51E7"/>
    <w:rsid w:val="005E55B3"/>
    <w:rsid w:val="005E5ACB"/>
    <w:rsid w:val="005E61D7"/>
    <w:rsid w:val="005F15A3"/>
    <w:rsid w:val="005F4504"/>
    <w:rsid w:val="005F4A9F"/>
    <w:rsid w:val="005F6382"/>
    <w:rsid w:val="006049EE"/>
    <w:rsid w:val="0060532F"/>
    <w:rsid w:val="006111C2"/>
    <w:rsid w:val="00612DE0"/>
    <w:rsid w:val="0062381A"/>
    <w:rsid w:val="006242FA"/>
    <w:rsid w:val="006256D3"/>
    <w:rsid w:val="006261C9"/>
    <w:rsid w:val="00626978"/>
    <w:rsid w:val="00626FCC"/>
    <w:rsid w:val="00627BB7"/>
    <w:rsid w:val="006320CF"/>
    <w:rsid w:val="006359A5"/>
    <w:rsid w:val="00637694"/>
    <w:rsid w:val="00641902"/>
    <w:rsid w:val="00641CE9"/>
    <w:rsid w:val="00645426"/>
    <w:rsid w:val="00647C77"/>
    <w:rsid w:val="00650667"/>
    <w:rsid w:val="0065136E"/>
    <w:rsid w:val="00655DF8"/>
    <w:rsid w:val="00656BD8"/>
    <w:rsid w:val="006615CF"/>
    <w:rsid w:val="006616FE"/>
    <w:rsid w:val="00670D71"/>
    <w:rsid w:val="0067376E"/>
    <w:rsid w:val="006739A1"/>
    <w:rsid w:val="0067421B"/>
    <w:rsid w:val="006805BB"/>
    <w:rsid w:val="0068218A"/>
    <w:rsid w:val="00682251"/>
    <w:rsid w:val="00682EF5"/>
    <w:rsid w:val="006837FF"/>
    <w:rsid w:val="00685A65"/>
    <w:rsid w:val="006877E3"/>
    <w:rsid w:val="0069009E"/>
    <w:rsid w:val="006929A6"/>
    <w:rsid w:val="00693F16"/>
    <w:rsid w:val="00695291"/>
    <w:rsid w:val="006A3FDB"/>
    <w:rsid w:val="006A76F8"/>
    <w:rsid w:val="006B7D8E"/>
    <w:rsid w:val="006C2602"/>
    <w:rsid w:val="006C3F76"/>
    <w:rsid w:val="006C7095"/>
    <w:rsid w:val="006D4B1D"/>
    <w:rsid w:val="006D5E7A"/>
    <w:rsid w:val="006E0E0F"/>
    <w:rsid w:val="006E7DCE"/>
    <w:rsid w:val="006E7E35"/>
    <w:rsid w:val="006F3528"/>
    <w:rsid w:val="006F3781"/>
    <w:rsid w:val="006F54F5"/>
    <w:rsid w:val="00703336"/>
    <w:rsid w:val="00704E5B"/>
    <w:rsid w:val="007050FF"/>
    <w:rsid w:val="00705210"/>
    <w:rsid w:val="00706150"/>
    <w:rsid w:val="00714741"/>
    <w:rsid w:val="00715518"/>
    <w:rsid w:val="00722B7F"/>
    <w:rsid w:val="00731C1A"/>
    <w:rsid w:val="00731CDC"/>
    <w:rsid w:val="007355E2"/>
    <w:rsid w:val="007377A5"/>
    <w:rsid w:val="00737D84"/>
    <w:rsid w:val="00743CE3"/>
    <w:rsid w:val="007442EC"/>
    <w:rsid w:val="00750A38"/>
    <w:rsid w:val="00763869"/>
    <w:rsid w:val="00766962"/>
    <w:rsid w:val="00767FDA"/>
    <w:rsid w:val="00770916"/>
    <w:rsid w:val="00773812"/>
    <w:rsid w:val="00775287"/>
    <w:rsid w:val="00777988"/>
    <w:rsid w:val="00777E05"/>
    <w:rsid w:val="00782F8D"/>
    <w:rsid w:val="007900E7"/>
    <w:rsid w:val="007A23F3"/>
    <w:rsid w:val="007B11A1"/>
    <w:rsid w:val="007B29A8"/>
    <w:rsid w:val="007B31D8"/>
    <w:rsid w:val="007B53B2"/>
    <w:rsid w:val="007B7E70"/>
    <w:rsid w:val="007C4340"/>
    <w:rsid w:val="007C53B8"/>
    <w:rsid w:val="007C743A"/>
    <w:rsid w:val="007D0F77"/>
    <w:rsid w:val="007D2A89"/>
    <w:rsid w:val="007D33F4"/>
    <w:rsid w:val="007D773F"/>
    <w:rsid w:val="007D7FB2"/>
    <w:rsid w:val="007E4419"/>
    <w:rsid w:val="007E574A"/>
    <w:rsid w:val="007F03EE"/>
    <w:rsid w:val="007F1BE1"/>
    <w:rsid w:val="007F2437"/>
    <w:rsid w:val="007F314D"/>
    <w:rsid w:val="007F3ABE"/>
    <w:rsid w:val="007F5E09"/>
    <w:rsid w:val="00802A92"/>
    <w:rsid w:val="00813D71"/>
    <w:rsid w:val="008162BD"/>
    <w:rsid w:val="00816335"/>
    <w:rsid w:val="00817559"/>
    <w:rsid w:val="0082248C"/>
    <w:rsid w:val="0082665F"/>
    <w:rsid w:val="00830E76"/>
    <w:rsid w:val="008328E9"/>
    <w:rsid w:val="00832EF9"/>
    <w:rsid w:val="00833F00"/>
    <w:rsid w:val="00835BCB"/>
    <w:rsid w:val="00835CDC"/>
    <w:rsid w:val="00840094"/>
    <w:rsid w:val="00844453"/>
    <w:rsid w:val="0084581A"/>
    <w:rsid w:val="008507BA"/>
    <w:rsid w:val="00850B09"/>
    <w:rsid w:val="00854F30"/>
    <w:rsid w:val="00857013"/>
    <w:rsid w:val="00857B3C"/>
    <w:rsid w:val="0086200D"/>
    <w:rsid w:val="00863B9D"/>
    <w:rsid w:val="00863BE6"/>
    <w:rsid w:val="008751EB"/>
    <w:rsid w:val="008775BC"/>
    <w:rsid w:val="00882F1B"/>
    <w:rsid w:val="00887231"/>
    <w:rsid w:val="00887520"/>
    <w:rsid w:val="00897D34"/>
    <w:rsid w:val="008A25B7"/>
    <w:rsid w:val="008A67CA"/>
    <w:rsid w:val="008A70CE"/>
    <w:rsid w:val="008A7AFB"/>
    <w:rsid w:val="008B1FD6"/>
    <w:rsid w:val="008B3FED"/>
    <w:rsid w:val="008B5BA6"/>
    <w:rsid w:val="008C25E4"/>
    <w:rsid w:val="008C2DAE"/>
    <w:rsid w:val="008C603F"/>
    <w:rsid w:val="008C6BFA"/>
    <w:rsid w:val="008D4620"/>
    <w:rsid w:val="008D4652"/>
    <w:rsid w:val="008D4D9C"/>
    <w:rsid w:val="008D6247"/>
    <w:rsid w:val="008E06C2"/>
    <w:rsid w:val="008E4F48"/>
    <w:rsid w:val="008F1736"/>
    <w:rsid w:val="008F1DB9"/>
    <w:rsid w:val="008F1E6B"/>
    <w:rsid w:val="008F2881"/>
    <w:rsid w:val="008F7503"/>
    <w:rsid w:val="00901601"/>
    <w:rsid w:val="009059A9"/>
    <w:rsid w:val="00906806"/>
    <w:rsid w:val="009117F1"/>
    <w:rsid w:val="00923724"/>
    <w:rsid w:val="00923A74"/>
    <w:rsid w:val="0092515E"/>
    <w:rsid w:val="009461E9"/>
    <w:rsid w:val="009469EE"/>
    <w:rsid w:val="009469FD"/>
    <w:rsid w:val="00946AEE"/>
    <w:rsid w:val="0094770B"/>
    <w:rsid w:val="0095183A"/>
    <w:rsid w:val="00952123"/>
    <w:rsid w:val="0095501C"/>
    <w:rsid w:val="00956292"/>
    <w:rsid w:val="00956589"/>
    <w:rsid w:val="00957766"/>
    <w:rsid w:val="009665D9"/>
    <w:rsid w:val="00966FED"/>
    <w:rsid w:val="00970D6A"/>
    <w:rsid w:val="00972828"/>
    <w:rsid w:val="0097565A"/>
    <w:rsid w:val="00977C51"/>
    <w:rsid w:val="0099214A"/>
    <w:rsid w:val="0099250D"/>
    <w:rsid w:val="00993129"/>
    <w:rsid w:val="00996E40"/>
    <w:rsid w:val="00997CDA"/>
    <w:rsid w:val="009A26BD"/>
    <w:rsid w:val="009B2267"/>
    <w:rsid w:val="009B243F"/>
    <w:rsid w:val="009B4FFB"/>
    <w:rsid w:val="009C4D14"/>
    <w:rsid w:val="009C5CBA"/>
    <w:rsid w:val="009C6D7D"/>
    <w:rsid w:val="009C79B0"/>
    <w:rsid w:val="009C7E2F"/>
    <w:rsid w:val="009D1C2C"/>
    <w:rsid w:val="009D5133"/>
    <w:rsid w:val="009D57A1"/>
    <w:rsid w:val="009E3B69"/>
    <w:rsid w:val="009E5374"/>
    <w:rsid w:val="009F120C"/>
    <w:rsid w:val="009F345D"/>
    <w:rsid w:val="00A00069"/>
    <w:rsid w:val="00A05A34"/>
    <w:rsid w:val="00A06BE4"/>
    <w:rsid w:val="00A11A0A"/>
    <w:rsid w:val="00A12002"/>
    <w:rsid w:val="00A12CC5"/>
    <w:rsid w:val="00A13218"/>
    <w:rsid w:val="00A17B7B"/>
    <w:rsid w:val="00A227A3"/>
    <w:rsid w:val="00A22B21"/>
    <w:rsid w:val="00A23BE1"/>
    <w:rsid w:val="00A26418"/>
    <w:rsid w:val="00A367E2"/>
    <w:rsid w:val="00A36B95"/>
    <w:rsid w:val="00A41648"/>
    <w:rsid w:val="00A41CA7"/>
    <w:rsid w:val="00A42C70"/>
    <w:rsid w:val="00A42D73"/>
    <w:rsid w:val="00A42F3F"/>
    <w:rsid w:val="00A4397F"/>
    <w:rsid w:val="00A47D22"/>
    <w:rsid w:val="00A5199D"/>
    <w:rsid w:val="00A521AE"/>
    <w:rsid w:val="00A60B73"/>
    <w:rsid w:val="00A63BF6"/>
    <w:rsid w:val="00A67EDF"/>
    <w:rsid w:val="00A70C4F"/>
    <w:rsid w:val="00A71A2E"/>
    <w:rsid w:val="00A751BC"/>
    <w:rsid w:val="00A80080"/>
    <w:rsid w:val="00A80241"/>
    <w:rsid w:val="00A84ECC"/>
    <w:rsid w:val="00A85181"/>
    <w:rsid w:val="00A94E0B"/>
    <w:rsid w:val="00A95DB6"/>
    <w:rsid w:val="00AA3331"/>
    <w:rsid w:val="00AA3DB1"/>
    <w:rsid w:val="00AA3E55"/>
    <w:rsid w:val="00AB0615"/>
    <w:rsid w:val="00AB1CFD"/>
    <w:rsid w:val="00AB2579"/>
    <w:rsid w:val="00AB4639"/>
    <w:rsid w:val="00AB4951"/>
    <w:rsid w:val="00AB4D8C"/>
    <w:rsid w:val="00AC019B"/>
    <w:rsid w:val="00AC233F"/>
    <w:rsid w:val="00AC2532"/>
    <w:rsid w:val="00AC4FAD"/>
    <w:rsid w:val="00AC54FF"/>
    <w:rsid w:val="00AD280B"/>
    <w:rsid w:val="00AD3359"/>
    <w:rsid w:val="00AE0A27"/>
    <w:rsid w:val="00AE162E"/>
    <w:rsid w:val="00AE38CD"/>
    <w:rsid w:val="00AF56EC"/>
    <w:rsid w:val="00AF5C85"/>
    <w:rsid w:val="00B02469"/>
    <w:rsid w:val="00B057FC"/>
    <w:rsid w:val="00B11369"/>
    <w:rsid w:val="00B13656"/>
    <w:rsid w:val="00B20D7F"/>
    <w:rsid w:val="00B23099"/>
    <w:rsid w:val="00B23288"/>
    <w:rsid w:val="00B315A0"/>
    <w:rsid w:val="00B34A18"/>
    <w:rsid w:val="00B37B82"/>
    <w:rsid w:val="00B40119"/>
    <w:rsid w:val="00B40295"/>
    <w:rsid w:val="00B41637"/>
    <w:rsid w:val="00B417C7"/>
    <w:rsid w:val="00B468CE"/>
    <w:rsid w:val="00B52EC9"/>
    <w:rsid w:val="00B56202"/>
    <w:rsid w:val="00B56E79"/>
    <w:rsid w:val="00B579CB"/>
    <w:rsid w:val="00B626CD"/>
    <w:rsid w:val="00B6355F"/>
    <w:rsid w:val="00B63903"/>
    <w:rsid w:val="00B70083"/>
    <w:rsid w:val="00B705A0"/>
    <w:rsid w:val="00B733E7"/>
    <w:rsid w:val="00B75BAE"/>
    <w:rsid w:val="00B76D15"/>
    <w:rsid w:val="00B76F1E"/>
    <w:rsid w:val="00B83A94"/>
    <w:rsid w:val="00B856EA"/>
    <w:rsid w:val="00B86558"/>
    <w:rsid w:val="00B924B2"/>
    <w:rsid w:val="00B943DB"/>
    <w:rsid w:val="00B94CD6"/>
    <w:rsid w:val="00BA0F8B"/>
    <w:rsid w:val="00BA13C6"/>
    <w:rsid w:val="00BA1E7E"/>
    <w:rsid w:val="00BA3504"/>
    <w:rsid w:val="00BA603F"/>
    <w:rsid w:val="00BB1268"/>
    <w:rsid w:val="00BB28F6"/>
    <w:rsid w:val="00BB3C93"/>
    <w:rsid w:val="00BB47C9"/>
    <w:rsid w:val="00BB4D2F"/>
    <w:rsid w:val="00BB67CF"/>
    <w:rsid w:val="00BB6DD4"/>
    <w:rsid w:val="00BC09B1"/>
    <w:rsid w:val="00BC2609"/>
    <w:rsid w:val="00BC4100"/>
    <w:rsid w:val="00BC449C"/>
    <w:rsid w:val="00BC5866"/>
    <w:rsid w:val="00BC6F24"/>
    <w:rsid w:val="00BD0DBB"/>
    <w:rsid w:val="00BD67C6"/>
    <w:rsid w:val="00BE7AF7"/>
    <w:rsid w:val="00BF20AA"/>
    <w:rsid w:val="00BF3277"/>
    <w:rsid w:val="00BF3EA6"/>
    <w:rsid w:val="00C016EB"/>
    <w:rsid w:val="00C04170"/>
    <w:rsid w:val="00C06686"/>
    <w:rsid w:val="00C06CC1"/>
    <w:rsid w:val="00C10AD0"/>
    <w:rsid w:val="00C11D5A"/>
    <w:rsid w:val="00C13145"/>
    <w:rsid w:val="00C151DD"/>
    <w:rsid w:val="00C16FB1"/>
    <w:rsid w:val="00C17EFC"/>
    <w:rsid w:val="00C27C07"/>
    <w:rsid w:val="00C32D70"/>
    <w:rsid w:val="00C45D3F"/>
    <w:rsid w:val="00C47320"/>
    <w:rsid w:val="00C57E8C"/>
    <w:rsid w:val="00C63897"/>
    <w:rsid w:val="00C64192"/>
    <w:rsid w:val="00C70684"/>
    <w:rsid w:val="00C73262"/>
    <w:rsid w:val="00C807EA"/>
    <w:rsid w:val="00C8140F"/>
    <w:rsid w:val="00C82EB2"/>
    <w:rsid w:val="00C8359F"/>
    <w:rsid w:val="00C90E4F"/>
    <w:rsid w:val="00C91725"/>
    <w:rsid w:val="00C956BD"/>
    <w:rsid w:val="00C972A3"/>
    <w:rsid w:val="00C97D83"/>
    <w:rsid w:val="00CB65B7"/>
    <w:rsid w:val="00CB764F"/>
    <w:rsid w:val="00CC441F"/>
    <w:rsid w:val="00CC6092"/>
    <w:rsid w:val="00CD191D"/>
    <w:rsid w:val="00CD2666"/>
    <w:rsid w:val="00CE525B"/>
    <w:rsid w:val="00CE5B1D"/>
    <w:rsid w:val="00CE7031"/>
    <w:rsid w:val="00CE744F"/>
    <w:rsid w:val="00CE750F"/>
    <w:rsid w:val="00CF75A1"/>
    <w:rsid w:val="00D015D6"/>
    <w:rsid w:val="00D01E26"/>
    <w:rsid w:val="00D02112"/>
    <w:rsid w:val="00D0406D"/>
    <w:rsid w:val="00D0530C"/>
    <w:rsid w:val="00D11142"/>
    <w:rsid w:val="00D131BA"/>
    <w:rsid w:val="00D144D0"/>
    <w:rsid w:val="00D160CB"/>
    <w:rsid w:val="00D16861"/>
    <w:rsid w:val="00D17600"/>
    <w:rsid w:val="00D23042"/>
    <w:rsid w:val="00D23A96"/>
    <w:rsid w:val="00D24445"/>
    <w:rsid w:val="00D245A1"/>
    <w:rsid w:val="00D2703D"/>
    <w:rsid w:val="00D3216C"/>
    <w:rsid w:val="00D35CB6"/>
    <w:rsid w:val="00D362E4"/>
    <w:rsid w:val="00D37914"/>
    <w:rsid w:val="00D407D6"/>
    <w:rsid w:val="00D415E2"/>
    <w:rsid w:val="00D42055"/>
    <w:rsid w:val="00D4308B"/>
    <w:rsid w:val="00D43390"/>
    <w:rsid w:val="00D445F3"/>
    <w:rsid w:val="00D46F74"/>
    <w:rsid w:val="00D50F55"/>
    <w:rsid w:val="00D51009"/>
    <w:rsid w:val="00D51D22"/>
    <w:rsid w:val="00D53920"/>
    <w:rsid w:val="00D56C81"/>
    <w:rsid w:val="00D60E59"/>
    <w:rsid w:val="00D647C3"/>
    <w:rsid w:val="00D664EC"/>
    <w:rsid w:val="00D721D9"/>
    <w:rsid w:val="00D72E9F"/>
    <w:rsid w:val="00D7591F"/>
    <w:rsid w:val="00D75976"/>
    <w:rsid w:val="00D84916"/>
    <w:rsid w:val="00D86F2D"/>
    <w:rsid w:val="00D923FF"/>
    <w:rsid w:val="00D9322A"/>
    <w:rsid w:val="00D94203"/>
    <w:rsid w:val="00D9633A"/>
    <w:rsid w:val="00D97F28"/>
    <w:rsid w:val="00DA057C"/>
    <w:rsid w:val="00DA2823"/>
    <w:rsid w:val="00DA3A73"/>
    <w:rsid w:val="00DA7DCE"/>
    <w:rsid w:val="00DB1564"/>
    <w:rsid w:val="00DB61B2"/>
    <w:rsid w:val="00DB7F8F"/>
    <w:rsid w:val="00DC4A40"/>
    <w:rsid w:val="00DD3DE0"/>
    <w:rsid w:val="00DD52E1"/>
    <w:rsid w:val="00DD6367"/>
    <w:rsid w:val="00DE1215"/>
    <w:rsid w:val="00DE2B38"/>
    <w:rsid w:val="00DF2386"/>
    <w:rsid w:val="00DF33AC"/>
    <w:rsid w:val="00DF33C6"/>
    <w:rsid w:val="00DF7383"/>
    <w:rsid w:val="00DF7FE7"/>
    <w:rsid w:val="00E02540"/>
    <w:rsid w:val="00E03293"/>
    <w:rsid w:val="00E036AD"/>
    <w:rsid w:val="00E05E89"/>
    <w:rsid w:val="00E06077"/>
    <w:rsid w:val="00E07ED8"/>
    <w:rsid w:val="00E1307F"/>
    <w:rsid w:val="00E210E8"/>
    <w:rsid w:val="00E26578"/>
    <w:rsid w:val="00E2765A"/>
    <w:rsid w:val="00E32F19"/>
    <w:rsid w:val="00E3420D"/>
    <w:rsid w:val="00E34BC5"/>
    <w:rsid w:val="00E414F5"/>
    <w:rsid w:val="00E444C7"/>
    <w:rsid w:val="00E4515E"/>
    <w:rsid w:val="00E46367"/>
    <w:rsid w:val="00E51CE5"/>
    <w:rsid w:val="00E529C2"/>
    <w:rsid w:val="00E56BBA"/>
    <w:rsid w:val="00E62208"/>
    <w:rsid w:val="00E63F0B"/>
    <w:rsid w:val="00E64258"/>
    <w:rsid w:val="00E67F42"/>
    <w:rsid w:val="00E7421D"/>
    <w:rsid w:val="00E752CF"/>
    <w:rsid w:val="00E75B3E"/>
    <w:rsid w:val="00E77F3D"/>
    <w:rsid w:val="00E8513C"/>
    <w:rsid w:val="00E91B09"/>
    <w:rsid w:val="00E9307A"/>
    <w:rsid w:val="00E9647F"/>
    <w:rsid w:val="00E964E0"/>
    <w:rsid w:val="00EA3A7F"/>
    <w:rsid w:val="00EA4AE6"/>
    <w:rsid w:val="00EA6BF6"/>
    <w:rsid w:val="00EB2424"/>
    <w:rsid w:val="00EB2D3E"/>
    <w:rsid w:val="00EC0E5E"/>
    <w:rsid w:val="00EC598F"/>
    <w:rsid w:val="00ED102A"/>
    <w:rsid w:val="00ED6C09"/>
    <w:rsid w:val="00EE1976"/>
    <w:rsid w:val="00EE1CA1"/>
    <w:rsid w:val="00EE1DA8"/>
    <w:rsid w:val="00EE3F96"/>
    <w:rsid w:val="00EE6168"/>
    <w:rsid w:val="00EE7DC6"/>
    <w:rsid w:val="00EF00A4"/>
    <w:rsid w:val="00EF1096"/>
    <w:rsid w:val="00EF3A11"/>
    <w:rsid w:val="00F054AB"/>
    <w:rsid w:val="00F078F1"/>
    <w:rsid w:val="00F11B8E"/>
    <w:rsid w:val="00F15BDC"/>
    <w:rsid w:val="00F21868"/>
    <w:rsid w:val="00F21922"/>
    <w:rsid w:val="00F2241D"/>
    <w:rsid w:val="00F23444"/>
    <w:rsid w:val="00F34F71"/>
    <w:rsid w:val="00F35921"/>
    <w:rsid w:val="00F40029"/>
    <w:rsid w:val="00F41E45"/>
    <w:rsid w:val="00F44134"/>
    <w:rsid w:val="00F47D74"/>
    <w:rsid w:val="00F518B1"/>
    <w:rsid w:val="00F55A36"/>
    <w:rsid w:val="00F564E7"/>
    <w:rsid w:val="00F56D78"/>
    <w:rsid w:val="00F669DD"/>
    <w:rsid w:val="00F6732B"/>
    <w:rsid w:val="00F7222A"/>
    <w:rsid w:val="00F73E71"/>
    <w:rsid w:val="00F76630"/>
    <w:rsid w:val="00F807D4"/>
    <w:rsid w:val="00F83DF9"/>
    <w:rsid w:val="00F86070"/>
    <w:rsid w:val="00F90892"/>
    <w:rsid w:val="00F96B3D"/>
    <w:rsid w:val="00FA573B"/>
    <w:rsid w:val="00FA74E5"/>
    <w:rsid w:val="00FB4BD8"/>
    <w:rsid w:val="00FB66D7"/>
    <w:rsid w:val="00FC57AB"/>
    <w:rsid w:val="00FC5E60"/>
    <w:rsid w:val="00FC6104"/>
    <w:rsid w:val="00FD5C27"/>
    <w:rsid w:val="00FD74D4"/>
    <w:rsid w:val="00FD76D0"/>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983076">
      <w:bodyDiv w:val="1"/>
      <w:marLeft w:val="0"/>
      <w:marRight w:val="0"/>
      <w:marTop w:val="0"/>
      <w:marBottom w:val="0"/>
      <w:divBdr>
        <w:top w:val="none" w:sz="0" w:space="0" w:color="auto"/>
        <w:left w:val="none" w:sz="0" w:space="0" w:color="auto"/>
        <w:bottom w:val="none" w:sz="0" w:space="0" w:color="auto"/>
        <w:right w:val="none" w:sz="0" w:space="0" w:color="auto"/>
      </w:divBdr>
    </w:div>
    <w:div w:id="1297416897">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6982-3634-40D0-8880-96D9FC0F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11618</Characters>
  <Application>Microsoft Office Word</Application>
  <DocSecurity>0</DocSecurity>
  <Lines>264</Lines>
  <Paragraphs>102</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2</cp:revision>
  <cp:lastPrinted>2018-04-25T07:07:00Z</cp:lastPrinted>
  <dcterms:created xsi:type="dcterms:W3CDTF">2019-06-21T08:17:00Z</dcterms:created>
  <dcterms:modified xsi:type="dcterms:W3CDTF">2019-06-21T08:17:00Z</dcterms:modified>
</cp:coreProperties>
</file>