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D9BEE" w14:textId="77777777" w:rsidR="00D607AA" w:rsidRDefault="00D607AA" w:rsidP="00D607AA">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CONVENTION ON WETLANDS </w:t>
      </w:r>
    </w:p>
    <w:p w14:paraId="3C33F0D2" w14:textId="77777777" w:rsidR="00D607AA" w:rsidRDefault="00D607AA" w:rsidP="00D607AA">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57th Meeting of the Standing Committee</w:t>
      </w:r>
    </w:p>
    <w:p w14:paraId="2FAA8FB1" w14:textId="77777777" w:rsidR="00D607AA" w:rsidRDefault="00D607AA" w:rsidP="00D607AA">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24 – 28 June 2019</w:t>
      </w:r>
    </w:p>
    <w:p w14:paraId="3D574641" w14:textId="77777777" w:rsidR="00D607AA" w:rsidRPr="00D607AA" w:rsidRDefault="00D607AA" w:rsidP="00D607AA">
      <w:pPr>
        <w:outlineLvl w:val="0"/>
        <w:rPr>
          <w:b/>
          <w:sz w:val="28"/>
          <w:szCs w:val="28"/>
        </w:rPr>
      </w:pPr>
    </w:p>
    <w:p w14:paraId="582EF3FE" w14:textId="77777777" w:rsidR="00D607AA" w:rsidRPr="00D607AA" w:rsidRDefault="00D607AA" w:rsidP="00D607AA">
      <w:pPr>
        <w:jc w:val="right"/>
        <w:rPr>
          <w:rFonts w:cs="Arial"/>
          <w:b/>
          <w:sz w:val="28"/>
          <w:szCs w:val="28"/>
        </w:rPr>
      </w:pPr>
      <w:bookmarkStart w:id="0" w:name="_GoBack"/>
      <w:r w:rsidRPr="00D607AA">
        <w:rPr>
          <w:rFonts w:cs="Arial"/>
          <w:b/>
          <w:sz w:val="28"/>
          <w:szCs w:val="28"/>
        </w:rPr>
        <w:t>SC57</w:t>
      </w:r>
      <w:r w:rsidRPr="00D607AA">
        <w:rPr>
          <w:sz w:val="28"/>
          <w:szCs w:val="28"/>
        </w:rPr>
        <w:t xml:space="preserve"> </w:t>
      </w:r>
      <w:r w:rsidRPr="00D607AA">
        <w:rPr>
          <w:rFonts w:cs="Arial"/>
          <w:b/>
          <w:sz w:val="28"/>
          <w:szCs w:val="28"/>
        </w:rPr>
        <w:t>Doc.21.1</w:t>
      </w:r>
    </w:p>
    <w:p w14:paraId="1C5342F3" w14:textId="77777777" w:rsidR="00D607AA" w:rsidRPr="00D607AA" w:rsidRDefault="00D607AA" w:rsidP="00D607AA">
      <w:pPr>
        <w:rPr>
          <w:rFonts w:cs="Arial"/>
          <w:b/>
          <w:sz w:val="28"/>
          <w:szCs w:val="28"/>
        </w:rPr>
      </w:pPr>
    </w:p>
    <w:p w14:paraId="3365FD97" w14:textId="77777777" w:rsidR="00384984" w:rsidRDefault="00384984" w:rsidP="00384984">
      <w:pPr>
        <w:jc w:val="center"/>
        <w:rPr>
          <w:rFonts w:cs="Arial"/>
          <w:b/>
          <w:sz w:val="28"/>
          <w:szCs w:val="28"/>
        </w:rPr>
      </w:pPr>
      <w:r w:rsidRPr="00384984">
        <w:rPr>
          <w:rFonts w:cs="Arial"/>
          <w:b/>
          <w:sz w:val="28"/>
          <w:szCs w:val="28"/>
        </w:rPr>
        <w:t>Follow up to COP13 and preparation of COP14</w:t>
      </w:r>
    </w:p>
    <w:p w14:paraId="3981F79F" w14:textId="480E9B66" w:rsidR="00D607AA" w:rsidRDefault="00D607AA" w:rsidP="009D6375">
      <w:pPr>
        <w:jc w:val="center"/>
        <w:rPr>
          <w:rFonts w:cs="Arial"/>
          <w:b/>
          <w:sz w:val="28"/>
          <w:szCs w:val="28"/>
        </w:rPr>
      </w:pPr>
      <w:r w:rsidRPr="00D607AA">
        <w:rPr>
          <w:rFonts w:cs="Arial"/>
          <w:b/>
          <w:sz w:val="28"/>
          <w:szCs w:val="28"/>
        </w:rPr>
        <w:t xml:space="preserve">Report of the Secretariat on </w:t>
      </w:r>
      <w:r w:rsidR="009D6375">
        <w:rPr>
          <w:rFonts w:cs="Arial"/>
          <w:b/>
          <w:sz w:val="28"/>
          <w:szCs w:val="28"/>
        </w:rPr>
        <w:t>COP13</w:t>
      </w:r>
    </w:p>
    <w:bookmarkEnd w:id="0"/>
    <w:p w14:paraId="4A05696D" w14:textId="77777777" w:rsidR="00D607AA" w:rsidRPr="00D607AA" w:rsidRDefault="00D607AA" w:rsidP="00D607AA">
      <w:pPr>
        <w:jc w:val="center"/>
        <w:rPr>
          <w:rFonts w:cs="Arial"/>
          <w:b/>
          <w:sz w:val="28"/>
          <w:szCs w:val="28"/>
        </w:rPr>
      </w:pPr>
    </w:p>
    <w:p w14:paraId="4CAA4C32" w14:textId="77777777" w:rsidR="000C2489" w:rsidRPr="00750EBC" w:rsidRDefault="00426F5E" w:rsidP="001F171F">
      <w:pPr>
        <w:autoSpaceDE w:val="0"/>
        <w:autoSpaceDN w:val="0"/>
        <w:adjustRightInd w:val="0"/>
        <w:rPr>
          <w:rFonts w:eastAsiaTheme="minorHAnsi" w:cs="Calibri-Bold"/>
          <w:b/>
          <w:bCs/>
        </w:rPr>
      </w:pPr>
      <w:r>
        <w:rPr>
          <w:noProof/>
          <w:lang w:eastAsia="en-GB"/>
        </w:rPr>
        <mc:AlternateContent>
          <mc:Choice Requires="wps">
            <w:drawing>
              <wp:inline distT="0" distB="0" distL="0" distR="0" wp14:anchorId="6364B3F0" wp14:editId="529D18CC">
                <wp:extent cx="5731510" cy="1745673"/>
                <wp:effectExtent l="0" t="0" r="21590" b="260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45673"/>
                        </a:xfrm>
                        <a:prstGeom prst="rect">
                          <a:avLst/>
                        </a:prstGeom>
                        <a:solidFill>
                          <a:srgbClr val="FFFFFF"/>
                        </a:solidFill>
                        <a:ln w="9525">
                          <a:solidFill>
                            <a:srgbClr val="000000"/>
                          </a:solidFill>
                          <a:miter lim="800000"/>
                          <a:headEnd/>
                          <a:tailEnd/>
                        </a:ln>
                      </wps:spPr>
                      <wps:txbx>
                        <w:txbxContent>
                          <w:p w14:paraId="18D63648" w14:textId="77777777" w:rsidR="00D06C69" w:rsidRPr="00D06C69" w:rsidRDefault="00D06C69" w:rsidP="00D06C69">
                            <w:pPr>
                              <w:rPr>
                                <w:rFonts w:asciiTheme="minorHAnsi" w:hAnsiTheme="minorHAnsi"/>
                                <w:b/>
                                <w:bCs/>
                              </w:rPr>
                            </w:pPr>
                            <w:r w:rsidRPr="00D06C69">
                              <w:rPr>
                                <w:rFonts w:asciiTheme="minorHAnsi" w:hAnsiTheme="minorHAnsi"/>
                                <w:b/>
                                <w:bCs/>
                              </w:rPr>
                              <w:t xml:space="preserve">Actions requested: </w:t>
                            </w:r>
                          </w:p>
                          <w:p w14:paraId="6CED32DB" w14:textId="77777777" w:rsidR="00D06C69" w:rsidRPr="00D06C69" w:rsidRDefault="00D06C69" w:rsidP="00D06C69">
                            <w:pPr>
                              <w:pStyle w:val="ColorfulList-Accent11"/>
                              <w:ind w:left="0"/>
                              <w:rPr>
                                <w:rFonts w:asciiTheme="minorHAnsi" w:hAnsiTheme="minorHAnsi"/>
                              </w:rPr>
                            </w:pPr>
                          </w:p>
                          <w:p w14:paraId="62C4FF6E" w14:textId="33E6F063" w:rsidR="00D06C69" w:rsidRDefault="00D06C69" w:rsidP="00C05AFA">
                            <w:pPr>
                              <w:pStyle w:val="ColorfulList-Accent11"/>
                              <w:ind w:left="0" w:firstLine="0"/>
                              <w:contextualSpacing w:val="0"/>
                              <w:rPr>
                                <w:rFonts w:asciiTheme="minorHAnsi" w:hAnsiTheme="minorHAnsi" w:cs="Calibri"/>
                              </w:rPr>
                            </w:pPr>
                            <w:r>
                              <w:rPr>
                                <w:rFonts w:asciiTheme="minorHAnsi" w:hAnsiTheme="minorHAnsi"/>
                              </w:rPr>
                              <w:t xml:space="preserve">The </w:t>
                            </w:r>
                            <w:r w:rsidRPr="00D06C69">
                              <w:rPr>
                                <w:rFonts w:asciiTheme="minorHAnsi" w:hAnsiTheme="minorHAnsi"/>
                              </w:rPr>
                              <w:t xml:space="preserve">Standing Committee is </w:t>
                            </w:r>
                            <w:r w:rsidRPr="00D06C69">
                              <w:rPr>
                                <w:rFonts w:asciiTheme="minorHAnsi" w:hAnsiTheme="minorHAnsi" w:cs="Calibri"/>
                              </w:rPr>
                              <w:t>invited to:</w:t>
                            </w:r>
                          </w:p>
                          <w:p w14:paraId="3DA0C86D" w14:textId="77777777" w:rsidR="009D6375" w:rsidRDefault="009D6375" w:rsidP="00C05AFA">
                            <w:pPr>
                              <w:pStyle w:val="ColorfulList-Accent11"/>
                              <w:ind w:left="0" w:firstLine="0"/>
                              <w:contextualSpacing w:val="0"/>
                              <w:rPr>
                                <w:rFonts w:asciiTheme="minorHAnsi" w:hAnsiTheme="minorHAnsi" w:cs="Calibri"/>
                              </w:rPr>
                            </w:pPr>
                          </w:p>
                          <w:p w14:paraId="3A88132D" w14:textId="2E099052" w:rsidR="00D06C69" w:rsidRDefault="00D06C69" w:rsidP="00D607AA">
                            <w:pPr>
                              <w:pStyle w:val="ColorfulList-Accent11"/>
                              <w:ind w:left="425"/>
                              <w:contextualSpacing w:val="0"/>
                              <w:rPr>
                                <w:rFonts w:asciiTheme="minorHAnsi" w:hAnsiTheme="minorHAnsi" w:cs="Calibri"/>
                              </w:rPr>
                            </w:pPr>
                            <w:r>
                              <w:rPr>
                                <w:rFonts w:asciiTheme="minorHAnsi" w:hAnsiTheme="minorHAnsi" w:cs="Calibri"/>
                              </w:rPr>
                              <w:t>i.</w:t>
                            </w:r>
                            <w:r>
                              <w:rPr>
                                <w:rFonts w:asciiTheme="minorHAnsi" w:hAnsiTheme="minorHAnsi" w:cs="Calibri"/>
                              </w:rPr>
                              <w:tab/>
                            </w:r>
                            <w:r w:rsidRPr="00D06C69">
                              <w:rPr>
                                <w:rFonts w:asciiTheme="minorHAnsi" w:hAnsiTheme="minorHAnsi"/>
                              </w:rPr>
                              <w:t>take</w:t>
                            </w:r>
                            <w:r>
                              <w:rPr>
                                <w:rFonts w:asciiTheme="minorHAnsi" w:hAnsiTheme="minorHAnsi" w:cs="Calibri"/>
                              </w:rPr>
                              <w:t xml:space="preserve"> note of the present</w:t>
                            </w:r>
                            <w:r w:rsidRPr="00D06C69">
                              <w:rPr>
                                <w:rFonts w:asciiTheme="minorHAnsi" w:hAnsiTheme="minorHAnsi" w:cs="Calibri"/>
                              </w:rPr>
                              <w:t xml:space="preserve"> report; </w:t>
                            </w:r>
                            <w:r w:rsidR="00D607AA">
                              <w:rPr>
                                <w:rFonts w:asciiTheme="minorHAnsi" w:hAnsiTheme="minorHAnsi" w:cs="Calibri"/>
                              </w:rPr>
                              <w:t>and</w:t>
                            </w:r>
                          </w:p>
                          <w:p w14:paraId="3FF263D2" w14:textId="77777777" w:rsidR="009D6375" w:rsidRPr="00D06C69" w:rsidRDefault="009D6375" w:rsidP="00D607AA">
                            <w:pPr>
                              <w:pStyle w:val="ColorfulList-Accent11"/>
                              <w:ind w:left="425"/>
                              <w:contextualSpacing w:val="0"/>
                              <w:rPr>
                                <w:rFonts w:asciiTheme="minorHAnsi" w:hAnsiTheme="minorHAnsi"/>
                              </w:rPr>
                            </w:pPr>
                          </w:p>
                          <w:p w14:paraId="115474A0" w14:textId="77777777" w:rsidR="00D06C69" w:rsidRPr="00D06C69" w:rsidRDefault="00D06C69" w:rsidP="00D607AA">
                            <w:pPr>
                              <w:pStyle w:val="ColorfulList-Accent11"/>
                              <w:ind w:left="425"/>
                              <w:contextualSpacing w:val="0"/>
                              <w:rPr>
                                <w:rFonts w:asciiTheme="minorHAnsi" w:hAnsiTheme="minorHAnsi"/>
                              </w:rPr>
                            </w:pPr>
                            <w:r w:rsidRPr="00D06C69">
                              <w:rPr>
                                <w:rFonts w:asciiTheme="minorHAnsi" w:hAnsiTheme="minorHAnsi" w:cs="Calibri"/>
                              </w:rPr>
                              <w:t>ii.</w:t>
                            </w:r>
                            <w:r w:rsidRPr="00D06C69">
                              <w:rPr>
                                <w:rFonts w:asciiTheme="minorHAnsi" w:hAnsiTheme="minorHAnsi" w:cs="Calibri"/>
                              </w:rPr>
                              <w:tab/>
                            </w:r>
                            <w:r w:rsidRPr="00D06C69">
                              <w:rPr>
                                <w:rFonts w:asciiTheme="minorHAnsi" w:hAnsiTheme="minorHAnsi"/>
                              </w:rPr>
                              <w:t>provide</w:t>
                            </w:r>
                            <w:r>
                              <w:rPr>
                                <w:rFonts w:asciiTheme="minorHAnsi" w:hAnsiTheme="minorHAnsi" w:cs="Calibri"/>
                              </w:rPr>
                              <w:t xml:space="preserve"> feedback to the Secretariat regarding lessons learned from COP13 and</w:t>
                            </w:r>
                            <w:r w:rsidR="00663292">
                              <w:rPr>
                                <w:rFonts w:asciiTheme="minorHAnsi" w:hAnsiTheme="minorHAnsi" w:cs="Calibri"/>
                              </w:rPr>
                              <w:t xml:space="preserve"> consider as appropriate </w:t>
                            </w:r>
                            <w:r>
                              <w:rPr>
                                <w:rFonts w:asciiTheme="minorHAnsi" w:hAnsiTheme="minorHAnsi" w:cs="Calibri"/>
                              </w:rPr>
                              <w:t xml:space="preserve">suggestions raised in relation to potential improvement of processes established by </w:t>
                            </w:r>
                            <w:r w:rsidR="00D607AA">
                              <w:rPr>
                                <w:rFonts w:asciiTheme="minorHAnsi" w:hAnsiTheme="minorHAnsi" w:cs="Calibri"/>
                              </w:rPr>
                              <w:t xml:space="preserve">Contracting </w:t>
                            </w:r>
                            <w:r>
                              <w:rPr>
                                <w:rFonts w:asciiTheme="minorHAnsi" w:hAnsiTheme="minorHAnsi" w:cs="Calibri"/>
                              </w:rPr>
                              <w:t>Parties</w:t>
                            </w:r>
                            <w:r w:rsidRPr="00D06C69">
                              <w:rPr>
                                <w:rFonts w:asciiTheme="minorHAnsi" w:hAnsiTheme="minorHAnsi" w:cs="Calibri"/>
                              </w:rPr>
                              <w:t>.</w:t>
                            </w:r>
                          </w:p>
                        </w:txbxContent>
                      </wps:txbx>
                      <wps:bodyPr rot="0" vert="horz" wrap="square" lIns="91440" tIns="45720" rIns="91440" bIns="45720" anchor="t" anchorCtr="0" upright="1">
                        <a:noAutofit/>
                      </wps:bodyPr>
                    </wps:wsp>
                  </a:graphicData>
                </a:graphic>
              </wp:inline>
            </w:drawing>
          </mc:Choice>
          <mc:Fallback>
            <w:pict>
              <v:shapetype w14:anchorId="6364B3F0" id="_x0000_t202" coordsize="21600,21600" o:spt="202" path="m,l,21600r21600,l21600,xe">
                <v:stroke joinstyle="miter"/>
                <v:path gradientshapeok="t" o:connecttype="rect"/>
              </v:shapetype>
              <v:shape id="Text Box 1" o:spid="_x0000_s1026" type="#_x0000_t202" style="width:451.3pt;height:1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">
                <v:textbox>
                  <w:txbxContent>
                    <w:p w14:paraId="18D63648" w14:textId="77777777" w:rsidR="00D06C69" w:rsidRPr="00D06C69" w:rsidRDefault="00D06C69" w:rsidP="00D06C69">
                      <w:pPr>
                        <w:rPr>
                          <w:rFonts w:asciiTheme="minorHAnsi" w:hAnsiTheme="minorHAnsi"/>
                          <w:b/>
                          <w:bCs/>
                        </w:rPr>
                      </w:pPr>
                      <w:r w:rsidRPr="00D06C69">
                        <w:rPr>
                          <w:rFonts w:asciiTheme="minorHAnsi" w:hAnsiTheme="minorHAnsi"/>
                          <w:b/>
                          <w:bCs/>
                        </w:rPr>
                        <w:t xml:space="preserve">Actions requested: </w:t>
                      </w:r>
                    </w:p>
                    <w:p w14:paraId="6CED32DB" w14:textId="77777777" w:rsidR="00D06C69" w:rsidRPr="00D06C69" w:rsidRDefault="00D06C69" w:rsidP="00D06C69">
                      <w:pPr>
                        <w:pStyle w:val="ColorfulList-Accent11"/>
                        <w:ind w:left="0"/>
                        <w:rPr>
                          <w:rFonts w:asciiTheme="minorHAnsi" w:hAnsiTheme="minorHAnsi"/>
                        </w:rPr>
                      </w:pPr>
                    </w:p>
                    <w:p w14:paraId="62C4FF6E" w14:textId="33E6F063" w:rsidR="00D06C69" w:rsidRDefault="00D06C69" w:rsidP="00C05AFA">
                      <w:pPr>
                        <w:pStyle w:val="ColorfulList-Accent11"/>
                        <w:ind w:left="0" w:firstLine="0"/>
                        <w:contextualSpacing w:val="0"/>
                        <w:rPr>
                          <w:rFonts w:asciiTheme="minorHAnsi" w:hAnsiTheme="minorHAnsi" w:cs="Calibri"/>
                        </w:rPr>
                      </w:pPr>
                      <w:r>
                        <w:rPr>
                          <w:rFonts w:asciiTheme="minorHAnsi" w:hAnsiTheme="minorHAnsi"/>
                        </w:rPr>
                        <w:t xml:space="preserve">The </w:t>
                      </w:r>
                      <w:r w:rsidRPr="00D06C69">
                        <w:rPr>
                          <w:rFonts w:asciiTheme="minorHAnsi" w:hAnsiTheme="minorHAnsi"/>
                        </w:rPr>
                        <w:t xml:space="preserve">Standing Committee is </w:t>
                      </w:r>
                      <w:r w:rsidRPr="00D06C69">
                        <w:rPr>
                          <w:rFonts w:asciiTheme="minorHAnsi" w:hAnsiTheme="minorHAnsi" w:cs="Calibri"/>
                        </w:rPr>
                        <w:t>invited to:</w:t>
                      </w:r>
                    </w:p>
                    <w:p w14:paraId="3DA0C86D" w14:textId="77777777" w:rsidR="009D6375" w:rsidRDefault="009D6375" w:rsidP="00C05AFA">
                      <w:pPr>
                        <w:pStyle w:val="ColorfulList-Accent11"/>
                        <w:ind w:left="0" w:firstLine="0"/>
                        <w:contextualSpacing w:val="0"/>
                        <w:rPr>
                          <w:rFonts w:asciiTheme="minorHAnsi" w:hAnsiTheme="minorHAnsi" w:cs="Calibri"/>
                        </w:rPr>
                      </w:pPr>
                    </w:p>
                    <w:p w14:paraId="3A88132D" w14:textId="2E099052" w:rsidR="00D06C69" w:rsidRDefault="00D06C69" w:rsidP="00D607AA">
                      <w:pPr>
                        <w:pStyle w:val="ColorfulList-Accent11"/>
                        <w:ind w:left="425"/>
                        <w:contextualSpacing w:val="0"/>
                        <w:rPr>
                          <w:rFonts w:asciiTheme="minorHAnsi" w:hAnsiTheme="minorHAnsi" w:cs="Calibri"/>
                        </w:rPr>
                      </w:pPr>
                      <w:r>
                        <w:rPr>
                          <w:rFonts w:asciiTheme="minorHAnsi" w:hAnsiTheme="minorHAnsi" w:cs="Calibri"/>
                        </w:rPr>
                        <w:t>i.</w:t>
                      </w:r>
                      <w:r>
                        <w:rPr>
                          <w:rFonts w:asciiTheme="minorHAnsi" w:hAnsiTheme="minorHAnsi" w:cs="Calibri"/>
                        </w:rPr>
                        <w:tab/>
                      </w:r>
                      <w:r w:rsidRPr="00D06C69">
                        <w:rPr>
                          <w:rFonts w:asciiTheme="minorHAnsi" w:hAnsiTheme="minorHAnsi"/>
                        </w:rPr>
                        <w:t>take</w:t>
                      </w:r>
                      <w:r>
                        <w:rPr>
                          <w:rFonts w:asciiTheme="minorHAnsi" w:hAnsiTheme="minorHAnsi" w:cs="Calibri"/>
                        </w:rPr>
                        <w:t xml:space="preserve"> note of the present</w:t>
                      </w:r>
                      <w:r w:rsidRPr="00D06C69">
                        <w:rPr>
                          <w:rFonts w:asciiTheme="minorHAnsi" w:hAnsiTheme="minorHAnsi" w:cs="Calibri"/>
                        </w:rPr>
                        <w:t xml:space="preserve"> report; </w:t>
                      </w:r>
                      <w:r w:rsidR="00D607AA">
                        <w:rPr>
                          <w:rFonts w:asciiTheme="minorHAnsi" w:hAnsiTheme="minorHAnsi" w:cs="Calibri"/>
                        </w:rPr>
                        <w:t>and</w:t>
                      </w:r>
                    </w:p>
                    <w:p w14:paraId="3FF263D2" w14:textId="77777777" w:rsidR="009D6375" w:rsidRPr="00D06C69" w:rsidRDefault="009D6375" w:rsidP="00D607AA">
                      <w:pPr>
                        <w:pStyle w:val="ColorfulList-Accent11"/>
                        <w:ind w:left="425"/>
                        <w:contextualSpacing w:val="0"/>
                        <w:rPr>
                          <w:rFonts w:asciiTheme="minorHAnsi" w:hAnsiTheme="minorHAnsi"/>
                        </w:rPr>
                      </w:pPr>
                    </w:p>
                    <w:p w14:paraId="115474A0" w14:textId="77777777" w:rsidR="00D06C69" w:rsidRPr="00D06C69" w:rsidRDefault="00D06C69" w:rsidP="00D607AA">
                      <w:pPr>
                        <w:pStyle w:val="ColorfulList-Accent11"/>
                        <w:ind w:left="425"/>
                        <w:contextualSpacing w:val="0"/>
                        <w:rPr>
                          <w:rFonts w:asciiTheme="minorHAnsi" w:hAnsiTheme="minorHAnsi"/>
                        </w:rPr>
                      </w:pPr>
                      <w:r w:rsidRPr="00D06C69">
                        <w:rPr>
                          <w:rFonts w:asciiTheme="minorHAnsi" w:hAnsiTheme="minorHAnsi" w:cs="Calibri"/>
                        </w:rPr>
                        <w:t>ii.</w:t>
                      </w:r>
                      <w:r w:rsidRPr="00D06C69">
                        <w:rPr>
                          <w:rFonts w:asciiTheme="minorHAnsi" w:hAnsiTheme="minorHAnsi" w:cs="Calibri"/>
                        </w:rPr>
                        <w:tab/>
                      </w:r>
                      <w:r w:rsidRPr="00D06C69">
                        <w:rPr>
                          <w:rFonts w:asciiTheme="minorHAnsi" w:hAnsiTheme="minorHAnsi"/>
                        </w:rPr>
                        <w:t>provide</w:t>
                      </w:r>
                      <w:r>
                        <w:rPr>
                          <w:rFonts w:asciiTheme="minorHAnsi" w:hAnsiTheme="minorHAnsi" w:cs="Calibri"/>
                        </w:rPr>
                        <w:t xml:space="preserve"> feedback to the Secretariat regarding lessons learned from COP13 and</w:t>
                      </w:r>
                      <w:r w:rsidR="00663292">
                        <w:rPr>
                          <w:rFonts w:asciiTheme="minorHAnsi" w:hAnsiTheme="minorHAnsi" w:cs="Calibri"/>
                        </w:rPr>
                        <w:t xml:space="preserve"> consider as appropriate </w:t>
                      </w:r>
                      <w:r>
                        <w:rPr>
                          <w:rFonts w:asciiTheme="minorHAnsi" w:hAnsiTheme="minorHAnsi" w:cs="Calibri"/>
                        </w:rPr>
                        <w:t xml:space="preserve">suggestions raised in relation to potential improvement of processes established by </w:t>
                      </w:r>
                      <w:r w:rsidR="00D607AA">
                        <w:rPr>
                          <w:rFonts w:asciiTheme="minorHAnsi" w:hAnsiTheme="minorHAnsi" w:cs="Calibri"/>
                        </w:rPr>
                        <w:t xml:space="preserve">Contracting </w:t>
                      </w:r>
                      <w:r>
                        <w:rPr>
                          <w:rFonts w:asciiTheme="minorHAnsi" w:hAnsiTheme="minorHAnsi" w:cs="Calibri"/>
                        </w:rPr>
                        <w:t>Parties</w:t>
                      </w:r>
                      <w:r w:rsidRPr="00D06C69">
                        <w:rPr>
                          <w:rFonts w:asciiTheme="minorHAnsi" w:hAnsiTheme="minorHAnsi" w:cs="Calibri"/>
                        </w:rPr>
                        <w:t>.</w:t>
                      </w:r>
                    </w:p>
                  </w:txbxContent>
                </v:textbox>
                <w10:anchorlock/>
              </v:shape>
            </w:pict>
          </mc:Fallback>
        </mc:AlternateContent>
      </w:r>
    </w:p>
    <w:p w14:paraId="3C39EC96" w14:textId="77777777" w:rsidR="009E0AE8" w:rsidRPr="00750EBC" w:rsidRDefault="009E0AE8" w:rsidP="00C2167D">
      <w:pPr>
        <w:ind w:left="0" w:firstLine="0"/>
        <w:jc w:val="center"/>
        <w:rPr>
          <w:rFonts w:cs="Arial"/>
          <w:b/>
        </w:rPr>
      </w:pPr>
    </w:p>
    <w:p w14:paraId="153608D7" w14:textId="77777777" w:rsidR="00D607AA" w:rsidRDefault="00D607AA" w:rsidP="00D607AA">
      <w:pPr>
        <w:keepNext/>
        <w:rPr>
          <w:rFonts w:cs="Arial"/>
          <w:b/>
        </w:rPr>
      </w:pPr>
    </w:p>
    <w:p w14:paraId="54FDEB7B" w14:textId="77777777" w:rsidR="000C2489" w:rsidRPr="00D607AA" w:rsidRDefault="005B3B66" w:rsidP="00D607AA">
      <w:pPr>
        <w:keepNext/>
        <w:rPr>
          <w:rFonts w:asciiTheme="minorHAnsi" w:hAnsiTheme="minorHAnsi" w:cstheme="minorHAnsi"/>
          <w:b/>
        </w:rPr>
      </w:pPr>
      <w:r w:rsidRPr="00D607AA">
        <w:rPr>
          <w:rFonts w:asciiTheme="minorHAnsi" w:hAnsiTheme="minorHAnsi" w:cstheme="minorHAnsi"/>
          <w:b/>
        </w:rPr>
        <w:t>Over</w:t>
      </w:r>
      <w:r w:rsidR="00A1711C" w:rsidRPr="00D607AA">
        <w:rPr>
          <w:rFonts w:asciiTheme="minorHAnsi" w:hAnsiTheme="minorHAnsi" w:cstheme="minorHAnsi"/>
          <w:b/>
        </w:rPr>
        <w:t xml:space="preserve">view of </w:t>
      </w:r>
      <w:r w:rsidRPr="00D607AA">
        <w:rPr>
          <w:rFonts w:asciiTheme="minorHAnsi" w:hAnsiTheme="minorHAnsi" w:cstheme="minorHAnsi"/>
          <w:b/>
        </w:rPr>
        <w:t>COP13</w:t>
      </w:r>
    </w:p>
    <w:p w14:paraId="2C3FC38C" w14:textId="77777777" w:rsidR="00D607AA" w:rsidRPr="00D607AA" w:rsidRDefault="00D607AA" w:rsidP="00D607AA">
      <w:pPr>
        <w:keepNext/>
        <w:rPr>
          <w:rFonts w:asciiTheme="minorHAnsi" w:hAnsiTheme="minorHAnsi" w:cstheme="minorHAnsi"/>
          <w:b/>
        </w:rPr>
      </w:pPr>
    </w:p>
    <w:p w14:paraId="253DA0FC" w14:textId="0DA3B323" w:rsidR="00C05AFA" w:rsidRPr="00D607AA" w:rsidRDefault="00384984" w:rsidP="00D607AA">
      <w:p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576073" w:rsidRPr="00D607AA">
        <w:rPr>
          <w:rFonts w:asciiTheme="minorHAnsi" w:hAnsiTheme="minorHAnsi" w:cstheme="minorHAnsi"/>
        </w:rPr>
        <w:t xml:space="preserve">The 13th meeting of the Conference of the Contracting </w:t>
      </w:r>
      <w:r w:rsidR="00AB431E" w:rsidRPr="00D607AA">
        <w:rPr>
          <w:rFonts w:asciiTheme="minorHAnsi" w:hAnsiTheme="minorHAnsi" w:cstheme="minorHAnsi"/>
        </w:rPr>
        <w:t xml:space="preserve">Parties </w:t>
      </w:r>
      <w:r w:rsidR="00576073" w:rsidRPr="00D607AA">
        <w:rPr>
          <w:rFonts w:asciiTheme="minorHAnsi" w:hAnsiTheme="minorHAnsi" w:cstheme="minorHAnsi"/>
        </w:rPr>
        <w:t>(COP13) was held in Dubai, United Arab Emirates</w:t>
      </w:r>
      <w:r w:rsidR="00CF596A">
        <w:rPr>
          <w:rFonts w:asciiTheme="minorHAnsi" w:hAnsiTheme="minorHAnsi" w:cstheme="minorHAnsi"/>
        </w:rPr>
        <w:t xml:space="preserve"> (UAE)</w:t>
      </w:r>
      <w:r w:rsidR="00576073" w:rsidRPr="00D607AA">
        <w:rPr>
          <w:rFonts w:asciiTheme="minorHAnsi" w:hAnsiTheme="minorHAnsi" w:cstheme="minorHAnsi"/>
        </w:rPr>
        <w:t>, from 22 to 29 October 2018.</w:t>
      </w:r>
      <w:r w:rsidR="005B3B66" w:rsidRPr="00D607AA">
        <w:rPr>
          <w:rFonts w:asciiTheme="minorHAnsi" w:hAnsiTheme="minorHAnsi" w:cstheme="minorHAnsi"/>
        </w:rPr>
        <w:t xml:space="preserve"> </w:t>
      </w:r>
      <w:r w:rsidR="00663292" w:rsidRPr="00D607AA">
        <w:rPr>
          <w:rFonts w:asciiTheme="minorHAnsi" w:hAnsiTheme="minorHAnsi" w:cstheme="minorHAnsi"/>
        </w:rPr>
        <w:t>Interventions</w:t>
      </w:r>
      <w:r w:rsidR="00D27284" w:rsidRPr="00D607AA">
        <w:rPr>
          <w:rFonts w:asciiTheme="minorHAnsi" w:hAnsiTheme="minorHAnsi" w:cstheme="minorHAnsi"/>
        </w:rPr>
        <w:t xml:space="preserve"> made during the meeting</w:t>
      </w:r>
      <w:r w:rsidR="0044166B" w:rsidRPr="00D607AA">
        <w:rPr>
          <w:rFonts w:asciiTheme="minorHAnsi" w:hAnsiTheme="minorHAnsi" w:cstheme="minorHAnsi"/>
        </w:rPr>
        <w:t xml:space="preserve"> and informal subsequent f</w:t>
      </w:r>
      <w:r w:rsidR="007D7CB2" w:rsidRPr="00D607AA">
        <w:rPr>
          <w:rFonts w:asciiTheme="minorHAnsi" w:hAnsiTheme="minorHAnsi" w:cstheme="minorHAnsi"/>
        </w:rPr>
        <w:t xml:space="preserve">eedback from </w:t>
      </w:r>
      <w:r>
        <w:rPr>
          <w:rFonts w:asciiTheme="minorHAnsi" w:hAnsiTheme="minorHAnsi" w:cstheme="minorHAnsi"/>
        </w:rPr>
        <w:t xml:space="preserve">Contracting </w:t>
      </w:r>
      <w:r w:rsidR="007D7CB2" w:rsidRPr="00D607AA">
        <w:rPr>
          <w:rFonts w:asciiTheme="minorHAnsi" w:hAnsiTheme="minorHAnsi" w:cstheme="minorHAnsi"/>
        </w:rPr>
        <w:t xml:space="preserve">Parties </w:t>
      </w:r>
      <w:r w:rsidR="005B3B66" w:rsidRPr="00D607AA">
        <w:rPr>
          <w:rFonts w:asciiTheme="minorHAnsi" w:hAnsiTheme="minorHAnsi" w:cstheme="minorHAnsi"/>
        </w:rPr>
        <w:t xml:space="preserve">and </w:t>
      </w:r>
      <w:r w:rsidR="0044166B" w:rsidRPr="00D607AA">
        <w:rPr>
          <w:rFonts w:asciiTheme="minorHAnsi" w:hAnsiTheme="minorHAnsi" w:cstheme="minorHAnsi"/>
        </w:rPr>
        <w:t>observers</w:t>
      </w:r>
      <w:r w:rsidR="005B3B66" w:rsidRPr="00D607AA">
        <w:rPr>
          <w:rFonts w:asciiTheme="minorHAnsi" w:hAnsiTheme="minorHAnsi" w:cstheme="minorHAnsi"/>
        </w:rPr>
        <w:t xml:space="preserve"> </w:t>
      </w:r>
      <w:r w:rsidR="00663292" w:rsidRPr="00D607AA">
        <w:rPr>
          <w:rFonts w:asciiTheme="minorHAnsi" w:hAnsiTheme="minorHAnsi" w:cstheme="minorHAnsi"/>
        </w:rPr>
        <w:t xml:space="preserve">regarding the organization of the meeting </w:t>
      </w:r>
      <w:r w:rsidR="0044166B" w:rsidRPr="00D607AA">
        <w:rPr>
          <w:rFonts w:asciiTheme="minorHAnsi" w:hAnsiTheme="minorHAnsi" w:cstheme="minorHAnsi"/>
        </w:rPr>
        <w:t xml:space="preserve">were </w:t>
      </w:r>
      <w:r w:rsidR="005B3B66" w:rsidRPr="00D607AA">
        <w:rPr>
          <w:rFonts w:asciiTheme="minorHAnsi" w:hAnsiTheme="minorHAnsi" w:cstheme="minorHAnsi"/>
        </w:rPr>
        <w:t>positive.</w:t>
      </w:r>
      <w:r w:rsidR="00AB431E" w:rsidRPr="00D607AA">
        <w:rPr>
          <w:rFonts w:asciiTheme="minorHAnsi" w:hAnsiTheme="minorHAnsi" w:cstheme="minorHAnsi"/>
        </w:rPr>
        <w:t xml:space="preserve"> The Secretariat echoes the gratitude to the </w:t>
      </w:r>
      <w:r w:rsidR="0055136A" w:rsidRPr="00D607AA">
        <w:rPr>
          <w:rFonts w:asciiTheme="minorHAnsi" w:hAnsiTheme="minorHAnsi" w:cstheme="minorHAnsi"/>
        </w:rPr>
        <w:t xml:space="preserve">host country </w:t>
      </w:r>
      <w:r w:rsidR="00AB431E" w:rsidRPr="00D607AA">
        <w:rPr>
          <w:rFonts w:asciiTheme="minorHAnsi" w:hAnsiTheme="minorHAnsi" w:cstheme="minorHAnsi"/>
        </w:rPr>
        <w:t xml:space="preserve">already expressed by the </w:t>
      </w:r>
      <w:r w:rsidR="00015524">
        <w:rPr>
          <w:rFonts w:asciiTheme="minorHAnsi" w:hAnsiTheme="minorHAnsi" w:cstheme="minorHAnsi"/>
        </w:rPr>
        <w:t>COP</w:t>
      </w:r>
      <w:r w:rsidR="00AB431E" w:rsidRPr="00D607AA">
        <w:rPr>
          <w:rFonts w:asciiTheme="minorHAnsi" w:hAnsiTheme="minorHAnsi" w:cstheme="minorHAnsi"/>
        </w:rPr>
        <w:t>, for generously providing the meeting facilities and for its support during COP13.</w:t>
      </w:r>
    </w:p>
    <w:p w14:paraId="4855B631" w14:textId="77777777" w:rsidR="00C05AFA" w:rsidRPr="00D607AA" w:rsidRDefault="00C05AFA" w:rsidP="00D607AA">
      <w:pPr>
        <w:pStyle w:val="ListParagraph"/>
        <w:ind w:left="425"/>
        <w:rPr>
          <w:rFonts w:asciiTheme="minorHAnsi" w:hAnsiTheme="minorHAnsi" w:cstheme="minorHAnsi"/>
        </w:rPr>
      </w:pPr>
    </w:p>
    <w:p w14:paraId="1B3B5D0E" w14:textId="50A16F49" w:rsidR="00C05AFA" w:rsidRPr="00D607AA" w:rsidRDefault="00384984" w:rsidP="00D607AA">
      <w:pPr>
        <w:rPr>
          <w:rFonts w:asciiTheme="minorHAnsi" w:hAnsiTheme="minorHAnsi" w:cstheme="minorHAnsi"/>
        </w:rPr>
      </w:pPr>
      <w:r>
        <w:rPr>
          <w:rFonts w:asciiTheme="minorHAnsi" w:hAnsiTheme="minorHAnsi" w:cstheme="minorHAnsi"/>
        </w:rPr>
        <w:t>2.</w:t>
      </w:r>
      <w:r>
        <w:rPr>
          <w:rFonts w:asciiTheme="minorHAnsi" w:hAnsiTheme="minorHAnsi" w:cstheme="minorHAnsi"/>
        </w:rPr>
        <w:tab/>
        <w:t>COP13</w:t>
      </w:r>
      <w:r w:rsidR="005E2E78" w:rsidRPr="00D607AA">
        <w:rPr>
          <w:rFonts w:asciiTheme="minorHAnsi" w:hAnsiTheme="minorHAnsi" w:cstheme="minorHAnsi"/>
        </w:rPr>
        <w:t xml:space="preserve"> adopted 25</w:t>
      </w:r>
      <w:r w:rsidR="00C05AFA" w:rsidRPr="00D607AA">
        <w:rPr>
          <w:rFonts w:asciiTheme="minorHAnsi" w:hAnsiTheme="minorHAnsi" w:cstheme="minorHAnsi"/>
        </w:rPr>
        <w:t xml:space="preserve"> Resolutions on a wide range </w:t>
      </w:r>
      <w:r w:rsidR="005E2E78" w:rsidRPr="00D607AA">
        <w:rPr>
          <w:rFonts w:asciiTheme="minorHAnsi" w:hAnsiTheme="minorHAnsi" w:cstheme="minorHAnsi"/>
        </w:rPr>
        <w:t>of subjects related to wetland conservation and the implementation and administration of the Convention.</w:t>
      </w:r>
      <w:r w:rsidR="005B6465" w:rsidRPr="00D607AA">
        <w:rPr>
          <w:rFonts w:asciiTheme="minorHAnsi" w:hAnsiTheme="minorHAnsi" w:cstheme="minorHAnsi"/>
        </w:rPr>
        <w:t xml:space="preserve"> </w:t>
      </w:r>
    </w:p>
    <w:p w14:paraId="4F6DA11A" w14:textId="77777777" w:rsidR="00C05AFA" w:rsidRPr="00D607AA" w:rsidRDefault="00C05AFA" w:rsidP="00D607AA">
      <w:pPr>
        <w:pStyle w:val="ListParagraph"/>
        <w:ind w:left="425"/>
        <w:rPr>
          <w:rFonts w:asciiTheme="minorHAnsi" w:hAnsiTheme="minorHAnsi" w:cstheme="minorHAnsi"/>
        </w:rPr>
      </w:pPr>
    </w:p>
    <w:p w14:paraId="3BCA3312" w14:textId="670A4EAE" w:rsidR="00C05AFA" w:rsidRPr="00D607AA" w:rsidRDefault="00384984" w:rsidP="00D607AA">
      <w:pPr>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44166B" w:rsidRPr="00D607AA">
        <w:rPr>
          <w:rFonts w:asciiTheme="minorHAnsi" w:hAnsiTheme="minorHAnsi" w:cstheme="minorHAnsi"/>
        </w:rPr>
        <w:t>T</w:t>
      </w:r>
      <w:r w:rsidR="007C782E" w:rsidRPr="00D607AA">
        <w:rPr>
          <w:rFonts w:asciiTheme="minorHAnsi" w:hAnsiTheme="minorHAnsi" w:cstheme="minorHAnsi"/>
        </w:rPr>
        <w:t>here</w:t>
      </w:r>
      <w:r w:rsidR="0044166B" w:rsidRPr="00D607AA">
        <w:rPr>
          <w:rFonts w:asciiTheme="minorHAnsi" w:hAnsiTheme="minorHAnsi" w:cstheme="minorHAnsi"/>
        </w:rPr>
        <w:t xml:space="preserve"> were</w:t>
      </w:r>
      <w:r w:rsidR="0013234E" w:rsidRPr="00D607AA">
        <w:rPr>
          <w:rFonts w:asciiTheme="minorHAnsi" w:hAnsiTheme="minorHAnsi" w:cstheme="minorHAnsi"/>
        </w:rPr>
        <w:t xml:space="preserve"> a total of 1,</w:t>
      </w:r>
      <w:r w:rsidR="007C782E" w:rsidRPr="00D607AA">
        <w:rPr>
          <w:rFonts w:asciiTheme="minorHAnsi" w:hAnsiTheme="minorHAnsi" w:cstheme="minorHAnsi"/>
        </w:rPr>
        <w:t>36</w:t>
      </w:r>
      <w:r w:rsidR="0013234E" w:rsidRPr="00D607AA">
        <w:rPr>
          <w:rFonts w:asciiTheme="minorHAnsi" w:hAnsiTheme="minorHAnsi" w:cstheme="minorHAnsi"/>
        </w:rPr>
        <w:t>0</w:t>
      </w:r>
      <w:r w:rsidR="007C782E" w:rsidRPr="00D607AA">
        <w:rPr>
          <w:rFonts w:asciiTheme="minorHAnsi" w:hAnsiTheme="minorHAnsi" w:cstheme="minorHAnsi"/>
        </w:rPr>
        <w:t xml:space="preserve"> participants</w:t>
      </w:r>
      <w:r w:rsidR="00E27BC8" w:rsidRPr="00D607AA">
        <w:rPr>
          <w:rFonts w:asciiTheme="minorHAnsi" w:hAnsiTheme="minorHAnsi" w:cstheme="minorHAnsi"/>
        </w:rPr>
        <w:t xml:space="preserve"> representing Contracting</w:t>
      </w:r>
      <w:r w:rsidR="00426F5E" w:rsidRPr="00D607AA">
        <w:rPr>
          <w:rFonts w:asciiTheme="minorHAnsi" w:hAnsiTheme="minorHAnsi" w:cstheme="minorHAnsi"/>
        </w:rPr>
        <w:t xml:space="preserve"> Parties</w:t>
      </w:r>
      <w:r w:rsidR="00E27BC8" w:rsidRPr="00D607AA">
        <w:rPr>
          <w:rFonts w:asciiTheme="minorHAnsi" w:hAnsiTheme="minorHAnsi" w:cstheme="minorHAnsi"/>
        </w:rPr>
        <w:t xml:space="preserve">, United Nations agencies, intergovernmental organizations, </w:t>
      </w:r>
      <w:r>
        <w:rPr>
          <w:rFonts w:asciiTheme="minorHAnsi" w:hAnsiTheme="minorHAnsi" w:cstheme="minorHAnsi"/>
        </w:rPr>
        <w:t xml:space="preserve">the Convention’s </w:t>
      </w:r>
      <w:r w:rsidR="00E27BC8" w:rsidRPr="00D607AA">
        <w:rPr>
          <w:rFonts w:asciiTheme="minorHAnsi" w:hAnsiTheme="minorHAnsi" w:cstheme="minorHAnsi"/>
        </w:rPr>
        <w:t xml:space="preserve">International Organization Partners and non-governmental organizations, excluding </w:t>
      </w:r>
      <w:r w:rsidR="007C782E" w:rsidRPr="00D607AA">
        <w:rPr>
          <w:rFonts w:asciiTheme="minorHAnsi" w:hAnsiTheme="minorHAnsi" w:cstheme="minorHAnsi"/>
        </w:rPr>
        <w:t>conference staff and local participants.</w:t>
      </w:r>
      <w:r w:rsidR="00447AB3" w:rsidRPr="00D607AA">
        <w:rPr>
          <w:rFonts w:asciiTheme="minorHAnsi" w:hAnsiTheme="minorHAnsi" w:cstheme="minorHAnsi"/>
        </w:rPr>
        <w:t xml:space="preserve"> This is a significant increase from the 930 participants at COP12, which </w:t>
      </w:r>
      <w:r w:rsidR="004A55BF">
        <w:rPr>
          <w:rFonts w:asciiTheme="minorHAnsi" w:hAnsiTheme="minorHAnsi" w:cstheme="minorHAnsi"/>
        </w:rPr>
        <w:t>may reflect an</w:t>
      </w:r>
      <w:r w:rsidR="00447AB3" w:rsidRPr="00D607AA">
        <w:rPr>
          <w:rFonts w:asciiTheme="minorHAnsi" w:hAnsiTheme="minorHAnsi" w:cstheme="minorHAnsi"/>
        </w:rPr>
        <w:t xml:space="preserve"> increase in the level of interest in conservation of wetlands, and perhaps in environmental issues more broadly.</w:t>
      </w:r>
    </w:p>
    <w:p w14:paraId="5715FE19" w14:textId="77777777" w:rsidR="00C05AFA" w:rsidRPr="00D607AA" w:rsidRDefault="00C05AFA" w:rsidP="00D607AA">
      <w:pPr>
        <w:pStyle w:val="ListParagraph"/>
        <w:ind w:left="425"/>
        <w:rPr>
          <w:rFonts w:asciiTheme="minorHAnsi" w:hAnsiTheme="minorHAnsi" w:cstheme="minorHAnsi"/>
        </w:rPr>
      </w:pPr>
    </w:p>
    <w:p w14:paraId="01C1E6A5" w14:textId="4F0307CF" w:rsidR="00226285" w:rsidRDefault="00384984" w:rsidP="00D607AA">
      <w:pPr>
        <w:rPr>
          <w:rFonts w:asciiTheme="minorHAnsi" w:hAnsiTheme="minorHAnsi" w:cstheme="minorHAnsi"/>
          <w:shd w:val="clear" w:color="auto" w:fill="FFFFFF"/>
          <w:lang w:eastAsia="en-GB"/>
        </w:rPr>
      </w:pPr>
      <w:r>
        <w:rPr>
          <w:rFonts w:asciiTheme="minorHAnsi" w:hAnsiTheme="minorHAnsi" w:cstheme="minorHAnsi"/>
        </w:rPr>
        <w:t>4.</w:t>
      </w:r>
      <w:r>
        <w:rPr>
          <w:rFonts w:asciiTheme="minorHAnsi" w:hAnsiTheme="minorHAnsi" w:cstheme="minorHAnsi"/>
        </w:rPr>
        <w:tab/>
      </w:r>
      <w:r w:rsidR="0098070D" w:rsidRPr="00D607AA">
        <w:rPr>
          <w:rFonts w:asciiTheme="minorHAnsi" w:hAnsiTheme="minorHAnsi" w:cstheme="minorHAnsi"/>
        </w:rPr>
        <w:t>Ninety-five</w:t>
      </w:r>
      <w:r w:rsidR="00226285" w:rsidRPr="00D607AA">
        <w:rPr>
          <w:rFonts w:asciiTheme="minorHAnsi" w:hAnsiTheme="minorHAnsi" w:cstheme="minorHAnsi"/>
        </w:rPr>
        <w:t xml:space="preserve"> side events wer</w:t>
      </w:r>
      <w:r w:rsidR="00630444" w:rsidRPr="00D607AA">
        <w:rPr>
          <w:rFonts w:asciiTheme="minorHAnsi" w:hAnsiTheme="minorHAnsi" w:cstheme="minorHAnsi"/>
        </w:rPr>
        <w:t>e held on the margins of the COP</w:t>
      </w:r>
      <w:r w:rsidR="00226285" w:rsidRPr="00D607AA">
        <w:rPr>
          <w:rFonts w:asciiTheme="minorHAnsi" w:hAnsiTheme="minorHAnsi" w:cstheme="minorHAnsi"/>
        </w:rPr>
        <w:t xml:space="preserve">. </w:t>
      </w:r>
      <w:r w:rsidR="0098070D" w:rsidRPr="00D607AA">
        <w:rPr>
          <w:rFonts w:asciiTheme="minorHAnsi" w:hAnsiTheme="minorHAnsi" w:cstheme="minorHAnsi"/>
        </w:rPr>
        <w:t>Twenty-five</w:t>
      </w:r>
      <w:r w:rsidR="00630444" w:rsidRPr="00D607AA">
        <w:rPr>
          <w:rFonts w:asciiTheme="minorHAnsi" w:hAnsiTheme="minorHAnsi" w:cstheme="minorHAnsi"/>
        </w:rPr>
        <w:t xml:space="preserve"> organizations provided exhibits. A press event </w:t>
      </w:r>
      <w:r w:rsidR="00765884" w:rsidRPr="00D607AA">
        <w:rPr>
          <w:rFonts w:asciiTheme="minorHAnsi" w:hAnsiTheme="minorHAnsi" w:cstheme="minorHAnsi"/>
        </w:rPr>
        <w:t xml:space="preserve">was held </w:t>
      </w:r>
      <w:r w:rsidR="00630444" w:rsidRPr="00D607AA">
        <w:rPr>
          <w:rFonts w:asciiTheme="minorHAnsi" w:hAnsiTheme="minorHAnsi" w:cstheme="minorHAnsi"/>
        </w:rPr>
        <w:t xml:space="preserve">announcing </w:t>
      </w:r>
      <w:r w:rsidR="00765884" w:rsidRPr="00D607AA">
        <w:rPr>
          <w:rFonts w:asciiTheme="minorHAnsi" w:hAnsiTheme="minorHAnsi" w:cstheme="minorHAnsi"/>
          <w:shd w:val="clear" w:color="auto" w:fill="FFFFFF"/>
        </w:rPr>
        <w:t xml:space="preserve">Jebel Ali Wetland Sanctuary as the UAE’s </w:t>
      </w:r>
      <w:r w:rsidR="00CF596A">
        <w:rPr>
          <w:rFonts w:asciiTheme="minorHAnsi" w:hAnsiTheme="minorHAnsi" w:cstheme="minorHAnsi"/>
          <w:shd w:val="clear" w:color="auto" w:fill="FFFFFF"/>
        </w:rPr>
        <w:t>eighth</w:t>
      </w:r>
      <w:r w:rsidR="00CF596A" w:rsidRPr="00D607AA">
        <w:rPr>
          <w:rFonts w:asciiTheme="minorHAnsi" w:hAnsiTheme="minorHAnsi" w:cstheme="minorHAnsi"/>
          <w:shd w:val="clear" w:color="auto" w:fill="FFFFFF"/>
        </w:rPr>
        <w:t xml:space="preserve"> </w:t>
      </w:r>
      <w:r w:rsidR="00765884" w:rsidRPr="00D607AA">
        <w:rPr>
          <w:rFonts w:asciiTheme="minorHAnsi" w:hAnsiTheme="minorHAnsi" w:cstheme="minorHAnsi"/>
          <w:shd w:val="clear" w:color="auto" w:fill="FFFFFF"/>
        </w:rPr>
        <w:t>Ramsar Site</w:t>
      </w:r>
      <w:r w:rsidR="00630444" w:rsidRPr="00D607AA">
        <w:rPr>
          <w:rFonts w:asciiTheme="minorHAnsi" w:hAnsiTheme="minorHAnsi" w:cstheme="minorHAnsi"/>
        </w:rPr>
        <w:t xml:space="preserve">. </w:t>
      </w:r>
      <w:r w:rsidR="00CF596A">
        <w:rPr>
          <w:rFonts w:asciiTheme="minorHAnsi" w:hAnsiTheme="minorHAnsi" w:cstheme="minorHAnsi"/>
        </w:rPr>
        <w:t>P</w:t>
      </w:r>
      <w:r w:rsidR="00630444" w:rsidRPr="00D607AA">
        <w:rPr>
          <w:rFonts w:asciiTheme="minorHAnsi" w:hAnsiTheme="minorHAnsi" w:cstheme="minorHAnsi"/>
        </w:rPr>
        <w:t xml:space="preserve">articipants participated in field trips </w:t>
      </w:r>
      <w:r w:rsidR="0098070D" w:rsidRPr="00D607AA">
        <w:rPr>
          <w:rFonts w:asciiTheme="minorHAnsi" w:hAnsiTheme="minorHAnsi" w:cstheme="minorHAnsi"/>
        </w:rPr>
        <w:t xml:space="preserve">to </w:t>
      </w:r>
      <w:r w:rsidR="0098070D" w:rsidRPr="00D607AA">
        <w:rPr>
          <w:rFonts w:asciiTheme="minorHAnsi" w:hAnsiTheme="minorHAnsi" w:cstheme="minorHAnsi"/>
          <w:shd w:val="clear" w:color="auto" w:fill="FFFFFF"/>
          <w:lang w:eastAsia="en-GB"/>
        </w:rPr>
        <w:t>Al Wathba Wetland and Eastern Mangrove National Park in Abu Dhabi, Ras al Khor Wildlife Sanctuary in Dubai, Mangrove Al Hafiya and Wasit Natural Reserves in Sharjah, Al Zorah Reserve in Ajman and Wadi Wurayah in Fujairah.</w:t>
      </w:r>
    </w:p>
    <w:p w14:paraId="21BCE31B" w14:textId="3879785C" w:rsidR="000E3FC9" w:rsidRDefault="000E3FC9" w:rsidP="00D607AA">
      <w:pPr>
        <w:rPr>
          <w:rFonts w:asciiTheme="minorHAnsi" w:hAnsiTheme="minorHAnsi" w:cstheme="minorHAnsi"/>
          <w:shd w:val="clear" w:color="auto" w:fill="FFFFFF"/>
          <w:lang w:eastAsia="en-GB"/>
        </w:rPr>
      </w:pPr>
    </w:p>
    <w:p w14:paraId="0E1FF9ED" w14:textId="77777777" w:rsidR="000E3FC9" w:rsidRDefault="000E3FC9" w:rsidP="000E3FC9">
      <w:pPr>
        <w:keepNext/>
        <w:ind w:left="0" w:firstLine="0"/>
        <w:rPr>
          <w:rFonts w:cs="Arial"/>
          <w:b/>
        </w:rPr>
      </w:pPr>
      <w:r w:rsidRPr="00D607AA">
        <w:rPr>
          <w:rFonts w:asciiTheme="minorHAnsi" w:hAnsiTheme="minorHAnsi" w:cstheme="minorHAnsi"/>
          <w:b/>
        </w:rPr>
        <w:lastRenderedPageBreak/>
        <w:t>Lessons learned and possible improvements in how the Secretariat manages meetings of the</w:t>
      </w:r>
      <w:r>
        <w:rPr>
          <w:rFonts w:cs="Arial"/>
          <w:b/>
        </w:rPr>
        <w:t xml:space="preserve"> Conference of the Contracting Parties</w:t>
      </w:r>
    </w:p>
    <w:p w14:paraId="270B29CE" w14:textId="77777777" w:rsidR="000E3FC9" w:rsidRPr="00D607AA" w:rsidRDefault="000E3FC9" w:rsidP="000E3FC9">
      <w:pPr>
        <w:keepNext/>
        <w:rPr>
          <w:rFonts w:asciiTheme="minorHAnsi" w:hAnsiTheme="minorHAnsi" w:cstheme="minorHAnsi"/>
        </w:rPr>
      </w:pPr>
    </w:p>
    <w:p w14:paraId="25096AEA" w14:textId="424F5E93" w:rsidR="00056F9D" w:rsidRPr="00D607AA" w:rsidRDefault="00384984" w:rsidP="00D607AA">
      <w:pPr>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056F9D" w:rsidRPr="00D607AA">
        <w:rPr>
          <w:rFonts w:asciiTheme="minorHAnsi" w:hAnsiTheme="minorHAnsi" w:cstheme="minorHAnsi"/>
        </w:rPr>
        <w:t xml:space="preserve">The Secretariat </w:t>
      </w:r>
      <w:r w:rsidR="000E3FC9">
        <w:rPr>
          <w:rFonts w:asciiTheme="minorHAnsi" w:hAnsiTheme="minorHAnsi" w:cstheme="minorHAnsi"/>
        </w:rPr>
        <w:t xml:space="preserve">has </w:t>
      </w:r>
      <w:r w:rsidR="00056F9D" w:rsidRPr="00D607AA">
        <w:rPr>
          <w:rFonts w:asciiTheme="minorHAnsi" w:hAnsiTheme="minorHAnsi" w:cstheme="minorHAnsi"/>
        </w:rPr>
        <w:t>organized an internal process</w:t>
      </w:r>
      <w:r w:rsidR="00107E72" w:rsidRPr="00D607AA">
        <w:rPr>
          <w:rFonts w:asciiTheme="minorHAnsi" w:hAnsiTheme="minorHAnsi" w:cstheme="minorHAnsi"/>
        </w:rPr>
        <w:t xml:space="preserve"> including two meetings of all staff</w:t>
      </w:r>
      <w:r w:rsidR="00D33B53" w:rsidRPr="00D607AA">
        <w:rPr>
          <w:rFonts w:asciiTheme="minorHAnsi" w:hAnsiTheme="minorHAnsi" w:cstheme="minorHAnsi"/>
        </w:rPr>
        <w:t xml:space="preserve"> to identify</w:t>
      </w:r>
      <w:r w:rsidR="00056F9D" w:rsidRPr="00D607AA">
        <w:rPr>
          <w:rFonts w:asciiTheme="minorHAnsi" w:hAnsiTheme="minorHAnsi" w:cstheme="minorHAnsi"/>
        </w:rPr>
        <w:t xml:space="preserve"> lessons </w:t>
      </w:r>
      <w:r w:rsidR="00D33B53" w:rsidRPr="00D607AA">
        <w:rPr>
          <w:rFonts w:asciiTheme="minorHAnsi" w:hAnsiTheme="minorHAnsi" w:cstheme="minorHAnsi"/>
        </w:rPr>
        <w:t xml:space="preserve">learned </w:t>
      </w:r>
      <w:r w:rsidR="00056F9D" w:rsidRPr="00D607AA">
        <w:rPr>
          <w:rFonts w:asciiTheme="minorHAnsi" w:hAnsiTheme="minorHAnsi" w:cstheme="minorHAnsi"/>
        </w:rPr>
        <w:t xml:space="preserve">from COP13 and </w:t>
      </w:r>
      <w:r w:rsidR="00CF596A">
        <w:rPr>
          <w:rFonts w:asciiTheme="minorHAnsi" w:hAnsiTheme="minorHAnsi" w:cstheme="minorHAnsi"/>
        </w:rPr>
        <w:t xml:space="preserve">to </w:t>
      </w:r>
      <w:r w:rsidR="00056F9D" w:rsidRPr="00D607AA">
        <w:rPr>
          <w:rFonts w:asciiTheme="minorHAnsi" w:hAnsiTheme="minorHAnsi" w:cstheme="minorHAnsi"/>
        </w:rPr>
        <w:t>continue strengthening its</w:t>
      </w:r>
      <w:r w:rsidR="00107E72" w:rsidRPr="00D607AA">
        <w:rPr>
          <w:rFonts w:asciiTheme="minorHAnsi" w:hAnsiTheme="minorHAnsi" w:cstheme="minorHAnsi"/>
        </w:rPr>
        <w:t xml:space="preserve"> core function of supporting the governing and subsidiary bodies of the Convention.</w:t>
      </w:r>
      <w:r w:rsidR="00056F9D" w:rsidRPr="00D607AA">
        <w:rPr>
          <w:rFonts w:asciiTheme="minorHAnsi" w:hAnsiTheme="minorHAnsi" w:cstheme="minorHAnsi"/>
        </w:rPr>
        <w:t xml:space="preserve"> </w:t>
      </w:r>
      <w:r w:rsidR="00107E72" w:rsidRPr="00D607AA">
        <w:rPr>
          <w:rFonts w:asciiTheme="minorHAnsi" w:hAnsiTheme="minorHAnsi" w:cstheme="minorHAnsi"/>
        </w:rPr>
        <w:t xml:space="preserve">Detailed </w:t>
      </w:r>
      <w:r w:rsidR="00CF596A" w:rsidRPr="00D607AA">
        <w:rPr>
          <w:rFonts w:asciiTheme="minorHAnsi" w:hAnsiTheme="minorHAnsi" w:cstheme="minorHAnsi"/>
        </w:rPr>
        <w:t>follow</w:t>
      </w:r>
      <w:r w:rsidR="00CF596A">
        <w:rPr>
          <w:rFonts w:asciiTheme="minorHAnsi" w:hAnsiTheme="minorHAnsi" w:cstheme="minorHAnsi"/>
        </w:rPr>
        <w:t>-</w:t>
      </w:r>
      <w:r w:rsidR="00107E72" w:rsidRPr="00D607AA">
        <w:rPr>
          <w:rFonts w:asciiTheme="minorHAnsi" w:hAnsiTheme="minorHAnsi" w:cstheme="minorHAnsi"/>
        </w:rPr>
        <w:t xml:space="preserve">up is being carried out </w:t>
      </w:r>
      <w:r w:rsidR="008E3527" w:rsidRPr="00D607AA">
        <w:rPr>
          <w:rFonts w:asciiTheme="minorHAnsi" w:hAnsiTheme="minorHAnsi" w:cstheme="minorHAnsi"/>
        </w:rPr>
        <w:t>in the different areas of work</w:t>
      </w:r>
      <w:r w:rsidR="00107E72" w:rsidRPr="00D607AA">
        <w:rPr>
          <w:rFonts w:asciiTheme="minorHAnsi" w:hAnsiTheme="minorHAnsi" w:cstheme="minorHAnsi"/>
        </w:rPr>
        <w:t xml:space="preserve">. The </w:t>
      </w:r>
      <w:r w:rsidR="00D33B53" w:rsidRPr="00D607AA">
        <w:rPr>
          <w:rFonts w:asciiTheme="minorHAnsi" w:hAnsiTheme="minorHAnsi" w:cstheme="minorHAnsi"/>
        </w:rPr>
        <w:t>Secretariat presents</w:t>
      </w:r>
      <w:r w:rsidR="00107E72" w:rsidRPr="00D607AA">
        <w:rPr>
          <w:rFonts w:asciiTheme="minorHAnsi" w:hAnsiTheme="minorHAnsi" w:cstheme="minorHAnsi"/>
        </w:rPr>
        <w:t xml:space="preserve"> some key highlights for Standing Committee’s feedback.</w:t>
      </w:r>
    </w:p>
    <w:p w14:paraId="67A27371" w14:textId="77777777" w:rsidR="00323D50" w:rsidRPr="00D607AA" w:rsidRDefault="00323D50" w:rsidP="00D607AA">
      <w:pPr>
        <w:keepNext/>
        <w:rPr>
          <w:rFonts w:asciiTheme="minorHAnsi" w:hAnsiTheme="minorHAnsi" w:cstheme="minorHAnsi"/>
          <w:b/>
        </w:rPr>
      </w:pPr>
    </w:p>
    <w:p w14:paraId="74BBBE98" w14:textId="73258223" w:rsidR="00C05AFA" w:rsidRPr="00D607AA" w:rsidRDefault="00384984" w:rsidP="00D607AA">
      <w:pPr>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AB431E" w:rsidRPr="00D607AA">
        <w:rPr>
          <w:rFonts w:asciiTheme="minorHAnsi" w:hAnsiTheme="minorHAnsi" w:cstheme="minorHAnsi"/>
        </w:rPr>
        <w:t xml:space="preserve">The detailed organization and implementation of a large meeting requires </w:t>
      </w:r>
      <w:r w:rsidR="004E28BC" w:rsidRPr="00D607AA">
        <w:rPr>
          <w:rFonts w:asciiTheme="minorHAnsi" w:hAnsiTheme="minorHAnsi" w:cstheme="minorHAnsi"/>
        </w:rPr>
        <w:t>thorough</w:t>
      </w:r>
      <w:r w:rsidR="00AB431E" w:rsidRPr="00D607AA">
        <w:rPr>
          <w:rFonts w:asciiTheme="minorHAnsi" w:hAnsiTheme="minorHAnsi" w:cstheme="minorHAnsi"/>
        </w:rPr>
        <w:t xml:space="preserve"> logistical arrangements. </w:t>
      </w:r>
      <w:r w:rsidR="00881DF5">
        <w:rPr>
          <w:rFonts w:asciiTheme="minorHAnsi" w:hAnsiTheme="minorHAnsi" w:cstheme="minorHAnsi"/>
        </w:rPr>
        <w:t>These include</w:t>
      </w:r>
      <w:r w:rsidR="00AB431E" w:rsidRPr="00D607AA">
        <w:rPr>
          <w:rFonts w:asciiTheme="minorHAnsi" w:hAnsiTheme="minorHAnsi" w:cstheme="minorHAnsi"/>
        </w:rPr>
        <w:t xml:space="preserve"> registration before </w:t>
      </w:r>
      <w:r w:rsidR="007D0004" w:rsidRPr="00D607AA">
        <w:rPr>
          <w:rFonts w:asciiTheme="minorHAnsi" w:hAnsiTheme="minorHAnsi" w:cstheme="minorHAnsi"/>
        </w:rPr>
        <w:t xml:space="preserve">and during </w:t>
      </w:r>
      <w:r w:rsidR="00AB431E" w:rsidRPr="00D607AA">
        <w:rPr>
          <w:rFonts w:asciiTheme="minorHAnsi" w:hAnsiTheme="minorHAnsi" w:cstheme="minorHAnsi"/>
        </w:rPr>
        <w:t xml:space="preserve">the meeting, </w:t>
      </w:r>
      <w:r w:rsidR="007D0004" w:rsidRPr="00D607AA">
        <w:rPr>
          <w:rFonts w:asciiTheme="minorHAnsi" w:hAnsiTheme="minorHAnsi" w:cstheme="minorHAnsi"/>
        </w:rPr>
        <w:t xml:space="preserve">as well as a range of </w:t>
      </w:r>
      <w:r w:rsidR="00E13727" w:rsidRPr="00D607AA">
        <w:rPr>
          <w:rFonts w:asciiTheme="minorHAnsi" w:hAnsiTheme="minorHAnsi" w:cstheme="minorHAnsi"/>
        </w:rPr>
        <w:t xml:space="preserve">other </w:t>
      </w:r>
      <w:r w:rsidR="007D0004" w:rsidRPr="00D607AA">
        <w:rPr>
          <w:rFonts w:asciiTheme="minorHAnsi" w:hAnsiTheme="minorHAnsi" w:cstheme="minorHAnsi"/>
        </w:rPr>
        <w:t>services at the venue, including interpretation, production</w:t>
      </w:r>
      <w:r w:rsidR="003E1E75">
        <w:rPr>
          <w:rFonts w:asciiTheme="minorHAnsi" w:hAnsiTheme="minorHAnsi" w:cstheme="minorHAnsi"/>
        </w:rPr>
        <w:t xml:space="preserve"> and</w:t>
      </w:r>
      <w:r w:rsidR="007D0004" w:rsidRPr="00D607AA">
        <w:rPr>
          <w:rFonts w:asciiTheme="minorHAnsi" w:hAnsiTheme="minorHAnsi" w:cstheme="minorHAnsi"/>
        </w:rPr>
        <w:t xml:space="preserve"> </w:t>
      </w:r>
      <w:r w:rsidR="003E1E75" w:rsidRPr="00D607AA">
        <w:rPr>
          <w:rFonts w:asciiTheme="minorHAnsi" w:hAnsiTheme="minorHAnsi" w:cstheme="minorHAnsi"/>
        </w:rPr>
        <w:t xml:space="preserve">translation </w:t>
      </w:r>
      <w:r w:rsidR="007D0004" w:rsidRPr="00D607AA">
        <w:rPr>
          <w:rFonts w:asciiTheme="minorHAnsi" w:hAnsiTheme="minorHAnsi" w:cstheme="minorHAnsi"/>
        </w:rPr>
        <w:t>of summary records</w:t>
      </w:r>
      <w:r w:rsidR="003E1E75">
        <w:rPr>
          <w:rFonts w:asciiTheme="minorHAnsi" w:hAnsiTheme="minorHAnsi" w:cstheme="minorHAnsi"/>
        </w:rPr>
        <w:t xml:space="preserve"> and other documents</w:t>
      </w:r>
      <w:r w:rsidR="007D0004" w:rsidRPr="00D607AA">
        <w:rPr>
          <w:rFonts w:asciiTheme="minorHAnsi" w:hAnsiTheme="minorHAnsi" w:cstheme="minorHAnsi"/>
        </w:rPr>
        <w:t>, support for regional meetings and working groups</w:t>
      </w:r>
      <w:r w:rsidR="003E1E75">
        <w:rPr>
          <w:rFonts w:asciiTheme="minorHAnsi" w:hAnsiTheme="minorHAnsi" w:cstheme="minorHAnsi"/>
        </w:rPr>
        <w:t xml:space="preserve"> and</w:t>
      </w:r>
      <w:r w:rsidR="003E1E75" w:rsidRPr="00D607AA">
        <w:rPr>
          <w:rFonts w:asciiTheme="minorHAnsi" w:hAnsiTheme="minorHAnsi" w:cstheme="minorHAnsi"/>
        </w:rPr>
        <w:t xml:space="preserve"> </w:t>
      </w:r>
      <w:r w:rsidR="007D0004" w:rsidRPr="00D607AA">
        <w:rPr>
          <w:rFonts w:asciiTheme="minorHAnsi" w:hAnsiTheme="minorHAnsi" w:cstheme="minorHAnsi"/>
        </w:rPr>
        <w:t>website</w:t>
      </w:r>
      <w:r w:rsidR="007B7EA9" w:rsidRPr="00D607AA">
        <w:rPr>
          <w:rFonts w:asciiTheme="minorHAnsi" w:hAnsiTheme="minorHAnsi" w:cstheme="minorHAnsi"/>
        </w:rPr>
        <w:t xml:space="preserve"> management</w:t>
      </w:r>
      <w:r w:rsidR="007D0004" w:rsidRPr="00D607AA">
        <w:rPr>
          <w:rFonts w:asciiTheme="minorHAnsi" w:hAnsiTheme="minorHAnsi" w:cstheme="minorHAnsi"/>
        </w:rPr>
        <w:t xml:space="preserve">. </w:t>
      </w:r>
      <w:r w:rsidR="002436F5" w:rsidRPr="00D607AA">
        <w:rPr>
          <w:rFonts w:asciiTheme="minorHAnsi" w:hAnsiTheme="minorHAnsi" w:cstheme="minorHAnsi"/>
        </w:rPr>
        <w:t>T</w:t>
      </w:r>
      <w:r w:rsidR="003227A2" w:rsidRPr="00D607AA">
        <w:rPr>
          <w:rFonts w:asciiTheme="minorHAnsi" w:hAnsiTheme="minorHAnsi" w:cstheme="minorHAnsi"/>
        </w:rPr>
        <w:t xml:space="preserve">he Secretariat had prioritized in this triennium </w:t>
      </w:r>
      <w:r w:rsidR="00506416">
        <w:rPr>
          <w:rFonts w:asciiTheme="minorHAnsi" w:hAnsiTheme="minorHAnsi" w:cstheme="minorHAnsi"/>
        </w:rPr>
        <w:t xml:space="preserve">the </w:t>
      </w:r>
      <w:r w:rsidR="003227A2" w:rsidRPr="00D607AA">
        <w:rPr>
          <w:rFonts w:asciiTheme="minorHAnsi" w:hAnsiTheme="minorHAnsi" w:cstheme="minorHAnsi"/>
        </w:rPr>
        <w:t xml:space="preserve">strengthening </w:t>
      </w:r>
      <w:r w:rsidR="00506416">
        <w:rPr>
          <w:rFonts w:asciiTheme="minorHAnsi" w:hAnsiTheme="minorHAnsi" w:cstheme="minorHAnsi"/>
        </w:rPr>
        <w:t xml:space="preserve">of its </w:t>
      </w:r>
      <w:r w:rsidR="003227A2" w:rsidRPr="00D607AA">
        <w:rPr>
          <w:rFonts w:asciiTheme="minorHAnsi" w:hAnsiTheme="minorHAnsi" w:cstheme="minorHAnsi"/>
        </w:rPr>
        <w:t xml:space="preserve">capacity to serve the governing </w:t>
      </w:r>
      <w:r w:rsidR="0019061E" w:rsidRPr="00D607AA">
        <w:rPr>
          <w:rFonts w:asciiTheme="minorHAnsi" w:hAnsiTheme="minorHAnsi" w:cstheme="minorHAnsi"/>
        </w:rPr>
        <w:t>and subsidiary bodies o</w:t>
      </w:r>
      <w:r w:rsidR="003227A2" w:rsidRPr="00D607AA">
        <w:rPr>
          <w:rFonts w:asciiTheme="minorHAnsi" w:hAnsiTheme="minorHAnsi" w:cstheme="minorHAnsi"/>
        </w:rPr>
        <w:t xml:space="preserve">f the Convention, and thus had </w:t>
      </w:r>
      <w:r w:rsidR="004641E5" w:rsidRPr="00D607AA">
        <w:rPr>
          <w:rFonts w:asciiTheme="minorHAnsi" w:hAnsiTheme="minorHAnsi" w:cstheme="minorHAnsi"/>
        </w:rPr>
        <w:t>strived to improve its services to the Parties</w:t>
      </w:r>
      <w:r w:rsidR="00E13727" w:rsidRPr="00D607AA">
        <w:rPr>
          <w:rFonts w:asciiTheme="minorHAnsi" w:hAnsiTheme="minorHAnsi" w:cstheme="minorHAnsi"/>
        </w:rPr>
        <w:t xml:space="preserve"> </w:t>
      </w:r>
      <w:r w:rsidR="003227A2" w:rsidRPr="00D607AA">
        <w:rPr>
          <w:rFonts w:asciiTheme="minorHAnsi" w:hAnsiTheme="minorHAnsi" w:cstheme="minorHAnsi"/>
        </w:rPr>
        <w:t>at COP13</w:t>
      </w:r>
      <w:r w:rsidR="00E13727" w:rsidRPr="00D607AA">
        <w:rPr>
          <w:rFonts w:asciiTheme="minorHAnsi" w:hAnsiTheme="minorHAnsi" w:cstheme="minorHAnsi"/>
        </w:rPr>
        <w:t xml:space="preserve">. </w:t>
      </w:r>
    </w:p>
    <w:p w14:paraId="618BC82D" w14:textId="77777777" w:rsidR="00653E9C" w:rsidRDefault="00653E9C" w:rsidP="00D33B53">
      <w:pPr>
        <w:keepNext/>
        <w:ind w:left="0" w:firstLine="0"/>
        <w:jc w:val="both"/>
        <w:rPr>
          <w:rFonts w:cs="Arial"/>
          <w:i/>
        </w:rPr>
      </w:pPr>
    </w:p>
    <w:p w14:paraId="4A8B4309" w14:textId="77777777" w:rsidR="00653E9C" w:rsidRPr="00653E9C" w:rsidRDefault="00653E9C" w:rsidP="00D33B53">
      <w:pPr>
        <w:keepNext/>
        <w:ind w:left="0" w:firstLine="0"/>
        <w:jc w:val="both"/>
        <w:rPr>
          <w:rFonts w:cs="Arial"/>
        </w:rPr>
      </w:pPr>
      <w:r w:rsidRPr="00D33B53">
        <w:rPr>
          <w:rFonts w:cs="Arial"/>
          <w:i/>
        </w:rPr>
        <w:t>Logistics</w:t>
      </w:r>
    </w:p>
    <w:p w14:paraId="5B977E32" w14:textId="77777777" w:rsidR="00C05AFA" w:rsidRDefault="00C05AFA" w:rsidP="00C2167D">
      <w:pPr>
        <w:pStyle w:val="ListParagraph"/>
        <w:ind w:firstLine="0"/>
        <w:jc w:val="both"/>
        <w:rPr>
          <w:rFonts w:cs="Arial"/>
        </w:rPr>
      </w:pPr>
    </w:p>
    <w:p w14:paraId="352E5E85" w14:textId="512F459F" w:rsidR="00E44141" w:rsidRDefault="00384984" w:rsidP="00D607AA">
      <w:pPr>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8B2AF0">
        <w:rPr>
          <w:rFonts w:asciiTheme="minorHAnsi" w:hAnsiTheme="minorHAnsi" w:cstheme="minorHAnsi"/>
        </w:rPr>
        <w:t>The o</w:t>
      </w:r>
      <w:r w:rsidR="008B2AF0" w:rsidRPr="00D607AA">
        <w:rPr>
          <w:rFonts w:asciiTheme="minorHAnsi" w:hAnsiTheme="minorHAnsi" w:cstheme="minorHAnsi"/>
        </w:rPr>
        <w:t xml:space="preserve">verall </w:t>
      </w:r>
      <w:r w:rsidR="000061F2" w:rsidRPr="00D607AA">
        <w:rPr>
          <w:rFonts w:asciiTheme="minorHAnsi" w:hAnsiTheme="minorHAnsi" w:cstheme="minorHAnsi"/>
        </w:rPr>
        <w:t>coordinat</w:t>
      </w:r>
      <w:r w:rsidR="00C1012A" w:rsidRPr="00D607AA">
        <w:rPr>
          <w:rFonts w:asciiTheme="minorHAnsi" w:hAnsiTheme="minorHAnsi" w:cstheme="minorHAnsi"/>
        </w:rPr>
        <w:t>ion of logistics was enhanced</w:t>
      </w:r>
      <w:r w:rsidR="000061F2" w:rsidRPr="00D607AA">
        <w:rPr>
          <w:rFonts w:asciiTheme="minorHAnsi" w:hAnsiTheme="minorHAnsi" w:cstheme="minorHAnsi"/>
        </w:rPr>
        <w:t xml:space="preserve"> through the </w:t>
      </w:r>
      <w:r w:rsidR="00107E72" w:rsidRPr="00D607AA">
        <w:rPr>
          <w:rFonts w:asciiTheme="minorHAnsi" w:hAnsiTheme="minorHAnsi" w:cstheme="minorHAnsi"/>
        </w:rPr>
        <w:t xml:space="preserve">revision of the </w:t>
      </w:r>
      <w:r w:rsidR="00D449A5" w:rsidRPr="00D607AA">
        <w:rPr>
          <w:rFonts w:asciiTheme="minorHAnsi" w:hAnsiTheme="minorHAnsi" w:cstheme="minorHAnsi"/>
        </w:rPr>
        <w:t>job description</w:t>
      </w:r>
      <w:r w:rsidR="008B2AF0">
        <w:rPr>
          <w:rFonts w:asciiTheme="minorHAnsi" w:hAnsiTheme="minorHAnsi" w:cstheme="minorHAnsi"/>
        </w:rPr>
        <w:t>s</w:t>
      </w:r>
      <w:r w:rsidR="00D449A5" w:rsidRPr="00D607AA">
        <w:rPr>
          <w:rFonts w:asciiTheme="minorHAnsi" w:hAnsiTheme="minorHAnsi" w:cstheme="minorHAnsi"/>
        </w:rPr>
        <w:t xml:space="preserve"> </w:t>
      </w:r>
      <w:r w:rsidR="00107E72" w:rsidRPr="00D607AA">
        <w:rPr>
          <w:rFonts w:asciiTheme="minorHAnsi" w:hAnsiTheme="minorHAnsi" w:cstheme="minorHAnsi"/>
        </w:rPr>
        <w:t xml:space="preserve">of </w:t>
      </w:r>
      <w:r w:rsidR="00247FBA" w:rsidRPr="00D607AA">
        <w:rPr>
          <w:rFonts w:asciiTheme="minorHAnsi" w:hAnsiTheme="minorHAnsi" w:cstheme="minorHAnsi"/>
        </w:rPr>
        <w:t xml:space="preserve">the Deputy Secretary General and of </w:t>
      </w:r>
      <w:r w:rsidR="00107E72" w:rsidRPr="00D607AA">
        <w:rPr>
          <w:rFonts w:asciiTheme="minorHAnsi" w:hAnsiTheme="minorHAnsi" w:cstheme="minorHAnsi"/>
        </w:rPr>
        <w:t xml:space="preserve">an administrative assistant </w:t>
      </w:r>
      <w:r w:rsidR="00D449A5">
        <w:rPr>
          <w:rFonts w:asciiTheme="minorHAnsi" w:hAnsiTheme="minorHAnsi" w:cstheme="minorHAnsi"/>
        </w:rPr>
        <w:t>position</w:t>
      </w:r>
      <w:r w:rsidR="00247FBA" w:rsidRPr="00D607AA">
        <w:rPr>
          <w:rFonts w:asciiTheme="minorHAnsi" w:hAnsiTheme="minorHAnsi" w:cstheme="minorHAnsi"/>
        </w:rPr>
        <w:t>. A</w:t>
      </w:r>
      <w:r w:rsidR="000061F2" w:rsidRPr="00D607AA">
        <w:rPr>
          <w:rFonts w:asciiTheme="minorHAnsi" w:hAnsiTheme="minorHAnsi" w:cstheme="minorHAnsi"/>
        </w:rPr>
        <w:t xml:space="preserve"> conference planning and administration position </w:t>
      </w:r>
      <w:r w:rsidR="0033191D" w:rsidRPr="00D607AA">
        <w:rPr>
          <w:rFonts w:asciiTheme="minorHAnsi" w:hAnsiTheme="minorHAnsi" w:cstheme="minorHAnsi"/>
        </w:rPr>
        <w:t>was</w:t>
      </w:r>
      <w:r w:rsidR="00D449A5">
        <w:rPr>
          <w:rFonts w:asciiTheme="minorHAnsi" w:hAnsiTheme="minorHAnsi" w:cstheme="minorHAnsi"/>
        </w:rPr>
        <w:t xml:space="preserve"> also</w:t>
      </w:r>
      <w:r w:rsidR="0033191D" w:rsidRPr="00D607AA">
        <w:rPr>
          <w:rFonts w:asciiTheme="minorHAnsi" w:hAnsiTheme="minorHAnsi" w:cstheme="minorHAnsi"/>
        </w:rPr>
        <w:t xml:space="preserve"> </w:t>
      </w:r>
      <w:r w:rsidR="00247FBA" w:rsidRPr="00D607AA">
        <w:rPr>
          <w:rFonts w:asciiTheme="minorHAnsi" w:hAnsiTheme="minorHAnsi" w:cstheme="minorHAnsi"/>
        </w:rPr>
        <w:t xml:space="preserve">recruited </w:t>
      </w:r>
      <w:r w:rsidR="000061F2" w:rsidRPr="00D607AA">
        <w:rPr>
          <w:rFonts w:asciiTheme="minorHAnsi" w:hAnsiTheme="minorHAnsi" w:cstheme="minorHAnsi"/>
        </w:rPr>
        <w:t xml:space="preserve">within the Secretariat. </w:t>
      </w:r>
      <w:r w:rsidR="00C1012A" w:rsidRPr="00D607AA">
        <w:rPr>
          <w:rFonts w:asciiTheme="minorHAnsi" w:hAnsiTheme="minorHAnsi" w:cstheme="minorHAnsi"/>
        </w:rPr>
        <w:t xml:space="preserve">This new capacity and expertise resulted in streamlined coordination with the </w:t>
      </w:r>
      <w:r w:rsidR="0055136A" w:rsidRPr="00D607AA">
        <w:rPr>
          <w:rFonts w:asciiTheme="minorHAnsi" w:hAnsiTheme="minorHAnsi" w:cstheme="minorHAnsi"/>
        </w:rPr>
        <w:t>host country</w:t>
      </w:r>
      <w:r w:rsidR="00C1012A" w:rsidRPr="00D607AA">
        <w:rPr>
          <w:rFonts w:asciiTheme="minorHAnsi" w:hAnsiTheme="minorHAnsi" w:cstheme="minorHAnsi"/>
        </w:rPr>
        <w:t xml:space="preserve">, travel providers and contracted services. </w:t>
      </w:r>
      <w:r w:rsidR="00B76C13" w:rsidRPr="00D607AA">
        <w:rPr>
          <w:rFonts w:asciiTheme="minorHAnsi" w:hAnsiTheme="minorHAnsi" w:cstheme="minorHAnsi"/>
        </w:rPr>
        <w:t>This</w:t>
      </w:r>
      <w:r w:rsidR="00745C01">
        <w:rPr>
          <w:rFonts w:asciiTheme="minorHAnsi" w:hAnsiTheme="minorHAnsi" w:cstheme="minorHAnsi"/>
        </w:rPr>
        <w:t xml:space="preserve"> conference planning and administration</w:t>
      </w:r>
      <w:r w:rsidR="00B76C13" w:rsidRPr="00D607AA">
        <w:rPr>
          <w:rFonts w:asciiTheme="minorHAnsi" w:hAnsiTheme="minorHAnsi" w:cstheme="minorHAnsi"/>
        </w:rPr>
        <w:t xml:space="preserve"> position better allows the Secretariat to deliver on its core role of servicing Contracting Parties</w:t>
      </w:r>
      <w:r w:rsidR="002D15D9">
        <w:rPr>
          <w:rFonts w:asciiTheme="minorHAnsi" w:hAnsiTheme="minorHAnsi" w:cstheme="minorHAnsi"/>
        </w:rPr>
        <w:t>,</w:t>
      </w:r>
      <w:r w:rsidR="00B76C13" w:rsidRPr="00D607AA">
        <w:rPr>
          <w:rFonts w:asciiTheme="minorHAnsi" w:hAnsiTheme="minorHAnsi" w:cstheme="minorHAnsi"/>
        </w:rPr>
        <w:t xml:space="preserve"> </w:t>
      </w:r>
      <w:r w:rsidR="006B72B8" w:rsidRPr="00D607AA">
        <w:rPr>
          <w:rFonts w:asciiTheme="minorHAnsi" w:hAnsiTheme="minorHAnsi" w:cstheme="minorHAnsi"/>
        </w:rPr>
        <w:t>particularly</w:t>
      </w:r>
      <w:r w:rsidR="00B76C13" w:rsidRPr="00D607AA">
        <w:rPr>
          <w:rFonts w:asciiTheme="minorHAnsi" w:hAnsiTheme="minorHAnsi" w:cstheme="minorHAnsi"/>
        </w:rPr>
        <w:t xml:space="preserve"> as it relates to the organization of meetings of governing and subsidiary bodies. </w:t>
      </w:r>
    </w:p>
    <w:p w14:paraId="3BC9A957" w14:textId="77777777" w:rsidR="00E44141" w:rsidRDefault="00E44141" w:rsidP="00D607AA">
      <w:pPr>
        <w:rPr>
          <w:rFonts w:asciiTheme="minorHAnsi" w:hAnsiTheme="minorHAnsi" w:cstheme="minorHAnsi"/>
        </w:rPr>
      </w:pPr>
    </w:p>
    <w:p w14:paraId="5DD11A68" w14:textId="363B7403" w:rsidR="00C05AFA" w:rsidRPr="00D607AA" w:rsidRDefault="00E44141" w:rsidP="00D607AA">
      <w:pPr>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33191D" w:rsidRPr="00D607AA">
        <w:rPr>
          <w:rFonts w:asciiTheme="minorHAnsi" w:hAnsiTheme="minorHAnsi" w:cstheme="minorHAnsi"/>
        </w:rPr>
        <w:t>P</w:t>
      </w:r>
      <w:r w:rsidR="00CC7768" w:rsidRPr="00D607AA">
        <w:rPr>
          <w:rFonts w:asciiTheme="minorHAnsi" w:hAnsiTheme="minorHAnsi" w:cstheme="minorHAnsi"/>
        </w:rPr>
        <w:t xml:space="preserve">lanning sessions </w:t>
      </w:r>
      <w:r w:rsidR="0088379A">
        <w:rPr>
          <w:rFonts w:asciiTheme="minorHAnsi" w:hAnsiTheme="minorHAnsi" w:cstheme="minorHAnsi"/>
        </w:rPr>
        <w:t>in which</w:t>
      </w:r>
      <w:r w:rsidR="008E36A3" w:rsidRPr="00D607AA">
        <w:rPr>
          <w:rFonts w:asciiTheme="minorHAnsi" w:hAnsiTheme="minorHAnsi" w:cstheme="minorHAnsi"/>
        </w:rPr>
        <w:t xml:space="preserve"> detailed guidance was provided</w:t>
      </w:r>
      <w:r w:rsidR="008E36A3">
        <w:rPr>
          <w:rFonts w:asciiTheme="minorHAnsi" w:hAnsiTheme="minorHAnsi" w:cstheme="minorHAnsi"/>
        </w:rPr>
        <w:t xml:space="preserve"> </w:t>
      </w:r>
      <w:r w:rsidR="004A55BF">
        <w:rPr>
          <w:rFonts w:asciiTheme="minorHAnsi" w:hAnsiTheme="minorHAnsi" w:cstheme="minorHAnsi"/>
        </w:rPr>
        <w:t>were</w:t>
      </w:r>
      <w:r w:rsidR="008E36A3" w:rsidRPr="00D607AA">
        <w:rPr>
          <w:rFonts w:asciiTheme="minorHAnsi" w:hAnsiTheme="minorHAnsi" w:cstheme="minorHAnsi"/>
        </w:rPr>
        <w:t xml:space="preserve"> </w:t>
      </w:r>
      <w:r w:rsidR="00CC7768" w:rsidRPr="00D607AA">
        <w:rPr>
          <w:rFonts w:asciiTheme="minorHAnsi" w:hAnsiTheme="minorHAnsi" w:cstheme="minorHAnsi"/>
        </w:rPr>
        <w:t xml:space="preserve">held with all staff in advance of the main meetings of </w:t>
      </w:r>
      <w:r w:rsidR="0033191D" w:rsidRPr="00D607AA">
        <w:rPr>
          <w:rFonts w:asciiTheme="minorHAnsi" w:hAnsiTheme="minorHAnsi" w:cstheme="minorHAnsi"/>
        </w:rPr>
        <w:t>governing and subsidiary bodies</w:t>
      </w:r>
      <w:r w:rsidR="008E36A3">
        <w:rPr>
          <w:rFonts w:asciiTheme="minorHAnsi" w:hAnsiTheme="minorHAnsi" w:cstheme="minorHAnsi"/>
        </w:rPr>
        <w:t>,</w:t>
      </w:r>
      <w:r w:rsidR="0033191D" w:rsidRPr="00D607AA">
        <w:rPr>
          <w:rFonts w:asciiTheme="minorHAnsi" w:hAnsiTheme="minorHAnsi" w:cstheme="minorHAnsi"/>
        </w:rPr>
        <w:t xml:space="preserve"> </w:t>
      </w:r>
      <w:r w:rsidR="00CC7768" w:rsidRPr="00D607AA">
        <w:rPr>
          <w:rFonts w:asciiTheme="minorHAnsi" w:hAnsiTheme="minorHAnsi" w:cstheme="minorHAnsi"/>
        </w:rPr>
        <w:t xml:space="preserve">further </w:t>
      </w:r>
      <w:r w:rsidR="008E36A3" w:rsidRPr="00D607AA">
        <w:rPr>
          <w:rFonts w:asciiTheme="minorHAnsi" w:hAnsiTheme="minorHAnsi" w:cstheme="minorHAnsi"/>
        </w:rPr>
        <w:t>strengthen</w:t>
      </w:r>
      <w:r w:rsidR="008E36A3">
        <w:rPr>
          <w:rFonts w:asciiTheme="minorHAnsi" w:hAnsiTheme="minorHAnsi" w:cstheme="minorHAnsi"/>
        </w:rPr>
        <w:t>ing</w:t>
      </w:r>
      <w:r w:rsidR="008E36A3" w:rsidRPr="00D607AA">
        <w:rPr>
          <w:rFonts w:asciiTheme="minorHAnsi" w:hAnsiTheme="minorHAnsi" w:cstheme="minorHAnsi"/>
        </w:rPr>
        <w:t xml:space="preserve"> </w:t>
      </w:r>
      <w:r w:rsidR="008E36A3">
        <w:rPr>
          <w:rFonts w:asciiTheme="minorHAnsi" w:hAnsiTheme="minorHAnsi" w:cstheme="minorHAnsi"/>
        </w:rPr>
        <w:t xml:space="preserve">the </w:t>
      </w:r>
      <w:r w:rsidR="00CC7768" w:rsidRPr="00D607AA">
        <w:rPr>
          <w:rFonts w:asciiTheme="minorHAnsi" w:hAnsiTheme="minorHAnsi" w:cstheme="minorHAnsi"/>
        </w:rPr>
        <w:t>capacities and coordination of staff</w:t>
      </w:r>
      <w:r w:rsidR="008E36A3">
        <w:rPr>
          <w:rFonts w:asciiTheme="minorHAnsi" w:hAnsiTheme="minorHAnsi" w:cstheme="minorHAnsi"/>
        </w:rPr>
        <w:t>.</w:t>
      </w:r>
    </w:p>
    <w:p w14:paraId="39EEE43E" w14:textId="77777777" w:rsidR="00C05AFA" w:rsidRPr="00D607AA" w:rsidRDefault="00C05AFA" w:rsidP="00D607AA">
      <w:pPr>
        <w:rPr>
          <w:rFonts w:asciiTheme="minorHAnsi" w:hAnsiTheme="minorHAnsi" w:cstheme="minorHAnsi"/>
        </w:rPr>
      </w:pPr>
    </w:p>
    <w:p w14:paraId="1CB6FDE9" w14:textId="60CA0BFF" w:rsidR="00C05AFA" w:rsidRPr="00D607AA" w:rsidRDefault="00E44141" w:rsidP="00D607AA">
      <w:pPr>
        <w:rPr>
          <w:rFonts w:asciiTheme="minorHAnsi" w:hAnsiTheme="minorHAnsi" w:cstheme="minorHAnsi"/>
        </w:rPr>
      </w:pPr>
      <w:r>
        <w:rPr>
          <w:rFonts w:asciiTheme="minorHAnsi" w:hAnsiTheme="minorHAnsi" w:cstheme="minorHAnsi"/>
        </w:rPr>
        <w:t>9</w:t>
      </w:r>
      <w:r w:rsidR="00384984">
        <w:rPr>
          <w:rFonts w:asciiTheme="minorHAnsi" w:hAnsiTheme="minorHAnsi" w:cstheme="minorHAnsi"/>
        </w:rPr>
        <w:t>.</w:t>
      </w:r>
      <w:r w:rsidR="00384984">
        <w:rPr>
          <w:rFonts w:asciiTheme="minorHAnsi" w:hAnsiTheme="minorHAnsi" w:cstheme="minorHAnsi"/>
        </w:rPr>
        <w:tab/>
      </w:r>
      <w:r w:rsidR="005D4A43">
        <w:rPr>
          <w:rFonts w:asciiTheme="minorHAnsi" w:hAnsiTheme="minorHAnsi" w:cstheme="minorHAnsi"/>
        </w:rPr>
        <w:t>T</w:t>
      </w:r>
      <w:r w:rsidR="0019061E" w:rsidRPr="00D607AA">
        <w:rPr>
          <w:rFonts w:asciiTheme="minorHAnsi" w:hAnsiTheme="minorHAnsi" w:cstheme="minorHAnsi"/>
        </w:rPr>
        <w:t xml:space="preserve">he Secretariat </w:t>
      </w:r>
      <w:r w:rsidR="00907A0E">
        <w:rPr>
          <w:rFonts w:asciiTheme="minorHAnsi" w:hAnsiTheme="minorHAnsi" w:cstheme="minorHAnsi"/>
        </w:rPr>
        <w:t>u</w:t>
      </w:r>
      <w:r w:rsidR="005D4A43">
        <w:rPr>
          <w:rFonts w:asciiTheme="minorHAnsi" w:hAnsiTheme="minorHAnsi" w:cstheme="minorHAnsi"/>
        </w:rPr>
        <w:t>ses</w:t>
      </w:r>
      <w:r w:rsidR="00907A0E" w:rsidRPr="00D607AA">
        <w:rPr>
          <w:rFonts w:asciiTheme="minorHAnsi" w:hAnsiTheme="minorHAnsi" w:cstheme="minorHAnsi"/>
        </w:rPr>
        <w:t xml:space="preserve"> </w:t>
      </w:r>
      <w:r w:rsidR="005D4A43">
        <w:rPr>
          <w:rFonts w:asciiTheme="minorHAnsi" w:hAnsiTheme="minorHAnsi" w:cstheme="minorHAnsi"/>
        </w:rPr>
        <w:t xml:space="preserve">a </w:t>
      </w:r>
      <w:r w:rsidR="0019061E" w:rsidRPr="00D607AA">
        <w:rPr>
          <w:rFonts w:asciiTheme="minorHAnsi" w:hAnsiTheme="minorHAnsi" w:cstheme="minorHAnsi"/>
        </w:rPr>
        <w:t>new</w:t>
      </w:r>
      <w:r w:rsidR="002436F5" w:rsidRPr="00D607AA">
        <w:rPr>
          <w:rFonts w:asciiTheme="minorHAnsi" w:hAnsiTheme="minorHAnsi" w:cstheme="minorHAnsi"/>
        </w:rPr>
        <w:t xml:space="preserve"> </w:t>
      </w:r>
      <w:r w:rsidR="00D449A5" w:rsidRPr="00D607AA">
        <w:rPr>
          <w:rFonts w:asciiTheme="minorHAnsi" w:hAnsiTheme="minorHAnsi" w:cstheme="minorHAnsi"/>
        </w:rPr>
        <w:t xml:space="preserve">customer relationship management </w:t>
      </w:r>
      <w:r w:rsidR="002436F5" w:rsidRPr="00D607AA">
        <w:rPr>
          <w:rFonts w:asciiTheme="minorHAnsi" w:hAnsiTheme="minorHAnsi" w:cstheme="minorHAnsi"/>
        </w:rPr>
        <w:t xml:space="preserve">(CRM) </w:t>
      </w:r>
      <w:r w:rsidR="008E36A3" w:rsidRPr="00D607AA">
        <w:rPr>
          <w:rFonts w:asciiTheme="minorHAnsi" w:hAnsiTheme="minorHAnsi" w:cstheme="minorHAnsi"/>
        </w:rPr>
        <w:t xml:space="preserve">system </w:t>
      </w:r>
      <w:r w:rsidR="002436F5" w:rsidRPr="00D607AA">
        <w:rPr>
          <w:rFonts w:asciiTheme="minorHAnsi" w:hAnsiTheme="minorHAnsi" w:cstheme="minorHAnsi"/>
        </w:rPr>
        <w:t xml:space="preserve">to maintain a </w:t>
      </w:r>
      <w:r w:rsidR="0019061E" w:rsidRPr="00D607AA">
        <w:rPr>
          <w:rFonts w:asciiTheme="minorHAnsi" w:hAnsiTheme="minorHAnsi" w:cstheme="minorHAnsi"/>
        </w:rPr>
        <w:t xml:space="preserve">single </w:t>
      </w:r>
      <w:r w:rsidR="002436F5" w:rsidRPr="00D607AA">
        <w:rPr>
          <w:rFonts w:asciiTheme="minorHAnsi" w:hAnsiTheme="minorHAnsi" w:cstheme="minorHAnsi"/>
        </w:rPr>
        <w:t>database of contacts</w:t>
      </w:r>
      <w:r w:rsidR="004D4BBE" w:rsidRPr="00D607AA">
        <w:rPr>
          <w:rFonts w:asciiTheme="minorHAnsi" w:hAnsiTheme="minorHAnsi" w:cstheme="minorHAnsi"/>
        </w:rPr>
        <w:t xml:space="preserve"> </w:t>
      </w:r>
      <w:r w:rsidR="00F7308D" w:rsidRPr="00D607AA">
        <w:rPr>
          <w:rFonts w:asciiTheme="minorHAnsi" w:hAnsiTheme="minorHAnsi" w:cstheme="minorHAnsi"/>
        </w:rPr>
        <w:t xml:space="preserve">for all </w:t>
      </w:r>
      <w:r w:rsidR="005D4A43">
        <w:rPr>
          <w:rFonts w:asciiTheme="minorHAnsi" w:hAnsiTheme="minorHAnsi" w:cstheme="minorHAnsi"/>
        </w:rPr>
        <w:t>its</w:t>
      </w:r>
      <w:r w:rsidR="005D4A43" w:rsidRPr="00D607AA">
        <w:rPr>
          <w:rFonts w:asciiTheme="minorHAnsi" w:hAnsiTheme="minorHAnsi" w:cstheme="minorHAnsi"/>
        </w:rPr>
        <w:t xml:space="preserve"> </w:t>
      </w:r>
      <w:r w:rsidR="00F7308D" w:rsidRPr="00D607AA">
        <w:rPr>
          <w:rFonts w:asciiTheme="minorHAnsi" w:hAnsiTheme="minorHAnsi" w:cstheme="minorHAnsi"/>
        </w:rPr>
        <w:t>work</w:t>
      </w:r>
      <w:r w:rsidR="005D4A43">
        <w:rPr>
          <w:rFonts w:asciiTheme="minorHAnsi" w:hAnsiTheme="minorHAnsi" w:cstheme="minorHAnsi"/>
        </w:rPr>
        <w:t>.</w:t>
      </w:r>
      <w:r w:rsidR="00323D50">
        <w:rPr>
          <w:rFonts w:asciiTheme="minorHAnsi" w:hAnsiTheme="minorHAnsi" w:cstheme="minorHAnsi"/>
        </w:rPr>
        <w:t xml:space="preserve"> </w:t>
      </w:r>
      <w:r w:rsidR="005D4A43">
        <w:rPr>
          <w:rFonts w:asciiTheme="minorHAnsi" w:hAnsiTheme="minorHAnsi" w:cstheme="minorHAnsi"/>
        </w:rPr>
        <w:t xml:space="preserve">The CRM was </w:t>
      </w:r>
      <w:r w:rsidR="0019061E" w:rsidRPr="00D607AA">
        <w:rPr>
          <w:rFonts w:asciiTheme="minorHAnsi" w:hAnsiTheme="minorHAnsi" w:cstheme="minorHAnsi"/>
        </w:rPr>
        <w:t>used</w:t>
      </w:r>
      <w:r w:rsidR="002436F5" w:rsidRPr="00D607AA">
        <w:rPr>
          <w:rFonts w:asciiTheme="minorHAnsi" w:hAnsiTheme="minorHAnsi" w:cstheme="minorHAnsi"/>
        </w:rPr>
        <w:t xml:space="preserve"> to register </w:t>
      </w:r>
      <w:r w:rsidR="005D4A43">
        <w:rPr>
          <w:rFonts w:asciiTheme="minorHAnsi" w:hAnsiTheme="minorHAnsi" w:cstheme="minorHAnsi"/>
        </w:rPr>
        <w:t xml:space="preserve">COP13 </w:t>
      </w:r>
      <w:r w:rsidR="002436F5" w:rsidRPr="00D607AA">
        <w:rPr>
          <w:rFonts w:asciiTheme="minorHAnsi" w:hAnsiTheme="minorHAnsi" w:cstheme="minorHAnsi"/>
        </w:rPr>
        <w:t>meeting participants</w:t>
      </w:r>
      <w:r w:rsidR="005D4A43">
        <w:rPr>
          <w:rFonts w:asciiTheme="minorHAnsi" w:hAnsiTheme="minorHAnsi" w:cstheme="minorHAnsi"/>
        </w:rPr>
        <w:t xml:space="preserve">, </w:t>
      </w:r>
      <w:r w:rsidR="005D4A43" w:rsidRPr="00D607AA">
        <w:rPr>
          <w:rFonts w:asciiTheme="minorHAnsi" w:hAnsiTheme="minorHAnsi" w:cstheme="minorHAnsi"/>
        </w:rPr>
        <w:t>successfully s</w:t>
      </w:r>
      <w:r w:rsidR="005D4A43">
        <w:rPr>
          <w:rFonts w:asciiTheme="minorHAnsi" w:hAnsiTheme="minorHAnsi" w:cstheme="minorHAnsi"/>
        </w:rPr>
        <w:t>treamlining</w:t>
      </w:r>
      <w:r w:rsidR="005D4A43" w:rsidRPr="00D607AA">
        <w:rPr>
          <w:rFonts w:asciiTheme="minorHAnsi" w:hAnsiTheme="minorHAnsi" w:cstheme="minorHAnsi"/>
        </w:rPr>
        <w:t xml:space="preserve"> the registration process</w:t>
      </w:r>
      <w:r w:rsidR="005D4A43">
        <w:rPr>
          <w:rFonts w:asciiTheme="minorHAnsi" w:hAnsiTheme="minorHAnsi" w:cstheme="minorHAnsi"/>
        </w:rPr>
        <w:t>,</w:t>
      </w:r>
      <w:r w:rsidR="002436F5" w:rsidRPr="00D607AA">
        <w:rPr>
          <w:rFonts w:asciiTheme="minorHAnsi" w:hAnsiTheme="minorHAnsi" w:cstheme="minorHAnsi"/>
        </w:rPr>
        <w:t xml:space="preserve"> </w:t>
      </w:r>
      <w:r w:rsidR="008B2AF0">
        <w:rPr>
          <w:rFonts w:asciiTheme="minorHAnsi" w:hAnsiTheme="minorHAnsi" w:cstheme="minorHAnsi"/>
        </w:rPr>
        <w:t>and</w:t>
      </w:r>
      <w:r w:rsidR="002436F5" w:rsidRPr="00D607AA">
        <w:rPr>
          <w:rFonts w:asciiTheme="minorHAnsi" w:hAnsiTheme="minorHAnsi" w:cstheme="minorHAnsi"/>
        </w:rPr>
        <w:t xml:space="preserve"> to facilit</w:t>
      </w:r>
      <w:r w:rsidR="00745C01">
        <w:rPr>
          <w:rFonts w:asciiTheme="minorHAnsi" w:hAnsiTheme="minorHAnsi" w:cstheme="minorHAnsi"/>
        </w:rPr>
        <w:t>ate the distribution of correspondence.</w:t>
      </w:r>
      <w:r w:rsidR="002436F5" w:rsidRPr="00D607AA">
        <w:rPr>
          <w:rFonts w:asciiTheme="minorHAnsi" w:hAnsiTheme="minorHAnsi" w:cstheme="minorHAnsi"/>
        </w:rPr>
        <w:t xml:space="preserve"> </w:t>
      </w:r>
      <w:r w:rsidR="00323D50">
        <w:rPr>
          <w:rFonts w:asciiTheme="minorHAnsi" w:hAnsiTheme="minorHAnsi" w:cstheme="minorHAnsi"/>
        </w:rPr>
        <w:t>It</w:t>
      </w:r>
      <w:r w:rsidR="002436F5" w:rsidRPr="00D607AA">
        <w:rPr>
          <w:rFonts w:asciiTheme="minorHAnsi" w:hAnsiTheme="minorHAnsi" w:cstheme="minorHAnsi"/>
        </w:rPr>
        <w:t xml:space="preserve"> is now exploring how to </w:t>
      </w:r>
      <w:r w:rsidR="00323D50">
        <w:rPr>
          <w:rFonts w:asciiTheme="minorHAnsi" w:hAnsiTheme="minorHAnsi" w:cstheme="minorHAnsi"/>
        </w:rPr>
        <w:t>extend</w:t>
      </w:r>
      <w:r w:rsidR="00323D50" w:rsidRPr="00D607AA">
        <w:rPr>
          <w:rFonts w:asciiTheme="minorHAnsi" w:hAnsiTheme="minorHAnsi" w:cstheme="minorHAnsi"/>
        </w:rPr>
        <w:t xml:space="preserve"> </w:t>
      </w:r>
      <w:r w:rsidR="00F7308D" w:rsidRPr="00D607AA">
        <w:rPr>
          <w:rFonts w:asciiTheme="minorHAnsi" w:hAnsiTheme="minorHAnsi" w:cstheme="minorHAnsi"/>
        </w:rPr>
        <w:t xml:space="preserve">the </w:t>
      </w:r>
      <w:r w:rsidR="00323D50">
        <w:rPr>
          <w:rFonts w:asciiTheme="minorHAnsi" w:hAnsiTheme="minorHAnsi" w:cstheme="minorHAnsi"/>
        </w:rPr>
        <w:t>use</w:t>
      </w:r>
      <w:r w:rsidR="00323D50" w:rsidRPr="00D607AA">
        <w:rPr>
          <w:rFonts w:asciiTheme="minorHAnsi" w:hAnsiTheme="minorHAnsi" w:cstheme="minorHAnsi"/>
        </w:rPr>
        <w:t xml:space="preserve"> </w:t>
      </w:r>
      <w:r w:rsidR="002436F5" w:rsidRPr="00D607AA">
        <w:rPr>
          <w:rFonts w:asciiTheme="minorHAnsi" w:hAnsiTheme="minorHAnsi" w:cstheme="minorHAnsi"/>
        </w:rPr>
        <w:t xml:space="preserve">of this platform to other aspects of meeting management </w:t>
      </w:r>
      <w:r w:rsidR="0019061E" w:rsidRPr="00D607AA">
        <w:rPr>
          <w:rFonts w:asciiTheme="minorHAnsi" w:hAnsiTheme="minorHAnsi" w:cstheme="minorHAnsi"/>
        </w:rPr>
        <w:t>such as onsite registration, badge production</w:t>
      </w:r>
      <w:r w:rsidR="00323D50">
        <w:rPr>
          <w:rFonts w:asciiTheme="minorHAnsi" w:hAnsiTheme="minorHAnsi" w:cstheme="minorHAnsi"/>
        </w:rPr>
        <w:t xml:space="preserve"> </w:t>
      </w:r>
      <w:r w:rsidR="0019061E" w:rsidRPr="00D607AA">
        <w:rPr>
          <w:rFonts w:asciiTheme="minorHAnsi" w:hAnsiTheme="minorHAnsi" w:cstheme="minorHAnsi"/>
        </w:rPr>
        <w:t>and management of the accreditation process</w:t>
      </w:r>
      <w:r w:rsidR="00323D50">
        <w:rPr>
          <w:rFonts w:asciiTheme="minorHAnsi" w:hAnsiTheme="minorHAnsi" w:cstheme="minorHAnsi"/>
        </w:rPr>
        <w:t>,</w:t>
      </w:r>
      <w:r w:rsidR="002436F5" w:rsidRPr="00D607AA">
        <w:rPr>
          <w:rFonts w:asciiTheme="minorHAnsi" w:hAnsiTheme="minorHAnsi" w:cstheme="minorHAnsi"/>
        </w:rPr>
        <w:t xml:space="preserve"> to better support </w:t>
      </w:r>
      <w:r w:rsidR="00323D50">
        <w:rPr>
          <w:rFonts w:asciiTheme="minorHAnsi" w:hAnsiTheme="minorHAnsi" w:cstheme="minorHAnsi"/>
        </w:rPr>
        <w:t xml:space="preserve">Contracting </w:t>
      </w:r>
      <w:r w:rsidR="002436F5" w:rsidRPr="00D607AA">
        <w:rPr>
          <w:rFonts w:asciiTheme="minorHAnsi" w:hAnsiTheme="minorHAnsi" w:cstheme="minorHAnsi"/>
        </w:rPr>
        <w:t xml:space="preserve">Parties during future </w:t>
      </w:r>
      <w:r w:rsidR="00F7308D" w:rsidRPr="00D607AA">
        <w:rPr>
          <w:rFonts w:asciiTheme="minorHAnsi" w:hAnsiTheme="minorHAnsi" w:cstheme="minorHAnsi"/>
        </w:rPr>
        <w:t xml:space="preserve">meetings of </w:t>
      </w:r>
      <w:r w:rsidR="00323D50">
        <w:rPr>
          <w:rFonts w:asciiTheme="minorHAnsi" w:hAnsiTheme="minorHAnsi" w:cstheme="minorHAnsi"/>
        </w:rPr>
        <w:t>the COP</w:t>
      </w:r>
      <w:r w:rsidR="002436F5" w:rsidRPr="00D607AA">
        <w:rPr>
          <w:rFonts w:asciiTheme="minorHAnsi" w:hAnsiTheme="minorHAnsi" w:cstheme="minorHAnsi"/>
        </w:rPr>
        <w:t>.</w:t>
      </w:r>
      <w:r w:rsidR="00EB2A17" w:rsidRPr="00D607AA">
        <w:rPr>
          <w:rFonts w:asciiTheme="minorHAnsi" w:hAnsiTheme="minorHAnsi" w:cstheme="minorHAnsi"/>
        </w:rPr>
        <w:t xml:space="preserve"> Onsite registration and badge production will be piloted at </w:t>
      </w:r>
      <w:r w:rsidR="007B3CFA">
        <w:rPr>
          <w:rFonts w:asciiTheme="minorHAnsi" w:hAnsiTheme="minorHAnsi" w:cstheme="minorHAnsi"/>
        </w:rPr>
        <w:t>the 57th meeting of the Standing Committee (</w:t>
      </w:r>
      <w:r w:rsidR="00EB2A17" w:rsidRPr="00D607AA">
        <w:rPr>
          <w:rFonts w:asciiTheme="minorHAnsi" w:hAnsiTheme="minorHAnsi" w:cstheme="minorHAnsi"/>
        </w:rPr>
        <w:t>SC57</w:t>
      </w:r>
      <w:r w:rsidR="007B3CFA">
        <w:rPr>
          <w:rFonts w:asciiTheme="minorHAnsi" w:hAnsiTheme="minorHAnsi" w:cstheme="minorHAnsi"/>
        </w:rPr>
        <w:t>)</w:t>
      </w:r>
      <w:r w:rsidR="00EB2A17" w:rsidRPr="00D607AA">
        <w:rPr>
          <w:rFonts w:asciiTheme="minorHAnsi" w:hAnsiTheme="minorHAnsi" w:cstheme="minorHAnsi"/>
        </w:rPr>
        <w:t xml:space="preserve">. </w:t>
      </w:r>
    </w:p>
    <w:p w14:paraId="33378FE3" w14:textId="77777777" w:rsidR="00C05AFA" w:rsidRPr="00D607AA" w:rsidRDefault="00C05AFA" w:rsidP="00D607AA">
      <w:pPr>
        <w:rPr>
          <w:rFonts w:asciiTheme="minorHAnsi" w:hAnsiTheme="minorHAnsi" w:cstheme="minorHAnsi"/>
        </w:rPr>
      </w:pPr>
    </w:p>
    <w:p w14:paraId="7597D2CD" w14:textId="4D4F1638" w:rsidR="00C05AFA" w:rsidRPr="00D607AA" w:rsidRDefault="00E44141" w:rsidP="00D607AA">
      <w:pPr>
        <w:rPr>
          <w:rFonts w:asciiTheme="minorHAnsi" w:hAnsiTheme="minorHAnsi" w:cstheme="minorHAnsi"/>
        </w:rPr>
      </w:pPr>
      <w:r>
        <w:rPr>
          <w:rFonts w:asciiTheme="minorHAnsi" w:hAnsiTheme="minorHAnsi" w:cstheme="minorHAnsi"/>
        </w:rPr>
        <w:t>10</w:t>
      </w:r>
      <w:r w:rsidR="00384984">
        <w:rPr>
          <w:rFonts w:asciiTheme="minorHAnsi" w:hAnsiTheme="minorHAnsi" w:cstheme="minorHAnsi"/>
        </w:rPr>
        <w:t>.</w:t>
      </w:r>
      <w:r w:rsidR="00384984">
        <w:rPr>
          <w:rFonts w:asciiTheme="minorHAnsi" w:hAnsiTheme="minorHAnsi" w:cstheme="minorHAnsi"/>
        </w:rPr>
        <w:tab/>
      </w:r>
      <w:r w:rsidR="00EB2A17" w:rsidRPr="00D607AA">
        <w:rPr>
          <w:rFonts w:asciiTheme="minorHAnsi" w:hAnsiTheme="minorHAnsi" w:cstheme="minorHAnsi"/>
        </w:rPr>
        <w:t xml:space="preserve">As </w:t>
      </w:r>
      <w:r w:rsidR="007B3CFA">
        <w:rPr>
          <w:rFonts w:asciiTheme="minorHAnsi" w:hAnsiTheme="minorHAnsi" w:cstheme="minorHAnsi"/>
        </w:rPr>
        <w:t xml:space="preserve">it does </w:t>
      </w:r>
      <w:r w:rsidR="00F77D39" w:rsidRPr="00D607AA">
        <w:rPr>
          <w:rFonts w:asciiTheme="minorHAnsi" w:hAnsiTheme="minorHAnsi" w:cstheme="minorHAnsi"/>
        </w:rPr>
        <w:t xml:space="preserve">after each </w:t>
      </w:r>
      <w:r w:rsidR="00F7308D" w:rsidRPr="00D607AA">
        <w:rPr>
          <w:rFonts w:asciiTheme="minorHAnsi" w:hAnsiTheme="minorHAnsi" w:cstheme="minorHAnsi"/>
        </w:rPr>
        <w:t xml:space="preserve">meeting of the </w:t>
      </w:r>
      <w:r w:rsidR="007B7EA9" w:rsidRPr="00D607AA">
        <w:rPr>
          <w:rFonts w:asciiTheme="minorHAnsi" w:hAnsiTheme="minorHAnsi" w:cstheme="minorHAnsi"/>
        </w:rPr>
        <w:t>Conference of the Parties</w:t>
      </w:r>
      <w:r w:rsidR="00F77D39" w:rsidRPr="00D607AA">
        <w:rPr>
          <w:rFonts w:asciiTheme="minorHAnsi" w:hAnsiTheme="minorHAnsi" w:cstheme="minorHAnsi"/>
        </w:rPr>
        <w:t xml:space="preserve">, </w:t>
      </w:r>
      <w:r w:rsidR="006A72C0" w:rsidRPr="00D607AA">
        <w:rPr>
          <w:rFonts w:asciiTheme="minorHAnsi" w:hAnsiTheme="minorHAnsi" w:cstheme="minorHAnsi"/>
        </w:rPr>
        <w:t xml:space="preserve">the Secretariat has taken note of </w:t>
      </w:r>
      <w:r w:rsidR="008B2AF0">
        <w:rPr>
          <w:rFonts w:asciiTheme="minorHAnsi" w:hAnsiTheme="minorHAnsi" w:cstheme="minorHAnsi"/>
        </w:rPr>
        <w:t>items on which</w:t>
      </w:r>
      <w:r w:rsidR="006A72C0" w:rsidRPr="00D607AA">
        <w:rPr>
          <w:rFonts w:asciiTheme="minorHAnsi" w:hAnsiTheme="minorHAnsi" w:cstheme="minorHAnsi"/>
        </w:rPr>
        <w:t xml:space="preserve"> there was a lack of clarity or differing </w:t>
      </w:r>
      <w:r w:rsidR="0019061E" w:rsidRPr="00D607AA">
        <w:rPr>
          <w:rFonts w:asciiTheme="minorHAnsi" w:hAnsiTheme="minorHAnsi" w:cstheme="minorHAnsi"/>
        </w:rPr>
        <w:t>expectations and has updated the</w:t>
      </w:r>
      <w:r w:rsidR="00F77D39" w:rsidRPr="00D607AA">
        <w:rPr>
          <w:rFonts w:asciiTheme="minorHAnsi" w:hAnsiTheme="minorHAnsi" w:cstheme="minorHAnsi"/>
        </w:rPr>
        <w:t xml:space="preserve"> </w:t>
      </w:r>
      <w:r w:rsidR="0055136A" w:rsidRPr="00D607AA">
        <w:rPr>
          <w:rFonts w:asciiTheme="minorHAnsi" w:hAnsiTheme="minorHAnsi" w:cstheme="minorHAnsi"/>
        </w:rPr>
        <w:t xml:space="preserve">host country </w:t>
      </w:r>
      <w:r w:rsidR="00F77D39" w:rsidRPr="00D607AA">
        <w:rPr>
          <w:rFonts w:asciiTheme="minorHAnsi" w:hAnsiTheme="minorHAnsi" w:cstheme="minorHAnsi"/>
        </w:rPr>
        <w:t xml:space="preserve">agreement </w:t>
      </w:r>
      <w:r w:rsidR="007B7EA9" w:rsidRPr="00D607AA">
        <w:rPr>
          <w:rFonts w:asciiTheme="minorHAnsi" w:hAnsiTheme="minorHAnsi" w:cstheme="minorHAnsi"/>
        </w:rPr>
        <w:t>accordingly</w:t>
      </w:r>
      <w:r w:rsidR="00F77D39" w:rsidRPr="00D607AA">
        <w:rPr>
          <w:rFonts w:asciiTheme="minorHAnsi" w:hAnsiTheme="minorHAnsi" w:cstheme="minorHAnsi"/>
        </w:rPr>
        <w:t>.</w:t>
      </w:r>
      <w:r w:rsidR="00EB2A17" w:rsidRPr="00D607AA">
        <w:rPr>
          <w:rFonts w:asciiTheme="minorHAnsi" w:hAnsiTheme="minorHAnsi" w:cstheme="minorHAnsi"/>
        </w:rPr>
        <w:t xml:space="preserve"> The agreement has also been updated to reflect a desire to </w:t>
      </w:r>
      <w:r w:rsidR="007B3CFA">
        <w:rPr>
          <w:rFonts w:asciiTheme="minorHAnsi" w:hAnsiTheme="minorHAnsi" w:cstheme="minorHAnsi"/>
        </w:rPr>
        <w:t>ensure</w:t>
      </w:r>
      <w:r w:rsidR="007B3CFA" w:rsidRPr="00D607AA">
        <w:rPr>
          <w:rFonts w:asciiTheme="minorHAnsi" w:hAnsiTheme="minorHAnsi" w:cstheme="minorHAnsi"/>
        </w:rPr>
        <w:t xml:space="preserve"> </w:t>
      </w:r>
      <w:r w:rsidR="00EB2A17" w:rsidRPr="00D607AA">
        <w:rPr>
          <w:rFonts w:asciiTheme="minorHAnsi" w:hAnsiTheme="minorHAnsi" w:cstheme="minorHAnsi"/>
        </w:rPr>
        <w:t xml:space="preserve">future COPs </w:t>
      </w:r>
      <w:r w:rsidR="007B3CFA">
        <w:rPr>
          <w:rFonts w:asciiTheme="minorHAnsi" w:hAnsiTheme="minorHAnsi" w:cstheme="minorHAnsi"/>
        </w:rPr>
        <w:t xml:space="preserve">are </w:t>
      </w:r>
      <w:r w:rsidR="00EB2A17" w:rsidRPr="00D607AA">
        <w:rPr>
          <w:rFonts w:asciiTheme="minorHAnsi" w:hAnsiTheme="minorHAnsi" w:cstheme="minorHAnsi"/>
        </w:rPr>
        <w:t>more environmentally friendly (</w:t>
      </w:r>
      <w:r w:rsidR="007B3CFA">
        <w:rPr>
          <w:rFonts w:asciiTheme="minorHAnsi" w:hAnsiTheme="minorHAnsi" w:cstheme="minorHAnsi"/>
        </w:rPr>
        <w:t xml:space="preserve">for example, through reduction in the </w:t>
      </w:r>
      <w:r w:rsidR="00EB2A17" w:rsidRPr="00D607AA">
        <w:rPr>
          <w:rFonts w:asciiTheme="minorHAnsi" w:hAnsiTheme="minorHAnsi" w:cstheme="minorHAnsi"/>
        </w:rPr>
        <w:t xml:space="preserve">use of paper and plastic) and </w:t>
      </w:r>
      <w:r w:rsidR="00E57B3C">
        <w:rPr>
          <w:rFonts w:asciiTheme="minorHAnsi" w:hAnsiTheme="minorHAnsi" w:cstheme="minorHAnsi"/>
        </w:rPr>
        <w:t>to reflect</w:t>
      </w:r>
      <w:r w:rsidR="007B3CFA">
        <w:rPr>
          <w:rFonts w:asciiTheme="minorHAnsi" w:hAnsiTheme="minorHAnsi" w:cstheme="minorHAnsi"/>
        </w:rPr>
        <w:t xml:space="preserve"> </w:t>
      </w:r>
      <w:r w:rsidR="00EB2A17" w:rsidRPr="00D607AA">
        <w:rPr>
          <w:rFonts w:asciiTheme="minorHAnsi" w:hAnsiTheme="minorHAnsi" w:cstheme="minorHAnsi"/>
        </w:rPr>
        <w:t>changes in technology (</w:t>
      </w:r>
      <w:r w:rsidR="007B3CFA">
        <w:rPr>
          <w:rFonts w:asciiTheme="minorHAnsi" w:hAnsiTheme="minorHAnsi" w:cstheme="minorHAnsi"/>
        </w:rPr>
        <w:t xml:space="preserve">for example, </w:t>
      </w:r>
      <w:r w:rsidR="00E57B3C">
        <w:rPr>
          <w:rFonts w:asciiTheme="minorHAnsi" w:hAnsiTheme="minorHAnsi" w:cstheme="minorHAnsi"/>
        </w:rPr>
        <w:t>by responding</w:t>
      </w:r>
      <w:r w:rsidR="007B3CFA">
        <w:rPr>
          <w:rFonts w:asciiTheme="minorHAnsi" w:hAnsiTheme="minorHAnsi" w:cstheme="minorHAnsi"/>
        </w:rPr>
        <w:t xml:space="preserve"> to the </w:t>
      </w:r>
      <w:r w:rsidR="00EB2A17" w:rsidRPr="00D607AA">
        <w:rPr>
          <w:rFonts w:asciiTheme="minorHAnsi" w:hAnsiTheme="minorHAnsi" w:cstheme="minorHAnsi"/>
        </w:rPr>
        <w:t>need for greater wireless capacity). Opportunities for efficienc</w:t>
      </w:r>
      <w:r w:rsidR="007B3CFA">
        <w:rPr>
          <w:rFonts w:asciiTheme="minorHAnsi" w:hAnsiTheme="minorHAnsi" w:cstheme="minorHAnsi"/>
        </w:rPr>
        <w:t>ies,</w:t>
      </w:r>
      <w:r w:rsidR="00EB2A17" w:rsidRPr="00D607AA">
        <w:rPr>
          <w:rFonts w:asciiTheme="minorHAnsi" w:hAnsiTheme="minorHAnsi" w:cstheme="minorHAnsi"/>
        </w:rPr>
        <w:t xml:space="preserve"> such as shared office space for staff</w:t>
      </w:r>
      <w:r w:rsidR="007B3CFA">
        <w:rPr>
          <w:rFonts w:asciiTheme="minorHAnsi" w:hAnsiTheme="minorHAnsi" w:cstheme="minorHAnsi"/>
        </w:rPr>
        <w:t>,</w:t>
      </w:r>
      <w:r w:rsidR="000061F2" w:rsidRPr="00D607AA">
        <w:rPr>
          <w:rFonts w:asciiTheme="minorHAnsi" w:hAnsiTheme="minorHAnsi" w:cstheme="minorHAnsi"/>
        </w:rPr>
        <w:t xml:space="preserve"> have also been identified and included in the updated agreement.</w:t>
      </w:r>
      <w:r w:rsidR="00EB2A17" w:rsidRPr="00D607AA">
        <w:rPr>
          <w:rFonts w:asciiTheme="minorHAnsi" w:hAnsiTheme="minorHAnsi" w:cstheme="minorHAnsi"/>
        </w:rPr>
        <w:t xml:space="preserve"> </w:t>
      </w:r>
    </w:p>
    <w:p w14:paraId="5C7EEC6B" w14:textId="77777777" w:rsidR="00C05AFA" w:rsidRPr="00D607AA" w:rsidRDefault="00C05AFA" w:rsidP="00D607AA">
      <w:pPr>
        <w:rPr>
          <w:rFonts w:asciiTheme="minorHAnsi" w:hAnsiTheme="minorHAnsi" w:cstheme="minorHAnsi"/>
        </w:rPr>
      </w:pPr>
    </w:p>
    <w:p w14:paraId="0C40BF15" w14:textId="007328B2" w:rsidR="00C05AFA" w:rsidRPr="00D607AA" w:rsidRDefault="00E44141" w:rsidP="00D607AA">
      <w:pPr>
        <w:rPr>
          <w:rFonts w:asciiTheme="minorHAnsi" w:hAnsiTheme="minorHAnsi" w:cstheme="minorHAnsi"/>
        </w:rPr>
      </w:pPr>
      <w:r>
        <w:rPr>
          <w:rFonts w:asciiTheme="minorHAnsi" w:hAnsiTheme="minorHAnsi" w:cstheme="minorHAnsi"/>
        </w:rPr>
        <w:t>11</w:t>
      </w:r>
      <w:r w:rsidR="00384984">
        <w:rPr>
          <w:rFonts w:asciiTheme="minorHAnsi" w:hAnsiTheme="minorHAnsi" w:cstheme="minorHAnsi"/>
        </w:rPr>
        <w:t>.</w:t>
      </w:r>
      <w:r w:rsidR="00384984">
        <w:rPr>
          <w:rFonts w:asciiTheme="minorHAnsi" w:hAnsiTheme="minorHAnsi" w:cstheme="minorHAnsi"/>
        </w:rPr>
        <w:tab/>
      </w:r>
      <w:r w:rsidR="00E57B3C">
        <w:rPr>
          <w:rFonts w:asciiTheme="minorHAnsi" w:hAnsiTheme="minorHAnsi" w:cstheme="minorHAnsi"/>
        </w:rPr>
        <w:t>T</w:t>
      </w:r>
      <w:r w:rsidR="00B76C13" w:rsidRPr="00D607AA">
        <w:rPr>
          <w:rFonts w:asciiTheme="minorHAnsi" w:hAnsiTheme="minorHAnsi" w:cstheme="minorHAnsi"/>
        </w:rPr>
        <w:t xml:space="preserve">he utilization of a prepaid debit card to provide </w:t>
      </w:r>
      <w:r w:rsidR="00E57B3C" w:rsidRPr="00E57B3C">
        <w:rPr>
          <w:rFonts w:asciiTheme="minorHAnsi" w:hAnsiTheme="minorHAnsi" w:cstheme="minorHAnsi"/>
        </w:rPr>
        <w:t>daily subsistence allowance (DSA)</w:t>
      </w:r>
      <w:r w:rsidR="00E57B3C" w:rsidRPr="00E57B3C" w:rsidDel="00E57B3C">
        <w:rPr>
          <w:rFonts w:asciiTheme="minorHAnsi" w:hAnsiTheme="minorHAnsi" w:cstheme="minorHAnsi"/>
        </w:rPr>
        <w:t xml:space="preserve"> </w:t>
      </w:r>
      <w:r w:rsidR="00B76C13" w:rsidRPr="00D607AA">
        <w:rPr>
          <w:rFonts w:asciiTheme="minorHAnsi" w:hAnsiTheme="minorHAnsi" w:cstheme="minorHAnsi"/>
        </w:rPr>
        <w:t>to eligible delegates</w:t>
      </w:r>
      <w:r w:rsidR="00E57B3C" w:rsidRPr="00E57B3C">
        <w:rPr>
          <w:rFonts w:asciiTheme="minorHAnsi" w:hAnsiTheme="minorHAnsi" w:cstheme="minorHAnsi"/>
        </w:rPr>
        <w:t xml:space="preserve"> </w:t>
      </w:r>
      <w:r w:rsidR="00E57B3C">
        <w:rPr>
          <w:rFonts w:asciiTheme="minorHAnsi" w:hAnsiTheme="minorHAnsi" w:cstheme="minorHAnsi"/>
        </w:rPr>
        <w:t>enabled an</w:t>
      </w:r>
      <w:r w:rsidR="00745C01">
        <w:rPr>
          <w:rFonts w:asciiTheme="minorHAnsi" w:hAnsiTheme="minorHAnsi" w:cstheme="minorHAnsi"/>
        </w:rPr>
        <w:t xml:space="preserve"> improvement in support to sponsored delegates.</w:t>
      </w:r>
      <w:r w:rsidR="00B76C13" w:rsidRPr="00D607AA">
        <w:rPr>
          <w:rFonts w:asciiTheme="minorHAnsi" w:hAnsiTheme="minorHAnsi" w:cstheme="minorHAnsi"/>
        </w:rPr>
        <w:t xml:space="preserve"> The cards reduced </w:t>
      </w:r>
      <w:r w:rsidR="00E57B3C">
        <w:rPr>
          <w:rFonts w:asciiTheme="minorHAnsi" w:hAnsiTheme="minorHAnsi" w:cstheme="minorHAnsi"/>
        </w:rPr>
        <w:t xml:space="preserve">the </w:t>
      </w:r>
      <w:r w:rsidR="00B76C13" w:rsidRPr="00D607AA">
        <w:rPr>
          <w:rFonts w:asciiTheme="minorHAnsi" w:hAnsiTheme="minorHAnsi" w:cstheme="minorHAnsi"/>
        </w:rPr>
        <w:lastRenderedPageBreak/>
        <w:t xml:space="preserve">risk of theft </w:t>
      </w:r>
      <w:r w:rsidR="00E57B3C">
        <w:rPr>
          <w:rFonts w:asciiTheme="minorHAnsi" w:hAnsiTheme="minorHAnsi" w:cstheme="minorHAnsi"/>
        </w:rPr>
        <w:t xml:space="preserve">or </w:t>
      </w:r>
      <w:r w:rsidR="00B76C13" w:rsidRPr="00D607AA">
        <w:rPr>
          <w:rFonts w:asciiTheme="minorHAnsi" w:hAnsiTheme="minorHAnsi" w:cstheme="minorHAnsi"/>
        </w:rPr>
        <w:t xml:space="preserve">loss </w:t>
      </w:r>
      <w:r w:rsidR="006A2962" w:rsidRPr="00D607AA">
        <w:rPr>
          <w:rFonts w:asciiTheme="minorHAnsi" w:hAnsiTheme="minorHAnsi" w:cstheme="minorHAnsi"/>
        </w:rPr>
        <w:t xml:space="preserve">and streamlined financial management of the DSA distributions. It is envisaged that prepaid cards </w:t>
      </w:r>
      <w:r w:rsidR="00C05AFA" w:rsidRPr="00D607AA">
        <w:rPr>
          <w:rFonts w:asciiTheme="minorHAnsi" w:hAnsiTheme="minorHAnsi" w:cstheme="minorHAnsi"/>
        </w:rPr>
        <w:t>will be used at future meetings.</w:t>
      </w:r>
    </w:p>
    <w:p w14:paraId="2AEF45EC" w14:textId="77777777" w:rsidR="00C05AFA" w:rsidRPr="00D607AA" w:rsidRDefault="00C05AFA" w:rsidP="00D607AA">
      <w:pPr>
        <w:rPr>
          <w:rFonts w:asciiTheme="minorHAnsi" w:hAnsiTheme="minorHAnsi" w:cstheme="minorHAnsi"/>
        </w:rPr>
      </w:pPr>
    </w:p>
    <w:p w14:paraId="385A388A" w14:textId="49C3B564" w:rsidR="00A81606" w:rsidRPr="00D607AA" w:rsidRDefault="00E44141" w:rsidP="00D607AA">
      <w:pPr>
        <w:rPr>
          <w:rFonts w:asciiTheme="minorHAnsi" w:hAnsiTheme="minorHAnsi" w:cstheme="minorHAnsi"/>
        </w:rPr>
      </w:pPr>
      <w:r>
        <w:rPr>
          <w:rFonts w:asciiTheme="minorHAnsi" w:hAnsiTheme="minorHAnsi" w:cstheme="minorHAnsi"/>
        </w:rPr>
        <w:t>12</w:t>
      </w:r>
      <w:r w:rsidR="00384984">
        <w:rPr>
          <w:rFonts w:asciiTheme="minorHAnsi" w:hAnsiTheme="minorHAnsi" w:cstheme="minorHAnsi"/>
        </w:rPr>
        <w:t>.</w:t>
      </w:r>
      <w:r w:rsidR="00384984">
        <w:rPr>
          <w:rFonts w:asciiTheme="minorHAnsi" w:hAnsiTheme="minorHAnsi" w:cstheme="minorHAnsi"/>
        </w:rPr>
        <w:tab/>
      </w:r>
      <w:r w:rsidR="00A81606" w:rsidRPr="00D607AA">
        <w:rPr>
          <w:rFonts w:asciiTheme="minorHAnsi" w:hAnsiTheme="minorHAnsi" w:cstheme="minorHAnsi"/>
        </w:rPr>
        <w:t xml:space="preserve">The Secretariat is </w:t>
      </w:r>
      <w:r w:rsidR="008E3527" w:rsidRPr="00D607AA">
        <w:rPr>
          <w:rFonts w:asciiTheme="minorHAnsi" w:hAnsiTheme="minorHAnsi" w:cstheme="minorHAnsi"/>
        </w:rPr>
        <w:t xml:space="preserve">updating the COP manual and </w:t>
      </w:r>
      <w:r w:rsidR="00A81606" w:rsidRPr="00D607AA">
        <w:rPr>
          <w:rFonts w:asciiTheme="minorHAnsi" w:hAnsiTheme="minorHAnsi" w:cstheme="minorHAnsi"/>
        </w:rPr>
        <w:t xml:space="preserve">developing </w:t>
      </w:r>
      <w:r w:rsidR="00E57B3C" w:rsidRPr="00D607AA">
        <w:rPr>
          <w:rFonts w:asciiTheme="minorHAnsi" w:hAnsiTheme="minorHAnsi" w:cstheme="minorHAnsi"/>
        </w:rPr>
        <w:t xml:space="preserve">standing operating procedures </w:t>
      </w:r>
      <w:r w:rsidR="00A81606" w:rsidRPr="00D607AA">
        <w:rPr>
          <w:rFonts w:asciiTheme="minorHAnsi" w:hAnsiTheme="minorHAnsi" w:cstheme="minorHAnsi"/>
        </w:rPr>
        <w:t xml:space="preserve">to enhance institutional knowledge and further improve the efficiency of the processes for organizing and managing meetings of the </w:t>
      </w:r>
      <w:r w:rsidR="00E57B3C">
        <w:rPr>
          <w:rFonts w:asciiTheme="minorHAnsi" w:hAnsiTheme="minorHAnsi" w:cstheme="minorHAnsi"/>
        </w:rPr>
        <w:t xml:space="preserve">COP </w:t>
      </w:r>
      <w:r w:rsidR="00A81606" w:rsidRPr="00D607AA">
        <w:rPr>
          <w:rFonts w:asciiTheme="minorHAnsi" w:hAnsiTheme="minorHAnsi" w:cstheme="minorHAnsi"/>
        </w:rPr>
        <w:t xml:space="preserve">on the basis of past experience, and taking into account best practices in meetings of other </w:t>
      </w:r>
      <w:r w:rsidR="00E57B3C">
        <w:rPr>
          <w:rFonts w:asciiTheme="minorHAnsi" w:hAnsiTheme="minorHAnsi" w:cstheme="minorHAnsi"/>
        </w:rPr>
        <w:t>C</w:t>
      </w:r>
      <w:r w:rsidR="00A81606" w:rsidRPr="00D607AA">
        <w:rPr>
          <w:rFonts w:asciiTheme="minorHAnsi" w:hAnsiTheme="minorHAnsi" w:cstheme="minorHAnsi"/>
        </w:rPr>
        <w:t xml:space="preserve">onventions. The Secretariat also welcomes suggestions from </w:t>
      </w:r>
      <w:r w:rsidR="00E57B3C">
        <w:rPr>
          <w:rFonts w:asciiTheme="minorHAnsi" w:hAnsiTheme="minorHAnsi" w:cstheme="minorHAnsi"/>
        </w:rPr>
        <w:t xml:space="preserve">Contracting </w:t>
      </w:r>
      <w:r w:rsidR="00A81606" w:rsidRPr="00D607AA">
        <w:rPr>
          <w:rFonts w:asciiTheme="minorHAnsi" w:hAnsiTheme="minorHAnsi" w:cstheme="minorHAnsi"/>
        </w:rPr>
        <w:t>Parties and observers regarding possible improvements</w:t>
      </w:r>
      <w:r w:rsidR="007A7B17" w:rsidRPr="00D607AA">
        <w:rPr>
          <w:rFonts w:asciiTheme="minorHAnsi" w:hAnsiTheme="minorHAnsi" w:cstheme="minorHAnsi"/>
        </w:rPr>
        <w:t>.</w:t>
      </w:r>
    </w:p>
    <w:p w14:paraId="7837DCBF" w14:textId="77777777" w:rsidR="00C2167D" w:rsidRDefault="00C2167D" w:rsidP="001F171F">
      <w:pPr>
        <w:ind w:left="720" w:hanging="720"/>
        <w:rPr>
          <w:rFonts w:cs="Arial"/>
          <w:i/>
        </w:rPr>
      </w:pPr>
    </w:p>
    <w:p w14:paraId="121C8AB1" w14:textId="77777777" w:rsidR="00A1711C" w:rsidRPr="00F05464" w:rsidRDefault="00753754" w:rsidP="001F171F">
      <w:pPr>
        <w:ind w:left="720" w:hanging="720"/>
        <w:rPr>
          <w:rFonts w:cs="Arial"/>
          <w:i/>
        </w:rPr>
      </w:pPr>
      <w:r w:rsidRPr="00F05464">
        <w:rPr>
          <w:rFonts w:cs="Arial"/>
          <w:i/>
        </w:rPr>
        <w:t>Documentation</w:t>
      </w:r>
    </w:p>
    <w:p w14:paraId="6C017327" w14:textId="77777777" w:rsidR="00D607AA" w:rsidRDefault="00D607AA" w:rsidP="00D607AA">
      <w:pPr>
        <w:rPr>
          <w:rFonts w:asciiTheme="minorHAnsi" w:hAnsiTheme="minorHAnsi" w:cstheme="minorHAnsi"/>
        </w:rPr>
      </w:pPr>
    </w:p>
    <w:p w14:paraId="0EAB8A9E" w14:textId="61C07185" w:rsidR="00A1711C" w:rsidRPr="00D607AA" w:rsidRDefault="00E44141" w:rsidP="00D607AA">
      <w:pPr>
        <w:rPr>
          <w:rFonts w:asciiTheme="minorHAnsi" w:hAnsiTheme="minorHAnsi" w:cstheme="minorHAnsi"/>
        </w:rPr>
      </w:pPr>
      <w:r>
        <w:rPr>
          <w:rFonts w:asciiTheme="minorHAnsi" w:hAnsiTheme="minorHAnsi" w:cstheme="minorHAnsi"/>
        </w:rPr>
        <w:t>13</w:t>
      </w:r>
      <w:r w:rsidR="00384984">
        <w:rPr>
          <w:rFonts w:asciiTheme="minorHAnsi" w:hAnsiTheme="minorHAnsi" w:cstheme="minorHAnsi"/>
        </w:rPr>
        <w:t>.</w:t>
      </w:r>
      <w:r w:rsidR="00384984">
        <w:rPr>
          <w:rFonts w:asciiTheme="minorHAnsi" w:hAnsiTheme="minorHAnsi" w:cstheme="minorHAnsi"/>
        </w:rPr>
        <w:tab/>
      </w:r>
      <w:r w:rsidR="006A2962" w:rsidRPr="00D607AA">
        <w:rPr>
          <w:rFonts w:asciiTheme="minorHAnsi" w:hAnsiTheme="minorHAnsi" w:cstheme="minorHAnsi"/>
        </w:rPr>
        <w:t>Regarding documentation, an important achievement was</w:t>
      </w:r>
      <w:r w:rsidR="00A1711C" w:rsidRPr="00D607AA">
        <w:rPr>
          <w:rFonts w:asciiTheme="minorHAnsi" w:hAnsiTheme="minorHAnsi" w:cstheme="minorHAnsi"/>
        </w:rPr>
        <w:t xml:space="preserve"> </w:t>
      </w:r>
      <w:r w:rsidR="007A7B17" w:rsidRPr="00D607AA">
        <w:rPr>
          <w:rFonts w:asciiTheme="minorHAnsi" w:hAnsiTheme="minorHAnsi" w:cstheme="minorHAnsi"/>
        </w:rPr>
        <w:t xml:space="preserve">that </w:t>
      </w:r>
      <w:r w:rsidR="006A2962" w:rsidRPr="00D607AA">
        <w:rPr>
          <w:rFonts w:asciiTheme="minorHAnsi" w:hAnsiTheme="minorHAnsi" w:cstheme="minorHAnsi"/>
        </w:rPr>
        <w:t xml:space="preserve">the text of all draft resolutions </w:t>
      </w:r>
      <w:r w:rsidR="007A7B17" w:rsidRPr="00D607AA">
        <w:rPr>
          <w:rFonts w:asciiTheme="minorHAnsi" w:hAnsiTheme="minorHAnsi" w:cstheme="minorHAnsi"/>
        </w:rPr>
        <w:t>was made</w:t>
      </w:r>
      <w:r w:rsidR="00FA0011" w:rsidRPr="00D607AA">
        <w:rPr>
          <w:rFonts w:asciiTheme="minorHAnsi" w:hAnsiTheme="minorHAnsi" w:cstheme="minorHAnsi"/>
        </w:rPr>
        <w:t xml:space="preserve"> </w:t>
      </w:r>
      <w:r w:rsidR="00A1711C" w:rsidRPr="00D607AA">
        <w:rPr>
          <w:rFonts w:asciiTheme="minorHAnsi" w:hAnsiTheme="minorHAnsi" w:cstheme="minorHAnsi"/>
        </w:rPr>
        <w:t>available in the three offic</w:t>
      </w:r>
      <w:r w:rsidR="00745C01">
        <w:rPr>
          <w:rFonts w:asciiTheme="minorHAnsi" w:hAnsiTheme="minorHAnsi" w:cstheme="minorHAnsi"/>
        </w:rPr>
        <w:t>ial languages of the Convention prior to</w:t>
      </w:r>
      <w:r w:rsidR="006A2962" w:rsidRPr="00D607AA">
        <w:rPr>
          <w:rFonts w:asciiTheme="minorHAnsi" w:hAnsiTheme="minorHAnsi" w:cstheme="minorHAnsi"/>
        </w:rPr>
        <w:t xml:space="preserve"> their adoption.</w:t>
      </w:r>
      <w:r w:rsidR="00EC12C8" w:rsidRPr="00EC12C8">
        <w:rPr>
          <w:rFonts w:asciiTheme="minorHAnsi" w:hAnsiTheme="minorHAnsi" w:cstheme="minorHAnsi"/>
        </w:rPr>
        <w:t xml:space="preserve"> </w:t>
      </w:r>
      <w:r w:rsidR="00EC12C8" w:rsidRPr="00D607AA">
        <w:rPr>
          <w:rFonts w:asciiTheme="minorHAnsi" w:hAnsiTheme="minorHAnsi" w:cstheme="minorHAnsi"/>
        </w:rPr>
        <w:t xml:space="preserve">This is a significant improvement after the documentation challenges experienced at COP12. </w:t>
      </w:r>
      <w:r w:rsidR="00FA0011" w:rsidRPr="00D607AA">
        <w:rPr>
          <w:rFonts w:asciiTheme="minorHAnsi" w:hAnsiTheme="minorHAnsi" w:cstheme="minorHAnsi"/>
        </w:rPr>
        <w:t xml:space="preserve">Also, daily reports were produced and made available in the three languages. </w:t>
      </w:r>
    </w:p>
    <w:p w14:paraId="65F19528" w14:textId="77777777" w:rsidR="00C05AFA" w:rsidRPr="00D607AA" w:rsidRDefault="00C05AFA" w:rsidP="00D607AA">
      <w:pPr>
        <w:rPr>
          <w:rFonts w:asciiTheme="minorHAnsi" w:hAnsiTheme="minorHAnsi" w:cstheme="minorHAnsi"/>
        </w:rPr>
      </w:pPr>
    </w:p>
    <w:p w14:paraId="7FF3FD7D" w14:textId="59E882DA" w:rsidR="00C05AFA" w:rsidRPr="00D607AA" w:rsidRDefault="00E44141" w:rsidP="00D607AA">
      <w:pPr>
        <w:rPr>
          <w:rFonts w:asciiTheme="minorHAnsi" w:hAnsiTheme="minorHAnsi" w:cstheme="minorHAnsi"/>
        </w:rPr>
      </w:pPr>
      <w:r>
        <w:rPr>
          <w:rFonts w:asciiTheme="minorHAnsi" w:hAnsiTheme="minorHAnsi" w:cstheme="minorHAnsi"/>
        </w:rPr>
        <w:t>14</w:t>
      </w:r>
      <w:r w:rsidR="00384984">
        <w:rPr>
          <w:rFonts w:asciiTheme="minorHAnsi" w:hAnsiTheme="minorHAnsi" w:cstheme="minorHAnsi"/>
        </w:rPr>
        <w:t>.</w:t>
      </w:r>
      <w:r w:rsidR="00384984">
        <w:rPr>
          <w:rFonts w:asciiTheme="minorHAnsi" w:hAnsiTheme="minorHAnsi" w:cstheme="minorHAnsi"/>
        </w:rPr>
        <w:tab/>
      </w:r>
      <w:r w:rsidR="00FA0011" w:rsidRPr="00D607AA">
        <w:rPr>
          <w:rFonts w:asciiTheme="minorHAnsi" w:hAnsiTheme="minorHAnsi" w:cstheme="minorHAnsi"/>
        </w:rPr>
        <w:t>T</w:t>
      </w:r>
      <w:r w:rsidR="003774E3" w:rsidRPr="00D607AA">
        <w:rPr>
          <w:rFonts w:asciiTheme="minorHAnsi" w:hAnsiTheme="minorHAnsi" w:cstheme="minorHAnsi"/>
        </w:rPr>
        <w:t xml:space="preserve">he adoption of a process to discuss </w:t>
      </w:r>
      <w:r w:rsidR="00FA0011" w:rsidRPr="00D607AA">
        <w:rPr>
          <w:rFonts w:asciiTheme="minorHAnsi" w:hAnsiTheme="minorHAnsi" w:cstheme="minorHAnsi"/>
        </w:rPr>
        <w:t xml:space="preserve">and manage </w:t>
      </w:r>
      <w:r w:rsidR="003774E3" w:rsidRPr="00D607AA">
        <w:rPr>
          <w:rFonts w:asciiTheme="minorHAnsi" w:hAnsiTheme="minorHAnsi" w:cstheme="minorHAnsi"/>
        </w:rPr>
        <w:t>draft resolutions</w:t>
      </w:r>
      <w:r w:rsidR="00056EEF">
        <w:rPr>
          <w:rFonts w:asciiTheme="minorHAnsi" w:hAnsiTheme="minorHAnsi" w:cstheme="minorHAnsi"/>
        </w:rPr>
        <w:t xml:space="preserve"> </w:t>
      </w:r>
      <w:r w:rsidR="003774E3" w:rsidRPr="00D607AA">
        <w:rPr>
          <w:rFonts w:asciiTheme="minorHAnsi" w:hAnsiTheme="minorHAnsi" w:cstheme="minorHAnsi"/>
        </w:rPr>
        <w:t>by Standing Committee</w:t>
      </w:r>
      <w:r w:rsidR="007925BC" w:rsidRPr="00D607AA">
        <w:rPr>
          <w:rFonts w:asciiTheme="minorHAnsi" w:hAnsiTheme="minorHAnsi" w:cstheme="minorHAnsi"/>
        </w:rPr>
        <w:t xml:space="preserve"> </w:t>
      </w:r>
      <w:r w:rsidR="00056EEF">
        <w:rPr>
          <w:rFonts w:asciiTheme="minorHAnsi" w:hAnsiTheme="minorHAnsi" w:cstheme="minorHAnsi"/>
        </w:rPr>
        <w:t>at SC</w:t>
      </w:r>
      <w:r w:rsidR="007925BC" w:rsidRPr="00D607AA">
        <w:rPr>
          <w:rFonts w:asciiTheme="minorHAnsi" w:hAnsiTheme="minorHAnsi" w:cstheme="minorHAnsi"/>
        </w:rPr>
        <w:t>55</w:t>
      </w:r>
      <w:r w:rsidR="00056EEF">
        <w:rPr>
          <w:rFonts w:asciiTheme="minorHAnsi" w:hAnsiTheme="minorHAnsi" w:cstheme="minorHAnsi"/>
        </w:rPr>
        <w:t>, immediately</w:t>
      </w:r>
      <w:r w:rsidR="003774E3" w:rsidRPr="00D607AA">
        <w:rPr>
          <w:rFonts w:asciiTheme="minorHAnsi" w:hAnsiTheme="minorHAnsi" w:cstheme="minorHAnsi"/>
        </w:rPr>
        <w:t xml:space="preserve"> before </w:t>
      </w:r>
      <w:r w:rsidR="00056EEF">
        <w:rPr>
          <w:rFonts w:asciiTheme="minorHAnsi" w:hAnsiTheme="minorHAnsi" w:cstheme="minorHAnsi"/>
        </w:rPr>
        <w:t xml:space="preserve">COP13, </w:t>
      </w:r>
      <w:r w:rsidR="00FA0011" w:rsidRPr="00D607AA">
        <w:rPr>
          <w:rFonts w:asciiTheme="minorHAnsi" w:hAnsiTheme="minorHAnsi" w:cstheme="minorHAnsi"/>
        </w:rPr>
        <w:t>was critical to ensure that the document process could be managed in an appropriate way</w:t>
      </w:r>
      <w:r w:rsidR="003774E3" w:rsidRPr="00D607AA">
        <w:rPr>
          <w:rFonts w:asciiTheme="minorHAnsi" w:hAnsiTheme="minorHAnsi" w:cstheme="minorHAnsi"/>
        </w:rPr>
        <w:t>.</w:t>
      </w:r>
      <w:r w:rsidR="00056EEF">
        <w:rPr>
          <w:rFonts w:asciiTheme="minorHAnsi" w:hAnsiTheme="minorHAnsi" w:cstheme="minorHAnsi"/>
        </w:rPr>
        <w:t xml:space="preserve"> </w:t>
      </w:r>
    </w:p>
    <w:p w14:paraId="4E509C12" w14:textId="77777777" w:rsidR="00C05AFA" w:rsidRPr="00D607AA" w:rsidRDefault="00C05AFA" w:rsidP="00D607AA">
      <w:pPr>
        <w:rPr>
          <w:rFonts w:asciiTheme="minorHAnsi" w:hAnsiTheme="minorHAnsi" w:cstheme="minorHAnsi"/>
        </w:rPr>
      </w:pPr>
    </w:p>
    <w:p w14:paraId="05803B87" w14:textId="6C33A4FD" w:rsidR="00986731" w:rsidRPr="00D607AA" w:rsidRDefault="00E44141" w:rsidP="00D607AA">
      <w:pPr>
        <w:rPr>
          <w:rFonts w:asciiTheme="minorHAnsi" w:hAnsiTheme="minorHAnsi" w:cstheme="minorHAnsi"/>
        </w:rPr>
      </w:pPr>
      <w:r>
        <w:rPr>
          <w:rFonts w:asciiTheme="minorHAnsi" w:hAnsiTheme="minorHAnsi" w:cstheme="minorHAnsi"/>
        </w:rPr>
        <w:t>15</w:t>
      </w:r>
      <w:r w:rsidR="00384984">
        <w:rPr>
          <w:rFonts w:asciiTheme="minorHAnsi" w:hAnsiTheme="minorHAnsi" w:cstheme="minorHAnsi"/>
        </w:rPr>
        <w:t>.</w:t>
      </w:r>
      <w:r w:rsidR="00384984">
        <w:rPr>
          <w:rFonts w:asciiTheme="minorHAnsi" w:hAnsiTheme="minorHAnsi" w:cstheme="minorHAnsi"/>
        </w:rPr>
        <w:tab/>
      </w:r>
      <w:r w:rsidR="003774E3" w:rsidRPr="00D607AA">
        <w:rPr>
          <w:rFonts w:asciiTheme="minorHAnsi" w:hAnsiTheme="minorHAnsi" w:cstheme="minorHAnsi"/>
        </w:rPr>
        <w:t>A</w:t>
      </w:r>
      <w:r w:rsidR="00561BBF" w:rsidRPr="00D607AA">
        <w:rPr>
          <w:rFonts w:asciiTheme="minorHAnsi" w:hAnsiTheme="minorHAnsi" w:cstheme="minorHAnsi"/>
        </w:rPr>
        <w:t xml:space="preserve">reas for improvement identified by the Secretariat include the management of </w:t>
      </w:r>
      <w:r w:rsidR="003774E3" w:rsidRPr="00D607AA">
        <w:rPr>
          <w:rFonts w:asciiTheme="minorHAnsi" w:hAnsiTheme="minorHAnsi" w:cstheme="minorHAnsi"/>
        </w:rPr>
        <w:t>comments on draft resolutions provided to the Secretariat and to the chairs and members of working groups.</w:t>
      </w:r>
      <w:r w:rsidR="00056EEF">
        <w:rPr>
          <w:rFonts w:asciiTheme="minorHAnsi" w:hAnsiTheme="minorHAnsi" w:cstheme="minorHAnsi"/>
        </w:rPr>
        <w:t xml:space="preserve"> </w:t>
      </w:r>
      <w:r w:rsidR="003774E3" w:rsidRPr="00D607AA">
        <w:rPr>
          <w:rFonts w:asciiTheme="minorHAnsi" w:hAnsiTheme="minorHAnsi" w:cstheme="minorHAnsi"/>
        </w:rPr>
        <w:t xml:space="preserve">The Secretariat is </w:t>
      </w:r>
      <w:r w:rsidR="00EC12C8">
        <w:rPr>
          <w:rFonts w:asciiTheme="minorHAnsi" w:hAnsiTheme="minorHAnsi" w:cstheme="minorHAnsi"/>
        </w:rPr>
        <w:t>considering</w:t>
      </w:r>
      <w:r w:rsidR="003774E3" w:rsidRPr="00D607AA">
        <w:rPr>
          <w:rFonts w:asciiTheme="minorHAnsi" w:hAnsiTheme="minorHAnsi" w:cstheme="minorHAnsi"/>
        </w:rPr>
        <w:t xml:space="preserve"> </w:t>
      </w:r>
      <w:r w:rsidR="002C2F68" w:rsidRPr="00D607AA">
        <w:rPr>
          <w:rFonts w:asciiTheme="minorHAnsi" w:hAnsiTheme="minorHAnsi" w:cstheme="minorHAnsi"/>
        </w:rPr>
        <w:t>options to enhance this process.</w:t>
      </w:r>
    </w:p>
    <w:p w14:paraId="23786D7B" w14:textId="77777777" w:rsidR="00C2167D" w:rsidRPr="00C2167D" w:rsidRDefault="00C2167D" w:rsidP="00C2167D">
      <w:pPr>
        <w:ind w:left="0" w:firstLine="0"/>
        <w:rPr>
          <w:rFonts w:cs="Arial"/>
        </w:rPr>
      </w:pPr>
    </w:p>
    <w:p w14:paraId="5E0CCD71" w14:textId="77777777" w:rsidR="00986731" w:rsidRDefault="00986731" w:rsidP="001F171F">
      <w:pPr>
        <w:ind w:left="720" w:hanging="720"/>
        <w:rPr>
          <w:rFonts w:cs="Arial"/>
          <w:i/>
        </w:rPr>
      </w:pPr>
      <w:r w:rsidRPr="00F05464">
        <w:rPr>
          <w:rFonts w:cs="Arial"/>
          <w:i/>
        </w:rPr>
        <w:t>Communications</w:t>
      </w:r>
    </w:p>
    <w:p w14:paraId="2C324603" w14:textId="77777777" w:rsidR="00D607AA" w:rsidRPr="00F05464" w:rsidRDefault="00D607AA" w:rsidP="001F171F">
      <w:pPr>
        <w:ind w:left="720" w:hanging="720"/>
        <w:rPr>
          <w:rFonts w:cs="Arial"/>
          <w:i/>
        </w:rPr>
      </w:pPr>
    </w:p>
    <w:p w14:paraId="1FB4B264" w14:textId="5281744F" w:rsidR="00C05AFA" w:rsidRPr="00D607AA" w:rsidRDefault="00E44141" w:rsidP="00D607AA">
      <w:pPr>
        <w:rPr>
          <w:rFonts w:asciiTheme="minorHAnsi" w:hAnsiTheme="minorHAnsi" w:cstheme="minorHAnsi"/>
        </w:rPr>
      </w:pPr>
      <w:r>
        <w:rPr>
          <w:rFonts w:asciiTheme="minorHAnsi" w:hAnsiTheme="minorHAnsi" w:cstheme="minorHAnsi"/>
        </w:rPr>
        <w:t>16</w:t>
      </w:r>
      <w:r w:rsidR="00384984">
        <w:rPr>
          <w:rFonts w:asciiTheme="minorHAnsi" w:hAnsiTheme="minorHAnsi" w:cstheme="minorHAnsi"/>
        </w:rPr>
        <w:t>.</w:t>
      </w:r>
      <w:r w:rsidR="00384984">
        <w:rPr>
          <w:rFonts w:asciiTheme="minorHAnsi" w:hAnsiTheme="minorHAnsi" w:cstheme="minorHAnsi"/>
        </w:rPr>
        <w:tab/>
      </w:r>
      <w:r w:rsidR="00C937D7" w:rsidRPr="00D607AA">
        <w:rPr>
          <w:rFonts w:asciiTheme="minorHAnsi" w:hAnsiTheme="minorHAnsi" w:cstheme="minorHAnsi"/>
        </w:rPr>
        <w:t>A communications plan and timeline for COP13 was developed in collaboration with the host country. The plan included the development of key messages, leveraging the release of the Global Wetland Outlook,</w:t>
      </w:r>
      <w:r w:rsidR="00F05464" w:rsidRPr="00D607AA">
        <w:rPr>
          <w:rFonts w:asciiTheme="minorHAnsi" w:hAnsiTheme="minorHAnsi" w:cstheme="minorHAnsi"/>
        </w:rPr>
        <w:t xml:space="preserve"> COP13 website development,</w:t>
      </w:r>
      <w:r w:rsidR="00C937D7" w:rsidRPr="00D607AA">
        <w:rPr>
          <w:rFonts w:asciiTheme="minorHAnsi" w:hAnsiTheme="minorHAnsi" w:cstheme="minorHAnsi"/>
        </w:rPr>
        <w:t xml:space="preserve"> media</w:t>
      </w:r>
      <w:r w:rsidR="00F05464" w:rsidRPr="00D607AA">
        <w:rPr>
          <w:rFonts w:asciiTheme="minorHAnsi" w:hAnsiTheme="minorHAnsi" w:cstheme="minorHAnsi"/>
        </w:rPr>
        <w:t xml:space="preserve"> outreach and social media</w:t>
      </w:r>
      <w:r w:rsidR="00C937D7" w:rsidRPr="00D607AA">
        <w:rPr>
          <w:rFonts w:asciiTheme="minorHAnsi" w:hAnsiTheme="minorHAnsi" w:cstheme="minorHAnsi"/>
        </w:rPr>
        <w:t xml:space="preserve">. </w:t>
      </w:r>
      <w:r w:rsidR="00346F38">
        <w:rPr>
          <w:rFonts w:asciiTheme="minorHAnsi" w:hAnsiTheme="minorHAnsi" w:cstheme="minorHAnsi"/>
        </w:rPr>
        <w:t>From</w:t>
      </w:r>
      <w:r w:rsidR="00346F38" w:rsidRPr="00D607AA">
        <w:rPr>
          <w:rFonts w:asciiTheme="minorHAnsi" w:hAnsiTheme="minorHAnsi" w:cstheme="minorHAnsi"/>
        </w:rPr>
        <w:t xml:space="preserve"> </w:t>
      </w:r>
      <w:r w:rsidR="00C937D7" w:rsidRPr="00D607AA">
        <w:rPr>
          <w:rFonts w:asciiTheme="minorHAnsi" w:hAnsiTheme="minorHAnsi" w:cstheme="minorHAnsi"/>
        </w:rPr>
        <w:t xml:space="preserve">1 August </w:t>
      </w:r>
      <w:r w:rsidR="00346F38">
        <w:rPr>
          <w:rFonts w:asciiTheme="minorHAnsi" w:hAnsiTheme="minorHAnsi" w:cstheme="minorHAnsi"/>
        </w:rPr>
        <w:t xml:space="preserve">to </w:t>
      </w:r>
      <w:r w:rsidR="00C937D7" w:rsidRPr="00D607AA">
        <w:rPr>
          <w:rFonts w:asciiTheme="minorHAnsi" w:hAnsiTheme="minorHAnsi" w:cstheme="minorHAnsi"/>
        </w:rPr>
        <w:t>30 October 1</w:t>
      </w:r>
      <w:r w:rsidR="00346F38">
        <w:rPr>
          <w:rFonts w:asciiTheme="minorHAnsi" w:hAnsiTheme="minorHAnsi" w:cstheme="minorHAnsi"/>
        </w:rPr>
        <w:t>,</w:t>
      </w:r>
      <w:r w:rsidR="00C937D7" w:rsidRPr="00D607AA">
        <w:rPr>
          <w:rFonts w:asciiTheme="minorHAnsi" w:hAnsiTheme="minorHAnsi" w:cstheme="minorHAnsi"/>
        </w:rPr>
        <w:t xml:space="preserve">794 articles </w:t>
      </w:r>
      <w:r w:rsidR="00EC12C8" w:rsidRPr="00D607AA">
        <w:rPr>
          <w:rFonts w:asciiTheme="minorHAnsi" w:hAnsiTheme="minorHAnsi" w:cstheme="minorHAnsi"/>
        </w:rPr>
        <w:t xml:space="preserve">were </w:t>
      </w:r>
      <w:r w:rsidR="00C937D7" w:rsidRPr="00D607AA">
        <w:rPr>
          <w:rFonts w:asciiTheme="minorHAnsi" w:hAnsiTheme="minorHAnsi" w:cstheme="minorHAnsi"/>
        </w:rPr>
        <w:t xml:space="preserve">written on COP13, the Ramsar Convention and the Global Wetland </w:t>
      </w:r>
      <w:r w:rsidR="005F0C42" w:rsidRPr="00D607AA">
        <w:rPr>
          <w:rFonts w:asciiTheme="minorHAnsi" w:hAnsiTheme="minorHAnsi" w:cstheme="minorHAnsi"/>
        </w:rPr>
        <w:t xml:space="preserve">Outlook. These articles had a reach of 1.2 billion people and an advertising value of </w:t>
      </w:r>
      <w:r w:rsidR="00346F38">
        <w:rPr>
          <w:rFonts w:asciiTheme="minorHAnsi" w:hAnsiTheme="minorHAnsi" w:cstheme="minorHAnsi"/>
        </w:rPr>
        <w:t>EUR</w:t>
      </w:r>
      <w:r w:rsidR="00346F38" w:rsidRPr="00D607AA">
        <w:rPr>
          <w:rFonts w:asciiTheme="minorHAnsi" w:hAnsiTheme="minorHAnsi" w:cstheme="minorHAnsi"/>
        </w:rPr>
        <w:t xml:space="preserve"> </w:t>
      </w:r>
      <w:r w:rsidR="005F0C42" w:rsidRPr="00D607AA">
        <w:rPr>
          <w:rFonts w:asciiTheme="minorHAnsi" w:hAnsiTheme="minorHAnsi" w:cstheme="minorHAnsi"/>
        </w:rPr>
        <w:t>10 million.</w:t>
      </w:r>
    </w:p>
    <w:p w14:paraId="722C5CE0" w14:textId="77777777" w:rsidR="00C05AFA" w:rsidRPr="00D607AA" w:rsidRDefault="00C05AFA" w:rsidP="00D607AA">
      <w:pPr>
        <w:rPr>
          <w:rFonts w:asciiTheme="minorHAnsi" w:hAnsiTheme="minorHAnsi" w:cstheme="minorHAnsi"/>
        </w:rPr>
      </w:pPr>
    </w:p>
    <w:p w14:paraId="2AF3E035" w14:textId="0513F1B4" w:rsidR="00C05AFA" w:rsidRPr="00D607AA" w:rsidRDefault="00E44141" w:rsidP="00D607AA">
      <w:pPr>
        <w:rPr>
          <w:rFonts w:asciiTheme="minorHAnsi" w:hAnsiTheme="minorHAnsi" w:cstheme="minorHAnsi"/>
        </w:rPr>
      </w:pPr>
      <w:r>
        <w:rPr>
          <w:rFonts w:asciiTheme="minorHAnsi" w:hAnsiTheme="minorHAnsi" w:cstheme="minorHAnsi"/>
        </w:rPr>
        <w:t>17</w:t>
      </w:r>
      <w:r w:rsidR="00384984">
        <w:rPr>
          <w:rFonts w:asciiTheme="minorHAnsi" w:hAnsiTheme="minorHAnsi" w:cstheme="minorHAnsi"/>
        </w:rPr>
        <w:t>.</w:t>
      </w:r>
      <w:r w:rsidR="00384984">
        <w:rPr>
          <w:rFonts w:asciiTheme="minorHAnsi" w:hAnsiTheme="minorHAnsi" w:cstheme="minorHAnsi"/>
        </w:rPr>
        <w:tab/>
      </w:r>
      <w:r w:rsidR="005F0C42" w:rsidRPr="00D607AA">
        <w:rPr>
          <w:rFonts w:asciiTheme="minorHAnsi" w:hAnsiTheme="minorHAnsi" w:cstheme="minorHAnsi"/>
        </w:rPr>
        <w:t>There was strong interest from the media in both the Ramsar Awards and the Wetland City Accreditation scheme. There is an opportunity to increase</w:t>
      </w:r>
      <w:r w:rsidR="00EC12C8">
        <w:rPr>
          <w:rFonts w:asciiTheme="minorHAnsi" w:hAnsiTheme="minorHAnsi" w:cstheme="minorHAnsi"/>
        </w:rPr>
        <w:t xml:space="preserve"> the</w:t>
      </w:r>
      <w:r w:rsidR="005F0C42" w:rsidRPr="00D607AA">
        <w:rPr>
          <w:rFonts w:asciiTheme="minorHAnsi" w:hAnsiTheme="minorHAnsi" w:cstheme="minorHAnsi"/>
        </w:rPr>
        <w:t xml:space="preserve"> visibility </w:t>
      </w:r>
      <w:r w:rsidR="00EC12C8">
        <w:rPr>
          <w:rFonts w:asciiTheme="minorHAnsi" w:hAnsiTheme="minorHAnsi" w:cstheme="minorHAnsi"/>
        </w:rPr>
        <w:t xml:space="preserve">of </w:t>
      </w:r>
      <w:r w:rsidR="005F0C42" w:rsidRPr="00D607AA">
        <w:rPr>
          <w:rFonts w:asciiTheme="minorHAnsi" w:hAnsiTheme="minorHAnsi" w:cstheme="minorHAnsi"/>
        </w:rPr>
        <w:t>the Convention and wetlands through actively leveraging and promoting these events at COP14.</w:t>
      </w:r>
    </w:p>
    <w:p w14:paraId="68ED1B35" w14:textId="77777777" w:rsidR="00C05AFA" w:rsidRPr="00D607AA" w:rsidRDefault="00C05AFA" w:rsidP="00D607AA">
      <w:pPr>
        <w:rPr>
          <w:rFonts w:asciiTheme="minorHAnsi" w:hAnsiTheme="minorHAnsi" w:cstheme="minorHAnsi"/>
        </w:rPr>
      </w:pPr>
    </w:p>
    <w:p w14:paraId="6B39A4CE" w14:textId="5FC22105" w:rsidR="00C05AFA" w:rsidRPr="00D607AA" w:rsidRDefault="00E44141" w:rsidP="00D607AA">
      <w:pPr>
        <w:rPr>
          <w:rFonts w:asciiTheme="minorHAnsi" w:hAnsiTheme="minorHAnsi" w:cstheme="minorHAnsi"/>
        </w:rPr>
      </w:pPr>
      <w:r>
        <w:rPr>
          <w:rFonts w:asciiTheme="minorHAnsi" w:hAnsiTheme="minorHAnsi" w:cstheme="minorHAnsi"/>
        </w:rPr>
        <w:t>18</w:t>
      </w:r>
      <w:r w:rsidR="00384984">
        <w:rPr>
          <w:rFonts w:asciiTheme="minorHAnsi" w:hAnsiTheme="minorHAnsi" w:cstheme="minorHAnsi"/>
        </w:rPr>
        <w:t>.</w:t>
      </w:r>
      <w:r w:rsidR="00384984">
        <w:rPr>
          <w:rFonts w:asciiTheme="minorHAnsi" w:hAnsiTheme="minorHAnsi" w:cstheme="minorHAnsi"/>
        </w:rPr>
        <w:tab/>
      </w:r>
      <w:r w:rsidR="00B7063F" w:rsidRPr="00D607AA">
        <w:rPr>
          <w:rFonts w:asciiTheme="minorHAnsi" w:hAnsiTheme="minorHAnsi" w:cstheme="minorHAnsi"/>
        </w:rPr>
        <w:t>Given that 2021 will be the 50th anniversary of the Ramsar</w:t>
      </w:r>
      <w:r w:rsidR="00A81606" w:rsidRPr="00D607AA">
        <w:rPr>
          <w:rFonts w:asciiTheme="minorHAnsi" w:hAnsiTheme="minorHAnsi" w:cstheme="minorHAnsi"/>
        </w:rPr>
        <w:t xml:space="preserve"> Convention, COP14 presents an important opportunity to celebrate this important milestone and the accomplishments of the Convention over the past 50 years</w:t>
      </w:r>
      <w:r w:rsidR="00346F38">
        <w:rPr>
          <w:rFonts w:asciiTheme="minorHAnsi" w:hAnsiTheme="minorHAnsi" w:cstheme="minorHAnsi"/>
        </w:rPr>
        <w:t>,</w:t>
      </w:r>
      <w:r w:rsidR="00A81606" w:rsidRPr="00D607AA">
        <w:rPr>
          <w:rFonts w:asciiTheme="minorHAnsi" w:hAnsiTheme="minorHAnsi" w:cstheme="minorHAnsi"/>
        </w:rPr>
        <w:t xml:space="preserve"> as well as </w:t>
      </w:r>
      <w:r w:rsidR="004C251F" w:rsidRPr="00D607AA">
        <w:rPr>
          <w:rFonts w:asciiTheme="minorHAnsi" w:hAnsiTheme="minorHAnsi" w:cstheme="minorHAnsi"/>
        </w:rPr>
        <w:t xml:space="preserve">to </w:t>
      </w:r>
      <w:r w:rsidR="00346F38">
        <w:rPr>
          <w:rFonts w:asciiTheme="minorHAnsi" w:hAnsiTheme="minorHAnsi" w:cstheme="minorHAnsi"/>
        </w:rPr>
        <w:t>draw attention to</w:t>
      </w:r>
      <w:r w:rsidR="00346F38" w:rsidRPr="00D607AA">
        <w:rPr>
          <w:rFonts w:asciiTheme="minorHAnsi" w:hAnsiTheme="minorHAnsi" w:cstheme="minorHAnsi"/>
        </w:rPr>
        <w:t xml:space="preserve"> </w:t>
      </w:r>
      <w:r w:rsidR="00A81606" w:rsidRPr="00D607AA">
        <w:rPr>
          <w:rFonts w:asciiTheme="minorHAnsi" w:hAnsiTheme="minorHAnsi" w:cstheme="minorHAnsi"/>
        </w:rPr>
        <w:t>the work and acti</w:t>
      </w:r>
      <w:r w:rsidR="004C251F" w:rsidRPr="00D607AA">
        <w:rPr>
          <w:rFonts w:asciiTheme="minorHAnsi" w:hAnsiTheme="minorHAnsi" w:cstheme="minorHAnsi"/>
        </w:rPr>
        <w:t>o</w:t>
      </w:r>
      <w:r w:rsidR="00A81606" w:rsidRPr="00D607AA">
        <w:rPr>
          <w:rFonts w:asciiTheme="minorHAnsi" w:hAnsiTheme="minorHAnsi" w:cstheme="minorHAnsi"/>
        </w:rPr>
        <w:t>n</w:t>
      </w:r>
      <w:r w:rsidR="00346F38">
        <w:rPr>
          <w:rFonts w:asciiTheme="minorHAnsi" w:hAnsiTheme="minorHAnsi" w:cstheme="minorHAnsi"/>
        </w:rPr>
        <w:t>s</w:t>
      </w:r>
      <w:r w:rsidR="00A81606" w:rsidRPr="00D607AA">
        <w:rPr>
          <w:rFonts w:asciiTheme="minorHAnsi" w:hAnsiTheme="minorHAnsi" w:cstheme="minorHAnsi"/>
        </w:rPr>
        <w:t xml:space="preserve"> </w:t>
      </w:r>
      <w:r w:rsidR="00346F38">
        <w:rPr>
          <w:rFonts w:asciiTheme="minorHAnsi" w:hAnsiTheme="minorHAnsi" w:cstheme="minorHAnsi"/>
        </w:rPr>
        <w:t xml:space="preserve">needed </w:t>
      </w:r>
      <w:r w:rsidR="00A81606" w:rsidRPr="00D607AA">
        <w:rPr>
          <w:rFonts w:asciiTheme="minorHAnsi" w:hAnsiTheme="minorHAnsi" w:cstheme="minorHAnsi"/>
        </w:rPr>
        <w:t>if the continuing loss of wetlands is to be halted. The Secretariat has already begun developing a 50th anniversary communications plan that includes COP14</w:t>
      </w:r>
      <w:r w:rsidR="00C05AFA" w:rsidRPr="00D607AA">
        <w:rPr>
          <w:rFonts w:asciiTheme="minorHAnsi" w:hAnsiTheme="minorHAnsi" w:cstheme="minorHAnsi"/>
        </w:rPr>
        <w:t>.</w:t>
      </w:r>
    </w:p>
    <w:p w14:paraId="1D7469E6" w14:textId="77777777" w:rsidR="00C05AFA" w:rsidRPr="00D607AA" w:rsidRDefault="00C05AFA" w:rsidP="00D607AA">
      <w:pPr>
        <w:rPr>
          <w:rFonts w:asciiTheme="minorHAnsi" w:hAnsiTheme="minorHAnsi" w:cstheme="minorHAnsi"/>
        </w:rPr>
      </w:pPr>
    </w:p>
    <w:p w14:paraId="160F6829" w14:textId="1721FF59" w:rsidR="00363A3E" w:rsidRPr="00D607AA" w:rsidRDefault="00E44141" w:rsidP="00D607AA">
      <w:pPr>
        <w:rPr>
          <w:rFonts w:asciiTheme="minorHAnsi" w:hAnsiTheme="minorHAnsi" w:cstheme="minorHAnsi"/>
        </w:rPr>
      </w:pPr>
      <w:r>
        <w:rPr>
          <w:rFonts w:asciiTheme="minorHAnsi" w:hAnsiTheme="minorHAnsi" w:cstheme="minorHAnsi"/>
        </w:rPr>
        <w:t>19</w:t>
      </w:r>
      <w:r w:rsidR="00384984">
        <w:rPr>
          <w:rFonts w:asciiTheme="minorHAnsi" w:hAnsiTheme="minorHAnsi" w:cstheme="minorHAnsi"/>
        </w:rPr>
        <w:t>.</w:t>
      </w:r>
      <w:r w:rsidR="00384984">
        <w:rPr>
          <w:rFonts w:asciiTheme="minorHAnsi" w:hAnsiTheme="minorHAnsi" w:cstheme="minorHAnsi"/>
        </w:rPr>
        <w:tab/>
      </w:r>
      <w:r w:rsidR="009F3736" w:rsidRPr="00D607AA">
        <w:rPr>
          <w:rFonts w:asciiTheme="minorHAnsi" w:hAnsiTheme="minorHAnsi" w:cstheme="minorHAnsi"/>
        </w:rPr>
        <w:t xml:space="preserve">The primary </w:t>
      </w:r>
      <w:r w:rsidR="00346F38">
        <w:rPr>
          <w:rFonts w:asciiTheme="minorHAnsi" w:hAnsiTheme="minorHAnsi" w:cstheme="minorHAnsi"/>
        </w:rPr>
        <w:t>lesson</w:t>
      </w:r>
      <w:r w:rsidR="00346F38" w:rsidRPr="00D607AA">
        <w:rPr>
          <w:rFonts w:asciiTheme="minorHAnsi" w:hAnsiTheme="minorHAnsi" w:cstheme="minorHAnsi"/>
        </w:rPr>
        <w:t xml:space="preserve"> </w:t>
      </w:r>
      <w:r w:rsidR="009F3736" w:rsidRPr="00D607AA">
        <w:rPr>
          <w:rFonts w:asciiTheme="minorHAnsi" w:hAnsiTheme="minorHAnsi" w:cstheme="minorHAnsi"/>
        </w:rPr>
        <w:t xml:space="preserve">for communications is the importance of developing a joint communications plan between the Secretariat and host country that includes clear roles and responsibilities for key communications activities. </w:t>
      </w:r>
    </w:p>
    <w:p w14:paraId="681BAAEF" w14:textId="77777777" w:rsidR="00C2167D" w:rsidRDefault="00C2167D" w:rsidP="005A002B">
      <w:pPr>
        <w:keepNext/>
        <w:jc w:val="both"/>
        <w:rPr>
          <w:rFonts w:cs="Arial"/>
          <w:b/>
        </w:rPr>
      </w:pPr>
    </w:p>
    <w:p w14:paraId="3794ED0C" w14:textId="77777777" w:rsidR="007D7CB2" w:rsidRPr="00D607AA" w:rsidRDefault="007D7CB2" w:rsidP="00D607AA">
      <w:pPr>
        <w:keepNext/>
        <w:ind w:left="0" w:firstLine="0"/>
        <w:rPr>
          <w:rFonts w:asciiTheme="minorHAnsi" w:hAnsiTheme="minorHAnsi" w:cstheme="minorHAnsi"/>
          <w:b/>
        </w:rPr>
      </w:pPr>
      <w:r w:rsidRPr="00D607AA">
        <w:rPr>
          <w:rFonts w:asciiTheme="minorHAnsi" w:hAnsiTheme="minorHAnsi" w:cstheme="minorHAnsi"/>
          <w:b/>
        </w:rPr>
        <w:t xml:space="preserve">Lessons learned and </w:t>
      </w:r>
      <w:r w:rsidR="00832555" w:rsidRPr="00D607AA">
        <w:rPr>
          <w:rFonts w:asciiTheme="minorHAnsi" w:hAnsiTheme="minorHAnsi" w:cstheme="minorHAnsi"/>
          <w:b/>
        </w:rPr>
        <w:t xml:space="preserve">potential </w:t>
      </w:r>
      <w:r w:rsidRPr="00D607AA">
        <w:rPr>
          <w:rFonts w:asciiTheme="minorHAnsi" w:hAnsiTheme="minorHAnsi" w:cstheme="minorHAnsi"/>
          <w:b/>
        </w:rPr>
        <w:t>improvement of processes</w:t>
      </w:r>
      <w:r w:rsidR="001E41B5" w:rsidRPr="00D607AA">
        <w:rPr>
          <w:rFonts w:asciiTheme="minorHAnsi" w:hAnsiTheme="minorHAnsi" w:cstheme="minorHAnsi"/>
          <w:b/>
        </w:rPr>
        <w:t xml:space="preserve"> </w:t>
      </w:r>
      <w:r w:rsidR="00832555" w:rsidRPr="00D607AA">
        <w:rPr>
          <w:rFonts w:asciiTheme="minorHAnsi" w:hAnsiTheme="minorHAnsi" w:cstheme="minorHAnsi"/>
          <w:b/>
        </w:rPr>
        <w:t xml:space="preserve">established by </w:t>
      </w:r>
      <w:r w:rsidR="001E41B5" w:rsidRPr="00D607AA">
        <w:rPr>
          <w:rFonts w:asciiTheme="minorHAnsi" w:hAnsiTheme="minorHAnsi" w:cstheme="minorHAnsi"/>
          <w:b/>
        </w:rPr>
        <w:t>Parties</w:t>
      </w:r>
    </w:p>
    <w:p w14:paraId="6756C20B" w14:textId="77777777" w:rsidR="00C2167D" w:rsidRPr="00750EBC" w:rsidRDefault="00C2167D" w:rsidP="00C2167D">
      <w:pPr>
        <w:keepNext/>
        <w:jc w:val="center"/>
        <w:rPr>
          <w:rFonts w:cs="Arial"/>
          <w:b/>
        </w:rPr>
      </w:pPr>
    </w:p>
    <w:p w14:paraId="065F144A" w14:textId="7DD4DE9D" w:rsidR="001F171F" w:rsidRPr="00D607AA" w:rsidRDefault="00E44141" w:rsidP="00D607AA">
      <w:pPr>
        <w:rPr>
          <w:rFonts w:asciiTheme="minorHAnsi" w:hAnsiTheme="minorHAnsi" w:cstheme="minorHAnsi"/>
        </w:rPr>
      </w:pPr>
      <w:r>
        <w:rPr>
          <w:rFonts w:asciiTheme="minorHAnsi" w:hAnsiTheme="minorHAnsi" w:cstheme="minorHAnsi"/>
        </w:rPr>
        <w:t>20</w:t>
      </w:r>
      <w:r w:rsidR="00384984">
        <w:rPr>
          <w:rFonts w:asciiTheme="minorHAnsi" w:hAnsiTheme="minorHAnsi" w:cstheme="minorHAnsi"/>
        </w:rPr>
        <w:t>.</w:t>
      </w:r>
      <w:r w:rsidR="00384984">
        <w:rPr>
          <w:rFonts w:asciiTheme="minorHAnsi" w:hAnsiTheme="minorHAnsi" w:cstheme="minorHAnsi"/>
        </w:rPr>
        <w:tab/>
      </w:r>
      <w:r w:rsidR="00A746CB" w:rsidRPr="00D607AA">
        <w:rPr>
          <w:rFonts w:asciiTheme="minorHAnsi" w:hAnsiTheme="minorHAnsi" w:cstheme="minorHAnsi"/>
        </w:rPr>
        <w:t>One of the roles of the Standing Committee</w:t>
      </w:r>
      <w:r w:rsidR="00F77D39" w:rsidRPr="00D607AA">
        <w:rPr>
          <w:rFonts w:asciiTheme="minorHAnsi" w:hAnsiTheme="minorHAnsi" w:cstheme="minorHAnsi"/>
        </w:rPr>
        <w:t>,</w:t>
      </w:r>
      <w:r w:rsidR="00A746CB" w:rsidRPr="00D607AA">
        <w:rPr>
          <w:rFonts w:asciiTheme="minorHAnsi" w:hAnsiTheme="minorHAnsi" w:cstheme="minorHAnsi"/>
        </w:rPr>
        <w:t xml:space="preserve"> as specified in Resolution XIII.4 on </w:t>
      </w:r>
      <w:r w:rsidR="00A746CB" w:rsidRPr="00D607AA">
        <w:rPr>
          <w:rFonts w:asciiTheme="minorHAnsi" w:hAnsiTheme="minorHAnsi" w:cstheme="minorHAnsi"/>
          <w:i/>
        </w:rPr>
        <w:t xml:space="preserve">Responsibilities, roles and composition of the Standing Committee and regional categorization of countries under </w:t>
      </w:r>
      <w:r w:rsidR="00A746CB" w:rsidRPr="00D607AA">
        <w:rPr>
          <w:rFonts w:asciiTheme="minorHAnsi" w:hAnsiTheme="minorHAnsi" w:cstheme="minorHAnsi"/>
          <w:i/>
        </w:rPr>
        <w:lastRenderedPageBreak/>
        <w:t>the Convention</w:t>
      </w:r>
      <w:r w:rsidR="00F77D39" w:rsidRPr="00D607AA">
        <w:rPr>
          <w:rFonts w:asciiTheme="minorHAnsi" w:hAnsiTheme="minorHAnsi" w:cstheme="minorHAnsi"/>
        </w:rPr>
        <w:t>,</w:t>
      </w:r>
      <w:r w:rsidR="00A746CB" w:rsidRPr="00D607AA">
        <w:rPr>
          <w:rFonts w:asciiTheme="minorHAnsi" w:hAnsiTheme="minorHAnsi" w:cstheme="minorHAnsi"/>
        </w:rPr>
        <w:t xml:space="preserve"> is to provide guidance and advice to the Secretariat on the preparation of meetings. The same Resolution foresees the establishment of a subgroup on the </w:t>
      </w:r>
      <w:r w:rsidR="00FB4400" w:rsidRPr="00D607AA">
        <w:rPr>
          <w:rFonts w:asciiTheme="minorHAnsi" w:hAnsiTheme="minorHAnsi" w:cstheme="minorHAnsi"/>
        </w:rPr>
        <w:t xml:space="preserve">next </w:t>
      </w:r>
      <w:r w:rsidR="00A746CB" w:rsidRPr="00D607AA">
        <w:rPr>
          <w:rFonts w:asciiTheme="minorHAnsi" w:hAnsiTheme="minorHAnsi" w:cstheme="minorHAnsi"/>
        </w:rPr>
        <w:t xml:space="preserve">COP. The Secretariat is therefore seeking the advice of the Standing Committee on </w:t>
      </w:r>
      <w:r w:rsidR="00F77D39" w:rsidRPr="00D607AA">
        <w:rPr>
          <w:rFonts w:asciiTheme="minorHAnsi" w:hAnsiTheme="minorHAnsi" w:cstheme="minorHAnsi"/>
        </w:rPr>
        <w:t xml:space="preserve">matters related to </w:t>
      </w:r>
      <w:r w:rsidR="00FB4400" w:rsidRPr="00D607AA">
        <w:rPr>
          <w:rFonts w:asciiTheme="minorHAnsi" w:hAnsiTheme="minorHAnsi" w:cstheme="minorHAnsi"/>
        </w:rPr>
        <w:t xml:space="preserve">future meetings of the </w:t>
      </w:r>
      <w:r w:rsidR="003A193A">
        <w:rPr>
          <w:rFonts w:asciiTheme="minorHAnsi" w:hAnsiTheme="minorHAnsi" w:cstheme="minorHAnsi"/>
        </w:rPr>
        <w:t>COP</w:t>
      </w:r>
      <w:r w:rsidR="002F0609" w:rsidRPr="00D607AA">
        <w:rPr>
          <w:rFonts w:asciiTheme="minorHAnsi" w:hAnsiTheme="minorHAnsi" w:cstheme="minorHAnsi"/>
        </w:rPr>
        <w:t xml:space="preserve"> and the establishment of the </w:t>
      </w:r>
      <w:r w:rsidR="003A193A">
        <w:rPr>
          <w:rFonts w:asciiTheme="minorHAnsi" w:hAnsiTheme="minorHAnsi" w:cstheme="minorHAnsi"/>
        </w:rPr>
        <w:t xml:space="preserve">Subgroup on </w:t>
      </w:r>
      <w:r w:rsidR="002F0609" w:rsidRPr="00D607AA">
        <w:rPr>
          <w:rFonts w:asciiTheme="minorHAnsi" w:hAnsiTheme="minorHAnsi" w:cstheme="minorHAnsi"/>
        </w:rPr>
        <w:t>COP14 at SC57</w:t>
      </w:r>
      <w:r w:rsidR="00FB4400" w:rsidRPr="00D607AA">
        <w:rPr>
          <w:rFonts w:asciiTheme="minorHAnsi" w:hAnsiTheme="minorHAnsi" w:cstheme="minorHAnsi"/>
        </w:rPr>
        <w:t>.</w:t>
      </w:r>
    </w:p>
    <w:p w14:paraId="089A0AC4" w14:textId="77777777" w:rsidR="001F171F" w:rsidRDefault="001F171F" w:rsidP="005A002B">
      <w:pPr>
        <w:pStyle w:val="ListParagraph"/>
        <w:ind w:firstLine="0"/>
        <w:jc w:val="both"/>
        <w:rPr>
          <w:rFonts w:cs="Arial"/>
        </w:rPr>
      </w:pPr>
    </w:p>
    <w:p w14:paraId="189BB74E" w14:textId="67AE7214" w:rsidR="001F171F" w:rsidRPr="00D607AA" w:rsidRDefault="00E44141" w:rsidP="00D607AA">
      <w:pPr>
        <w:rPr>
          <w:rFonts w:asciiTheme="minorHAnsi" w:hAnsiTheme="minorHAnsi" w:cstheme="minorHAnsi"/>
        </w:rPr>
      </w:pPr>
      <w:r>
        <w:rPr>
          <w:rFonts w:asciiTheme="minorHAnsi" w:hAnsiTheme="minorHAnsi" w:cstheme="minorHAnsi"/>
        </w:rPr>
        <w:t>21</w:t>
      </w:r>
      <w:r w:rsidR="00384984">
        <w:rPr>
          <w:rFonts w:asciiTheme="minorHAnsi" w:hAnsiTheme="minorHAnsi" w:cstheme="minorHAnsi"/>
        </w:rPr>
        <w:t>.</w:t>
      </w:r>
      <w:r w:rsidR="00384984">
        <w:rPr>
          <w:rFonts w:asciiTheme="minorHAnsi" w:hAnsiTheme="minorHAnsi" w:cstheme="minorHAnsi"/>
        </w:rPr>
        <w:tab/>
      </w:r>
      <w:r w:rsidR="001376D1" w:rsidRPr="00D607AA">
        <w:rPr>
          <w:rFonts w:asciiTheme="minorHAnsi" w:hAnsiTheme="minorHAnsi" w:cstheme="minorHAnsi"/>
        </w:rPr>
        <w:t>To facilitate more efficient management a</w:t>
      </w:r>
      <w:r w:rsidR="00474535">
        <w:rPr>
          <w:rFonts w:asciiTheme="minorHAnsi" w:hAnsiTheme="minorHAnsi" w:cstheme="minorHAnsi"/>
        </w:rPr>
        <w:t>nd</w:t>
      </w:r>
      <w:r w:rsidR="001376D1" w:rsidRPr="00D607AA">
        <w:rPr>
          <w:rFonts w:asciiTheme="minorHAnsi" w:hAnsiTheme="minorHAnsi" w:cstheme="minorHAnsi"/>
        </w:rPr>
        <w:t xml:space="preserve"> decision making by </w:t>
      </w:r>
      <w:r w:rsidR="003A193A" w:rsidRPr="00D607AA">
        <w:rPr>
          <w:rFonts w:asciiTheme="minorHAnsi" w:hAnsiTheme="minorHAnsi" w:cstheme="minorHAnsi"/>
        </w:rPr>
        <w:t xml:space="preserve">Contracting </w:t>
      </w:r>
      <w:r w:rsidR="001376D1" w:rsidRPr="00D607AA">
        <w:rPr>
          <w:rFonts w:asciiTheme="minorHAnsi" w:hAnsiTheme="minorHAnsi" w:cstheme="minorHAnsi"/>
        </w:rPr>
        <w:t xml:space="preserve">Parties at future </w:t>
      </w:r>
      <w:r w:rsidR="00E8640B" w:rsidRPr="00D607AA">
        <w:rPr>
          <w:rFonts w:asciiTheme="minorHAnsi" w:hAnsiTheme="minorHAnsi" w:cstheme="minorHAnsi"/>
        </w:rPr>
        <w:t xml:space="preserve">meetings of the </w:t>
      </w:r>
      <w:r w:rsidR="003A193A">
        <w:rPr>
          <w:rFonts w:asciiTheme="minorHAnsi" w:hAnsiTheme="minorHAnsi" w:cstheme="minorHAnsi"/>
        </w:rPr>
        <w:t>COP</w:t>
      </w:r>
      <w:r w:rsidR="00474535">
        <w:rPr>
          <w:rFonts w:asciiTheme="minorHAnsi" w:hAnsiTheme="minorHAnsi" w:cstheme="minorHAnsi"/>
        </w:rPr>
        <w:t>,</w:t>
      </w:r>
      <w:r w:rsidR="001376D1" w:rsidRPr="00D607AA">
        <w:rPr>
          <w:rFonts w:asciiTheme="minorHAnsi" w:hAnsiTheme="minorHAnsi" w:cstheme="minorHAnsi"/>
        </w:rPr>
        <w:t xml:space="preserve"> </w:t>
      </w:r>
      <w:r w:rsidR="001F171F" w:rsidRPr="00D607AA">
        <w:rPr>
          <w:rFonts w:asciiTheme="minorHAnsi" w:hAnsiTheme="minorHAnsi" w:cstheme="minorHAnsi"/>
        </w:rPr>
        <w:t>consideration could be given to:</w:t>
      </w:r>
    </w:p>
    <w:p w14:paraId="28D3E45C" w14:textId="77777777" w:rsidR="001F171F" w:rsidRPr="001F171F" w:rsidRDefault="001F171F" w:rsidP="001F171F">
      <w:pPr>
        <w:pStyle w:val="ListParagraph"/>
        <w:rPr>
          <w:rFonts w:cs="Arial"/>
        </w:rPr>
      </w:pPr>
    </w:p>
    <w:p w14:paraId="63EC59AA" w14:textId="0A6C5182" w:rsidR="006859C3" w:rsidRPr="00E71ECF" w:rsidRDefault="00384984" w:rsidP="00E71ECF">
      <w:pPr>
        <w:ind w:left="850"/>
        <w:rPr>
          <w:rFonts w:cs="Arial"/>
        </w:rPr>
      </w:pPr>
      <w:r w:rsidRPr="00384984">
        <w:rPr>
          <w:rFonts w:cs="Arial"/>
        </w:rPr>
        <w:t>a.</w:t>
      </w:r>
      <w:r w:rsidRPr="00384984">
        <w:rPr>
          <w:rFonts w:cs="Arial"/>
        </w:rPr>
        <w:tab/>
      </w:r>
      <w:r w:rsidR="006859C3" w:rsidRPr="00E71ECF">
        <w:rPr>
          <w:rFonts w:cs="Arial"/>
          <w:u w:val="single"/>
        </w:rPr>
        <w:t>Timing of the COP</w:t>
      </w:r>
      <w:r w:rsidR="00E71ECF">
        <w:rPr>
          <w:rFonts w:cs="Arial"/>
          <w:u w:val="single"/>
        </w:rPr>
        <w:t>:</w:t>
      </w:r>
      <w:r w:rsidR="00E71ECF" w:rsidRPr="00384984">
        <w:rPr>
          <w:rFonts w:cs="Arial"/>
        </w:rPr>
        <w:t xml:space="preserve"> </w:t>
      </w:r>
      <w:r w:rsidR="006859C3" w:rsidRPr="00E71ECF">
        <w:rPr>
          <w:rFonts w:cs="Arial"/>
        </w:rPr>
        <w:t xml:space="preserve">Consideration could be given to holding future COPs in June or July. This would provide additional time </w:t>
      </w:r>
      <w:r w:rsidR="00E57EED">
        <w:rPr>
          <w:rFonts w:cs="Arial"/>
        </w:rPr>
        <w:t xml:space="preserve">after the COP </w:t>
      </w:r>
      <w:r w:rsidR="006859C3" w:rsidRPr="00E71ECF">
        <w:rPr>
          <w:rFonts w:cs="Arial"/>
        </w:rPr>
        <w:t xml:space="preserve">for following established processes and ensuring that preparatory work is well completed in advance of </w:t>
      </w:r>
      <w:r w:rsidR="00474535">
        <w:rPr>
          <w:rFonts w:cs="Arial"/>
        </w:rPr>
        <w:t xml:space="preserve">the </w:t>
      </w:r>
      <w:r w:rsidR="00E57EED">
        <w:rPr>
          <w:rFonts w:cs="Arial"/>
        </w:rPr>
        <w:t xml:space="preserve">subsequent </w:t>
      </w:r>
      <w:r w:rsidR="006859C3" w:rsidRPr="00E71ECF">
        <w:rPr>
          <w:rFonts w:cs="Arial"/>
        </w:rPr>
        <w:t xml:space="preserve">meetings </w:t>
      </w:r>
      <w:r w:rsidR="00474535">
        <w:rPr>
          <w:rFonts w:cs="Arial"/>
        </w:rPr>
        <w:t xml:space="preserve">of the </w:t>
      </w:r>
      <w:r w:rsidR="00474535" w:rsidRPr="00E71ECF">
        <w:rPr>
          <w:rFonts w:cs="Arial"/>
        </w:rPr>
        <w:t xml:space="preserve">Standing Committee </w:t>
      </w:r>
      <w:r w:rsidR="00474535">
        <w:rPr>
          <w:rFonts w:cs="Arial"/>
        </w:rPr>
        <w:t xml:space="preserve">and the </w:t>
      </w:r>
      <w:r w:rsidR="00474535" w:rsidRPr="00474535">
        <w:rPr>
          <w:rFonts w:cs="Arial"/>
        </w:rPr>
        <w:t>Scientific and Technical Review Panel (STRP)</w:t>
      </w:r>
      <w:r w:rsidR="006859C3" w:rsidRPr="00E71ECF">
        <w:rPr>
          <w:rFonts w:cs="Arial"/>
        </w:rPr>
        <w:t xml:space="preserve">. </w:t>
      </w:r>
    </w:p>
    <w:p w14:paraId="7D38AA18" w14:textId="77777777" w:rsidR="006859C3" w:rsidRPr="00E71ECF" w:rsidRDefault="006859C3" w:rsidP="00D607AA">
      <w:pPr>
        <w:tabs>
          <w:tab w:val="left" w:pos="720"/>
          <w:tab w:val="left" w:pos="1440"/>
          <w:tab w:val="left" w:pos="2160"/>
        </w:tabs>
        <w:ind w:left="850"/>
        <w:rPr>
          <w:rFonts w:cs="Arial"/>
        </w:rPr>
      </w:pPr>
    </w:p>
    <w:p w14:paraId="01E244AC" w14:textId="2B538C67" w:rsidR="001F171F" w:rsidRPr="00E71ECF" w:rsidRDefault="00384984" w:rsidP="00E71ECF">
      <w:pPr>
        <w:ind w:left="850"/>
        <w:rPr>
          <w:rFonts w:cs="Arial"/>
        </w:rPr>
      </w:pPr>
      <w:r w:rsidRPr="00384984">
        <w:rPr>
          <w:rFonts w:cs="Arial"/>
        </w:rPr>
        <w:t>b.</w:t>
      </w:r>
      <w:r w:rsidRPr="00384984">
        <w:rPr>
          <w:rFonts w:cs="Arial"/>
        </w:rPr>
        <w:tab/>
      </w:r>
      <w:r w:rsidR="00D62DE3" w:rsidRPr="00E71ECF">
        <w:rPr>
          <w:rFonts w:cs="Arial"/>
          <w:u w:val="single"/>
        </w:rPr>
        <w:t>T</w:t>
      </w:r>
      <w:r w:rsidR="0095415D" w:rsidRPr="00E71ECF">
        <w:rPr>
          <w:rFonts w:cs="Arial"/>
          <w:u w:val="single"/>
        </w:rPr>
        <w:t xml:space="preserve">iming </w:t>
      </w:r>
      <w:r w:rsidR="00555B7B" w:rsidRPr="00E71ECF">
        <w:rPr>
          <w:rFonts w:cs="Arial"/>
          <w:u w:val="single"/>
        </w:rPr>
        <w:t>and process for</w:t>
      </w:r>
      <w:r w:rsidR="0095415D" w:rsidRPr="00E71ECF">
        <w:rPr>
          <w:rFonts w:cs="Arial"/>
          <w:u w:val="single"/>
        </w:rPr>
        <w:t xml:space="preserve"> submission of proposals</w:t>
      </w:r>
      <w:r w:rsidR="00E71ECF">
        <w:rPr>
          <w:rFonts w:cs="Arial"/>
          <w:u w:val="single"/>
        </w:rPr>
        <w:t>:</w:t>
      </w:r>
      <w:r w:rsidR="00E71ECF" w:rsidRPr="00384984">
        <w:rPr>
          <w:rFonts w:cs="Arial"/>
        </w:rPr>
        <w:t xml:space="preserve"> </w:t>
      </w:r>
      <w:r w:rsidR="00A8507F" w:rsidRPr="00E71ECF">
        <w:rPr>
          <w:rFonts w:cs="Arial"/>
        </w:rPr>
        <w:t>In accordance with Rule 5</w:t>
      </w:r>
      <w:r w:rsidR="00474535">
        <w:rPr>
          <w:rFonts w:cs="Arial"/>
        </w:rPr>
        <w:t xml:space="preserve"> of the Rules of Procedure</w:t>
      </w:r>
      <w:r w:rsidR="00A8507F" w:rsidRPr="00E71ECF">
        <w:rPr>
          <w:rFonts w:cs="Arial"/>
        </w:rPr>
        <w:t xml:space="preserve">, the deadline for submission </w:t>
      </w:r>
      <w:r w:rsidR="00AE4B65">
        <w:rPr>
          <w:rFonts w:cs="Arial"/>
        </w:rPr>
        <w:t xml:space="preserve">by Contracting Parties </w:t>
      </w:r>
      <w:r w:rsidR="00A8507F" w:rsidRPr="00E71ECF">
        <w:rPr>
          <w:rFonts w:cs="Arial"/>
        </w:rPr>
        <w:t xml:space="preserve">of proposals to be considered by the </w:t>
      </w:r>
      <w:r w:rsidR="00AE4B65">
        <w:rPr>
          <w:rFonts w:cs="Arial"/>
        </w:rPr>
        <w:t xml:space="preserve">COP </w:t>
      </w:r>
      <w:r w:rsidR="00A8507F" w:rsidRPr="00E71ECF">
        <w:rPr>
          <w:rFonts w:cs="Arial"/>
        </w:rPr>
        <w:t xml:space="preserve">is normally </w:t>
      </w:r>
      <w:r w:rsidR="00474535">
        <w:rPr>
          <w:rFonts w:cs="Arial"/>
        </w:rPr>
        <w:t>“</w:t>
      </w:r>
      <w:r w:rsidR="00A8507F" w:rsidRPr="00E71ECF">
        <w:rPr>
          <w:rFonts w:cs="Arial"/>
        </w:rPr>
        <w:t>60 calendar days prior to the opening of the Standing Committee meeting at which recommendations are made for documents for consideration by Contracting Parties at the Conference of the Parties</w:t>
      </w:r>
      <w:r w:rsidR="00474535">
        <w:rPr>
          <w:rFonts w:cs="Arial"/>
        </w:rPr>
        <w:t>”</w:t>
      </w:r>
      <w:r w:rsidR="00D10429" w:rsidRPr="00E71ECF">
        <w:rPr>
          <w:rFonts w:cs="Arial"/>
        </w:rPr>
        <w:t xml:space="preserve">. </w:t>
      </w:r>
      <w:r w:rsidR="001A200C" w:rsidRPr="00E71ECF">
        <w:rPr>
          <w:rFonts w:cs="Arial"/>
        </w:rPr>
        <w:t xml:space="preserve">However, </w:t>
      </w:r>
      <w:r w:rsidR="00285EDE">
        <w:rPr>
          <w:rFonts w:cs="Arial"/>
        </w:rPr>
        <w:t>accor</w:t>
      </w:r>
      <w:r w:rsidR="00D66917">
        <w:rPr>
          <w:rFonts w:cs="Arial"/>
        </w:rPr>
        <w:t xml:space="preserve">ding to Rule 10, </w:t>
      </w:r>
      <w:r w:rsidR="001A200C" w:rsidRPr="00E71ECF">
        <w:rPr>
          <w:rFonts w:cs="Arial"/>
        </w:rPr>
        <w:t>the</w:t>
      </w:r>
      <w:r w:rsidR="00285EDE">
        <w:rPr>
          <w:rFonts w:cs="Arial"/>
        </w:rPr>
        <w:t xml:space="preserve"> Secretariat’s</w:t>
      </w:r>
      <w:r w:rsidR="001A200C" w:rsidRPr="00E71ECF">
        <w:rPr>
          <w:rFonts w:cs="Arial"/>
        </w:rPr>
        <w:t xml:space="preserve"> </w:t>
      </w:r>
      <w:r w:rsidR="002047AC">
        <w:rPr>
          <w:rFonts w:cs="Arial"/>
        </w:rPr>
        <w:t>deadline</w:t>
      </w:r>
      <w:r w:rsidR="002047AC" w:rsidRPr="00E71ECF">
        <w:rPr>
          <w:rFonts w:cs="Arial"/>
        </w:rPr>
        <w:t xml:space="preserve"> </w:t>
      </w:r>
      <w:r w:rsidR="001A200C" w:rsidRPr="00E71ECF">
        <w:rPr>
          <w:rFonts w:cs="Arial"/>
        </w:rPr>
        <w:t xml:space="preserve">for posting documents in advance of the Standing Committee is </w:t>
      </w:r>
      <w:r w:rsidR="00D66917">
        <w:rPr>
          <w:rFonts w:cs="Arial"/>
        </w:rPr>
        <w:t>three months</w:t>
      </w:r>
      <w:r w:rsidR="002047AC">
        <w:rPr>
          <w:rFonts w:cs="Arial"/>
        </w:rPr>
        <w:t xml:space="preserve"> prior to the meeting</w:t>
      </w:r>
      <w:r w:rsidR="001A200C" w:rsidRPr="00E71ECF">
        <w:rPr>
          <w:rFonts w:cs="Arial"/>
        </w:rPr>
        <w:t xml:space="preserve">. This </w:t>
      </w:r>
      <w:r w:rsidR="002047AC">
        <w:rPr>
          <w:rFonts w:cs="Arial"/>
        </w:rPr>
        <w:t>incoherence</w:t>
      </w:r>
      <w:r w:rsidR="002047AC" w:rsidRPr="00E71ECF">
        <w:rPr>
          <w:rFonts w:cs="Arial"/>
        </w:rPr>
        <w:t xml:space="preserve"> </w:t>
      </w:r>
      <w:r w:rsidR="001A200C" w:rsidRPr="00E71ECF">
        <w:rPr>
          <w:rFonts w:cs="Arial"/>
        </w:rPr>
        <w:t xml:space="preserve">in timing creates challenges for the Secretariat in preparing </w:t>
      </w:r>
      <w:r w:rsidR="00285EDE">
        <w:rPr>
          <w:rFonts w:cs="Arial"/>
        </w:rPr>
        <w:t xml:space="preserve">and making </w:t>
      </w:r>
      <w:r w:rsidR="001A200C" w:rsidRPr="00E71ECF">
        <w:rPr>
          <w:rFonts w:cs="Arial"/>
        </w:rPr>
        <w:t xml:space="preserve">meeting documents available to Parties before </w:t>
      </w:r>
      <w:r w:rsidR="00285EDE">
        <w:rPr>
          <w:rFonts w:cs="Arial"/>
        </w:rPr>
        <w:t>all proposals have been submitted by Contracting Parties</w:t>
      </w:r>
      <w:r w:rsidR="001F171F" w:rsidRPr="00E71ECF">
        <w:rPr>
          <w:rFonts w:cs="Arial"/>
        </w:rPr>
        <w:t>.</w:t>
      </w:r>
    </w:p>
    <w:p w14:paraId="607127F7" w14:textId="77777777" w:rsidR="001F171F" w:rsidRPr="00E71ECF" w:rsidRDefault="001F171F" w:rsidP="00D607AA">
      <w:pPr>
        <w:pStyle w:val="ListParagraph"/>
        <w:tabs>
          <w:tab w:val="left" w:pos="720"/>
          <w:tab w:val="left" w:pos="1440"/>
          <w:tab w:val="left" w:pos="2160"/>
        </w:tabs>
        <w:ind w:left="850"/>
        <w:rPr>
          <w:rFonts w:cs="Arial"/>
        </w:rPr>
      </w:pPr>
    </w:p>
    <w:p w14:paraId="56A2F2EC" w14:textId="15D9D775" w:rsidR="00126C82" w:rsidRPr="00C83443" w:rsidRDefault="00384984" w:rsidP="00C83443">
      <w:pPr>
        <w:ind w:left="850"/>
        <w:rPr>
          <w:rFonts w:cs="Arial"/>
        </w:rPr>
      </w:pPr>
      <w:r w:rsidRPr="00384984">
        <w:rPr>
          <w:rFonts w:cs="Arial"/>
        </w:rPr>
        <w:t>c.</w:t>
      </w:r>
      <w:r w:rsidRPr="00384984">
        <w:rPr>
          <w:rFonts w:cs="Arial"/>
        </w:rPr>
        <w:tab/>
      </w:r>
      <w:r w:rsidR="00126C82" w:rsidRPr="00E71ECF">
        <w:rPr>
          <w:rFonts w:cs="Arial"/>
          <w:u w:val="single"/>
        </w:rPr>
        <w:t>Schedule and sequence of meetings</w:t>
      </w:r>
      <w:r w:rsidR="00126C82">
        <w:rPr>
          <w:rFonts w:cs="Arial"/>
          <w:u w:val="single"/>
        </w:rPr>
        <w:t xml:space="preserve"> including regional p</w:t>
      </w:r>
      <w:r w:rsidR="00126C82" w:rsidRPr="00E71ECF">
        <w:rPr>
          <w:rFonts w:cs="Arial"/>
          <w:u w:val="single"/>
        </w:rPr>
        <w:t>re-COP meetings</w:t>
      </w:r>
      <w:r w:rsidR="00126C82">
        <w:rPr>
          <w:rFonts w:cs="Arial"/>
          <w:u w:val="single"/>
        </w:rPr>
        <w:t>:</w:t>
      </w:r>
      <w:r w:rsidR="00126C82" w:rsidRPr="00384984">
        <w:rPr>
          <w:rFonts w:cs="Arial"/>
        </w:rPr>
        <w:t xml:space="preserve"> </w:t>
      </w:r>
      <w:r w:rsidR="00126C82" w:rsidRPr="00E71ECF">
        <w:rPr>
          <w:rFonts w:cstheme="minorHAnsi"/>
        </w:rPr>
        <w:t>A considerable number of meetings were scheduled in 2018</w:t>
      </w:r>
      <w:r w:rsidR="00126C82">
        <w:rPr>
          <w:rFonts w:cstheme="minorHAnsi"/>
        </w:rPr>
        <w:t xml:space="preserve">, </w:t>
      </w:r>
      <w:r w:rsidR="00126C82" w:rsidRPr="00E71ECF">
        <w:rPr>
          <w:rFonts w:cstheme="minorHAnsi"/>
        </w:rPr>
        <w:t xml:space="preserve">namely </w:t>
      </w:r>
      <w:r w:rsidR="00126C82">
        <w:rPr>
          <w:rFonts w:cstheme="minorHAnsi"/>
        </w:rPr>
        <w:t>the 21st meeting of the STRP (</w:t>
      </w:r>
      <w:r w:rsidR="00126C82" w:rsidRPr="00E71ECF">
        <w:rPr>
          <w:rFonts w:cstheme="minorHAnsi"/>
        </w:rPr>
        <w:t>STRP21</w:t>
      </w:r>
      <w:r w:rsidR="00126C82">
        <w:rPr>
          <w:rFonts w:cstheme="minorHAnsi"/>
        </w:rPr>
        <w:t>) in January</w:t>
      </w:r>
      <w:r w:rsidR="00126C82" w:rsidRPr="00E71ECF">
        <w:rPr>
          <w:rFonts w:cstheme="minorHAnsi"/>
        </w:rPr>
        <w:t xml:space="preserve">, five regional pre-COP meetings in February and March, SC54 from 23 to 27 April, COP13 from 21 to 29 October, SC55 on 21 October and SC56 on 29 October. This </w:t>
      </w:r>
      <w:r w:rsidR="00126C82">
        <w:rPr>
          <w:rFonts w:cstheme="minorHAnsi"/>
        </w:rPr>
        <w:t>was</w:t>
      </w:r>
      <w:r w:rsidR="00126C82" w:rsidRPr="00E71ECF">
        <w:rPr>
          <w:rFonts w:cstheme="minorHAnsi"/>
        </w:rPr>
        <w:t xml:space="preserve"> a result of the timeline established with the COP being held in October and the expectation that </w:t>
      </w:r>
      <w:r w:rsidR="00126C82">
        <w:rPr>
          <w:rFonts w:cstheme="minorHAnsi"/>
        </w:rPr>
        <w:t>proposals for draft resolutions</w:t>
      </w:r>
      <w:r w:rsidR="00126C82" w:rsidRPr="00E71ECF">
        <w:rPr>
          <w:rFonts w:cstheme="minorHAnsi"/>
        </w:rPr>
        <w:t xml:space="preserve"> be considered in all these meetings, even if the </w:t>
      </w:r>
      <w:r w:rsidR="00126C82">
        <w:rPr>
          <w:rFonts w:cstheme="minorHAnsi"/>
        </w:rPr>
        <w:t>R</w:t>
      </w:r>
      <w:r w:rsidR="00126C82" w:rsidRPr="00E71ECF">
        <w:rPr>
          <w:rFonts w:cstheme="minorHAnsi"/>
        </w:rPr>
        <w:t xml:space="preserve">ules of </w:t>
      </w:r>
      <w:r w:rsidR="00126C82">
        <w:rPr>
          <w:rFonts w:cstheme="minorHAnsi"/>
        </w:rPr>
        <w:t>P</w:t>
      </w:r>
      <w:r w:rsidR="00126C82" w:rsidRPr="00E71ECF">
        <w:rPr>
          <w:rFonts w:cstheme="minorHAnsi"/>
        </w:rPr>
        <w:t>rocedure only refer to consideration by the S</w:t>
      </w:r>
      <w:r w:rsidR="00126C82">
        <w:rPr>
          <w:rFonts w:cstheme="minorHAnsi"/>
        </w:rPr>
        <w:t xml:space="preserve">tanding </w:t>
      </w:r>
      <w:r w:rsidR="00126C82" w:rsidRPr="00E71ECF">
        <w:rPr>
          <w:rFonts w:cstheme="minorHAnsi"/>
        </w:rPr>
        <w:t>C</w:t>
      </w:r>
      <w:r w:rsidR="00126C82">
        <w:rPr>
          <w:rFonts w:cstheme="minorHAnsi"/>
        </w:rPr>
        <w:t>ommittee</w:t>
      </w:r>
      <w:r w:rsidR="00126C82" w:rsidRPr="00E71ECF">
        <w:rPr>
          <w:rFonts w:cstheme="minorHAnsi"/>
        </w:rPr>
        <w:t>. This put a very heavy workload on the Secretariat</w:t>
      </w:r>
      <w:r w:rsidR="00126C82">
        <w:rPr>
          <w:rFonts w:cstheme="minorHAnsi"/>
        </w:rPr>
        <w:t>,</w:t>
      </w:r>
      <w:r w:rsidR="00126C82" w:rsidRPr="00E71ECF">
        <w:rPr>
          <w:rFonts w:cstheme="minorHAnsi"/>
        </w:rPr>
        <w:t xml:space="preserve"> in terms of </w:t>
      </w:r>
      <w:r w:rsidR="00126C82">
        <w:rPr>
          <w:rFonts w:cstheme="minorHAnsi"/>
        </w:rPr>
        <w:t xml:space="preserve">document </w:t>
      </w:r>
      <w:r w:rsidR="00126C82" w:rsidRPr="00E71ECF">
        <w:rPr>
          <w:rFonts w:cstheme="minorHAnsi"/>
        </w:rPr>
        <w:t xml:space="preserve">preparation and meeting organization, but also in terms of </w:t>
      </w:r>
      <w:r w:rsidR="00126C82">
        <w:rPr>
          <w:rFonts w:cstheme="minorHAnsi"/>
        </w:rPr>
        <w:t xml:space="preserve">fundraising </w:t>
      </w:r>
      <w:r w:rsidR="00126C82" w:rsidRPr="00E71ECF">
        <w:rPr>
          <w:rFonts w:cstheme="minorHAnsi"/>
        </w:rPr>
        <w:t>for five regional pre-COP</w:t>
      </w:r>
      <w:r w:rsidR="00126C82">
        <w:rPr>
          <w:rFonts w:cstheme="minorHAnsi"/>
        </w:rPr>
        <w:t xml:space="preserve"> meeting</w:t>
      </w:r>
      <w:r w:rsidR="00126C82" w:rsidRPr="00E71ECF">
        <w:rPr>
          <w:rFonts w:cstheme="minorHAnsi"/>
        </w:rPr>
        <w:t>s and COP</w:t>
      </w:r>
      <w:r w:rsidR="00126C82">
        <w:rPr>
          <w:rFonts w:cstheme="minorHAnsi"/>
        </w:rPr>
        <w:t>13</w:t>
      </w:r>
      <w:r w:rsidR="00126C82" w:rsidRPr="00E71ECF">
        <w:rPr>
          <w:rFonts w:cstheme="minorHAnsi"/>
        </w:rPr>
        <w:t xml:space="preserve"> in the same </w:t>
      </w:r>
      <w:r w:rsidR="00126C82" w:rsidRPr="009D6375">
        <w:rPr>
          <w:rFonts w:cstheme="minorHAnsi"/>
        </w:rPr>
        <w:t>year. In addition, t</w:t>
      </w:r>
      <w:r w:rsidR="00126C82" w:rsidRPr="009D6375">
        <w:rPr>
          <w:rFonts w:cs="Arial"/>
        </w:rPr>
        <w:t xml:space="preserve">he timing of the regional pre-COP meetings in 2018 did not allow for the subsequent timely submission of amended proposals to the Secretariat </w:t>
      </w:r>
      <w:r w:rsidR="0039088E">
        <w:rPr>
          <w:rFonts w:cs="Arial"/>
        </w:rPr>
        <w:t>for</w:t>
      </w:r>
      <w:r w:rsidR="00126C82" w:rsidRPr="009D6375">
        <w:rPr>
          <w:rFonts w:cs="Arial"/>
        </w:rPr>
        <w:t xml:space="preserve"> publish</w:t>
      </w:r>
      <w:r w:rsidR="0039088E">
        <w:rPr>
          <w:rFonts w:cs="Arial"/>
        </w:rPr>
        <w:t>ing</w:t>
      </w:r>
      <w:r w:rsidR="00126C82" w:rsidRPr="009D6375">
        <w:rPr>
          <w:rFonts w:cs="Arial"/>
        </w:rPr>
        <w:t xml:space="preserve"> 60 days in advance</w:t>
      </w:r>
      <w:r w:rsidR="00126C82" w:rsidRPr="00E71ECF">
        <w:rPr>
          <w:rFonts w:cs="Arial"/>
        </w:rPr>
        <w:t xml:space="preserve"> of </w:t>
      </w:r>
      <w:r w:rsidR="00126C82">
        <w:rPr>
          <w:rFonts w:cs="Arial"/>
        </w:rPr>
        <w:t>SC54</w:t>
      </w:r>
      <w:r w:rsidR="00126C82" w:rsidRPr="00E71ECF">
        <w:rPr>
          <w:rFonts w:cs="Arial"/>
        </w:rPr>
        <w:t xml:space="preserve">. Consideration should be given to the timing and </w:t>
      </w:r>
      <w:r w:rsidR="00126C82" w:rsidRPr="00040CA4">
        <w:rPr>
          <w:rFonts w:cs="Arial"/>
        </w:rPr>
        <w:t>purpose</w:t>
      </w:r>
      <w:r w:rsidR="00126C82" w:rsidRPr="00E71ECF">
        <w:rPr>
          <w:rFonts w:cs="Arial"/>
        </w:rPr>
        <w:t xml:space="preserve"> of regional meetings as it is not clear if </w:t>
      </w:r>
      <w:r w:rsidR="00126C82">
        <w:rPr>
          <w:rFonts w:cs="Arial"/>
        </w:rPr>
        <w:t>such</w:t>
      </w:r>
      <w:r w:rsidR="00126C82" w:rsidRPr="00E71ECF">
        <w:rPr>
          <w:rFonts w:cs="Arial"/>
        </w:rPr>
        <w:t xml:space="preserve"> meetings are the best way to consult on </w:t>
      </w:r>
      <w:r w:rsidR="00126C82">
        <w:rPr>
          <w:rFonts w:cs="Arial"/>
        </w:rPr>
        <w:t xml:space="preserve">proposals for </w:t>
      </w:r>
      <w:r w:rsidR="00126C82" w:rsidRPr="00E71ECF">
        <w:rPr>
          <w:rFonts w:cs="Arial"/>
        </w:rPr>
        <w:t>draft resolutions</w:t>
      </w:r>
      <w:r w:rsidR="00126C82">
        <w:rPr>
          <w:rFonts w:cs="Arial"/>
        </w:rPr>
        <w:t>,</w:t>
      </w:r>
      <w:r w:rsidR="00126C82" w:rsidRPr="00E71ECF">
        <w:rPr>
          <w:rFonts w:cs="Arial"/>
        </w:rPr>
        <w:t xml:space="preserve"> given the deadlines for document preparation and distribution that the Secretariat is asked to follow as well as the experience at COP13 that most of the negotiation took place in working groups.</w:t>
      </w:r>
      <w:r w:rsidR="00126C82">
        <w:rPr>
          <w:rFonts w:cs="Arial"/>
        </w:rPr>
        <w:t xml:space="preserve"> </w:t>
      </w:r>
      <w:r w:rsidR="00126C82" w:rsidRPr="00E71ECF">
        <w:rPr>
          <w:rFonts w:cstheme="minorHAnsi"/>
        </w:rPr>
        <w:t xml:space="preserve">The Secretariat has raised with </w:t>
      </w:r>
      <w:r w:rsidR="00126C82" w:rsidRPr="00D308A2">
        <w:rPr>
          <w:rFonts w:cstheme="minorHAnsi"/>
        </w:rPr>
        <w:t>the Facilitation Working Group</w:t>
      </w:r>
      <w:r w:rsidR="00126C82">
        <w:rPr>
          <w:rFonts w:cstheme="minorHAnsi"/>
        </w:rPr>
        <w:t xml:space="preserve"> (FWG)</w:t>
      </w:r>
      <w:r w:rsidR="00126C82" w:rsidRPr="00D308A2">
        <w:rPr>
          <w:rFonts w:cstheme="minorHAnsi"/>
        </w:rPr>
        <w:t xml:space="preserve"> and the Standing Committee the need to review the sequ</w:t>
      </w:r>
      <w:r w:rsidR="00126C82" w:rsidRPr="00E71ECF">
        <w:rPr>
          <w:rFonts w:cstheme="minorHAnsi"/>
        </w:rPr>
        <w:t xml:space="preserve">ence of meetings and timelines for submission of </w:t>
      </w:r>
      <w:r w:rsidR="00126C82">
        <w:rPr>
          <w:rFonts w:cstheme="minorHAnsi"/>
        </w:rPr>
        <w:t>documents and proposals for</w:t>
      </w:r>
      <w:r w:rsidR="00126C82" w:rsidRPr="00E71ECF">
        <w:rPr>
          <w:rFonts w:cstheme="minorHAnsi"/>
        </w:rPr>
        <w:t xml:space="preserve"> draft resolutions to enable the Secretariat to </w:t>
      </w:r>
      <w:r w:rsidR="00126C82">
        <w:rPr>
          <w:rFonts w:cstheme="minorHAnsi"/>
        </w:rPr>
        <w:t>meet</w:t>
      </w:r>
      <w:r w:rsidR="00126C82" w:rsidRPr="00E71ECF">
        <w:rPr>
          <w:rFonts w:cstheme="minorHAnsi"/>
        </w:rPr>
        <w:t xml:space="preserve"> the Parties’ expectations. Other options</w:t>
      </w:r>
      <w:r w:rsidR="0039088E">
        <w:rPr>
          <w:rFonts w:cstheme="minorHAnsi"/>
        </w:rPr>
        <w:t>,</w:t>
      </w:r>
      <w:r w:rsidR="00126C82" w:rsidRPr="00E71ECF">
        <w:rPr>
          <w:rFonts w:cstheme="minorHAnsi"/>
        </w:rPr>
        <w:t xml:space="preserve"> suggested </w:t>
      </w:r>
      <w:r w:rsidR="00126C82">
        <w:rPr>
          <w:rFonts w:cstheme="minorHAnsi"/>
        </w:rPr>
        <w:t>at</w:t>
      </w:r>
      <w:r w:rsidR="00126C82" w:rsidRPr="00E71ECF">
        <w:rPr>
          <w:rFonts w:cstheme="minorHAnsi"/>
        </w:rPr>
        <w:t xml:space="preserve"> the Group’s request and drawn from the operations of other Conventions, include: having full S</w:t>
      </w:r>
      <w:r w:rsidR="00126C82">
        <w:rPr>
          <w:rFonts w:cstheme="minorHAnsi"/>
        </w:rPr>
        <w:t xml:space="preserve">tanding </w:t>
      </w:r>
      <w:r w:rsidR="00126C82" w:rsidRPr="00E71ECF">
        <w:rPr>
          <w:rFonts w:cstheme="minorHAnsi"/>
        </w:rPr>
        <w:t>C</w:t>
      </w:r>
      <w:r w:rsidR="00126C82">
        <w:rPr>
          <w:rFonts w:cstheme="minorHAnsi"/>
        </w:rPr>
        <w:t>ommittee</w:t>
      </w:r>
      <w:r w:rsidR="00126C82" w:rsidRPr="00E71ECF">
        <w:rPr>
          <w:rFonts w:cstheme="minorHAnsi"/>
        </w:rPr>
        <w:t xml:space="preserve"> meetings only in the years in which the COP does not meet; and holding regional meetings immediately before the COP (and at the same venue) with the option of holding other regional meetings to share experience in implementation, for interested hosts to organize, including in the context of Ramsar Regional Initiatives.</w:t>
      </w:r>
    </w:p>
    <w:p w14:paraId="37DBDDE2" w14:textId="77777777" w:rsidR="00126C82" w:rsidRDefault="00126C82" w:rsidP="00126C82">
      <w:pPr>
        <w:ind w:left="850"/>
        <w:rPr>
          <w:rFonts w:cs="Arial"/>
        </w:rPr>
      </w:pPr>
    </w:p>
    <w:p w14:paraId="402940C6" w14:textId="77777777" w:rsidR="00F67F0F" w:rsidRPr="00E71ECF" w:rsidRDefault="00F67F0F" w:rsidP="00D607AA">
      <w:pPr>
        <w:pStyle w:val="ListParagraph"/>
        <w:ind w:left="850"/>
        <w:rPr>
          <w:rFonts w:cs="Arial"/>
          <w:u w:val="single"/>
        </w:rPr>
      </w:pPr>
    </w:p>
    <w:p w14:paraId="5C267D72" w14:textId="77777777" w:rsidR="001F171F" w:rsidRPr="00E71ECF" w:rsidRDefault="001F171F" w:rsidP="00D607AA">
      <w:pPr>
        <w:ind w:left="850"/>
        <w:rPr>
          <w:rFonts w:cs="Arial"/>
        </w:rPr>
      </w:pPr>
    </w:p>
    <w:p w14:paraId="4BA76F7B" w14:textId="289E9396" w:rsidR="00315E77" w:rsidRPr="00E71ECF" w:rsidRDefault="009D6375" w:rsidP="00E71ECF">
      <w:pPr>
        <w:ind w:left="850"/>
        <w:rPr>
          <w:rFonts w:cs="Arial"/>
        </w:rPr>
      </w:pPr>
      <w:r>
        <w:rPr>
          <w:rFonts w:cs="Arial"/>
        </w:rPr>
        <w:lastRenderedPageBreak/>
        <w:t>d</w:t>
      </w:r>
      <w:r w:rsidR="00384984" w:rsidRPr="00384984">
        <w:rPr>
          <w:rFonts w:cs="Arial"/>
        </w:rPr>
        <w:t>.</w:t>
      </w:r>
      <w:r w:rsidR="00384984" w:rsidRPr="00384984">
        <w:rPr>
          <w:rFonts w:cs="Arial"/>
        </w:rPr>
        <w:tab/>
      </w:r>
      <w:r w:rsidR="00315E77" w:rsidRPr="00E71ECF">
        <w:rPr>
          <w:rFonts w:cs="Arial"/>
          <w:u w:val="single"/>
        </w:rPr>
        <w:t>Length of meetings</w:t>
      </w:r>
      <w:r w:rsidR="00E71ECF">
        <w:rPr>
          <w:rFonts w:cs="Arial"/>
          <w:u w:val="single"/>
        </w:rPr>
        <w:t>:</w:t>
      </w:r>
      <w:r w:rsidR="00E71ECF" w:rsidRPr="00384984">
        <w:rPr>
          <w:rFonts w:cs="Arial"/>
        </w:rPr>
        <w:t xml:space="preserve"> </w:t>
      </w:r>
      <w:r w:rsidR="00315E77" w:rsidRPr="00E71ECF">
        <w:rPr>
          <w:rFonts w:cs="Arial"/>
        </w:rPr>
        <w:t xml:space="preserve">At its first </w:t>
      </w:r>
      <w:r w:rsidR="008B2AF0">
        <w:rPr>
          <w:rFonts w:cs="Arial"/>
        </w:rPr>
        <w:t xml:space="preserve">full </w:t>
      </w:r>
      <w:r w:rsidR="00315E77" w:rsidRPr="00E71ECF">
        <w:rPr>
          <w:rFonts w:cs="Arial"/>
        </w:rPr>
        <w:t xml:space="preserve">meeting after a meeting </w:t>
      </w:r>
      <w:r w:rsidR="008B2AF0">
        <w:rPr>
          <w:rFonts w:cs="Arial"/>
        </w:rPr>
        <w:t xml:space="preserve">of the </w:t>
      </w:r>
      <w:r w:rsidR="00315E77" w:rsidRPr="00E71ECF">
        <w:rPr>
          <w:rFonts w:cs="Arial"/>
        </w:rPr>
        <w:t xml:space="preserve">COP, the Standing Committee establishes the exact dates of the next ordinary meeting of the Conference (in accordance with Rule 4.2) and the provisional agenda for that meeting (in accordance with Rule 8). The COP is generally seven or eight days in length. Consideration could be given to adding a day. In particular, consideration could be given to having a meeting of five days, followed by a break of two days to allow for all document processing and translation to be completed) followed by the final two days of adoption of Resolutions. </w:t>
      </w:r>
    </w:p>
    <w:p w14:paraId="716C9F31" w14:textId="77777777" w:rsidR="006859C3" w:rsidRPr="00E71ECF" w:rsidRDefault="006859C3" w:rsidP="00D607AA">
      <w:pPr>
        <w:tabs>
          <w:tab w:val="left" w:pos="720"/>
          <w:tab w:val="left" w:pos="1440"/>
          <w:tab w:val="left" w:pos="2160"/>
        </w:tabs>
        <w:ind w:left="850"/>
        <w:rPr>
          <w:rFonts w:cs="Arial"/>
        </w:rPr>
      </w:pPr>
    </w:p>
    <w:p w14:paraId="6F240F03" w14:textId="52C34C64" w:rsidR="006859C3" w:rsidRPr="00D607AA" w:rsidRDefault="009D6375" w:rsidP="00D607AA">
      <w:pPr>
        <w:ind w:left="850"/>
        <w:rPr>
          <w:rFonts w:cs="Arial"/>
        </w:rPr>
      </w:pPr>
      <w:r>
        <w:rPr>
          <w:rFonts w:cs="Arial"/>
        </w:rPr>
        <w:t>e</w:t>
      </w:r>
      <w:r w:rsidR="00384984" w:rsidRPr="00384984">
        <w:rPr>
          <w:rFonts w:cs="Arial"/>
        </w:rPr>
        <w:t>.</w:t>
      </w:r>
      <w:r w:rsidR="00384984" w:rsidRPr="00384984">
        <w:rPr>
          <w:rFonts w:cs="Arial"/>
        </w:rPr>
        <w:tab/>
      </w:r>
      <w:r w:rsidR="00E71ECF">
        <w:rPr>
          <w:rFonts w:cs="Arial"/>
          <w:u w:val="single"/>
        </w:rPr>
        <w:t>Working programme:</w:t>
      </w:r>
      <w:r w:rsidR="00E71ECF" w:rsidRPr="00384984">
        <w:rPr>
          <w:rFonts w:cs="Arial"/>
        </w:rPr>
        <w:t xml:space="preserve"> </w:t>
      </w:r>
      <w:r w:rsidR="006859C3" w:rsidRPr="00E71ECF">
        <w:rPr>
          <w:rFonts w:cs="Arial"/>
        </w:rPr>
        <w:t>In establishing a working programme for the meeting, it may be preferable to have items that may need to be considered by a working group taken up early in the meeting so that working groups can be establis</w:t>
      </w:r>
      <w:r w:rsidR="006859C3" w:rsidRPr="00D607AA">
        <w:rPr>
          <w:rFonts w:cs="Arial"/>
        </w:rPr>
        <w:t xml:space="preserve">hed and complete their work as early as possible. </w:t>
      </w:r>
    </w:p>
    <w:p w14:paraId="5560DBCD" w14:textId="77777777" w:rsidR="006859C3" w:rsidRDefault="006859C3" w:rsidP="005A002B">
      <w:pPr>
        <w:tabs>
          <w:tab w:val="left" w:pos="720"/>
          <w:tab w:val="left" w:pos="1440"/>
          <w:tab w:val="left" w:pos="2160"/>
        </w:tabs>
        <w:ind w:left="1440" w:hanging="1440"/>
        <w:jc w:val="both"/>
        <w:rPr>
          <w:rFonts w:cs="Arial"/>
        </w:rPr>
      </w:pPr>
    </w:p>
    <w:p w14:paraId="7FDD2F18" w14:textId="77777777" w:rsidR="005C0258" w:rsidRPr="00BC7929" w:rsidRDefault="005C0258" w:rsidP="00D33B53">
      <w:pPr>
        <w:tabs>
          <w:tab w:val="left" w:pos="720"/>
          <w:tab w:val="left" w:pos="1440"/>
          <w:tab w:val="left" w:pos="2160"/>
        </w:tabs>
        <w:ind w:left="0" w:firstLine="0"/>
        <w:rPr>
          <w:rFonts w:cs="Arial"/>
        </w:rPr>
      </w:pPr>
    </w:p>
    <w:sectPr w:rsidR="005C0258" w:rsidRPr="00BC7929" w:rsidSect="00D607AA">
      <w:headerReference w:type="default" r:id="rId8"/>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3A4AA" w14:textId="77777777" w:rsidR="00633175" w:rsidRDefault="00633175" w:rsidP="00DF2386">
      <w:r>
        <w:separator/>
      </w:r>
    </w:p>
  </w:endnote>
  <w:endnote w:type="continuationSeparator" w:id="0">
    <w:p w14:paraId="64DBF0A9" w14:textId="77777777" w:rsidR="00633175" w:rsidRDefault="00633175"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3A5D" w14:textId="29C97D4A" w:rsidR="00820DAC" w:rsidRPr="00E71ECF" w:rsidRDefault="00820DAC" w:rsidP="002137E0">
    <w:pPr>
      <w:pStyle w:val="Header"/>
      <w:rPr>
        <w:noProof/>
        <w:sz w:val="20"/>
        <w:szCs w:val="20"/>
      </w:rPr>
    </w:pPr>
    <w:r w:rsidRPr="00E71ECF">
      <w:rPr>
        <w:sz w:val="20"/>
        <w:szCs w:val="20"/>
      </w:rPr>
      <w:t>SC57 Doc. 21.1</w:t>
    </w:r>
    <w:r w:rsidRPr="00E71ECF">
      <w:rPr>
        <w:sz w:val="20"/>
        <w:szCs w:val="20"/>
      </w:rPr>
      <w:tab/>
    </w:r>
    <w:r w:rsidRPr="00E71ECF">
      <w:rPr>
        <w:sz w:val="20"/>
        <w:szCs w:val="20"/>
      </w:rPr>
      <w:tab/>
    </w:r>
    <w:sdt>
      <w:sdtPr>
        <w:rPr>
          <w:sz w:val="20"/>
          <w:szCs w:val="20"/>
        </w:rPr>
        <w:id w:val="538632292"/>
        <w:docPartObj>
          <w:docPartGallery w:val="Page Numbers (Top of Page)"/>
          <w:docPartUnique/>
        </w:docPartObj>
      </w:sdtPr>
      <w:sdtEndPr>
        <w:rPr>
          <w:noProof/>
        </w:rPr>
      </w:sdtEndPr>
      <w:sdtContent>
        <w:r w:rsidR="002E0778" w:rsidRPr="00E71ECF">
          <w:rPr>
            <w:sz w:val="20"/>
            <w:szCs w:val="20"/>
          </w:rPr>
          <w:fldChar w:fldCharType="begin"/>
        </w:r>
        <w:r w:rsidR="002E0778" w:rsidRPr="00E71ECF">
          <w:rPr>
            <w:sz w:val="20"/>
            <w:szCs w:val="20"/>
          </w:rPr>
          <w:instrText xml:space="preserve"> PAGE   \* MERGEFORMAT </w:instrText>
        </w:r>
        <w:r w:rsidR="002E0778" w:rsidRPr="00E71ECF">
          <w:rPr>
            <w:sz w:val="20"/>
            <w:szCs w:val="20"/>
          </w:rPr>
          <w:fldChar w:fldCharType="separate"/>
        </w:r>
        <w:r w:rsidR="0031380A">
          <w:rPr>
            <w:noProof/>
            <w:sz w:val="20"/>
            <w:szCs w:val="20"/>
          </w:rPr>
          <w:t>5</w:t>
        </w:r>
        <w:r w:rsidR="002E0778" w:rsidRPr="00E71ECF">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EE185" w14:textId="77777777" w:rsidR="00633175" w:rsidRDefault="00633175" w:rsidP="00DF2386">
      <w:r>
        <w:separator/>
      </w:r>
    </w:p>
  </w:footnote>
  <w:footnote w:type="continuationSeparator" w:id="0">
    <w:p w14:paraId="7E5BFEE3" w14:textId="77777777" w:rsidR="00633175" w:rsidRDefault="00633175"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9466" w14:textId="77777777" w:rsidR="00820DAC" w:rsidRDefault="00820DAC">
    <w:pPr>
      <w:pStyle w:val="Header"/>
    </w:pPr>
  </w:p>
  <w:p w14:paraId="089CD07E" w14:textId="77777777" w:rsidR="00820DAC" w:rsidRDefault="00820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CC3BEE"/>
    <w:multiLevelType w:val="multilevel"/>
    <w:tmpl w:val="8D3836CC"/>
    <w:lvl w:ilvl="0">
      <w:start w:val="2"/>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B77FC"/>
    <w:multiLevelType w:val="hybridMultilevel"/>
    <w:tmpl w:val="E71CE28C"/>
    <w:lvl w:ilvl="0" w:tplc="E780B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645DF"/>
    <w:multiLevelType w:val="hybridMultilevel"/>
    <w:tmpl w:val="79DE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1AB830A2"/>
    <w:multiLevelType w:val="hybridMultilevel"/>
    <w:tmpl w:val="FB688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3C15F13"/>
    <w:multiLevelType w:val="hybridMultilevel"/>
    <w:tmpl w:val="27BE29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Aria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Aria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Arial"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A916DF"/>
    <w:multiLevelType w:val="hybridMultilevel"/>
    <w:tmpl w:val="2842E756"/>
    <w:lvl w:ilvl="0" w:tplc="08090017">
      <w:start w:val="1"/>
      <w:numFmt w:val="lowerLetter"/>
      <w:lvlText w:val="%1)"/>
      <w:lvlJc w:val="left"/>
      <w:pPr>
        <w:ind w:left="720" w:hanging="360"/>
      </w:pPr>
      <w:rPr>
        <w:rFonts w:hint="default"/>
      </w:rPr>
    </w:lvl>
    <w:lvl w:ilvl="1" w:tplc="A824E788">
      <w:numFmt w:val="bullet"/>
      <w:lvlText w:val="-"/>
      <w:lvlJc w:val="left"/>
      <w:pPr>
        <w:ind w:left="786" w:hanging="360"/>
      </w:pPr>
      <w:rPr>
        <w:rFonts w:ascii="Calibri" w:eastAsiaTheme="minorHAnsi" w:hAnsi="Calibri"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87350"/>
    <w:multiLevelType w:val="hybridMultilevel"/>
    <w:tmpl w:val="2E606188"/>
    <w:lvl w:ilvl="0" w:tplc="0809000F">
      <w:start w:val="1"/>
      <w:numFmt w:val="decimal"/>
      <w:lvlText w:val="%1."/>
      <w:lvlJc w:val="left"/>
      <w:pPr>
        <w:ind w:left="720" w:hanging="360"/>
      </w:pPr>
      <w:rPr>
        <w:rFonts w:hint="default"/>
      </w:rPr>
    </w:lvl>
    <w:lvl w:ilvl="1" w:tplc="A824E788">
      <w:numFmt w:val="bullet"/>
      <w:lvlText w:val="-"/>
      <w:lvlJc w:val="left"/>
      <w:pPr>
        <w:ind w:left="786" w:hanging="360"/>
      </w:pPr>
      <w:rPr>
        <w:rFonts w:ascii="Calibri" w:eastAsiaTheme="minorHAnsi" w:hAnsi="Calibri"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E64F02"/>
    <w:multiLevelType w:val="hybridMultilevel"/>
    <w:tmpl w:val="35CEAE4A"/>
    <w:lvl w:ilvl="0" w:tplc="08090001">
      <w:start w:val="1"/>
      <w:numFmt w:val="bullet"/>
      <w:lvlText w:val=""/>
      <w:lvlJc w:val="left"/>
      <w:pPr>
        <w:ind w:left="720" w:hanging="360"/>
      </w:pPr>
      <w:rPr>
        <w:rFonts w:ascii="Symbol" w:hAnsi="Symbol" w:hint="default"/>
      </w:rPr>
    </w:lvl>
    <w:lvl w:ilvl="1" w:tplc="F2483360">
      <w:start w:val="1"/>
      <w:numFmt w:val="lowerLetter"/>
      <w:lvlText w:val="%2)"/>
      <w:lvlJc w:val="left"/>
      <w:pPr>
        <w:ind w:left="786" w:hanging="360"/>
      </w:pPr>
      <w:rPr>
        <w:rFonts w:ascii="Garamond" w:eastAsia="Calibri" w:hAnsi="Garamond" w:cs="Symbo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11C91"/>
    <w:multiLevelType w:val="hybridMultilevel"/>
    <w:tmpl w:val="FB688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1176CE"/>
    <w:multiLevelType w:val="hybridMultilevel"/>
    <w:tmpl w:val="2F0A0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96277BA"/>
    <w:multiLevelType w:val="hybridMultilevel"/>
    <w:tmpl w:val="77EE8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C4614"/>
    <w:multiLevelType w:val="multilevel"/>
    <w:tmpl w:val="2842E756"/>
    <w:lvl w:ilvl="0">
      <w:start w:val="1"/>
      <w:numFmt w:val="lowerLetter"/>
      <w:lvlText w:val="%1)"/>
      <w:lvlJc w:val="left"/>
      <w:pPr>
        <w:ind w:left="720" w:hanging="360"/>
      </w:pPr>
      <w:rPr>
        <w:rFonts w:hint="default"/>
      </w:rPr>
    </w:lvl>
    <w:lvl w:ilvl="1">
      <w:numFmt w:val="bullet"/>
      <w:lvlText w:val="-"/>
      <w:lvlJc w:val="left"/>
      <w:pPr>
        <w:ind w:left="786" w:hanging="360"/>
      </w:pPr>
      <w:rPr>
        <w:rFonts w:ascii="Calibri" w:eastAsiaTheme="minorHAnsi" w:hAnsi="Calibri"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FB268A6"/>
    <w:multiLevelType w:val="hybridMultilevel"/>
    <w:tmpl w:val="FB688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CC7BA7"/>
    <w:multiLevelType w:val="hybridMultilevel"/>
    <w:tmpl w:val="FB688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Aria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Aria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Arial" w:hint="default"/>
      </w:rPr>
    </w:lvl>
    <w:lvl w:ilvl="8" w:tplc="08090005">
      <w:start w:val="1"/>
      <w:numFmt w:val="bullet"/>
      <w:lvlText w:val=""/>
      <w:lvlJc w:val="left"/>
      <w:pPr>
        <w:ind w:left="6525" w:hanging="360"/>
      </w:pPr>
      <w:rPr>
        <w:rFonts w:ascii="Wingdings" w:hAnsi="Wingdings" w:hint="default"/>
      </w:rPr>
    </w:lvl>
  </w:abstractNum>
  <w:abstractNum w:abstractNumId="39"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D4DA9"/>
    <w:multiLevelType w:val="hybridMultilevel"/>
    <w:tmpl w:val="28C203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03E3C91"/>
    <w:multiLevelType w:val="hybridMultilevel"/>
    <w:tmpl w:val="7DE679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8F19E0"/>
    <w:multiLevelType w:val="hybridMultilevel"/>
    <w:tmpl w:val="523AF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7"/>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7"/>
  </w:num>
  <w:num w:numId="13">
    <w:abstractNumId w:val="23"/>
  </w:num>
  <w:num w:numId="14">
    <w:abstractNumId w:val="16"/>
  </w:num>
  <w:num w:numId="15">
    <w:abstractNumId w:val="2"/>
  </w:num>
  <w:num w:numId="16">
    <w:abstractNumId w:val="20"/>
  </w:num>
  <w:num w:numId="17">
    <w:abstractNumId w:val="29"/>
  </w:num>
  <w:num w:numId="18">
    <w:abstractNumId w:val="43"/>
  </w:num>
  <w:num w:numId="19">
    <w:abstractNumId w:val="39"/>
  </w:num>
  <w:num w:numId="20">
    <w:abstractNumId w:val="32"/>
  </w:num>
  <w:num w:numId="21">
    <w:abstractNumId w:val="34"/>
  </w:num>
  <w:num w:numId="22">
    <w:abstractNumId w:val="21"/>
  </w:num>
  <w:num w:numId="23">
    <w:abstractNumId w:val="31"/>
  </w:num>
  <w:num w:numId="24">
    <w:abstractNumId w:val="27"/>
  </w:num>
  <w:num w:numId="25">
    <w:abstractNumId w:val="38"/>
  </w:num>
  <w:num w:numId="26">
    <w:abstractNumId w:val="12"/>
  </w:num>
  <w:num w:numId="27">
    <w:abstractNumId w:val="0"/>
  </w:num>
  <w:num w:numId="28">
    <w:abstractNumId w:val="15"/>
  </w:num>
  <w:num w:numId="29">
    <w:abstractNumId w:val="4"/>
  </w:num>
  <w:num w:numId="30">
    <w:abstractNumId w:val="24"/>
  </w:num>
  <w:num w:numId="31">
    <w:abstractNumId w:val="3"/>
  </w:num>
  <w:num w:numId="32">
    <w:abstractNumId w:val="18"/>
  </w:num>
  <w:num w:numId="33">
    <w:abstractNumId w:val="28"/>
  </w:num>
  <w:num w:numId="34">
    <w:abstractNumId w:val="42"/>
  </w:num>
  <w:num w:numId="35">
    <w:abstractNumId w:val="17"/>
  </w:num>
  <w:num w:numId="36">
    <w:abstractNumId w:val="1"/>
  </w:num>
  <w:num w:numId="37">
    <w:abstractNumId w:val="30"/>
  </w:num>
  <w:num w:numId="38">
    <w:abstractNumId w:val="26"/>
  </w:num>
  <w:num w:numId="39">
    <w:abstractNumId w:val="5"/>
  </w:num>
  <w:num w:numId="40">
    <w:abstractNumId w:val="6"/>
  </w:num>
  <w:num w:numId="41">
    <w:abstractNumId w:val="36"/>
  </w:num>
  <w:num w:numId="42">
    <w:abstractNumId w:val="9"/>
  </w:num>
  <w:num w:numId="43">
    <w:abstractNumId w:val="25"/>
  </w:num>
  <w:num w:numId="44">
    <w:abstractNumId w:val="35"/>
  </w:num>
  <w:num w:numId="45">
    <w:abstractNumId w:val="14"/>
  </w:num>
  <w:num w:numId="46">
    <w:abstractNumId w:val="4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1F2"/>
    <w:rsid w:val="00014168"/>
    <w:rsid w:val="00015524"/>
    <w:rsid w:val="00017A16"/>
    <w:rsid w:val="00021EDB"/>
    <w:rsid w:val="00026A3C"/>
    <w:rsid w:val="00026E09"/>
    <w:rsid w:val="00037CE0"/>
    <w:rsid w:val="00053929"/>
    <w:rsid w:val="00056EEF"/>
    <w:rsid w:val="00056F9D"/>
    <w:rsid w:val="00074DE8"/>
    <w:rsid w:val="000923BE"/>
    <w:rsid w:val="000A2C08"/>
    <w:rsid w:val="000A3E3E"/>
    <w:rsid w:val="000A7565"/>
    <w:rsid w:val="000B12D9"/>
    <w:rsid w:val="000C2489"/>
    <w:rsid w:val="000D5C76"/>
    <w:rsid w:val="000E2FA0"/>
    <w:rsid w:val="000E3FC9"/>
    <w:rsid w:val="000E47E9"/>
    <w:rsid w:val="000E5F2F"/>
    <w:rsid w:val="000E690F"/>
    <w:rsid w:val="000F5411"/>
    <w:rsid w:val="00107E72"/>
    <w:rsid w:val="00116642"/>
    <w:rsid w:val="0012096C"/>
    <w:rsid w:val="00126C82"/>
    <w:rsid w:val="00127828"/>
    <w:rsid w:val="0013234E"/>
    <w:rsid w:val="00132EA6"/>
    <w:rsid w:val="001376D1"/>
    <w:rsid w:val="001416ED"/>
    <w:rsid w:val="00161BDA"/>
    <w:rsid w:val="00171618"/>
    <w:rsid w:val="001803A9"/>
    <w:rsid w:val="001807E3"/>
    <w:rsid w:val="001819B1"/>
    <w:rsid w:val="0019061E"/>
    <w:rsid w:val="001A200C"/>
    <w:rsid w:val="001A2D10"/>
    <w:rsid w:val="001A3B27"/>
    <w:rsid w:val="001B185E"/>
    <w:rsid w:val="001C4835"/>
    <w:rsid w:val="001C5E41"/>
    <w:rsid w:val="001C77BC"/>
    <w:rsid w:val="001D48BB"/>
    <w:rsid w:val="001D4C66"/>
    <w:rsid w:val="001E00E3"/>
    <w:rsid w:val="001E1118"/>
    <w:rsid w:val="001E41B5"/>
    <w:rsid w:val="001E493D"/>
    <w:rsid w:val="001F171F"/>
    <w:rsid w:val="001F2349"/>
    <w:rsid w:val="002005D2"/>
    <w:rsid w:val="0020298B"/>
    <w:rsid w:val="002047AC"/>
    <w:rsid w:val="00206111"/>
    <w:rsid w:val="002137E0"/>
    <w:rsid w:val="00223EDA"/>
    <w:rsid w:val="00226285"/>
    <w:rsid w:val="00234906"/>
    <w:rsid w:val="00235E6D"/>
    <w:rsid w:val="0023657A"/>
    <w:rsid w:val="002370FB"/>
    <w:rsid w:val="002436F5"/>
    <w:rsid w:val="00247320"/>
    <w:rsid w:val="00247FBA"/>
    <w:rsid w:val="00250C9D"/>
    <w:rsid w:val="002741AC"/>
    <w:rsid w:val="00275F13"/>
    <w:rsid w:val="002811A5"/>
    <w:rsid w:val="002819C0"/>
    <w:rsid w:val="00285EDE"/>
    <w:rsid w:val="0028687F"/>
    <w:rsid w:val="00295556"/>
    <w:rsid w:val="00295BB5"/>
    <w:rsid w:val="002A5A4D"/>
    <w:rsid w:val="002B4262"/>
    <w:rsid w:val="002C2F68"/>
    <w:rsid w:val="002D15D9"/>
    <w:rsid w:val="002D5A4D"/>
    <w:rsid w:val="002E0778"/>
    <w:rsid w:val="002E22AF"/>
    <w:rsid w:val="002E73C6"/>
    <w:rsid w:val="002F0609"/>
    <w:rsid w:val="002F2EA4"/>
    <w:rsid w:val="002F6155"/>
    <w:rsid w:val="003003ED"/>
    <w:rsid w:val="00301477"/>
    <w:rsid w:val="00312F7A"/>
    <w:rsid w:val="0031380A"/>
    <w:rsid w:val="00315E77"/>
    <w:rsid w:val="003227A2"/>
    <w:rsid w:val="00323D50"/>
    <w:rsid w:val="00323D91"/>
    <w:rsid w:val="00324398"/>
    <w:rsid w:val="003251A4"/>
    <w:rsid w:val="003313A1"/>
    <w:rsid w:val="0033191D"/>
    <w:rsid w:val="003451BA"/>
    <w:rsid w:val="00346F38"/>
    <w:rsid w:val="00351951"/>
    <w:rsid w:val="00363A3E"/>
    <w:rsid w:val="003774E3"/>
    <w:rsid w:val="00384984"/>
    <w:rsid w:val="00384FC3"/>
    <w:rsid w:val="0039088E"/>
    <w:rsid w:val="00397C35"/>
    <w:rsid w:val="003A193A"/>
    <w:rsid w:val="003A3804"/>
    <w:rsid w:val="003A52BE"/>
    <w:rsid w:val="003A52F7"/>
    <w:rsid w:val="003A5866"/>
    <w:rsid w:val="003A60E0"/>
    <w:rsid w:val="003A6E9F"/>
    <w:rsid w:val="003D0FD2"/>
    <w:rsid w:val="003D4CD6"/>
    <w:rsid w:val="003D605B"/>
    <w:rsid w:val="003E1E75"/>
    <w:rsid w:val="003E4733"/>
    <w:rsid w:val="003E5068"/>
    <w:rsid w:val="003F07E7"/>
    <w:rsid w:val="00407E78"/>
    <w:rsid w:val="00412A84"/>
    <w:rsid w:val="004228C7"/>
    <w:rsid w:val="00423457"/>
    <w:rsid w:val="00426F5E"/>
    <w:rsid w:val="0042798B"/>
    <w:rsid w:val="00427C5D"/>
    <w:rsid w:val="00434913"/>
    <w:rsid w:val="0044166B"/>
    <w:rsid w:val="004474F8"/>
    <w:rsid w:val="00447AB3"/>
    <w:rsid w:val="00450FBB"/>
    <w:rsid w:val="00455673"/>
    <w:rsid w:val="00457540"/>
    <w:rsid w:val="004641E5"/>
    <w:rsid w:val="00474535"/>
    <w:rsid w:val="00475B8A"/>
    <w:rsid w:val="004772CA"/>
    <w:rsid w:val="00477550"/>
    <w:rsid w:val="004844A8"/>
    <w:rsid w:val="0048792C"/>
    <w:rsid w:val="00490F4D"/>
    <w:rsid w:val="00491011"/>
    <w:rsid w:val="00496803"/>
    <w:rsid w:val="004A55BF"/>
    <w:rsid w:val="004B088A"/>
    <w:rsid w:val="004B6688"/>
    <w:rsid w:val="004C251F"/>
    <w:rsid w:val="004C506F"/>
    <w:rsid w:val="004D4BBE"/>
    <w:rsid w:val="004E28BC"/>
    <w:rsid w:val="004E6D3C"/>
    <w:rsid w:val="00500E40"/>
    <w:rsid w:val="00506416"/>
    <w:rsid w:val="00516F48"/>
    <w:rsid w:val="005244A4"/>
    <w:rsid w:val="00527783"/>
    <w:rsid w:val="00537136"/>
    <w:rsid w:val="00543D78"/>
    <w:rsid w:val="0055136A"/>
    <w:rsid w:val="00555B7B"/>
    <w:rsid w:val="00561BBF"/>
    <w:rsid w:val="00576073"/>
    <w:rsid w:val="005814B5"/>
    <w:rsid w:val="00584E0C"/>
    <w:rsid w:val="005A002B"/>
    <w:rsid w:val="005B3B66"/>
    <w:rsid w:val="005B41A2"/>
    <w:rsid w:val="005B6465"/>
    <w:rsid w:val="005C0258"/>
    <w:rsid w:val="005D0364"/>
    <w:rsid w:val="005D3E9D"/>
    <w:rsid w:val="005D4A43"/>
    <w:rsid w:val="005E2E78"/>
    <w:rsid w:val="005F0C42"/>
    <w:rsid w:val="006138CF"/>
    <w:rsid w:val="006256D3"/>
    <w:rsid w:val="00627BB7"/>
    <w:rsid w:val="00630444"/>
    <w:rsid w:val="00633175"/>
    <w:rsid w:val="00640832"/>
    <w:rsid w:val="00644A13"/>
    <w:rsid w:val="00651278"/>
    <w:rsid w:val="0065136E"/>
    <w:rsid w:val="006518EA"/>
    <w:rsid w:val="00653E9C"/>
    <w:rsid w:val="00662B96"/>
    <w:rsid w:val="00663292"/>
    <w:rsid w:val="006704B9"/>
    <w:rsid w:val="00670D71"/>
    <w:rsid w:val="006801F8"/>
    <w:rsid w:val="006859C3"/>
    <w:rsid w:val="006922C2"/>
    <w:rsid w:val="006A2962"/>
    <w:rsid w:val="006A72C0"/>
    <w:rsid w:val="006B72B8"/>
    <w:rsid w:val="006B7BFC"/>
    <w:rsid w:val="006E2C20"/>
    <w:rsid w:val="006E7DCE"/>
    <w:rsid w:val="00701548"/>
    <w:rsid w:val="007050FF"/>
    <w:rsid w:val="007074C7"/>
    <w:rsid w:val="00724CF9"/>
    <w:rsid w:val="00745C01"/>
    <w:rsid w:val="0075056E"/>
    <w:rsid w:val="00750EBC"/>
    <w:rsid w:val="00752764"/>
    <w:rsid w:val="00753754"/>
    <w:rsid w:val="00755395"/>
    <w:rsid w:val="0075583B"/>
    <w:rsid w:val="00763F8B"/>
    <w:rsid w:val="00765884"/>
    <w:rsid w:val="00766962"/>
    <w:rsid w:val="007739D7"/>
    <w:rsid w:val="00775287"/>
    <w:rsid w:val="007761D9"/>
    <w:rsid w:val="00782B3B"/>
    <w:rsid w:val="007925BC"/>
    <w:rsid w:val="00795DCC"/>
    <w:rsid w:val="007A7B17"/>
    <w:rsid w:val="007B3CFA"/>
    <w:rsid w:val="007B7EA9"/>
    <w:rsid w:val="007C782E"/>
    <w:rsid w:val="007D0004"/>
    <w:rsid w:val="007D33F4"/>
    <w:rsid w:val="007D59A6"/>
    <w:rsid w:val="007D7CB2"/>
    <w:rsid w:val="007F3ABE"/>
    <w:rsid w:val="00802FED"/>
    <w:rsid w:val="008113D5"/>
    <w:rsid w:val="0081484F"/>
    <w:rsid w:val="00820DAC"/>
    <w:rsid w:val="00832214"/>
    <w:rsid w:val="00832555"/>
    <w:rsid w:val="008328E9"/>
    <w:rsid w:val="00835BCB"/>
    <w:rsid w:val="00835CDC"/>
    <w:rsid w:val="00850B09"/>
    <w:rsid w:val="00862C4C"/>
    <w:rsid w:val="00863B9D"/>
    <w:rsid w:val="00863BE6"/>
    <w:rsid w:val="00863E8D"/>
    <w:rsid w:val="00870DDA"/>
    <w:rsid w:val="008775BC"/>
    <w:rsid w:val="00881DF5"/>
    <w:rsid w:val="00882F1B"/>
    <w:rsid w:val="0088379A"/>
    <w:rsid w:val="00892ADA"/>
    <w:rsid w:val="00896909"/>
    <w:rsid w:val="008A70CE"/>
    <w:rsid w:val="008B2AF0"/>
    <w:rsid w:val="008B346F"/>
    <w:rsid w:val="008C25E4"/>
    <w:rsid w:val="008C2DAE"/>
    <w:rsid w:val="008D5C11"/>
    <w:rsid w:val="008E3527"/>
    <w:rsid w:val="008E36A3"/>
    <w:rsid w:val="008F713A"/>
    <w:rsid w:val="009059A9"/>
    <w:rsid w:val="009070ED"/>
    <w:rsid w:val="00907A0E"/>
    <w:rsid w:val="00923814"/>
    <w:rsid w:val="0092515E"/>
    <w:rsid w:val="00942FBD"/>
    <w:rsid w:val="009447BE"/>
    <w:rsid w:val="0094770B"/>
    <w:rsid w:val="00947BA0"/>
    <w:rsid w:val="0095415D"/>
    <w:rsid w:val="0098070D"/>
    <w:rsid w:val="0098223C"/>
    <w:rsid w:val="00982E28"/>
    <w:rsid w:val="00986731"/>
    <w:rsid w:val="009A2757"/>
    <w:rsid w:val="009B2267"/>
    <w:rsid w:val="009C3354"/>
    <w:rsid w:val="009C4289"/>
    <w:rsid w:val="009C64F4"/>
    <w:rsid w:val="009D6375"/>
    <w:rsid w:val="009E0AE8"/>
    <w:rsid w:val="009E5374"/>
    <w:rsid w:val="009F345D"/>
    <w:rsid w:val="009F3736"/>
    <w:rsid w:val="009F3B3C"/>
    <w:rsid w:val="00A13218"/>
    <w:rsid w:val="00A1711C"/>
    <w:rsid w:val="00A227A3"/>
    <w:rsid w:val="00A47D57"/>
    <w:rsid w:val="00A60B73"/>
    <w:rsid w:val="00A63181"/>
    <w:rsid w:val="00A746CB"/>
    <w:rsid w:val="00A80080"/>
    <w:rsid w:val="00A81606"/>
    <w:rsid w:val="00A8507F"/>
    <w:rsid w:val="00A96E8A"/>
    <w:rsid w:val="00A973A8"/>
    <w:rsid w:val="00AA3E7F"/>
    <w:rsid w:val="00AB431E"/>
    <w:rsid w:val="00AB4951"/>
    <w:rsid w:val="00AB69D5"/>
    <w:rsid w:val="00AC1E74"/>
    <w:rsid w:val="00AE4B65"/>
    <w:rsid w:val="00AF13FF"/>
    <w:rsid w:val="00AF1CC9"/>
    <w:rsid w:val="00AF281E"/>
    <w:rsid w:val="00B03844"/>
    <w:rsid w:val="00B13AA5"/>
    <w:rsid w:val="00B21B7D"/>
    <w:rsid w:val="00B315A0"/>
    <w:rsid w:val="00B34A18"/>
    <w:rsid w:val="00B351D8"/>
    <w:rsid w:val="00B468CE"/>
    <w:rsid w:val="00B579CB"/>
    <w:rsid w:val="00B626CD"/>
    <w:rsid w:val="00B67F35"/>
    <w:rsid w:val="00B70083"/>
    <w:rsid w:val="00B7063F"/>
    <w:rsid w:val="00B70B3A"/>
    <w:rsid w:val="00B76C13"/>
    <w:rsid w:val="00B8555E"/>
    <w:rsid w:val="00B92D45"/>
    <w:rsid w:val="00B938EE"/>
    <w:rsid w:val="00B95B31"/>
    <w:rsid w:val="00BB28F6"/>
    <w:rsid w:val="00BC2609"/>
    <w:rsid w:val="00BC7929"/>
    <w:rsid w:val="00BD40A5"/>
    <w:rsid w:val="00BF6963"/>
    <w:rsid w:val="00C04939"/>
    <w:rsid w:val="00C0528F"/>
    <w:rsid w:val="00C05AFA"/>
    <w:rsid w:val="00C1012A"/>
    <w:rsid w:val="00C13145"/>
    <w:rsid w:val="00C143AD"/>
    <w:rsid w:val="00C2167D"/>
    <w:rsid w:val="00C31CC7"/>
    <w:rsid w:val="00C55919"/>
    <w:rsid w:val="00C83443"/>
    <w:rsid w:val="00C937D7"/>
    <w:rsid w:val="00CC1DE3"/>
    <w:rsid w:val="00CC7768"/>
    <w:rsid w:val="00CE750F"/>
    <w:rsid w:val="00CF2DF4"/>
    <w:rsid w:val="00CF596A"/>
    <w:rsid w:val="00D017C1"/>
    <w:rsid w:val="00D06C69"/>
    <w:rsid w:val="00D06CB6"/>
    <w:rsid w:val="00D10429"/>
    <w:rsid w:val="00D160CB"/>
    <w:rsid w:val="00D167F8"/>
    <w:rsid w:val="00D245A1"/>
    <w:rsid w:val="00D27284"/>
    <w:rsid w:val="00D277D6"/>
    <w:rsid w:val="00D308A2"/>
    <w:rsid w:val="00D3284C"/>
    <w:rsid w:val="00D33B53"/>
    <w:rsid w:val="00D415E2"/>
    <w:rsid w:val="00D418F5"/>
    <w:rsid w:val="00D42055"/>
    <w:rsid w:val="00D449A5"/>
    <w:rsid w:val="00D607AA"/>
    <w:rsid w:val="00D62DE3"/>
    <w:rsid w:val="00D647C3"/>
    <w:rsid w:val="00D66917"/>
    <w:rsid w:val="00D75811"/>
    <w:rsid w:val="00D9633A"/>
    <w:rsid w:val="00DA023B"/>
    <w:rsid w:val="00DD191E"/>
    <w:rsid w:val="00DF2386"/>
    <w:rsid w:val="00DF5A5E"/>
    <w:rsid w:val="00DF7FE7"/>
    <w:rsid w:val="00E13727"/>
    <w:rsid w:val="00E14E79"/>
    <w:rsid w:val="00E232CD"/>
    <w:rsid w:val="00E27BC8"/>
    <w:rsid w:val="00E44141"/>
    <w:rsid w:val="00E46367"/>
    <w:rsid w:val="00E47FAF"/>
    <w:rsid w:val="00E57B3C"/>
    <w:rsid w:val="00E57EED"/>
    <w:rsid w:val="00E63F0B"/>
    <w:rsid w:val="00E71ECF"/>
    <w:rsid w:val="00E767F1"/>
    <w:rsid w:val="00E82F64"/>
    <w:rsid w:val="00E8640B"/>
    <w:rsid w:val="00E86582"/>
    <w:rsid w:val="00E876B6"/>
    <w:rsid w:val="00EA320A"/>
    <w:rsid w:val="00EA3A7F"/>
    <w:rsid w:val="00EB27A1"/>
    <w:rsid w:val="00EB2A17"/>
    <w:rsid w:val="00EB2CEE"/>
    <w:rsid w:val="00EB4A02"/>
    <w:rsid w:val="00EC12C8"/>
    <w:rsid w:val="00EC32B3"/>
    <w:rsid w:val="00F0334C"/>
    <w:rsid w:val="00F05464"/>
    <w:rsid w:val="00F078F1"/>
    <w:rsid w:val="00F25D87"/>
    <w:rsid w:val="00F322AD"/>
    <w:rsid w:val="00F32D03"/>
    <w:rsid w:val="00F344DE"/>
    <w:rsid w:val="00F34911"/>
    <w:rsid w:val="00F44114"/>
    <w:rsid w:val="00F44F73"/>
    <w:rsid w:val="00F67F0F"/>
    <w:rsid w:val="00F7308D"/>
    <w:rsid w:val="00F73E71"/>
    <w:rsid w:val="00F77D39"/>
    <w:rsid w:val="00F83E6B"/>
    <w:rsid w:val="00FA0011"/>
    <w:rsid w:val="00FA260B"/>
    <w:rsid w:val="00FA4157"/>
    <w:rsid w:val="00FB4400"/>
    <w:rsid w:val="00FB5130"/>
    <w:rsid w:val="00FC2AE2"/>
    <w:rsid w:val="00FC2C18"/>
    <w:rsid w:val="00FD40DE"/>
    <w:rsid w:val="00FE0BF1"/>
    <w:rsid w:val="00FE298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806C2"/>
  <w15:docId w15:val="{9D50B44A-9E19-4E8E-82B9-5E72CF56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E27BC8"/>
  </w:style>
  <w:style w:type="paragraph" w:customStyle="1" w:styleId="Default">
    <w:name w:val="Default"/>
    <w:rsid w:val="00A8507F"/>
    <w:pPr>
      <w:widowControl w:val="0"/>
      <w:autoSpaceDE w:val="0"/>
      <w:autoSpaceDN w:val="0"/>
      <w:adjustRightInd w:val="0"/>
      <w:ind w:left="0" w:firstLine="0"/>
    </w:pPr>
    <w:rPr>
      <w:rFonts w:ascii="Calibri" w:hAnsi="Calibri" w:cs="Calibri"/>
      <w:color w:val="000000"/>
      <w:sz w:val="24"/>
      <w:szCs w:val="24"/>
      <w:lang w:val="en-US"/>
    </w:rPr>
  </w:style>
  <w:style w:type="character" w:styleId="FollowedHyperlink">
    <w:name w:val="FollowedHyperlink"/>
    <w:basedOn w:val="DefaultParagraphFont"/>
    <w:rsid w:val="001E1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308969640">
      <w:bodyDiv w:val="1"/>
      <w:marLeft w:val="0"/>
      <w:marRight w:val="0"/>
      <w:marTop w:val="0"/>
      <w:marBottom w:val="0"/>
      <w:divBdr>
        <w:top w:val="none" w:sz="0" w:space="0" w:color="auto"/>
        <w:left w:val="none" w:sz="0" w:space="0" w:color="auto"/>
        <w:bottom w:val="none" w:sz="0" w:space="0" w:color="auto"/>
        <w:right w:val="none" w:sz="0" w:space="0" w:color="auto"/>
      </w:divBdr>
    </w:div>
    <w:div w:id="1349603382">
      <w:bodyDiv w:val="1"/>
      <w:marLeft w:val="0"/>
      <w:marRight w:val="0"/>
      <w:marTop w:val="0"/>
      <w:marBottom w:val="0"/>
      <w:divBdr>
        <w:top w:val="none" w:sz="0" w:space="0" w:color="auto"/>
        <w:left w:val="none" w:sz="0" w:space="0" w:color="auto"/>
        <w:bottom w:val="none" w:sz="0" w:space="0" w:color="auto"/>
        <w:right w:val="none" w:sz="0" w:space="0" w:color="auto"/>
      </w:divBdr>
    </w:div>
    <w:div w:id="184362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319F-7DE3-4574-AC09-B59E5443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Secretariat of the Ramsar Convention on Wetlands</Company>
  <LinksUpToDate>false</LinksUpToDate>
  <CharactersWithSpaces>13099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Knoetze/Barzdo</dc:creator>
  <cp:keywords/>
  <dc:description/>
  <cp:lastModifiedBy>JENNINGS Edmund</cp:lastModifiedBy>
  <cp:revision>2</cp:revision>
  <cp:lastPrinted>2019-05-20T08:17:00Z</cp:lastPrinted>
  <dcterms:created xsi:type="dcterms:W3CDTF">2019-05-24T14:56:00Z</dcterms:created>
  <dcterms:modified xsi:type="dcterms:W3CDTF">2019-05-24T14:56:00Z</dcterms:modified>
  <cp:category/>
</cp:coreProperties>
</file>