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DA51" w14:textId="47CEDA51" w:rsidR="00A52667" w:rsidRPr="00795FA5" w:rsidRDefault="00AE6D19" w:rsidP="00AD373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Theme="minorHAnsi" w:hAnsiTheme="minorHAnsi" w:cstheme="minorHAnsi"/>
          <w:bCs/>
          <w:szCs w:val="20"/>
          <w:lang w:val="es-ES_tradnl"/>
        </w:rPr>
      </w:pPr>
      <w:r w:rsidRPr="00795FA5">
        <w:rPr>
          <w:rFonts w:asciiTheme="minorHAnsi" w:hAnsiTheme="minorHAnsi" w:cstheme="minorHAnsi"/>
          <w:bCs/>
          <w:szCs w:val="20"/>
          <w:lang w:val="es-ES_tradnl"/>
        </w:rPr>
        <w:t>CONVENCIÓN DE RAMSAR SOBRE LOS HUMEDALES</w:t>
      </w:r>
    </w:p>
    <w:p w14:paraId="11965615" w14:textId="6FF05543" w:rsidR="00A52667" w:rsidRPr="00795FA5" w:rsidRDefault="00A52667" w:rsidP="00AD373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Theme="minorHAnsi" w:hAnsiTheme="minorHAnsi" w:cstheme="minorHAnsi"/>
          <w:bCs/>
          <w:szCs w:val="20"/>
          <w:lang w:val="es-ES_tradnl"/>
        </w:rPr>
      </w:pPr>
      <w:r w:rsidRPr="00795FA5">
        <w:rPr>
          <w:rFonts w:asciiTheme="minorHAnsi" w:hAnsiTheme="minorHAnsi" w:cstheme="minorHAnsi"/>
          <w:bCs/>
          <w:szCs w:val="20"/>
          <w:lang w:val="es-ES_tradnl"/>
        </w:rPr>
        <w:t>57</w:t>
      </w:r>
      <w:r w:rsidR="00AE6D19" w:rsidRPr="00795FA5">
        <w:rPr>
          <w:rFonts w:asciiTheme="minorHAnsi" w:hAnsiTheme="minorHAnsi" w:cstheme="minorHAnsi"/>
          <w:bCs/>
          <w:szCs w:val="20"/>
          <w:lang w:val="es-ES_tradnl"/>
        </w:rPr>
        <w:t>ª Reunión del Comité Permanente</w:t>
      </w:r>
    </w:p>
    <w:p w14:paraId="4F712963" w14:textId="4E0546B6" w:rsidR="00A52667" w:rsidRPr="00795FA5" w:rsidRDefault="00A52667" w:rsidP="00AD373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Theme="minorHAnsi" w:hAnsiTheme="minorHAnsi" w:cstheme="minorHAnsi"/>
          <w:bCs/>
          <w:szCs w:val="20"/>
          <w:lang w:val="es-ES_tradnl"/>
        </w:rPr>
      </w:pPr>
      <w:r w:rsidRPr="00795FA5">
        <w:rPr>
          <w:rFonts w:asciiTheme="minorHAnsi" w:hAnsiTheme="minorHAnsi" w:cstheme="minorHAnsi"/>
          <w:bCs/>
          <w:szCs w:val="20"/>
          <w:lang w:val="es-ES_tradnl"/>
        </w:rPr>
        <w:t>Gland, S</w:t>
      </w:r>
      <w:r w:rsidR="00AE6D19" w:rsidRPr="00795FA5">
        <w:rPr>
          <w:rFonts w:asciiTheme="minorHAnsi" w:hAnsiTheme="minorHAnsi" w:cstheme="minorHAnsi"/>
          <w:bCs/>
          <w:szCs w:val="20"/>
          <w:lang w:val="es-ES_tradnl"/>
        </w:rPr>
        <w:t>uiza, 24 a 28 de junio de 2019</w:t>
      </w:r>
    </w:p>
    <w:p w14:paraId="434D98ED" w14:textId="77777777" w:rsidR="00A52667" w:rsidRPr="00795FA5" w:rsidRDefault="00A52667" w:rsidP="00A52667">
      <w:pPr>
        <w:rPr>
          <w:rFonts w:asciiTheme="minorHAnsi" w:hAnsiTheme="minorHAnsi"/>
          <w:sz w:val="28"/>
          <w:lang w:val="es-ES_tradnl"/>
        </w:rPr>
      </w:pPr>
    </w:p>
    <w:p w14:paraId="12F08D66" w14:textId="78289B06" w:rsidR="00A52667" w:rsidRPr="00795FA5" w:rsidRDefault="00A52667" w:rsidP="00A52667">
      <w:pPr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795FA5">
        <w:rPr>
          <w:rFonts w:asciiTheme="minorHAnsi" w:hAnsiTheme="minorHAnsi" w:cstheme="minorHAnsi"/>
          <w:b/>
          <w:sz w:val="28"/>
          <w:szCs w:val="28"/>
          <w:lang w:val="es-ES_tradnl"/>
        </w:rPr>
        <w:t>SC57</w:t>
      </w:r>
      <w:r w:rsidR="00F61CAA" w:rsidRPr="00795FA5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Doc.17</w:t>
      </w:r>
    </w:p>
    <w:p w14:paraId="316D389B" w14:textId="77777777" w:rsidR="00A52667" w:rsidRPr="00795FA5" w:rsidRDefault="00A52667" w:rsidP="00A52667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46214EC7" w14:textId="414A90AA" w:rsidR="00A52667" w:rsidRPr="00795FA5" w:rsidRDefault="00AE6D19" w:rsidP="00F61CAA">
      <w:pPr>
        <w:pStyle w:val="Default"/>
        <w:jc w:val="center"/>
        <w:rPr>
          <w:rFonts w:asciiTheme="minorHAnsi" w:hAnsiTheme="minorHAnsi"/>
          <w:b/>
          <w:sz w:val="28"/>
          <w:lang w:val="es-ES_tradnl"/>
        </w:rPr>
      </w:pPr>
      <w:r w:rsidRPr="00795FA5">
        <w:rPr>
          <w:rFonts w:ascii="Calibri" w:hAnsi="Calibri" w:cs="Calibri"/>
          <w:b/>
          <w:bCs/>
          <w:sz w:val="28"/>
          <w:szCs w:val="28"/>
          <w:lang w:val="es-ES_tradnl"/>
        </w:rPr>
        <w:t>Mejora de la visibilidad de la Convención y</w:t>
      </w:r>
      <w:r w:rsidR="00C72906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 de</w:t>
      </w:r>
      <w:r w:rsidRPr="00795FA5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 las sinergias con otros acuerdos multilaterales sobre el medio ambiente e instituciones internacionales</w:t>
      </w:r>
    </w:p>
    <w:p w14:paraId="06D7F22D" w14:textId="77777777" w:rsidR="00A52667" w:rsidRPr="00795FA5" w:rsidRDefault="00A52667" w:rsidP="00A52667">
      <w:pPr>
        <w:rPr>
          <w:rFonts w:asciiTheme="minorHAnsi" w:hAnsiTheme="minorHAnsi"/>
          <w:b/>
          <w:sz w:val="28"/>
          <w:lang w:val="es-ES_tradnl"/>
        </w:rPr>
      </w:pPr>
    </w:p>
    <w:p w14:paraId="25725F92" w14:textId="77777777" w:rsidR="00A52667" w:rsidRPr="00795FA5" w:rsidRDefault="00A52667" w:rsidP="00A52667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  <w:r w:rsidRPr="00795FA5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C01B088" wp14:editId="61D356FF">
                <wp:extent cx="5854535" cy="1033670"/>
                <wp:effectExtent l="0" t="0" r="13335" b="1460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535" cy="103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C18A" w14:textId="6DFEAD60" w:rsidR="00CF42FB" w:rsidRPr="003B5445" w:rsidRDefault="00CF42FB" w:rsidP="00A526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B544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Acciones solicitadas:</w:t>
                            </w:r>
                          </w:p>
                          <w:p w14:paraId="052F8DAC" w14:textId="77777777" w:rsidR="00CF42FB" w:rsidRPr="003B5445" w:rsidRDefault="00CF42FB" w:rsidP="00A526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0C5ABE5A" w14:textId="3A4640C6" w:rsidR="00CF42FB" w:rsidRPr="003B5445" w:rsidRDefault="00CF42FB" w:rsidP="00F61CA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B544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Se invita al Comité Permanente a tomar nota del informe sobre los avances en la aplicación de la Resolución XIII.7, </w:t>
                            </w:r>
                            <w:r w:rsidRPr="003B5445">
                              <w:rPr>
                                <w:rFonts w:asciiTheme="minorHAnsi" w:eastAsiaTheme="minorHAnsi" w:hAnsiTheme="minorHAnsi" w:cs="Garamond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Mejora de la visibilidad de las sinergias con otros acuerdos multilaterales sobre el medio ambiente e instituciones internacionales.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01B0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1pt;height: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">
                <v:textbox>
                  <w:txbxContent>
                    <w:p w14:paraId="2B8AC18A" w14:textId="6DFEAD60" w:rsidR="00CF42FB" w:rsidRPr="003B5445" w:rsidRDefault="00CF42FB" w:rsidP="00A52667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</w:pPr>
                      <w:r w:rsidRPr="003B544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  <w:t>Acciones solicitadas:</w:t>
                      </w:r>
                    </w:p>
                    <w:p w14:paraId="052F8DAC" w14:textId="77777777" w:rsidR="00CF42FB" w:rsidRPr="003B5445" w:rsidRDefault="00CF42FB" w:rsidP="00A52667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0C5ABE5A" w14:textId="3A4640C6" w:rsidR="00CF42FB" w:rsidRPr="003B5445" w:rsidRDefault="00CF42FB" w:rsidP="00F61CAA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3B5445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Se invita al Comité Permanente a tomar nota del informe sobre los avances en la aplicación de la Resolución XIII.7, </w:t>
                      </w:r>
                      <w:r w:rsidRPr="003B5445">
                        <w:rPr>
                          <w:rFonts w:asciiTheme="minorHAnsi" w:eastAsiaTheme="minorHAnsi" w:hAnsiTheme="minorHAnsi" w:cs="Garamond"/>
                          <w:i/>
                          <w:sz w:val="22"/>
                          <w:szCs w:val="22"/>
                          <w:lang w:val="es-ES_tradnl"/>
                        </w:rPr>
                        <w:t xml:space="preserve">Mejora de la visibilidad de las sinergias con otros acuerdos multilaterales sobre el medio ambiente e instituciones internacionales.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C938DC" w14:textId="02E7B8B3" w:rsidR="00A52667" w:rsidRPr="00795FA5" w:rsidRDefault="00A52667" w:rsidP="00A52667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14:paraId="0EA55225" w14:textId="77777777" w:rsidR="00746E6E" w:rsidRPr="00795FA5" w:rsidRDefault="00746E6E" w:rsidP="00A52667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14:paraId="55971B13" w14:textId="385416AD" w:rsidR="00A52667" w:rsidRPr="00795FA5" w:rsidRDefault="00295A30" w:rsidP="00A52667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795FA5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Antecedentes</w:t>
      </w:r>
    </w:p>
    <w:p w14:paraId="20F688DD" w14:textId="77777777" w:rsidR="00A52667" w:rsidRPr="00795FA5" w:rsidRDefault="00A52667" w:rsidP="00A52667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2CED3B69" w14:textId="309F99A1" w:rsidR="00A52667" w:rsidRPr="00795FA5" w:rsidRDefault="00863119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>1.</w:t>
      </w:r>
      <w:r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ab/>
      </w:r>
      <w:r w:rsidR="00C72906">
        <w:rPr>
          <w:rFonts w:asciiTheme="minorHAnsi" w:hAnsiTheme="minorHAnsi" w:cstheme="minorHAnsi"/>
          <w:bCs/>
          <w:sz w:val="22"/>
          <w:szCs w:val="22"/>
          <w:lang w:val="es-ES_tradnl"/>
        </w:rPr>
        <w:t>En la</w:t>
      </w:r>
      <w:r w:rsidR="002F3D04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Resolución</w:t>
      </w:r>
      <w:r w:rsidR="00A52667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XII</w:t>
      </w:r>
      <w:r w:rsidR="008057FB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>I</w:t>
      </w:r>
      <w:r w:rsidR="00A52667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  <w:r w:rsidR="008057FB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>7</w:t>
      </w:r>
      <w:r w:rsidR="002F3D04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>,</w:t>
      </w:r>
      <w:r w:rsidR="00A52667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2F3D04" w:rsidRPr="00795FA5">
        <w:rPr>
          <w:rFonts w:asciiTheme="minorHAnsi" w:eastAsiaTheme="minorHAnsi" w:hAnsiTheme="minorHAnsi" w:cs="Garamond"/>
          <w:i/>
          <w:sz w:val="22"/>
          <w:szCs w:val="22"/>
          <w:lang w:val="es-ES_tradnl"/>
        </w:rPr>
        <w:t>Mejora de la visibilidad de las sinergias con otros acuerdos multilaterales sobre el medio ambiente e instituciones internacionales</w:t>
      </w:r>
      <w:r w:rsidR="002F3D04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, </w:t>
      </w:r>
      <w:r w:rsidR="00C7290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se </w:t>
      </w:r>
      <w:r w:rsidR="002F3D04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>encarga a la Secretaría que informe periódicamente al Comité Permanente</w:t>
      </w:r>
      <w:r w:rsidR="00A52667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2F3D04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>sobre los progresos en la aplicación de esta resolución y la Resolución</w:t>
      </w:r>
      <w:r w:rsidR="00A52667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XI.6</w:t>
      </w:r>
      <w:r w:rsidR="002F3D04" w:rsidRPr="00795FA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, </w:t>
      </w:r>
      <w:r w:rsidR="002F3D04" w:rsidRPr="00795FA5">
        <w:rPr>
          <w:rFonts w:asciiTheme="minorHAnsi" w:hAnsiTheme="minorHAnsi" w:cstheme="minorHAnsi"/>
          <w:bCs/>
          <w:i/>
          <w:sz w:val="22"/>
          <w:szCs w:val="22"/>
          <w:lang w:val="es-ES_tradnl"/>
        </w:rPr>
        <w:t>Asociaciones de colaboración y sinergias con acuerdos multilaterales sobre el medio ambiente y otras instituciones</w:t>
      </w:r>
      <w:r w:rsidR="00795FA5"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</w:p>
    <w:p w14:paraId="240CFCAB" w14:textId="77777777" w:rsidR="00A52667" w:rsidRPr="00795FA5" w:rsidRDefault="00A52667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145F793" w14:textId="6323FA89" w:rsidR="0096533D" w:rsidRPr="00795FA5" w:rsidRDefault="00863119" w:rsidP="00863119">
      <w:pPr>
        <w:pStyle w:val="Default"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2.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21103C" w:rsidRPr="00795FA5">
        <w:rPr>
          <w:rFonts w:asciiTheme="minorHAnsi" w:hAnsiTheme="minorHAnsi" w:cstheme="minorHAnsi"/>
          <w:sz w:val="22"/>
          <w:szCs w:val="22"/>
          <w:lang w:val="es-ES_tradnl"/>
        </w:rPr>
        <w:t>En el párrafo 22 de la Resolución XIII.7 se insta a la</w:t>
      </w:r>
      <w:r w:rsidR="00A150B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9E22C1" w:rsidRPr="00795FA5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A150B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1103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las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Partes Contratantes</w:t>
      </w:r>
      <w:r w:rsidR="009E22C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21103C" w:rsidRPr="00795FA5">
        <w:rPr>
          <w:rFonts w:asciiTheme="minorHAnsi" w:hAnsiTheme="minorHAnsi" w:cstheme="minorHAnsi"/>
          <w:sz w:val="22"/>
          <w:szCs w:val="22"/>
          <w:lang w:val="es-ES_tradnl"/>
        </w:rPr>
        <w:t>las Organizaciones Internacionales Asociadas</w:t>
      </w:r>
      <w:r w:rsidR="00BC486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(</w:t>
      </w:r>
      <w:r w:rsidR="0021103C" w:rsidRPr="00795FA5">
        <w:rPr>
          <w:rFonts w:asciiTheme="minorHAnsi" w:hAnsiTheme="minorHAnsi" w:cstheme="minorHAnsi"/>
          <w:sz w:val="22"/>
          <w:szCs w:val="22"/>
          <w:lang w:val="es-ES_tradnl"/>
        </w:rPr>
        <w:t>OIA</w:t>
      </w:r>
      <w:r w:rsidR="00BC4862" w:rsidRPr="00795FA5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9E22C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1103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otros a que aumenten las sinergias, la coherencia y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cooperación</w:t>
      </w:r>
      <w:r w:rsidR="0021103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eficaz entre los acuerdos multilaterales sobre el medio ambiente (AMMA)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relacionados</w:t>
      </w:r>
      <w:r w:rsidR="0021103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con la diversidad biológica con miras a reforzar la contribución de estos instrumentos a un marco mundial de la diversidad biológica posterior a 2020 y el logro de la Agenda 2030 para el Desar</w:t>
      </w:r>
      <w:r w:rsidR="00016E0A" w:rsidRPr="00795FA5">
        <w:rPr>
          <w:rFonts w:asciiTheme="minorHAnsi" w:hAnsiTheme="minorHAnsi" w:cstheme="minorHAnsi"/>
          <w:sz w:val="22"/>
          <w:szCs w:val="22"/>
          <w:lang w:val="es-ES_tradnl"/>
        </w:rPr>
        <w:t>rollo Sostenible.</w:t>
      </w:r>
    </w:p>
    <w:p w14:paraId="143798DF" w14:textId="77777777" w:rsidR="0096533D" w:rsidRPr="00795FA5" w:rsidRDefault="0096533D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F06E04" w14:textId="3183E5DA" w:rsidR="004B6ED5" w:rsidRPr="00795FA5" w:rsidRDefault="00863119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3.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21103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el párrafo </w:t>
      </w:r>
      <w:r w:rsidR="004B6ED5" w:rsidRPr="00795FA5">
        <w:rPr>
          <w:rFonts w:asciiTheme="minorHAnsi" w:hAnsiTheme="minorHAnsi" w:cstheme="minorHAnsi"/>
          <w:sz w:val="22"/>
          <w:szCs w:val="22"/>
          <w:lang w:val="es-ES_tradnl"/>
        </w:rPr>
        <w:t>33</w:t>
      </w:r>
      <w:r w:rsidR="00CE2C9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1103C" w:rsidRPr="00795FA5">
        <w:rPr>
          <w:rFonts w:asciiTheme="minorHAnsi" w:hAnsiTheme="minorHAnsi" w:cstheme="minorHAnsi"/>
          <w:sz w:val="22"/>
          <w:szCs w:val="22"/>
          <w:lang w:val="es-ES_tradnl"/>
        </w:rPr>
        <w:t>de la misma r</w:t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>esolución</w:t>
      </w:r>
      <w:r w:rsidR="00016E0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se pide a la Secretaria General que incluya en los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informes</w:t>
      </w:r>
      <w:r w:rsidR="00016E0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futuros información sobre los resultados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logrados</w:t>
      </w:r>
      <w:r w:rsidR="00016E0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en la colaboración en curso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con</w:t>
      </w:r>
      <w:r w:rsidR="00016E0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otras convenciones,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organizaciones</w:t>
      </w:r>
      <w:r w:rsidR="00016E0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internacionales</w:t>
      </w:r>
      <w:r w:rsidR="00016E0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asociaciones y sobre el análisis de nuevas actividades con posibles asociados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9B9627A" w14:textId="77777777" w:rsidR="004B6ED5" w:rsidRPr="00795FA5" w:rsidRDefault="004B6ED5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039FB0" w14:textId="517F7592" w:rsidR="004B6ED5" w:rsidRPr="00795FA5" w:rsidRDefault="00863119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4.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16E0A" w:rsidRPr="00795FA5">
        <w:rPr>
          <w:rFonts w:asciiTheme="minorHAnsi" w:hAnsiTheme="minorHAnsi" w:cstheme="minorHAnsi"/>
          <w:sz w:val="22"/>
          <w:szCs w:val="22"/>
          <w:lang w:val="es-ES_tradnl"/>
        </w:rPr>
        <w:t>En el párrafo 34 de la resolución se pide a la Secretaría que haga aportaciones al proceso de sinergias, según proceda, particularmente con respecto a aquellas cuestiones que sean pertinentes para la Convención de Ramsar</w:t>
      </w:r>
      <w:r w:rsidR="00335E58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016E0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 informe al respecto al Comité Pe</w:t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>rmanente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E11F3B6" w14:textId="77777777" w:rsidR="004B6ED5" w:rsidRPr="00795FA5" w:rsidRDefault="004B6ED5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1BF5F9E" w14:textId="4F5EED8E" w:rsidR="004B6ED5" w:rsidRPr="00795FA5" w:rsidRDefault="00863119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5.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5E78B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el párrafo </w:t>
      </w:r>
      <w:r w:rsidR="00A150B3" w:rsidRPr="00795FA5">
        <w:rPr>
          <w:rFonts w:asciiTheme="minorHAnsi" w:hAnsiTheme="minorHAnsi" w:cstheme="minorHAnsi"/>
          <w:sz w:val="22"/>
          <w:szCs w:val="22"/>
          <w:lang w:val="es-ES_tradnl"/>
        </w:rPr>
        <w:t>35</w:t>
      </w:r>
      <w:r w:rsidR="00425CB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E78B6" w:rsidRPr="00795FA5">
        <w:rPr>
          <w:rFonts w:asciiTheme="minorHAnsi" w:hAnsiTheme="minorHAnsi" w:cstheme="minorHAnsi"/>
          <w:sz w:val="22"/>
          <w:szCs w:val="22"/>
          <w:lang w:val="es-ES_tradnl"/>
        </w:rPr>
        <w:t>de la r</w:t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>esolución</w:t>
      </w:r>
      <w:r w:rsidR="005E78B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se encarga a 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4B6ED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E78B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que siga trabajando para intensificar la colaboración con los organismos de las Naciones Unidas, particularmente con el Programa de las Naciones </w:t>
      </w:r>
      <w:r w:rsidR="005E78B6" w:rsidRPr="008306DD">
        <w:rPr>
          <w:rFonts w:asciiTheme="minorHAnsi" w:hAnsiTheme="minorHAnsi" w:cstheme="minorHAnsi"/>
          <w:sz w:val="22"/>
          <w:szCs w:val="22"/>
          <w:lang w:val="es-ES_tradnl"/>
        </w:rPr>
        <w:t>Unidas para el Medio</w:t>
      </w:r>
      <w:r w:rsidR="005E78B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Ambiente (PNUMA), el Programa de las Naciones Unidas para el Desarrollo (PNUD),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Organización</w:t>
      </w:r>
      <w:r w:rsidR="005E78B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las Naciones Unidas para la Alimentación y la Agricultura (FAO), el Banco Mundial,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Organización</w:t>
      </w:r>
      <w:r w:rsidR="005E78B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Mundial de la Salud (OMS),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Organización</w:t>
      </w:r>
      <w:r w:rsidR="005E78B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Meteorológica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Mundial</w:t>
      </w:r>
      <w:r w:rsidR="005E78B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(OMM), la </w:t>
      </w:r>
      <w:r w:rsidR="0002752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Organización de las Naciones Unidas para la Educación, la Ciencia y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Cultura</w:t>
      </w:r>
      <w:r w:rsidR="0002752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B6ED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(UNESCO), </w:t>
      </w:r>
      <w:r w:rsidR="0002752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Comisión Económica de las Naciones Unidas para Europa </w:t>
      </w:r>
      <w:r w:rsidR="0002752E" w:rsidRPr="00795FA5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 xml:space="preserve">(CEPE) y </w:t>
      </w:r>
      <w:r w:rsidR="00A220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otras comisiones económicas regionales de las Naciones Unidas, el Fondo para el Medio Ambiente Mundial (FMAM), </w:t>
      </w:r>
      <w:r w:rsidR="008306DD">
        <w:rPr>
          <w:rFonts w:asciiTheme="minorHAnsi" w:hAnsiTheme="minorHAnsi" w:cstheme="minorHAnsi"/>
          <w:sz w:val="22"/>
          <w:szCs w:val="22"/>
          <w:lang w:val="es-ES_tradnl"/>
        </w:rPr>
        <w:t xml:space="preserve">los </w:t>
      </w:r>
      <w:r w:rsidR="00DF172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AMMA tales como la Convención Marco de las Naciones Unidas sobre el Cambio Climático (CMNUCC), la Convención de las Naciones Unidas de Lucha contra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Desertificación</w:t>
      </w:r>
      <w:r w:rsidR="00DF172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(CNULD), el Convenio sobre la Diversidad </w:t>
      </w:r>
      <w:r w:rsidR="00C8438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Biológica (CDB), la Convención sobre la conservación de las </w:t>
      </w:r>
      <w:r w:rsidR="000711A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especies migratorias de animales silvestres (CEM) y otros, y que informe periódicamente al Comité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Permanente</w:t>
      </w:r>
      <w:r w:rsidR="000711A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sobre los progresos realizados</w:t>
      </w:r>
      <w:r w:rsidR="004B6ED5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CFA5D16" w14:textId="77777777" w:rsidR="00863119" w:rsidRPr="00795FA5" w:rsidRDefault="00863119" w:rsidP="00863119">
      <w:pPr>
        <w:suppressAutoHyphens/>
        <w:ind w:left="284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82970A" w14:textId="4CD70C4E" w:rsidR="004B6ED5" w:rsidRPr="00795FA5" w:rsidRDefault="00863119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6.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E5344F" w:rsidRPr="00795FA5">
        <w:rPr>
          <w:rFonts w:asciiTheme="minorHAnsi" w:hAnsiTheme="minorHAnsi" w:cstheme="minorHAnsi"/>
          <w:sz w:val="22"/>
          <w:szCs w:val="22"/>
          <w:lang w:val="es-ES_tradnl"/>
        </w:rPr>
        <w:t>En los párrafos 39 y 40 de la resolución se encarga a la Secretaría que continúe traba</w:t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>jando activamente con el Grupo Interinstitucional de E</w:t>
      </w:r>
      <w:r w:rsidR="00E5344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xpertos sobre </w:t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>los I</w:t>
      </w:r>
      <w:r w:rsidR="00E606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ndicadores de los Objetivos de Desarrollo Sostenible </w:t>
      </w:r>
      <w:r w:rsidR="004B6ED5" w:rsidRPr="00795FA5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>IAEG-ODS</w:t>
      </w:r>
      <w:r w:rsidR="005C580F" w:rsidRPr="00795FA5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232D9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con las Partes Contratantes en la realización de los inventarios nacionales de humedales y la extensión </w:t>
      </w:r>
      <w:r w:rsidR="00E90D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los humedales para informar sobre el indicador </w:t>
      </w:r>
      <w:r w:rsidR="00313266" w:rsidRPr="00795FA5">
        <w:rPr>
          <w:rFonts w:asciiTheme="minorHAnsi" w:hAnsiTheme="minorHAnsi" w:cstheme="minorHAnsi"/>
          <w:sz w:val="22"/>
          <w:szCs w:val="22"/>
          <w:lang w:val="es-ES_tradnl"/>
        </w:rPr>
        <w:t>6.6.1</w:t>
      </w:r>
      <w:r w:rsidR="00E90D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los ODS.</w:t>
      </w:r>
    </w:p>
    <w:p w14:paraId="2AE9080A" w14:textId="77777777" w:rsidR="00313266" w:rsidRPr="00795FA5" w:rsidRDefault="00313266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E64452" w14:textId="10CB91E2" w:rsidR="00313266" w:rsidRPr="00795FA5" w:rsidRDefault="00863119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7.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FA1A82" w:rsidRPr="00795FA5">
        <w:rPr>
          <w:rFonts w:asciiTheme="minorHAnsi" w:hAnsiTheme="minorHAnsi" w:cstheme="minorHAnsi"/>
          <w:sz w:val="22"/>
          <w:szCs w:val="22"/>
          <w:lang w:val="es-ES_tradnl"/>
        </w:rPr>
        <w:t>En el párrafo 41 de la resolución se encarga a la</w:t>
      </w:r>
      <w:r w:rsidR="0031326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31326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A1A8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que participe, según proceda, en las iniciativas internacionales pertinentes para aplicar la Agenda 2030 para el Desarrollo Sostenible y los ODS, incluido el Foro Político de Alto Nivel sobre el Desarrollo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Sostenible</w:t>
      </w:r>
      <w:r w:rsidR="00FA1A8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y en las deliberaciones sobre los ODS </w:t>
      </w:r>
      <w:r w:rsidR="0031326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14 </w:t>
      </w:r>
      <w:r w:rsidR="00FA1A8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31326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15 </w:t>
      </w:r>
      <w:r w:rsidR="00FA1A8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las Metas </w:t>
      </w:r>
      <w:r w:rsidR="0031326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14.2 </w:t>
      </w:r>
      <w:r w:rsidR="00FA1A82" w:rsidRPr="00795FA5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="0031326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15.1 </w:t>
      </w:r>
      <w:r w:rsidR="00FA1A82" w:rsidRPr="00795FA5">
        <w:rPr>
          <w:rFonts w:asciiTheme="minorHAnsi" w:hAnsiTheme="minorHAnsi" w:cstheme="minorHAnsi"/>
          <w:sz w:val="22"/>
          <w:szCs w:val="22"/>
          <w:lang w:val="es-ES_tradnl"/>
        </w:rPr>
        <w:t>en foros internacionales</w:t>
      </w:r>
      <w:r w:rsidR="00313266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4D7CBB7" w14:textId="77777777" w:rsidR="00313266" w:rsidRPr="00795FA5" w:rsidRDefault="00313266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5E1F2AB" w14:textId="0879E590" w:rsidR="00313266" w:rsidRPr="00795FA5" w:rsidRDefault="00863119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8.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D45AF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el párrafo </w:t>
      </w:r>
      <w:r w:rsidR="002C0D69" w:rsidRPr="00795FA5">
        <w:rPr>
          <w:rFonts w:asciiTheme="minorHAnsi" w:hAnsiTheme="minorHAnsi" w:cstheme="minorHAnsi"/>
          <w:sz w:val="22"/>
          <w:szCs w:val="22"/>
          <w:lang w:val="es-ES_tradnl"/>
        </w:rPr>
        <w:t>47</w:t>
      </w:r>
      <w:r w:rsidR="0092322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45AFE" w:rsidRPr="00795FA5">
        <w:rPr>
          <w:rFonts w:asciiTheme="minorHAnsi" w:hAnsiTheme="minorHAnsi" w:cstheme="minorHAnsi"/>
          <w:sz w:val="22"/>
          <w:szCs w:val="22"/>
          <w:lang w:val="es-ES_tradnl"/>
        </w:rPr>
        <w:t>de l</w:t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>a Resolución</w:t>
      </w:r>
      <w:r w:rsidR="00030B12" w:rsidRPr="00795FA5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2C0D6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45AFE" w:rsidRPr="00795FA5">
        <w:rPr>
          <w:rFonts w:asciiTheme="minorHAnsi" w:hAnsiTheme="minorHAnsi" w:cstheme="minorHAnsi"/>
          <w:sz w:val="22"/>
          <w:szCs w:val="22"/>
          <w:lang w:val="es-ES_tradnl"/>
        </w:rPr>
        <w:t>se pide a la</w:t>
      </w:r>
      <w:r w:rsidR="002C0D6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2C0D6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45AF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que continúe las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iniciativas</w:t>
      </w:r>
      <w:r w:rsidR="00D45AF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cooperación con la Unión Internacional para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Conservación</w:t>
      </w:r>
      <w:r w:rsidR="00D45AF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Naturaleza (UICN) a fin de apoyar las actividades de 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1C6B44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532CC19" w14:textId="77777777" w:rsidR="00A52667" w:rsidRPr="00795FA5" w:rsidRDefault="00A52667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CCD596" w14:textId="4EA52CBB" w:rsidR="00A52667" w:rsidRPr="00795FA5" w:rsidRDefault="00863119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9.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1C57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consecuencia</w:t>
      </w:r>
      <w:r w:rsidR="001C57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el presente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informe</w:t>
      </w:r>
      <w:r w:rsidR="001C57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describe</w:t>
      </w:r>
      <w:r w:rsidR="001C57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las principales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actividades</w:t>
      </w:r>
      <w:r w:rsidR="001C57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realizadas desde la </w:t>
      </w:r>
      <w:r w:rsidR="00BF5C5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COP13 </w:t>
      </w:r>
      <w:r w:rsidR="001C57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con arreglo a las resoluciones </w:t>
      </w:r>
      <w:r w:rsidR="00C71C8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XIII.7 </w:t>
      </w:r>
      <w:r w:rsidR="001C57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>XI.6</w:t>
      </w:r>
      <w:r w:rsidR="003C2550" w:rsidRPr="00795FA5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C71C8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F43C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concretamente las actividades relacionadas con </w:t>
      </w:r>
      <w:r w:rsidR="009553B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el Grupo de Enlace sobre la Diversidad Biológica </w:t>
      </w:r>
      <w:r w:rsidR="00FF010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(BLG) </w:t>
      </w:r>
      <w:r w:rsidR="009553B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Plataforma</w:t>
      </w:r>
      <w:r w:rsidR="009553B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Intergubernamental Científico-Normativa sobre Diversidad Biológica y Servicios de los Ecosistemas (IPBES)</w:t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>, así como l</w:t>
      </w:r>
      <w:r w:rsidR="009553B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os progresos realizados con los ODS, los AMMA, el PNUMA y otras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instituciones</w:t>
      </w:r>
      <w:r w:rsidR="001C6B44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52ADB06" w14:textId="77777777" w:rsidR="00A52667" w:rsidRPr="00795FA5" w:rsidRDefault="00A52667" w:rsidP="00F61CAA">
      <w:pPr>
        <w:pStyle w:val="ListParagraph"/>
        <w:tabs>
          <w:tab w:val="left" w:pos="2260"/>
        </w:tabs>
        <w:ind w:left="0"/>
        <w:jc w:val="left"/>
        <w:rPr>
          <w:rFonts w:asciiTheme="minorHAnsi" w:hAnsiTheme="minorHAnsi" w:cstheme="minorHAnsi"/>
          <w:lang w:val="es-ES_tradnl"/>
        </w:rPr>
      </w:pPr>
    </w:p>
    <w:p w14:paraId="1C01BC9E" w14:textId="499D5D9D" w:rsidR="00A52667" w:rsidRPr="00795FA5" w:rsidRDefault="002E5E2E" w:rsidP="00AA2B27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b/>
          <w:sz w:val="22"/>
          <w:szCs w:val="22"/>
          <w:lang w:val="es-ES_tradnl"/>
        </w:rPr>
        <w:t>Trabajo en el marco del Grupo de Enlace sobre la Diversidad Biológica</w:t>
      </w:r>
      <w:r w:rsidR="00D5642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(BLG)</w:t>
      </w:r>
    </w:p>
    <w:p w14:paraId="09ADC441" w14:textId="77777777" w:rsidR="00A52667" w:rsidRPr="00795FA5" w:rsidRDefault="00A52667" w:rsidP="00F61CA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A4EB6B2" w14:textId="1D4EACC8" w:rsidR="00A52667" w:rsidRPr="00795FA5" w:rsidRDefault="00863119" w:rsidP="00863119">
      <w:pPr>
        <w:suppressAutoHyphens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10.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2E5E2E" w:rsidRPr="00795FA5">
        <w:rPr>
          <w:rFonts w:asciiTheme="minorHAnsi" w:hAnsiTheme="minorHAnsi" w:cstheme="minorHAnsi"/>
          <w:sz w:val="22"/>
          <w:szCs w:val="22"/>
          <w:lang w:val="es-ES_tradnl"/>
        </w:rPr>
        <w:t>La Secretaría de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Ramsar </w:t>
      </w:r>
      <w:r w:rsidR="002E5E2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ha seguido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participando</w:t>
      </w:r>
      <w:r w:rsidR="002E5E2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en las reuniones y actividades conjuntas del BLG con arreglo al plan de actividades conjuntas de este último. 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2E5E2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participó en </w:t>
      </w:r>
      <w:r w:rsidR="0064487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reunión del BLG en septiembre de 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>201</w:t>
      </w:r>
      <w:r w:rsidR="00A37A4F" w:rsidRPr="00795FA5">
        <w:rPr>
          <w:rFonts w:asciiTheme="minorHAnsi" w:hAnsiTheme="minorHAnsi" w:cstheme="minorHAnsi"/>
          <w:sz w:val="22"/>
          <w:szCs w:val="22"/>
          <w:lang w:val="es-ES_tradnl"/>
        </w:rPr>
        <w:t>8</w:t>
      </w:r>
      <w:r w:rsidR="008B4CF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64487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Algunas de las cuestiones que se trataron fueron las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siguientes</w:t>
      </w:r>
      <w:r w:rsidR="0064487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: aportaciones de </w:t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>las c</w:t>
      </w:r>
      <w:r w:rsidR="0064487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onvenciones </w:t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>relacionadas</w:t>
      </w:r>
      <w:r w:rsidR="0064487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con la biodiversidad al </w:t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>proceso</w:t>
      </w:r>
      <w:r w:rsidR="00F2639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="00F2639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desarrollo </w:t>
      </w:r>
      <w:r w:rsidR="004D7EA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del marco mundial </w:t>
      </w:r>
      <w:r w:rsidR="004D7EA9" w:rsidRPr="00CC41EF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4D7EA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diversidad biológica posterior a 2020,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cooperación</w:t>
      </w:r>
      <w:r w:rsidR="004D7EA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las sinergias entre las convenciones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relacionadas</w:t>
      </w:r>
      <w:r w:rsidR="004D7EA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con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biodiversidad</w:t>
      </w:r>
      <w:r w:rsidR="004D7EA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el próximo programa de trabajo de la IPBES y las comunicaciones y la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divulgación</w:t>
      </w:r>
      <w:r w:rsidR="004D7EA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conjuntas sobr</w:t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 xml:space="preserve">e la biodiversidad, por ejemplo, incluidas </w:t>
      </w:r>
      <w:r w:rsidR="004D7EA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las aportaciones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conjuntas</w:t>
      </w:r>
      <w:r w:rsidR="004D7EA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 las reuniones de las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convenciones</w:t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 xml:space="preserve"> y otros procesos.</w:t>
      </w:r>
    </w:p>
    <w:p w14:paraId="68C3B6A2" w14:textId="77777777" w:rsidR="00A52667" w:rsidRPr="00795FA5" w:rsidRDefault="00A52667" w:rsidP="00F61CAA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s-ES_tradnl"/>
        </w:rPr>
      </w:pPr>
    </w:p>
    <w:p w14:paraId="4FA97816" w14:textId="2BC1B292" w:rsidR="00814875" w:rsidRPr="00795FA5" w:rsidRDefault="003B5445" w:rsidP="00F61CA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b/>
          <w:sz w:val="22"/>
          <w:szCs w:val="22"/>
          <w:lang w:val="es-ES_tradnl"/>
        </w:rPr>
        <w:t>Plataforma</w:t>
      </w:r>
      <w:r w:rsidR="004D7EA9" w:rsidRPr="00795FA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Intergubernamental sobre Diversidad Biológica y Servicios de los Ecosistemas</w:t>
      </w:r>
    </w:p>
    <w:p w14:paraId="0634EFEE" w14:textId="77777777" w:rsidR="004D7EA9" w:rsidRPr="00795FA5" w:rsidRDefault="004D7EA9" w:rsidP="00F61CA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F016300" w14:textId="2C8767A3" w:rsidR="000536B9" w:rsidRPr="00795FA5" w:rsidRDefault="00863119" w:rsidP="00863119">
      <w:pPr>
        <w:autoSpaceDE w:val="0"/>
        <w:autoSpaceDN w:val="0"/>
        <w:adjustRightInd w:val="0"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11.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>La Resolución</w:t>
      </w:r>
      <w:r w:rsidR="000536B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XIII.8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3B5445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>Aplicación</w:t>
      </w:r>
      <w:r w:rsidR="00F3407D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futura de los aspectos </w:t>
      </w:r>
      <w:r w:rsidR="003B5445">
        <w:rPr>
          <w:rFonts w:asciiTheme="minorHAnsi" w:hAnsiTheme="minorHAnsi" w:cstheme="minorHAnsi"/>
          <w:i/>
          <w:sz w:val="22"/>
          <w:szCs w:val="22"/>
          <w:lang w:val="es-ES_tradnl"/>
        </w:rPr>
        <w:t>científicos</w:t>
      </w:r>
      <w:r w:rsidR="00F3407D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y técnicos de la </w:t>
      </w:r>
      <w:r w:rsidR="003B5445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>Convención</w:t>
      </w:r>
      <w:r w:rsidR="00F3407D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para </w:t>
      </w:r>
      <w:r w:rsidR="000536B9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>2019-2021</w:t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0536B9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aprobó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directrices para preparar propuestas temáticas para los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programas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trabajo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futuros de la IPBE</w:t>
      </w:r>
      <w:r w:rsidR="003B5445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024CE2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0536B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C41EF" w:rsidRPr="00CC41EF">
        <w:rPr>
          <w:rFonts w:asciiTheme="minorHAnsi" w:hAnsiTheme="minorHAnsi" w:cstheme="minorHAnsi"/>
          <w:sz w:val="22"/>
          <w:szCs w:val="22"/>
          <w:lang w:val="es-ES_tradnl"/>
        </w:rPr>
        <w:t>En consecuencia</w:t>
      </w:r>
      <w:r w:rsidR="00814875" w:rsidRPr="00CC41EF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81487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0536B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B5445" w:rsidRPr="00795FA5">
        <w:rPr>
          <w:rFonts w:asciiTheme="minorHAnsi" w:hAnsiTheme="minorHAnsi" w:cstheme="minorHAnsi"/>
          <w:sz w:val="22"/>
          <w:szCs w:val="22"/>
          <w:lang w:val="es-ES_tradnl"/>
        </w:rPr>
        <w:t>publicó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una convocatoria de propuestas en noviembre de </w:t>
      </w:r>
      <w:r w:rsidR="00030B1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2018 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para las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Partes Contratantes</w:t>
      </w:r>
      <w:r w:rsidR="000536B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las OIA, las iniciativas regionales de Ramsar, el Grupo de Examen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Científico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Técnico (GECT) y los AMMA. La Secretaría ha recibido tres propuestas en respuesta a la convocatoria</w:t>
      </w:r>
      <w:r w:rsidR="000536B9" w:rsidRPr="00795FA5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4EF08CB8" w14:textId="77777777" w:rsidR="001C6B44" w:rsidRPr="00795FA5" w:rsidRDefault="001C6B44" w:rsidP="00863119">
      <w:pPr>
        <w:autoSpaceDE w:val="0"/>
        <w:autoSpaceDN w:val="0"/>
        <w:adjustRightInd w:val="0"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33FC1EE" w14:textId="31BB6BC3" w:rsidR="000536B9" w:rsidRPr="00795FA5" w:rsidRDefault="000536B9" w:rsidP="00863119">
      <w:pPr>
        <w:numPr>
          <w:ilvl w:val="0"/>
          <w:numId w:val="16"/>
        </w:numPr>
        <w:tabs>
          <w:tab w:val="clear" w:pos="720"/>
        </w:tabs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Style w:val="Emphasis"/>
          <w:rFonts w:asciiTheme="minorHAnsi" w:hAnsiTheme="minorHAnsi" w:cstheme="minorHAnsi"/>
          <w:sz w:val="22"/>
          <w:szCs w:val="22"/>
          <w:lang w:val="es-ES_tradnl"/>
        </w:rPr>
        <w:lastRenderedPageBreak/>
        <w:t>Profiling Harare’s wetlands for a sustainable future</w:t>
      </w:r>
      <w:r w:rsidR="00F340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[Determinar el perfil de los humedales de Harare para un futuro sostenible], presentada por 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Zimbabwe</w:t>
      </w:r>
      <w:r w:rsidR="00024CE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(Environmental Management Agency);</w:t>
      </w:r>
    </w:p>
    <w:p w14:paraId="7C55E7A9" w14:textId="77777777" w:rsidR="001C6B44" w:rsidRPr="00795FA5" w:rsidRDefault="001C6B44" w:rsidP="001C6B4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EF44EC1" w14:textId="1C63A087" w:rsidR="001C6B44" w:rsidRPr="00795FA5" w:rsidRDefault="00B83E67" w:rsidP="001C6B44">
      <w:pPr>
        <w:numPr>
          <w:ilvl w:val="0"/>
          <w:numId w:val="16"/>
        </w:numPr>
        <w:tabs>
          <w:tab w:val="clear" w:pos="720"/>
        </w:tabs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Style w:val="Emphasis"/>
          <w:rFonts w:asciiTheme="minorHAnsi" w:hAnsiTheme="minorHAnsi" w:cstheme="minorHAnsi"/>
          <w:sz w:val="22"/>
          <w:szCs w:val="22"/>
          <w:lang w:val="es-ES_tradnl"/>
        </w:rPr>
        <w:t>Evaluación</w:t>
      </w:r>
      <w:r w:rsidR="00DC053E" w:rsidRPr="00795FA5">
        <w:rPr>
          <w:rStyle w:val="Emphasis"/>
          <w:rFonts w:asciiTheme="minorHAnsi" w:hAnsiTheme="minorHAnsi" w:cstheme="minorHAnsi"/>
          <w:sz w:val="22"/>
          <w:szCs w:val="22"/>
          <w:lang w:val="es-ES_tradnl"/>
        </w:rPr>
        <w:t xml:space="preserve"> temática sobre las turberas</w:t>
      </w:r>
      <w:r w:rsidR="00DC053E" w:rsidRPr="00795FA5">
        <w:rPr>
          <w:rFonts w:asciiTheme="minorHAnsi" w:hAnsiTheme="minorHAnsi" w:cstheme="minorHAnsi"/>
          <w:sz w:val="22"/>
          <w:szCs w:val="22"/>
          <w:lang w:val="es-ES_tradnl"/>
        </w:rPr>
        <w:t>, presentada por el GECT</w:t>
      </w:r>
      <w:r w:rsidR="000536B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; </w:t>
      </w:r>
      <w:r w:rsidR="00DC053E" w:rsidRPr="00795FA5">
        <w:rPr>
          <w:rFonts w:asciiTheme="minorHAnsi" w:hAnsiTheme="minorHAnsi" w:cstheme="minorHAnsi"/>
          <w:sz w:val="22"/>
          <w:szCs w:val="22"/>
          <w:lang w:val="es-ES_tradnl"/>
        </w:rPr>
        <w:t>y</w:t>
      </w:r>
    </w:p>
    <w:p w14:paraId="7B91D8C3" w14:textId="77777777" w:rsidR="001C6B44" w:rsidRPr="00795FA5" w:rsidRDefault="001C6B44" w:rsidP="001C6B44">
      <w:pPr>
        <w:rPr>
          <w:rFonts w:asciiTheme="minorHAnsi" w:hAnsiTheme="minorHAnsi" w:cstheme="minorHAnsi"/>
          <w:lang w:val="es-ES_tradnl"/>
        </w:rPr>
      </w:pPr>
    </w:p>
    <w:p w14:paraId="0ACAF072" w14:textId="2A6499A6" w:rsidR="000536B9" w:rsidRPr="00795FA5" w:rsidRDefault="0050426F" w:rsidP="00863119">
      <w:pPr>
        <w:numPr>
          <w:ilvl w:val="0"/>
          <w:numId w:val="16"/>
        </w:numPr>
        <w:tabs>
          <w:tab w:val="clear" w:pos="720"/>
        </w:tabs>
        <w:ind w:left="850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Style w:val="Emphasis"/>
          <w:rFonts w:asciiTheme="minorHAnsi" w:hAnsiTheme="minorHAnsi" w:cstheme="minorHAnsi"/>
          <w:sz w:val="22"/>
          <w:szCs w:val="22"/>
          <w:lang w:val="es-ES_tradnl"/>
        </w:rPr>
        <w:t>Evaluación temática sobre la conservación de la conectividad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, presentada por la CEM</w:t>
      </w:r>
      <w:r w:rsidR="00863119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E29E3A6" w14:textId="77777777" w:rsidR="00863119" w:rsidRPr="00795FA5" w:rsidRDefault="00863119" w:rsidP="00024CE2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676EF9A" w14:textId="7223507C" w:rsidR="000536B9" w:rsidRPr="00795FA5" w:rsidRDefault="00024CE2" w:rsidP="00024CE2">
      <w:pPr>
        <w:ind w:left="425" w:hanging="425"/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12.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CC41EF">
        <w:rPr>
          <w:rFonts w:asciiTheme="minorHAnsi" w:hAnsiTheme="minorHAnsi" w:cstheme="minorHAnsi"/>
          <w:sz w:val="22"/>
          <w:szCs w:val="22"/>
          <w:lang w:val="es-ES_tradnl"/>
        </w:rPr>
        <w:t>Siguiendo</w:t>
      </w:r>
      <w:r w:rsidR="00FD246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el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procedimiento</w:t>
      </w:r>
      <w:r w:rsidR="00FD246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descrito en las directrices, se remitieron al Comité Permanente para su </w:t>
      </w:r>
      <w:r w:rsidR="00FD246D" w:rsidRPr="005704DB">
        <w:rPr>
          <w:rFonts w:asciiTheme="minorHAnsi" w:hAnsiTheme="minorHAnsi" w:cstheme="minorHAnsi"/>
          <w:sz w:val="22"/>
          <w:szCs w:val="22"/>
          <w:lang w:val="es-ES_tradnl"/>
        </w:rPr>
        <w:t>examen</w:t>
      </w:r>
      <w:r w:rsidR="00FD246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las propuestas junto con </w:t>
      </w:r>
      <w:r w:rsidR="00FD246D" w:rsidRPr="005704DB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5704DB">
        <w:rPr>
          <w:rFonts w:asciiTheme="minorHAnsi" w:hAnsiTheme="minorHAnsi" w:cstheme="minorHAnsi"/>
          <w:sz w:val="22"/>
          <w:szCs w:val="22"/>
          <w:lang w:val="es-ES_tradnl"/>
        </w:rPr>
        <w:t xml:space="preserve">análisis </w:t>
      </w:r>
      <w:r w:rsidR="00FD246D" w:rsidRPr="005704DB">
        <w:rPr>
          <w:rFonts w:asciiTheme="minorHAnsi" w:hAnsiTheme="minorHAnsi" w:cstheme="minorHAnsi"/>
          <w:sz w:val="22"/>
          <w:szCs w:val="22"/>
          <w:lang w:val="es-ES_tradnl"/>
        </w:rPr>
        <w:t>y las</w:t>
      </w:r>
      <w:r w:rsidR="00FD246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observaciones</w:t>
      </w:r>
      <w:r w:rsidR="00FD246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del GECT</w:t>
      </w:r>
      <w:r w:rsidR="00304A95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0536B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534E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Se otorgó prioridad a la </w:t>
      </w:r>
      <w:r w:rsidR="00B83E67" w:rsidRPr="00795FA5">
        <w:rPr>
          <w:rStyle w:val="Emphasis"/>
          <w:rFonts w:asciiTheme="minorHAnsi" w:eastAsiaTheme="majorEastAsia" w:hAnsiTheme="minorHAnsi" w:cstheme="minorHAnsi"/>
          <w:sz w:val="22"/>
          <w:szCs w:val="22"/>
          <w:lang w:val="es-ES_tradnl"/>
        </w:rPr>
        <w:t>Evaluación</w:t>
      </w:r>
      <w:r w:rsidR="00E534E6" w:rsidRPr="00795FA5">
        <w:rPr>
          <w:rStyle w:val="Emphasis"/>
          <w:rFonts w:asciiTheme="minorHAnsi" w:eastAsiaTheme="majorEastAsia" w:hAnsiTheme="minorHAnsi" w:cstheme="minorHAnsi"/>
          <w:sz w:val="22"/>
          <w:szCs w:val="22"/>
          <w:lang w:val="es-ES_tradnl"/>
        </w:rPr>
        <w:t xml:space="preserve"> temática sobre las turberas</w:t>
      </w:r>
      <w:r w:rsidR="00E534E6" w:rsidRPr="00795FA5">
        <w:rPr>
          <w:rStyle w:val="Emphasis"/>
          <w:rFonts w:asciiTheme="minorHAnsi" w:eastAsiaTheme="majorEastAsia" w:hAnsiTheme="minorHAnsi" w:cstheme="minorHAnsi"/>
          <w:i w:val="0"/>
          <w:sz w:val="22"/>
          <w:szCs w:val="22"/>
          <w:lang w:val="es-ES_tradnl"/>
        </w:rPr>
        <w:t>,</w:t>
      </w:r>
      <w:r w:rsidR="00E534E6" w:rsidRPr="00795FA5">
        <w:rPr>
          <w:rStyle w:val="Emphasis"/>
          <w:rFonts w:asciiTheme="minorHAnsi" w:eastAsiaTheme="majorEastAsia" w:hAnsiTheme="minorHAnsi" w:cstheme="minorHAnsi"/>
          <w:sz w:val="22"/>
          <w:szCs w:val="22"/>
          <w:lang w:val="es-ES_tradnl"/>
        </w:rPr>
        <w:t xml:space="preserve"> </w:t>
      </w:r>
      <w:r w:rsidR="00E534E6" w:rsidRPr="00795FA5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lang w:val="es-ES_tradnl"/>
        </w:rPr>
        <w:t xml:space="preserve">por lo que la Secretaría presentó esa propuesta a la </w:t>
      </w:r>
      <w:r w:rsidR="000536B9" w:rsidRPr="00795FA5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lang w:val="es-ES_tradnl"/>
        </w:rPr>
        <w:t xml:space="preserve">IPBES </w:t>
      </w:r>
      <w:r w:rsidR="00E534E6" w:rsidRPr="00795FA5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lang w:val="es-ES_tradnl"/>
        </w:rPr>
        <w:t>antes del 31 de diciembre de</w:t>
      </w:r>
      <w:r w:rsidR="000536B9" w:rsidRPr="00795FA5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lang w:val="es-ES_tradnl"/>
        </w:rPr>
        <w:t xml:space="preserve"> 2018, </w:t>
      </w:r>
      <w:r w:rsidR="00E534E6" w:rsidRPr="00795FA5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lang w:val="es-ES_tradnl"/>
        </w:rPr>
        <w:t xml:space="preserve">la fecha tope para la </w:t>
      </w:r>
      <w:r w:rsidR="00B83E67" w:rsidRPr="00795FA5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lang w:val="es-ES_tradnl"/>
        </w:rPr>
        <w:t>presentación</w:t>
      </w:r>
      <w:r w:rsidR="00E534E6" w:rsidRPr="00795FA5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lang w:val="es-ES_tradnl"/>
        </w:rPr>
        <w:t xml:space="preserve"> de propuestas por los AMMA.</w:t>
      </w:r>
    </w:p>
    <w:p w14:paraId="2EF4C104" w14:textId="7E9D8BDE" w:rsidR="00B707D0" w:rsidRPr="00795FA5" w:rsidRDefault="00B707D0" w:rsidP="00024CE2">
      <w:pPr>
        <w:ind w:left="425" w:hanging="425"/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lang w:val="es-ES_tradnl"/>
        </w:rPr>
      </w:pPr>
    </w:p>
    <w:p w14:paraId="3EA7E6C6" w14:textId="2BFF9E80" w:rsidR="00E20027" w:rsidRPr="00795FA5" w:rsidRDefault="00024CE2" w:rsidP="00024CE2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13.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E534E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1C6B44" w:rsidRPr="00795FA5">
        <w:rPr>
          <w:rFonts w:asciiTheme="minorHAnsi" w:hAnsiTheme="minorHAnsi" w:cstheme="minorHAnsi"/>
          <w:sz w:val="22"/>
          <w:szCs w:val="22"/>
          <w:lang w:val="es-ES_tradnl"/>
        </w:rPr>
        <w:t>28</w:t>
      </w:r>
      <w:r w:rsidR="00E534E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febrero de </w:t>
      </w:r>
      <w:r w:rsidR="00E2002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2019, </w:t>
      </w:r>
      <w:r w:rsidR="00E534E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E534E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</w:t>
      </w:r>
      <w:r w:rsidR="00E2002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534E6" w:rsidRPr="005704DB">
        <w:rPr>
          <w:rFonts w:asciiTheme="minorHAnsi" w:hAnsiTheme="minorHAnsi" w:cstheme="minorHAnsi"/>
          <w:sz w:val="22"/>
          <w:szCs w:val="22"/>
          <w:lang w:val="es-ES_tradnl"/>
        </w:rPr>
        <w:t xml:space="preserve">IPBES </w:t>
      </w:r>
      <w:r w:rsidR="000E2143" w:rsidRPr="005704DB">
        <w:rPr>
          <w:rFonts w:asciiTheme="minorHAnsi" w:hAnsiTheme="minorHAnsi" w:cstheme="minorHAnsi"/>
          <w:sz w:val="22"/>
          <w:szCs w:val="22"/>
          <w:lang w:val="es-ES_tradnl"/>
        </w:rPr>
        <w:t>notificó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 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0362F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la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Convención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E2002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Ramsar 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>que la</w:t>
      </w:r>
      <w:r w:rsid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propuesta 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la </w:t>
      </w:r>
      <w:r w:rsidR="00B83E67">
        <w:rPr>
          <w:rFonts w:asciiTheme="minorHAnsi" w:hAnsiTheme="minorHAnsi" w:cstheme="minorHAnsi"/>
          <w:sz w:val="22"/>
          <w:szCs w:val="22"/>
          <w:lang w:val="es-ES_tradnl"/>
        </w:rPr>
        <w:t>Convención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sobre la </w:t>
      </w:r>
      <w:r w:rsidR="00B83E67" w:rsidRPr="00795FA5">
        <w:rPr>
          <w:rStyle w:val="Emphasis"/>
          <w:rFonts w:asciiTheme="minorHAnsi" w:eastAsiaTheme="majorEastAsia" w:hAnsiTheme="minorHAnsi" w:cstheme="minorHAnsi"/>
          <w:sz w:val="22"/>
          <w:szCs w:val="22"/>
          <w:lang w:val="es-ES_tradnl"/>
        </w:rPr>
        <w:t>Evaluación</w:t>
      </w:r>
      <w:r w:rsidR="000E2143" w:rsidRPr="00795FA5">
        <w:rPr>
          <w:rStyle w:val="Emphasis"/>
          <w:rFonts w:asciiTheme="minorHAnsi" w:eastAsiaTheme="majorEastAsia" w:hAnsiTheme="minorHAnsi" w:cstheme="minorHAnsi"/>
          <w:sz w:val="22"/>
          <w:szCs w:val="22"/>
          <w:lang w:val="es-ES_tradnl"/>
        </w:rPr>
        <w:t xml:space="preserve"> temática sobre las turberas</w:t>
      </w:r>
      <w:r w:rsid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había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sido </w:t>
      </w:r>
      <w:r w:rsidR="00D5642E">
        <w:rPr>
          <w:rFonts w:asciiTheme="minorHAnsi" w:hAnsiTheme="minorHAnsi" w:cstheme="minorHAnsi"/>
          <w:sz w:val="22"/>
          <w:szCs w:val="22"/>
          <w:lang w:val="es-ES_tradnl"/>
        </w:rPr>
        <w:t>examinada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por el Grupo multidisciplinario de expertos (MEP) y </w:t>
      </w:r>
      <w:r w:rsidR="005704DB">
        <w:rPr>
          <w:rFonts w:asciiTheme="minorHAnsi" w:hAnsiTheme="minorHAnsi" w:cstheme="minorHAnsi"/>
          <w:sz w:val="22"/>
          <w:szCs w:val="22"/>
          <w:lang w:val="es-ES_tradnl"/>
        </w:rPr>
        <w:t xml:space="preserve">la Mesa 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la IBPES. Estos </w:t>
      </w:r>
      <w:r w:rsidR="0017716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indicaron </w:t>
      </w:r>
      <w:r w:rsidR="0017716F">
        <w:rPr>
          <w:rFonts w:asciiTheme="minorHAnsi" w:hAnsiTheme="minorHAnsi" w:cstheme="minorHAnsi"/>
          <w:sz w:val="22"/>
          <w:szCs w:val="22"/>
          <w:lang w:val="es-ES_tradnl"/>
        </w:rPr>
        <w:t xml:space="preserve">que el tema se podía abordar 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como una evaluación temática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específica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o como un componente de una evaluación mundial </w:t>
      </w:r>
      <w:r w:rsidR="0017716F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la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biodiversidad</w:t>
      </w:r>
      <w:r w:rsidR="0017716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>y l</w:t>
      </w:r>
      <w:r w:rsidR="0017716F">
        <w:rPr>
          <w:rFonts w:asciiTheme="minorHAnsi" w:hAnsiTheme="minorHAnsi" w:cstheme="minorHAnsi"/>
          <w:sz w:val="22"/>
          <w:szCs w:val="22"/>
          <w:lang w:val="es-ES_tradnl"/>
        </w:rPr>
        <w:t>os servicios de los ecosistemas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No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obstante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>, recomend</w:t>
      </w:r>
      <w:r w:rsidR="0017716F">
        <w:rPr>
          <w:rFonts w:asciiTheme="minorHAnsi" w:hAnsiTheme="minorHAnsi" w:cstheme="minorHAnsi"/>
          <w:sz w:val="22"/>
          <w:szCs w:val="22"/>
          <w:lang w:val="es-ES_tradnl"/>
        </w:rPr>
        <w:t>aron al Plenario de la IPBES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que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realizara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una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evaluación</w:t>
      </w:r>
      <w:r w:rsidR="0017716F">
        <w:rPr>
          <w:rFonts w:asciiTheme="minorHAnsi" w:hAnsiTheme="minorHAnsi" w:cstheme="minorHAnsi"/>
          <w:sz w:val="22"/>
          <w:szCs w:val="22"/>
          <w:lang w:val="es-ES_tradnl"/>
        </w:rPr>
        <w:t xml:space="preserve"> mundial futura 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su décima sesión, dado que la primera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evaluación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83E67" w:rsidRPr="00795FA5">
        <w:rPr>
          <w:rFonts w:asciiTheme="minorHAnsi" w:hAnsiTheme="minorHAnsi" w:cstheme="minorHAnsi"/>
          <w:sz w:val="22"/>
          <w:szCs w:val="22"/>
          <w:lang w:val="es-ES_tradnl"/>
        </w:rPr>
        <w:t>mundial</w:t>
      </w:r>
      <w:r w:rsidR="000E21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IPBES 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se finalizará en </w:t>
      </w:r>
      <w:r w:rsidR="009521AA">
        <w:rPr>
          <w:rFonts w:asciiTheme="minorHAnsi" w:hAnsiTheme="minorHAnsi" w:cstheme="minorHAnsi"/>
          <w:sz w:val="22"/>
          <w:szCs w:val="22"/>
          <w:lang w:val="es-ES_tradnl"/>
        </w:rPr>
        <w:t xml:space="preserve">el séptimo período de sesiones del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Plenario</w:t>
      </w:r>
      <w:r w:rsidR="009521AA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que se celebrará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próximamente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09D8288" w14:textId="322300A0" w:rsidR="00A52667" w:rsidRPr="00795FA5" w:rsidRDefault="00A52667" w:rsidP="00024CE2">
      <w:pPr>
        <w:ind w:left="425" w:hanging="425"/>
        <w:rPr>
          <w:rFonts w:asciiTheme="minorHAnsi" w:hAnsiTheme="minorHAnsi" w:cstheme="minorHAnsi"/>
          <w:sz w:val="22"/>
          <w:szCs w:val="22"/>
          <w:highlight w:val="yellow"/>
          <w:lang w:val="es-ES_tradnl"/>
        </w:rPr>
      </w:pPr>
    </w:p>
    <w:p w14:paraId="15A58954" w14:textId="3C0C6802" w:rsidR="00A52667" w:rsidRPr="00795FA5" w:rsidRDefault="00024CE2" w:rsidP="00024CE2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14.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="009521AA">
        <w:rPr>
          <w:rFonts w:asciiTheme="minorHAnsi" w:hAnsiTheme="minorHAnsi" w:cstheme="minorHAnsi"/>
          <w:sz w:val="22"/>
          <w:szCs w:val="22"/>
          <w:lang w:val="es-ES_tradnl"/>
        </w:rPr>
        <w:t xml:space="preserve">a Presidencia del GECT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participó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en la </w:t>
      </w:r>
      <w:r w:rsidR="00030B12" w:rsidRPr="00795FA5">
        <w:rPr>
          <w:rFonts w:asciiTheme="minorHAnsi" w:hAnsiTheme="minorHAnsi" w:cstheme="minorHAnsi"/>
          <w:sz w:val="22"/>
          <w:szCs w:val="22"/>
          <w:lang w:val="es-ES_tradnl"/>
        </w:rPr>
        <w:t>11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ª reunión del MEP de la 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>IPBES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celebrada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del 26 al 28 de junio de 2</w:t>
      </w:r>
      <w:r w:rsidR="00CD6047" w:rsidRPr="00795FA5">
        <w:rPr>
          <w:rFonts w:asciiTheme="minorHAnsi" w:hAnsiTheme="minorHAnsi" w:cstheme="minorHAnsi"/>
          <w:sz w:val="22"/>
          <w:szCs w:val="22"/>
          <w:lang w:val="es-ES_tradnl"/>
        </w:rPr>
        <w:t>018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>Bonn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(Alem</w:t>
      </w:r>
      <w:r w:rsidR="00111B7B">
        <w:rPr>
          <w:rFonts w:asciiTheme="minorHAnsi" w:hAnsiTheme="minorHAnsi" w:cstheme="minorHAnsi"/>
          <w:sz w:val="22"/>
          <w:szCs w:val="22"/>
          <w:lang w:val="es-ES_tradnl"/>
        </w:rPr>
        <w:t>ania). Entre las cuestiones trat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>adas</w:t>
      </w:r>
      <w:r w:rsidR="00B47DA5">
        <w:rPr>
          <w:rFonts w:asciiTheme="minorHAnsi" w:hAnsiTheme="minorHAnsi" w:cstheme="minorHAnsi"/>
          <w:sz w:val="22"/>
          <w:szCs w:val="22"/>
          <w:lang w:val="es-ES_tradnl"/>
        </w:rPr>
        <w:t xml:space="preserve"> figuraron e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 programa de trabajo futuro de la </w:t>
      </w:r>
      <w:r w:rsidR="00030B12" w:rsidRPr="00795FA5">
        <w:rPr>
          <w:rFonts w:asciiTheme="minorHAnsi" w:hAnsiTheme="minorHAnsi" w:cstheme="minorHAnsi"/>
          <w:sz w:val="22"/>
          <w:szCs w:val="22"/>
          <w:lang w:val="es-ES_tradnl"/>
        </w:rPr>
        <w:t>IPBES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el plazo para que los AMMA presenten solicitudes de evaluaciones </w:t>
      </w:r>
      <w:r w:rsidR="00B47DA5">
        <w:rPr>
          <w:rFonts w:asciiTheme="minorHAnsi" w:hAnsiTheme="minorHAnsi" w:cstheme="minorHAnsi"/>
          <w:sz w:val="22"/>
          <w:szCs w:val="22"/>
          <w:lang w:val="es-ES_tradnl"/>
        </w:rPr>
        <w:t xml:space="preserve">temáticas, el examen externo </w:t>
      </w:r>
      <w:r w:rsidR="007C7AE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la </w:t>
      </w:r>
      <w:r w:rsidR="00CD604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IPBES </w:t>
      </w:r>
      <w:r w:rsidR="001D206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la incorporación de productos de la </w:t>
      </w:r>
      <w:r w:rsidR="000C0879" w:rsidRPr="00795FA5">
        <w:rPr>
          <w:rFonts w:asciiTheme="minorHAnsi" w:hAnsiTheme="minorHAnsi" w:cstheme="minorHAnsi"/>
          <w:sz w:val="22"/>
          <w:szCs w:val="22"/>
          <w:lang w:val="es-ES_tradnl"/>
        </w:rPr>
        <w:t>IPBE</w:t>
      </w:r>
      <w:r w:rsidR="001C6B4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 </w:t>
      </w:r>
      <w:r w:rsidR="001D2065" w:rsidRPr="00795FA5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="00B47DA5">
        <w:rPr>
          <w:rFonts w:asciiTheme="minorHAnsi" w:hAnsiTheme="minorHAnsi" w:cstheme="minorHAnsi"/>
          <w:sz w:val="22"/>
          <w:szCs w:val="22"/>
          <w:lang w:val="es-ES_tradnl"/>
        </w:rPr>
        <w:t xml:space="preserve"> los</w:t>
      </w:r>
      <w:r w:rsidR="001D206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productos de Ramsar</w:t>
      </w:r>
      <w:r w:rsidR="001C6B44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AC5696F" w14:textId="24DC0A75" w:rsidR="00C879A7" w:rsidRPr="00795FA5" w:rsidRDefault="00C879A7" w:rsidP="00F61CA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483CF41" w14:textId="08704DAD" w:rsidR="00A52667" w:rsidRPr="00795FA5" w:rsidRDefault="001C6B44" w:rsidP="00030B12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b/>
          <w:sz w:val="22"/>
          <w:szCs w:val="22"/>
          <w:lang w:val="es-ES_tradnl"/>
        </w:rPr>
        <w:t>Coopera</w:t>
      </w:r>
      <w:r w:rsidR="00DA0B21" w:rsidRPr="00795FA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ción con otros acuerdos </w:t>
      </w:r>
      <w:r w:rsidR="00111B7B" w:rsidRPr="00795FA5">
        <w:rPr>
          <w:rFonts w:asciiTheme="minorHAnsi" w:hAnsiTheme="minorHAnsi" w:cstheme="minorHAnsi"/>
          <w:b/>
          <w:sz w:val="22"/>
          <w:szCs w:val="22"/>
          <w:lang w:val="es-ES_tradnl"/>
        </w:rPr>
        <w:t>multilaterales</w:t>
      </w:r>
      <w:r w:rsidR="00DA0B21" w:rsidRPr="00795FA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sobre el medio ambiente</w:t>
      </w:r>
      <w:r w:rsidR="00D5642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(AMMA)</w:t>
      </w:r>
    </w:p>
    <w:p w14:paraId="2FB2D4F2" w14:textId="77777777" w:rsidR="00A52667" w:rsidRPr="00795FA5" w:rsidRDefault="00A52667" w:rsidP="00AA2B27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7AA003B4" w14:textId="15F068E4" w:rsidR="00A52667" w:rsidRPr="00795FA5" w:rsidRDefault="00AA2B27" w:rsidP="00AA2B27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15.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111B7B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sigue colaborando activamente con otros AMMA y ha concentrado sus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esfuerzos</w:t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F1BD1">
        <w:rPr>
          <w:rFonts w:asciiTheme="minorHAnsi" w:hAnsiTheme="minorHAnsi" w:cstheme="minorHAnsi"/>
          <w:sz w:val="22"/>
          <w:szCs w:val="22"/>
          <w:lang w:val="es-ES_tradnl"/>
        </w:rPr>
        <w:t xml:space="preserve">con arreglo al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párrafo</w:t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44 </w:t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>de la</w:t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Resolución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XII.3.</w:t>
      </w:r>
    </w:p>
    <w:p w14:paraId="67BB0EA5" w14:textId="77777777" w:rsidR="00A52667" w:rsidRPr="00795FA5" w:rsidRDefault="00A52667" w:rsidP="00F61CA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38D59BC" w14:textId="535F6390" w:rsidR="00DD4547" w:rsidRPr="00795FA5" w:rsidRDefault="00DD4547" w:rsidP="00F61CAA">
      <w:pPr>
        <w:pStyle w:val="ListParagraph"/>
        <w:ind w:left="0"/>
        <w:jc w:val="left"/>
        <w:rPr>
          <w:rFonts w:asciiTheme="minorHAnsi" w:hAnsiTheme="minorHAnsi" w:cstheme="minorHAnsi"/>
          <w:i/>
          <w:lang w:val="es-ES_tradnl"/>
        </w:rPr>
      </w:pPr>
      <w:r w:rsidRPr="00795FA5">
        <w:rPr>
          <w:rFonts w:asciiTheme="minorHAnsi" w:eastAsiaTheme="minorHAnsi" w:hAnsiTheme="minorHAnsi" w:cstheme="minorHAnsi"/>
          <w:bCs/>
          <w:i/>
          <w:lang w:val="es-ES_tradnl"/>
        </w:rPr>
        <w:t>Conve</w:t>
      </w:r>
      <w:r w:rsidR="005A0843" w:rsidRPr="00795FA5">
        <w:rPr>
          <w:rFonts w:asciiTheme="minorHAnsi" w:eastAsiaTheme="minorHAnsi" w:hAnsiTheme="minorHAnsi" w:cstheme="minorHAnsi"/>
          <w:bCs/>
          <w:i/>
          <w:lang w:val="es-ES_tradnl"/>
        </w:rPr>
        <w:t xml:space="preserve">nio sobre la Diversidad Biológica </w:t>
      </w:r>
    </w:p>
    <w:p w14:paraId="30B8475B" w14:textId="77777777" w:rsidR="00DD4547" w:rsidRPr="00795FA5" w:rsidRDefault="00DD4547" w:rsidP="00F61CAA">
      <w:pPr>
        <w:pStyle w:val="ListParagraph"/>
        <w:ind w:left="0"/>
        <w:jc w:val="left"/>
        <w:rPr>
          <w:rFonts w:asciiTheme="minorHAnsi" w:hAnsiTheme="minorHAnsi" w:cstheme="minorHAnsi"/>
          <w:lang w:val="es-ES_tradnl"/>
        </w:rPr>
      </w:pPr>
    </w:p>
    <w:p w14:paraId="28964188" w14:textId="38998DD6" w:rsidR="00DD4547" w:rsidRPr="00795FA5" w:rsidRDefault="00BE0B1E" w:rsidP="00AA2B27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16.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>ha segu</w:t>
      </w:r>
      <w:r w:rsidR="00DF06CD">
        <w:rPr>
          <w:rFonts w:asciiTheme="minorHAnsi" w:hAnsiTheme="minorHAnsi" w:cstheme="minorHAnsi"/>
          <w:sz w:val="22"/>
          <w:szCs w:val="22"/>
          <w:lang w:val="es-ES_tradnl"/>
        </w:rPr>
        <w:t xml:space="preserve">ido trabajando para reforzar </w:t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DF06CD">
        <w:rPr>
          <w:rFonts w:asciiTheme="minorHAnsi" w:hAnsiTheme="minorHAnsi" w:cstheme="minorHAnsi"/>
          <w:sz w:val="22"/>
          <w:szCs w:val="22"/>
          <w:lang w:val="es-ES_tradnl"/>
        </w:rPr>
        <w:t>cooperación</w:t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con el CDB, realizando aportaciones a distintos procesos, como por ejemplo </w:t>
      </w:r>
      <w:r w:rsidR="00DF06CD">
        <w:rPr>
          <w:rFonts w:asciiTheme="minorHAnsi" w:hAnsiTheme="minorHAnsi" w:cstheme="minorHAnsi"/>
          <w:sz w:val="22"/>
          <w:szCs w:val="22"/>
          <w:lang w:val="es-ES_tradnl"/>
        </w:rPr>
        <w:t xml:space="preserve">la continuación del </w:t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Plan Estratégico </w:t>
      </w:r>
      <w:r w:rsidR="00DF06CD">
        <w:rPr>
          <w:rFonts w:asciiTheme="minorHAnsi" w:hAnsiTheme="minorHAnsi" w:cstheme="minorHAnsi"/>
          <w:sz w:val="22"/>
          <w:szCs w:val="22"/>
          <w:lang w:val="es-ES_tradnl"/>
        </w:rPr>
        <w:t xml:space="preserve">para </w:t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Diversidad Biológica 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2011-2020 </w:t>
      </w:r>
      <w:r w:rsidR="005A084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5A0843" w:rsidRPr="00DF06CD">
        <w:rPr>
          <w:rFonts w:asciiTheme="minorHAnsi" w:hAnsiTheme="minorHAnsi" w:cstheme="minorHAnsi"/>
          <w:sz w:val="22"/>
          <w:szCs w:val="22"/>
          <w:lang w:val="es-ES_tradnl"/>
        </w:rPr>
        <w:t xml:space="preserve">el marco para la diversidad </w:t>
      </w:r>
      <w:r w:rsidR="00111B7B" w:rsidRPr="00DF06CD">
        <w:rPr>
          <w:rFonts w:asciiTheme="minorHAnsi" w:hAnsiTheme="minorHAnsi" w:cstheme="minorHAnsi"/>
          <w:sz w:val="22"/>
          <w:szCs w:val="22"/>
          <w:lang w:val="es-ES_tradnl"/>
        </w:rPr>
        <w:t>biológica</w:t>
      </w:r>
      <w:r w:rsidR="005A0843" w:rsidRPr="00DF06C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11B7B" w:rsidRPr="00DF06CD">
        <w:rPr>
          <w:rFonts w:asciiTheme="minorHAnsi" w:hAnsiTheme="minorHAnsi" w:cstheme="minorHAnsi"/>
          <w:sz w:val="22"/>
          <w:szCs w:val="22"/>
          <w:lang w:val="es-ES_tradnl"/>
        </w:rPr>
        <w:t>posterior</w:t>
      </w:r>
      <w:r w:rsidR="005A0843" w:rsidRPr="00DF06CD">
        <w:rPr>
          <w:rFonts w:asciiTheme="minorHAnsi" w:hAnsiTheme="minorHAnsi" w:cstheme="minorHAnsi"/>
          <w:sz w:val="22"/>
          <w:szCs w:val="22"/>
          <w:lang w:val="es-ES_tradnl"/>
        </w:rPr>
        <w:t xml:space="preserve"> a </w:t>
      </w:r>
      <w:r w:rsidR="00DD4547" w:rsidRPr="00DF06CD">
        <w:rPr>
          <w:rFonts w:asciiTheme="minorHAnsi" w:hAnsiTheme="minorHAnsi" w:cstheme="minorHAnsi"/>
          <w:sz w:val="22"/>
          <w:szCs w:val="22"/>
          <w:lang w:val="es-ES_tradnl"/>
        </w:rPr>
        <w:t>2020</w:t>
      </w:r>
      <w:r w:rsidR="0006205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DF06CD">
        <w:rPr>
          <w:rFonts w:asciiTheme="minorHAnsi" w:hAnsiTheme="minorHAnsi" w:cstheme="minorHAnsi"/>
          <w:sz w:val="22"/>
          <w:szCs w:val="22"/>
          <w:lang w:val="es-ES_tradnl"/>
        </w:rPr>
        <w:t>las</w:t>
      </w:r>
      <w:r w:rsidR="0006205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6568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áreas marinas de </w:t>
      </w:r>
      <w:r w:rsidR="00E65684" w:rsidRPr="00615A29">
        <w:rPr>
          <w:rFonts w:asciiTheme="minorHAnsi" w:hAnsiTheme="minorHAnsi" w:cstheme="minorHAnsi"/>
          <w:sz w:val="22"/>
          <w:szCs w:val="22"/>
          <w:lang w:val="es-ES_tradnl"/>
        </w:rPr>
        <w:t xml:space="preserve">importancia ecológica o biológica (EBSA por sus siglas en inglés), </w:t>
      </w:r>
      <w:r w:rsidR="00615A29" w:rsidRPr="00615A29">
        <w:rPr>
          <w:rFonts w:asciiTheme="minorHAnsi" w:hAnsiTheme="minorHAnsi" w:cstheme="minorHAnsi"/>
          <w:sz w:val="22"/>
          <w:szCs w:val="22"/>
          <w:lang w:val="es-ES_tradnl"/>
        </w:rPr>
        <w:t xml:space="preserve">las sinergias </w:t>
      </w:r>
      <w:r w:rsidR="00AB3F87" w:rsidRPr="00615A29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615A29" w:rsidRPr="00615A29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AB3F87" w:rsidRPr="00615A29">
        <w:rPr>
          <w:rFonts w:asciiTheme="minorHAnsi" w:hAnsiTheme="minorHAnsi" w:cstheme="minorHAnsi"/>
          <w:sz w:val="22"/>
          <w:szCs w:val="22"/>
          <w:lang w:val="es-ES_tradnl"/>
        </w:rPr>
        <w:t>participación en la 22</w:t>
      </w:r>
      <w:r w:rsidR="00615A29" w:rsidRPr="00615A29">
        <w:rPr>
          <w:rFonts w:asciiTheme="minorHAnsi" w:hAnsiTheme="minorHAnsi" w:cstheme="minorHAnsi"/>
          <w:sz w:val="22"/>
          <w:szCs w:val="22"/>
          <w:lang w:val="es-ES_tradnl"/>
        </w:rPr>
        <w:t>ª</w:t>
      </w:r>
      <w:r w:rsidR="00AB3F87" w:rsidRPr="00615A29">
        <w:rPr>
          <w:rFonts w:asciiTheme="minorHAnsi" w:hAnsiTheme="minorHAnsi" w:cstheme="minorHAnsi"/>
          <w:sz w:val="22"/>
          <w:szCs w:val="22"/>
          <w:lang w:val="es-ES_tradnl"/>
        </w:rPr>
        <w:t xml:space="preserve"> reunión</w:t>
      </w:r>
      <w:r w:rsidR="00AB3F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del 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Órgano Subsidiario de Asesoramiento Científico, Técnico y Tecnológico </w:t>
      </w:r>
      <w:r w:rsidR="00615A29">
        <w:rPr>
          <w:rFonts w:asciiTheme="minorHAnsi" w:hAnsiTheme="minorHAnsi" w:cstheme="minorHAnsi"/>
          <w:sz w:val="22"/>
          <w:szCs w:val="22"/>
          <w:lang w:val="es-ES_tradnl"/>
        </w:rPr>
        <w:t>del CDB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>. En esa reunión (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>SBSTTA22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), se trataron los siguientes temas pertinentes para la Convención: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evaluación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científica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actualizada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>avance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hac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 xml:space="preserve">ia las Metas de Aichi 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para la Diversidad Biológica y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opciones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 xml:space="preserve">seleccionadas 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para acelerar 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 xml:space="preserve">dicho avance, </w:t>
      </w:r>
      <w:r w:rsidR="0084262C" w:rsidRPr="00795FA5">
        <w:rPr>
          <w:rFonts w:asciiTheme="minorHAnsi" w:hAnsiTheme="minorHAnsi" w:cstheme="minorHAnsi"/>
          <w:sz w:val="22"/>
          <w:szCs w:val="22"/>
          <w:lang w:val="es-ES_tradnl"/>
        </w:rPr>
        <w:t>áreas protegid</w:t>
      </w:r>
      <w:r w:rsidR="009D510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as y otras medidas para 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 xml:space="preserve">aumentar la </w:t>
      </w:r>
      <w:r w:rsidR="009D510B" w:rsidRPr="00795FA5">
        <w:rPr>
          <w:rFonts w:asciiTheme="minorHAnsi" w:hAnsiTheme="minorHAnsi" w:cstheme="minorHAnsi"/>
          <w:sz w:val="22"/>
          <w:szCs w:val="22"/>
          <w:lang w:val="es-ES_tradnl"/>
        </w:rPr>
        <w:t>conservación y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 xml:space="preserve"> la</w:t>
      </w:r>
      <w:r w:rsidR="009D510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gestión, 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>diversidad biológica</w:t>
      </w:r>
      <w:r w:rsidR="009D510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cambio climático: 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 xml:space="preserve">enfoques basados en </w:t>
      </w:r>
      <w:r w:rsidR="009B55A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ecosistemas para la adaptación al cambio climático y la reducción del riesgo de desastres, y 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>el segundo</w:t>
      </w:r>
      <w:r w:rsidR="009B55A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programa</w:t>
      </w:r>
      <w:r w:rsidR="009B55A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trabajo de la </w:t>
      </w:r>
      <w:r w:rsidR="00021462" w:rsidRPr="00795FA5">
        <w:rPr>
          <w:rFonts w:asciiTheme="minorHAnsi" w:hAnsiTheme="minorHAnsi" w:cstheme="minorHAnsi"/>
          <w:sz w:val="22"/>
          <w:szCs w:val="22"/>
          <w:lang w:val="es-ES_tradnl"/>
        </w:rPr>
        <w:t>IPBES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75CBF39" w14:textId="77777777" w:rsidR="00DD4547" w:rsidRPr="00795FA5" w:rsidRDefault="00DD4547" w:rsidP="00AA2B27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C20A5C1" w14:textId="14F497D9" w:rsidR="00DD4547" w:rsidRPr="00795FA5" w:rsidRDefault="00BE0B1E" w:rsidP="00AA2B27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17.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CC7716" w:rsidRPr="00795FA5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C771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participó en la Conferencia </w:t>
      </w:r>
      <w:r w:rsidR="00CC7716" w:rsidRPr="00080B35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080B35" w:rsidRPr="00080B35">
        <w:rPr>
          <w:rFonts w:asciiTheme="minorHAnsi" w:hAnsiTheme="minorHAnsi" w:cstheme="minorHAnsi"/>
          <w:sz w:val="22"/>
          <w:szCs w:val="22"/>
          <w:lang w:val="es-ES_tradnl"/>
        </w:rPr>
        <w:t xml:space="preserve">la ONU sobre Biodiversidad, </w:t>
      </w:r>
      <w:r w:rsidR="00111B7B" w:rsidRPr="00080B35">
        <w:rPr>
          <w:rFonts w:asciiTheme="minorHAnsi" w:hAnsiTheme="minorHAnsi" w:cstheme="minorHAnsi"/>
          <w:sz w:val="22"/>
          <w:szCs w:val="22"/>
          <w:lang w:val="es-ES_tradnl"/>
        </w:rPr>
        <w:t>celebrada</w:t>
      </w:r>
      <w:r w:rsidR="00CC7716" w:rsidRPr="00080B35">
        <w:rPr>
          <w:rFonts w:asciiTheme="minorHAnsi" w:hAnsiTheme="minorHAnsi" w:cstheme="minorHAnsi"/>
          <w:sz w:val="22"/>
          <w:szCs w:val="22"/>
          <w:lang w:val="es-ES_tradnl"/>
        </w:rPr>
        <w:t xml:space="preserve"> del 13 al 29 de </w:t>
      </w:r>
      <w:r w:rsidR="00111B7B" w:rsidRPr="00080B35">
        <w:rPr>
          <w:rFonts w:asciiTheme="minorHAnsi" w:hAnsiTheme="minorHAnsi" w:cstheme="minorHAnsi"/>
          <w:sz w:val="22"/>
          <w:szCs w:val="22"/>
          <w:lang w:val="es-ES_tradnl"/>
        </w:rPr>
        <w:t>noviembre</w:t>
      </w:r>
      <w:r w:rsidR="00CC7716" w:rsidRPr="00080B35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DD4547" w:rsidRPr="00080B35">
        <w:rPr>
          <w:rFonts w:asciiTheme="minorHAnsi" w:hAnsiTheme="minorHAnsi" w:cstheme="minorHAnsi"/>
          <w:sz w:val="22"/>
          <w:szCs w:val="22"/>
          <w:lang w:val="es-ES_tradnl"/>
        </w:rPr>
        <w:t>2018</w:t>
      </w:r>
      <w:r w:rsidR="00CC7716" w:rsidRPr="00080B35">
        <w:rPr>
          <w:rFonts w:asciiTheme="minorHAnsi" w:hAnsiTheme="minorHAnsi" w:cstheme="minorHAnsi"/>
          <w:sz w:val="22"/>
          <w:szCs w:val="22"/>
          <w:lang w:val="es-ES_tradnl"/>
        </w:rPr>
        <w:t xml:space="preserve"> en </w:t>
      </w:r>
      <w:r w:rsidR="00DD4547" w:rsidRPr="00080B35">
        <w:rPr>
          <w:rFonts w:asciiTheme="minorHAnsi" w:hAnsiTheme="minorHAnsi" w:cstheme="minorHAnsi"/>
          <w:sz w:val="22"/>
          <w:szCs w:val="22"/>
          <w:lang w:val="es-ES_tradnl"/>
        </w:rPr>
        <w:t xml:space="preserve">Sharm 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DD4547" w:rsidRPr="00080B35">
        <w:rPr>
          <w:rFonts w:asciiTheme="minorHAnsi" w:hAnsiTheme="minorHAnsi" w:cstheme="minorHAnsi"/>
          <w:sz w:val="22"/>
          <w:szCs w:val="22"/>
          <w:lang w:val="es-ES_tradnl"/>
        </w:rPr>
        <w:t>Sheikh</w:t>
      </w:r>
      <w:r w:rsidR="00CC7716" w:rsidRPr="00080B35">
        <w:rPr>
          <w:rFonts w:asciiTheme="minorHAnsi" w:hAnsiTheme="minorHAnsi" w:cstheme="minorHAnsi"/>
          <w:sz w:val="22"/>
          <w:szCs w:val="22"/>
          <w:lang w:val="es-ES_tradnl"/>
        </w:rPr>
        <w:t xml:space="preserve"> (Egipto) </w:t>
      </w:r>
      <w:r w:rsidR="00080B35" w:rsidRPr="00080B35">
        <w:rPr>
          <w:rFonts w:asciiTheme="minorHAnsi" w:hAnsiTheme="minorHAnsi" w:cstheme="minorHAnsi"/>
          <w:sz w:val="22"/>
          <w:szCs w:val="22"/>
          <w:lang w:val="es-ES_tradnl"/>
        </w:rPr>
        <w:t xml:space="preserve">bajo el lema </w:t>
      </w:r>
      <w:r w:rsidR="00DD4547" w:rsidRPr="00080B35">
        <w:rPr>
          <w:rFonts w:asciiTheme="minorHAnsi" w:hAnsiTheme="minorHAnsi" w:cstheme="minorHAnsi"/>
          <w:sz w:val="22"/>
          <w:szCs w:val="22"/>
          <w:lang w:val="es-ES_tradnl"/>
        </w:rPr>
        <w:t>“</w:t>
      </w:r>
      <w:r w:rsidR="00080B35" w:rsidRPr="00080B35">
        <w:rPr>
          <w:rFonts w:asciiTheme="minorHAnsi" w:hAnsiTheme="minorHAnsi" w:cstheme="minorHAnsi"/>
          <w:sz w:val="22"/>
          <w:szCs w:val="22"/>
          <w:lang w:val="es-ES_tradnl"/>
        </w:rPr>
        <w:t>Invertir en biodiversidad para las personas y el planeta”.</w:t>
      </w:r>
      <w:r w:rsidR="00DD4547" w:rsidRPr="00080B3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C7716" w:rsidRPr="00080B35">
        <w:rPr>
          <w:rFonts w:asciiTheme="minorHAnsi" w:hAnsiTheme="minorHAnsi" w:cstheme="minorHAnsi"/>
          <w:sz w:val="22"/>
          <w:szCs w:val="22"/>
          <w:lang w:val="es-ES_tradnl"/>
        </w:rPr>
        <w:t xml:space="preserve">La Secretaria </w:t>
      </w:r>
      <w:r w:rsidR="00DD4547" w:rsidRPr="00080B35">
        <w:rPr>
          <w:rFonts w:asciiTheme="minorHAnsi" w:hAnsiTheme="minorHAnsi" w:cstheme="minorHAnsi"/>
          <w:sz w:val="22"/>
          <w:szCs w:val="22"/>
          <w:lang w:val="es-ES_tradnl"/>
        </w:rPr>
        <w:t>General</w:t>
      </w:r>
      <w:r w:rsidR="00656C5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D70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realizó una declaración en </w:t>
      </w:r>
      <w:r w:rsidR="00080B35">
        <w:rPr>
          <w:rFonts w:asciiTheme="minorHAnsi" w:hAnsiTheme="minorHAnsi" w:cstheme="minorHAnsi"/>
          <w:sz w:val="22"/>
          <w:szCs w:val="22"/>
          <w:lang w:val="es-ES_tradnl"/>
        </w:rPr>
        <w:t xml:space="preserve">la Cumbre </w:t>
      </w:r>
      <w:r w:rsidR="00080B35" w:rsidRPr="00D5642E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 xml:space="preserve">Ministerial Africana sobre Biodiversidad </w:t>
      </w:r>
      <w:r w:rsidR="00BD7034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111B7B" w:rsidRPr="00D5642E">
        <w:rPr>
          <w:rFonts w:asciiTheme="minorHAnsi" w:hAnsiTheme="minorHAnsi" w:cstheme="minorHAnsi"/>
          <w:sz w:val="22"/>
          <w:szCs w:val="22"/>
          <w:lang w:val="es-ES_tradnl"/>
        </w:rPr>
        <w:t>participó</w:t>
      </w:r>
      <w:r w:rsidR="00080B35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como ponente en </w:t>
      </w:r>
      <w:r w:rsidR="00BD7034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la sesión sobre el </w:t>
      </w:r>
      <w:r w:rsidR="00080B35" w:rsidRPr="00D5642E">
        <w:rPr>
          <w:rFonts w:asciiTheme="minorHAnsi" w:hAnsiTheme="minorHAnsi" w:cstheme="minorHAnsi"/>
          <w:sz w:val="22"/>
          <w:szCs w:val="22"/>
          <w:lang w:val="es-ES_tradnl"/>
        </w:rPr>
        <w:t>marco mundial de la diversidad biológica posterior a 2020</w:t>
      </w:r>
      <w:r w:rsidR="00487526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D7034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y la </w:t>
      </w:r>
      <w:r w:rsidR="00111B7B" w:rsidRPr="00D5642E">
        <w:rPr>
          <w:rFonts w:asciiTheme="minorHAnsi" w:hAnsiTheme="minorHAnsi" w:cstheme="minorHAnsi"/>
          <w:sz w:val="22"/>
          <w:szCs w:val="22"/>
          <w:lang w:val="es-ES_tradnl"/>
        </w:rPr>
        <w:t>visión</w:t>
      </w:r>
      <w:r w:rsidR="007508B6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para</w:t>
      </w:r>
      <w:r w:rsidR="00BD7034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D4547" w:rsidRPr="00D5642E">
        <w:rPr>
          <w:rFonts w:asciiTheme="minorHAnsi" w:hAnsiTheme="minorHAnsi" w:cstheme="minorHAnsi"/>
          <w:sz w:val="22"/>
          <w:szCs w:val="22"/>
          <w:lang w:val="es-ES_tradnl"/>
        </w:rPr>
        <w:t>2050</w:t>
      </w:r>
      <w:r w:rsidR="00487526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7508B6" w:rsidRPr="00D5642E">
        <w:rPr>
          <w:rFonts w:asciiTheme="minorHAnsi" w:hAnsiTheme="minorHAnsi" w:cstheme="minorHAnsi"/>
          <w:sz w:val="22"/>
          <w:szCs w:val="22"/>
          <w:lang w:val="es-ES_tradnl"/>
        </w:rPr>
        <w:t>en la cual pronunció una declaración e</w:t>
      </w:r>
      <w:r w:rsidR="00A77610" w:rsidRPr="00D5642E">
        <w:rPr>
          <w:rFonts w:asciiTheme="minorHAnsi" w:hAnsiTheme="minorHAnsi" w:cstheme="minorHAnsi"/>
          <w:sz w:val="22"/>
          <w:szCs w:val="22"/>
          <w:lang w:val="es-ES_tradnl"/>
        </w:rPr>
        <w:t>n nom</w:t>
      </w:r>
      <w:r w:rsidR="007508B6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bre de las ocho convenciones </w:t>
      </w:r>
      <w:r w:rsidR="00A77610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relacionadas con la biodiversidad. La </w:t>
      </w:r>
      <w:r w:rsidR="00EB0208" w:rsidRPr="00D5642E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DD4547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96DF1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también trabajó con las </w:t>
      </w:r>
      <w:r w:rsidR="00EB0208" w:rsidRPr="00D5642E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DD4547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s </w:t>
      </w:r>
      <w:r w:rsidR="00817C09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de los miembros del </w:t>
      </w:r>
      <w:r w:rsidR="00DD4547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BLG </w:t>
      </w:r>
      <w:r w:rsidR="00817C09" w:rsidRPr="00D5642E">
        <w:rPr>
          <w:rFonts w:asciiTheme="minorHAnsi" w:hAnsiTheme="minorHAnsi" w:cstheme="minorHAnsi"/>
          <w:sz w:val="22"/>
          <w:szCs w:val="22"/>
          <w:lang w:val="es-ES_tradnl"/>
        </w:rPr>
        <w:t>en la prepa</w:t>
      </w:r>
      <w:r w:rsidR="007508B6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ración y </w:t>
      </w:r>
      <w:r w:rsidR="00111B7B" w:rsidRPr="00D5642E">
        <w:rPr>
          <w:rFonts w:asciiTheme="minorHAnsi" w:hAnsiTheme="minorHAnsi" w:cstheme="minorHAnsi"/>
          <w:sz w:val="22"/>
          <w:szCs w:val="22"/>
          <w:lang w:val="es-ES_tradnl"/>
        </w:rPr>
        <w:t>presentación</w:t>
      </w:r>
      <w:r w:rsidR="00817C09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111B7B" w:rsidRPr="00D5642E">
        <w:rPr>
          <w:rFonts w:asciiTheme="minorHAnsi" w:hAnsiTheme="minorHAnsi" w:cstheme="minorHAnsi"/>
          <w:sz w:val="22"/>
          <w:szCs w:val="22"/>
          <w:lang w:val="es-ES_tradnl"/>
        </w:rPr>
        <w:t>declaraciones</w:t>
      </w:r>
      <w:r w:rsidR="00817C09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conjuntas sobre el </w:t>
      </w:r>
      <w:r w:rsidR="007508B6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marco mundial de la diversidad biológica posterior a 2020 </w:t>
      </w:r>
      <w:r w:rsidR="00817C09" w:rsidRPr="00D5642E">
        <w:rPr>
          <w:rFonts w:asciiTheme="minorHAnsi" w:hAnsiTheme="minorHAnsi" w:cstheme="minorHAnsi"/>
          <w:sz w:val="22"/>
          <w:szCs w:val="22"/>
          <w:lang w:val="es-ES_tradnl"/>
        </w:rPr>
        <w:t>y sobre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la cooperación con otras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convenciones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Junto con los otros miembros del BLG, la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participó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pomo ponente en el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evento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D4547" w:rsidRPr="008556B8">
        <w:rPr>
          <w:rFonts w:asciiTheme="minorHAnsi" w:hAnsiTheme="minorHAnsi" w:cstheme="minorHAnsi"/>
          <w:i/>
          <w:sz w:val="22"/>
          <w:szCs w:val="22"/>
          <w:lang w:val="es-ES_tradnl"/>
        </w:rPr>
        <w:t>The Conventions la</w:t>
      </w:r>
      <w:r w:rsidR="008556B8" w:rsidRPr="008556B8">
        <w:rPr>
          <w:rFonts w:asciiTheme="minorHAnsi" w:hAnsiTheme="minorHAnsi" w:cstheme="minorHAnsi"/>
          <w:i/>
          <w:sz w:val="22"/>
          <w:szCs w:val="22"/>
          <w:lang w:val="es-ES_tradnl"/>
        </w:rPr>
        <w:t>ndscape in a post-2020 context</w:t>
      </w:r>
      <w:r w:rsidR="007508B6">
        <w:rPr>
          <w:rFonts w:asciiTheme="minorHAnsi" w:hAnsiTheme="minorHAnsi" w:cstheme="minorHAnsi"/>
          <w:sz w:val="22"/>
          <w:szCs w:val="22"/>
          <w:lang w:val="es-ES_tradnl"/>
        </w:rPr>
        <w:t xml:space="preserve"> [El paisaje de las convenciones en un contexto posterior a 2020]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organizado por el PNUMA, y </w:t>
      </w:r>
      <w:r w:rsidR="00817C09" w:rsidRPr="008556B8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DD4547" w:rsidRPr="008556B8">
        <w:rPr>
          <w:rFonts w:asciiTheme="minorHAnsi" w:hAnsiTheme="minorHAnsi" w:cstheme="minorHAnsi"/>
          <w:i/>
          <w:sz w:val="22"/>
          <w:szCs w:val="22"/>
          <w:lang w:val="es-ES_tradnl"/>
        </w:rPr>
        <w:t>Target 11 Day</w:t>
      </w:r>
      <w:r w:rsid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[Día de la M</w:t>
      </w:r>
      <w:r w:rsidR="008556B8" w:rsidRPr="008556B8">
        <w:rPr>
          <w:rFonts w:asciiTheme="minorHAnsi" w:hAnsiTheme="minorHAnsi" w:cstheme="minorHAnsi"/>
          <w:sz w:val="22"/>
          <w:szCs w:val="22"/>
          <w:lang w:val="es-ES_tradnl"/>
        </w:rPr>
        <w:t xml:space="preserve">eta 11] para inaugurar </w:t>
      </w:r>
      <w:r w:rsidR="008556B8">
        <w:rPr>
          <w:rFonts w:asciiTheme="minorHAnsi" w:hAnsiTheme="minorHAnsi" w:cstheme="minorHAnsi"/>
          <w:sz w:val="22"/>
          <w:szCs w:val="22"/>
          <w:lang w:val="es-ES_tradnl"/>
        </w:rPr>
        <w:t>la iniciativa</w:t>
      </w:r>
      <w:r w:rsidR="008556B8" w:rsidRPr="008556B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D4547" w:rsidRPr="008556B8">
        <w:rPr>
          <w:rFonts w:asciiTheme="minorHAnsi" w:hAnsiTheme="minorHAnsi" w:cstheme="minorHAnsi"/>
          <w:i/>
          <w:sz w:val="22"/>
          <w:szCs w:val="22"/>
          <w:lang w:val="es-ES_tradnl"/>
        </w:rPr>
        <w:t>Partnership for Achieving Aichi Biodiversity Target 11 with Attendant Multiple Benefits</w:t>
      </w:r>
      <w:r w:rsid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[Alianza para lograr la M</w:t>
      </w:r>
      <w:r w:rsidR="008556B8" w:rsidRPr="008556B8">
        <w:rPr>
          <w:rFonts w:asciiTheme="minorHAnsi" w:hAnsiTheme="minorHAnsi" w:cstheme="minorHAnsi"/>
          <w:sz w:val="22"/>
          <w:szCs w:val="22"/>
          <w:lang w:val="es-ES_tradnl"/>
        </w:rPr>
        <w:t>eta 11 de Aichi para la Diversidad Biológica con múltiples beneficios asociados</w:t>
      </w:r>
      <w:r w:rsidR="008556B8">
        <w:rPr>
          <w:rFonts w:asciiTheme="minorHAnsi" w:hAnsiTheme="minorHAnsi" w:cstheme="minorHAnsi"/>
          <w:sz w:val="22"/>
          <w:szCs w:val="22"/>
          <w:lang w:val="es-ES_tradnl"/>
        </w:rPr>
        <w:t>], organizado por l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del </w:t>
      </w:r>
      <w:r w:rsidR="00817C09" w:rsidRPr="008556B8">
        <w:rPr>
          <w:rFonts w:asciiTheme="minorHAnsi" w:hAnsiTheme="minorHAnsi" w:cstheme="minorHAnsi"/>
          <w:sz w:val="22"/>
          <w:szCs w:val="22"/>
          <w:lang w:val="es-ES_tradnl"/>
        </w:rPr>
        <w:t>CDB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la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Comisión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Mundial de Áreas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Protegidas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556B8">
        <w:rPr>
          <w:rFonts w:asciiTheme="minorHAnsi" w:hAnsiTheme="minorHAnsi" w:cstheme="minorHAnsi"/>
          <w:sz w:val="22"/>
          <w:szCs w:val="22"/>
          <w:lang w:val="es-ES_tradnl"/>
        </w:rPr>
        <w:t>d</w:t>
      </w:r>
      <w:r w:rsidR="00817C09" w:rsidRPr="00795FA5">
        <w:rPr>
          <w:rFonts w:asciiTheme="minorHAnsi" w:hAnsiTheme="minorHAnsi" w:cstheme="minorHAnsi"/>
          <w:sz w:val="22"/>
          <w:szCs w:val="22"/>
          <w:lang w:val="es-ES_tradnl"/>
        </w:rPr>
        <w:t>e la UICN con el apoyo de la Unión Europea</w:t>
      </w:r>
      <w:r w:rsidR="001C6B44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7B83B1DB" w14:textId="2EF8255D" w:rsidR="00DD4547" w:rsidRPr="00795FA5" w:rsidRDefault="00DD4547" w:rsidP="00AA2B27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64B091C" w14:textId="4305F7F3" w:rsidR="00DD4547" w:rsidRPr="00795FA5" w:rsidRDefault="00BE0B1E" w:rsidP="00AA2B27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18.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B0B1B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8556B8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objetivo </w:t>
      </w:r>
      <w:r w:rsidR="00111B7B" w:rsidRPr="00D5642E">
        <w:rPr>
          <w:rFonts w:asciiTheme="minorHAnsi" w:hAnsiTheme="minorHAnsi" w:cstheme="minorHAnsi"/>
          <w:sz w:val="22"/>
          <w:szCs w:val="22"/>
          <w:lang w:val="es-ES_tradnl"/>
        </w:rPr>
        <w:t>principal</w:t>
      </w:r>
      <w:r w:rsidR="000B0B1B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556B8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durante el trienio </w:t>
      </w:r>
      <w:r w:rsidR="000B0B1B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es participar activamente para </w:t>
      </w:r>
      <w:r w:rsidR="00111B7B" w:rsidRPr="00D5642E">
        <w:rPr>
          <w:rFonts w:asciiTheme="minorHAnsi" w:hAnsiTheme="minorHAnsi" w:cstheme="minorHAnsi"/>
          <w:sz w:val="22"/>
          <w:szCs w:val="22"/>
          <w:lang w:val="es-ES_tradnl"/>
        </w:rPr>
        <w:t>aumentar</w:t>
      </w:r>
      <w:r w:rsidR="000B0B1B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la </w:t>
      </w:r>
      <w:r w:rsidR="00111B7B" w:rsidRPr="00D5642E">
        <w:rPr>
          <w:rFonts w:asciiTheme="minorHAnsi" w:hAnsiTheme="minorHAnsi" w:cstheme="minorHAnsi"/>
          <w:sz w:val="22"/>
          <w:szCs w:val="22"/>
          <w:lang w:val="es-ES_tradnl"/>
        </w:rPr>
        <w:t>visibilidad</w:t>
      </w:r>
      <w:r w:rsidR="000B0B1B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y la pertinencia</w:t>
      </w:r>
      <w:r w:rsidR="008556B8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B0B1B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del papel de los </w:t>
      </w:r>
      <w:r w:rsidR="00111B7B" w:rsidRPr="00D5642E">
        <w:rPr>
          <w:rFonts w:asciiTheme="minorHAnsi" w:hAnsiTheme="minorHAnsi" w:cstheme="minorHAnsi"/>
          <w:sz w:val="22"/>
          <w:szCs w:val="22"/>
          <w:lang w:val="es-ES_tradnl"/>
        </w:rPr>
        <w:t>humedales</w:t>
      </w:r>
      <w:r w:rsidR="008556B8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en el proceso</w:t>
      </w:r>
      <w:r w:rsidR="000B0B1B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del</w:t>
      </w:r>
      <w:r w:rsidR="00DD4547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556B8" w:rsidRPr="00D5642E">
        <w:rPr>
          <w:rFonts w:asciiTheme="minorHAnsi" w:hAnsiTheme="minorHAnsi" w:cstheme="minorHAnsi"/>
          <w:sz w:val="22"/>
          <w:szCs w:val="22"/>
          <w:lang w:val="es-ES_tradnl"/>
        </w:rPr>
        <w:t>marco mundial de la diversidad biológica posterior a 2020</w:t>
      </w:r>
      <w:r w:rsidR="00875234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D4547" w:rsidRPr="00D5642E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0B0B1B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Decisión </w:t>
      </w:r>
      <w:r w:rsidR="00875234" w:rsidRPr="00D5642E">
        <w:rPr>
          <w:rFonts w:asciiTheme="minorHAnsi" w:hAnsiTheme="minorHAnsi" w:cstheme="minorHAnsi"/>
          <w:sz w:val="22"/>
          <w:szCs w:val="22"/>
          <w:lang w:val="es-ES_tradnl"/>
        </w:rPr>
        <w:t>14/</w:t>
      </w:r>
      <w:r w:rsidR="00DD4547" w:rsidRPr="00D5642E">
        <w:rPr>
          <w:rFonts w:asciiTheme="minorHAnsi" w:hAnsiTheme="minorHAnsi" w:cstheme="minorHAnsi"/>
          <w:sz w:val="22"/>
          <w:szCs w:val="22"/>
          <w:lang w:val="es-ES_tradnl"/>
        </w:rPr>
        <w:t>34</w:t>
      </w:r>
      <w:r w:rsidR="008556B8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del CDB) y otros procesos en consonancia con </w:t>
      </w:r>
      <w:r w:rsidR="000B0B1B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2F3D04" w:rsidRPr="00D5642E">
        <w:rPr>
          <w:rFonts w:asciiTheme="minorHAnsi" w:hAnsiTheme="minorHAnsi" w:cstheme="minorHAnsi"/>
          <w:sz w:val="22"/>
          <w:szCs w:val="22"/>
          <w:lang w:val="es-ES_tradnl"/>
        </w:rPr>
        <w:t>Resolución</w:t>
      </w:r>
      <w:r w:rsidR="00DD4547" w:rsidRPr="00D5642E">
        <w:rPr>
          <w:rFonts w:asciiTheme="minorHAnsi" w:hAnsiTheme="minorHAnsi" w:cstheme="minorHAnsi"/>
          <w:sz w:val="22"/>
          <w:szCs w:val="22"/>
          <w:lang w:val="es-ES_tradnl"/>
        </w:rPr>
        <w:t xml:space="preserve"> XIII.7 </w:t>
      </w:r>
      <w:r w:rsidR="009B6816" w:rsidRPr="00D5642E">
        <w:rPr>
          <w:rFonts w:asciiTheme="minorHAnsi" w:hAnsiTheme="minorHAnsi" w:cstheme="minorHAnsi"/>
          <w:sz w:val="22"/>
          <w:szCs w:val="22"/>
          <w:lang w:val="es-ES_tradnl"/>
        </w:rPr>
        <w:t>de Ramsar</w:t>
      </w:r>
      <w:r w:rsidR="009B681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las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decisiones</w:t>
      </w:r>
      <w:r w:rsidR="009B681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75234" w:rsidRPr="00795FA5">
        <w:rPr>
          <w:rFonts w:asciiTheme="minorHAnsi" w:hAnsiTheme="minorHAnsi" w:cstheme="minorHAnsi"/>
          <w:sz w:val="22"/>
          <w:szCs w:val="22"/>
          <w:lang w:val="es-ES_tradnl"/>
        </w:rPr>
        <w:t>13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/24 </w:t>
      </w:r>
      <w:r w:rsidR="009B6816" w:rsidRPr="00795FA5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75234" w:rsidRPr="00795FA5">
        <w:rPr>
          <w:rFonts w:asciiTheme="minorHAnsi" w:hAnsiTheme="minorHAnsi" w:cstheme="minorHAnsi"/>
          <w:sz w:val="22"/>
          <w:szCs w:val="22"/>
          <w:lang w:val="es-ES_tradnl"/>
        </w:rPr>
        <w:t>14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>/30</w:t>
      </w:r>
      <w:r w:rsidR="00875234" w:rsidRPr="00795FA5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B681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que son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pertinentes</w:t>
      </w:r>
      <w:r w:rsidR="009B681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para la labor de la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Convención</w:t>
      </w:r>
      <w:r w:rsidR="009B681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Ramsar</w:t>
      </w:r>
      <w:r w:rsidR="00DD4547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7C5019F2" w14:textId="77777777" w:rsidR="00F57BED" w:rsidRPr="00795FA5" w:rsidRDefault="00F57BED" w:rsidP="00F61CAA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14:paraId="0938EAEF" w14:textId="564267E1" w:rsidR="00A52667" w:rsidRPr="00795FA5" w:rsidRDefault="009B6816" w:rsidP="001C6B44">
      <w:pPr>
        <w:keepNext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>Convención sobre la conservación de las especies migratorias de animales silvestres</w:t>
      </w:r>
    </w:p>
    <w:p w14:paraId="4C9812E8" w14:textId="77777777" w:rsidR="009B6816" w:rsidRPr="00795FA5" w:rsidRDefault="009B6816" w:rsidP="001C6B44">
      <w:pPr>
        <w:keepNext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9B07367" w14:textId="276E4942" w:rsidR="00A52667" w:rsidRPr="00795FA5" w:rsidRDefault="00BE0B1E" w:rsidP="00BE0B1E">
      <w:pPr>
        <w:ind w:left="425" w:hanging="425"/>
        <w:rPr>
          <w:bCs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19.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9B681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B6816" w:rsidRPr="00795FA5">
        <w:rPr>
          <w:rFonts w:asciiTheme="minorHAnsi" w:hAnsiTheme="minorHAnsi" w:cstheme="minorHAnsi"/>
          <w:sz w:val="22"/>
          <w:szCs w:val="22"/>
          <w:lang w:val="es-ES_tradnl"/>
        </w:rPr>
        <w:t>participó en</w:t>
      </w:r>
      <w:r w:rsidR="007E7E2A">
        <w:rPr>
          <w:rFonts w:asciiTheme="minorHAnsi" w:hAnsiTheme="minorHAnsi" w:cstheme="minorHAnsi"/>
          <w:sz w:val="22"/>
          <w:szCs w:val="22"/>
          <w:lang w:val="es-ES_tradnl"/>
        </w:rPr>
        <w:t xml:space="preserve"> el Grupo de Trabajo sobre Energía </w:t>
      </w:r>
      <w:r w:rsidR="009B681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la CEM y en dos eventos paralelos en la 14ª reunión de la Conferencia de las Partes </w:t>
      </w:r>
      <w:r w:rsidR="00C26C2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el CDB, </w:t>
      </w:r>
      <w:r w:rsidR="00D974A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sobre las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contribuciones</w:t>
      </w:r>
      <w:r w:rsidR="00D974A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CEM al </w:t>
      </w:r>
      <w:r w:rsidR="007E7E2A">
        <w:rPr>
          <w:rFonts w:asciiTheme="minorHAnsi" w:hAnsiTheme="minorHAnsi" w:cstheme="minorHAnsi"/>
          <w:sz w:val="22"/>
          <w:szCs w:val="22"/>
          <w:lang w:val="es-ES_tradnl"/>
        </w:rPr>
        <w:t xml:space="preserve">marco posterior a </w:t>
      </w:r>
      <w:r w:rsidR="00C60C7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2020 </w:t>
      </w:r>
      <w:r w:rsidR="008E44BC">
        <w:rPr>
          <w:rFonts w:asciiTheme="minorHAnsi" w:hAnsiTheme="minorHAnsi" w:cstheme="minorHAnsi"/>
          <w:sz w:val="22"/>
          <w:szCs w:val="22"/>
          <w:lang w:val="es-ES_tradnl"/>
        </w:rPr>
        <w:t xml:space="preserve">y más adelante </w:t>
      </w:r>
      <w:r w:rsidR="00D974AF" w:rsidRPr="00795FA5">
        <w:rPr>
          <w:rFonts w:asciiTheme="minorHAnsi" w:hAnsiTheme="minorHAnsi" w:cstheme="minorHAnsi"/>
          <w:sz w:val="22"/>
          <w:szCs w:val="22"/>
          <w:lang w:val="es-ES_tradnl"/>
        </w:rPr>
        <w:t>y sobre la integración de la</w:t>
      </w:r>
      <w:r w:rsidR="00D043D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conservación</w:t>
      </w:r>
      <w:r w:rsidR="008E44BC">
        <w:rPr>
          <w:rFonts w:asciiTheme="minorHAnsi" w:hAnsiTheme="minorHAnsi" w:cstheme="minorHAnsi"/>
          <w:sz w:val="22"/>
          <w:szCs w:val="22"/>
          <w:lang w:val="es-ES_tradnl"/>
        </w:rPr>
        <w:t xml:space="preserve"> de las vías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migratorias</w:t>
      </w:r>
      <w:r w:rsidR="00D974A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E44BC">
        <w:rPr>
          <w:rFonts w:asciiTheme="minorHAnsi" w:hAnsiTheme="minorHAnsi" w:cstheme="minorHAnsi"/>
          <w:sz w:val="22"/>
          <w:szCs w:val="22"/>
          <w:lang w:val="es-ES_tradnl"/>
        </w:rPr>
        <w:t>en las distintas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convenciones, organizados </w:t>
      </w:r>
      <w:r w:rsidR="00D974A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por la </w:t>
      </w:r>
      <w:r w:rsidR="00111B7B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D974A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CEM y </w:t>
      </w:r>
      <w:r w:rsidR="00D043D3" w:rsidRPr="00795FA5">
        <w:rPr>
          <w:rFonts w:asciiTheme="minorHAnsi" w:hAnsiTheme="minorHAnsi" w:cstheme="minorHAnsi"/>
          <w:sz w:val="22"/>
          <w:szCs w:val="22"/>
          <w:lang w:val="es-ES_tradnl"/>
        </w:rPr>
        <w:t>BirdLife International.</w:t>
      </w:r>
    </w:p>
    <w:p w14:paraId="76AE336B" w14:textId="77777777" w:rsidR="00D64B39" w:rsidRPr="00795FA5" w:rsidRDefault="00D64B39" w:rsidP="00F61CAA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14:paraId="2F24384F" w14:textId="373C069A" w:rsidR="00D12F8D" w:rsidRDefault="00D12F8D" w:rsidP="00D12F8D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D12F8D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Acuerdo sobre la Conservación de las Aves Acuáticas Migratorias de África y Eurasia </w:t>
      </w:r>
    </w:p>
    <w:p w14:paraId="14D61053" w14:textId="77777777" w:rsidR="00D12F8D" w:rsidRPr="00D12F8D" w:rsidRDefault="00D12F8D" w:rsidP="00D12F8D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14:paraId="3C9EDE72" w14:textId="411BAF71" w:rsidR="00C22B32" w:rsidRPr="00795FA5" w:rsidRDefault="00BE0B1E" w:rsidP="00D12F8D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20.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E677D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E677D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C60C7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Ramsar </w:t>
      </w:r>
      <w:r w:rsidR="00E677D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participó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activamente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en la 7ª Reunión de las Partes en el </w:t>
      </w:r>
      <w:r w:rsidR="00D12F8D" w:rsidRPr="00D12F8D">
        <w:rPr>
          <w:rFonts w:asciiTheme="minorHAnsi" w:hAnsiTheme="minorHAnsi" w:cstheme="minorHAnsi"/>
          <w:sz w:val="22"/>
          <w:szCs w:val="22"/>
          <w:lang w:val="es-ES_tradnl"/>
        </w:rPr>
        <w:t>Acuerdo sobre la Conservación de las Aves Acuáticas Migratorias de África y Eurasia</w:t>
      </w:r>
      <w:r w:rsidR="00C22B32" w:rsidRP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(AEWA)</w:t>
      </w:r>
      <w:r w:rsidR="00E677D7" w:rsidRPr="00D12F8D">
        <w:rPr>
          <w:rFonts w:asciiTheme="minorHAnsi" w:hAnsiTheme="minorHAnsi" w:cstheme="minorHAnsi"/>
          <w:sz w:val="22"/>
          <w:szCs w:val="22"/>
          <w:lang w:val="es-ES_tradnl"/>
        </w:rPr>
        <w:t xml:space="preserve">, celebrada del </w:t>
      </w:r>
      <w:r w:rsidR="00C22B32" w:rsidRPr="00D12F8D">
        <w:rPr>
          <w:rFonts w:asciiTheme="minorHAnsi" w:hAnsiTheme="minorHAnsi" w:cstheme="minorHAnsi"/>
          <w:sz w:val="22"/>
          <w:szCs w:val="22"/>
          <w:lang w:val="es-ES_tradnl"/>
        </w:rPr>
        <w:t>4</w:t>
      </w:r>
      <w:r w:rsidR="00C60C7A" w:rsidRP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677D7" w:rsidRPr="00D12F8D">
        <w:rPr>
          <w:rFonts w:asciiTheme="minorHAnsi" w:hAnsiTheme="minorHAnsi" w:cstheme="minorHAnsi"/>
          <w:sz w:val="22"/>
          <w:szCs w:val="22"/>
          <w:lang w:val="es-ES_tradnl"/>
        </w:rPr>
        <w:t xml:space="preserve">al </w:t>
      </w:r>
      <w:r w:rsidR="00C22B32" w:rsidRPr="00D12F8D">
        <w:rPr>
          <w:rFonts w:asciiTheme="minorHAnsi" w:hAnsiTheme="minorHAnsi" w:cstheme="minorHAnsi"/>
          <w:sz w:val="22"/>
          <w:szCs w:val="22"/>
          <w:lang w:val="es-ES_tradnl"/>
        </w:rPr>
        <w:t xml:space="preserve">8 </w:t>
      </w:r>
      <w:r w:rsidR="00E677D7" w:rsidRPr="00D12F8D">
        <w:rPr>
          <w:rFonts w:asciiTheme="minorHAnsi" w:hAnsiTheme="minorHAnsi" w:cstheme="minorHAnsi"/>
          <w:sz w:val="22"/>
          <w:szCs w:val="22"/>
          <w:lang w:val="es-ES_tradnl"/>
        </w:rPr>
        <w:t xml:space="preserve">de diciembre de </w:t>
      </w:r>
      <w:r w:rsidR="00C22B32" w:rsidRPr="00D12F8D">
        <w:rPr>
          <w:rFonts w:asciiTheme="minorHAnsi" w:hAnsiTheme="minorHAnsi" w:cstheme="minorHAnsi"/>
          <w:sz w:val="22"/>
          <w:szCs w:val="22"/>
          <w:lang w:val="es-ES_tradnl"/>
        </w:rPr>
        <w:t xml:space="preserve">2018 </w:t>
      </w:r>
      <w:r w:rsidR="00E677D7" w:rsidRPr="00D12F8D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C22B32" w:rsidRPr="00D12F8D">
        <w:rPr>
          <w:rFonts w:asciiTheme="minorHAnsi" w:hAnsiTheme="minorHAnsi" w:cstheme="minorHAnsi"/>
          <w:sz w:val="22"/>
          <w:szCs w:val="22"/>
          <w:lang w:val="es-ES_tradnl"/>
        </w:rPr>
        <w:t>Durban</w:t>
      </w:r>
      <w:r w:rsidR="00E677D7" w:rsidRP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(Sudáfrica</w:t>
      </w:r>
      <w:r w:rsidR="00E677D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). La Secretaría </w:t>
      </w:r>
      <w:r w:rsidR="00AD5F8E">
        <w:rPr>
          <w:rFonts w:asciiTheme="minorHAnsi" w:hAnsiTheme="minorHAnsi" w:cstheme="minorHAnsi"/>
          <w:sz w:val="22"/>
          <w:szCs w:val="22"/>
          <w:lang w:val="es-ES_tradnl"/>
        </w:rPr>
        <w:t>organizó</w:t>
      </w:r>
      <w:r w:rsidR="00E677D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un evento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paralelo</w:t>
      </w:r>
      <w:r w:rsidR="00E677D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el que se 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>aportó un resumen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Perspectiva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Mundial sobre los Humedales y las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herramientas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prácticas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Ramsar para atajar las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amenazas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a 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>lo</w:t>
      </w:r>
      <w:r w:rsidR="00875E38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humedales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>. Las resoluciones a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>doptadas por la COP13 de Ramsar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sobre </w:t>
      </w:r>
      <w:r w:rsidR="00E0418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las 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>turberas (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resoluciones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XIII.12 y </w:t>
      </w:r>
      <w:r w:rsidR="005A147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XIII.13), </w:t>
      </w:r>
      <w:r w:rsidR="00364A6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621E7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carbono azul </w:t>
      </w:r>
      <w:r w:rsidR="005A147C" w:rsidRPr="00795FA5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>Resolución</w:t>
      </w:r>
      <w:r w:rsidR="005A147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XIII.14)</w:t>
      </w:r>
      <w:r w:rsidR="00364A6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la urbanización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sostenible</w:t>
      </w:r>
      <w:r w:rsidR="00364A6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el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cambio</w:t>
      </w:r>
      <w:r w:rsidR="00364A6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climático y los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humedales</w:t>
      </w:r>
      <w:r w:rsidR="00364A6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(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>R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esolución</w:t>
      </w:r>
      <w:r w:rsidR="005A147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XIII.16) 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se integraron </w:t>
      </w:r>
      <w:r w:rsidR="00364A6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las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resoluciones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y documentos </w:t>
      </w:r>
      <w:r w:rsidR="00364A6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C22B32" w:rsidRPr="00795FA5">
        <w:rPr>
          <w:rFonts w:asciiTheme="minorHAnsi" w:hAnsiTheme="minorHAnsi" w:cstheme="minorHAnsi"/>
          <w:sz w:val="22"/>
          <w:szCs w:val="22"/>
          <w:lang w:val="es-ES_tradnl"/>
        </w:rPr>
        <w:t>AEWA</w:t>
      </w:r>
      <w:r w:rsidR="00962081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C22B3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7F28CA32" w14:textId="77777777" w:rsidR="00A52667" w:rsidRPr="00795FA5" w:rsidRDefault="00A52667" w:rsidP="00BE0B1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0E287AB" w14:textId="27CEB9F5" w:rsidR="00A7527D" w:rsidRPr="00795FA5" w:rsidRDefault="00BE0B1E" w:rsidP="00BE0B1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21.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CF293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Secretaría de </w:t>
      </w:r>
      <w:r w:rsidR="00A752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Ramsar 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sigue trabajando con la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A752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AEWA 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sobre la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finalización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preparación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del curso de formación de formadores de </w:t>
      </w:r>
      <w:r w:rsidR="00A752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AEWA 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sobre la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conservación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de las vías migratorias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>para lo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 países francófonos de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África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oriental y central, que 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está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previsto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celebrar del </w:t>
      </w:r>
      <w:r w:rsidR="00A752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6 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al </w:t>
      </w:r>
      <w:r w:rsidR="00A752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10 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mayo de </w:t>
      </w:r>
      <w:r w:rsidR="00A752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2019 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A7527D" w:rsidRPr="00795FA5">
        <w:rPr>
          <w:rFonts w:asciiTheme="minorHAnsi" w:hAnsiTheme="minorHAnsi" w:cstheme="minorHAnsi"/>
          <w:sz w:val="22"/>
          <w:szCs w:val="22"/>
          <w:lang w:val="es-ES_tradnl"/>
        </w:rPr>
        <w:t>Cotonou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(Benin)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79448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El taller está dirigido a expertos técnicos de </w:t>
      </w:r>
      <w:r w:rsidR="00A752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17 </w:t>
      </w:r>
      <w:r w:rsidR="00845BF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países de la región. 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845BF0" w:rsidRPr="00795FA5">
        <w:rPr>
          <w:rFonts w:asciiTheme="minorHAnsi" w:hAnsiTheme="minorHAnsi" w:cstheme="minorHAnsi"/>
          <w:sz w:val="22"/>
          <w:szCs w:val="22"/>
          <w:lang w:val="es-ES_tradnl"/>
        </w:rPr>
        <w:t>n el momento de redactar el presente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documento</w:t>
      </w:r>
      <w:r w:rsidR="00845BF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se estaba trabajando en la 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>selección</w:t>
      </w:r>
      <w:r w:rsidR="00875E3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45BF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candidatos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 adecuados para la formación </w:t>
      </w:r>
      <w:r w:rsidR="00845BF0" w:rsidRPr="00795FA5">
        <w:rPr>
          <w:rFonts w:asciiTheme="minorHAnsi" w:hAnsiTheme="minorHAnsi" w:cstheme="minorHAnsi"/>
          <w:sz w:val="22"/>
          <w:szCs w:val="22"/>
          <w:lang w:val="es-ES_tradnl"/>
        </w:rPr>
        <w:t>con la colaboración de la Secretaría de Rams</w:t>
      </w:r>
      <w:r w:rsidR="00D12F8D">
        <w:rPr>
          <w:rFonts w:asciiTheme="minorHAnsi" w:hAnsiTheme="minorHAnsi" w:cstheme="minorHAnsi"/>
          <w:sz w:val="22"/>
          <w:szCs w:val="22"/>
          <w:lang w:val="es-ES_tradnl"/>
        </w:rPr>
        <w:t xml:space="preserve">ar y </w:t>
      </w:r>
      <w:r w:rsidR="00A752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AEWA </w:t>
      </w:r>
      <w:r w:rsidR="00845BF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había conseguido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financiación</w:t>
      </w:r>
      <w:r w:rsidR="00845BF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Comisión</w:t>
      </w:r>
      <w:r w:rsidR="00845BF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Europea</w:t>
      </w:r>
      <w:r w:rsidR="00A7527D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D6755C1" w14:textId="77777777" w:rsidR="00A7527D" w:rsidRPr="00795FA5" w:rsidRDefault="00A7527D" w:rsidP="00F61CAA">
      <w:pPr>
        <w:autoSpaceDE w:val="0"/>
        <w:autoSpaceDN w:val="0"/>
        <w:adjustRightInd w:val="0"/>
        <w:ind w:left="426" w:hanging="426"/>
        <w:rPr>
          <w:rStyle w:val="intro-resume2"/>
          <w:rFonts w:asciiTheme="minorHAnsi" w:hAnsiTheme="minorHAnsi" w:cstheme="minorHAnsi"/>
          <w:sz w:val="22"/>
          <w:szCs w:val="22"/>
          <w:lang w:val="es-ES_tradnl"/>
        </w:rPr>
      </w:pPr>
    </w:p>
    <w:p w14:paraId="011B77F4" w14:textId="71EA380B" w:rsidR="00A52667" w:rsidRPr="00795FA5" w:rsidRDefault="00875E38" w:rsidP="00F61CAA">
      <w:pPr>
        <w:autoSpaceDE w:val="0"/>
        <w:autoSpaceDN w:val="0"/>
        <w:adjustRightInd w:val="0"/>
        <w:ind w:left="426" w:hanging="426"/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es-ES_tradnl"/>
        </w:rPr>
      </w:pPr>
      <w:r w:rsidRPr="00795FA5">
        <w:rPr>
          <w:rStyle w:val="intro-resume2"/>
          <w:rFonts w:asciiTheme="minorHAnsi" w:hAnsiTheme="minorHAnsi" w:cstheme="minorHAnsi"/>
          <w:i/>
          <w:sz w:val="22"/>
          <w:szCs w:val="22"/>
          <w:lang w:val="es-ES_tradnl"/>
        </w:rPr>
        <w:t>Convención</w:t>
      </w:r>
      <w:r w:rsidR="00BC7728" w:rsidRPr="00795FA5">
        <w:rPr>
          <w:rStyle w:val="intro-resume2"/>
          <w:rFonts w:asciiTheme="minorHAnsi" w:hAnsiTheme="minorHAnsi" w:cstheme="minorHAnsi"/>
          <w:i/>
          <w:sz w:val="22"/>
          <w:szCs w:val="22"/>
          <w:lang w:val="es-ES_tradnl"/>
        </w:rPr>
        <w:t xml:space="preserve"> Marco de las Naciones </w:t>
      </w:r>
      <w:r w:rsidR="00BC7728" w:rsidRPr="00C03E8F">
        <w:rPr>
          <w:rStyle w:val="intro-resume2"/>
          <w:rFonts w:asciiTheme="minorHAnsi" w:hAnsiTheme="minorHAnsi" w:cstheme="minorHAnsi"/>
          <w:i/>
          <w:sz w:val="22"/>
          <w:szCs w:val="22"/>
          <w:lang w:val="es-ES_tradnl"/>
        </w:rPr>
        <w:t>Unidas sobre el</w:t>
      </w:r>
      <w:r w:rsidR="00BC7728" w:rsidRPr="00795FA5">
        <w:rPr>
          <w:rStyle w:val="intro-resume2"/>
          <w:rFonts w:asciiTheme="minorHAnsi" w:hAnsiTheme="minorHAnsi" w:cstheme="minorHAnsi"/>
          <w:i/>
          <w:sz w:val="22"/>
          <w:szCs w:val="22"/>
          <w:lang w:val="es-ES_tradnl"/>
        </w:rPr>
        <w:t xml:space="preserve"> Cambio Climático</w:t>
      </w:r>
    </w:p>
    <w:p w14:paraId="1576959E" w14:textId="77777777" w:rsidR="00FF4505" w:rsidRPr="00795FA5" w:rsidRDefault="00FF4505" w:rsidP="00F61CAA">
      <w:pPr>
        <w:autoSpaceDE w:val="0"/>
        <w:autoSpaceDN w:val="0"/>
        <w:adjustRightInd w:val="0"/>
        <w:rPr>
          <w:rStyle w:val="Strong"/>
          <w:rFonts w:asciiTheme="minorHAnsi" w:hAnsiTheme="minorHAnsi" w:cstheme="minorHAnsi"/>
          <w:b w:val="0"/>
          <w:sz w:val="22"/>
          <w:szCs w:val="22"/>
          <w:lang w:val="es-ES_tradnl"/>
        </w:rPr>
      </w:pPr>
    </w:p>
    <w:p w14:paraId="143E8F1A" w14:textId="1C9BE35F" w:rsidR="006D482F" w:rsidRPr="00795FA5" w:rsidRDefault="00BE0B1E" w:rsidP="00BE0B1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22.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75E38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86377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26A2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sigue concentrando sus esfuerzos </w:t>
      </w:r>
      <w:r w:rsidR="00EB4F74">
        <w:rPr>
          <w:rFonts w:asciiTheme="minorHAnsi" w:hAnsiTheme="minorHAnsi" w:cstheme="minorHAnsi"/>
          <w:sz w:val="22"/>
          <w:szCs w:val="22"/>
          <w:lang w:val="es-ES_tradnl"/>
        </w:rPr>
        <w:t>relativos a</w:t>
      </w:r>
      <w:r w:rsidR="0034414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la CMNUCC en los</w:t>
      </w:r>
      <w:r w:rsidR="00EB4F74">
        <w:rPr>
          <w:rFonts w:asciiTheme="minorHAnsi" w:hAnsiTheme="minorHAnsi" w:cstheme="minorHAnsi"/>
          <w:sz w:val="22"/>
          <w:szCs w:val="22"/>
          <w:lang w:val="es-ES_tradnl"/>
        </w:rPr>
        <w:t xml:space="preserve"> procedimientos </w:t>
      </w:r>
      <w:r w:rsidR="0034414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para promover la relación entre el cambio climático y los humedales en el contexto de las </w:t>
      </w:r>
      <w:r w:rsidR="0034414F" w:rsidRPr="00795FA5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 xml:space="preserve">medidas de mitigación y adaptación. </w:t>
      </w:r>
      <w:r w:rsidR="00450FC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También trabaja para </w:t>
      </w:r>
      <w:r w:rsidR="00EB4F74">
        <w:rPr>
          <w:rFonts w:asciiTheme="minorHAnsi" w:hAnsiTheme="minorHAnsi" w:cstheme="minorHAnsi"/>
          <w:sz w:val="22"/>
          <w:szCs w:val="22"/>
          <w:lang w:val="es-ES_tradnl"/>
        </w:rPr>
        <w:t>ayudar</w:t>
      </w:r>
      <w:r w:rsidR="00450FC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 las Partes Contratantes de Ramsar </w:t>
      </w:r>
      <w:r w:rsidR="00EB4F74">
        <w:rPr>
          <w:rFonts w:asciiTheme="minorHAnsi" w:hAnsiTheme="minorHAnsi" w:cstheme="minorHAnsi"/>
          <w:sz w:val="22"/>
          <w:szCs w:val="22"/>
          <w:lang w:val="es-ES_tradnl"/>
        </w:rPr>
        <w:t>a integrar</w:t>
      </w:r>
      <w:r w:rsidR="00450FC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los servicios de los ecosistemas de humedales (“solucione</w:t>
      </w:r>
      <w:r w:rsidR="00EB4F74">
        <w:rPr>
          <w:rFonts w:asciiTheme="minorHAnsi" w:hAnsiTheme="minorHAnsi" w:cstheme="minorHAnsi"/>
          <w:sz w:val="22"/>
          <w:szCs w:val="22"/>
          <w:lang w:val="es-ES_tradnl"/>
        </w:rPr>
        <w:t xml:space="preserve">s naturales”) en las </w:t>
      </w:r>
      <w:r w:rsidR="00EB4F74" w:rsidRPr="00DB1476">
        <w:rPr>
          <w:rFonts w:asciiTheme="minorHAnsi" w:hAnsiTheme="minorHAnsi" w:cstheme="minorHAnsi"/>
          <w:sz w:val="22"/>
          <w:szCs w:val="22"/>
          <w:lang w:val="es-ES_tradnl"/>
        </w:rPr>
        <w:t xml:space="preserve">políticas </w:t>
      </w:r>
      <w:r w:rsidR="00450FC7" w:rsidRPr="00DB1476">
        <w:rPr>
          <w:rFonts w:asciiTheme="minorHAnsi" w:hAnsiTheme="minorHAnsi" w:cstheme="minorHAnsi"/>
          <w:sz w:val="22"/>
          <w:szCs w:val="22"/>
          <w:lang w:val="es-ES_tradnl"/>
        </w:rPr>
        <w:t xml:space="preserve">relativas al cambio climático, incluidas las </w:t>
      </w:r>
      <w:r w:rsidR="00E5591C" w:rsidRPr="00DB1476">
        <w:rPr>
          <w:rFonts w:asciiTheme="minorHAnsi" w:hAnsiTheme="minorHAnsi" w:cstheme="minorHAnsi"/>
          <w:sz w:val="22"/>
          <w:szCs w:val="22"/>
          <w:lang w:val="es-ES_tradnl"/>
        </w:rPr>
        <w:t>contribuciones de</w:t>
      </w:r>
      <w:r w:rsidR="00EB4F74" w:rsidRPr="00DB1476">
        <w:rPr>
          <w:rFonts w:asciiTheme="minorHAnsi" w:hAnsiTheme="minorHAnsi" w:cstheme="minorHAnsi"/>
          <w:sz w:val="22"/>
          <w:szCs w:val="22"/>
          <w:lang w:val="es-ES_tradnl"/>
        </w:rPr>
        <w:t xml:space="preserve">terminadas a nivel nacional </w:t>
      </w:r>
      <w:r w:rsidR="00A52667" w:rsidRPr="00DB1476">
        <w:rPr>
          <w:rFonts w:asciiTheme="minorHAnsi" w:hAnsiTheme="minorHAnsi" w:cstheme="minorHAnsi"/>
          <w:sz w:val="22"/>
          <w:szCs w:val="22"/>
          <w:lang w:val="es-ES_tradnl"/>
        </w:rPr>
        <w:t>(NDC</w:t>
      </w:r>
      <w:r w:rsidR="00EB4F74" w:rsidRPr="00DB1476">
        <w:rPr>
          <w:rFonts w:asciiTheme="minorHAnsi" w:hAnsiTheme="minorHAnsi" w:cstheme="minorHAnsi"/>
          <w:sz w:val="22"/>
          <w:szCs w:val="22"/>
          <w:lang w:val="es-ES_tradnl"/>
        </w:rPr>
        <w:t>, por sus siglas en inglés),</w:t>
      </w:r>
      <w:r w:rsidR="00A52667" w:rsidRPr="00DB147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5591C" w:rsidRPr="00DB1476">
        <w:rPr>
          <w:rFonts w:asciiTheme="minorHAnsi" w:hAnsiTheme="minorHAnsi" w:cstheme="minorHAnsi"/>
          <w:sz w:val="22"/>
          <w:szCs w:val="22"/>
          <w:lang w:val="es-ES_tradnl"/>
        </w:rPr>
        <w:t>para lograr los objetivos del Acuerd</w:t>
      </w:r>
      <w:r w:rsidR="00EB4F74" w:rsidRPr="00DB1476">
        <w:rPr>
          <w:rFonts w:asciiTheme="minorHAnsi" w:hAnsiTheme="minorHAnsi" w:cstheme="minorHAnsi"/>
          <w:sz w:val="22"/>
          <w:szCs w:val="22"/>
          <w:lang w:val="es-ES_tradnl"/>
        </w:rPr>
        <w:t xml:space="preserve">o de París promoviendo </w:t>
      </w:r>
      <w:r w:rsidR="00E5591C" w:rsidRPr="00DB1476">
        <w:rPr>
          <w:rFonts w:asciiTheme="minorHAnsi" w:hAnsiTheme="minorHAnsi" w:cstheme="minorHAnsi"/>
          <w:sz w:val="22"/>
          <w:szCs w:val="22"/>
          <w:lang w:val="es-ES_tradnl"/>
        </w:rPr>
        <w:t xml:space="preserve">la función </w:t>
      </w:r>
      <w:r w:rsidR="00EB4F74" w:rsidRPr="00DB1476">
        <w:rPr>
          <w:rFonts w:asciiTheme="minorHAnsi" w:hAnsiTheme="minorHAnsi" w:cstheme="minorHAnsi"/>
          <w:sz w:val="22"/>
          <w:szCs w:val="22"/>
          <w:lang w:val="es-ES_tradnl"/>
        </w:rPr>
        <w:t>de los</w:t>
      </w:r>
      <w:r w:rsidR="00EB4F7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humedales </w:t>
      </w:r>
      <w:r w:rsidR="00E5591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como sumideros de carbono </w:t>
      </w:r>
      <w:r w:rsidR="00EB4F74">
        <w:rPr>
          <w:rFonts w:asciiTheme="minorHAnsi" w:hAnsiTheme="minorHAnsi" w:cstheme="minorHAnsi"/>
          <w:sz w:val="22"/>
          <w:szCs w:val="22"/>
          <w:lang w:val="es-ES_tradnl"/>
        </w:rPr>
        <w:t xml:space="preserve">y por ende </w:t>
      </w:r>
      <w:r w:rsidR="00DB68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sus contribuciones a la mitigación de los efectos del cambio climático. En la 24ª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reunión</w:t>
      </w:r>
      <w:r w:rsidR="00DB68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Conferencia de las Partes en la CMNUCC 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>(COP2</w:t>
      </w:r>
      <w:r w:rsidR="006D482F" w:rsidRPr="00795FA5">
        <w:rPr>
          <w:rFonts w:asciiTheme="minorHAnsi" w:hAnsiTheme="minorHAnsi" w:cstheme="minorHAnsi"/>
          <w:sz w:val="22"/>
          <w:szCs w:val="22"/>
          <w:lang w:val="es-ES_tradnl"/>
        </w:rPr>
        <w:t>4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DB68A5" w:rsidRPr="00795FA5">
        <w:rPr>
          <w:rFonts w:asciiTheme="minorHAnsi" w:hAnsiTheme="minorHAnsi" w:cstheme="minorHAnsi"/>
          <w:sz w:val="22"/>
          <w:szCs w:val="22"/>
          <w:lang w:val="es-ES_tradnl"/>
        </w:rPr>
        <w:t>, celebrada en K</w:t>
      </w:r>
      <w:r w:rsidR="006D482F" w:rsidRPr="00795FA5">
        <w:rPr>
          <w:rFonts w:asciiTheme="minorHAnsi" w:hAnsiTheme="minorHAnsi" w:cstheme="minorHAnsi"/>
          <w:sz w:val="22"/>
          <w:szCs w:val="22"/>
          <w:lang w:val="es-ES_tradnl"/>
        </w:rPr>
        <w:t>atowice</w:t>
      </w:r>
      <w:r w:rsidR="00F0150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(Polonia) del 2 al 14 de diciembre de </w:t>
      </w:r>
      <w:r w:rsidR="00B955A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2018, </w:t>
      </w:r>
      <w:r w:rsidR="00F0150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6D482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D482F" w:rsidRPr="00EB4F74">
        <w:rPr>
          <w:rFonts w:asciiTheme="minorHAnsi" w:hAnsiTheme="minorHAnsi" w:cstheme="minorHAnsi"/>
          <w:sz w:val="22"/>
          <w:szCs w:val="22"/>
          <w:lang w:val="es-ES_tradnl"/>
        </w:rPr>
        <w:t>particip</w:t>
      </w:r>
      <w:r w:rsidR="00EB4F74">
        <w:rPr>
          <w:rFonts w:asciiTheme="minorHAnsi" w:hAnsiTheme="minorHAnsi" w:cstheme="minorHAnsi"/>
          <w:sz w:val="22"/>
          <w:szCs w:val="22"/>
          <w:lang w:val="es-ES_tradnl"/>
        </w:rPr>
        <w:t>ó activamente en los eventos</w:t>
      </w:r>
      <w:r w:rsidR="00AE62F4" w:rsidRPr="00EB4F7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E62F4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Adapting to water </w:t>
      </w:r>
      <w:r w:rsidR="0081550C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scarcity </w:t>
      </w:r>
      <w:r w:rsidR="00AE62F4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in </w:t>
      </w:r>
      <w:r w:rsidR="00EE499A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>a</w:t>
      </w:r>
      <w:r w:rsidR="00AE62F4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>griculture</w:t>
      </w:r>
      <w:r w:rsidR="00EB4F74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</w:t>
      </w:r>
      <w:r w:rsidR="00EB4F74" w:rsidRPr="00EB4F74">
        <w:rPr>
          <w:rFonts w:asciiTheme="minorHAnsi" w:hAnsiTheme="minorHAnsi" w:cstheme="minorHAnsi"/>
          <w:sz w:val="22"/>
          <w:szCs w:val="22"/>
          <w:lang w:val="es-ES_tradnl"/>
        </w:rPr>
        <w:t>[Adaptación a la escasez de agua en la agricultura]</w:t>
      </w:r>
      <w:r w:rsidR="00EB4F74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, </w:t>
      </w:r>
      <w:r w:rsidR="00EE499A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>T</w:t>
      </w:r>
      <w:r w:rsidR="00AE62F4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>owards a joint peatland declaration: Synergies of MEAs to reverse the trend on peatlands degradation</w:t>
      </w:r>
      <w:r w:rsidR="00EB4F74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</w:t>
      </w:r>
      <w:r w:rsidR="00EB4F74" w:rsidRPr="00EB4F74">
        <w:rPr>
          <w:rFonts w:asciiTheme="minorHAnsi" w:hAnsiTheme="minorHAnsi" w:cstheme="minorHAnsi"/>
          <w:sz w:val="22"/>
          <w:szCs w:val="22"/>
          <w:lang w:val="es-ES_tradnl"/>
        </w:rPr>
        <w:t>[Hacia una declaración conjunta sobre las turberas: Sinergias de los AMMA para invertir la tendencia de la degradación de las turberas] y</w:t>
      </w:r>
      <w:r w:rsidR="00EB4F74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</w:t>
      </w:r>
      <w:r w:rsidR="00AE62F4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>Getting to the Point: The relevance of wetland ecosystems for increasing NDC ambition</w:t>
      </w:r>
      <w:r w:rsidR="00EB4F74" w:rsidRPr="00EB4F74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</w:t>
      </w:r>
      <w:r w:rsidR="00EB4F74" w:rsidRPr="00EB4F74">
        <w:rPr>
          <w:rFonts w:asciiTheme="minorHAnsi" w:hAnsiTheme="minorHAnsi" w:cstheme="minorHAnsi"/>
          <w:sz w:val="22"/>
          <w:szCs w:val="22"/>
          <w:lang w:val="es-ES_tradnl"/>
        </w:rPr>
        <w:t>[Ir al grano: La importancia de los ecosistemas de humedales para aumentar las ambiciones sobre las NDC]</w:t>
      </w:r>
      <w:r w:rsidR="00DF0135" w:rsidRPr="00EB4F74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326869">
        <w:rPr>
          <w:rFonts w:asciiTheme="minorHAnsi" w:hAnsiTheme="minorHAnsi" w:cstheme="minorHAnsi"/>
          <w:sz w:val="22"/>
          <w:szCs w:val="22"/>
          <w:lang w:val="es-ES_tradnl"/>
        </w:rPr>
        <w:t xml:space="preserve">También participó como ponente en los eventos </w:t>
      </w:r>
      <w:r w:rsidR="005E62C2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Marrakech </w:t>
      </w:r>
      <w:r w:rsidR="00DF0135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p</w:t>
      </w:r>
      <w:r w:rsidR="005E62C2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artnership for </w:t>
      </w:r>
      <w:r w:rsidR="00DF0135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g</w:t>
      </w:r>
      <w:r w:rsidR="005E62C2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lobal </w:t>
      </w:r>
      <w:r w:rsidR="00DF0135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c</w:t>
      </w:r>
      <w:r w:rsidR="005E62C2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limate </w:t>
      </w:r>
      <w:r w:rsidR="00DF0135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a</w:t>
      </w:r>
      <w:r w:rsidR="005E62C2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ction</w:t>
      </w:r>
      <w:r w:rsidR="00DF0135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,</w:t>
      </w:r>
      <w:r w:rsidR="00AE62F4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</w:t>
      </w:r>
      <w:r w:rsidR="00DF0135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w</w:t>
      </w:r>
      <w:r w:rsidR="00AE62F4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ater-wise solutions to mitigate, adapt and thrive</w:t>
      </w:r>
      <w:r w:rsidR="00326869">
        <w:rPr>
          <w:rFonts w:asciiTheme="minorHAnsi" w:hAnsiTheme="minorHAnsi" w:cstheme="minorHAnsi"/>
          <w:sz w:val="22"/>
          <w:szCs w:val="22"/>
          <w:lang w:val="es-ES_tradnl"/>
        </w:rPr>
        <w:t xml:space="preserve"> [La Alianza de Marrakech para la Acción Climática Global, soluciones hídricas inteligentes para mitigar, adaptarse y prosperar],</w:t>
      </w:r>
      <w:r w:rsidR="00AE62F4" w:rsidRPr="00EB4F7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E62F4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International updates on Blue Carbon science and knowledge</w:t>
      </w:r>
      <w:r w:rsidR="00326869">
        <w:rPr>
          <w:rFonts w:asciiTheme="minorHAnsi" w:hAnsiTheme="minorHAnsi" w:cstheme="minorHAnsi"/>
          <w:sz w:val="22"/>
          <w:szCs w:val="22"/>
          <w:lang w:val="es-ES_tradnl"/>
        </w:rPr>
        <w:t xml:space="preserve"> [Actualizaciones internacionales sobre la ciencia y tecnología relativas al carbono azul], </w:t>
      </w:r>
      <w:r w:rsidR="00AE62F4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Forests first – from 10 years of REDD+ to the full scope of nature-based climate solutions</w:t>
      </w:r>
      <w:r w:rsidR="00326869">
        <w:rPr>
          <w:rFonts w:asciiTheme="minorHAnsi" w:hAnsiTheme="minorHAnsi" w:cstheme="minorHAnsi"/>
          <w:sz w:val="22"/>
          <w:szCs w:val="22"/>
          <w:lang w:val="es-ES_tradnl"/>
        </w:rPr>
        <w:t xml:space="preserve"> [Los bosques primero – de los 10 años de REDD+ a toda la gama de soluciones climáticas basadas en la naturaleza] y </w:t>
      </w:r>
      <w:r w:rsidR="00AE62F4" w:rsidRPr="00326869">
        <w:rPr>
          <w:rFonts w:asciiTheme="minorHAnsi" w:hAnsiTheme="minorHAnsi" w:cstheme="minorHAnsi"/>
          <w:i/>
          <w:sz w:val="22"/>
          <w:szCs w:val="22"/>
          <w:lang w:val="es-ES_tradnl"/>
        </w:rPr>
        <w:t>Raising the bar on nature-based solutions in NDCs</w:t>
      </w:r>
      <w:r w:rsidR="00326869">
        <w:rPr>
          <w:rFonts w:asciiTheme="minorHAnsi" w:hAnsiTheme="minorHAnsi" w:cstheme="minorHAnsi"/>
          <w:sz w:val="22"/>
          <w:szCs w:val="22"/>
          <w:lang w:val="es-ES_tradnl"/>
        </w:rPr>
        <w:t xml:space="preserve"> [Aumentar el nivel de las soluciones basadas en la naturaleza en las NDC]</w:t>
      </w:r>
      <w:r w:rsidR="009A336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F0150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326869">
        <w:rPr>
          <w:rFonts w:asciiTheme="minorHAnsi" w:hAnsiTheme="minorHAnsi" w:cstheme="minorHAnsi"/>
          <w:sz w:val="22"/>
          <w:szCs w:val="22"/>
          <w:lang w:val="es-ES_tradnl"/>
        </w:rPr>
        <w:t>esos</w:t>
      </w:r>
      <w:r w:rsidR="00F0150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26869">
        <w:rPr>
          <w:rFonts w:asciiTheme="minorHAnsi" w:hAnsiTheme="minorHAnsi" w:cstheme="minorHAnsi"/>
          <w:sz w:val="22"/>
          <w:szCs w:val="22"/>
          <w:lang w:val="es-ES_tradnl"/>
        </w:rPr>
        <w:t>eventos,</w:t>
      </w:r>
      <w:r w:rsidR="00F0150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6D482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15B3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326869">
        <w:rPr>
          <w:rFonts w:asciiTheme="minorHAnsi" w:hAnsiTheme="minorHAnsi" w:cstheme="minorHAnsi"/>
          <w:sz w:val="22"/>
          <w:szCs w:val="22"/>
          <w:lang w:val="es-ES_tradnl"/>
        </w:rPr>
        <w:t xml:space="preserve">los asociados </w:t>
      </w:r>
      <w:r w:rsidR="00415B3F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pusieron de relieve la importancia de las turberas </w:t>
      </w:r>
      <w:r w:rsidR="00326869">
        <w:rPr>
          <w:rFonts w:asciiTheme="minorHAnsi" w:hAnsiTheme="minorHAnsi" w:cstheme="minorHAnsi"/>
          <w:sz w:val="22"/>
          <w:szCs w:val="22"/>
          <w:lang w:val="es-ES_tradnl"/>
        </w:rPr>
        <w:t>como un ecosistema fundamental y a menudo ignorado</w:t>
      </w:r>
      <w:r w:rsidR="003B3FC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para la mitigación del cambio climático y la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adaptación</w:t>
      </w:r>
      <w:r w:rsidR="003B3FC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 este, la conservación de la biodiversidad y los servicios de los ecosistemas.</w:t>
      </w:r>
    </w:p>
    <w:p w14:paraId="7887D315" w14:textId="77777777" w:rsidR="00006D1A" w:rsidRPr="00795FA5" w:rsidRDefault="00006D1A" w:rsidP="00BE0B1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3105E1" w14:textId="40F24A6B" w:rsidR="00C94FAB" w:rsidRPr="00795FA5" w:rsidRDefault="00BE0B1E" w:rsidP="00BE0B1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23.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6009C8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Iniciativa Mundial </w:t>
      </w:r>
      <w:r w:rsidR="00326869">
        <w:rPr>
          <w:rFonts w:asciiTheme="minorHAnsi" w:hAnsiTheme="minorHAnsi" w:cstheme="minorHAnsi"/>
          <w:sz w:val="22"/>
          <w:szCs w:val="22"/>
          <w:lang w:val="es-ES_tradnl"/>
        </w:rPr>
        <w:t>sobre las Turberas</w:t>
      </w:r>
      <w:r w:rsidR="006009C8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(IMT), </w:t>
      </w:r>
      <w:r w:rsidR="005A6DAD">
        <w:rPr>
          <w:rFonts w:asciiTheme="minorHAnsi" w:hAnsiTheme="minorHAnsi" w:cstheme="minorHAnsi"/>
          <w:sz w:val="22"/>
          <w:szCs w:val="22"/>
          <w:lang w:val="es-ES_tradnl"/>
        </w:rPr>
        <w:t xml:space="preserve">inaugurada </w:t>
      </w:r>
      <w:r w:rsidR="006009C8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por el PNUMA y la Convención de Ramsar en la COP22 de la CMNUCC en </w:t>
      </w:r>
      <w:r w:rsidR="00C23AA3" w:rsidRPr="00795FA5">
        <w:rPr>
          <w:rFonts w:asciiTheme="minorHAnsi" w:hAnsiTheme="minorHAnsi" w:cstheme="minorHAnsi"/>
          <w:sz w:val="22"/>
          <w:szCs w:val="22"/>
          <w:lang w:val="es-ES_tradnl"/>
        </w:rPr>
        <w:t>Marrakech</w:t>
      </w:r>
      <w:r w:rsidR="008C7FF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(Marruecos) sigue </w:t>
      </w:r>
      <w:r w:rsidR="00D130B1">
        <w:rPr>
          <w:rFonts w:asciiTheme="minorHAnsi" w:hAnsiTheme="minorHAnsi" w:cstheme="minorHAnsi"/>
          <w:sz w:val="22"/>
          <w:szCs w:val="22"/>
          <w:lang w:val="es-ES_tradnl"/>
        </w:rPr>
        <w:t xml:space="preserve">brindando </w:t>
      </w:r>
      <w:r w:rsidR="007C4A0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una </w:t>
      </w:r>
      <w:r w:rsidR="00875E38">
        <w:rPr>
          <w:rFonts w:asciiTheme="minorHAnsi" w:hAnsiTheme="minorHAnsi" w:cstheme="minorHAnsi"/>
          <w:sz w:val="22"/>
          <w:szCs w:val="22"/>
          <w:lang w:val="es-ES_tradnl"/>
        </w:rPr>
        <w:t>plataforma</w:t>
      </w:r>
      <w:r w:rsidR="007C4A0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130B1">
        <w:rPr>
          <w:rFonts w:asciiTheme="minorHAnsi" w:hAnsiTheme="minorHAnsi" w:cstheme="minorHAnsi"/>
          <w:sz w:val="22"/>
          <w:szCs w:val="22"/>
          <w:lang w:val="es-ES_tradnl"/>
        </w:rPr>
        <w:t>centrada</w:t>
      </w:r>
      <w:r w:rsidR="007C4A0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en mejorar el entendimiento </w:t>
      </w:r>
      <w:r w:rsidR="00380E3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del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estado</w:t>
      </w:r>
      <w:r w:rsidR="00380E3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las tendencias de las turberas. Con los países asociados y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expertos</w:t>
      </w:r>
      <w:r w:rsidR="00380E3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la IMT </w:t>
      </w:r>
      <w:r w:rsidR="0074559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está trabajando para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garantizar</w:t>
      </w:r>
      <w:r w:rsidR="0074559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el mantenimiento y la restauración de </w:t>
      </w:r>
      <w:r w:rsidR="00D130B1">
        <w:rPr>
          <w:rFonts w:asciiTheme="minorHAnsi" w:hAnsiTheme="minorHAnsi" w:cstheme="minorHAnsi"/>
          <w:sz w:val="22"/>
          <w:szCs w:val="22"/>
          <w:lang w:val="es-ES_tradnl"/>
        </w:rPr>
        <w:t>las reservas de carbono en</w:t>
      </w:r>
      <w:r w:rsidR="0074559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23AA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Indonesia, </w:t>
      </w:r>
      <w:r w:rsidR="00D130B1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C23AA3" w:rsidRPr="00795FA5">
        <w:rPr>
          <w:rFonts w:asciiTheme="minorHAnsi" w:hAnsiTheme="minorHAnsi" w:cstheme="minorHAnsi"/>
          <w:sz w:val="22"/>
          <w:szCs w:val="22"/>
          <w:lang w:val="es-ES_tradnl"/>
        </w:rPr>
        <w:t>Per</w:t>
      </w:r>
      <w:r w:rsidR="00745591" w:rsidRPr="00795FA5">
        <w:rPr>
          <w:rFonts w:asciiTheme="minorHAnsi" w:hAnsiTheme="minorHAnsi" w:cstheme="minorHAnsi"/>
          <w:sz w:val="22"/>
          <w:szCs w:val="22"/>
          <w:lang w:val="es-ES_tradnl"/>
        </w:rPr>
        <w:t>ú</w:t>
      </w:r>
      <w:r w:rsidR="00C23AA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74559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República</w:t>
      </w:r>
      <w:r w:rsidR="0074559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del Congo y la República Democrática del Congo</w:t>
      </w:r>
      <w:r w:rsidR="00D130B1">
        <w:rPr>
          <w:rFonts w:asciiTheme="minorHAnsi" w:hAnsiTheme="minorHAnsi" w:cstheme="minorHAnsi"/>
          <w:sz w:val="22"/>
          <w:szCs w:val="22"/>
          <w:lang w:val="es-ES_tradnl"/>
        </w:rPr>
        <w:t>, países clave por su abundancia de turberas</w:t>
      </w:r>
      <w:r w:rsidR="0074559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D130B1">
        <w:rPr>
          <w:rFonts w:asciiTheme="minorHAnsi" w:hAnsiTheme="minorHAnsi" w:cstheme="minorHAnsi"/>
          <w:sz w:val="22"/>
          <w:szCs w:val="22"/>
          <w:lang w:val="es-ES_tradnl"/>
        </w:rPr>
        <w:t>El</w:t>
      </w:r>
      <w:r w:rsidR="0074559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objetivo de la IMT es reducir las emisiones </w:t>
      </w:r>
      <w:r w:rsidR="006B0D7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mundiales de gases de efecto invernadero mejorando el conocimiento sobre las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turberas</w:t>
      </w:r>
      <w:r w:rsidR="00D130B1">
        <w:rPr>
          <w:rFonts w:asciiTheme="minorHAnsi" w:hAnsiTheme="minorHAnsi" w:cstheme="minorHAnsi"/>
          <w:sz w:val="22"/>
          <w:szCs w:val="22"/>
          <w:lang w:val="es-ES_tradnl"/>
        </w:rPr>
        <w:t xml:space="preserve"> (su extensión y </w:t>
      </w:r>
      <w:r w:rsidR="006B0D79" w:rsidRPr="00795FA5">
        <w:rPr>
          <w:rFonts w:asciiTheme="minorHAnsi" w:hAnsiTheme="minorHAnsi" w:cstheme="minorHAnsi"/>
          <w:sz w:val="22"/>
          <w:szCs w:val="22"/>
          <w:lang w:val="es-ES_tradnl"/>
        </w:rPr>
        <w:t>espes</w:t>
      </w:r>
      <w:r w:rsidR="00D130B1">
        <w:rPr>
          <w:rFonts w:asciiTheme="minorHAnsi" w:hAnsiTheme="minorHAnsi" w:cstheme="minorHAnsi"/>
          <w:sz w:val="22"/>
          <w:szCs w:val="22"/>
          <w:lang w:val="es-ES_tradnl"/>
        </w:rPr>
        <w:t xml:space="preserve">or así como los </w:t>
      </w:r>
      <w:r w:rsidR="006B0D79" w:rsidRPr="00795FA5">
        <w:rPr>
          <w:rFonts w:asciiTheme="minorHAnsi" w:hAnsiTheme="minorHAnsi" w:cstheme="minorHAnsi"/>
          <w:sz w:val="22"/>
          <w:szCs w:val="22"/>
          <w:lang w:val="es-ES_tradnl"/>
        </w:rPr>
        <w:t>cambios y factores impulsores</w:t>
      </w:r>
      <w:r w:rsidR="00D130B1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905558">
        <w:rPr>
          <w:rFonts w:asciiTheme="minorHAnsi" w:hAnsiTheme="minorHAnsi" w:cstheme="minorHAnsi"/>
          <w:sz w:val="22"/>
          <w:szCs w:val="22"/>
          <w:lang w:val="es-ES_tradnl"/>
        </w:rPr>
        <w:t>l cambio</w:t>
      </w:r>
      <w:r w:rsidR="006B0D79" w:rsidRPr="00795FA5">
        <w:rPr>
          <w:rFonts w:asciiTheme="minorHAnsi" w:hAnsiTheme="minorHAnsi" w:cstheme="minorHAnsi"/>
          <w:sz w:val="22"/>
          <w:szCs w:val="22"/>
          <w:lang w:val="es-ES_tradnl"/>
        </w:rPr>
        <w:t>).</w:t>
      </w:r>
    </w:p>
    <w:p w14:paraId="15291E0F" w14:textId="77777777" w:rsidR="00785702" w:rsidRPr="00795FA5" w:rsidRDefault="00785702" w:rsidP="00BE0B1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A55047" w14:textId="2ED1CF89" w:rsidR="001036C8" w:rsidRPr="00795FA5" w:rsidRDefault="00BE0B1E" w:rsidP="00BE0B1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24.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65689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B22FE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B44C0">
        <w:rPr>
          <w:rFonts w:asciiTheme="minorHAnsi" w:hAnsiTheme="minorHAnsi" w:cstheme="minorHAnsi"/>
          <w:sz w:val="22"/>
          <w:szCs w:val="22"/>
          <w:lang w:val="es-ES_tradnl"/>
        </w:rPr>
        <w:t xml:space="preserve">se ha unido a la Alianza internacional sobre el carbono azul </w:t>
      </w:r>
      <w:r w:rsidR="00B22FE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para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ayudar</w:t>
      </w:r>
      <w:r w:rsidR="00B22FE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 conectar mejor</w:t>
      </w:r>
      <w:r w:rsidR="008B44C0">
        <w:rPr>
          <w:rFonts w:asciiTheme="minorHAnsi" w:hAnsiTheme="minorHAnsi" w:cstheme="minorHAnsi"/>
          <w:sz w:val="22"/>
          <w:szCs w:val="22"/>
          <w:lang w:val="es-ES_tradnl"/>
        </w:rPr>
        <w:t xml:space="preserve"> los esfuerzos de los gobiernos, los organismos </w:t>
      </w:r>
      <w:r w:rsidR="00B22FE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875E38" w:rsidRPr="00795FA5">
        <w:rPr>
          <w:rFonts w:asciiTheme="minorHAnsi" w:hAnsiTheme="minorHAnsi" w:cstheme="minorHAnsi"/>
          <w:sz w:val="22"/>
          <w:szCs w:val="22"/>
          <w:lang w:val="es-ES_tradnl"/>
        </w:rPr>
        <w:t>investigación</w:t>
      </w:r>
      <w:r w:rsidR="008B44C0">
        <w:rPr>
          <w:rFonts w:asciiTheme="minorHAnsi" w:hAnsiTheme="minorHAnsi" w:cstheme="minorHAnsi"/>
          <w:sz w:val="22"/>
          <w:szCs w:val="22"/>
          <w:lang w:val="es-ES_tradnl"/>
        </w:rPr>
        <w:t xml:space="preserve"> y las ONG</w:t>
      </w:r>
      <w:r w:rsidR="00B22FE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A finales de </w:t>
      </w:r>
      <w:r w:rsidR="001036C8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2018, </w:t>
      </w:r>
      <w:r w:rsidR="00B22FE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participó en una mesa redonda sobre el carbono azul del </w:t>
      </w:r>
      <w:r w:rsidR="00A86C54">
        <w:rPr>
          <w:rFonts w:asciiTheme="minorHAnsi" w:hAnsiTheme="minorHAnsi" w:cstheme="minorHAnsi"/>
          <w:sz w:val="22"/>
          <w:szCs w:val="22"/>
          <w:lang w:val="es-ES_tradnl"/>
        </w:rPr>
        <w:t xml:space="preserve">Intergrupo del Parlamento Europeo sobre cambio climático, biodiversidad y desarrollo sostenible </w:t>
      </w:r>
      <w:r w:rsidR="00B22FE7" w:rsidRPr="00795FA5">
        <w:rPr>
          <w:rFonts w:asciiTheme="minorHAnsi" w:hAnsiTheme="minorHAnsi" w:cstheme="minorHAnsi"/>
          <w:sz w:val="22"/>
          <w:szCs w:val="22"/>
          <w:lang w:val="es-ES_tradnl"/>
        </w:rPr>
        <w:t>en Bruselas (Bélgica).</w:t>
      </w:r>
    </w:p>
    <w:p w14:paraId="70AA6D75" w14:textId="77777777" w:rsidR="001036C8" w:rsidRPr="00795FA5" w:rsidRDefault="001036C8" w:rsidP="00BE0B1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3ECB847" w14:textId="6FAFD3CE" w:rsidR="00C94FAB" w:rsidRPr="00364384" w:rsidRDefault="00BE0B1E" w:rsidP="00BE0B1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25.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364384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Aún es necesario presentar </w:t>
      </w:r>
      <w:r w:rsidR="005A59D0" w:rsidRPr="00364384">
        <w:rPr>
          <w:rFonts w:asciiTheme="minorHAnsi" w:hAnsiTheme="minorHAnsi" w:cstheme="minorHAnsi"/>
          <w:sz w:val="22"/>
          <w:szCs w:val="22"/>
          <w:lang w:val="es-ES_tradnl"/>
        </w:rPr>
        <w:t>de manera má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 xml:space="preserve">s visible y convincente </w:t>
      </w:r>
      <w:r w:rsidR="005A59D0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las soluciones basadas en los humedales utilizando los servicios de los ecosistemas para las medidas de </w:t>
      </w:r>
      <w:r w:rsidR="00875E38" w:rsidRPr="00364384">
        <w:rPr>
          <w:rFonts w:asciiTheme="minorHAnsi" w:hAnsiTheme="minorHAnsi" w:cstheme="minorHAnsi"/>
          <w:sz w:val="22"/>
          <w:szCs w:val="22"/>
          <w:lang w:val="es-ES_tradnl"/>
        </w:rPr>
        <w:t>mitigación</w:t>
      </w:r>
      <w:r w:rsidR="005A59D0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del </w:t>
      </w:r>
      <w:r w:rsidR="00875E38" w:rsidRPr="00364384">
        <w:rPr>
          <w:rFonts w:asciiTheme="minorHAnsi" w:hAnsiTheme="minorHAnsi" w:cstheme="minorHAnsi"/>
          <w:sz w:val="22"/>
          <w:szCs w:val="22"/>
          <w:lang w:val="es-ES_tradnl"/>
        </w:rPr>
        <w:t>cambio</w:t>
      </w:r>
      <w:r w:rsidR="005A59D0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75E38" w:rsidRPr="00364384">
        <w:rPr>
          <w:rFonts w:asciiTheme="minorHAnsi" w:hAnsiTheme="minorHAnsi" w:cstheme="minorHAnsi"/>
          <w:sz w:val="22"/>
          <w:szCs w:val="22"/>
          <w:lang w:val="es-ES_tradnl"/>
        </w:rPr>
        <w:t>climático</w:t>
      </w:r>
      <w:r w:rsidR="005A59D0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875E38" w:rsidRPr="00364384">
        <w:rPr>
          <w:rFonts w:asciiTheme="minorHAnsi" w:hAnsiTheme="minorHAnsi" w:cstheme="minorHAnsi"/>
          <w:sz w:val="22"/>
          <w:szCs w:val="22"/>
          <w:lang w:val="es-ES_tradnl"/>
        </w:rPr>
        <w:t>mitigación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de este</w:t>
      </w:r>
      <w:r w:rsidR="005A59D0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en la agenda de la CMNUCC</w:t>
      </w:r>
      <w:r w:rsidR="00771DB0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 xml:space="preserve">Basándose en las resoluciones de la </w:t>
      </w:r>
      <w:r w:rsidR="00771DB0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COP13 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>sobre sinergias</w:t>
      </w:r>
      <w:r w:rsidR="002B2FD8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(</w:t>
      </w:r>
      <w:r w:rsidR="002F3D04" w:rsidRPr="00364384">
        <w:rPr>
          <w:rFonts w:asciiTheme="minorHAnsi" w:hAnsiTheme="minorHAnsi" w:cstheme="minorHAnsi"/>
          <w:sz w:val="22"/>
          <w:szCs w:val="22"/>
          <w:lang w:val="es-ES_tradnl"/>
        </w:rPr>
        <w:t>Resolución</w:t>
      </w:r>
      <w:r w:rsidR="00116E83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B2FD8" w:rsidRPr="00364384">
        <w:rPr>
          <w:rFonts w:asciiTheme="minorHAnsi" w:hAnsiTheme="minorHAnsi" w:cstheme="minorHAnsi"/>
          <w:sz w:val="22"/>
          <w:szCs w:val="22"/>
          <w:lang w:val="es-ES_tradnl"/>
        </w:rPr>
        <w:t>XIII.7)</w:t>
      </w:r>
      <w:r w:rsidR="00D96CB7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>turberas</w:t>
      </w:r>
      <w:r w:rsidR="00771DB0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B2FD8" w:rsidRPr="00364384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 xml:space="preserve">resoluciones </w:t>
      </w:r>
      <w:r w:rsidR="002B2FD8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XIII.12 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="002B2FD8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XIII.13</w:t>
      </w:r>
      <w:r w:rsidR="00CC10BE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) 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>y carbono azul (</w:t>
      </w:r>
      <w:r w:rsidR="002F3D04" w:rsidRPr="00364384">
        <w:rPr>
          <w:rFonts w:asciiTheme="minorHAnsi" w:hAnsiTheme="minorHAnsi" w:cstheme="minorHAnsi"/>
          <w:sz w:val="22"/>
          <w:szCs w:val="22"/>
          <w:lang w:val="es-ES_tradnl"/>
        </w:rPr>
        <w:t>Resolución</w:t>
      </w:r>
      <w:r w:rsidR="00116E83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 xml:space="preserve">XIII.14), la </w:t>
      </w:r>
      <w:r w:rsidR="00EB0208" w:rsidRPr="00364384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D96CB7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>trabajará con las</w:t>
      </w:r>
      <w:r w:rsidR="00D96CB7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364384">
        <w:rPr>
          <w:rFonts w:asciiTheme="minorHAnsi" w:hAnsiTheme="minorHAnsi" w:cstheme="minorHAnsi"/>
          <w:sz w:val="22"/>
          <w:szCs w:val="22"/>
          <w:lang w:val="es-ES_tradnl"/>
        </w:rPr>
        <w:t>Partes Contratantes</w:t>
      </w:r>
      <w:r w:rsidR="00D96CB7" w:rsidRPr="0036438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64384">
        <w:rPr>
          <w:rFonts w:asciiTheme="minorHAnsi" w:hAnsiTheme="minorHAnsi" w:cstheme="minorHAnsi"/>
          <w:sz w:val="22"/>
          <w:szCs w:val="22"/>
          <w:lang w:val="es-ES_tradnl"/>
        </w:rPr>
        <w:t>y los asociados para que se traten cuestiones relacionadas con los humedales en la próxima COP25 de la CMNUCC</w:t>
      </w:r>
      <w:r w:rsidR="002B2FD8" w:rsidRPr="00364384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7B663C4E" w14:textId="77777777" w:rsidR="00C94FAB" w:rsidRPr="00795FA5" w:rsidRDefault="00C94FAB" w:rsidP="00F61CA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F933E78" w14:textId="2255C09B" w:rsidR="00A52667" w:rsidRPr="00795FA5" w:rsidRDefault="00730320" w:rsidP="00F814AE">
      <w:pPr>
        <w:keepNext/>
        <w:rPr>
          <w:rFonts w:asciiTheme="minorHAnsi" w:hAnsiTheme="minorHAnsi" w:cstheme="minorHAnsi"/>
          <w:i/>
          <w:sz w:val="22"/>
          <w:szCs w:val="22"/>
          <w:lang w:val="es-ES_tradnl"/>
        </w:rPr>
      </w:pPr>
      <w:bookmarkStart w:id="0" w:name="_GoBack"/>
      <w:r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lastRenderedPageBreak/>
        <w:t xml:space="preserve">Convención de las Naciones </w:t>
      </w:r>
      <w:r w:rsidR="00875E38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>Unidas</w:t>
      </w:r>
      <w:r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de Lucha contra la Desertificación (CNULD</w:t>
      </w:r>
      <w:r w:rsidR="00A52667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>)</w:t>
      </w:r>
    </w:p>
    <w:p w14:paraId="73A2FF95" w14:textId="1A806FE0" w:rsidR="00A52667" w:rsidRPr="00795FA5" w:rsidRDefault="00A52667" w:rsidP="00F814AE">
      <w:pPr>
        <w:keepNext/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bookmarkEnd w:id="0"/>
    <w:p w14:paraId="54F07F0C" w14:textId="42F04B6C" w:rsidR="00D32E9F" w:rsidRPr="00795FA5" w:rsidRDefault="000615EE" w:rsidP="000615EE">
      <w:pPr>
        <w:ind w:left="425" w:hanging="425"/>
        <w:rPr>
          <w:rFonts w:asciiTheme="minorHAnsi" w:hAnsiTheme="minorHAnsi" w:cstheme="minorHAnsi"/>
          <w:spacing w:val="-4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26.</w:t>
      </w:r>
      <w:r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ab/>
      </w:r>
      <w:r w:rsidR="00875E38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La</w:t>
      </w:r>
      <w:r w:rsidR="0060504C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Secretaría</w:t>
      </w:r>
      <w:r w:rsidR="0060504C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</w:t>
      </w:r>
      <w:r w:rsidR="00756584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ha estado en contacto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con la Secretaría de la CNULD</w:t>
      </w:r>
      <w:r w:rsidR="00A053B8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en relación con </w:t>
      </w:r>
      <w:r w:rsidR="00756584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la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segunda edición de </w:t>
      </w:r>
      <w:r w:rsidR="00730320" w:rsidRPr="00756584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la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</w:t>
      </w:r>
      <w:r w:rsidR="00756584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Perspectiva Global de la Tierra, de la CNULD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, que está previsto publicar en </w:t>
      </w:r>
      <w:r w:rsidR="00756584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2021 y presentar en 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la</w:t>
      </w:r>
      <w:r w:rsidR="001D2BE9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</w:t>
      </w:r>
      <w:r w:rsidR="00756584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COP15 de la CNULD, en base a 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la </w:t>
      </w:r>
      <w:r w:rsidR="00875E38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aplicación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del Plan Estratégico de Ramsar y la </w:t>
      </w:r>
      <w:r w:rsidR="001842DF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Perspectiva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</w:t>
      </w:r>
      <w:r w:rsidR="001842DF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Mundial</w:t>
      </w:r>
      <w:r w:rsidR="00756584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sobre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los </w:t>
      </w:r>
      <w:r w:rsidR="00875E38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Humedales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. Se </w:t>
      </w:r>
      <w:r w:rsidR="001842DF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realizarán</w:t>
      </w:r>
      <w:r w:rsidR="00756584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aportaciones específicas a esta publicación.</w:t>
      </w:r>
      <w:r w:rsidR="006E6285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Secretaría</w:t>
      </w:r>
      <w:r w:rsidR="00D32E9F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</w:t>
      </w:r>
      <w:r w:rsidR="00730320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también está estudiando los vínculos entre los humedales y la aplicación de </w:t>
      </w:r>
      <w:r w:rsidR="00E36BCD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objetivos voluntarios para alcanzar la neutralidad en la degradación de las tierras </w:t>
      </w:r>
      <w:r w:rsidR="00D32E9F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(LDN</w:t>
      </w:r>
      <w:r w:rsidR="00E36BCD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, por sus siglas en inglés</w:t>
      </w:r>
      <w:r w:rsidR="00D32E9F" w:rsidRPr="00795FA5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>).</w:t>
      </w:r>
    </w:p>
    <w:p w14:paraId="2946C7DA" w14:textId="77777777" w:rsidR="00D32E9F" w:rsidRPr="00795FA5" w:rsidRDefault="00D32E9F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0CBAE2" w14:textId="6C9B39F5" w:rsidR="00D32E9F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27.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E36BCD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De conformidad </w:t>
      </w:r>
      <w:r w:rsidR="00730320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con el párrafo </w:t>
      </w:r>
      <w:r w:rsidR="00E42488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23 </w:t>
      </w:r>
      <w:r w:rsidR="00730320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de la </w:t>
      </w:r>
      <w:r w:rsidR="002F3D04" w:rsidRPr="00CF42FB">
        <w:rPr>
          <w:rFonts w:asciiTheme="minorHAnsi" w:hAnsiTheme="minorHAnsi" w:cstheme="minorHAnsi"/>
          <w:sz w:val="22"/>
          <w:szCs w:val="22"/>
          <w:lang w:val="es-ES_tradnl"/>
        </w:rPr>
        <w:t>Resolución</w:t>
      </w:r>
      <w:r w:rsidR="00E42488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 XIII.7</w:t>
      </w:r>
      <w:r w:rsidR="00931B12" w:rsidRPr="00CF42FB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E42488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842DF" w:rsidRPr="00CF42FB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E42488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CF42FB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E42488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30320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presentará en la reunión </w:t>
      </w:r>
      <w:r w:rsidR="00931B12" w:rsidRPr="00CF42FB">
        <w:rPr>
          <w:rFonts w:asciiTheme="minorHAnsi" w:hAnsiTheme="minorHAnsi" w:cstheme="minorHAnsi"/>
          <w:sz w:val="22"/>
          <w:szCs w:val="22"/>
          <w:lang w:val="es-ES_tradnl"/>
        </w:rPr>
        <w:t>SC58</w:t>
      </w:r>
      <w:r w:rsidR="00730320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 un plan para </w:t>
      </w:r>
      <w:r w:rsidR="001842DF" w:rsidRPr="00CF42FB">
        <w:rPr>
          <w:rFonts w:asciiTheme="minorHAnsi" w:hAnsiTheme="minorHAnsi" w:cstheme="minorHAnsi"/>
          <w:sz w:val="22"/>
          <w:szCs w:val="22"/>
          <w:lang w:val="es-ES_tradnl"/>
        </w:rPr>
        <w:t>reforzar</w:t>
      </w:r>
      <w:r w:rsidR="00730320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 las sinergias con otros AMMA y las </w:t>
      </w:r>
      <w:r w:rsidR="001842DF" w:rsidRPr="00CF42FB">
        <w:rPr>
          <w:rFonts w:asciiTheme="minorHAnsi" w:hAnsiTheme="minorHAnsi" w:cstheme="minorHAnsi"/>
          <w:sz w:val="22"/>
          <w:szCs w:val="22"/>
          <w:lang w:val="es-ES_tradnl"/>
        </w:rPr>
        <w:t>contribuciones</w:t>
      </w:r>
      <w:r w:rsidR="00730320" w:rsidRPr="00CF42FB">
        <w:rPr>
          <w:rFonts w:asciiTheme="minorHAnsi" w:hAnsiTheme="minorHAnsi" w:cstheme="minorHAnsi"/>
          <w:sz w:val="22"/>
          <w:szCs w:val="22"/>
          <w:lang w:val="es-ES_tradnl"/>
        </w:rPr>
        <w:t xml:space="preserve"> al marco mundial de la diversidad biológica posterior a 2020</w:t>
      </w:r>
      <w:r w:rsidR="00E42488" w:rsidRPr="00CF42FB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EF981AC" w14:textId="77777777" w:rsidR="00D32E9F" w:rsidRPr="00795FA5" w:rsidRDefault="00D32E9F" w:rsidP="00F61CAA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4F33E3A0" w14:textId="04F5CC20" w:rsidR="00A52667" w:rsidRPr="00795FA5" w:rsidRDefault="00730320" w:rsidP="00F61CAA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Objetivos de Desarrollo Sostenible</w:t>
      </w:r>
    </w:p>
    <w:p w14:paraId="14B04B91" w14:textId="77777777" w:rsidR="00A52667" w:rsidRPr="00795FA5" w:rsidRDefault="00A52667" w:rsidP="00F61CA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4A4FB65E" w14:textId="4B575F3A" w:rsidR="00A52667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28.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730320" w:rsidRPr="00E36BCD">
        <w:rPr>
          <w:rFonts w:asciiTheme="minorHAnsi" w:hAnsiTheme="minorHAnsi" w:cstheme="minorHAnsi"/>
          <w:sz w:val="22"/>
          <w:szCs w:val="22"/>
          <w:lang w:val="es-ES_tradnl"/>
        </w:rPr>
        <w:t>Con arreglo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 la Decisión </w:t>
      </w:r>
      <w:r w:rsidR="00931B12" w:rsidRPr="00795FA5">
        <w:rPr>
          <w:rFonts w:asciiTheme="minorHAnsi" w:hAnsiTheme="minorHAnsi" w:cstheme="minorHAnsi"/>
          <w:sz w:val="22"/>
          <w:szCs w:val="22"/>
          <w:lang w:val="es-ES_tradnl"/>
        </w:rPr>
        <w:t>SC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53-17 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>y l</w:t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>a Resolución</w:t>
      </w:r>
      <w:r w:rsidR="00FE324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XIII.7</w:t>
      </w:r>
      <w:r w:rsidR="00931B12" w:rsidRPr="00795FA5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la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sigue </w:t>
      </w:r>
      <w:r w:rsidR="00E36BCD">
        <w:rPr>
          <w:rFonts w:asciiTheme="minorHAnsi" w:hAnsiTheme="minorHAnsi" w:cstheme="minorHAnsi"/>
          <w:sz w:val="22"/>
          <w:szCs w:val="22"/>
          <w:lang w:val="es-ES_tradnl"/>
        </w:rPr>
        <w:t xml:space="preserve">participando en el 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trabajo en curso sobre los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Objetivos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Desarrollo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Sostenible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(ODS), entre otras cosas en las reuniones del </w:t>
      </w:r>
      <w:r w:rsidR="00E36BCD">
        <w:rPr>
          <w:rFonts w:asciiTheme="minorHAnsi" w:hAnsiTheme="minorHAnsi" w:cstheme="minorHAnsi"/>
          <w:sz w:val="22"/>
          <w:szCs w:val="22"/>
          <w:lang w:val="es-ES_tradnl"/>
        </w:rPr>
        <w:t xml:space="preserve">Grupo </w:t>
      </w:r>
      <w:r w:rsidR="00E36BCD" w:rsidRPr="00E720C8">
        <w:rPr>
          <w:rFonts w:asciiTheme="minorHAnsi" w:hAnsiTheme="minorHAnsi" w:cstheme="minorHAnsi"/>
          <w:sz w:val="22"/>
          <w:szCs w:val="22"/>
          <w:lang w:val="es-ES_tradnl"/>
        </w:rPr>
        <w:t xml:space="preserve">Interinstitucional de Expertos sobre los Indicadores de los Objetivos de Desarrollo Sostenible </w:t>
      </w:r>
      <w:r w:rsidR="00A52667" w:rsidRPr="00E720C8">
        <w:rPr>
          <w:rFonts w:asciiTheme="minorHAnsi" w:hAnsiTheme="minorHAnsi" w:cstheme="minorHAnsi"/>
          <w:sz w:val="22"/>
          <w:szCs w:val="22"/>
          <w:lang w:val="es-ES_tradnl"/>
        </w:rPr>
        <w:t>(IAEG-</w:t>
      </w:r>
      <w:r w:rsidR="00730320" w:rsidRPr="00E720C8">
        <w:rPr>
          <w:rFonts w:asciiTheme="minorHAnsi" w:hAnsiTheme="minorHAnsi" w:cstheme="minorHAnsi"/>
          <w:sz w:val="22"/>
          <w:szCs w:val="22"/>
          <w:lang w:val="es-ES_tradnl"/>
        </w:rPr>
        <w:t>ODS) y el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720C8">
        <w:rPr>
          <w:rFonts w:asciiTheme="minorHAnsi" w:hAnsiTheme="minorHAnsi" w:cstheme="minorHAnsi"/>
          <w:sz w:val="22"/>
          <w:szCs w:val="22"/>
          <w:lang w:val="es-ES_tradnl"/>
        </w:rPr>
        <w:t xml:space="preserve">equipo de tareas para 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>indicador 6.6.1, dirigido por el PNUMA</w:t>
      </w:r>
      <w:r w:rsidR="001C6B44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F1412EE" w14:textId="77777777" w:rsidR="00A52667" w:rsidRPr="00795FA5" w:rsidRDefault="00A52667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40EC30F" w14:textId="69874192" w:rsidR="00785702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29.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este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contexto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116E8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particip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ó en la octava reunión del 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>IAEG-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ODS en Estocolmo (Suecia) del 6 al 8 de noviembre de </w:t>
      </w:r>
      <w:r w:rsidR="00591DAC" w:rsidRPr="00795FA5">
        <w:rPr>
          <w:rFonts w:asciiTheme="minorHAnsi" w:hAnsiTheme="minorHAnsi" w:cstheme="minorHAnsi"/>
          <w:sz w:val="22"/>
          <w:szCs w:val="22"/>
          <w:lang w:val="es-ES_tradnl"/>
        </w:rPr>
        <w:t>2018.</w:t>
      </w:r>
    </w:p>
    <w:p w14:paraId="355DF0D0" w14:textId="77777777" w:rsidR="00785702" w:rsidRPr="00795FA5" w:rsidRDefault="00785702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0272C0B" w14:textId="133F0824" w:rsidR="00A52667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30.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Como se señala en la </w:t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>Resolución</w:t>
      </w:r>
      <w:r w:rsidR="001A4A2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XIII.7</w:t>
      </w:r>
      <w:r w:rsidR="005B59A3" w:rsidRPr="00795FA5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el </w:t>
      </w:r>
      <w:r w:rsidR="00421FFE">
        <w:rPr>
          <w:rFonts w:asciiTheme="minorHAnsi" w:hAnsiTheme="minorHAnsi" w:cstheme="minorHAnsi"/>
          <w:sz w:val="22"/>
          <w:szCs w:val="22"/>
          <w:lang w:val="es-ES_tradnl"/>
        </w:rPr>
        <w:t>I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>AEG-ODS</w:t>
      </w:r>
      <w:r w:rsidR="001A4A2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decidió en su séptima reunión reclasificar el indicador </w:t>
      </w:r>
      <w:r w:rsidR="001A4A24" w:rsidRPr="00795FA5">
        <w:rPr>
          <w:rFonts w:asciiTheme="minorHAnsi" w:hAnsiTheme="minorHAnsi" w:cstheme="minorHAnsi"/>
          <w:sz w:val="22"/>
          <w:szCs w:val="22"/>
          <w:lang w:val="es-ES_tradnl"/>
        </w:rPr>
        <w:t>6.6.</w:t>
      </w:r>
      <w:r w:rsidR="002C4A6C" w:rsidRPr="00795FA5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1A4A2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aprobar dos líneas de presentación de informes en la base de datos internacional de los ODS auspiciada por la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División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Estadística de las Naciones Unidas, de manera que el PNUMA sea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responsable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metodología comparable internacionalmente con datos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nacionales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4010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agrupaciones</w:t>
      </w:r>
      <w:r w:rsidR="004010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regionales</w:t>
      </w:r>
      <w:r w:rsidR="004010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mundiales para el indicador </w:t>
      </w:r>
      <w:r w:rsidR="00B47B7D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6.6.1, </w:t>
      </w:r>
      <w:r w:rsidR="004010B1" w:rsidRPr="00795FA5">
        <w:rPr>
          <w:rFonts w:asciiTheme="minorHAnsi" w:hAnsiTheme="minorHAnsi" w:cstheme="minorHAnsi"/>
          <w:sz w:val="22"/>
          <w:szCs w:val="22"/>
          <w:lang w:val="es-ES_tradnl"/>
        </w:rPr>
        <w:t>y la Convención de Ram</w:t>
      </w:r>
      <w:r w:rsidR="00421FFE">
        <w:rPr>
          <w:rFonts w:asciiTheme="minorHAnsi" w:hAnsiTheme="minorHAnsi" w:cstheme="minorHAnsi"/>
          <w:sz w:val="22"/>
          <w:szCs w:val="22"/>
          <w:lang w:val="es-ES_tradnl"/>
        </w:rPr>
        <w:t>sar sobre los Humedales aporte</w:t>
      </w:r>
      <w:r w:rsidR="004010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datos</w:t>
      </w:r>
      <w:r w:rsidR="004010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los informes nacionales basados en </w:t>
      </w:r>
      <w:r w:rsidR="00421FFE">
        <w:rPr>
          <w:rFonts w:asciiTheme="minorHAnsi" w:hAnsiTheme="minorHAnsi" w:cstheme="minorHAnsi"/>
          <w:sz w:val="22"/>
          <w:szCs w:val="22"/>
          <w:lang w:val="es-ES_tradnl"/>
        </w:rPr>
        <w:t xml:space="preserve">los requisitos y definiciones </w:t>
      </w:r>
      <w:r w:rsidR="004010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Ramsar. La Convención y el PNUMA, como custodios </w:t>
      </w:r>
      <w:r w:rsidR="00CE523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conjuntos para el indicador </w:t>
      </w:r>
      <w:r w:rsidR="00B47B7D" w:rsidRPr="00795FA5">
        <w:rPr>
          <w:rFonts w:asciiTheme="minorHAnsi" w:hAnsiTheme="minorHAnsi" w:cstheme="minorHAnsi"/>
          <w:sz w:val="22"/>
          <w:szCs w:val="22"/>
          <w:lang w:val="es-ES_tradnl"/>
        </w:rPr>
        <w:t>6.6.1</w:t>
      </w:r>
      <w:r w:rsidR="00CE523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los ODS, serán responsables de sus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respectivas</w:t>
      </w:r>
      <w:r w:rsidR="00CE523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líneas de presentación de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informes</w:t>
      </w:r>
      <w:r w:rsidR="00CE523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contribuirán conjuntamente a la línea argumental de la meta 6.6 de los ODS. En su octava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reunión</w:t>
      </w:r>
      <w:r w:rsidR="007B4956" w:rsidRPr="00795FA5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8550C8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E5230" w:rsidRPr="00795FA5">
        <w:rPr>
          <w:rFonts w:asciiTheme="minorHAnsi" w:hAnsiTheme="minorHAnsi" w:cstheme="minorHAnsi"/>
          <w:sz w:val="22"/>
          <w:szCs w:val="22"/>
          <w:lang w:val="es-ES_tradnl"/>
        </w:rPr>
        <w:t>el</w:t>
      </w:r>
      <w:r w:rsidR="008550C8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30320" w:rsidRPr="009951C5">
        <w:rPr>
          <w:rFonts w:asciiTheme="minorHAnsi" w:hAnsiTheme="minorHAnsi" w:cstheme="minorHAnsi"/>
          <w:sz w:val="22"/>
          <w:szCs w:val="22"/>
          <w:lang w:val="es-ES_tradnl"/>
        </w:rPr>
        <w:t>IAEG-ODS</w:t>
      </w:r>
      <w:r w:rsidR="008550C8" w:rsidRPr="009951C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E5230" w:rsidRPr="009951C5">
        <w:rPr>
          <w:rFonts w:asciiTheme="minorHAnsi" w:hAnsiTheme="minorHAnsi" w:cstheme="minorHAnsi"/>
          <w:sz w:val="22"/>
          <w:szCs w:val="22"/>
          <w:lang w:val="es-ES_tradnl"/>
        </w:rPr>
        <w:t xml:space="preserve">decidió </w:t>
      </w:r>
      <w:r w:rsidR="009951C5" w:rsidRPr="009951C5">
        <w:rPr>
          <w:rFonts w:asciiTheme="minorHAnsi" w:hAnsiTheme="minorHAnsi" w:cstheme="minorHAnsi"/>
          <w:sz w:val="22"/>
          <w:szCs w:val="22"/>
          <w:lang w:val="es-ES_tradnl"/>
        </w:rPr>
        <w:t xml:space="preserve">clasificar el </w:t>
      </w:r>
      <w:r w:rsidR="00CE5230" w:rsidRPr="009951C5">
        <w:rPr>
          <w:rFonts w:asciiTheme="minorHAnsi" w:hAnsiTheme="minorHAnsi" w:cstheme="minorHAnsi"/>
          <w:sz w:val="22"/>
          <w:szCs w:val="22"/>
          <w:lang w:val="es-ES_tradnl"/>
        </w:rPr>
        <w:t xml:space="preserve">indicador </w:t>
      </w:r>
      <w:r w:rsidR="008550C8" w:rsidRPr="009951C5">
        <w:rPr>
          <w:rFonts w:asciiTheme="minorHAnsi" w:hAnsiTheme="minorHAnsi" w:cstheme="minorHAnsi"/>
          <w:sz w:val="22"/>
          <w:szCs w:val="22"/>
          <w:lang w:val="es-ES_tradnl"/>
        </w:rPr>
        <w:t xml:space="preserve">6.6.1 </w:t>
      </w:r>
      <w:r w:rsidR="009951C5" w:rsidRPr="009951C5">
        <w:rPr>
          <w:rFonts w:asciiTheme="minorHAnsi" w:hAnsiTheme="minorHAnsi" w:cstheme="minorHAnsi"/>
          <w:sz w:val="22"/>
          <w:szCs w:val="22"/>
          <w:lang w:val="es-ES_tradnl"/>
        </w:rPr>
        <w:t>en el Nivel I a partir del examen de la disponibilidad de datos en la base de datos mundial sobre los indicadores de los ODS</w:t>
      </w:r>
      <w:r w:rsidR="00AD4E6A" w:rsidRPr="009951C5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024CE2" w:rsidRPr="009951C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951C5">
        <w:rPr>
          <w:rFonts w:asciiTheme="minorHAnsi" w:hAnsiTheme="minorHAnsi" w:cstheme="minorHAnsi"/>
          <w:sz w:val="22"/>
          <w:szCs w:val="22"/>
          <w:lang w:val="es-ES_tradnl"/>
        </w:rPr>
        <w:t xml:space="preserve">De acuerdo con </w:t>
      </w:r>
      <w:r w:rsidR="00CE5230" w:rsidRPr="009951C5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Resolución</w:t>
      </w:r>
      <w:r w:rsidR="00437BE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XIII.7 </w:t>
      </w:r>
      <w:r w:rsidR="00CE5230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los informes nacionales a la </w:t>
      </w:r>
      <w:r w:rsidR="00437BE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COP13, </w:t>
      </w:r>
      <w:r w:rsidR="00CE5230" w:rsidRPr="00795FA5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437BE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437BE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951C5">
        <w:rPr>
          <w:rFonts w:asciiTheme="minorHAnsi" w:hAnsiTheme="minorHAnsi" w:cstheme="minorHAnsi"/>
          <w:sz w:val="22"/>
          <w:szCs w:val="22"/>
          <w:lang w:val="es-ES_tradnl"/>
        </w:rPr>
        <w:t xml:space="preserve">está preparando un análisis de deficiencias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para seguir trabajando con las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Partes Contratantes</w:t>
      </w:r>
      <w:r w:rsidR="00437BE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la realización de los inventarios nacionales de humedales y la extensión de los humedales </w:t>
      </w:r>
      <w:r w:rsidR="009951C5">
        <w:rPr>
          <w:rFonts w:asciiTheme="minorHAnsi" w:hAnsiTheme="minorHAnsi" w:cstheme="minorHAnsi"/>
          <w:sz w:val="22"/>
          <w:szCs w:val="22"/>
          <w:lang w:val="es-ES_tradnl"/>
        </w:rPr>
        <w:t>a fin de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informar sobre el indicador 6.6.1 de los ODS</w:t>
      </w:r>
      <w:r w:rsidR="009D77D5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9601317" w14:textId="77777777" w:rsidR="00CF42FB" w:rsidRDefault="00CF42FB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E234B46" w14:textId="226CDF1B" w:rsidR="004D3B63" w:rsidRPr="00795FA5" w:rsidRDefault="00CF42FB" w:rsidP="00CF42FB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31.</w:t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9951C5" w:rsidRPr="009951C5">
        <w:rPr>
          <w:rFonts w:asciiTheme="minorHAnsi" w:hAnsiTheme="minorHAnsi" w:cstheme="minorHAnsi"/>
          <w:sz w:val="22"/>
          <w:szCs w:val="22"/>
          <w:lang w:val="es-ES_tradnl"/>
        </w:rPr>
        <w:t>En apoyo del logro del ODS</w:t>
      </w:r>
      <w:r w:rsidR="00527E76" w:rsidRPr="009951C5">
        <w:rPr>
          <w:rFonts w:asciiTheme="minorHAnsi" w:hAnsiTheme="minorHAnsi" w:cstheme="minorHAnsi"/>
          <w:sz w:val="22"/>
          <w:szCs w:val="22"/>
          <w:lang w:val="es-ES_tradnl"/>
        </w:rPr>
        <w:t xml:space="preserve"> 14</w:t>
      </w:r>
      <w:r w:rsidR="00C5297B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527E76" w:rsidRPr="009951C5">
        <w:rPr>
          <w:rFonts w:asciiTheme="minorHAnsi" w:hAnsiTheme="minorHAnsi" w:cstheme="minorHAnsi"/>
          <w:sz w:val="22"/>
          <w:szCs w:val="22"/>
          <w:lang w:val="es-ES_tradnl"/>
        </w:rPr>
        <w:t xml:space="preserve"> “</w:t>
      </w:r>
      <w:r w:rsidR="00527E76" w:rsidRPr="00795FA5">
        <w:rPr>
          <w:rFonts w:asciiTheme="minorHAnsi" w:hAnsiTheme="minorHAnsi" w:cstheme="minorHAnsi"/>
          <w:sz w:val="22"/>
          <w:szCs w:val="22"/>
          <w:lang w:val="es-ES_tradnl"/>
        </w:rPr>
        <w:t>Conserv</w:t>
      </w:r>
      <w:r w:rsidR="00C5297B">
        <w:rPr>
          <w:rFonts w:asciiTheme="minorHAnsi" w:hAnsiTheme="minorHAnsi" w:cstheme="minorHAnsi"/>
          <w:sz w:val="22"/>
          <w:szCs w:val="22"/>
          <w:lang w:val="es-ES_tradnl"/>
        </w:rPr>
        <w:t>ar y utilizar en forma sostenible los océanos, los mares y los recursos marinos para el desarrollo sostenible</w:t>
      </w:r>
      <w:r w:rsidR="00527E76" w:rsidRPr="00795FA5">
        <w:rPr>
          <w:rFonts w:asciiTheme="minorHAnsi" w:hAnsiTheme="minorHAnsi" w:cstheme="minorHAnsi"/>
          <w:sz w:val="22"/>
          <w:szCs w:val="22"/>
          <w:lang w:val="es-ES_tradnl"/>
        </w:rPr>
        <w:t>”</w:t>
      </w:r>
      <w:r w:rsidR="00C700E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>la Secretaria General de la Convención y la Dire</w:t>
      </w:r>
      <w:r w:rsidR="005B3B15">
        <w:rPr>
          <w:rFonts w:asciiTheme="minorHAnsi" w:hAnsiTheme="minorHAnsi" w:cstheme="minorHAnsi"/>
          <w:sz w:val="22"/>
          <w:szCs w:val="22"/>
          <w:lang w:val="es-ES_tradnl"/>
        </w:rPr>
        <w:t xml:space="preserve">ctora General de la UICN, como puntos focales </w:t>
      </w:r>
      <w:r w:rsidR="00C5297B">
        <w:rPr>
          <w:rFonts w:asciiTheme="minorHAnsi" w:hAnsiTheme="minorHAnsi" w:cstheme="minorHAnsi"/>
          <w:sz w:val="22"/>
          <w:szCs w:val="22"/>
          <w:lang w:val="es-ES_tradnl"/>
        </w:rPr>
        <w:t xml:space="preserve">de la Conferencia de las Naciones Unidas sobre los Océanos </w:t>
      </w:r>
      <w:r w:rsidR="00B660E1" w:rsidRPr="00795FA5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C5297B">
        <w:rPr>
          <w:rFonts w:asciiTheme="minorHAnsi" w:hAnsiTheme="minorHAnsi" w:cstheme="minorHAnsi"/>
          <w:sz w:val="22"/>
          <w:szCs w:val="22"/>
          <w:lang w:val="es-ES_tradnl"/>
        </w:rPr>
        <w:t>ODS</w:t>
      </w:r>
      <w:r w:rsidR="007B4956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700EB" w:rsidRPr="00795FA5">
        <w:rPr>
          <w:rFonts w:asciiTheme="minorHAnsi" w:hAnsiTheme="minorHAnsi" w:cstheme="minorHAnsi"/>
          <w:sz w:val="22"/>
          <w:szCs w:val="22"/>
          <w:lang w:val="es-ES_tradnl"/>
        </w:rPr>
        <w:t>14</w:t>
      </w:r>
      <w:r w:rsidR="00B660E1" w:rsidRPr="00795FA5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5B3B15">
        <w:rPr>
          <w:rFonts w:asciiTheme="minorHAnsi" w:hAnsiTheme="minorHAnsi" w:cstheme="minorHAnsi"/>
          <w:sz w:val="22"/>
          <w:szCs w:val="22"/>
          <w:lang w:val="es-ES_tradnl"/>
        </w:rPr>
        <w:t xml:space="preserve"> – Comunidad de acci</w:t>
      </w:r>
      <w:r w:rsidR="00100C76">
        <w:rPr>
          <w:rFonts w:asciiTheme="minorHAnsi" w:hAnsiTheme="minorHAnsi" w:cstheme="minorHAnsi"/>
          <w:sz w:val="22"/>
          <w:szCs w:val="22"/>
          <w:lang w:val="es-ES_tradnl"/>
        </w:rPr>
        <w:t>ón oceánica sobre los manglares,</w:t>
      </w:r>
      <w:r w:rsidR="00C700E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invitaron a las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Partes Contratantes</w:t>
      </w:r>
      <w:r w:rsidR="00C700E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5B3B15">
        <w:rPr>
          <w:rFonts w:asciiTheme="minorHAnsi" w:hAnsiTheme="minorHAnsi" w:cstheme="minorHAnsi"/>
          <w:sz w:val="22"/>
          <w:szCs w:val="22"/>
          <w:lang w:val="es-ES_tradnl"/>
        </w:rPr>
        <w:t xml:space="preserve">delegaciones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al evento paralelo especial de la COP13 de Ramsar </w:t>
      </w:r>
      <w:r w:rsidR="00C700EB" w:rsidRPr="00795FA5">
        <w:rPr>
          <w:rFonts w:asciiTheme="minorHAnsi" w:hAnsiTheme="minorHAnsi" w:cstheme="minorHAnsi"/>
          <w:sz w:val="22"/>
          <w:szCs w:val="22"/>
          <w:lang w:val="es-ES_tradnl"/>
        </w:rPr>
        <w:t>“</w:t>
      </w:r>
      <w:r w:rsidR="005B3B15" w:rsidRPr="005B3B15">
        <w:rPr>
          <w:rFonts w:asciiTheme="minorHAnsi" w:hAnsiTheme="minorHAnsi" w:cstheme="minorHAnsi"/>
          <w:sz w:val="22"/>
          <w:szCs w:val="22"/>
          <w:lang w:val="es-ES_tradnl"/>
        </w:rPr>
        <w:t>Conferencia de las Naciones Unidas sobre los Océanos: Comunidad de Acción en Manglares: progreso y oportunidades</w:t>
      </w:r>
      <w:r w:rsidR="001C6B44" w:rsidRPr="00795FA5">
        <w:rPr>
          <w:rFonts w:asciiTheme="minorHAnsi" w:hAnsiTheme="minorHAnsi" w:cstheme="minorHAnsi"/>
          <w:sz w:val="22"/>
          <w:szCs w:val="22"/>
          <w:lang w:val="es-ES_tradnl"/>
        </w:rPr>
        <w:t>”.</w:t>
      </w:r>
    </w:p>
    <w:p w14:paraId="1B0B990B" w14:textId="77777777" w:rsidR="004D3B63" w:rsidRPr="00795FA5" w:rsidRDefault="004D3B63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1619A37" w14:textId="32E75A3F" w:rsidR="00C700EB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32.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>En ese evento, representan</w:t>
      </w:r>
      <w:r w:rsidR="005B3B15">
        <w:rPr>
          <w:rFonts w:asciiTheme="minorHAnsi" w:hAnsiTheme="minorHAnsi" w:cstheme="minorHAnsi"/>
          <w:sz w:val="22"/>
          <w:szCs w:val="22"/>
          <w:lang w:val="es-ES_tradnl"/>
        </w:rPr>
        <w:t xml:space="preserve">tes gubernamentales informaron sobre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compromisos voluntarios existentes, por ejemplo medidas sobre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restauración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protección y carbono azul. La </w:t>
      </w:r>
      <w:r w:rsidR="005B3B15">
        <w:rPr>
          <w:rFonts w:asciiTheme="minorHAnsi" w:hAnsiTheme="minorHAnsi" w:cstheme="minorHAnsi"/>
          <w:sz w:val="22"/>
          <w:szCs w:val="22"/>
          <w:lang w:val="es-ES_tradnl"/>
        </w:rPr>
        <w:t xml:space="preserve">Iniciativa </w:t>
      </w:r>
      <w:r w:rsidR="005B3B15" w:rsidRPr="00A16F22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 xml:space="preserve">Regional de </w:t>
      </w:r>
      <w:r w:rsidR="001F7288" w:rsidRPr="00A16F22">
        <w:rPr>
          <w:rFonts w:asciiTheme="minorHAnsi" w:hAnsiTheme="minorHAnsi" w:cstheme="minorHAnsi"/>
          <w:sz w:val="22"/>
          <w:szCs w:val="22"/>
          <w:lang w:val="es-ES_tradnl"/>
        </w:rPr>
        <w:t xml:space="preserve">Ramsar </w:t>
      </w:r>
      <w:r w:rsidR="00A16F22" w:rsidRPr="00A16F22">
        <w:rPr>
          <w:rFonts w:asciiTheme="minorHAnsi" w:hAnsiTheme="minorHAnsi" w:cstheme="minorHAnsi"/>
          <w:sz w:val="22"/>
          <w:szCs w:val="22"/>
          <w:lang w:val="es-ES_tradnl"/>
        </w:rPr>
        <w:t>para la Conservación y Uso R</w:t>
      </w:r>
      <w:r w:rsidR="005B3B15" w:rsidRPr="00A16F22">
        <w:rPr>
          <w:rFonts w:asciiTheme="minorHAnsi" w:hAnsiTheme="minorHAnsi" w:cstheme="minorHAnsi"/>
          <w:sz w:val="22"/>
          <w:szCs w:val="22"/>
          <w:lang w:val="es-ES_tradnl"/>
        </w:rPr>
        <w:t xml:space="preserve">acional de </w:t>
      </w:r>
      <w:r w:rsidR="00A16F22" w:rsidRPr="00A16F22">
        <w:rPr>
          <w:rFonts w:asciiTheme="minorHAnsi" w:hAnsiTheme="minorHAnsi" w:cstheme="minorHAnsi"/>
          <w:sz w:val="22"/>
          <w:szCs w:val="22"/>
          <w:lang w:val="es-ES_tradnl"/>
        </w:rPr>
        <w:t>Manglares y A</w:t>
      </w:r>
      <w:r w:rsidR="005B3B15" w:rsidRPr="00A16F22">
        <w:rPr>
          <w:rFonts w:asciiTheme="minorHAnsi" w:hAnsiTheme="minorHAnsi" w:cstheme="minorHAnsi"/>
          <w:sz w:val="22"/>
          <w:szCs w:val="22"/>
          <w:lang w:val="es-ES_tradnl"/>
        </w:rPr>
        <w:t xml:space="preserve">rrecifes de </w:t>
      </w:r>
      <w:r w:rsidR="00A16F22" w:rsidRPr="00A16F22"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5B3B15" w:rsidRPr="00A16F22">
        <w:rPr>
          <w:rFonts w:asciiTheme="minorHAnsi" w:hAnsiTheme="minorHAnsi" w:cstheme="minorHAnsi"/>
          <w:sz w:val="22"/>
          <w:szCs w:val="22"/>
          <w:lang w:val="es-ES_tradnl"/>
        </w:rPr>
        <w:t xml:space="preserve">oral </w:t>
      </w:r>
      <w:r w:rsidR="00A16F22" w:rsidRPr="00A16F22">
        <w:rPr>
          <w:rFonts w:asciiTheme="minorHAnsi" w:hAnsiTheme="minorHAnsi" w:cstheme="minorHAnsi"/>
          <w:sz w:val="22"/>
          <w:szCs w:val="22"/>
          <w:lang w:val="es-ES_tradnl"/>
        </w:rPr>
        <w:t xml:space="preserve">y la Asociación </w:t>
      </w:r>
      <w:r w:rsidR="001F7288" w:rsidRPr="00A16F22">
        <w:rPr>
          <w:rFonts w:asciiTheme="minorHAnsi" w:hAnsiTheme="minorHAnsi" w:cstheme="minorHAnsi"/>
          <w:sz w:val="22"/>
          <w:szCs w:val="22"/>
          <w:lang w:val="es-ES_tradnl"/>
        </w:rPr>
        <w:t xml:space="preserve">Regional </w:t>
      </w:r>
      <w:r w:rsidR="00A16F22" w:rsidRPr="00A16F22">
        <w:rPr>
          <w:rFonts w:asciiTheme="minorHAnsi" w:hAnsiTheme="minorHAnsi" w:cstheme="minorHAnsi"/>
          <w:sz w:val="22"/>
          <w:szCs w:val="22"/>
          <w:lang w:val="es-ES_tradnl"/>
        </w:rPr>
        <w:t>para la Conservación de las zonas costeras y marinas en África</w:t>
      </w:r>
      <w:r w:rsidR="00A16F22">
        <w:rPr>
          <w:rFonts w:asciiTheme="minorHAnsi" w:hAnsiTheme="minorHAnsi" w:cstheme="minorHAnsi"/>
          <w:sz w:val="22"/>
          <w:szCs w:val="22"/>
          <w:lang w:val="es-ES_tradnl"/>
        </w:rPr>
        <w:t xml:space="preserve"> Occidental manifestar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on que </w:t>
      </w:r>
      <w:r w:rsidR="00A16F22">
        <w:rPr>
          <w:rFonts w:asciiTheme="minorHAnsi" w:hAnsiTheme="minorHAnsi" w:cstheme="minorHAnsi"/>
          <w:sz w:val="22"/>
          <w:szCs w:val="22"/>
          <w:lang w:val="es-ES_tradnl"/>
        </w:rPr>
        <w:t xml:space="preserve">su objetivo era presentar su trabajo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como un compromiso voluntario en el marco de la </w:t>
      </w:r>
      <w:r w:rsidR="00C2573B">
        <w:rPr>
          <w:rFonts w:asciiTheme="minorHAnsi" w:hAnsiTheme="minorHAnsi" w:cstheme="minorHAnsi"/>
          <w:sz w:val="22"/>
          <w:szCs w:val="22"/>
          <w:lang w:val="es-ES_tradnl"/>
        </w:rPr>
        <w:t>Comunidad de acción oceánica sobre los manglares de la Conferencia de las Naciones Unidas sobre los Océanos</w:t>
      </w:r>
      <w:r w:rsidR="007246F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El embajador </w:t>
      </w:r>
      <w:r w:rsidR="00B660E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Peter </w:t>
      </w:r>
      <w:r w:rsidR="00C700E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Thomson, </w:t>
      </w:r>
      <w:r w:rsidR="00C2573B">
        <w:rPr>
          <w:rFonts w:asciiTheme="minorHAnsi" w:hAnsiTheme="minorHAnsi" w:cstheme="minorHAnsi"/>
          <w:sz w:val="22"/>
          <w:szCs w:val="22"/>
          <w:lang w:val="es-ES_tradnl"/>
        </w:rPr>
        <w:t>enviado especial de la ONU para los océanos nombrado por el Secretario General,</w:t>
      </w:r>
      <w:r w:rsidR="00C700E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>destacó la función</w:t>
      </w:r>
      <w:r w:rsidR="00C2573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esencial de los ecosistemas de manglares para la resiliencia costera y </w:t>
      </w:r>
      <w:r w:rsidR="00C2573B">
        <w:rPr>
          <w:rFonts w:asciiTheme="minorHAnsi" w:hAnsiTheme="minorHAnsi" w:cstheme="minorHAnsi"/>
          <w:sz w:val="22"/>
          <w:szCs w:val="22"/>
          <w:lang w:val="es-ES_tradnl"/>
        </w:rPr>
        <w:t xml:space="preserve">oceánica y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describió la Convención de Ramsar como el </w:t>
      </w:r>
      <w:r w:rsidR="00AA38D6">
        <w:rPr>
          <w:rFonts w:asciiTheme="minorHAnsi" w:hAnsiTheme="minorHAnsi" w:cstheme="minorHAnsi"/>
          <w:sz w:val="22"/>
          <w:szCs w:val="22"/>
          <w:lang w:val="es-ES_tradnl"/>
        </w:rPr>
        <w:t xml:space="preserve">núcleo </w:t>
      </w:r>
      <w:r w:rsidR="007C2DD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para apoyar las medidas </w:t>
      </w:r>
      <w:r w:rsidR="00AA38D6">
        <w:rPr>
          <w:rFonts w:asciiTheme="minorHAnsi" w:hAnsiTheme="minorHAnsi" w:cstheme="minorHAnsi"/>
          <w:sz w:val="22"/>
          <w:szCs w:val="22"/>
          <w:lang w:val="es-ES_tradnl"/>
        </w:rPr>
        <w:t xml:space="preserve">de la Comunidad de acción oceánica sobre </w:t>
      </w:r>
      <w:r w:rsidR="0044293E">
        <w:rPr>
          <w:rFonts w:asciiTheme="minorHAnsi" w:hAnsiTheme="minorHAnsi" w:cstheme="minorHAnsi"/>
          <w:sz w:val="22"/>
          <w:szCs w:val="22"/>
          <w:lang w:val="es-ES_tradnl"/>
        </w:rPr>
        <w:t>la conservación de los</w:t>
      </w:r>
      <w:r w:rsidR="00AA38D6">
        <w:rPr>
          <w:rFonts w:asciiTheme="minorHAnsi" w:hAnsiTheme="minorHAnsi" w:cstheme="minorHAnsi"/>
          <w:sz w:val="22"/>
          <w:szCs w:val="22"/>
          <w:lang w:val="es-ES_tradnl"/>
        </w:rPr>
        <w:t xml:space="preserve"> manglares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>. Alentó a que se presentaran nuevos</w:t>
      </w:r>
      <w:r w:rsidR="0044293E">
        <w:rPr>
          <w:rFonts w:asciiTheme="minorHAnsi" w:hAnsiTheme="minorHAnsi" w:cstheme="minorHAnsi"/>
          <w:sz w:val="22"/>
          <w:szCs w:val="22"/>
          <w:lang w:val="es-ES_tradnl"/>
        </w:rPr>
        <w:t xml:space="preserve"> compromisos voluntarios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>e instó a los países y otros interesados a que actualizaran los existentes.</w:t>
      </w:r>
    </w:p>
    <w:p w14:paraId="6BBAE325" w14:textId="77777777" w:rsidR="00224DF1" w:rsidRPr="00795FA5" w:rsidRDefault="00224DF1" w:rsidP="00F61CA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ES_tradnl" w:eastAsia="en-US"/>
        </w:rPr>
      </w:pPr>
    </w:p>
    <w:p w14:paraId="1A053EE6" w14:textId="2BD9A2CE" w:rsidR="00A52667" w:rsidRPr="00795FA5" w:rsidRDefault="0044293E" w:rsidP="000615EE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Medidas para reforzar </w:t>
      </w:r>
      <w:r w:rsidR="00FC708C" w:rsidRPr="00795FA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la </w:t>
      </w:r>
      <w:r w:rsidR="001842DF" w:rsidRPr="00795FA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cooperación</w:t>
      </w:r>
      <w:r w:rsidR="00FC708C" w:rsidRPr="00795FA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con el Programa de las Naciones Unidas para el Medio </w:t>
      </w:r>
      <w:r w:rsidR="001842DF" w:rsidRPr="00795FA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Ambiente</w:t>
      </w:r>
      <w:r w:rsidR="00FC708C" w:rsidRPr="00795FA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y otras instituciones internacionales</w:t>
      </w:r>
    </w:p>
    <w:p w14:paraId="564AD080" w14:textId="77777777" w:rsidR="00A52667" w:rsidRPr="00795FA5" w:rsidRDefault="00A52667" w:rsidP="000615EE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0F2D9B44" w14:textId="6AA9579B" w:rsidR="00A52667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33.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Como se señaló en </w:t>
      </w:r>
      <w:r w:rsidR="001842DF">
        <w:rPr>
          <w:rFonts w:asciiTheme="minorHAnsi" w:hAnsiTheme="minorHAnsi" w:cstheme="minorHAnsi"/>
          <w:sz w:val="22"/>
          <w:szCs w:val="22"/>
          <w:lang w:val="es-ES_tradnl"/>
        </w:rPr>
        <w:t>informes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anteriores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al </w:t>
      </w:r>
      <w:r w:rsidR="002F3D04" w:rsidRPr="00795FA5">
        <w:rPr>
          <w:rFonts w:asciiTheme="minorHAnsi" w:hAnsiTheme="minorHAnsi" w:cstheme="minorHAnsi"/>
          <w:sz w:val="22"/>
          <w:szCs w:val="22"/>
          <w:lang w:val="es-ES_tradnl"/>
        </w:rPr>
        <w:t>Comité Permanente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sigue trabajando para </w:t>
      </w:r>
      <w:r w:rsidR="001842DF" w:rsidRPr="00795FA5">
        <w:rPr>
          <w:rFonts w:asciiTheme="minorHAnsi" w:hAnsiTheme="minorHAnsi" w:cstheme="minorHAnsi"/>
          <w:sz w:val="22"/>
          <w:szCs w:val="22"/>
          <w:lang w:val="es-ES_tradnl"/>
        </w:rPr>
        <w:t>fortalecer</w:t>
      </w:r>
      <w:r w:rsidR="00E619D2">
        <w:rPr>
          <w:rFonts w:asciiTheme="minorHAnsi" w:hAnsiTheme="minorHAnsi" w:cstheme="minorHAnsi"/>
          <w:sz w:val="22"/>
          <w:szCs w:val="22"/>
          <w:lang w:val="es-ES_tradnl"/>
        </w:rPr>
        <w:t xml:space="preserve"> la colaboración los organismos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>de las Naciones Unidas y otras instituciones internacionales.</w:t>
      </w:r>
    </w:p>
    <w:p w14:paraId="63AA2E3B" w14:textId="77777777" w:rsidR="00A52667" w:rsidRPr="00795FA5" w:rsidRDefault="00A52667" w:rsidP="00F61CAA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theme="minorHAnsi"/>
          <w:sz w:val="22"/>
          <w:szCs w:val="22"/>
          <w:lang w:val="es-ES_tradnl" w:eastAsia="en-US"/>
        </w:rPr>
      </w:pPr>
    </w:p>
    <w:p w14:paraId="12BC85EC" w14:textId="75D8C4D2" w:rsidR="00A52667" w:rsidRPr="00795FA5" w:rsidRDefault="00A52667" w:rsidP="00F61CAA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theme="minorHAnsi"/>
          <w:i/>
          <w:sz w:val="22"/>
          <w:szCs w:val="22"/>
          <w:lang w:val="es-ES_tradnl" w:eastAsia="en-US"/>
        </w:rPr>
      </w:pPr>
      <w:r w:rsidRPr="00795FA5">
        <w:rPr>
          <w:rFonts w:asciiTheme="minorHAnsi" w:eastAsiaTheme="minorHAnsi" w:hAnsiTheme="minorHAnsi" w:cstheme="minorHAnsi"/>
          <w:i/>
          <w:sz w:val="22"/>
          <w:szCs w:val="22"/>
          <w:lang w:val="es-ES_tradnl" w:eastAsia="en-US"/>
        </w:rPr>
        <w:t>Co</w:t>
      </w:r>
      <w:r w:rsidR="00FC708C" w:rsidRPr="00795FA5">
        <w:rPr>
          <w:rFonts w:asciiTheme="minorHAnsi" w:eastAsiaTheme="minorHAnsi" w:hAnsiTheme="minorHAnsi" w:cstheme="minorHAnsi"/>
          <w:i/>
          <w:sz w:val="22"/>
          <w:szCs w:val="22"/>
          <w:lang w:val="es-ES_tradnl" w:eastAsia="en-US"/>
        </w:rPr>
        <w:t>laboración con el PNUMA</w:t>
      </w:r>
    </w:p>
    <w:p w14:paraId="656A6535" w14:textId="77777777" w:rsidR="00A52667" w:rsidRPr="00795FA5" w:rsidRDefault="00A52667" w:rsidP="00F61CA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A7EA0B8" w14:textId="28FE01E0" w:rsidR="00C31071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34.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FC69B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FC69B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>y el PNUMA renovarán su memorando de entendimiento en l</w:t>
      </w:r>
      <w:r w:rsidR="00F0665A">
        <w:rPr>
          <w:rFonts w:asciiTheme="minorHAnsi" w:hAnsiTheme="minorHAnsi" w:cstheme="minorHAnsi"/>
          <w:sz w:val="22"/>
          <w:szCs w:val="22"/>
          <w:lang w:val="es-ES_tradnl"/>
        </w:rPr>
        <w:t xml:space="preserve">a cuarta </w:t>
      </w:r>
      <w:r w:rsidR="00A77801">
        <w:rPr>
          <w:rFonts w:asciiTheme="minorHAnsi" w:hAnsiTheme="minorHAnsi" w:cstheme="minorHAnsi"/>
          <w:sz w:val="22"/>
          <w:szCs w:val="22"/>
          <w:lang w:val="es-ES_tradnl"/>
        </w:rPr>
        <w:t xml:space="preserve">sesión de la </w:t>
      </w:r>
      <w:r w:rsidR="00F0665A">
        <w:rPr>
          <w:rFonts w:asciiTheme="minorHAnsi" w:hAnsiTheme="minorHAnsi" w:cstheme="minorHAnsi"/>
          <w:sz w:val="22"/>
          <w:szCs w:val="22"/>
          <w:lang w:val="es-ES_tradnl"/>
        </w:rPr>
        <w:t>Asamblea de las Naciones Unidas para el Medio Ambiente e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n marzo de </w:t>
      </w:r>
      <w:r w:rsidR="00CA331E" w:rsidRPr="00795FA5">
        <w:rPr>
          <w:rFonts w:asciiTheme="minorHAnsi" w:hAnsiTheme="minorHAnsi" w:cstheme="minorHAnsi"/>
          <w:sz w:val="22"/>
          <w:szCs w:val="22"/>
          <w:lang w:val="es-ES_tradnl"/>
        </w:rPr>
        <w:t>2019</w:t>
      </w:r>
      <w:r w:rsidR="00FC69BA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F0665A">
        <w:rPr>
          <w:rFonts w:asciiTheme="minorHAnsi" w:hAnsiTheme="minorHAnsi" w:cstheme="minorHAnsi"/>
          <w:sz w:val="22"/>
          <w:szCs w:val="22"/>
          <w:lang w:val="es-ES_tradnl"/>
        </w:rPr>
        <w:t xml:space="preserve"> Han estado</w:t>
      </w:r>
      <w:r w:rsidR="00BC469D">
        <w:rPr>
          <w:rFonts w:asciiTheme="minorHAnsi" w:hAnsiTheme="minorHAnsi" w:cstheme="minorHAnsi"/>
          <w:sz w:val="22"/>
          <w:szCs w:val="22"/>
          <w:lang w:val="es-ES_tradnl"/>
        </w:rPr>
        <w:t xml:space="preserve"> planificando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actividades </w:t>
      </w:r>
      <w:r w:rsidR="00F0665A">
        <w:rPr>
          <w:rFonts w:asciiTheme="minorHAnsi" w:hAnsiTheme="minorHAnsi" w:cstheme="minorHAnsi"/>
          <w:sz w:val="22"/>
          <w:szCs w:val="22"/>
          <w:lang w:val="es-ES_tradnl"/>
        </w:rPr>
        <w:t xml:space="preserve">de cooperación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para promover las sinergias y mejorar la aplicación de la Convención. La Secretaria </w:t>
      </w:r>
      <w:r w:rsidR="00C31071" w:rsidRPr="00795FA5">
        <w:rPr>
          <w:rFonts w:asciiTheme="minorHAnsi" w:hAnsiTheme="minorHAnsi" w:cstheme="minorHAnsi"/>
          <w:sz w:val="22"/>
          <w:szCs w:val="22"/>
          <w:lang w:val="es-ES_tradnl"/>
        </w:rPr>
        <w:t>General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Convención participó en la </w:t>
      </w:r>
      <w:r w:rsidR="00BC469D">
        <w:rPr>
          <w:rFonts w:asciiTheme="minorHAnsi" w:hAnsiTheme="minorHAnsi" w:cstheme="minorHAnsi"/>
          <w:sz w:val="22"/>
          <w:szCs w:val="22"/>
          <w:lang w:val="es-ES_tradnl"/>
        </w:rPr>
        <w:t>séptima sesión especial de la Conferencia Ministerial Africana sobre el Medio Ambiente (</w:t>
      </w:r>
      <w:r w:rsidR="00C3107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AMCEN)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="00C3107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Nairobi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del </w:t>
      </w:r>
      <w:r w:rsidR="00C3107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17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>al</w:t>
      </w:r>
      <w:r w:rsidR="00C3107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21 </w:t>
      </w:r>
      <w:r w:rsidR="00FC70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septiembre de </w:t>
      </w:r>
      <w:r w:rsidR="00C3107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2018. </w:t>
      </w:r>
      <w:r w:rsidR="00BC469D">
        <w:rPr>
          <w:rFonts w:asciiTheme="minorHAnsi" w:hAnsiTheme="minorHAnsi" w:cstheme="minorHAnsi"/>
          <w:sz w:val="22"/>
          <w:szCs w:val="22"/>
          <w:lang w:val="es-ES_tradnl"/>
        </w:rPr>
        <w:t xml:space="preserve">La conferencia brindó la 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oportunidad </w:t>
      </w:r>
      <w:r w:rsidR="00BC469D">
        <w:rPr>
          <w:rFonts w:asciiTheme="minorHAnsi" w:hAnsiTheme="minorHAnsi" w:cstheme="minorHAnsi"/>
          <w:sz w:val="22"/>
          <w:szCs w:val="22"/>
          <w:lang w:val="es-ES_tradnl"/>
        </w:rPr>
        <w:t xml:space="preserve">de mejorar 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cooperación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con las Partes Contratantes de </w:t>
      </w:r>
      <w:r w:rsidR="00BC469D">
        <w:rPr>
          <w:rFonts w:asciiTheme="minorHAnsi" w:hAnsiTheme="minorHAnsi" w:cstheme="minorHAnsi"/>
          <w:sz w:val="22"/>
          <w:szCs w:val="22"/>
          <w:lang w:val="es-ES_tradnl"/>
        </w:rPr>
        <w:t>África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para apoyar la aplicación de los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objetivos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Convención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3493DD8B" w14:textId="123EBE6C" w:rsidR="00A52667" w:rsidRPr="00795FA5" w:rsidRDefault="00A52667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2FB0036" w14:textId="7DD9078C" w:rsidR="00A52667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35.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A5266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274B2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participará activamente </w:t>
      </w:r>
      <w:r w:rsidR="00A77801">
        <w:rPr>
          <w:rFonts w:asciiTheme="minorHAnsi" w:hAnsiTheme="minorHAnsi" w:cstheme="minorHAnsi"/>
          <w:sz w:val="22"/>
          <w:szCs w:val="22"/>
          <w:lang w:val="es-ES_tradnl"/>
        </w:rPr>
        <w:t>en la reunión de alto nivel de la cuarta sesión de la Asamblea de las Naciones Unidas para el Medio Ambiente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en </w:t>
      </w:r>
      <w:r w:rsidR="00274B24" w:rsidRPr="00795FA5">
        <w:rPr>
          <w:rFonts w:asciiTheme="minorHAnsi" w:hAnsiTheme="minorHAnsi" w:cstheme="minorHAnsi"/>
          <w:sz w:val="22"/>
          <w:szCs w:val="22"/>
          <w:lang w:val="es-ES_tradnl"/>
        </w:rPr>
        <w:t>Nairobi (UNEA4, 11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 </w:t>
      </w:r>
      <w:r w:rsidR="00274B24" w:rsidRPr="00795FA5">
        <w:rPr>
          <w:rFonts w:asciiTheme="minorHAnsi" w:hAnsiTheme="minorHAnsi" w:cstheme="minorHAnsi"/>
          <w:sz w:val="22"/>
          <w:szCs w:val="22"/>
          <w:lang w:val="es-ES_tradnl"/>
        </w:rPr>
        <w:t>15</w:t>
      </w:r>
      <w:r w:rsidR="00005B9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marzo de </w:t>
      </w:r>
      <w:r w:rsidR="00274B2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2019),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poniendo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relieve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el papel de los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humedales</w:t>
      </w:r>
      <w:r w:rsidR="0053193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en la producción y el consumo sostenibles así como su contribución a los ODS</w:t>
      </w:r>
      <w:r w:rsidR="00274B24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4675226" w14:textId="77777777" w:rsidR="001011BF" w:rsidRPr="00795FA5" w:rsidRDefault="001011BF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2DF8209" w14:textId="37F4F6FA" w:rsidR="004D3B63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36.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AD029E" w:rsidRPr="00795FA5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2B2A5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2B2A59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77801">
        <w:rPr>
          <w:rFonts w:asciiTheme="minorHAnsi" w:hAnsiTheme="minorHAnsi" w:cstheme="minorHAnsi"/>
          <w:sz w:val="22"/>
          <w:szCs w:val="22"/>
          <w:lang w:val="es-ES_tradnl"/>
        </w:rPr>
        <w:t xml:space="preserve">participa en el proyecto de sinergias </w:t>
      </w:r>
      <w:r w:rsidR="002B2A59" w:rsidRPr="00A77801">
        <w:rPr>
          <w:rFonts w:asciiTheme="minorHAnsi" w:hAnsiTheme="minorHAnsi" w:cstheme="minorHAnsi"/>
          <w:i/>
          <w:sz w:val="22"/>
          <w:szCs w:val="22"/>
          <w:lang w:val="es-ES_tradnl"/>
        </w:rPr>
        <w:t>Reali</w:t>
      </w:r>
      <w:r w:rsidR="00A77801" w:rsidRPr="00A77801">
        <w:rPr>
          <w:rFonts w:asciiTheme="minorHAnsi" w:hAnsiTheme="minorHAnsi" w:cstheme="minorHAnsi"/>
          <w:i/>
          <w:sz w:val="22"/>
          <w:szCs w:val="22"/>
          <w:lang w:val="es-ES_tradnl"/>
        </w:rPr>
        <w:t>zing Synergies for Biodiversity</w:t>
      </w:r>
      <w:r w:rsidR="00A77801">
        <w:rPr>
          <w:rFonts w:asciiTheme="minorHAnsi" w:hAnsiTheme="minorHAnsi" w:cstheme="minorHAnsi"/>
          <w:sz w:val="22"/>
          <w:szCs w:val="22"/>
          <w:lang w:val="es-ES_tradnl"/>
        </w:rPr>
        <w:t xml:space="preserve"> [Lograr sinergias para la biodiversidad],</w:t>
      </w:r>
      <w:r w:rsidR="00AD029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dirigido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 xml:space="preserve"> por el PNUMA, </w:t>
      </w:r>
      <w:r w:rsidR="00AD029E" w:rsidRPr="00795FA5">
        <w:rPr>
          <w:rFonts w:asciiTheme="minorHAnsi" w:hAnsiTheme="minorHAnsi" w:cstheme="minorHAnsi"/>
          <w:sz w:val="22"/>
          <w:szCs w:val="22"/>
          <w:lang w:val="es-ES_tradnl"/>
        </w:rPr>
        <w:t>en el que participan las demás convenciones rela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>cionadas con la biodiversidad</w:t>
      </w:r>
      <w:r w:rsidR="00AD029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El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proyecto</w:t>
      </w:r>
      <w:r w:rsidR="00AD029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consiste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 xml:space="preserve"> en cinco productos</w:t>
      </w:r>
      <w:r w:rsidR="004D3B63" w:rsidRPr="00795FA5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AD029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que responden a la Resolución 2/17 de la 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>Asamblea de las Naciones Unidas para el Medio Ambietne</w:t>
      </w:r>
      <w:r w:rsidR="00AD029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Está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diseñado para 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yudar a </w:t>
      </w:r>
      <w:r w:rsidR="00B8620E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 los países 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 xml:space="preserve">a aplicar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>los tratados sobre el medio ambiente y mejorar la gobernanza internacional a fin de lograr los ODS</w:t>
      </w:r>
      <w:r w:rsidR="001C6B44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338C8E61" w14:textId="77777777" w:rsidR="004D3B63" w:rsidRPr="00795FA5" w:rsidRDefault="004D3B63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DE2E6B1" w14:textId="11200113" w:rsidR="00345BA5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37.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el marco del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proyecto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se celebró en 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 xml:space="preserve">los márgenes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la COP13 de Ramsar una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reunión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 xml:space="preserve">los encargados de información </w:t>
      </w:r>
      <w:r w:rsidR="00B8620E" w:rsidRPr="00B8620E">
        <w:rPr>
          <w:rFonts w:asciiTheme="minorHAnsi" w:hAnsiTheme="minorHAnsi" w:cstheme="minorHAnsi"/>
          <w:sz w:val="22"/>
          <w:szCs w:val="22"/>
          <w:lang w:val="es-ES_tradnl"/>
        </w:rPr>
        <w:t xml:space="preserve">pública de </w:t>
      </w:r>
      <w:r w:rsidR="00D16A4B" w:rsidRPr="00B8620E">
        <w:rPr>
          <w:rFonts w:asciiTheme="minorHAnsi" w:hAnsiTheme="minorHAnsi" w:cstheme="minorHAnsi"/>
          <w:sz w:val="22"/>
          <w:szCs w:val="22"/>
          <w:lang w:val="es-ES_tradnl"/>
        </w:rPr>
        <w:t>las convenciones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sobre la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biodiversidad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a saber, Ramsar, la CEM, el CDB, la 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CITES, 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 xml:space="preserve">la Convención Internacional de Protección Fitosanitaria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el Tratado Internacional de recursos fitogenéticos para la alimentación y la agricultura. Los objetivos de la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reunión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fueron</w:t>
      </w:r>
      <w:r w:rsidR="001974D4" w:rsidRPr="00795FA5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1) 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 xml:space="preserve">transmitir las discusiones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que tuvieron lugar en 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>la reunión “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>Global Biodiversity Communications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>” del CDB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>en abril de 2018 en Cambridge (Reino Unido)</w:t>
      </w:r>
      <w:r w:rsidR="00FD7069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1974D4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2)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hacer un balance de las necesidades de comunicaciones en 2019 de cada </w:t>
      </w:r>
      <w:r w:rsidR="00B8620E">
        <w:rPr>
          <w:rFonts w:asciiTheme="minorHAnsi" w:hAnsiTheme="minorHAnsi" w:cstheme="minorHAnsi"/>
          <w:sz w:val="22"/>
          <w:szCs w:val="22"/>
          <w:lang w:val="es-ES_tradnl"/>
        </w:rPr>
        <w:t xml:space="preserve">encargado de información </w:t>
      </w:r>
      <w:r w:rsidR="00B8620E" w:rsidRPr="00B8620E">
        <w:rPr>
          <w:rFonts w:asciiTheme="minorHAnsi" w:hAnsiTheme="minorHAnsi" w:cstheme="minorHAnsi"/>
          <w:sz w:val="22"/>
          <w:szCs w:val="22"/>
          <w:lang w:val="es-ES_tradnl"/>
        </w:rPr>
        <w:t xml:space="preserve">pública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que </w:t>
      </w:r>
      <w:r w:rsidR="00D16A4B" w:rsidRPr="00B8620E">
        <w:rPr>
          <w:rFonts w:asciiTheme="minorHAnsi" w:hAnsiTheme="minorHAnsi" w:cstheme="minorHAnsi"/>
          <w:sz w:val="22"/>
          <w:szCs w:val="22"/>
          <w:lang w:val="es-ES_tradnl"/>
        </w:rPr>
        <w:t>pueda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apoyar el grupo</w:t>
      </w:r>
      <w:r w:rsidR="00FD7069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3)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examinar el uso de la herramienta </w:t>
      </w:r>
      <w:r w:rsidR="001974D4" w:rsidRPr="00795FA5">
        <w:rPr>
          <w:rFonts w:asciiTheme="minorHAnsi" w:hAnsiTheme="minorHAnsi" w:cstheme="minorHAnsi"/>
          <w:sz w:val="22"/>
          <w:szCs w:val="22"/>
          <w:lang w:val="es-ES_tradnl"/>
        </w:rPr>
        <w:t>M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>eltwater</w:t>
      </w:r>
      <w:r w:rsidR="00A93877">
        <w:rPr>
          <w:rFonts w:asciiTheme="minorHAnsi" w:hAnsiTheme="minorHAnsi" w:cstheme="minorHAnsi"/>
          <w:sz w:val="22"/>
          <w:szCs w:val="22"/>
          <w:lang w:val="es-ES_tradnl"/>
        </w:rPr>
        <w:t xml:space="preserve"> de seguimiento de los medios de comunicación así como los resultados o datos</w:t>
      </w:r>
      <w:r w:rsidR="00FD7069">
        <w:rPr>
          <w:rFonts w:asciiTheme="minorHAnsi" w:hAnsiTheme="minorHAnsi" w:cstheme="minorHAnsi"/>
          <w:sz w:val="22"/>
          <w:szCs w:val="22"/>
          <w:lang w:val="es-ES_tradnl"/>
        </w:rPr>
        <w:t xml:space="preserve"> obtenidos hasta la fecha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4)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determinar</w:t>
      </w:r>
      <w:r w:rsidR="00A93877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las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oportunidades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sinergias colectivas </w:t>
      </w:r>
      <w:r w:rsidR="00A93877">
        <w:rPr>
          <w:rFonts w:asciiTheme="minorHAnsi" w:hAnsiTheme="minorHAnsi" w:cstheme="minorHAnsi"/>
          <w:sz w:val="22"/>
          <w:szCs w:val="22"/>
          <w:lang w:val="es-ES_tradnl"/>
        </w:rPr>
        <w:t xml:space="preserve">para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después</w:t>
      </w:r>
      <w:r w:rsidR="00A93877">
        <w:rPr>
          <w:rFonts w:asciiTheme="minorHAnsi" w:hAnsiTheme="minorHAnsi" w:cstheme="minorHAnsi"/>
          <w:sz w:val="22"/>
          <w:szCs w:val="22"/>
          <w:lang w:val="es-ES_tradnl"/>
        </w:rPr>
        <w:t xml:space="preserve"> de 2020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74B8DFC0" w14:textId="77777777" w:rsidR="00345BA5" w:rsidRPr="00795FA5" w:rsidRDefault="00345BA5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84D47FB" w14:textId="3361723A" w:rsidR="00393CD5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38.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>ha seguido part</w:t>
      </w:r>
      <w:r w:rsidR="00A93877">
        <w:rPr>
          <w:rFonts w:asciiTheme="minorHAnsi" w:hAnsiTheme="minorHAnsi" w:cstheme="minorHAnsi"/>
          <w:sz w:val="22"/>
          <w:szCs w:val="22"/>
          <w:lang w:val="es-ES_tradnl"/>
        </w:rPr>
        <w:t xml:space="preserve">icipando en las actividades de la Alianza para el Medio Ambiente y la Reducción del Riesgo de Desastres </w:t>
      </w:r>
      <w:r w:rsidR="004406EB" w:rsidRPr="00795FA5">
        <w:rPr>
          <w:rFonts w:asciiTheme="minorHAnsi" w:hAnsiTheme="minorHAnsi" w:cstheme="minorHAnsi"/>
          <w:sz w:val="22"/>
          <w:szCs w:val="22"/>
          <w:lang w:val="es-ES_tradnl"/>
        </w:rPr>
        <w:t>(PEDRR)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4406E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una alianza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mundial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A93877">
        <w:rPr>
          <w:rFonts w:asciiTheme="minorHAnsi" w:hAnsiTheme="minorHAnsi" w:cstheme="minorHAnsi"/>
          <w:sz w:val="22"/>
          <w:szCs w:val="22"/>
          <w:lang w:val="es-ES_tradnl"/>
        </w:rPr>
        <w:t xml:space="preserve">organismos </w:t>
      </w:r>
      <w:r w:rsidR="00D16A4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las Naciones Unidas, ONG e instituciones especializadas. En diciembre de 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2018, </w:t>
      </w:r>
      <w:r w:rsidR="00936A0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contribu</w:t>
      </w:r>
      <w:r w:rsidR="00936A0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yó al seminario sobre 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PEDRR </w:t>
      </w:r>
      <w:r w:rsidR="00936A0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organizado por el PNUMA en Ginebra (Suiza), para presentar las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decisiones</w:t>
      </w:r>
      <w:r w:rsidR="00936A0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adoptadas en la COP13 en materia de </w:t>
      </w:r>
      <w:r w:rsidR="00A93877">
        <w:rPr>
          <w:rFonts w:asciiTheme="minorHAnsi" w:hAnsiTheme="minorHAnsi" w:cstheme="minorHAnsi"/>
          <w:sz w:val="22"/>
          <w:szCs w:val="22"/>
          <w:lang w:val="es-ES_tradnl"/>
        </w:rPr>
        <w:t>reducción del riesgo de desastres (</w:t>
      </w:r>
      <w:r w:rsidR="00A93877" w:rsidRPr="00795FA5">
        <w:rPr>
          <w:rFonts w:asciiTheme="minorHAnsi" w:hAnsiTheme="minorHAnsi" w:cstheme="minorHAnsi"/>
          <w:sz w:val="22"/>
          <w:szCs w:val="22"/>
          <w:lang w:val="es-ES_tradnl"/>
        </w:rPr>
        <w:t>RDD</w:t>
      </w:r>
      <w:r w:rsidR="00A93877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A9387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36A0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y actualizar a los </w:t>
      </w:r>
      <w:r w:rsidR="00A93877">
        <w:rPr>
          <w:rFonts w:asciiTheme="minorHAnsi" w:hAnsiTheme="minorHAnsi" w:cstheme="minorHAnsi"/>
          <w:sz w:val="22"/>
          <w:szCs w:val="22"/>
          <w:lang w:val="es-ES_tradnl"/>
        </w:rPr>
        <w:t xml:space="preserve">asociados </w:t>
      </w:r>
      <w:r w:rsidR="00936A0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sobre los progresos en la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aplicación</w:t>
      </w:r>
      <w:r w:rsidR="00936A0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las actividades </w:t>
      </w:r>
      <w:r w:rsidR="00C72906">
        <w:rPr>
          <w:rFonts w:asciiTheme="minorHAnsi" w:hAnsiTheme="minorHAnsi" w:cstheme="minorHAnsi"/>
          <w:sz w:val="22"/>
          <w:szCs w:val="22"/>
          <w:lang w:val="es-ES_tradnl"/>
        </w:rPr>
        <w:t>relacionadas</w:t>
      </w:r>
      <w:r w:rsidR="00936A0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con la RDD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7CF415A" w14:textId="77777777" w:rsidR="00393CD5" w:rsidRPr="00795FA5" w:rsidRDefault="00393CD5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C76D06" w14:textId="15C7D01A" w:rsidR="00211D8C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39.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>En febrero de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2019, 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participó </w:t>
      </w:r>
      <w:r w:rsidR="00085CB1" w:rsidRPr="009B448B">
        <w:rPr>
          <w:rFonts w:asciiTheme="minorHAnsi" w:hAnsiTheme="minorHAnsi" w:cstheme="minorHAnsi"/>
          <w:sz w:val="22"/>
          <w:szCs w:val="22"/>
          <w:lang w:val="es-ES_tradnl"/>
        </w:rPr>
        <w:t xml:space="preserve">también en el taller </w:t>
      </w:r>
      <w:r w:rsidR="00211D8C" w:rsidRPr="009B448B">
        <w:rPr>
          <w:rFonts w:asciiTheme="minorHAnsi" w:hAnsiTheme="minorHAnsi" w:cstheme="minorHAnsi"/>
          <w:sz w:val="22"/>
          <w:szCs w:val="22"/>
          <w:lang w:val="es-ES_tradnl"/>
        </w:rPr>
        <w:t xml:space="preserve">International </w:t>
      </w:r>
      <w:r w:rsidR="009B448B" w:rsidRPr="009B448B">
        <w:rPr>
          <w:rFonts w:asciiTheme="minorHAnsi" w:hAnsiTheme="minorHAnsi" w:cstheme="minorHAnsi"/>
          <w:sz w:val="22"/>
          <w:szCs w:val="22"/>
          <w:lang w:val="es-ES_tradnl"/>
        </w:rPr>
        <w:t xml:space="preserve">sobre ciencia y políticas </w:t>
      </w:r>
      <w:r w:rsidR="00085CB1" w:rsidRPr="009B448B">
        <w:rPr>
          <w:rFonts w:asciiTheme="minorHAnsi" w:hAnsiTheme="minorHAnsi" w:cstheme="minorHAnsi"/>
          <w:sz w:val="22"/>
          <w:szCs w:val="22"/>
          <w:lang w:val="es-ES_tradnl"/>
        </w:rPr>
        <w:t xml:space="preserve">organizado por el PNUMA </w:t>
      </w:r>
      <w:r w:rsidR="00A43945" w:rsidRPr="009B448B">
        <w:rPr>
          <w:rFonts w:asciiTheme="minorHAnsi" w:hAnsiTheme="minorHAnsi" w:cstheme="minorHAnsi"/>
          <w:sz w:val="22"/>
          <w:szCs w:val="22"/>
          <w:lang w:val="es-ES_tradnl"/>
        </w:rPr>
        <w:t xml:space="preserve">en Bonn </w:t>
      </w:r>
      <w:r w:rsidR="00085CB1" w:rsidRPr="009B448B">
        <w:rPr>
          <w:rFonts w:asciiTheme="minorHAnsi" w:hAnsiTheme="minorHAnsi" w:cstheme="minorHAnsi"/>
          <w:sz w:val="22"/>
          <w:szCs w:val="22"/>
          <w:lang w:val="es-ES_tradnl"/>
        </w:rPr>
        <w:t xml:space="preserve">para </w:t>
      </w:r>
      <w:r w:rsidR="00C72906" w:rsidRPr="009B448B">
        <w:rPr>
          <w:rFonts w:asciiTheme="minorHAnsi" w:hAnsiTheme="minorHAnsi" w:cstheme="minorHAnsi"/>
          <w:sz w:val="22"/>
          <w:szCs w:val="22"/>
          <w:lang w:val="es-ES_tradnl"/>
        </w:rPr>
        <w:t>presentar</w:t>
      </w:r>
      <w:r w:rsidR="00085CB1" w:rsidRPr="009B448B">
        <w:rPr>
          <w:rFonts w:asciiTheme="minorHAnsi" w:hAnsiTheme="minorHAnsi" w:cstheme="minorHAnsi"/>
          <w:sz w:val="22"/>
          <w:szCs w:val="22"/>
          <w:lang w:val="es-ES_tradnl"/>
        </w:rPr>
        <w:t xml:space="preserve"> los </w:t>
      </w:r>
      <w:r w:rsidR="00C72906" w:rsidRPr="009B448B">
        <w:rPr>
          <w:rFonts w:asciiTheme="minorHAnsi" w:hAnsiTheme="minorHAnsi" w:cstheme="minorHAnsi"/>
          <w:sz w:val="22"/>
          <w:szCs w:val="22"/>
          <w:lang w:val="es-ES_tradnl"/>
        </w:rPr>
        <w:t>progresos</w:t>
      </w:r>
      <w:r w:rsidR="00085CB1" w:rsidRPr="009B448B">
        <w:rPr>
          <w:rFonts w:asciiTheme="minorHAnsi" w:hAnsiTheme="minorHAnsi" w:cstheme="minorHAnsi"/>
          <w:sz w:val="22"/>
          <w:szCs w:val="22"/>
          <w:lang w:val="es-ES_tradnl"/>
        </w:rPr>
        <w:t xml:space="preserve"> realizados en el ámbito de la RDD y </w:t>
      </w:r>
      <w:r w:rsidR="00C72906" w:rsidRPr="009B448B">
        <w:rPr>
          <w:rFonts w:asciiTheme="minorHAnsi" w:hAnsiTheme="minorHAnsi" w:cstheme="minorHAnsi"/>
          <w:sz w:val="22"/>
          <w:szCs w:val="22"/>
          <w:lang w:val="es-ES_tradnl"/>
        </w:rPr>
        <w:t>compartir</w:t>
      </w:r>
      <w:r w:rsidR="00085CB1" w:rsidRPr="009B448B">
        <w:rPr>
          <w:rFonts w:asciiTheme="minorHAnsi" w:hAnsiTheme="minorHAnsi" w:cstheme="minorHAnsi"/>
          <w:sz w:val="22"/>
          <w:szCs w:val="22"/>
          <w:lang w:val="es-ES_tradnl"/>
        </w:rPr>
        <w:t xml:space="preserve"> los </w:t>
      </w:r>
      <w:r w:rsidR="00C72906" w:rsidRPr="009B448B">
        <w:rPr>
          <w:rFonts w:asciiTheme="minorHAnsi" w:hAnsiTheme="minorHAnsi" w:cstheme="minorHAnsi"/>
          <w:sz w:val="22"/>
          <w:szCs w:val="22"/>
          <w:lang w:val="es-ES_tradnl"/>
        </w:rPr>
        <w:t>vacíos</w:t>
      </w:r>
      <w:r w:rsidR="00085CB1" w:rsidRPr="009B448B">
        <w:rPr>
          <w:rFonts w:asciiTheme="minorHAnsi" w:hAnsiTheme="minorHAnsi" w:cstheme="minorHAnsi"/>
          <w:sz w:val="22"/>
          <w:szCs w:val="22"/>
          <w:lang w:val="es-ES_tradnl"/>
        </w:rPr>
        <w:t>, desafíos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oportunidades en materia de </w:t>
      </w:r>
      <w:r w:rsidR="009B448B" w:rsidRPr="009B448B">
        <w:rPr>
          <w:rFonts w:asciiTheme="minorHAnsi" w:hAnsiTheme="minorHAnsi" w:cstheme="minorHAnsi"/>
          <w:sz w:val="22"/>
          <w:szCs w:val="22"/>
          <w:lang w:val="es-ES_tradnl"/>
        </w:rPr>
        <w:t>ciencia y políticas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Esta sesión proporcionó a los participantes 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>un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>importante enlace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la labor y los avances que se están realizando en varios acuerdos y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organizaciones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internacionales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entre ellos, 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>a saber, el CDB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Ramsar, la 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>UNESCO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y la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30320" w:rsidRPr="00795FA5">
        <w:rPr>
          <w:rFonts w:asciiTheme="minorHAnsi" w:hAnsiTheme="minorHAnsi" w:cstheme="minorHAnsi"/>
          <w:sz w:val="22"/>
          <w:szCs w:val="22"/>
          <w:lang w:val="es-ES_tradnl"/>
        </w:rPr>
        <w:t>CNULD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finalidad principal de esta reunión fue 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 xml:space="preserve">servir de oportunidad para 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>int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>ercambiar experiencias sobre la función de la E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>co-RDD en estos acuerdos internacionales c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 xml:space="preserve">on la esperanza de encontrar una manera 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>colectiv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>a y común de avanzar</w:t>
      </w:r>
      <w:r w:rsidR="00211D8C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7956E89F" w14:textId="16270231" w:rsidR="00410532" w:rsidRPr="00795FA5" w:rsidRDefault="00410532" w:rsidP="00F61CAA">
      <w:pPr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1BDC724B" w14:textId="13F72443" w:rsidR="00410532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40.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41053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siguió contribuyendo 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la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iniciativa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I</w:t>
      </w:r>
      <w:r w:rsidR="00410532" w:rsidRPr="00795FA5">
        <w:rPr>
          <w:rFonts w:asciiTheme="minorHAnsi" w:hAnsiTheme="minorHAnsi" w:cstheme="minorHAnsi"/>
          <w:sz w:val="22"/>
          <w:szCs w:val="22"/>
          <w:lang w:val="es-ES_tradnl"/>
        </w:rPr>
        <w:t>nforMEA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Participó en la reunión del 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 xml:space="preserve">Comité Directivo de </w:t>
      </w:r>
      <w:r w:rsidR="00494C21">
        <w:rPr>
          <w:rFonts w:asciiTheme="minorHAnsi" w:hAnsiTheme="minorHAnsi" w:cstheme="minorHAnsi"/>
          <w:sz w:val="22"/>
          <w:szCs w:val="22"/>
          <w:lang w:val="es-ES_tradnl"/>
        </w:rPr>
        <w:t>esta</w:t>
      </w:r>
      <w:r w:rsidR="0047493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 junio de </w:t>
      </w:r>
      <w:r w:rsidR="00410532" w:rsidRPr="00795FA5">
        <w:rPr>
          <w:rFonts w:asciiTheme="minorHAnsi" w:hAnsiTheme="minorHAnsi" w:cstheme="minorHAnsi"/>
          <w:sz w:val="22"/>
          <w:szCs w:val="22"/>
          <w:lang w:val="es-ES_tradnl"/>
        </w:rPr>
        <w:t>2018.</w:t>
      </w:r>
      <w:r w:rsidR="00024CE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Los documentos de </w:t>
      </w:r>
      <w:r w:rsidR="00410532" w:rsidRPr="00795FA5">
        <w:rPr>
          <w:rFonts w:asciiTheme="minorHAnsi" w:hAnsiTheme="minorHAnsi" w:cstheme="minorHAnsi"/>
          <w:sz w:val="22"/>
          <w:szCs w:val="22"/>
          <w:lang w:val="es-ES_tradnl"/>
        </w:rPr>
        <w:t>Ramsar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expuestos en la plataforma </w:t>
      </w:r>
      <w:r w:rsidR="00410532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InforMEA 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se han actualizado para incluir las resoluciones adoptadas en la COP13 (véase: </w:t>
      </w:r>
      <w:hyperlink r:id="rId7" w:history="1">
        <w:r w:rsidR="00410532" w:rsidRPr="00795FA5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https://www.informea.org/en/event/13th-meeting-conference-parties</w:t>
        </w:r>
      </w:hyperlink>
      <w:r w:rsidR="00410532" w:rsidRPr="00795FA5">
        <w:rPr>
          <w:rFonts w:asciiTheme="minorHAnsi" w:hAnsiTheme="minorHAnsi" w:cstheme="minorHAnsi"/>
          <w:color w:val="1F497D"/>
          <w:sz w:val="22"/>
          <w:szCs w:val="22"/>
          <w:lang w:val="es-ES_tradnl"/>
        </w:rPr>
        <w:t>).</w:t>
      </w:r>
    </w:p>
    <w:p w14:paraId="718BD0F6" w14:textId="1BA38FCF" w:rsidR="00410532" w:rsidRPr="00795FA5" w:rsidRDefault="00410532" w:rsidP="00F61CAA">
      <w:pPr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6CD0B62A" w14:textId="383693FD" w:rsidR="003A2287" w:rsidRPr="00795FA5" w:rsidRDefault="003A2287" w:rsidP="000615EE">
      <w:pPr>
        <w:tabs>
          <w:tab w:val="left" w:pos="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  <w:lang w:val="es-ES_tradnl"/>
        </w:rPr>
      </w:pPr>
      <w:r w:rsidRPr="00795FA5">
        <w:rPr>
          <w:rFonts w:asciiTheme="minorHAnsi" w:eastAsiaTheme="minorHAnsi" w:hAnsiTheme="minorHAnsi" w:cstheme="minorHAnsi"/>
          <w:i/>
          <w:sz w:val="22"/>
          <w:szCs w:val="22"/>
          <w:lang w:val="es-ES_tradnl"/>
        </w:rPr>
        <w:t>Col</w:t>
      </w:r>
      <w:r w:rsidR="00085CB1" w:rsidRPr="00795FA5">
        <w:rPr>
          <w:rFonts w:asciiTheme="minorHAnsi" w:eastAsiaTheme="minorHAnsi" w:hAnsiTheme="minorHAnsi" w:cstheme="minorHAnsi"/>
          <w:i/>
          <w:sz w:val="22"/>
          <w:szCs w:val="22"/>
          <w:lang w:val="es-ES_tradnl"/>
        </w:rPr>
        <w:t xml:space="preserve">aboración con la </w:t>
      </w:r>
      <w:r w:rsidRPr="00795FA5">
        <w:rPr>
          <w:rFonts w:asciiTheme="minorHAnsi" w:eastAsiaTheme="minorHAnsi" w:hAnsiTheme="minorHAnsi" w:cstheme="minorHAnsi"/>
          <w:i/>
          <w:sz w:val="22"/>
          <w:szCs w:val="22"/>
          <w:lang w:val="es-ES_tradnl"/>
        </w:rPr>
        <w:t>CITES</w:t>
      </w:r>
    </w:p>
    <w:p w14:paraId="0ACEE3BE" w14:textId="3E0394BD" w:rsidR="003A2287" w:rsidRPr="00795FA5" w:rsidRDefault="003A2287" w:rsidP="00F61CAA">
      <w:pPr>
        <w:rPr>
          <w:rFonts w:asciiTheme="minorHAnsi" w:hAnsiTheme="minorHAnsi" w:cstheme="minorHAnsi"/>
          <w:bCs/>
          <w:sz w:val="22"/>
          <w:szCs w:val="22"/>
          <w:highlight w:val="green"/>
          <w:lang w:val="es-ES_tradnl"/>
        </w:rPr>
      </w:pPr>
    </w:p>
    <w:p w14:paraId="630BC5E1" w14:textId="016B6228" w:rsidR="002B2A59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41.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494C21">
        <w:rPr>
          <w:rFonts w:asciiTheme="minorHAnsi" w:hAnsiTheme="minorHAnsi" w:cstheme="minorHAnsi"/>
          <w:sz w:val="22"/>
          <w:szCs w:val="22"/>
          <w:lang w:val="es-ES_tradnl"/>
        </w:rPr>
        <w:t>Además de la colaboración programátic</w:t>
      </w:r>
      <w:r w:rsidR="00123C0F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3A22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Secretaría también está promoviendo el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intercambio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exp</w:t>
      </w:r>
      <w:r w:rsidR="001C5796">
        <w:rPr>
          <w:rFonts w:asciiTheme="minorHAnsi" w:hAnsiTheme="minorHAnsi" w:cstheme="minorHAnsi"/>
          <w:sz w:val="22"/>
          <w:szCs w:val="22"/>
          <w:lang w:val="es-ES_tradnl"/>
        </w:rPr>
        <w:t>eriencias y el apoyo operativo mutuo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con la Secretaría CITES. </w:t>
      </w:r>
      <w:r w:rsidR="001C5796"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085CB1" w:rsidRPr="00795FA5">
        <w:rPr>
          <w:rFonts w:asciiTheme="minorHAnsi" w:hAnsiTheme="minorHAnsi" w:cstheme="minorHAnsi"/>
          <w:sz w:val="22"/>
          <w:szCs w:val="22"/>
          <w:lang w:val="es-ES_tradnl"/>
        </w:rPr>
        <w:t>onc</w:t>
      </w:r>
      <w:r w:rsidR="001C5796">
        <w:rPr>
          <w:rFonts w:asciiTheme="minorHAnsi" w:hAnsiTheme="minorHAnsi" w:cstheme="minorHAnsi"/>
          <w:sz w:val="22"/>
          <w:szCs w:val="22"/>
          <w:lang w:val="es-ES_tradnl"/>
        </w:rPr>
        <w:t xml:space="preserve">retamente, la Secretaría CITES destacó a una Oficial de Documentación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para trabajar en el equipo de la Secretaría de </w:t>
      </w:r>
      <w:r w:rsidR="003A22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Ramsar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durante la </w:t>
      </w:r>
      <w:r w:rsidR="003A2287" w:rsidRPr="00795FA5">
        <w:rPr>
          <w:rFonts w:asciiTheme="minorHAnsi" w:hAnsiTheme="minorHAnsi" w:cstheme="minorHAnsi"/>
          <w:sz w:val="22"/>
          <w:szCs w:val="22"/>
          <w:lang w:val="es-ES_tradnl"/>
        </w:rPr>
        <w:t>COP13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Ramsar y la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3A22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Ramsar </w:t>
      </w:r>
      <w:r w:rsidR="001C5796">
        <w:rPr>
          <w:rFonts w:asciiTheme="minorHAnsi" w:hAnsiTheme="minorHAnsi" w:cstheme="minorHAnsi"/>
          <w:sz w:val="22"/>
          <w:szCs w:val="22"/>
          <w:lang w:val="es-ES_tradnl"/>
        </w:rPr>
        <w:t>destacará a</w:t>
      </w:r>
      <w:r w:rsidR="00123C0F">
        <w:rPr>
          <w:rFonts w:asciiTheme="minorHAnsi" w:hAnsiTheme="minorHAnsi" w:cstheme="minorHAnsi"/>
          <w:sz w:val="22"/>
          <w:szCs w:val="22"/>
          <w:lang w:val="es-ES_tradnl"/>
        </w:rPr>
        <w:t xml:space="preserve"> su Oficial de Tecnologías de la Información para trabajar en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el equipo de la Secretaría </w:t>
      </w:r>
      <w:r w:rsidR="003A22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CITES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durante la </w:t>
      </w:r>
      <w:r w:rsidR="00F945B2" w:rsidRPr="00795FA5">
        <w:rPr>
          <w:rFonts w:asciiTheme="minorHAnsi" w:hAnsiTheme="minorHAnsi" w:cstheme="minorHAnsi"/>
          <w:sz w:val="22"/>
          <w:szCs w:val="22"/>
          <w:lang w:val="es-ES_tradnl"/>
        </w:rPr>
        <w:t>COP18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CITES</w:t>
      </w:r>
      <w:r w:rsidR="003A2287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5F4E2B8A" w14:textId="77777777" w:rsidR="00C9192F" w:rsidRPr="00795FA5" w:rsidRDefault="00C9192F" w:rsidP="00F61CAA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AB20237" w14:textId="64BECC3E" w:rsidR="00A52667" w:rsidRPr="00795FA5" w:rsidRDefault="00A52667" w:rsidP="00F61CAA">
      <w:pPr>
        <w:tabs>
          <w:tab w:val="left" w:pos="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  <w:lang w:val="es-ES_tradnl"/>
        </w:rPr>
      </w:pPr>
      <w:r w:rsidRPr="00795FA5">
        <w:rPr>
          <w:rFonts w:asciiTheme="minorHAnsi" w:eastAsiaTheme="minorHAnsi" w:hAnsiTheme="minorHAnsi" w:cstheme="minorHAnsi"/>
          <w:i/>
          <w:sz w:val="22"/>
          <w:szCs w:val="22"/>
          <w:lang w:val="es-ES_tradnl"/>
        </w:rPr>
        <w:t>Co</w:t>
      </w:r>
      <w:r w:rsidR="00123C0F">
        <w:rPr>
          <w:rFonts w:asciiTheme="minorHAnsi" w:eastAsiaTheme="minorHAnsi" w:hAnsiTheme="minorHAnsi" w:cstheme="minorHAnsi"/>
          <w:i/>
          <w:sz w:val="22"/>
          <w:szCs w:val="22"/>
          <w:lang w:val="es-ES_tradnl"/>
        </w:rPr>
        <w:t>laboración con l</w:t>
      </w:r>
      <w:r w:rsidR="00F4441A" w:rsidRPr="00795FA5">
        <w:rPr>
          <w:rFonts w:asciiTheme="minorHAnsi" w:eastAsiaTheme="minorHAnsi" w:hAnsiTheme="minorHAnsi" w:cstheme="minorHAnsi"/>
          <w:i/>
          <w:sz w:val="22"/>
          <w:szCs w:val="22"/>
          <w:lang w:val="es-ES_tradnl"/>
        </w:rPr>
        <w:t>as Organizaciones Internacionales Asociadas</w:t>
      </w:r>
    </w:p>
    <w:p w14:paraId="1F3DFAE6" w14:textId="2CB951EC" w:rsidR="00345BA5" w:rsidRPr="00795FA5" w:rsidRDefault="00345BA5" w:rsidP="00F61CA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  <w:lang w:val="es-ES_tradnl"/>
        </w:rPr>
      </w:pPr>
    </w:p>
    <w:p w14:paraId="006C3519" w14:textId="2BE94372" w:rsidR="00345BA5" w:rsidRPr="00795FA5" w:rsidRDefault="000615EE" w:rsidP="000615EE">
      <w:pPr>
        <w:ind w:left="425" w:hanging="425"/>
        <w:rPr>
          <w:rFonts w:asciiTheme="minorHAnsi" w:hAnsiTheme="minorHAnsi" w:cstheme="minorHAnsi"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42.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sigue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colaborando</w:t>
      </w:r>
      <w:r w:rsidR="00123C0F">
        <w:rPr>
          <w:rFonts w:asciiTheme="minorHAnsi" w:hAnsiTheme="minorHAnsi" w:cstheme="minorHAnsi"/>
          <w:sz w:val="22"/>
          <w:szCs w:val="22"/>
          <w:lang w:val="es-ES_tradnl"/>
        </w:rPr>
        <w:t xml:space="preserve"> con las OIA. En lo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márgenes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la COP13 se celebró una reuni</w:t>
      </w:r>
      <w:r w:rsidR="00123C0F">
        <w:rPr>
          <w:rFonts w:asciiTheme="minorHAnsi" w:hAnsiTheme="minorHAnsi" w:cstheme="minorHAnsi"/>
          <w:sz w:val="22"/>
          <w:szCs w:val="22"/>
          <w:lang w:val="es-ES_tradnl"/>
        </w:rPr>
        <w:t>ón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 para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>examinar la ejecución de las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 actividades de colaboración conjunta en el nuevo memorando de cooperación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la reunión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se acordaron varias actividades conjuntas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>en materia de comunicaciones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tales como declaraciones conjuntas, la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preparación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materiales para el Día Mundial de l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>os Humedales y la divulgación de la Perspectiva Mundial sobre los Humedales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Entre los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>nuevos ámbitos de colaboración f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iguran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hacer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qu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e la Convención tenga un papel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más prominente en las campañas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de visibilidad y participación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de las OIA,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AA02C7">
        <w:rPr>
          <w:rFonts w:asciiTheme="minorHAnsi" w:hAnsiTheme="minorHAnsi" w:cstheme="minorHAnsi"/>
          <w:sz w:val="22"/>
          <w:szCs w:val="22"/>
          <w:lang w:val="es-ES_tradnl"/>
        </w:rPr>
        <w:t>promoción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conjunta </w:t>
      </w:r>
      <w:r w:rsidR="00AA02C7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A02C7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sector privado y mensajes compartidos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sobre el período posterior a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2020. El 8 de marzo de 2019 hubo una teleconferencia de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seguimiento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para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>evaluar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los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avances y d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>ebatir sobre los planes futuros</w:t>
      </w:r>
      <w:r w:rsidR="00345BA5" w:rsidRPr="00795FA5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FC052D0" w14:textId="48C0EBF0" w:rsidR="00020204" w:rsidRPr="00795FA5" w:rsidRDefault="00020204" w:rsidP="00F61CAA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C28405D" w14:textId="21F63F4C" w:rsidR="00D541A4" w:rsidRPr="00795FA5" w:rsidRDefault="00D541A4" w:rsidP="00F61CAA">
      <w:pPr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>Col</w:t>
      </w:r>
      <w:r w:rsidR="00F4441A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aboración con la Unión </w:t>
      </w:r>
      <w:r w:rsidR="00F4441A" w:rsidRPr="00B75A5E">
        <w:rPr>
          <w:rFonts w:asciiTheme="minorHAnsi" w:hAnsiTheme="minorHAnsi" w:cstheme="minorHAnsi"/>
          <w:i/>
          <w:sz w:val="22"/>
          <w:szCs w:val="22"/>
          <w:lang w:val="es-ES_tradnl"/>
        </w:rPr>
        <w:t>Internacional para</w:t>
      </w:r>
      <w:r w:rsidR="00F4441A" w:rsidRPr="00795FA5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la Conservación de la Naturaleza</w:t>
      </w:r>
    </w:p>
    <w:p w14:paraId="224EE20D" w14:textId="4742C093" w:rsidR="002C4A11" w:rsidRPr="00795FA5" w:rsidRDefault="002C4A11" w:rsidP="00F61CAA">
      <w:pPr>
        <w:rPr>
          <w:rFonts w:asciiTheme="minorHAnsi" w:hAnsiTheme="minorHAnsi" w:cstheme="minorHAnsi"/>
          <w:i/>
          <w:sz w:val="22"/>
          <w:szCs w:val="22"/>
          <w:lang w:val="es-ES_tradnl"/>
        </w:rPr>
      </w:pPr>
    </w:p>
    <w:p w14:paraId="66E2A10D" w14:textId="10A3249A" w:rsidR="002C4A11" w:rsidRPr="00795FA5" w:rsidRDefault="000615EE" w:rsidP="00746E6E">
      <w:pPr>
        <w:ind w:left="425" w:hanging="425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795FA5">
        <w:rPr>
          <w:rFonts w:asciiTheme="minorHAnsi" w:hAnsiTheme="minorHAnsi" w:cstheme="minorHAnsi"/>
          <w:sz w:val="22"/>
          <w:szCs w:val="22"/>
          <w:lang w:val="es-ES_tradnl"/>
        </w:rPr>
        <w:t>43.</w:t>
      </w:r>
      <w:r w:rsidRPr="00795FA5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="002C13CB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B0208" w:rsidRPr="00795FA5">
        <w:rPr>
          <w:rFonts w:asciiTheme="minorHAnsi" w:hAnsiTheme="minorHAnsi" w:cstheme="minorHAnsi"/>
          <w:sz w:val="22"/>
          <w:szCs w:val="22"/>
          <w:lang w:val="es-ES_tradnl"/>
        </w:rPr>
        <w:t>Secretaría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sigue colaborando estrechamente con la UICN a través de las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reuniones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anuales del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>Grupo de Enlace UICN</w:t>
      </w:r>
      <w:r w:rsidR="002C4A11" w:rsidRPr="00795FA5">
        <w:rPr>
          <w:rFonts w:asciiTheme="minorHAnsi" w:hAnsiTheme="minorHAnsi" w:cstheme="minorHAnsi"/>
          <w:sz w:val="22"/>
          <w:szCs w:val="22"/>
          <w:lang w:val="es-ES_tradnl"/>
        </w:rPr>
        <w:t>/Ramsar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para apoyar las actividades de la Secretaría en el marco del acuerdo de servicios entre la Convención y la UICN.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También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se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organizan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reuniones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periódicas sobre los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distintos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 ámbitos que corresponden al 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>acu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>erdo de servicios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>, tales como la ge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stión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financiera. En el marco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de esta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cooperación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B75A5E">
        <w:rPr>
          <w:rFonts w:asciiTheme="minorHAnsi" w:hAnsiTheme="minorHAnsi" w:cstheme="minorHAnsi"/>
          <w:sz w:val="22"/>
          <w:szCs w:val="22"/>
          <w:lang w:val="es-ES_tradnl"/>
        </w:rPr>
        <w:t xml:space="preserve">la Unidad de Supervisión de la UICN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realizó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el examen de los </w:t>
      </w:r>
      <w:r w:rsidR="00C72906" w:rsidRPr="00795FA5">
        <w:rPr>
          <w:rFonts w:asciiTheme="minorHAnsi" w:hAnsiTheme="minorHAnsi" w:cstheme="minorHAnsi"/>
          <w:sz w:val="22"/>
          <w:szCs w:val="22"/>
          <w:lang w:val="es-ES_tradnl"/>
        </w:rPr>
        <w:t>recursos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15B23">
        <w:rPr>
          <w:rFonts w:asciiTheme="minorHAnsi" w:hAnsiTheme="minorHAnsi" w:cstheme="minorHAnsi"/>
          <w:sz w:val="22"/>
          <w:szCs w:val="22"/>
          <w:lang w:val="es-ES_tradnl"/>
        </w:rPr>
        <w:t xml:space="preserve">no básicos </w:t>
      </w:r>
      <w:r w:rsidR="00C72906">
        <w:rPr>
          <w:rFonts w:asciiTheme="minorHAnsi" w:hAnsiTheme="minorHAnsi" w:cstheme="minorHAnsi"/>
          <w:sz w:val="22"/>
          <w:szCs w:val="22"/>
          <w:lang w:val="es-ES_tradnl"/>
        </w:rPr>
        <w:t>solicitado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 por el Comité Permanente y presentado</w:t>
      </w:r>
      <w:r w:rsidR="00815B23">
        <w:rPr>
          <w:rFonts w:asciiTheme="minorHAnsi" w:hAnsiTheme="minorHAnsi" w:cstheme="minorHAnsi"/>
          <w:sz w:val="22"/>
          <w:szCs w:val="22"/>
          <w:lang w:val="es-ES_tradnl"/>
        </w:rPr>
        <w:t xml:space="preserve"> a este. T</w:t>
      </w:r>
      <w:r w:rsidR="00815B23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ambién se </w:t>
      </w:r>
      <w:r w:rsidR="00AA02C7">
        <w:rPr>
          <w:rFonts w:asciiTheme="minorHAnsi" w:hAnsiTheme="minorHAnsi" w:cstheme="minorHAnsi"/>
          <w:sz w:val="22"/>
          <w:szCs w:val="22"/>
          <w:lang w:val="es-ES_tradnl"/>
        </w:rPr>
        <w:t>lleva a cabo</w:t>
      </w:r>
      <w:r w:rsidR="00815B23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15B23" w:rsidRPr="00795FA5">
        <w:rPr>
          <w:rFonts w:asciiTheme="minorHAnsi" w:hAnsiTheme="minorHAnsi" w:cstheme="minorHAnsi"/>
          <w:sz w:val="22"/>
          <w:szCs w:val="22"/>
          <w:lang w:val="es-ES_tradnl"/>
        </w:rPr>
        <w:t>una colaboración programática</w:t>
      </w:r>
      <w:r w:rsidR="00815B23">
        <w:rPr>
          <w:rFonts w:asciiTheme="minorHAnsi" w:hAnsiTheme="minorHAnsi" w:cstheme="minorHAnsi"/>
          <w:sz w:val="22"/>
          <w:szCs w:val="22"/>
          <w:lang w:val="es-ES_tradnl"/>
        </w:rPr>
        <w:t xml:space="preserve"> e</w:t>
      </w:r>
      <w:r w:rsidR="00F4441A" w:rsidRPr="00795FA5">
        <w:rPr>
          <w:rFonts w:asciiTheme="minorHAnsi" w:hAnsiTheme="minorHAnsi" w:cstheme="minorHAnsi"/>
          <w:sz w:val="22"/>
          <w:szCs w:val="22"/>
          <w:lang w:val="es-ES_tradnl"/>
        </w:rPr>
        <w:t xml:space="preserve">n el </w:t>
      </w:r>
      <w:r w:rsidR="00815B23">
        <w:rPr>
          <w:rFonts w:asciiTheme="minorHAnsi" w:hAnsiTheme="minorHAnsi" w:cstheme="minorHAnsi"/>
          <w:sz w:val="22"/>
          <w:szCs w:val="22"/>
          <w:lang w:val="es-ES_tradnl"/>
        </w:rPr>
        <w:t>contexto del trabajo de las OIA, mencionado anteriormente.</w:t>
      </w:r>
    </w:p>
    <w:sectPr w:rsidR="002C4A11" w:rsidRPr="00795FA5" w:rsidSect="00024CE2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FB35" w14:textId="77777777" w:rsidR="00CF42FB" w:rsidRDefault="00CF42FB" w:rsidP="00024CE2">
      <w:r>
        <w:separator/>
      </w:r>
    </w:p>
  </w:endnote>
  <w:endnote w:type="continuationSeparator" w:id="0">
    <w:p w14:paraId="30E791F1" w14:textId="77777777" w:rsidR="00CF42FB" w:rsidRDefault="00CF42FB" w:rsidP="0002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E1E9" w14:textId="0177D600" w:rsidR="00CF42FB" w:rsidRPr="00024CE2" w:rsidRDefault="00CF42FB" w:rsidP="00F814AE">
    <w:pPr>
      <w:pStyle w:val="Footer"/>
      <w:tabs>
        <w:tab w:val="clear" w:pos="9360"/>
        <w:tab w:val="right" w:pos="8931"/>
      </w:tabs>
      <w:rPr>
        <w:rFonts w:asciiTheme="minorHAnsi" w:hAnsiTheme="minorHAnsi" w:cstheme="minorHAnsi"/>
        <w:sz w:val="20"/>
        <w:szCs w:val="20"/>
      </w:rPr>
    </w:pPr>
    <w:r w:rsidRPr="00024CE2">
      <w:rPr>
        <w:rFonts w:asciiTheme="minorHAnsi" w:hAnsiTheme="minorHAnsi" w:cstheme="minorHAnsi"/>
        <w:sz w:val="20"/>
        <w:szCs w:val="20"/>
      </w:rPr>
      <w:t>SC57 Doc.17</w:t>
    </w:r>
    <w:r w:rsidRPr="00024CE2">
      <w:rPr>
        <w:rFonts w:asciiTheme="minorHAnsi" w:hAnsiTheme="minorHAnsi" w:cstheme="minorHAnsi"/>
        <w:sz w:val="20"/>
        <w:szCs w:val="20"/>
      </w:rPr>
      <w:tab/>
    </w:r>
    <w:r w:rsidRPr="00024CE2">
      <w:rPr>
        <w:rFonts w:asciiTheme="minorHAnsi" w:hAnsiTheme="minorHAnsi" w:cstheme="minorHAnsi"/>
        <w:sz w:val="20"/>
        <w:szCs w:val="20"/>
      </w:rPr>
      <w:tab/>
    </w:r>
    <w:r w:rsidRPr="00024CE2">
      <w:rPr>
        <w:rFonts w:asciiTheme="minorHAnsi" w:hAnsiTheme="minorHAnsi" w:cstheme="minorHAnsi"/>
        <w:sz w:val="20"/>
        <w:szCs w:val="20"/>
      </w:rPr>
      <w:fldChar w:fldCharType="begin"/>
    </w:r>
    <w:r w:rsidRPr="00024CE2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024CE2">
      <w:rPr>
        <w:rFonts w:asciiTheme="minorHAnsi" w:hAnsiTheme="minorHAnsi" w:cstheme="minorHAnsi"/>
        <w:sz w:val="20"/>
        <w:szCs w:val="20"/>
      </w:rPr>
      <w:fldChar w:fldCharType="separate"/>
    </w:r>
    <w:r w:rsidR="000E345A">
      <w:rPr>
        <w:rFonts w:asciiTheme="minorHAnsi" w:hAnsiTheme="minorHAnsi" w:cstheme="minorHAnsi"/>
        <w:noProof/>
        <w:sz w:val="20"/>
        <w:szCs w:val="20"/>
      </w:rPr>
      <w:t>9</w:t>
    </w:r>
    <w:r w:rsidRPr="00024CE2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142CB" w14:textId="77777777" w:rsidR="00CF42FB" w:rsidRDefault="00CF42FB" w:rsidP="00024CE2">
      <w:r>
        <w:separator/>
      </w:r>
    </w:p>
  </w:footnote>
  <w:footnote w:type="continuationSeparator" w:id="0">
    <w:p w14:paraId="1BB67C43" w14:textId="77777777" w:rsidR="00CF42FB" w:rsidRDefault="00CF42FB" w:rsidP="0002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13A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34E"/>
    <w:multiLevelType w:val="hybridMultilevel"/>
    <w:tmpl w:val="B44078A2"/>
    <w:lvl w:ilvl="0" w:tplc="658AE42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17D"/>
    <w:multiLevelType w:val="hybridMultilevel"/>
    <w:tmpl w:val="900A717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7E2"/>
    <w:multiLevelType w:val="hybridMultilevel"/>
    <w:tmpl w:val="30A8EF08"/>
    <w:lvl w:ilvl="0" w:tplc="E82EADEE">
      <w:start w:val="21"/>
      <w:numFmt w:val="decimal"/>
      <w:lvlText w:val="%1."/>
      <w:lvlJc w:val="left"/>
      <w:pPr>
        <w:ind w:left="4613" w:hanging="360"/>
      </w:pPr>
      <w:rPr>
        <w:rFonts w:asciiTheme="minorHAnsi" w:hAnsiTheme="minorHAnsi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9813F1"/>
    <w:multiLevelType w:val="hybridMultilevel"/>
    <w:tmpl w:val="684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0EE"/>
    <w:multiLevelType w:val="hybridMultilevel"/>
    <w:tmpl w:val="24CAD4C0"/>
    <w:lvl w:ilvl="0" w:tplc="35DA5F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4ACD"/>
    <w:multiLevelType w:val="hybridMultilevel"/>
    <w:tmpl w:val="CC0C6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9BE"/>
    <w:multiLevelType w:val="hybridMultilevel"/>
    <w:tmpl w:val="F868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560B"/>
    <w:multiLevelType w:val="hybridMultilevel"/>
    <w:tmpl w:val="5A8406FE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550"/>
    <w:multiLevelType w:val="hybridMultilevel"/>
    <w:tmpl w:val="ED08F29E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761ED18C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17360"/>
    <w:multiLevelType w:val="hybridMultilevel"/>
    <w:tmpl w:val="EF76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839AF"/>
    <w:multiLevelType w:val="hybridMultilevel"/>
    <w:tmpl w:val="D5909FF8"/>
    <w:lvl w:ilvl="0" w:tplc="7EB4334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82480"/>
    <w:multiLevelType w:val="hybridMultilevel"/>
    <w:tmpl w:val="24CAD4C0"/>
    <w:lvl w:ilvl="0" w:tplc="35DA5F2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D2109"/>
    <w:multiLevelType w:val="hybridMultilevel"/>
    <w:tmpl w:val="DE20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40E6B"/>
    <w:multiLevelType w:val="hybridMultilevel"/>
    <w:tmpl w:val="BB12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6524C"/>
    <w:multiLevelType w:val="hybridMultilevel"/>
    <w:tmpl w:val="D3782A8E"/>
    <w:lvl w:ilvl="0" w:tplc="F4642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A6A01"/>
    <w:multiLevelType w:val="hybridMultilevel"/>
    <w:tmpl w:val="419A1708"/>
    <w:lvl w:ilvl="0" w:tplc="5D7AA98E">
      <w:start w:val="57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79640A"/>
    <w:multiLevelType w:val="hybridMultilevel"/>
    <w:tmpl w:val="5678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70DF8"/>
    <w:multiLevelType w:val="hybridMultilevel"/>
    <w:tmpl w:val="351E2C68"/>
    <w:lvl w:ilvl="0" w:tplc="1D825BB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C3A82"/>
    <w:multiLevelType w:val="hybridMultilevel"/>
    <w:tmpl w:val="30A8EF08"/>
    <w:lvl w:ilvl="0" w:tplc="E82EADEE">
      <w:start w:val="21"/>
      <w:numFmt w:val="decimal"/>
      <w:lvlText w:val="%1."/>
      <w:lvlJc w:val="left"/>
      <w:pPr>
        <w:ind w:left="4613" w:hanging="360"/>
      </w:pPr>
      <w:rPr>
        <w:rFonts w:asciiTheme="minorHAnsi" w:hAnsiTheme="minorHAnsi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1658CD"/>
    <w:multiLevelType w:val="hybridMultilevel"/>
    <w:tmpl w:val="0600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F5BA3"/>
    <w:multiLevelType w:val="multilevel"/>
    <w:tmpl w:val="AC80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003BBD"/>
    <w:multiLevelType w:val="hybridMultilevel"/>
    <w:tmpl w:val="13CA8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21C4"/>
    <w:multiLevelType w:val="hybridMultilevel"/>
    <w:tmpl w:val="9F808E56"/>
    <w:lvl w:ilvl="0" w:tplc="58228F0E">
      <w:start w:val="5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7D06DA"/>
    <w:multiLevelType w:val="hybridMultilevel"/>
    <w:tmpl w:val="1BAC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14AEB"/>
    <w:multiLevelType w:val="hybridMultilevel"/>
    <w:tmpl w:val="A5A2D1D2"/>
    <w:lvl w:ilvl="0" w:tplc="4286943A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7CF129C"/>
    <w:multiLevelType w:val="hybridMultilevel"/>
    <w:tmpl w:val="1DDE3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2131"/>
    <w:multiLevelType w:val="hybridMultilevel"/>
    <w:tmpl w:val="3A763AA4"/>
    <w:lvl w:ilvl="0" w:tplc="1D825BB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A3BFB"/>
    <w:multiLevelType w:val="multilevel"/>
    <w:tmpl w:val="93720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3"/>
  </w:num>
  <w:num w:numId="5">
    <w:abstractNumId w:val="12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5"/>
  </w:num>
  <w:num w:numId="1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23"/>
  </w:num>
  <w:num w:numId="15">
    <w:abstractNumId w:val="4"/>
  </w:num>
  <w:num w:numId="16">
    <w:abstractNumId w:val="21"/>
  </w:num>
  <w:num w:numId="17">
    <w:abstractNumId w:val="2"/>
  </w:num>
  <w:num w:numId="18">
    <w:abstractNumId w:val="17"/>
  </w:num>
  <w:num w:numId="19">
    <w:abstractNumId w:val="3"/>
  </w:num>
  <w:num w:numId="20">
    <w:abstractNumId w:val="10"/>
  </w:num>
  <w:num w:numId="21">
    <w:abstractNumId w:val="8"/>
  </w:num>
  <w:num w:numId="22">
    <w:abstractNumId w:val="14"/>
  </w:num>
  <w:num w:numId="23">
    <w:abstractNumId w:val="25"/>
  </w:num>
  <w:num w:numId="24">
    <w:abstractNumId w:val="18"/>
  </w:num>
  <w:num w:numId="25">
    <w:abstractNumId w:val="7"/>
  </w:num>
  <w:num w:numId="26">
    <w:abstractNumId w:val="22"/>
  </w:num>
  <w:num w:numId="27">
    <w:abstractNumId w:val="26"/>
  </w:num>
  <w:num w:numId="28">
    <w:abstractNumId w:val="6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A"/>
    <w:rsid w:val="00005B9E"/>
    <w:rsid w:val="00006D1A"/>
    <w:rsid w:val="00015CEE"/>
    <w:rsid w:val="00016E0A"/>
    <w:rsid w:val="00020204"/>
    <w:rsid w:val="00021462"/>
    <w:rsid w:val="00021A83"/>
    <w:rsid w:val="00021AA7"/>
    <w:rsid w:val="00024CE2"/>
    <w:rsid w:val="0002752E"/>
    <w:rsid w:val="00030B12"/>
    <w:rsid w:val="000322A3"/>
    <w:rsid w:val="000362FC"/>
    <w:rsid w:val="00050548"/>
    <w:rsid w:val="000536B9"/>
    <w:rsid w:val="00057B56"/>
    <w:rsid w:val="000615EE"/>
    <w:rsid w:val="0006205A"/>
    <w:rsid w:val="000711AA"/>
    <w:rsid w:val="000719D6"/>
    <w:rsid w:val="00072781"/>
    <w:rsid w:val="00080B35"/>
    <w:rsid w:val="00085CB1"/>
    <w:rsid w:val="00087ACA"/>
    <w:rsid w:val="00093706"/>
    <w:rsid w:val="00093B5A"/>
    <w:rsid w:val="000976A1"/>
    <w:rsid w:val="000A0112"/>
    <w:rsid w:val="000A7E08"/>
    <w:rsid w:val="000B0B1B"/>
    <w:rsid w:val="000B431D"/>
    <w:rsid w:val="000C0879"/>
    <w:rsid w:val="000C7757"/>
    <w:rsid w:val="000E2143"/>
    <w:rsid w:val="000E2598"/>
    <w:rsid w:val="000E345A"/>
    <w:rsid w:val="00100C76"/>
    <w:rsid w:val="001011BF"/>
    <w:rsid w:val="001036C8"/>
    <w:rsid w:val="001116E9"/>
    <w:rsid w:val="00111B7B"/>
    <w:rsid w:val="00116E83"/>
    <w:rsid w:val="001213E2"/>
    <w:rsid w:val="00123C0F"/>
    <w:rsid w:val="00126C95"/>
    <w:rsid w:val="0013715B"/>
    <w:rsid w:val="00145585"/>
    <w:rsid w:val="00167B6E"/>
    <w:rsid w:val="0017716F"/>
    <w:rsid w:val="001842DF"/>
    <w:rsid w:val="00192363"/>
    <w:rsid w:val="001974D4"/>
    <w:rsid w:val="001A4A24"/>
    <w:rsid w:val="001B79E3"/>
    <w:rsid w:val="001C4F23"/>
    <w:rsid w:val="001C5787"/>
    <w:rsid w:val="001C5796"/>
    <w:rsid w:val="001C6B44"/>
    <w:rsid w:val="001D2065"/>
    <w:rsid w:val="001D2BE9"/>
    <w:rsid w:val="001E22F2"/>
    <w:rsid w:val="001F7288"/>
    <w:rsid w:val="002031DE"/>
    <w:rsid w:val="00207518"/>
    <w:rsid w:val="0021103C"/>
    <w:rsid w:val="00211D8C"/>
    <w:rsid w:val="00224DF1"/>
    <w:rsid w:val="00226A25"/>
    <w:rsid w:val="002274D9"/>
    <w:rsid w:val="00232D96"/>
    <w:rsid w:val="002664DD"/>
    <w:rsid w:val="00274B24"/>
    <w:rsid w:val="00295A30"/>
    <w:rsid w:val="002A2369"/>
    <w:rsid w:val="002B2A59"/>
    <w:rsid w:val="002B2ABD"/>
    <w:rsid w:val="002B2FD8"/>
    <w:rsid w:val="002B49E9"/>
    <w:rsid w:val="002C0D69"/>
    <w:rsid w:val="002C13CB"/>
    <w:rsid w:val="002C4172"/>
    <w:rsid w:val="002C4A11"/>
    <w:rsid w:val="002C4A6C"/>
    <w:rsid w:val="002C7214"/>
    <w:rsid w:val="002D17AE"/>
    <w:rsid w:val="002D5696"/>
    <w:rsid w:val="002E41BB"/>
    <w:rsid w:val="002E5E2E"/>
    <w:rsid w:val="002E6D07"/>
    <w:rsid w:val="002F1BD1"/>
    <w:rsid w:val="002F3D04"/>
    <w:rsid w:val="00304A95"/>
    <w:rsid w:val="00313266"/>
    <w:rsid w:val="003265A8"/>
    <w:rsid w:val="00326869"/>
    <w:rsid w:val="0033366B"/>
    <w:rsid w:val="00335E58"/>
    <w:rsid w:val="0034414F"/>
    <w:rsid w:val="00345BA5"/>
    <w:rsid w:val="003463B8"/>
    <w:rsid w:val="00356F3D"/>
    <w:rsid w:val="00364384"/>
    <w:rsid w:val="00364A60"/>
    <w:rsid w:val="00380E3E"/>
    <w:rsid w:val="00393CD5"/>
    <w:rsid w:val="003A2287"/>
    <w:rsid w:val="003B3FC4"/>
    <w:rsid w:val="003B5445"/>
    <w:rsid w:val="003C2550"/>
    <w:rsid w:val="003C6EDA"/>
    <w:rsid w:val="003E490E"/>
    <w:rsid w:val="003F53C3"/>
    <w:rsid w:val="004010B1"/>
    <w:rsid w:val="00407BF6"/>
    <w:rsid w:val="00410532"/>
    <w:rsid w:val="00415B3F"/>
    <w:rsid w:val="004167A5"/>
    <w:rsid w:val="00421FFE"/>
    <w:rsid w:val="004236C4"/>
    <w:rsid w:val="00425CB2"/>
    <w:rsid w:val="00437BE5"/>
    <w:rsid w:val="004406EB"/>
    <w:rsid w:val="0044293E"/>
    <w:rsid w:val="00450FC7"/>
    <w:rsid w:val="00463481"/>
    <w:rsid w:val="004725E5"/>
    <w:rsid w:val="0047493B"/>
    <w:rsid w:val="00487526"/>
    <w:rsid w:val="00487FE6"/>
    <w:rsid w:val="00494C21"/>
    <w:rsid w:val="004B6ED5"/>
    <w:rsid w:val="004D3B63"/>
    <w:rsid w:val="004D6227"/>
    <w:rsid w:val="004D7EA9"/>
    <w:rsid w:val="00501908"/>
    <w:rsid w:val="00502796"/>
    <w:rsid w:val="0050426F"/>
    <w:rsid w:val="0051059E"/>
    <w:rsid w:val="0051191A"/>
    <w:rsid w:val="00527E76"/>
    <w:rsid w:val="00531397"/>
    <w:rsid w:val="00531934"/>
    <w:rsid w:val="005333F1"/>
    <w:rsid w:val="00550408"/>
    <w:rsid w:val="005704DB"/>
    <w:rsid w:val="00574ABB"/>
    <w:rsid w:val="00591DAC"/>
    <w:rsid w:val="005A0843"/>
    <w:rsid w:val="005A147C"/>
    <w:rsid w:val="005A4DF7"/>
    <w:rsid w:val="005A59D0"/>
    <w:rsid w:val="005A6DAD"/>
    <w:rsid w:val="005B3B15"/>
    <w:rsid w:val="005B59A3"/>
    <w:rsid w:val="005C580F"/>
    <w:rsid w:val="005E62C2"/>
    <w:rsid w:val="005E78B6"/>
    <w:rsid w:val="005F096B"/>
    <w:rsid w:val="006009C8"/>
    <w:rsid w:val="006024D5"/>
    <w:rsid w:val="0060504C"/>
    <w:rsid w:val="00615A29"/>
    <w:rsid w:val="00621E7F"/>
    <w:rsid w:val="00627527"/>
    <w:rsid w:val="00630F09"/>
    <w:rsid w:val="0063261F"/>
    <w:rsid w:val="00644875"/>
    <w:rsid w:val="006450E9"/>
    <w:rsid w:val="00646B27"/>
    <w:rsid w:val="00656897"/>
    <w:rsid w:val="00656C54"/>
    <w:rsid w:val="00667956"/>
    <w:rsid w:val="00672CD2"/>
    <w:rsid w:val="00686B8C"/>
    <w:rsid w:val="006B0D79"/>
    <w:rsid w:val="006B32FF"/>
    <w:rsid w:val="006C1199"/>
    <w:rsid w:val="006D077E"/>
    <w:rsid w:val="006D482F"/>
    <w:rsid w:val="006E6285"/>
    <w:rsid w:val="006F7F7E"/>
    <w:rsid w:val="007246FA"/>
    <w:rsid w:val="00730320"/>
    <w:rsid w:val="00730E7E"/>
    <w:rsid w:val="00745591"/>
    <w:rsid w:val="00745EE6"/>
    <w:rsid w:val="00746E6E"/>
    <w:rsid w:val="007508B6"/>
    <w:rsid w:val="00756584"/>
    <w:rsid w:val="00766EED"/>
    <w:rsid w:val="00771DB0"/>
    <w:rsid w:val="00771EE5"/>
    <w:rsid w:val="00785702"/>
    <w:rsid w:val="00791680"/>
    <w:rsid w:val="007922A2"/>
    <w:rsid w:val="00794485"/>
    <w:rsid w:val="00795FA5"/>
    <w:rsid w:val="007B1D30"/>
    <w:rsid w:val="007B3B44"/>
    <w:rsid w:val="007B4956"/>
    <w:rsid w:val="007B5859"/>
    <w:rsid w:val="007C2DD9"/>
    <w:rsid w:val="007C4A0D"/>
    <w:rsid w:val="007C7AE0"/>
    <w:rsid w:val="007E1800"/>
    <w:rsid w:val="007E7E2A"/>
    <w:rsid w:val="008057FB"/>
    <w:rsid w:val="00810F19"/>
    <w:rsid w:val="00811640"/>
    <w:rsid w:val="00814875"/>
    <w:rsid w:val="0081550C"/>
    <w:rsid w:val="00815B23"/>
    <w:rsid w:val="00817C09"/>
    <w:rsid w:val="00823232"/>
    <w:rsid w:val="008306DD"/>
    <w:rsid w:val="0084262C"/>
    <w:rsid w:val="00845BF0"/>
    <w:rsid w:val="008534BA"/>
    <w:rsid w:val="008550C8"/>
    <w:rsid w:val="008556B8"/>
    <w:rsid w:val="00863119"/>
    <w:rsid w:val="00863775"/>
    <w:rsid w:val="00866AB4"/>
    <w:rsid w:val="00866CC2"/>
    <w:rsid w:val="00870CF3"/>
    <w:rsid w:val="00875234"/>
    <w:rsid w:val="008758DD"/>
    <w:rsid w:val="00875E38"/>
    <w:rsid w:val="00877E78"/>
    <w:rsid w:val="008940DE"/>
    <w:rsid w:val="008B44C0"/>
    <w:rsid w:val="008B4CFE"/>
    <w:rsid w:val="008C32A1"/>
    <w:rsid w:val="008C7FF9"/>
    <w:rsid w:val="008D3C9C"/>
    <w:rsid w:val="008E052A"/>
    <w:rsid w:val="008E44BC"/>
    <w:rsid w:val="008F33A3"/>
    <w:rsid w:val="009019A2"/>
    <w:rsid w:val="00902AB2"/>
    <w:rsid w:val="00903B94"/>
    <w:rsid w:val="00905558"/>
    <w:rsid w:val="009068C1"/>
    <w:rsid w:val="00923221"/>
    <w:rsid w:val="00931B12"/>
    <w:rsid w:val="00933882"/>
    <w:rsid w:val="00936A0C"/>
    <w:rsid w:val="00936A56"/>
    <w:rsid w:val="009521AA"/>
    <w:rsid w:val="009553B9"/>
    <w:rsid w:val="00962081"/>
    <w:rsid w:val="0096533D"/>
    <w:rsid w:val="009901DE"/>
    <w:rsid w:val="009951C5"/>
    <w:rsid w:val="009A336A"/>
    <w:rsid w:val="009B055A"/>
    <w:rsid w:val="009B34D4"/>
    <w:rsid w:val="009B448B"/>
    <w:rsid w:val="009B55AD"/>
    <w:rsid w:val="009B6816"/>
    <w:rsid w:val="009C7BBF"/>
    <w:rsid w:val="009D193D"/>
    <w:rsid w:val="009D510B"/>
    <w:rsid w:val="009D77D5"/>
    <w:rsid w:val="009E22C1"/>
    <w:rsid w:val="009F07A5"/>
    <w:rsid w:val="00A02881"/>
    <w:rsid w:val="00A053B8"/>
    <w:rsid w:val="00A117DF"/>
    <w:rsid w:val="00A150B3"/>
    <w:rsid w:val="00A16F22"/>
    <w:rsid w:val="00A22085"/>
    <w:rsid w:val="00A33238"/>
    <w:rsid w:val="00A37A4F"/>
    <w:rsid w:val="00A43945"/>
    <w:rsid w:val="00A52667"/>
    <w:rsid w:val="00A65EE8"/>
    <w:rsid w:val="00A7527D"/>
    <w:rsid w:val="00A77610"/>
    <w:rsid w:val="00A77801"/>
    <w:rsid w:val="00A86C54"/>
    <w:rsid w:val="00A93877"/>
    <w:rsid w:val="00A967F6"/>
    <w:rsid w:val="00AA02C7"/>
    <w:rsid w:val="00AA2B27"/>
    <w:rsid w:val="00AA38D6"/>
    <w:rsid w:val="00AB0DF5"/>
    <w:rsid w:val="00AB3F87"/>
    <w:rsid w:val="00AC2490"/>
    <w:rsid w:val="00AD029E"/>
    <w:rsid w:val="00AD3732"/>
    <w:rsid w:val="00AD4E6A"/>
    <w:rsid w:val="00AD5F8E"/>
    <w:rsid w:val="00AE62F4"/>
    <w:rsid w:val="00AE6D19"/>
    <w:rsid w:val="00AF0023"/>
    <w:rsid w:val="00AF2D1F"/>
    <w:rsid w:val="00B20D2D"/>
    <w:rsid w:val="00B22FE7"/>
    <w:rsid w:val="00B25C30"/>
    <w:rsid w:val="00B27A1A"/>
    <w:rsid w:val="00B47B7D"/>
    <w:rsid w:val="00B47DA5"/>
    <w:rsid w:val="00B55BB8"/>
    <w:rsid w:val="00B60571"/>
    <w:rsid w:val="00B64CAF"/>
    <w:rsid w:val="00B660E1"/>
    <w:rsid w:val="00B707D0"/>
    <w:rsid w:val="00B75A5E"/>
    <w:rsid w:val="00B83E67"/>
    <w:rsid w:val="00B8620E"/>
    <w:rsid w:val="00B955A2"/>
    <w:rsid w:val="00B95B3B"/>
    <w:rsid w:val="00B96DF1"/>
    <w:rsid w:val="00BB0BE9"/>
    <w:rsid w:val="00BC469D"/>
    <w:rsid w:val="00BC4862"/>
    <w:rsid w:val="00BC52CB"/>
    <w:rsid w:val="00BC7728"/>
    <w:rsid w:val="00BD7034"/>
    <w:rsid w:val="00BE0B1E"/>
    <w:rsid w:val="00BE55FC"/>
    <w:rsid w:val="00BF5C59"/>
    <w:rsid w:val="00C03E8F"/>
    <w:rsid w:val="00C1728B"/>
    <w:rsid w:val="00C20E42"/>
    <w:rsid w:val="00C22B32"/>
    <w:rsid w:val="00C23AA3"/>
    <w:rsid w:val="00C2573B"/>
    <w:rsid w:val="00C26C2B"/>
    <w:rsid w:val="00C31071"/>
    <w:rsid w:val="00C5297B"/>
    <w:rsid w:val="00C60C7A"/>
    <w:rsid w:val="00C67500"/>
    <w:rsid w:val="00C700EB"/>
    <w:rsid w:val="00C71C89"/>
    <w:rsid w:val="00C71F5F"/>
    <w:rsid w:val="00C72906"/>
    <w:rsid w:val="00C84384"/>
    <w:rsid w:val="00C84F13"/>
    <w:rsid w:val="00C879A7"/>
    <w:rsid w:val="00C9192F"/>
    <w:rsid w:val="00C91A71"/>
    <w:rsid w:val="00C9417B"/>
    <w:rsid w:val="00C94FAB"/>
    <w:rsid w:val="00CA331E"/>
    <w:rsid w:val="00CB47E3"/>
    <w:rsid w:val="00CB6DFF"/>
    <w:rsid w:val="00CC10BE"/>
    <w:rsid w:val="00CC41EF"/>
    <w:rsid w:val="00CC43DE"/>
    <w:rsid w:val="00CC5813"/>
    <w:rsid w:val="00CC5FA8"/>
    <w:rsid w:val="00CC7716"/>
    <w:rsid w:val="00CD49B9"/>
    <w:rsid w:val="00CD6047"/>
    <w:rsid w:val="00CE2C96"/>
    <w:rsid w:val="00CE5230"/>
    <w:rsid w:val="00CF293D"/>
    <w:rsid w:val="00CF42FB"/>
    <w:rsid w:val="00D043D3"/>
    <w:rsid w:val="00D049ED"/>
    <w:rsid w:val="00D051A5"/>
    <w:rsid w:val="00D12F8D"/>
    <w:rsid w:val="00D130B1"/>
    <w:rsid w:val="00D140C3"/>
    <w:rsid w:val="00D16A4B"/>
    <w:rsid w:val="00D269A6"/>
    <w:rsid w:val="00D30AA2"/>
    <w:rsid w:val="00D32E07"/>
    <w:rsid w:val="00D32E9F"/>
    <w:rsid w:val="00D34E63"/>
    <w:rsid w:val="00D43FD8"/>
    <w:rsid w:val="00D45AFE"/>
    <w:rsid w:val="00D541A4"/>
    <w:rsid w:val="00D5642E"/>
    <w:rsid w:val="00D5788B"/>
    <w:rsid w:val="00D64B39"/>
    <w:rsid w:val="00D66098"/>
    <w:rsid w:val="00D74F23"/>
    <w:rsid w:val="00D7756B"/>
    <w:rsid w:val="00D80337"/>
    <w:rsid w:val="00D96CB7"/>
    <w:rsid w:val="00D974AF"/>
    <w:rsid w:val="00DA0B21"/>
    <w:rsid w:val="00DB1476"/>
    <w:rsid w:val="00DB68A5"/>
    <w:rsid w:val="00DC053E"/>
    <w:rsid w:val="00DC0723"/>
    <w:rsid w:val="00DC63E9"/>
    <w:rsid w:val="00DD4547"/>
    <w:rsid w:val="00DE16BD"/>
    <w:rsid w:val="00DE5CCC"/>
    <w:rsid w:val="00DE7757"/>
    <w:rsid w:val="00DF0135"/>
    <w:rsid w:val="00DF06CD"/>
    <w:rsid w:val="00DF1729"/>
    <w:rsid w:val="00DF29E3"/>
    <w:rsid w:val="00E0418E"/>
    <w:rsid w:val="00E20027"/>
    <w:rsid w:val="00E21BE3"/>
    <w:rsid w:val="00E2607F"/>
    <w:rsid w:val="00E31F1D"/>
    <w:rsid w:val="00E36BCD"/>
    <w:rsid w:val="00E42488"/>
    <w:rsid w:val="00E4659B"/>
    <w:rsid w:val="00E5344F"/>
    <w:rsid w:val="00E534E6"/>
    <w:rsid w:val="00E5591C"/>
    <w:rsid w:val="00E606E0"/>
    <w:rsid w:val="00E619D2"/>
    <w:rsid w:val="00E65684"/>
    <w:rsid w:val="00E677D7"/>
    <w:rsid w:val="00E720C8"/>
    <w:rsid w:val="00E90DE0"/>
    <w:rsid w:val="00EA2BCD"/>
    <w:rsid w:val="00EA47A1"/>
    <w:rsid w:val="00EB0208"/>
    <w:rsid w:val="00EB1FF6"/>
    <w:rsid w:val="00EB4F74"/>
    <w:rsid w:val="00ED4E0A"/>
    <w:rsid w:val="00EE499A"/>
    <w:rsid w:val="00F00555"/>
    <w:rsid w:val="00F01503"/>
    <w:rsid w:val="00F04713"/>
    <w:rsid w:val="00F0665A"/>
    <w:rsid w:val="00F070BC"/>
    <w:rsid w:val="00F1714F"/>
    <w:rsid w:val="00F25034"/>
    <w:rsid w:val="00F26393"/>
    <w:rsid w:val="00F3407D"/>
    <w:rsid w:val="00F35BF0"/>
    <w:rsid w:val="00F4441A"/>
    <w:rsid w:val="00F47223"/>
    <w:rsid w:val="00F5164F"/>
    <w:rsid w:val="00F57BED"/>
    <w:rsid w:val="00F61CAA"/>
    <w:rsid w:val="00F71C60"/>
    <w:rsid w:val="00F744A4"/>
    <w:rsid w:val="00F745EA"/>
    <w:rsid w:val="00F814AE"/>
    <w:rsid w:val="00F945B2"/>
    <w:rsid w:val="00FA1A82"/>
    <w:rsid w:val="00FB1FCA"/>
    <w:rsid w:val="00FC69BA"/>
    <w:rsid w:val="00FC708C"/>
    <w:rsid w:val="00FD246D"/>
    <w:rsid w:val="00FD5104"/>
    <w:rsid w:val="00FD7069"/>
    <w:rsid w:val="00FE3249"/>
    <w:rsid w:val="00FF010B"/>
    <w:rsid w:val="00FF43C7"/>
    <w:rsid w:val="00FF4505"/>
    <w:rsid w:val="00FF6743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C6507"/>
  <w15:docId w15:val="{E2CA0D95-0715-4669-A474-C1834FE6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4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6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26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"/>
    <w:basedOn w:val="Normal"/>
    <w:link w:val="ListParagraphChar"/>
    <w:uiPriority w:val="34"/>
    <w:qFormat/>
    <w:rsid w:val="00A52667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A52667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A5266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52667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52667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52667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67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2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66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66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5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2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66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26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667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52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52667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5266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26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6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52667"/>
  </w:style>
  <w:style w:type="character" w:styleId="Emphasis">
    <w:name w:val="Emphasis"/>
    <w:basedOn w:val="DefaultParagraphFont"/>
    <w:uiPriority w:val="20"/>
    <w:qFormat/>
    <w:rsid w:val="00A52667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5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-resume2">
    <w:name w:val="intro-resume2"/>
    <w:basedOn w:val="DefaultParagraphFont"/>
    <w:rsid w:val="00A52667"/>
    <w:rPr>
      <w:sz w:val="29"/>
      <w:szCs w:val="29"/>
    </w:rPr>
  </w:style>
  <w:style w:type="paragraph" w:styleId="NoSpacing">
    <w:name w:val="No Spacing"/>
    <w:uiPriority w:val="1"/>
    <w:qFormat/>
    <w:rsid w:val="00A52667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52667"/>
    <w:pPr>
      <w:spacing w:before="720" w:after="200" w:line="276" w:lineRule="auto"/>
    </w:pPr>
    <w:rPr>
      <w:rFonts w:asciiTheme="minorHAnsi" w:eastAsiaTheme="minorEastAsia" w:hAnsiTheme="minorHAnsi" w:cstheme="minorBidi"/>
      <w:smallCaps/>
      <w:color w:val="5B9BD5" w:themeColor="accent1"/>
      <w:spacing w:val="10"/>
      <w:kern w:val="28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52667"/>
    <w:rPr>
      <w:rFonts w:eastAsiaTheme="minorEastAsia"/>
      <w:smallCaps/>
      <w:color w:val="5B9BD5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667"/>
    <w:pPr>
      <w:spacing w:before="200" w:after="1000"/>
    </w:pPr>
    <w:rPr>
      <w:rFonts w:asciiTheme="minorHAnsi" w:eastAsiaTheme="minorEastAsia" w:hAnsiTheme="minorHAnsi" w:cstheme="minorBidi"/>
      <w:smallCaps/>
      <w:color w:val="595959" w:themeColor="text1" w:themeTint="A6"/>
      <w:spacing w:val="1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52667"/>
    <w:rPr>
      <w:rFonts w:eastAsiaTheme="minorEastAsia"/>
      <w:smallCaps/>
      <w:color w:val="595959" w:themeColor="text1" w:themeTint="A6"/>
      <w:spacing w:val="10"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A52667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2667"/>
    <w:rPr>
      <w:rFonts w:ascii="Calibri" w:eastAsia="Times New Roman" w:hAnsi="Calibri" w:cs="Times New Roman"/>
      <w:szCs w:val="21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A52667"/>
    <w:pPr>
      <w:keepLines/>
      <w:spacing w:after="60"/>
      <w:ind w:firstLine="720"/>
      <w:jc w:val="both"/>
    </w:pPr>
    <w:rPr>
      <w:rFonts w:eastAsia="Malgun Gothic"/>
      <w:sz w:val="18"/>
      <w:lang w:eastAsia="x-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A52667"/>
    <w:rPr>
      <w:rFonts w:ascii="Times New Roman" w:eastAsia="Malgun Gothic" w:hAnsi="Times New Roman" w:cs="Times New Roman"/>
      <w:sz w:val="18"/>
      <w:szCs w:val="24"/>
      <w:lang w:eastAsia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A52667"/>
    <w:rPr>
      <w:sz w:val="18"/>
      <w:u w:val="none"/>
      <w:vertAlign w:val="superscript"/>
    </w:rPr>
  </w:style>
  <w:style w:type="character" w:customStyle="1" w:styleId="StyleFootnoteReferencenumberFootnoteReferenceSuperscript-EF">
    <w:name w:val="Style Footnote ReferencenumberFootnote Reference Superscript-E F..."/>
    <w:rsid w:val="00A52667"/>
    <w:rPr>
      <w:kern w:val="22"/>
      <w:sz w:val="18"/>
      <w:u w:val="none"/>
      <w:vertAlign w:val="superscript"/>
    </w:rPr>
  </w:style>
  <w:style w:type="paragraph" w:customStyle="1" w:styleId="recommendationheaderlong">
    <w:name w:val="recommendation header long"/>
    <w:basedOn w:val="Normal"/>
    <w:qFormat/>
    <w:rsid w:val="00A52667"/>
    <w:pPr>
      <w:keepNext/>
      <w:tabs>
        <w:tab w:val="left" w:pos="720"/>
      </w:tabs>
      <w:spacing w:before="120" w:after="120"/>
      <w:ind w:left="2127" w:right="998" w:hanging="1276"/>
      <w:outlineLvl w:val="0"/>
    </w:pPr>
    <w:rPr>
      <w:b/>
      <w:iCs/>
      <w:sz w:val="22"/>
      <w:lang w:eastAsia="en-US"/>
    </w:rPr>
  </w:style>
  <w:style w:type="paragraph" w:customStyle="1" w:styleId="Normal-pool">
    <w:name w:val="Normal-pool"/>
    <w:rsid w:val="00A52667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Title">
    <w:name w:val="BB_Title"/>
    <w:basedOn w:val="Normal"/>
    <w:rsid w:val="00A52667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eastAsia="en-US"/>
    </w:rPr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D66098"/>
    <w:rPr>
      <w:rFonts w:ascii="Tahoma" w:eastAsia="Calibri" w:hAnsi="Tahoma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4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formea.org/en/event/13th-meeting-conference-par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JENNINGS Edmund</cp:lastModifiedBy>
  <cp:revision>3</cp:revision>
  <cp:lastPrinted>2019-03-29T17:32:00Z</cp:lastPrinted>
  <dcterms:created xsi:type="dcterms:W3CDTF">2019-04-08T08:50:00Z</dcterms:created>
  <dcterms:modified xsi:type="dcterms:W3CDTF">2019-04-08T08:56:00Z</dcterms:modified>
</cp:coreProperties>
</file>