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CCF8" w14:textId="77777777" w:rsidR="00B2005A" w:rsidRPr="00B2005A"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lang w:val="fr-FR"/>
        </w:rPr>
      </w:pPr>
      <w:r w:rsidRPr="00B2005A">
        <w:rPr>
          <w:rFonts w:asciiTheme="minorHAnsi" w:hAnsiTheme="minorHAnsi" w:cstheme="minorHAnsi"/>
          <w:bCs/>
          <w:szCs w:val="20"/>
          <w:lang w:val="fr-FR"/>
        </w:rPr>
        <w:t>CONVENTION DE RAMSAR SUR LES ZONES HUMIDES</w:t>
      </w:r>
    </w:p>
    <w:p w14:paraId="69EB1E35" w14:textId="47ACCC16" w:rsidR="00B2005A" w:rsidRPr="00B2005A"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lang w:val="fr-FR"/>
        </w:rPr>
      </w:pPr>
      <w:r w:rsidRPr="00B2005A">
        <w:rPr>
          <w:rFonts w:asciiTheme="minorHAnsi" w:hAnsiTheme="minorHAnsi" w:cstheme="minorHAnsi"/>
          <w:bCs/>
          <w:szCs w:val="20"/>
          <w:lang w:val="fr-FR"/>
        </w:rPr>
        <w:t>57</w:t>
      </w:r>
      <w:r w:rsidRPr="00B2005A">
        <w:rPr>
          <w:rFonts w:asciiTheme="minorHAnsi" w:hAnsiTheme="minorHAnsi" w:cstheme="minorHAnsi"/>
          <w:bCs/>
          <w:szCs w:val="20"/>
          <w:vertAlign w:val="superscript"/>
          <w:lang w:val="fr-FR"/>
        </w:rPr>
        <w:t>e</w:t>
      </w:r>
      <w:r>
        <w:rPr>
          <w:rFonts w:asciiTheme="minorHAnsi" w:hAnsiTheme="minorHAnsi" w:cstheme="minorHAnsi"/>
          <w:bCs/>
          <w:szCs w:val="20"/>
          <w:lang w:val="fr-FR"/>
        </w:rPr>
        <w:t xml:space="preserve"> </w:t>
      </w:r>
      <w:r w:rsidRPr="00B2005A">
        <w:rPr>
          <w:rFonts w:asciiTheme="minorHAnsi" w:hAnsiTheme="minorHAnsi" w:cstheme="minorHAnsi"/>
          <w:bCs/>
          <w:szCs w:val="20"/>
          <w:lang w:val="fr-FR"/>
        </w:rPr>
        <w:t xml:space="preserve">réunion du Comité permanent </w:t>
      </w:r>
    </w:p>
    <w:p w14:paraId="2C018F0B" w14:textId="77777777" w:rsidR="00B2005A" w:rsidRPr="00B2005A"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Cs w:val="20"/>
          <w:lang w:val="fr-FR"/>
        </w:rPr>
      </w:pPr>
      <w:r w:rsidRPr="00B2005A">
        <w:rPr>
          <w:rFonts w:asciiTheme="minorHAnsi" w:hAnsiTheme="minorHAnsi" w:cstheme="minorHAnsi"/>
          <w:bCs/>
          <w:szCs w:val="20"/>
          <w:lang w:val="fr-FR"/>
        </w:rPr>
        <w:t>Gland, Suisse, 24 – 28 juin 2019</w:t>
      </w:r>
    </w:p>
    <w:p w14:paraId="434D98ED" w14:textId="77777777" w:rsidR="00A52667" w:rsidRPr="001956F9" w:rsidRDefault="00A52667" w:rsidP="00A52667">
      <w:pPr>
        <w:rPr>
          <w:rFonts w:asciiTheme="minorHAnsi" w:hAnsiTheme="minorHAnsi"/>
          <w:sz w:val="28"/>
        </w:rPr>
      </w:pPr>
    </w:p>
    <w:p w14:paraId="12F08D66" w14:textId="78289B06" w:rsidR="00A52667" w:rsidRPr="001956F9" w:rsidRDefault="00A52667" w:rsidP="00A52667">
      <w:pPr>
        <w:jc w:val="right"/>
        <w:rPr>
          <w:rFonts w:asciiTheme="minorHAnsi" w:hAnsiTheme="minorHAnsi" w:cstheme="minorHAnsi"/>
          <w:b/>
          <w:sz w:val="28"/>
          <w:szCs w:val="28"/>
        </w:rPr>
      </w:pPr>
      <w:r w:rsidRPr="001956F9">
        <w:rPr>
          <w:rFonts w:asciiTheme="minorHAnsi" w:hAnsiTheme="minorHAnsi" w:cstheme="minorHAnsi"/>
          <w:b/>
          <w:sz w:val="28"/>
          <w:szCs w:val="28"/>
        </w:rPr>
        <w:t>SC5</w:t>
      </w:r>
      <w:r>
        <w:rPr>
          <w:rFonts w:asciiTheme="minorHAnsi" w:hAnsiTheme="minorHAnsi" w:cstheme="minorHAnsi"/>
          <w:b/>
          <w:sz w:val="28"/>
          <w:szCs w:val="28"/>
        </w:rPr>
        <w:t>7</w:t>
      </w:r>
      <w:r w:rsidR="00F61CAA">
        <w:rPr>
          <w:rFonts w:asciiTheme="minorHAnsi" w:hAnsiTheme="minorHAnsi" w:cstheme="minorHAnsi"/>
          <w:b/>
          <w:sz w:val="28"/>
          <w:szCs w:val="28"/>
        </w:rPr>
        <w:t xml:space="preserve"> Doc.17</w:t>
      </w:r>
    </w:p>
    <w:p w14:paraId="316D389B" w14:textId="77777777" w:rsidR="00A52667" w:rsidRPr="00933882" w:rsidRDefault="00A52667" w:rsidP="00A52667">
      <w:pPr>
        <w:rPr>
          <w:rFonts w:asciiTheme="minorHAnsi" w:hAnsiTheme="minorHAnsi"/>
          <w:b/>
          <w:sz w:val="28"/>
          <w:szCs w:val="28"/>
        </w:rPr>
      </w:pPr>
    </w:p>
    <w:p w14:paraId="687AA178" w14:textId="791D99D5" w:rsidR="00B2005A" w:rsidRPr="00B2005A" w:rsidRDefault="00B2005A" w:rsidP="00B2005A">
      <w:pPr>
        <w:pStyle w:val="Default"/>
        <w:jc w:val="center"/>
        <w:rPr>
          <w:rFonts w:ascii="Calibri" w:hAnsi="Calibri" w:cs="Calibri"/>
          <w:b/>
          <w:bCs/>
          <w:sz w:val="28"/>
          <w:szCs w:val="28"/>
          <w:lang w:val="fr-FR"/>
        </w:rPr>
      </w:pPr>
      <w:r w:rsidRPr="00B2005A">
        <w:rPr>
          <w:rFonts w:ascii="Calibri" w:hAnsi="Calibri" w:cs="Calibri"/>
          <w:b/>
          <w:bCs/>
          <w:sz w:val="28"/>
          <w:szCs w:val="28"/>
          <w:lang w:val="fr-FR"/>
        </w:rPr>
        <w:t>Renforcer la visibilité de la Convention et les synergies avec d’autres accords</w:t>
      </w:r>
    </w:p>
    <w:p w14:paraId="46214EC7" w14:textId="3EDB2B6C" w:rsidR="00A52667" w:rsidRPr="00B2005A" w:rsidRDefault="00B2005A" w:rsidP="00B2005A">
      <w:pPr>
        <w:pStyle w:val="Default"/>
        <w:jc w:val="center"/>
        <w:rPr>
          <w:rFonts w:asciiTheme="minorHAnsi" w:hAnsiTheme="minorHAnsi"/>
          <w:b/>
          <w:sz w:val="28"/>
          <w:lang w:val="fr-FR"/>
        </w:rPr>
      </w:pPr>
      <w:r w:rsidRPr="00B2005A">
        <w:rPr>
          <w:rFonts w:ascii="Calibri" w:hAnsi="Calibri" w:cs="Calibri"/>
          <w:b/>
          <w:bCs/>
          <w:sz w:val="28"/>
          <w:szCs w:val="28"/>
          <w:lang w:val="fr-FR"/>
        </w:rPr>
        <w:t>multilatéraux sur l’environnement et institutions internationales</w:t>
      </w:r>
    </w:p>
    <w:p w14:paraId="06D7F22D" w14:textId="77777777" w:rsidR="00A52667" w:rsidRPr="00B2005A" w:rsidRDefault="00A52667" w:rsidP="00A52667">
      <w:pPr>
        <w:rPr>
          <w:rFonts w:asciiTheme="minorHAnsi" w:hAnsiTheme="minorHAnsi"/>
          <w:b/>
          <w:sz w:val="28"/>
          <w:lang w:val="fr-FR"/>
        </w:rPr>
      </w:pPr>
    </w:p>
    <w:p w14:paraId="25725F92" w14:textId="77777777" w:rsidR="00A52667" w:rsidRPr="00B2005A" w:rsidRDefault="00A52667" w:rsidP="00A52667">
      <w:pPr>
        <w:autoSpaceDE w:val="0"/>
        <w:autoSpaceDN w:val="0"/>
        <w:adjustRightInd w:val="0"/>
        <w:rPr>
          <w:rFonts w:asciiTheme="minorHAnsi" w:eastAsiaTheme="minorHAnsi" w:hAnsiTheme="minorHAnsi" w:cs="Garamond"/>
          <w:sz w:val="22"/>
          <w:szCs w:val="22"/>
          <w:lang w:val="fr-FR" w:eastAsia="en-US"/>
        </w:rPr>
      </w:pPr>
      <w:r w:rsidRPr="00B2005A">
        <w:rPr>
          <w:noProof/>
          <w:sz w:val="22"/>
          <w:szCs w:val="22"/>
        </w:rPr>
        <mc:AlternateContent>
          <mc:Choice Requires="wps">
            <w:drawing>
              <wp:inline distT="0" distB="0" distL="0" distR="0" wp14:anchorId="6C01B088" wp14:editId="61D356FF">
                <wp:extent cx="5854535" cy="1033670"/>
                <wp:effectExtent l="0" t="0" r="13335" b="1460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33670"/>
                        </a:xfrm>
                        <a:prstGeom prst="rect">
                          <a:avLst/>
                        </a:prstGeom>
                        <a:solidFill>
                          <a:srgbClr val="FFFFFF"/>
                        </a:solidFill>
                        <a:ln w="9525">
                          <a:solidFill>
                            <a:srgbClr val="000000"/>
                          </a:solidFill>
                          <a:miter lim="800000"/>
                          <a:headEnd/>
                          <a:tailEnd/>
                        </a:ln>
                      </wps:spPr>
                      <wps:txbx>
                        <w:txbxContent>
                          <w:p w14:paraId="2B8AC18A" w14:textId="4EC66767" w:rsidR="00D450EA" w:rsidRPr="00863119" w:rsidRDefault="00D450EA" w:rsidP="00A52667">
                            <w:pPr>
                              <w:rPr>
                                <w:rFonts w:ascii="Calibri" w:hAnsi="Calibri"/>
                                <w:b/>
                                <w:bCs/>
                                <w:sz w:val="22"/>
                                <w:szCs w:val="22"/>
                              </w:rPr>
                            </w:pPr>
                            <w:r w:rsidRPr="00B22B80">
                              <w:rPr>
                                <w:rFonts w:ascii="Calibri" w:hAnsi="Calibri"/>
                                <w:b/>
                                <w:bCs/>
                                <w:sz w:val="22"/>
                                <w:szCs w:val="22"/>
                                <w:lang w:val="fr-FR"/>
                              </w:rPr>
                              <w:t>Actions requises</w:t>
                            </w:r>
                            <w:r w:rsidR="00E800CA">
                              <w:rPr>
                                <w:rFonts w:ascii="Calibri" w:hAnsi="Calibri"/>
                                <w:b/>
                                <w:bCs/>
                                <w:sz w:val="22"/>
                                <w:szCs w:val="22"/>
                              </w:rPr>
                              <w:t xml:space="preserve"> :</w:t>
                            </w:r>
                          </w:p>
                          <w:p w14:paraId="052F8DAC" w14:textId="77777777" w:rsidR="00D450EA" w:rsidRPr="00863119" w:rsidRDefault="00D450EA" w:rsidP="00A52667">
                            <w:pPr>
                              <w:rPr>
                                <w:rFonts w:ascii="Calibri" w:hAnsi="Calibri"/>
                                <w:b/>
                                <w:bCs/>
                                <w:sz w:val="22"/>
                                <w:szCs w:val="22"/>
                              </w:rPr>
                            </w:pPr>
                          </w:p>
                          <w:p w14:paraId="0C5ABE5A" w14:textId="1897121E" w:rsidR="00D450EA" w:rsidRPr="00B2005A" w:rsidRDefault="00D450EA" w:rsidP="00B2005A">
                            <w:pPr>
                              <w:rPr>
                                <w:rFonts w:asciiTheme="minorHAnsi" w:hAnsiTheme="minorHAnsi"/>
                                <w:sz w:val="22"/>
                                <w:szCs w:val="22"/>
                                <w:lang w:val="fr-FR"/>
                              </w:rPr>
                            </w:pPr>
                            <w:r>
                              <w:rPr>
                                <w:rFonts w:asciiTheme="minorHAnsi" w:hAnsiTheme="minorHAnsi"/>
                                <w:sz w:val="22"/>
                                <w:szCs w:val="22"/>
                                <w:lang w:val="fr-FR"/>
                              </w:rPr>
                              <w:t>Le Comité permanent</w:t>
                            </w:r>
                            <w:r w:rsidRPr="00B2005A">
                              <w:rPr>
                                <w:rFonts w:asciiTheme="minorHAnsi" w:hAnsiTheme="minorHAnsi"/>
                                <w:sz w:val="22"/>
                                <w:szCs w:val="22"/>
                                <w:lang w:val="fr-FR"/>
                              </w:rPr>
                              <w:t xml:space="preserve"> </w:t>
                            </w:r>
                            <w:r>
                              <w:rPr>
                                <w:rFonts w:asciiTheme="minorHAnsi" w:hAnsiTheme="minorHAnsi"/>
                                <w:sz w:val="22"/>
                                <w:szCs w:val="22"/>
                                <w:lang w:val="fr-FR"/>
                              </w:rPr>
                              <w:t xml:space="preserve">est invité à prendre note du rapport </w:t>
                            </w:r>
                            <w:r w:rsidRPr="00B2005A">
                              <w:rPr>
                                <w:rFonts w:asciiTheme="minorHAnsi" w:hAnsiTheme="minorHAnsi"/>
                                <w:sz w:val="22"/>
                                <w:szCs w:val="22"/>
                                <w:lang w:val="fr-FR"/>
                              </w:rPr>
                              <w:t xml:space="preserve">sur les progrès réalisés dans la mise en œuvre de la Résolution XIII.7 </w:t>
                            </w:r>
                            <w:r w:rsidRPr="00B2005A">
                              <w:rPr>
                                <w:rFonts w:asciiTheme="minorHAnsi" w:eastAsiaTheme="minorHAnsi" w:hAnsiTheme="minorHAnsi" w:cs="Garamond"/>
                                <w:i/>
                                <w:sz w:val="22"/>
                                <w:szCs w:val="22"/>
                                <w:lang w:val="fr-FR"/>
                              </w:rPr>
                              <w:t>Renforcer la visibilité de la Convention et les synergies avec d’autres accords multilatéraux sur l’environnement et institutions internationales</w:t>
                            </w:r>
                          </w:p>
                        </w:txbxContent>
                      </wps:txbx>
                      <wps:bodyPr rot="0" vert="horz" wrap="square" lIns="91440" tIns="45720" rIns="91440" bIns="45720" anchor="t" anchorCtr="0" upright="1">
                        <a:noAutofit/>
                      </wps:bodyPr>
                    </wps:wsp>
                  </a:graphicData>
                </a:graphic>
              </wp:inline>
            </w:drawing>
          </mc:Choice>
          <mc:Fallback>
            <w:pict>
              <v:shapetype w14:anchorId="6C01B088" id="_x0000_t202" coordsize="21600,21600" o:spt="202" path="m,l,21600r21600,l21600,xe">
                <v:stroke joinstyle="miter"/>
                <v:path gradientshapeok="t" o:connecttype="rect"/>
              </v:shapetype>
              <v:shape id="Text Box 5" o:spid="_x0000_s1026" type="#_x0000_t202" style="width:461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">
                <v:textbox>
                  <w:txbxContent>
                    <w:p w14:paraId="2B8AC18A" w14:textId="4EC66767" w:rsidR="00D450EA" w:rsidRPr="00863119" w:rsidRDefault="00D450EA" w:rsidP="00A52667">
                      <w:pPr>
                        <w:rPr>
                          <w:rFonts w:ascii="Calibri" w:hAnsi="Calibri"/>
                          <w:b/>
                          <w:bCs/>
                          <w:sz w:val="22"/>
                          <w:szCs w:val="22"/>
                        </w:rPr>
                      </w:pPr>
                      <w:r w:rsidRPr="00B22B80">
                        <w:rPr>
                          <w:rFonts w:ascii="Calibri" w:hAnsi="Calibri"/>
                          <w:b/>
                          <w:bCs/>
                          <w:sz w:val="22"/>
                          <w:szCs w:val="22"/>
                          <w:lang w:val="fr-FR"/>
                        </w:rPr>
                        <w:t>Actions requises</w:t>
                      </w:r>
                      <w:r w:rsidR="00E800CA">
                        <w:rPr>
                          <w:rFonts w:ascii="Calibri" w:hAnsi="Calibri"/>
                          <w:b/>
                          <w:bCs/>
                          <w:sz w:val="22"/>
                          <w:szCs w:val="22"/>
                        </w:rPr>
                        <w:t xml:space="preserve"> :</w:t>
                      </w:r>
                    </w:p>
                    <w:p w14:paraId="052F8DAC" w14:textId="77777777" w:rsidR="00D450EA" w:rsidRPr="00863119" w:rsidRDefault="00D450EA" w:rsidP="00A52667">
                      <w:pPr>
                        <w:rPr>
                          <w:rFonts w:ascii="Calibri" w:hAnsi="Calibri"/>
                          <w:b/>
                          <w:bCs/>
                          <w:sz w:val="22"/>
                          <w:szCs w:val="22"/>
                        </w:rPr>
                      </w:pPr>
                    </w:p>
                    <w:p w14:paraId="0C5ABE5A" w14:textId="1897121E" w:rsidR="00D450EA" w:rsidRPr="00B2005A" w:rsidRDefault="00D450EA" w:rsidP="00B2005A">
                      <w:pPr>
                        <w:rPr>
                          <w:rFonts w:asciiTheme="minorHAnsi" w:hAnsiTheme="minorHAnsi"/>
                          <w:sz w:val="22"/>
                          <w:szCs w:val="22"/>
                          <w:lang w:val="fr-FR"/>
                        </w:rPr>
                      </w:pPr>
                      <w:r>
                        <w:rPr>
                          <w:rFonts w:asciiTheme="minorHAnsi" w:hAnsiTheme="minorHAnsi"/>
                          <w:sz w:val="22"/>
                          <w:szCs w:val="22"/>
                          <w:lang w:val="fr-FR"/>
                        </w:rPr>
                        <w:t>Le Comité permanent</w:t>
                      </w:r>
                      <w:r w:rsidRPr="00B2005A">
                        <w:rPr>
                          <w:rFonts w:asciiTheme="minorHAnsi" w:hAnsiTheme="minorHAnsi"/>
                          <w:sz w:val="22"/>
                          <w:szCs w:val="22"/>
                          <w:lang w:val="fr-FR"/>
                        </w:rPr>
                        <w:t xml:space="preserve"> </w:t>
                      </w:r>
                      <w:r>
                        <w:rPr>
                          <w:rFonts w:asciiTheme="minorHAnsi" w:hAnsiTheme="minorHAnsi"/>
                          <w:sz w:val="22"/>
                          <w:szCs w:val="22"/>
                          <w:lang w:val="fr-FR"/>
                        </w:rPr>
                        <w:t xml:space="preserve">est invité à prendre note du rapport </w:t>
                      </w:r>
                      <w:r w:rsidRPr="00B2005A">
                        <w:rPr>
                          <w:rFonts w:asciiTheme="minorHAnsi" w:hAnsiTheme="minorHAnsi"/>
                          <w:sz w:val="22"/>
                          <w:szCs w:val="22"/>
                          <w:lang w:val="fr-FR"/>
                        </w:rPr>
                        <w:t xml:space="preserve">sur les progrès réalisés dans la mise en œuvre de la Résolution XIII.7 </w:t>
                      </w:r>
                      <w:r w:rsidRPr="00B2005A">
                        <w:rPr>
                          <w:rFonts w:asciiTheme="minorHAnsi" w:eastAsiaTheme="minorHAnsi" w:hAnsiTheme="minorHAnsi" w:cs="Garamond"/>
                          <w:i/>
                          <w:sz w:val="22"/>
                          <w:szCs w:val="22"/>
                          <w:lang w:val="fr-FR"/>
                        </w:rPr>
                        <w:t>Renforcer la visibilité de la Convention et les synergies avec d’autres accords multilatéraux sur l’environnement et institutions internationales</w:t>
                      </w:r>
                    </w:p>
                  </w:txbxContent>
                </v:textbox>
                <w10:anchorlock/>
              </v:shape>
            </w:pict>
          </mc:Fallback>
        </mc:AlternateContent>
      </w:r>
    </w:p>
    <w:p w14:paraId="2FC938DC" w14:textId="02E7B8B3" w:rsidR="00A52667" w:rsidRPr="00B2005A" w:rsidRDefault="00A52667" w:rsidP="00A52667">
      <w:pPr>
        <w:autoSpaceDE w:val="0"/>
        <w:autoSpaceDN w:val="0"/>
        <w:adjustRightInd w:val="0"/>
        <w:rPr>
          <w:rFonts w:asciiTheme="minorHAnsi" w:eastAsiaTheme="minorHAnsi" w:hAnsiTheme="minorHAnsi" w:cs="Calibri-Bold"/>
          <w:b/>
          <w:bCs/>
          <w:sz w:val="22"/>
          <w:szCs w:val="22"/>
          <w:lang w:val="fr-FR" w:eastAsia="en-US"/>
        </w:rPr>
      </w:pPr>
    </w:p>
    <w:p w14:paraId="0EA55225" w14:textId="77777777" w:rsidR="00746E6E" w:rsidRPr="00B2005A" w:rsidRDefault="00746E6E" w:rsidP="00A52667">
      <w:pPr>
        <w:autoSpaceDE w:val="0"/>
        <w:autoSpaceDN w:val="0"/>
        <w:adjustRightInd w:val="0"/>
        <w:rPr>
          <w:rFonts w:asciiTheme="minorHAnsi" w:eastAsiaTheme="minorHAnsi" w:hAnsiTheme="minorHAnsi" w:cs="Calibri-Bold"/>
          <w:b/>
          <w:bCs/>
          <w:sz w:val="22"/>
          <w:szCs w:val="22"/>
          <w:lang w:val="fr-FR" w:eastAsia="en-US"/>
        </w:rPr>
      </w:pPr>
    </w:p>
    <w:p w14:paraId="55971B13" w14:textId="48947B5D" w:rsidR="00A52667" w:rsidRPr="00B2005A" w:rsidRDefault="00687418" w:rsidP="00A52667">
      <w:pPr>
        <w:autoSpaceDE w:val="0"/>
        <w:autoSpaceDN w:val="0"/>
        <w:adjustRightInd w:val="0"/>
        <w:rPr>
          <w:rFonts w:asciiTheme="minorHAnsi" w:eastAsiaTheme="minorHAnsi" w:hAnsiTheme="minorHAnsi" w:cs="Calibri-Bold"/>
          <w:b/>
          <w:bCs/>
          <w:sz w:val="22"/>
          <w:szCs w:val="22"/>
          <w:lang w:val="fr-FR" w:eastAsia="en-US"/>
        </w:rPr>
      </w:pPr>
      <w:r>
        <w:rPr>
          <w:rFonts w:asciiTheme="minorHAnsi" w:eastAsiaTheme="minorHAnsi" w:hAnsiTheme="minorHAnsi" w:cs="Calibri-Bold"/>
          <w:b/>
          <w:bCs/>
          <w:sz w:val="22"/>
          <w:szCs w:val="22"/>
          <w:lang w:val="fr-FR" w:eastAsia="en-US"/>
        </w:rPr>
        <w:t>Contexte</w:t>
      </w:r>
    </w:p>
    <w:p w14:paraId="20F688DD" w14:textId="77777777" w:rsidR="00A52667" w:rsidRPr="00B2005A" w:rsidRDefault="00A52667" w:rsidP="00A52667">
      <w:pPr>
        <w:autoSpaceDE w:val="0"/>
        <w:autoSpaceDN w:val="0"/>
        <w:adjustRightInd w:val="0"/>
        <w:ind w:left="426" w:hanging="426"/>
        <w:rPr>
          <w:rFonts w:asciiTheme="minorHAnsi" w:hAnsiTheme="minorHAnsi"/>
          <w:sz w:val="22"/>
          <w:szCs w:val="22"/>
          <w:lang w:val="fr-FR"/>
        </w:rPr>
      </w:pPr>
    </w:p>
    <w:p w14:paraId="2CED3B69" w14:textId="0F6898A6" w:rsidR="00A52667" w:rsidRPr="00B2005A" w:rsidRDefault="00863119" w:rsidP="00C21DD0">
      <w:pPr>
        <w:suppressAutoHyphens/>
        <w:ind w:left="425" w:hanging="425"/>
        <w:rPr>
          <w:rFonts w:asciiTheme="minorHAnsi" w:hAnsiTheme="minorHAnsi" w:cstheme="minorHAnsi"/>
          <w:sz w:val="22"/>
          <w:szCs w:val="22"/>
          <w:lang w:val="fr-FR"/>
        </w:rPr>
      </w:pPr>
      <w:r w:rsidRPr="00B2005A">
        <w:rPr>
          <w:rFonts w:asciiTheme="minorHAnsi" w:hAnsiTheme="minorHAnsi" w:cstheme="minorHAnsi"/>
          <w:bCs/>
          <w:sz w:val="22"/>
          <w:szCs w:val="22"/>
          <w:lang w:val="fr-FR"/>
        </w:rPr>
        <w:t>1.</w:t>
      </w:r>
      <w:r w:rsidRPr="00B2005A">
        <w:rPr>
          <w:rFonts w:asciiTheme="minorHAnsi" w:hAnsiTheme="minorHAnsi" w:cstheme="minorHAnsi"/>
          <w:bCs/>
          <w:sz w:val="22"/>
          <w:szCs w:val="22"/>
          <w:lang w:val="fr-FR"/>
        </w:rPr>
        <w:tab/>
      </w:r>
      <w:r w:rsidR="00B2005A">
        <w:rPr>
          <w:rFonts w:asciiTheme="minorHAnsi" w:hAnsiTheme="minorHAnsi" w:cstheme="minorHAnsi"/>
          <w:bCs/>
          <w:sz w:val="22"/>
          <w:szCs w:val="22"/>
          <w:lang w:val="fr-FR"/>
        </w:rPr>
        <w:t xml:space="preserve">La </w:t>
      </w:r>
      <w:r w:rsidR="005A0023" w:rsidRPr="00B2005A">
        <w:rPr>
          <w:rFonts w:asciiTheme="minorHAnsi" w:hAnsiTheme="minorHAnsi" w:cstheme="minorHAnsi"/>
          <w:bCs/>
          <w:sz w:val="22"/>
          <w:szCs w:val="22"/>
          <w:lang w:val="fr-FR"/>
        </w:rPr>
        <w:t>Résolution</w:t>
      </w:r>
      <w:r w:rsidR="00A52667" w:rsidRPr="00B2005A">
        <w:rPr>
          <w:rFonts w:asciiTheme="minorHAnsi" w:hAnsiTheme="minorHAnsi" w:cstheme="minorHAnsi"/>
          <w:bCs/>
          <w:sz w:val="22"/>
          <w:szCs w:val="22"/>
          <w:lang w:val="fr-FR"/>
        </w:rPr>
        <w:t xml:space="preserve"> XII</w:t>
      </w:r>
      <w:r w:rsidR="008057FB" w:rsidRPr="00B2005A">
        <w:rPr>
          <w:rFonts w:asciiTheme="minorHAnsi" w:hAnsiTheme="minorHAnsi" w:cstheme="minorHAnsi"/>
          <w:bCs/>
          <w:sz w:val="22"/>
          <w:szCs w:val="22"/>
          <w:lang w:val="fr-FR"/>
        </w:rPr>
        <w:t>I</w:t>
      </w:r>
      <w:r w:rsidR="00A52667" w:rsidRPr="00B2005A">
        <w:rPr>
          <w:rFonts w:asciiTheme="minorHAnsi" w:hAnsiTheme="minorHAnsi" w:cstheme="minorHAnsi"/>
          <w:bCs/>
          <w:sz w:val="22"/>
          <w:szCs w:val="22"/>
          <w:lang w:val="fr-FR"/>
        </w:rPr>
        <w:t>.</w:t>
      </w:r>
      <w:r w:rsidR="008057FB" w:rsidRPr="00B2005A">
        <w:rPr>
          <w:rFonts w:asciiTheme="minorHAnsi" w:hAnsiTheme="minorHAnsi" w:cstheme="minorHAnsi"/>
          <w:bCs/>
          <w:sz w:val="22"/>
          <w:szCs w:val="22"/>
          <w:lang w:val="fr-FR"/>
        </w:rPr>
        <w:t>7</w:t>
      </w:r>
      <w:r w:rsidR="00A52667" w:rsidRPr="00B2005A">
        <w:rPr>
          <w:rFonts w:asciiTheme="minorHAnsi" w:hAnsiTheme="minorHAnsi" w:cstheme="minorHAnsi"/>
          <w:bCs/>
          <w:sz w:val="22"/>
          <w:szCs w:val="22"/>
          <w:lang w:val="fr-FR"/>
        </w:rPr>
        <w:t xml:space="preserve"> </w:t>
      </w:r>
      <w:r w:rsidR="00B2005A" w:rsidRPr="00B2005A">
        <w:rPr>
          <w:rFonts w:asciiTheme="minorHAnsi" w:eastAsiaTheme="minorHAnsi" w:hAnsiTheme="minorHAnsi" w:cstheme="minorHAnsi"/>
          <w:i/>
          <w:sz w:val="22"/>
          <w:szCs w:val="22"/>
          <w:lang w:val="fr-FR"/>
        </w:rPr>
        <w:t>Renforcer la visibilité de la Convention et les synergies avec d’autres accords multilatéraux sur l’environnement et institutions internationales</w:t>
      </w:r>
      <w:r w:rsidR="00A52667" w:rsidRPr="00B2005A">
        <w:rPr>
          <w:rFonts w:asciiTheme="minorHAnsi" w:eastAsiaTheme="minorHAnsi" w:hAnsiTheme="minorHAnsi" w:cstheme="minorHAnsi"/>
          <w:i/>
          <w:sz w:val="22"/>
          <w:szCs w:val="22"/>
          <w:lang w:val="fr-FR"/>
        </w:rPr>
        <w:t xml:space="preserve"> </w:t>
      </w:r>
      <w:r w:rsidR="00B2005A">
        <w:rPr>
          <w:rFonts w:asciiTheme="minorHAnsi" w:hAnsiTheme="minorHAnsi" w:cstheme="minorHAnsi"/>
          <w:bCs/>
          <w:sz w:val="22"/>
          <w:szCs w:val="22"/>
          <w:lang w:val="fr-FR"/>
        </w:rPr>
        <w:t xml:space="preserve">donne instruction au </w:t>
      </w:r>
      <w:r w:rsidR="005A0023" w:rsidRPr="00B2005A">
        <w:rPr>
          <w:rFonts w:asciiTheme="minorHAnsi" w:hAnsiTheme="minorHAnsi" w:cstheme="minorHAnsi"/>
          <w:bCs/>
          <w:sz w:val="22"/>
          <w:szCs w:val="22"/>
          <w:lang w:val="fr-FR"/>
        </w:rPr>
        <w:t>Secrétariat</w:t>
      </w:r>
      <w:r w:rsidR="00A52667" w:rsidRPr="00B2005A">
        <w:rPr>
          <w:rFonts w:asciiTheme="minorHAnsi" w:hAnsiTheme="minorHAnsi" w:cstheme="minorHAnsi"/>
          <w:bCs/>
          <w:sz w:val="22"/>
          <w:szCs w:val="22"/>
          <w:lang w:val="fr-FR"/>
        </w:rPr>
        <w:t xml:space="preserve"> </w:t>
      </w:r>
      <w:r w:rsidR="00B2005A">
        <w:rPr>
          <w:rFonts w:asciiTheme="minorHAnsi" w:hAnsiTheme="minorHAnsi" w:cstheme="minorHAnsi"/>
          <w:bCs/>
          <w:sz w:val="22"/>
          <w:szCs w:val="22"/>
          <w:lang w:val="fr-FR"/>
        </w:rPr>
        <w:t>de faire régulièrement rappor</w:t>
      </w:r>
      <w:r w:rsidR="00C21DD0">
        <w:rPr>
          <w:rFonts w:asciiTheme="minorHAnsi" w:hAnsiTheme="minorHAnsi" w:cstheme="minorHAnsi"/>
          <w:bCs/>
          <w:sz w:val="22"/>
          <w:szCs w:val="22"/>
          <w:lang w:val="fr-FR"/>
        </w:rPr>
        <w:t xml:space="preserve">t au Comité permanent </w:t>
      </w:r>
      <w:r w:rsidR="00B2005A">
        <w:rPr>
          <w:rFonts w:asciiTheme="minorHAnsi" w:hAnsiTheme="minorHAnsi" w:cstheme="minorHAnsi"/>
          <w:bCs/>
          <w:sz w:val="22"/>
          <w:szCs w:val="22"/>
          <w:lang w:val="fr-FR"/>
        </w:rPr>
        <w:t xml:space="preserve">sur les progrès </w:t>
      </w:r>
      <w:r w:rsidR="00C21DD0">
        <w:rPr>
          <w:rFonts w:asciiTheme="minorHAnsi" w:hAnsiTheme="minorHAnsi" w:cstheme="minorHAnsi"/>
          <w:bCs/>
          <w:sz w:val="22"/>
          <w:szCs w:val="22"/>
          <w:lang w:val="fr-FR"/>
        </w:rPr>
        <w:t xml:space="preserve">d’application </w:t>
      </w:r>
      <w:r w:rsidR="00B2005A">
        <w:rPr>
          <w:rFonts w:asciiTheme="minorHAnsi" w:hAnsiTheme="minorHAnsi" w:cstheme="minorHAnsi"/>
          <w:bCs/>
          <w:sz w:val="22"/>
          <w:szCs w:val="22"/>
          <w:lang w:val="fr-FR"/>
        </w:rPr>
        <w:t xml:space="preserve">de cette résolution et de la </w:t>
      </w:r>
      <w:r w:rsidR="005A0023" w:rsidRPr="00B2005A">
        <w:rPr>
          <w:rFonts w:asciiTheme="minorHAnsi" w:hAnsiTheme="minorHAnsi" w:cstheme="minorHAnsi"/>
          <w:bCs/>
          <w:sz w:val="22"/>
          <w:szCs w:val="22"/>
          <w:lang w:val="fr-FR"/>
        </w:rPr>
        <w:t>Résolution</w:t>
      </w:r>
      <w:r w:rsidR="00A52667" w:rsidRPr="00B2005A">
        <w:rPr>
          <w:rFonts w:asciiTheme="minorHAnsi" w:hAnsiTheme="minorHAnsi" w:cstheme="minorHAnsi"/>
          <w:bCs/>
          <w:sz w:val="22"/>
          <w:szCs w:val="22"/>
          <w:lang w:val="fr-FR"/>
        </w:rPr>
        <w:t xml:space="preserve"> XI.6 </w:t>
      </w:r>
      <w:r w:rsidR="00C21DD0" w:rsidRPr="00C21DD0">
        <w:rPr>
          <w:rFonts w:asciiTheme="minorHAnsi" w:hAnsiTheme="minorHAnsi" w:cstheme="minorHAnsi"/>
          <w:bCs/>
          <w:i/>
          <w:sz w:val="22"/>
          <w:szCs w:val="22"/>
          <w:lang w:val="fr-FR"/>
        </w:rPr>
        <w:t>Partenariats et</w:t>
      </w:r>
      <w:r w:rsidR="00C21DD0">
        <w:rPr>
          <w:rFonts w:asciiTheme="minorHAnsi" w:hAnsiTheme="minorHAnsi" w:cstheme="minorHAnsi"/>
          <w:bCs/>
          <w:i/>
          <w:sz w:val="22"/>
          <w:szCs w:val="22"/>
          <w:lang w:val="fr-FR"/>
        </w:rPr>
        <w:t xml:space="preserve"> </w:t>
      </w:r>
      <w:r w:rsidR="00C21DD0" w:rsidRPr="00C21DD0">
        <w:rPr>
          <w:rFonts w:asciiTheme="minorHAnsi" w:hAnsiTheme="minorHAnsi" w:cstheme="minorHAnsi"/>
          <w:bCs/>
          <w:i/>
          <w:sz w:val="22"/>
          <w:szCs w:val="22"/>
          <w:lang w:val="fr-FR"/>
        </w:rPr>
        <w:t xml:space="preserve">synergies avec les accords multilatéraux sur l’environnement et autres </w:t>
      </w:r>
      <w:r w:rsidR="00A52667" w:rsidRPr="00B2005A">
        <w:rPr>
          <w:rFonts w:asciiTheme="minorHAnsi" w:hAnsiTheme="minorHAnsi" w:cstheme="minorHAnsi"/>
          <w:bCs/>
          <w:i/>
          <w:sz w:val="22"/>
          <w:szCs w:val="22"/>
          <w:lang w:val="fr-FR"/>
        </w:rPr>
        <w:t>institutions</w:t>
      </w:r>
      <w:r w:rsidR="00A52667" w:rsidRPr="00B2005A">
        <w:rPr>
          <w:rFonts w:asciiTheme="minorHAnsi" w:hAnsiTheme="minorHAnsi" w:cstheme="minorHAnsi"/>
          <w:bCs/>
          <w:sz w:val="22"/>
          <w:szCs w:val="22"/>
          <w:lang w:val="fr-FR"/>
        </w:rPr>
        <w:t xml:space="preserve">. </w:t>
      </w:r>
    </w:p>
    <w:p w14:paraId="240CFCAB" w14:textId="77777777" w:rsidR="00A52667" w:rsidRPr="00B2005A" w:rsidRDefault="00A52667" w:rsidP="00863119">
      <w:pPr>
        <w:suppressAutoHyphens/>
        <w:ind w:left="425" w:hanging="425"/>
        <w:rPr>
          <w:rFonts w:asciiTheme="minorHAnsi" w:hAnsiTheme="minorHAnsi" w:cstheme="minorHAnsi"/>
          <w:sz w:val="22"/>
          <w:szCs w:val="22"/>
          <w:lang w:val="fr-FR"/>
        </w:rPr>
      </w:pPr>
    </w:p>
    <w:p w14:paraId="2145F793" w14:textId="76D8C781" w:rsidR="0096533D" w:rsidRPr="00B2005A" w:rsidRDefault="005A0023" w:rsidP="00863119">
      <w:pPr>
        <w:pStyle w:val="Default"/>
        <w:ind w:left="425" w:hanging="425"/>
        <w:rPr>
          <w:rFonts w:asciiTheme="minorHAnsi" w:hAnsiTheme="minorHAnsi" w:cstheme="minorHAnsi"/>
          <w:sz w:val="22"/>
          <w:szCs w:val="22"/>
          <w:lang w:val="fr-FR"/>
        </w:rPr>
      </w:pPr>
      <w:r w:rsidRPr="00B2005A">
        <w:rPr>
          <w:rFonts w:asciiTheme="minorHAnsi" w:hAnsiTheme="minorHAnsi" w:cstheme="minorHAnsi"/>
          <w:sz w:val="22"/>
          <w:szCs w:val="22"/>
          <w:lang w:val="fr-FR"/>
        </w:rPr>
        <w:t>2.</w:t>
      </w:r>
      <w:r w:rsidRPr="00B2005A">
        <w:rPr>
          <w:rFonts w:asciiTheme="minorHAnsi" w:hAnsiTheme="minorHAnsi" w:cstheme="minorHAnsi"/>
          <w:sz w:val="22"/>
          <w:szCs w:val="22"/>
          <w:lang w:val="fr-FR"/>
        </w:rPr>
        <w:tab/>
      </w:r>
      <w:r>
        <w:rPr>
          <w:rFonts w:asciiTheme="minorHAnsi" w:hAnsiTheme="minorHAnsi" w:cstheme="minorHAnsi"/>
          <w:sz w:val="22"/>
          <w:szCs w:val="22"/>
          <w:lang w:val="fr-FR"/>
        </w:rPr>
        <w:t xml:space="preserve">Le </w:t>
      </w:r>
      <w:r w:rsidRPr="00B2005A">
        <w:rPr>
          <w:rFonts w:asciiTheme="minorHAnsi" w:hAnsiTheme="minorHAnsi" w:cstheme="minorHAnsi"/>
          <w:sz w:val="22"/>
          <w:szCs w:val="22"/>
          <w:lang w:val="fr-FR"/>
        </w:rPr>
        <w:t xml:space="preserve">Secrétariat, </w:t>
      </w:r>
      <w:r>
        <w:rPr>
          <w:rFonts w:asciiTheme="minorHAnsi" w:hAnsiTheme="minorHAnsi" w:cstheme="minorHAnsi"/>
          <w:sz w:val="22"/>
          <w:szCs w:val="22"/>
          <w:lang w:val="fr-FR"/>
        </w:rPr>
        <w:t xml:space="preserve">les </w:t>
      </w:r>
      <w:r w:rsidRPr="00B2005A">
        <w:rPr>
          <w:rFonts w:asciiTheme="minorHAnsi" w:hAnsiTheme="minorHAnsi" w:cstheme="minorHAnsi"/>
          <w:sz w:val="22"/>
          <w:szCs w:val="22"/>
          <w:lang w:val="fr-FR"/>
        </w:rPr>
        <w:t>Parties</w:t>
      </w:r>
      <w:r>
        <w:rPr>
          <w:rFonts w:asciiTheme="minorHAnsi" w:hAnsiTheme="minorHAnsi" w:cstheme="minorHAnsi"/>
          <w:sz w:val="22"/>
          <w:szCs w:val="22"/>
          <w:lang w:val="fr-FR"/>
        </w:rPr>
        <w:t xml:space="preserve"> contractantes</w:t>
      </w:r>
      <w:r w:rsidRPr="00B2005A">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les organisations internationales partenaires (OIP), entre autres, sont instamment priés, au </w:t>
      </w:r>
      <w:r w:rsidRPr="00B2005A">
        <w:rPr>
          <w:rFonts w:asciiTheme="minorHAnsi" w:hAnsiTheme="minorHAnsi" w:cstheme="minorHAnsi"/>
          <w:sz w:val="22"/>
          <w:szCs w:val="22"/>
          <w:lang w:val="fr-FR"/>
        </w:rPr>
        <w:t>paragraph</w:t>
      </w:r>
      <w:r>
        <w:rPr>
          <w:rFonts w:asciiTheme="minorHAnsi" w:hAnsiTheme="minorHAnsi" w:cstheme="minorHAnsi"/>
          <w:sz w:val="22"/>
          <w:szCs w:val="22"/>
          <w:lang w:val="fr-FR"/>
        </w:rPr>
        <w:t>e</w:t>
      </w:r>
      <w:r w:rsidRPr="00B2005A">
        <w:rPr>
          <w:rFonts w:asciiTheme="minorHAnsi" w:hAnsiTheme="minorHAnsi" w:cstheme="minorHAnsi"/>
          <w:sz w:val="22"/>
          <w:szCs w:val="22"/>
          <w:lang w:val="fr-FR"/>
        </w:rPr>
        <w:t xml:space="preserve"> 22 </w:t>
      </w:r>
      <w:r>
        <w:rPr>
          <w:rFonts w:asciiTheme="minorHAnsi" w:hAnsiTheme="minorHAnsi" w:cstheme="minorHAnsi"/>
          <w:sz w:val="22"/>
          <w:szCs w:val="22"/>
          <w:lang w:val="fr-FR"/>
        </w:rPr>
        <w:t xml:space="preserve">de la </w:t>
      </w:r>
      <w:r w:rsidRPr="00B2005A">
        <w:rPr>
          <w:rFonts w:asciiTheme="minorHAnsi" w:hAnsiTheme="minorHAnsi" w:cstheme="minorHAnsi"/>
          <w:sz w:val="22"/>
          <w:szCs w:val="22"/>
          <w:lang w:val="fr-FR"/>
        </w:rPr>
        <w:t>Résolution XIII.7</w:t>
      </w:r>
      <w:r>
        <w:rPr>
          <w:rFonts w:asciiTheme="minorHAnsi" w:hAnsiTheme="minorHAnsi" w:cstheme="minorHAnsi"/>
          <w:sz w:val="22"/>
          <w:szCs w:val="22"/>
          <w:lang w:val="fr-FR"/>
        </w:rPr>
        <w:t xml:space="preserve">, de renforcer les </w:t>
      </w:r>
      <w:r w:rsidRPr="00B2005A">
        <w:rPr>
          <w:rFonts w:asciiTheme="minorHAnsi" w:hAnsiTheme="minorHAnsi" w:cstheme="minorHAnsi"/>
          <w:sz w:val="22"/>
          <w:szCs w:val="22"/>
          <w:lang w:val="fr-FR"/>
        </w:rPr>
        <w:t xml:space="preserve">synergies, </w:t>
      </w:r>
      <w:r>
        <w:rPr>
          <w:rFonts w:asciiTheme="minorHAnsi" w:hAnsiTheme="minorHAnsi" w:cstheme="minorHAnsi"/>
          <w:sz w:val="22"/>
          <w:szCs w:val="22"/>
          <w:lang w:val="fr-FR"/>
        </w:rPr>
        <w:t xml:space="preserve">la </w:t>
      </w:r>
      <w:r w:rsidRPr="00B2005A">
        <w:rPr>
          <w:rFonts w:asciiTheme="minorHAnsi" w:hAnsiTheme="minorHAnsi" w:cstheme="minorHAnsi"/>
          <w:sz w:val="22"/>
          <w:szCs w:val="22"/>
          <w:lang w:val="fr-FR"/>
        </w:rPr>
        <w:t xml:space="preserve">cohérence </w:t>
      </w:r>
      <w:r>
        <w:rPr>
          <w:rFonts w:asciiTheme="minorHAnsi" w:hAnsiTheme="minorHAnsi" w:cstheme="minorHAnsi"/>
          <w:sz w:val="22"/>
          <w:szCs w:val="22"/>
          <w:lang w:val="fr-FR"/>
        </w:rPr>
        <w:t xml:space="preserve">et l’efficacité de la </w:t>
      </w:r>
      <w:r w:rsidRPr="00B2005A">
        <w:rPr>
          <w:rFonts w:asciiTheme="minorHAnsi" w:hAnsiTheme="minorHAnsi" w:cstheme="minorHAnsi"/>
          <w:sz w:val="22"/>
          <w:szCs w:val="22"/>
          <w:lang w:val="fr-FR"/>
        </w:rPr>
        <w:t xml:space="preserve">coopération </w:t>
      </w:r>
      <w:r>
        <w:rPr>
          <w:rFonts w:asciiTheme="minorHAnsi" w:hAnsiTheme="minorHAnsi" w:cstheme="minorHAnsi"/>
          <w:sz w:val="22"/>
          <w:szCs w:val="22"/>
          <w:lang w:val="fr-FR"/>
        </w:rPr>
        <w:t xml:space="preserve">entre les accords multilatéraux sur l’environnement (AME) relatifs à la biodiversité afin de renforcer la </w:t>
      </w:r>
      <w:r w:rsidRPr="00B2005A">
        <w:rPr>
          <w:rFonts w:asciiTheme="minorHAnsi" w:hAnsiTheme="minorHAnsi" w:cstheme="minorHAnsi"/>
          <w:sz w:val="22"/>
          <w:szCs w:val="22"/>
          <w:lang w:val="fr-FR"/>
        </w:rPr>
        <w:t xml:space="preserve">contribution </w:t>
      </w:r>
      <w:r>
        <w:rPr>
          <w:rFonts w:asciiTheme="minorHAnsi" w:hAnsiTheme="minorHAnsi" w:cstheme="minorHAnsi"/>
          <w:sz w:val="22"/>
          <w:szCs w:val="22"/>
          <w:lang w:val="fr-FR"/>
        </w:rPr>
        <w:t xml:space="preserve">de ces </w:t>
      </w:r>
      <w:r w:rsidRPr="00B2005A">
        <w:rPr>
          <w:rFonts w:asciiTheme="minorHAnsi" w:hAnsiTheme="minorHAnsi" w:cstheme="minorHAnsi"/>
          <w:sz w:val="22"/>
          <w:szCs w:val="22"/>
          <w:lang w:val="fr-FR"/>
        </w:rPr>
        <w:t>instruments</w:t>
      </w:r>
      <w:r>
        <w:rPr>
          <w:rFonts w:asciiTheme="minorHAnsi" w:hAnsiTheme="minorHAnsi" w:cstheme="minorHAnsi"/>
          <w:sz w:val="22"/>
          <w:szCs w:val="22"/>
          <w:lang w:val="fr-FR"/>
        </w:rPr>
        <w:t xml:space="preserve"> au </w:t>
      </w:r>
      <w:r w:rsidR="00F278BD">
        <w:rPr>
          <w:rFonts w:asciiTheme="minorHAnsi" w:hAnsiTheme="minorHAnsi" w:cstheme="minorHAnsi"/>
          <w:sz w:val="22"/>
          <w:szCs w:val="22"/>
          <w:lang w:val="fr-FR"/>
        </w:rPr>
        <w:t>Cadre mondial de la biodiversité pour l’après-2020</w:t>
      </w:r>
      <w:r>
        <w:rPr>
          <w:rFonts w:asciiTheme="minorHAnsi" w:hAnsiTheme="minorHAnsi" w:cstheme="minorHAnsi"/>
          <w:sz w:val="22"/>
          <w:szCs w:val="22"/>
          <w:lang w:val="fr-FR"/>
        </w:rPr>
        <w:t xml:space="preserve"> et à la réalisation du Programme de développement durable à l’horizon </w:t>
      </w:r>
      <w:r w:rsidRPr="00B2005A">
        <w:rPr>
          <w:rFonts w:asciiTheme="minorHAnsi" w:hAnsiTheme="minorHAnsi" w:cstheme="minorHAnsi"/>
          <w:sz w:val="22"/>
          <w:szCs w:val="22"/>
          <w:lang w:val="fr-FR"/>
        </w:rPr>
        <w:t>2030.</w:t>
      </w:r>
    </w:p>
    <w:p w14:paraId="143798DF" w14:textId="77777777" w:rsidR="0096533D" w:rsidRPr="00B2005A" w:rsidRDefault="0096533D" w:rsidP="00863119">
      <w:pPr>
        <w:suppressAutoHyphens/>
        <w:ind w:left="425" w:hanging="425"/>
        <w:rPr>
          <w:rFonts w:asciiTheme="minorHAnsi" w:hAnsiTheme="minorHAnsi" w:cstheme="minorHAnsi"/>
          <w:sz w:val="22"/>
          <w:szCs w:val="22"/>
          <w:lang w:val="fr-FR"/>
        </w:rPr>
      </w:pPr>
    </w:p>
    <w:p w14:paraId="33F06E04" w14:textId="0F8BC160" w:rsidR="004B6ED5" w:rsidRPr="00B2005A" w:rsidRDefault="005A0023" w:rsidP="00863119">
      <w:pPr>
        <w:suppressAutoHyphens/>
        <w:ind w:left="425" w:hanging="425"/>
        <w:rPr>
          <w:rFonts w:asciiTheme="minorHAnsi" w:hAnsiTheme="minorHAnsi" w:cstheme="minorHAnsi"/>
          <w:sz w:val="22"/>
          <w:szCs w:val="22"/>
          <w:lang w:val="fr-FR"/>
        </w:rPr>
      </w:pPr>
      <w:r w:rsidRPr="00B2005A">
        <w:rPr>
          <w:rFonts w:asciiTheme="minorHAnsi" w:hAnsiTheme="minorHAnsi" w:cstheme="minorHAnsi"/>
          <w:sz w:val="22"/>
          <w:szCs w:val="22"/>
          <w:lang w:val="fr-FR"/>
        </w:rPr>
        <w:t>3.</w:t>
      </w:r>
      <w:r w:rsidRPr="00B2005A">
        <w:rPr>
          <w:rFonts w:asciiTheme="minorHAnsi" w:hAnsiTheme="minorHAnsi" w:cstheme="minorHAnsi"/>
          <w:sz w:val="22"/>
          <w:szCs w:val="22"/>
          <w:lang w:val="fr-FR"/>
        </w:rPr>
        <w:tab/>
      </w:r>
      <w:r>
        <w:rPr>
          <w:rFonts w:asciiTheme="minorHAnsi" w:hAnsiTheme="minorHAnsi" w:cstheme="minorHAnsi"/>
          <w:sz w:val="22"/>
          <w:szCs w:val="22"/>
          <w:lang w:val="fr-FR"/>
        </w:rPr>
        <w:t xml:space="preserve">Le </w:t>
      </w:r>
      <w:r w:rsidR="00B532F8">
        <w:rPr>
          <w:rFonts w:asciiTheme="minorHAnsi" w:hAnsiTheme="minorHAnsi" w:cstheme="minorHAnsi"/>
          <w:sz w:val="22"/>
          <w:szCs w:val="22"/>
          <w:lang w:val="fr-FR"/>
        </w:rPr>
        <w:t>paragraphe</w:t>
      </w:r>
      <w:r w:rsidRPr="00B2005A">
        <w:rPr>
          <w:rFonts w:asciiTheme="minorHAnsi" w:hAnsiTheme="minorHAnsi" w:cstheme="minorHAnsi"/>
          <w:sz w:val="22"/>
          <w:szCs w:val="22"/>
          <w:lang w:val="fr-FR"/>
        </w:rPr>
        <w:t xml:space="preserve"> 33 </w:t>
      </w:r>
      <w:r>
        <w:rPr>
          <w:rFonts w:asciiTheme="minorHAnsi" w:hAnsiTheme="minorHAnsi" w:cstheme="minorHAnsi"/>
          <w:sz w:val="22"/>
          <w:szCs w:val="22"/>
          <w:lang w:val="fr-FR"/>
        </w:rPr>
        <w:t>de la même r</w:t>
      </w:r>
      <w:r w:rsidRPr="00B2005A">
        <w:rPr>
          <w:rFonts w:asciiTheme="minorHAnsi" w:hAnsiTheme="minorHAnsi" w:cstheme="minorHAnsi"/>
          <w:sz w:val="22"/>
          <w:szCs w:val="22"/>
          <w:lang w:val="fr-FR"/>
        </w:rPr>
        <w:t xml:space="preserve">ésolution </w:t>
      </w:r>
      <w:r>
        <w:rPr>
          <w:rFonts w:asciiTheme="minorHAnsi" w:hAnsiTheme="minorHAnsi" w:cstheme="minorHAnsi"/>
          <w:sz w:val="22"/>
          <w:szCs w:val="22"/>
          <w:lang w:val="fr-FR"/>
        </w:rPr>
        <w:t xml:space="preserve">demande à la Secrétaire générale d’inclure, dans les futurs rapports, des informations sur les résultats de la </w:t>
      </w:r>
      <w:r w:rsidRPr="00B2005A">
        <w:rPr>
          <w:rFonts w:asciiTheme="minorHAnsi" w:hAnsiTheme="minorHAnsi" w:cstheme="minorHAnsi"/>
          <w:sz w:val="22"/>
          <w:szCs w:val="22"/>
          <w:lang w:val="fr-FR"/>
        </w:rPr>
        <w:t xml:space="preserve">coopération </w:t>
      </w:r>
      <w:r>
        <w:rPr>
          <w:rFonts w:asciiTheme="minorHAnsi" w:hAnsiTheme="minorHAnsi" w:cstheme="minorHAnsi"/>
          <w:sz w:val="22"/>
          <w:szCs w:val="22"/>
          <w:lang w:val="fr-FR"/>
        </w:rPr>
        <w:t xml:space="preserve">en vigueur avec d’autres </w:t>
      </w:r>
      <w:r w:rsidRPr="00B2005A">
        <w:rPr>
          <w:rFonts w:asciiTheme="minorHAnsi" w:hAnsiTheme="minorHAnsi" w:cstheme="minorHAnsi"/>
          <w:sz w:val="22"/>
          <w:szCs w:val="22"/>
          <w:lang w:val="fr-FR"/>
        </w:rPr>
        <w:t xml:space="preserve">Conventions, organisations </w:t>
      </w:r>
      <w:r>
        <w:rPr>
          <w:rFonts w:asciiTheme="minorHAnsi" w:hAnsiTheme="minorHAnsi" w:cstheme="minorHAnsi"/>
          <w:sz w:val="22"/>
          <w:szCs w:val="22"/>
          <w:lang w:val="fr-FR"/>
        </w:rPr>
        <w:t>internationales et partenariats, et sur l’exploration de nouvelles activités avec d’éventuels partenaires</w:t>
      </w:r>
      <w:r w:rsidRPr="00B2005A">
        <w:rPr>
          <w:rFonts w:asciiTheme="minorHAnsi" w:hAnsiTheme="minorHAnsi" w:cstheme="minorHAnsi"/>
          <w:sz w:val="22"/>
          <w:szCs w:val="22"/>
          <w:lang w:val="fr-FR"/>
        </w:rPr>
        <w:t>.</w:t>
      </w:r>
    </w:p>
    <w:p w14:paraId="29B9627A" w14:textId="77777777" w:rsidR="004B6ED5" w:rsidRPr="00B2005A" w:rsidRDefault="004B6ED5" w:rsidP="00863119">
      <w:pPr>
        <w:suppressAutoHyphens/>
        <w:ind w:left="425" w:hanging="425"/>
        <w:rPr>
          <w:rFonts w:asciiTheme="minorHAnsi" w:hAnsiTheme="minorHAnsi" w:cstheme="minorHAnsi"/>
          <w:sz w:val="22"/>
          <w:szCs w:val="22"/>
          <w:lang w:val="fr-FR"/>
        </w:rPr>
      </w:pPr>
    </w:p>
    <w:p w14:paraId="48039FB0" w14:textId="4682EC22" w:rsidR="004B6ED5" w:rsidRPr="00863119" w:rsidRDefault="00863119" w:rsidP="00863119">
      <w:pPr>
        <w:suppressAutoHyphens/>
        <w:ind w:left="425" w:hanging="425"/>
        <w:rPr>
          <w:rFonts w:asciiTheme="minorHAnsi" w:hAnsiTheme="minorHAnsi" w:cstheme="minorHAnsi"/>
          <w:sz w:val="22"/>
          <w:szCs w:val="22"/>
        </w:rPr>
      </w:pPr>
      <w:r w:rsidRPr="005A0023">
        <w:rPr>
          <w:rFonts w:asciiTheme="minorHAnsi" w:hAnsiTheme="minorHAnsi" w:cstheme="minorHAnsi"/>
          <w:sz w:val="22"/>
          <w:szCs w:val="22"/>
          <w:lang w:val="fr-FR"/>
        </w:rPr>
        <w:t>4.</w:t>
      </w:r>
      <w:r w:rsidRPr="005A0023">
        <w:rPr>
          <w:rFonts w:asciiTheme="minorHAnsi" w:hAnsiTheme="minorHAnsi" w:cstheme="minorHAnsi"/>
          <w:sz w:val="22"/>
          <w:szCs w:val="22"/>
          <w:lang w:val="fr-FR"/>
        </w:rPr>
        <w:tab/>
      </w:r>
      <w:r w:rsidR="005A0023" w:rsidRPr="005A0023">
        <w:rPr>
          <w:rFonts w:asciiTheme="minorHAnsi" w:hAnsiTheme="minorHAnsi" w:cstheme="minorHAnsi"/>
          <w:sz w:val="22"/>
          <w:szCs w:val="22"/>
          <w:lang w:val="fr-FR"/>
        </w:rPr>
        <w:t xml:space="preserve">Au </w:t>
      </w:r>
      <w:r w:rsidR="00CE2C96" w:rsidRPr="005A0023">
        <w:rPr>
          <w:rFonts w:asciiTheme="minorHAnsi" w:hAnsiTheme="minorHAnsi" w:cstheme="minorHAnsi"/>
          <w:sz w:val="22"/>
          <w:szCs w:val="22"/>
          <w:lang w:val="fr-FR"/>
        </w:rPr>
        <w:t>paragraph</w:t>
      </w:r>
      <w:r w:rsidR="005A0023" w:rsidRPr="005A0023">
        <w:rPr>
          <w:rFonts w:asciiTheme="minorHAnsi" w:hAnsiTheme="minorHAnsi" w:cstheme="minorHAnsi"/>
          <w:sz w:val="22"/>
          <w:szCs w:val="22"/>
          <w:lang w:val="fr-FR"/>
        </w:rPr>
        <w:t>e</w:t>
      </w:r>
      <w:r w:rsidR="00CE2C96" w:rsidRPr="005A0023">
        <w:rPr>
          <w:rFonts w:asciiTheme="minorHAnsi" w:hAnsiTheme="minorHAnsi" w:cstheme="minorHAnsi"/>
          <w:sz w:val="22"/>
          <w:szCs w:val="22"/>
          <w:lang w:val="fr-FR"/>
        </w:rPr>
        <w:t xml:space="preserve"> </w:t>
      </w:r>
      <w:r w:rsidR="004B6ED5" w:rsidRPr="005A0023">
        <w:rPr>
          <w:rFonts w:asciiTheme="minorHAnsi" w:hAnsiTheme="minorHAnsi" w:cstheme="minorHAnsi"/>
          <w:sz w:val="22"/>
          <w:szCs w:val="22"/>
          <w:lang w:val="fr-FR"/>
        </w:rPr>
        <w:t>34</w:t>
      </w:r>
      <w:r w:rsidR="00425CB2"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de cette résolution, il est demandé au Secrétariat de contribuer au processus de </w:t>
      </w:r>
      <w:r w:rsidR="004B6ED5" w:rsidRPr="005A0023">
        <w:rPr>
          <w:rFonts w:asciiTheme="minorHAnsi" w:hAnsiTheme="minorHAnsi" w:cstheme="minorHAnsi"/>
          <w:sz w:val="22"/>
          <w:szCs w:val="22"/>
          <w:lang w:val="fr-FR"/>
        </w:rPr>
        <w:t>synerg</w:t>
      </w:r>
      <w:r w:rsidR="005A0023" w:rsidRPr="005A0023">
        <w:rPr>
          <w:rFonts w:asciiTheme="minorHAnsi" w:hAnsiTheme="minorHAnsi" w:cstheme="minorHAnsi"/>
          <w:sz w:val="22"/>
          <w:szCs w:val="22"/>
          <w:lang w:val="fr-FR"/>
        </w:rPr>
        <w:t>ie</w:t>
      </w:r>
      <w:r w:rsidR="00192363" w:rsidRPr="005A0023">
        <w:rPr>
          <w:rFonts w:asciiTheme="minorHAnsi" w:hAnsiTheme="minorHAnsi" w:cstheme="minorHAnsi"/>
          <w:sz w:val="22"/>
          <w:szCs w:val="22"/>
          <w:lang w:val="fr-FR"/>
        </w:rPr>
        <w:t>,</w:t>
      </w:r>
      <w:r w:rsidR="004B6ED5"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selon les besoins, et en particulier sur des questions intéressant la </w:t>
      </w:r>
      <w:r w:rsidR="004B6ED5" w:rsidRPr="005A0023">
        <w:rPr>
          <w:rFonts w:asciiTheme="minorHAnsi" w:hAnsiTheme="minorHAnsi" w:cstheme="minorHAnsi"/>
          <w:sz w:val="22"/>
          <w:szCs w:val="22"/>
          <w:lang w:val="fr-FR"/>
        </w:rPr>
        <w:t>Convention</w:t>
      </w:r>
      <w:r w:rsidR="005A0023" w:rsidRPr="005A0023">
        <w:rPr>
          <w:rFonts w:asciiTheme="minorHAnsi" w:hAnsiTheme="minorHAnsi" w:cstheme="minorHAnsi"/>
          <w:sz w:val="22"/>
          <w:szCs w:val="22"/>
          <w:lang w:val="fr-FR"/>
        </w:rPr>
        <w:t xml:space="preserve"> de Ramsar</w:t>
      </w:r>
      <w:r w:rsidR="00192363" w:rsidRPr="005A0023">
        <w:rPr>
          <w:rFonts w:asciiTheme="minorHAnsi" w:hAnsiTheme="minorHAnsi" w:cstheme="minorHAnsi"/>
          <w:sz w:val="22"/>
          <w:szCs w:val="22"/>
          <w:lang w:val="fr-FR"/>
        </w:rPr>
        <w:t>,</w:t>
      </w:r>
      <w:r w:rsidR="004B6ED5" w:rsidRPr="005A002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et de faire rapport au Comité permanent</w:t>
      </w:r>
      <w:r>
        <w:rPr>
          <w:rFonts w:asciiTheme="minorHAnsi" w:hAnsiTheme="minorHAnsi" w:cstheme="minorHAnsi"/>
          <w:sz w:val="22"/>
          <w:szCs w:val="22"/>
        </w:rPr>
        <w:t>.</w:t>
      </w:r>
    </w:p>
    <w:p w14:paraId="4E11F3B6" w14:textId="77777777" w:rsidR="004B6ED5" w:rsidRPr="00863119" w:rsidRDefault="004B6ED5" w:rsidP="00863119">
      <w:pPr>
        <w:suppressAutoHyphens/>
        <w:ind w:left="425" w:hanging="425"/>
        <w:rPr>
          <w:rFonts w:asciiTheme="minorHAnsi" w:hAnsiTheme="minorHAnsi" w:cstheme="minorHAnsi"/>
          <w:sz w:val="22"/>
          <w:szCs w:val="22"/>
        </w:rPr>
      </w:pPr>
    </w:p>
    <w:p w14:paraId="69D4BC35" w14:textId="7AB5A7BC" w:rsidR="00A7600C" w:rsidRPr="00EB0043" w:rsidRDefault="00863119" w:rsidP="00EB0043">
      <w:pPr>
        <w:ind w:left="425" w:hanging="425"/>
        <w:rPr>
          <w:sz w:val="22"/>
          <w:szCs w:val="22"/>
          <w:lang w:val="en-US" w:eastAsia="en-US"/>
        </w:rPr>
      </w:pPr>
      <w:r w:rsidRPr="00863119">
        <w:rPr>
          <w:rFonts w:asciiTheme="minorHAnsi" w:hAnsiTheme="minorHAnsi" w:cstheme="minorHAnsi"/>
          <w:sz w:val="22"/>
          <w:szCs w:val="22"/>
        </w:rPr>
        <w:t>5.</w:t>
      </w:r>
      <w:r w:rsidRPr="00863119">
        <w:rPr>
          <w:rFonts w:asciiTheme="minorHAnsi" w:hAnsiTheme="minorHAnsi" w:cstheme="minorHAnsi"/>
          <w:sz w:val="22"/>
          <w:szCs w:val="22"/>
        </w:rPr>
        <w:tab/>
      </w:r>
      <w:r w:rsidR="00A7600C">
        <w:rPr>
          <w:rFonts w:asciiTheme="minorHAnsi" w:hAnsiTheme="minorHAnsi" w:cstheme="minorHAnsi"/>
          <w:sz w:val="22"/>
          <w:szCs w:val="22"/>
        </w:rPr>
        <w:t xml:space="preserve">Le </w:t>
      </w:r>
      <w:r w:rsidR="00A7600C" w:rsidRPr="005A0023">
        <w:rPr>
          <w:rFonts w:asciiTheme="minorHAnsi" w:hAnsiTheme="minorHAnsi" w:cstheme="minorHAnsi"/>
          <w:sz w:val="22"/>
          <w:szCs w:val="22"/>
          <w:lang w:val="fr-FR"/>
        </w:rPr>
        <w:t>paragrap</w:t>
      </w:r>
      <w:r w:rsidR="00A7600C">
        <w:rPr>
          <w:rFonts w:asciiTheme="minorHAnsi" w:hAnsiTheme="minorHAnsi" w:cstheme="minorHAnsi"/>
          <w:sz w:val="22"/>
          <w:szCs w:val="22"/>
          <w:lang w:val="fr-FR"/>
        </w:rPr>
        <w:t>he</w:t>
      </w:r>
      <w:r w:rsidR="00A150B3" w:rsidRPr="005A0023">
        <w:rPr>
          <w:rFonts w:asciiTheme="minorHAnsi" w:hAnsiTheme="minorHAnsi" w:cstheme="minorHAnsi"/>
          <w:sz w:val="22"/>
          <w:szCs w:val="22"/>
          <w:lang w:val="fr-FR"/>
        </w:rPr>
        <w:t xml:space="preserve"> 35</w:t>
      </w:r>
      <w:r w:rsidR="00425CB2" w:rsidRPr="005A0023">
        <w:rPr>
          <w:rFonts w:asciiTheme="minorHAnsi" w:hAnsiTheme="minorHAnsi" w:cstheme="minorHAnsi"/>
          <w:sz w:val="22"/>
          <w:szCs w:val="22"/>
          <w:lang w:val="fr-FR"/>
        </w:rPr>
        <w:t xml:space="preserve"> </w:t>
      </w:r>
      <w:r w:rsidR="005A0023">
        <w:rPr>
          <w:rFonts w:asciiTheme="minorHAnsi" w:hAnsiTheme="minorHAnsi" w:cstheme="minorHAnsi"/>
          <w:sz w:val="22"/>
          <w:szCs w:val="22"/>
          <w:lang w:val="fr-FR"/>
        </w:rPr>
        <w:t xml:space="preserve">de la </w:t>
      </w:r>
      <w:r w:rsidR="00A7600C">
        <w:rPr>
          <w:rFonts w:asciiTheme="minorHAnsi" w:hAnsiTheme="minorHAnsi" w:cstheme="minorHAnsi"/>
          <w:sz w:val="22"/>
          <w:szCs w:val="22"/>
          <w:lang w:val="fr-FR"/>
        </w:rPr>
        <w:t>r</w:t>
      </w:r>
      <w:r w:rsidR="00A7600C" w:rsidRPr="005A0023">
        <w:rPr>
          <w:rFonts w:asciiTheme="minorHAnsi" w:hAnsiTheme="minorHAnsi" w:cstheme="minorHAnsi"/>
          <w:sz w:val="22"/>
          <w:szCs w:val="22"/>
          <w:lang w:val="fr-FR"/>
        </w:rPr>
        <w:t>ésolution</w:t>
      </w:r>
      <w:r w:rsidR="00A150B3" w:rsidRPr="005A0023">
        <w:rPr>
          <w:rFonts w:asciiTheme="minorHAnsi" w:hAnsiTheme="minorHAnsi" w:cstheme="minorHAnsi"/>
          <w:sz w:val="22"/>
          <w:szCs w:val="22"/>
          <w:lang w:val="fr-FR"/>
        </w:rPr>
        <w:t xml:space="preserve"> </w:t>
      </w:r>
      <w:r w:rsidR="005A0023">
        <w:rPr>
          <w:rFonts w:asciiTheme="minorHAnsi" w:hAnsiTheme="minorHAnsi" w:cstheme="minorHAnsi"/>
          <w:sz w:val="22"/>
          <w:szCs w:val="22"/>
          <w:lang w:val="fr-FR"/>
        </w:rPr>
        <w:t xml:space="preserve">donne instruction au </w:t>
      </w:r>
      <w:r w:rsidR="00A7600C">
        <w:rPr>
          <w:rFonts w:asciiTheme="minorHAnsi" w:hAnsiTheme="minorHAnsi" w:cstheme="minorHAnsi"/>
          <w:sz w:val="22"/>
          <w:szCs w:val="22"/>
          <w:lang w:val="fr-FR"/>
        </w:rPr>
        <w:t xml:space="preserve">Secrétariat </w:t>
      </w:r>
      <w:r w:rsidR="005A0023" w:rsidRPr="005A0023">
        <w:rPr>
          <w:rFonts w:asciiTheme="minorHAnsi" w:hAnsiTheme="minorHAnsi" w:cstheme="minorHAnsi"/>
          <w:sz w:val="22"/>
          <w:szCs w:val="22"/>
          <w:lang w:val="fr-FR"/>
        </w:rPr>
        <w:t>de continuer de travailler pour renforcer la collaboration</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avec les organismes des Nations Unies, en particulier le P</w:t>
      </w:r>
      <w:r w:rsidR="00EB0043">
        <w:rPr>
          <w:rFonts w:asciiTheme="minorHAnsi" w:hAnsiTheme="minorHAnsi" w:cstheme="minorHAnsi"/>
          <w:sz w:val="22"/>
          <w:szCs w:val="22"/>
          <w:lang w:val="fr-FR"/>
        </w:rPr>
        <w:t>rogramme des Nations Unies pour l’environnement (P</w:t>
      </w:r>
      <w:r w:rsidR="005A0023" w:rsidRPr="005A0023">
        <w:rPr>
          <w:rFonts w:asciiTheme="minorHAnsi" w:hAnsiTheme="minorHAnsi" w:cstheme="minorHAnsi"/>
          <w:sz w:val="22"/>
          <w:szCs w:val="22"/>
          <w:lang w:val="fr-FR"/>
        </w:rPr>
        <w:t>NUE</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xml:space="preserve">, le </w:t>
      </w:r>
      <w:r w:rsidR="00EB0043">
        <w:rPr>
          <w:rFonts w:asciiTheme="minorHAnsi" w:hAnsiTheme="minorHAnsi" w:cstheme="minorHAnsi"/>
          <w:sz w:val="22"/>
          <w:szCs w:val="22"/>
          <w:lang w:val="fr-FR"/>
        </w:rPr>
        <w:t>Programme des Nations Unies pour le développement (</w:t>
      </w:r>
      <w:r w:rsidR="005A0023" w:rsidRPr="005A0023">
        <w:rPr>
          <w:rFonts w:asciiTheme="minorHAnsi" w:hAnsiTheme="minorHAnsi" w:cstheme="minorHAnsi"/>
          <w:sz w:val="22"/>
          <w:szCs w:val="22"/>
          <w:lang w:val="fr-FR"/>
        </w:rPr>
        <w:t>PNUD</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w:t>
      </w:r>
      <w:r w:rsidR="00EB0043">
        <w:rPr>
          <w:rFonts w:asciiTheme="minorHAnsi" w:hAnsiTheme="minorHAnsi" w:cstheme="minorHAnsi"/>
          <w:sz w:val="22"/>
          <w:szCs w:val="22"/>
          <w:lang w:val="fr-FR"/>
        </w:rPr>
        <w:t>’Organisation des Nations Unies pour l’alimentation et l’agriculture (</w:t>
      </w:r>
      <w:r w:rsidR="005A0023" w:rsidRPr="005A0023">
        <w:rPr>
          <w:rFonts w:asciiTheme="minorHAnsi" w:hAnsiTheme="minorHAnsi" w:cstheme="minorHAnsi"/>
          <w:sz w:val="22"/>
          <w:szCs w:val="22"/>
          <w:lang w:val="fr-FR"/>
        </w:rPr>
        <w:t>FAO</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la Banque</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mondiale, l’</w:t>
      </w:r>
      <w:r w:rsidR="00EB0043">
        <w:rPr>
          <w:rFonts w:asciiTheme="minorHAnsi" w:hAnsiTheme="minorHAnsi" w:cstheme="minorHAnsi"/>
          <w:sz w:val="22"/>
          <w:szCs w:val="22"/>
          <w:lang w:val="fr-FR"/>
        </w:rPr>
        <w:t>Organisation mondiale de la santé (</w:t>
      </w:r>
      <w:r w:rsidR="005A0023" w:rsidRPr="005A0023">
        <w:rPr>
          <w:rFonts w:asciiTheme="minorHAnsi" w:hAnsiTheme="minorHAnsi" w:cstheme="minorHAnsi"/>
          <w:sz w:val="22"/>
          <w:szCs w:val="22"/>
          <w:lang w:val="fr-FR"/>
        </w:rPr>
        <w:t>OMS</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w:t>
      </w:r>
      <w:r w:rsidR="00EB0043">
        <w:rPr>
          <w:rFonts w:asciiTheme="minorHAnsi" w:hAnsiTheme="minorHAnsi" w:cstheme="minorHAnsi"/>
          <w:sz w:val="22"/>
          <w:szCs w:val="22"/>
          <w:lang w:val="fr-FR"/>
        </w:rPr>
        <w:t>Organisation météorologique mondiale (</w:t>
      </w:r>
      <w:r w:rsidR="005A0023" w:rsidRPr="005A0023">
        <w:rPr>
          <w:rFonts w:asciiTheme="minorHAnsi" w:hAnsiTheme="minorHAnsi" w:cstheme="minorHAnsi"/>
          <w:sz w:val="22"/>
          <w:szCs w:val="22"/>
          <w:lang w:val="fr-FR"/>
        </w:rPr>
        <w:t>OMM</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l’Organisation des Nations Unies pour l’éducation, la science et la</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culture (UNESCO), la </w:t>
      </w:r>
      <w:r w:rsidR="00EB0043">
        <w:rPr>
          <w:rFonts w:asciiTheme="minorHAnsi" w:hAnsiTheme="minorHAnsi" w:cstheme="minorHAnsi"/>
          <w:sz w:val="22"/>
          <w:szCs w:val="22"/>
          <w:lang w:val="fr-FR"/>
        </w:rPr>
        <w:t>Commission économique pour l’Europe (</w:t>
      </w:r>
      <w:r w:rsidR="005A0023" w:rsidRPr="005A0023">
        <w:rPr>
          <w:rFonts w:asciiTheme="minorHAnsi" w:hAnsiTheme="minorHAnsi" w:cstheme="minorHAnsi"/>
          <w:sz w:val="22"/>
          <w:szCs w:val="22"/>
          <w:lang w:val="fr-FR"/>
        </w:rPr>
        <w:t>CEE-ONU</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xml:space="preserve"> et autres commissions économiques régionales des</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Nations Unies, le F</w:t>
      </w:r>
      <w:r w:rsidR="00EB0043">
        <w:rPr>
          <w:rFonts w:asciiTheme="minorHAnsi" w:hAnsiTheme="minorHAnsi" w:cstheme="minorHAnsi"/>
          <w:sz w:val="22"/>
          <w:szCs w:val="22"/>
          <w:lang w:val="fr-FR"/>
        </w:rPr>
        <w:t xml:space="preserve">onds pour </w:t>
      </w:r>
      <w:r w:rsidR="00EB0043">
        <w:rPr>
          <w:rFonts w:asciiTheme="minorHAnsi" w:hAnsiTheme="minorHAnsi" w:cstheme="minorHAnsi"/>
          <w:sz w:val="22"/>
          <w:szCs w:val="22"/>
          <w:lang w:val="fr-FR"/>
        </w:rPr>
        <w:lastRenderedPageBreak/>
        <w:t>l’environnement mondial (F</w:t>
      </w:r>
      <w:r w:rsidR="005A0023" w:rsidRPr="005A0023">
        <w:rPr>
          <w:rFonts w:asciiTheme="minorHAnsi" w:hAnsiTheme="minorHAnsi" w:cstheme="minorHAnsi"/>
          <w:sz w:val="22"/>
          <w:szCs w:val="22"/>
          <w:lang w:val="fr-FR"/>
        </w:rPr>
        <w:t>EM</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les AME tels que la Convention-cadre des Nations Unies sur les</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changements climatiques</w:t>
      </w:r>
      <w:r w:rsidR="00EB0043">
        <w:rPr>
          <w:rFonts w:asciiTheme="minorHAnsi" w:hAnsiTheme="minorHAnsi" w:cstheme="minorHAnsi"/>
          <w:sz w:val="22"/>
          <w:szCs w:val="22"/>
          <w:lang w:val="fr-FR"/>
        </w:rPr>
        <w:t xml:space="preserve"> (CCNUCC)</w:t>
      </w:r>
      <w:r w:rsidR="005A0023" w:rsidRPr="005A0023">
        <w:rPr>
          <w:rFonts w:asciiTheme="minorHAnsi" w:hAnsiTheme="minorHAnsi" w:cstheme="minorHAnsi"/>
          <w:sz w:val="22"/>
          <w:szCs w:val="22"/>
          <w:lang w:val="fr-FR"/>
        </w:rPr>
        <w:t>, la Convention des Nations Unies sur la lutte contre la désertification</w:t>
      </w:r>
      <w:r w:rsidR="00EB0043">
        <w:rPr>
          <w:rFonts w:asciiTheme="minorHAnsi" w:hAnsiTheme="minorHAnsi" w:cstheme="minorHAnsi"/>
          <w:sz w:val="22"/>
          <w:szCs w:val="22"/>
          <w:lang w:val="fr-FR"/>
        </w:rPr>
        <w:t xml:space="preserve"> (</w:t>
      </w:r>
      <w:r w:rsidR="00EB0043" w:rsidRPr="00EB0043">
        <w:rPr>
          <w:rFonts w:ascii="Arial" w:hAnsi="Arial" w:cs="Arial"/>
          <w:color w:val="222222"/>
          <w:shd w:val="clear" w:color="auto" w:fill="FFFFFF"/>
          <w:lang w:val="en-US" w:eastAsia="en-US"/>
        </w:rPr>
        <w:t>CNULCD</w:t>
      </w:r>
      <w:r w:rsidR="00EB0043" w:rsidRPr="00687418">
        <w:rPr>
          <w:rFonts w:asciiTheme="minorHAnsi" w:hAnsiTheme="minorHAnsi" w:cs="Arial"/>
          <w:color w:val="222222"/>
          <w:shd w:val="clear" w:color="auto" w:fill="FFFFFF"/>
          <w:lang w:val="en-US" w:eastAsia="en-US"/>
        </w:rPr>
        <w:t xml:space="preserve">), </w:t>
      </w:r>
      <w:r w:rsidR="00EB0043" w:rsidRPr="00687418">
        <w:rPr>
          <w:rFonts w:asciiTheme="minorHAnsi" w:hAnsiTheme="minorHAnsi" w:cs="Arial"/>
          <w:color w:val="222222"/>
          <w:sz w:val="22"/>
          <w:szCs w:val="22"/>
          <w:shd w:val="clear" w:color="auto" w:fill="FFFFFF"/>
          <w:lang w:val="en-US" w:eastAsia="en-US"/>
        </w:rPr>
        <w:t xml:space="preserve">la Convention sur la </w:t>
      </w:r>
      <w:r w:rsidR="00EB0043" w:rsidRPr="00687418">
        <w:rPr>
          <w:rFonts w:asciiTheme="minorHAnsi" w:hAnsiTheme="minorHAnsi" w:cs="Arial"/>
          <w:color w:val="222222"/>
          <w:sz w:val="22"/>
          <w:szCs w:val="22"/>
          <w:shd w:val="clear" w:color="auto" w:fill="FFFFFF"/>
          <w:lang w:val="fr-FR" w:eastAsia="en-US"/>
        </w:rPr>
        <w:t>diversité biologique</w:t>
      </w:r>
      <w:r w:rsidR="00EB0043">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CDB</w:t>
      </w:r>
      <w:r w:rsidR="00EB0043">
        <w:rPr>
          <w:rFonts w:asciiTheme="minorHAnsi" w:hAnsiTheme="minorHAnsi" w:cstheme="minorHAnsi"/>
          <w:sz w:val="22"/>
          <w:szCs w:val="22"/>
          <w:lang w:val="fr-FR"/>
        </w:rPr>
        <w:t>)</w:t>
      </w:r>
      <w:r w:rsidR="005A0023" w:rsidRPr="005A0023">
        <w:rPr>
          <w:rFonts w:asciiTheme="minorHAnsi" w:hAnsiTheme="minorHAnsi" w:cstheme="minorHAnsi"/>
          <w:sz w:val="22"/>
          <w:szCs w:val="22"/>
          <w:lang w:val="fr-FR"/>
        </w:rPr>
        <w:t>, la Convention sur la conservation des espèces migratrices appartenant à la faune</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 xml:space="preserve">sauvage (CMS), entre autres, et de rendre régulièrement compte des progrès </w:t>
      </w:r>
      <w:r w:rsidR="00E64BB7">
        <w:rPr>
          <w:rFonts w:asciiTheme="minorHAnsi" w:hAnsiTheme="minorHAnsi" w:cstheme="minorHAnsi"/>
          <w:sz w:val="22"/>
          <w:szCs w:val="22"/>
          <w:lang w:val="fr-FR"/>
        </w:rPr>
        <w:t xml:space="preserve">accomplis </w:t>
      </w:r>
      <w:r w:rsidR="005A0023" w:rsidRPr="005A0023">
        <w:rPr>
          <w:rFonts w:asciiTheme="minorHAnsi" w:hAnsiTheme="minorHAnsi" w:cstheme="minorHAnsi"/>
          <w:sz w:val="22"/>
          <w:szCs w:val="22"/>
          <w:lang w:val="fr-FR"/>
        </w:rPr>
        <w:t>au Comité</w:t>
      </w:r>
      <w:r w:rsidR="00A7600C">
        <w:rPr>
          <w:rFonts w:asciiTheme="minorHAnsi" w:hAnsiTheme="minorHAnsi" w:cstheme="minorHAnsi"/>
          <w:sz w:val="22"/>
          <w:szCs w:val="22"/>
          <w:lang w:val="fr-FR"/>
        </w:rPr>
        <w:t xml:space="preserve"> </w:t>
      </w:r>
      <w:r w:rsidR="005A0023" w:rsidRPr="005A0023">
        <w:rPr>
          <w:rFonts w:asciiTheme="minorHAnsi" w:hAnsiTheme="minorHAnsi" w:cstheme="minorHAnsi"/>
          <w:sz w:val="22"/>
          <w:szCs w:val="22"/>
          <w:lang w:val="fr-FR"/>
        </w:rPr>
        <w:t>permanent.</w:t>
      </w:r>
    </w:p>
    <w:p w14:paraId="32806B3D" w14:textId="77777777" w:rsidR="00A7600C" w:rsidRDefault="00A7600C" w:rsidP="00863119">
      <w:pPr>
        <w:suppressAutoHyphens/>
        <w:ind w:left="425" w:hanging="425"/>
        <w:rPr>
          <w:rFonts w:asciiTheme="minorHAnsi" w:hAnsiTheme="minorHAnsi" w:cstheme="minorHAnsi"/>
          <w:sz w:val="22"/>
          <w:szCs w:val="22"/>
          <w:lang w:val="fr-FR"/>
        </w:rPr>
      </w:pPr>
    </w:p>
    <w:p w14:paraId="216E6FA3" w14:textId="208601F7" w:rsidR="009176D9" w:rsidRDefault="00863119" w:rsidP="009176D9">
      <w:pPr>
        <w:suppressAutoHyphens/>
        <w:ind w:left="425" w:hanging="425"/>
        <w:rPr>
          <w:rFonts w:asciiTheme="minorHAnsi" w:hAnsiTheme="minorHAnsi" w:cstheme="minorHAnsi"/>
          <w:sz w:val="22"/>
          <w:szCs w:val="22"/>
          <w:lang w:val="fr-FR"/>
        </w:rPr>
      </w:pPr>
      <w:r w:rsidRPr="00B532F8">
        <w:rPr>
          <w:rFonts w:asciiTheme="minorHAnsi" w:hAnsiTheme="minorHAnsi" w:cstheme="minorHAnsi"/>
          <w:sz w:val="22"/>
          <w:szCs w:val="22"/>
          <w:lang w:val="fr-FR"/>
        </w:rPr>
        <w:t>6.</w:t>
      </w:r>
      <w:r w:rsidRPr="00B532F8">
        <w:rPr>
          <w:rFonts w:asciiTheme="minorHAnsi" w:hAnsiTheme="minorHAnsi" w:cstheme="minorHAnsi"/>
          <w:sz w:val="22"/>
          <w:szCs w:val="22"/>
          <w:lang w:val="fr-FR"/>
        </w:rPr>
        <w:tab/>
      </w:r>
      <w:r w:rsidR="00091CB9" w:rsidRPr="00020FEE">
        <w:rPr>
          <w:rFonts w:asciiTheme="minorHAnsi" w:hAnsiTheme="minorHAnsi" w:cstheme="minorHAnsi"/>
          <w:sz w:val="22"/>
          <w:szCs w:val="22"/>
          <w:lang w:val="fr-FR"/>
        </w:rPr>
        <w:t xml:space="preserve">Dans les </w:t>
      </w:r>
      <w:r w:rsidR="005C580F" w:rsidRPr="00020FEE">
        <w:rPr>
          <w:rFonts w:asciiTheme="minorHAnsi" w:hAnsiTheme="minorHAnsi" w:cstheme="minorHAnsi"/>
          <w:sz w:val="22"/>
          <w:szCs w:val="22"/>
          <w:lang w:val="fr-FR"/>
        </w:rPr>
        <w:t>paragraph</w:t>
      </w:r>
      <w:r w:rsidR="00091CB9" w:rsidRPr="00020FEE">
        <w:rPr>
          <w:rFonts w:asciiTheme="minorHAnsi" w:hAnsiTheme="minorHAnsi" w:cstheme="minorHAnsi"/>
          <w:sz w:val="22"/>
          <w:szCs w:val="22"/>
          <w:lang w:val="fr-FR"/>
        </w:rPr>
        <w:t>e</w:t>
      </w:r>
      <w:r w:rsidR="005C580F" w:rsidRPr="00020FEE">
        <w:rPr>
          <w:rFonts w:asciiTheme="minorHAnsi" w:hAnsiTheme="minorHAnsi" w:cstheme="minorHAnsi"/>
          <w:sz w:val="22"/>
          <w:szCs w:val="22"/>
          <w:lang w:val="fr-FR"/>
        </w:rPr>
        <w:t xml:space="preserve">s </w:t>
      </w:r>
      <w:r w:rsidR="004B6ED5" w:rsidRPr="00020FEE">
        <w:rPr>
          <w:rFonts w:asciiTheme="minorHAnsi" w:hAnsiTheme="minorHAnsi" w:cstheme="minorHAnsi"/>
          <w:sz w:val="22"/>
          <w:szCs w:val="22"/>
          <w:lang w:val="fr-FR"/>
        </w:rPr>
        <w:t>39</w:t>
      </w:r>
      <w:r w:rsidR="005C580F" w:rsidRPr="00020FEE">
        <w:rPr>
          <w:rFonts w:asciiTheme="minorHAnsi" w:hAnsiTheme="minorHAnsi" w:cstheme="minorHAnsi"/>
          <w:sz w:val="22"/>
          <w:szCs w:val="22"/>
          <w:lang w:val="fr-FR"/>
        </w:rPr>
        <w:t xml:space="preserve"> </w:t>
      </w:r>
      <w:r w:rsidR="00091CB9" w:rsidRPr="00020FEE">
        <w:rPr>
          <w:rFonts w:asciiTheme="minorHAnsi" w:hAnsiTheme="minorHAnsi" w:cstheme="minorHAnsi"/>
          <w:sz w:val="22"/>
          <w:szCs w:val="22"/>
          <w:lang w:val="fr-FR"/>
        </w:rPr>
        <w:t xml:space="preserve">et </w:t>
      </w:r>
      <w:r w:rsidR="005C580F" w:rsidRPr="00020FEE">
        <w:rPr>
          <w:rFonts w:asciiTheme="minorHAnsi" w:hAnsiTheme="minorHAnsi" w:cstheme="minorHAnsi"/>
          <w:sz w:val="22"/>
          <w:szCs w:val="22"/>
          <w:lang w:val="fr-FR"/>
        </w:rPr>
        <w:t>40</w:t>
      </w:r>
      <w:r w:rsidR="00425CB2" w:rsidRPr="00020FEE">
        <w:rPr>
          <w:rFonts w:asciiTheme="minorHAnsi" w:hAnsiTheme="minorHAnsi" w:cstheme="minorHAnsi"/>
          <w:sz w:val="22"/>
          <w:szCs w:val="22"/>
          <w:lang w:val="fr-FR"/>
        </w:rPr>
        <w:t xml:space="preserve"> </w:t>
      </w:r>
      <w:r w:rsidR="00091CB9" w:rsidRPr="00020FEE">
        <w:rPr>
          <w:rFonts w:asciiTheme="minorHAnsi" w:hAnsiTheme="minorHAnsi" w:cstheme="minorHAnsi"/>
          <w:sz w:val="22"/>
          <w:szCs w:val="22"/>
          <w:lang w:val="fr-FR"/>
        </w:rPr>
        <w:t xml:space="preserve">de la </w:t>
      </w:r>
      <w:r w:rsidR="00B532F8" w:rsidRPr="00020FEE">
        <w:rPr>
          <w:rFonts w:asciiTheme="minorHAnsi" w:hAnsiTheme="minorHAnsi" w:cstheme="minorHAnsi"/>
          <w:sz w:val="22"/>
          <w:szCs w:val="22"/>
          <w:lang w:val="fr-FR"/>
        </w:rPr>
        <w:t>résolution</w:t>
      </w:r>
      <w:r w:rsidR="00091CB9" w:rsidRPr="00020FEE">
        <w:rPr>
          <w:rFonts w:asciiTheme="minorHAnsi" w:hAnsiTheme="minorHAnsi" w:cstheme="minorHAnsi"/>
          <w:sz w:val="22"/>
          <w:szCs w:val="22"/>
          <w:lang w:val="fr-FR"/>
        </w:rPr>
        <w:t xml:space="preserve">, il est donné instruction au Secrétariat de continuer de collaborer activement avec le Groupe interinstitutions et d’experts sur les indicateurs des Objectifs de développement durable (IAEG-ODD), ainsi qu’avec </w:t>
      </w:r>
      <w:r w:rsidR="00C23CAC" w:rsidRPr="00020FEE">
        <w:rPr>
          <w:rFonts w:asciiTheme="minorHAnsi" w:hAnsiTheme="minorHAnsi" w:cstheme="minorHAnsi"/>
          <w:sz w:val="22"/>
          <w:szCs w:val="22"/>
          <w:lang w:val="fr-FR"/>
        </w:rPr>
        <w:t>les Parties contractantes</w:t>
      </w:r>
      <w:r w:rsidR="00091CB9" w:rsidRPr="00020FEE">
        <w:rPr>
          <w:rFonts w:asciiTheme="minorHAnsi" w:hAnsiTheme="minorHAnsi" w:cstheme="minorHAnsi"/>
          <w:sz w:val="22"/>
          <w:szCs w:val="22"/>
          <w:lang w:val="fr-FR"/>
        </w:rPr>
        <w:t xml:space="preserve">, </w:t>
      </w:r>
      <w:r w:rsidR="00C23CAC" w:rsidRPr="00020FEE">
        <w:rPr>
          <w:rFonts w:asciiTheme="minorHAnsi" w:hAnsiTheme="minorHAnsi" w:cstheme="minorHAnsi"/>
          <w:sz w:val="22"/>
          <w:szCs w:val="22"/>
          <w:lang w:val="fr-FR"/>
        </w:rPr>
        <w:t>à la réalisation des inventaires nationaux des zones humides et de l’étendue des zones humides pour faire rapport sur l’indicateur 6.</w:t>
      </w:r>
      <w:r w:rsidR="00091CB9" w:rsidRPr="00020FEE">
        <w:rPr>
          <w:rFonts w:asciiTheme="minorHAnsi" w:hAnsiTheme="minorHAnsi" w:cstheme="minorHAnsi"/>
          <w:sz w:val="22"/>
          <w:szCs w:val="22"/>
          <w:lang w:val="fr-FR"/>
        </w:rPr>
        <w:t xml:space="preserve">6.1 </w:t>
      </w:r>
      <w:r w:rsidR="00C23CAC" w:rsidRPr="00020FEE">
        <w:rPr>
          <w:rFonts w:asciiTheme="minorHAnsi" w:hAnsiTheme="minorHAnsi" w:cstheme="minorHAnsi"/>
          <w:sz w:val="22"/>
          <w:szCs w:val="22"/>
          <w:lang w:val="fr-FR"/>
        </w:rPr>
        <w:t>des ODD</w:t>
      </w:r>
      <w:r w:rsidR="00091CB9" w:rsidRPr="00020FEE">
        <w:rPr>
          <w:rFonts w:asciiTheme="minorHAnsi" w:hAnsiTheme="minorHAnsi" w:cstheme="minorHAnsi"/>
          <w:sz w:val="22"/>
          <w:szCs w:val="22"/>
          <w:lang w:val="fr-FR"/>
        </w:rPr>
        <w:t>.</w:t>
      </w:r>
    </w:p>
    <w:p w14:paraId="2AE9080A" w14:textId="77777777" w:rsidR="00313266" w:rsidRPr="00091CB9" w:rsidRDefault="00313266" w:rsidP="00863119">
      <w:pPr>
        <w:suppressAutoHyphens/>
        <w:ind w:left="425" w:hanging="425"/>
        <w:rPr>
          <w:rFonts w:asciiTheme="minorHAnsi" w:hAnsiTheme="minorHAnsi" w:cstheme="minorHAnsi"/>
          <w:sz w:val="22"/>
          <w:szCs w:val="22"/>
          <w:lang w:val="fr-FR"/>
        </w:rPr>
      </w:pPr>
    </w:p>
    <w:p w14:paraId="6A263258" w14:textId="289B468D" w:rsidR="00091CB9" w:rsidRDefault="00863119" w:rsidP="00091CB9">
      <w:pPr>
        <w:suppressAutoHyphens/>
        <w:ind w:left="425" w:hanging="425"/>
        <w:rPr>
          <w:rFonts w:asciiTheme="minorHAnsi" w:hAnsiTheme="minorHAnsi" w:cstheme="minorHAnsi"/>
          <w:sz w:val="22"/>
          <w:szCs w:val="22"/>
          <w:lang w:val="fr-FR"/>
        </w:rPr>
      </w:pPr>
      <w:r w:rsidRPr="00091CB9">
        <w:rPr>
          <w:rFonts w:asciiTheme="minorHAnsi" w:hAnsiTheme="minorHAnsi" w:cstheme="minorHAnsi"/>
          <w:sz w:val="22"/>
          <w:szCs w:val="22"/>
          <w:lang w:val="fr-FR"/>
        </w:rPr>
        <w:t>7.</w:t>
      </w:r>
      <w:r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Le p</w:t>
      </w:r>
      <w:r w:rsidR="005C580F" w:rsidRPr="00091CB9">
        <w:rPr>
          <w:rFonts w:asciiTheme="minorHAnsi" w:hAnsiTheme="minorHAnsi" w:cstheme="minorHAnsi"/>
          <w:sz w:val="22"/>
          <w:szCs w:val="22"/>
          <w:lang w:val="fr-FR"/>
        </w:rPr>
        <w:t>aragraph</w:t>
      </w:r>
      <w:r w:rsidR="00091CB9">
        <w:rPr>
          <w:rFonts w:asciiTheme="minorHAnsi" w:hAnsiTheme="minorHAnsi" w:cstheme="minorHAnsi"/>
          <w:sz w:val="22"/>
          <w:szCs w:val="22"/>
          <w:lang w:val="fr-FR"/>
        </w:rPr>
        <w:t>e</w:t>
      </w:r>
      <w:r w:rsidR="005C580F" w:rsidRPr="00091CB9">
        <w:rPr>
          <w:rFonts w:asciiTheme="minorHAnsi" w:hAnsiTheme="minorHAnsi" w:cstheme="minorHAnsi"/>
          <w:sz w:val="22"/>
          <w:szCs w:val="22"/>
          <w:lang w:val="fr-FR"/>
        </w:rPr>
        <w:t xml:space="preserve"> </w:t>
      </w:r>
      <w:r w:rsidR="00313266" w:rsidRPr="00091CB9">
        <w:rPr>
          <w:rFonts w:asciiTheme="minorHAnsi" w:hAnsiTheme="minorHAnsi" w:cstheme="minorHAnsi"/>
          <w:sz w:val="22"/>
          <w:szCs w:val="22"/>
          <w:lang w:val="fr-FR"/>
        </w:rPr>
        <w:t>41</w:t>
      </w:r>
      <w:r w:rsidR="00923221" w:rsidRPr="00091CB9">
        <w:rPr>
          <w:rFonts w:ascii="Arial" w:hAnsi="Arial" w:cs="Arial"/>
          <w:color w:val="2A2E2E"/>
          <w:sz w:val="23"/>
          <w:szCs w:val="23"/>
          <w:lang w:val="fr-FR"/>
        </w:rPr>
        <w:t xml:space="preserve"> </w:t>
      </w:r>
      <w:r w:rsidR="00091CB9">
        <w:rPr>
          <w:rFonts w:asciiTheme="minorHAnsi" w:hAnsiTheme="minorHAnsi" w:cstheme="minorHAnsi"/>
          <w:sz w:val="22"/>
          <w:szCs w:val="22"/>
          <w:lang w:val="fr-FR"/>
        </w:rPr>
        <w:t>de la résolution</w:t>
      </w:r>
      <w:r w:rsidR="00923221"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donne instruction au </w:t>
      </w:r>
      <w:r w:rsidR="00B532F8" w:rsidRPr="00091CB9">
        <w:rPr>
          <w:rFonts w:asciiTheme="minorHAnsi" w:hAnsiTheme="minorHAnsi" w:cstheme="minorHAnsi"/>
          <w:sz w:val="22"/>
          <w:szCs w:val="22"/>
          <w:lang w:val="fr-FR"/>
        </w:rPr>
        <w:t>Secrétariat</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de participer, s’il y a lieu, aux efforts internationaux</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pertinents relatifs au Programme de développement durable à l’horizon 2030 et aux ODD,</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 xml:space="preserve">notamment dans le cadre du Forum politique de haut niveau sur le </w:t>
      </w:r>
      <w:r w:rsidR="00091CB9">
        <w:rPr>
          <w:rFonts w:asciiTheme="minorHAnsi" w:hAnsiTheme="minorHAnsi" w:cstheme="minorHAnsi"/>
          <w:sz w:val="22"/>
          <w:szCs w:val="22"/>
          <w:lang w:val="fr-FR"/>
        </w:rPr>
        <w:t xml:space="preserve">développement </w:t>
      </w:r>
      <w:r w:rsidR="00091CB9" w:rsidRPr="00091CB9">
        <w:rPr>
          <w:rFonts w:asciiTheme="minorHAnsi" w:hAnsiTheme="minorHAnsi" w:cstheme="minorHAnsi"/>
          <w:sz w:val="22"/>
          <w:szCs w:val="22"/>
          <w:lang w:val="fr-FR"/>
        </w:rPr>
        <w:t>durable</w:t>
      </w:r>
      <w:r w:rsidR="00E64BB7">
        <w:rPr>
          <w:rFonts w:asciiTheme="minorHAnsi" w:hAnsiTheme="minorHAnsi" w:cstheme="minorHAnsi"/>
          <w:sz w:val="22"/>
          <w:szCs w:val="22"/>
          <w:lang w:val="fr-FR"/>
        </w:rPr>
        <w:t>, ainsi qu’</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aux discussions sur les ODD 14 et 15 et les cibles 14.2 et 15.1 dans les forums internationaux.</w:t>
      </w:r>
    </w:p>
    <w:p w14:paraId="44D7CBB7" w14:textId="77777777" w:rsidR="00313266" w:rsidRPr="00091CB9" w:rsidRDefault="00313266" w:rsidP="00863119">
      <w:pPr>
        <w:suppressAutoHyphens/>
        <w:ind w:left="425" w:hanging="425"/>
        <w:rPr>
          <w:rFonts w:asciiTheme="minorHAnsi" w:hAnsiTheme="minorHAnsi" w:cstheme="minorHAnsi"/>
          <w:sz w:val="22"/>
          <w:szCs w:val="22"/>
          <w:lang w:val="fr-FR"/>
        </w:rPr>
      </w:pPr>
    </w:p>
    <w:p w14:paraId="45E1F2AB" w14:textId="0518AF64" w:rsidR="00313266" w:rsidRPr="00091CB9" w:rsidRDefault="00863119" w:rsidP="00091CB9">
      <w:pPr>
        <w:suppressAutoHyphens/>
        <w:ind w:left="425" w:hanging="425"/>
        <w:rPr>
          <w:rFonts w:asciiTheme="minorHAnsi" w:hAnsiTheme="minorHAnsi" w:cstheme="minorHAnsi"/>
          <w:sz w:val="22"/>
          <w:szCs w:val="22"/>
          <w:lang w:val="fr-FR"/>
        </w:rPr>
      </w:pPr>
      <w:r w:rsidRPr="00091CB9">
        <w:rPr>
          <w:rFonts w:asciiTheme="minorHAnsi" w:hAnsiTheme="minorHAnsi" w:cstheme="minorHAnsi"/>
          <w:sz w:val="22"/>
          <w:szCs w:val="22"/>
          <w:lang w:val="fr-FR"/>
        </w:rPr>
        <w:t>8.</w:t>
      </w:r>
      <w:r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Le paragraphe</w:t>
      </w:r>
      <w:r w:rsidR="002C0D69" w:rsidRPr="00091CB9">
        <w:rPr>
          <w:rFonts w:asciiTheme="minorHAnsi" w:hAnsiTheme="minorHAnsi" w:cstheme="minorHAnsi"/>
          <w:sz w:val="22"/>
          <w:szCs w:val="22"/>
          <w:lang w:val="fr-FR"/>
        </w:rPr>
        <w:t xml:space="preserve"> 47</w:t>
      </w:r>
      <w:r w:rsidR="00923221"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de la résolution</w:t>
      </w:r>
      <w:r w:rsidR="002C0D69"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charge le </w:t>
      </w:r>
      <w:r w:rsidR="00B532F8" w:rsidRPr="00091CB9">
        <w:rPr>
          <w:rFonts w:asciiTheme="minorHAnsi" w:hAnsiTheme="minorHAnsi" w:cstheme="minorHAnsi"/>
          <w:sz w:val="22"/>
          <w:szCs w:val="22"/>
          <w:lang w:val="fr-FR"/>
        </w:rPr>
        <w:t>Secrétariat</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de poursuivre ses efforts de</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collaboration avec l’Union internationale</w:t>
      </w:r>
      <w:r w:rsidR="00091CB9">
        <w:rPr>
          <w:rFonts w:asciiTheme="minorHAnsi" w:hAnsiTheme="minorHAnsi" w:cstheme="minorHAnsi"/>
          <w:sz w:val="22"/>
          <w:szCs w:val="22"/>
          <w:lang w:val="fr-FR"/>
        </w:rPr>
        <w:t xml:space="preserve"> </w:t>
      </w:r>
      <w:r w:rsidR="00091CB9" w:rsidRPr="00091CB9">
        <w:rPr>
          <w:rFonts w:asciiTheme="minorHAnsi" w:hAnsiTheme="minorHAnsi" w:cstheme="minorHAnsi"/>
          <w:sz w:val="22"/>
          <w:szCs w:val="22"/>
          <w:lang w:val="fr-FR"/>
        </w:rPr>
        <w:t>pour la conservation de la nature (UICN)</w:t>
      </w:r>
      <w:r w:rsidR="00091CB9">
        <w:rPr>
          <w:rFonts w:asciiTheme="minorHAnsi" w:hAnsiTheme="minorHAnsi" w:cstheme="minorHAnsi"/>
          <w:sz w:val="22"/>
          <w:szCs w:val="22"/>
          <w:lang w:val="fr-FR"/>
        </w:rPr>
        <w:t xml:space="preserve"> </w:t>
      </w:r>
      <w:r w:rsidR="00E64BB7">
        <w:rPr>
          <w:rFonts w:asciiTheme="minorHAnsi" w:hAnsiTheme="minorHAnsi" w:cstheme="minorHAnsi"/>
          <w:sz w:val="22"/>
          <w:szCs w:val="22"/>
          <w:lang w:val="fr-FR"/>
        </w:rPr>
        <w:t xml:space="preserve">afin de </w:t>
      </w:r>
      <w:r w:rsidR="00091CB9">
        <w:rPr>
          <w:rFonts w:asciiTheme="minorHAnsi" w:hAnsiTheme="minorHAnsi" w:cstheme="minorHAnsi"/>
          <w:sz w:val="22"/>
          <w:szCs w:val="22"/>
          <w:lang w:val="fr-FR"/>
        </w:rPr>
        <w:t>soutenir le fonctionnement du Secrétariat</w:t>
      </w:r>
    </w:p>
    <w:p w14:paraId="6532CC19" w14:textId="77777777" w:rsidR="00A52667" w:rsidRPr="00091CB9" w:rsidRDefault="00A52667" w:rsidP="00863119">
      <w:pPr>
        <w:suppressAutoHyphens/>
        <w:ind w:left="425" w:hanging="425"/>
        <w:rPr>
          <w:rFonts w:asciiTheme="minorHAnsi" w:hAnsiTheme="minorHAnsi" w:cstheme="minorHAnsi"/>
          <w:sz w:val="22"/>
          <w:szCs w:val="22"/>
          <w:lang w:val="fr-FR"/>
        </w:rPr>
      </w:pPr>
    </w:p>
    <w:p w14:paraId="68CCD596" w14:textId="1F0D5371" w:rsidR="00A52667" w:rsidRPr="00091CB9" w:rsidRDefault="00863119" w:rsidP="00863119">
      <w:pPr>
        <w:suppressAutoHyphens/>
        <w:ind w:left="425" w:hanging="425"/>
        <w:rPr>
          <w:rFonts w:asciiTheme="minorHAnsi" w:hAnsiTheme="minorHAnsi" w:cstheme="minorHAnsi"/>
          <w:sz w:val="22"/>
          <w:szCs w:val="22"/>
          <w:lang w:val="fr-FR"/>
        </w:rPr>
      </w:pPr>
      <w:r w:rsidRPr="00091CB9">
        <w:rPr>
          <w:rFonts w:asciiTheme="minorHAnsi" w:hAnsiTheme="minorHAnsi" w:cstheme="minorHAnsi"/>
          <w:sz w:val="22"/>
          <w:szCs w:val="22"/>
          <w:lang w:val="fr-FR"/>
        </w:rPr>
        <w:t>9.</w:t>
      </w:r>
      <w:r w:rsidRPr="00091CB9">
        <w:rPr>
          <w:rFonts w:asciiTheme="minorHAnsi" w:hAnsiTheme="minorHAnsi" w:cstheme="minorHAnsi"/>
          <w:sz w:val="22"/>
          <w:szCs w:val="22"/>
          <w:lang w:val="fr-FR"/>
        </w:rPr>
        <w:tab/>
      </w:r>
      <w:r w:rsidR="00091CB9">
        <w:rPr>
          <w:rFonts w:asciiTheme="minorHAnsi" w:hAnsiTheme="minorHAnsi" w:cstheme="minorHAnsi"/>
          <w:sz w:val="22"/>
          <w:szCs w:val="22"/>
          <w:lang w:val="fr-FR"/>
        </w:rPr>
        <w:t>En conséquence, ce rapport couvre les principales activités menées depuis la 13</w:t>
      </w:r>
      <w:r w:rsidR="00091CB9" w:rsidRPr="00091CB9">
        <w:rPr>
          <w:rFonts w:asciiTheme="minorHAnsi" w:hAnsiTheme="minorHAnsi" w:cstheme="minorHAnsi"/>
          <w:sz w:val="22"/>
          <w:szCs w:val="22"/>
          <w:vertAlign w:val="superscript"/>
          <w:lang w:val="fr-FR"/>
        </w:rPr>
        <w:t>e</w:t>
      </w:r>
      <w:r w:rsidR="00091CB9">
        <w:rPr>
          <w:rFonts w:asciiTheme="minorHAnsi" w:hAnsiTheme="minorHAnsi" w:cstheme="minorHAnsi"/>
          <w:sz w:val="22"/>
          <w:szCs w:val="22"/>
          <w:lang w:val="fr-FR"/>
        </w:rPr>
        <w:t xml:space="preserve"> Session de la Conférence des Parties (</w:t>
      </w:r>
      <w:r w:rsidR="00BF5C59" w:rsidRPr="00091CB9">
        <w:rPr>
          <w:rFonts w:asciiTheme="minorHAnsi" w:hAnsiTheme="minorHAnsi" w:cstheme="minorHAnsi"/>
          <w:sz w:val="22"/>
          <w:szCs w:val="22"/>
          <w:lang w:val="fr-FR"/>
        </w:rPr>
        <w:t>COP13</w:t>
      </w:r>
      <w:r w:rsidR="00091CB9">
        <w:rPr>
          <w:rFonts w:asciiTheme="minorHAnsi" w:hAnsiTheme="minorHAnsi" w:cstheme="minorHAnsi"/>
          <w:sz w:val="22"/>
          <w:szCs w:val="22"/>
          <w:lang w:val="fr-FR"/>
        </w:rPr>
        <w:t xml:space="preserve">), conformément aux </w:t>
      </w:r>
      <w:r w:rsidR="00917080" w:rsidRPr="00091CB9">
        <w:rPr>
          <w:rFonts w:asciiTheme="minorHAnsi" w:hAnsiTheme="minorHAnsi" w:cstheme="minorHAnsi"/>
          <w:sz w:val="22"/>
          <w:szCs w:val="22"/>
          <w:lang w:val="fr-FR"/>
        </w:rPr>
        <w:t>Résolutions</w:t>
      </w:r>
      <w:r w:rsidR="00C71C89" w:rsidRPr="00091CB9">
        <w:rPr>
          <w:rFonts w:asciiTheme="minorHAnsi" w:hAnsiTheme="minorHAnsi" w:cstheme="minorHAnsi"/>
          <w:sz w:val="22"/>
          <w:szCs w:val="22"/>
          <w:lang w:val="fr-FR"/>
        </w:rPr>
        <w:t xml:space="preserve"> XIII.7 </w:t>
      </w:r>
      <w:r w:rsidR="00091CB9">
        <w:rPr>
          <w:rFonts w:asciiTheme="minorHAnsi" w:hAnsiTheme="minorHAnsi" w:cstheme="minorHAnsi"/>
          <w:sz w:val="22"/>
          <w:szCs w:val="22"/>
          <w:lang w:val="fr-FR"/>
        </w:rPr>
        <w:t xml:space="preserve">et </w:t>
      </w:r>
      <w:r w:rsidR="00A52667" w:rsidRPr="00091CB9">
        <w:rPr>
          <w:rFonts w:asciiTheme="minorHAnsi" w:hAnsiTheme="minorHAnsi" w:cstheme="minorHAnsi"/>
          <w:sz w:val="22"/>
          <w:szCs w:val="22"/>
          <w:lang w:val="fr-FR"/>
        </w:rPr>
        <w:t>XI.6</w:t>
      </w:r>
      <w:r w:rsidR="00091CB9">
        <w:rPr>
          <w:rFonts w:asciiTheme="minorHAnsi" w:hAnsiTheme="minorHAnsi" w:cstheme="minorHAnsi"/>
          <w:sz w:val="22"/>
          <w:szCs w:val="22"/>
          <w:lang w:val="fr-FR"/>
        </w:rPr>
        <w:t xml:space="preserve"> et, en particulier, les </w:t>
      </w:r>
      <w:r w:rsidR="00917080">
        <w:rPr>
          <w:rFonts w:asciiTheme="minorHAnsi" w:hAnsiTheme="minorHAnsi" w:cstheme="minorHAnsi"/>
          <w:sz w:val="22"/>
          <w:szCs w:val="22"/>
          <w:lang w:val="fr-FR"/>
        </w:rPr>
        <w:t>activités</w:t>
      </w:r>
      <w:r w:rsidR="00091CB9">
        <w:rPr>
          <w:rFonts w:asciiTheme="minorHAnsi" w:hAnsiTheme="minorHAnsi" w:cstheme="minorHAnsi"/>
          <w:sz w:val="22"/>
          <w:szCs w:val="22"/>
          <w:lang w:val="fr-FR"/>
        </w:rPr>
        <w:t xml:space="preserve"> en rapport avec le Groupe de liaison sur la biodiversité </w:t>
      </w:r>
      <w:r w:rsidR="00FF010B" w:rsidRPr="00091CB9">
        <w:rPr>
          <w:rFonts w:asciiTheme="minorHAnsi" w:hAnsiTheme="minorHAnsi" w:cstheme="minorHAnsi"/>
          <w:sz w:val="22"/>
          <w:szCs w:val="22"/>
          <w:lang w:val="fr-FR"/>
        </w:rPr>
        <w:t>(</w:t>
      </w:r>
      <w:r w:rsidR="00091CB9">
        <w:rPr>
          <w:rFonts w:asciiTheme="minorHAnsi" w:hAnsiTheme="minorHAnsi" w:cstheme="minorHAnsi"/>
          <w:sz w:val="22"/>
          <w:szCs w:val="22"/>
          <w:lang w:val="fr-FR"/>
        </w:rPr>
        <w:t>GLB</w:t>
      </w:r>
      <w:r w:rsidR="00FF010B" w:rsidRPr="00091CB9">
        <w:rPr>
          <w:rFonts w:asciiTheme="minorHAnsi" w:hAnsiTheme="minorHAnsi" w:cstheme="minorHAnsi"/>
          <w:sz w:val="22"/>
          <w:szCs w:val="22"/>
          <w:lang w:val="fr-FR"/>
        </w:rPr>
        <w:t xml:space="preserve">) </w:t>
      </w:r>
      <w:r w:rsidR="00091CB9">
        <w:rPr>
          <w:rFonts w:asciiTheme="minorHAnsi" w:hAnsiTheme="minorHAnsi" w:cstheme="minorHAnsi"/>
          <w:sz w:val="22"/>
          <w:szCs w:val="22"/>
          <w:lang w:val="fr-FR"/>
        </w:rPr>
        <w:t xml:space="preserve">et </w:t>
      </w:r>
      <w:r w:rsidR="00E64BB7">
        <w:rPr>
          <w:rFonts w:asciiTheme="minorHAnsi" w:hAnsiTheme="minorHAnsi" w:cstheme="minorHAnsi"/>
          <w:sz w:val="22"/>
          <w:szCs w:val="22"/>
          <w:lang w:val="fr-FR"/>
        </w:rPr>
        <w:t xml:space="preserve">avec </w:t>
      </w:r>
      <w:r w:rsidR="00091CB9">
        <w:rPr>
          <w:rFonts w:asciiTheme="minorHAnsi" w:hAnsiTheme="minorHAnsi" w:cstheme="minorHAnsi"/>
          <w:sz w:val="22"/>
          <w:szCs w:val="22"/>
          <w:lang w:val="fr-FR"/>
        </w:rPr>
        <w:t xml:space="preserve">la Plateforme intergouvernementale, scientifique et politique, sur la biodiversité et les services écosystémiques </w:t>
      </w:r>
      <w:r w:rsidR="00FF010B" w:rsidRPr="00091CB9">
        <w:rPr>
          <w:rFonts w:asciiTheme="minorHAnsi" w:hAnsiTheme="minorHAnsi" w:cstheme="minorHAnsi"/>
          <w:sz w:val="22"/>
          <w:szCs w:val="22"/>
          <w:lang w:val="fr-FR"/>
        </w:rPr>
        <w:t>(</w:t>
      </w:r>
      <w:r w:rsidR="00A52667" w:rsidRPr="00091CB9">
        <w:rPr>
          <w:rFonts w:asciiTheme="minorHAnsi" w:hAnsiTheme="minorHAnsi" w:cstheme="minorHAnsi"/>
          <w:sz w:val="22"/>
          <w:szCs w:val="22"/>
          <w:lang w:val="fr-FR"/>
        </w:rPr>
        <w:t>IPBES</w:t>
      </w:r>
      <w:r w:rsidR="00FF010B" w:rsidRPr="00091CB9">
        <w:rPr>
          <w:rFonts w:asciiTheme="minorHAnsi" w:hAnsiTheme="minorHAnsi" w:cstheme="minorHAnsi"/>
          <w:sz w:val="22"/>
          <w:szCs w:val="22"/>
          <w:lang w:val="fr-FR"/>
        </w:rPr>
        <w:t>)</w:t>
      </w:r>
      <w:r w:rsidR="00A52667" w:rsidRPr="00091CB9">
        <w:rPr>
          <w:rFonts w:asciiTheme="minorHAnsi" w:hAnsiTheme="minorHAnsi" w:cstheme="minorHAnsi"/>
          <w:sz w:val="22"/>
          <w:szCs w:val="22"/>
          <w:lang w:val="fr-FR"/>
        </w:rPr>
        <w:t xml:space="preserve">, </w:t>
      </w:r>
      <w:r w:rsidR="00917080">
        <w:rPr>
          <w:rFonts w:asciiTheme="minorHAnsi" w:hAnsiTheme="minorHAnsi" w:cstheme="minorHAnsi"/>
          <w:sz w:val="22"/>
          <w:szCs w:val="22"/>
          <w:lang w:val="fr-FR"/>
        </w:rPr>
        <w:t xml:space="preserve">ainsi que les progrès enregistrés par rapport aux ODD, aux AME, au PNUE et autres </w:t>
      </w:r>
      <w:r w:rsidR="001C6B44" w:rsidRPr="00091CB9">
        <w:rPr>
          <w:rFonts w:asciiTheme="minorHAnsi" w:hAnsiTheme="minorHAnsi" w:cstheme="minorHAnsi"/>
          <w:sz w:val="22"/>
          <w:szCs w:val="22"/>
          <w:lang w:val="fr-FR"/>
        </w:rPr>
        <w:t>institutions.</w:t>
      </w:r>
    </w:p>
    <w:p w14:paraId="152ADB06" w14:textId="77777777" w:rsidR="00A52667" w:rsidRPr="00091CB9" w:rsidRDefault="00A52667" w:rsidP="00F61CAA">
      <w:pPr>
        <w:pStyle w:val="ListParagraph"/>
        <w:tabs>
          <w:tab w:val="left" w:pos="2260"/>
        </w:tabs>
        <w:ind w:left="0"/>
        <w:jc w:val="left"/>
        <w:rPr>
          <w:rFonts w:asciiTheme="minorHAnsi" w:hAnsiTheme="minorHAnsi" w:cstheme="minorHAnsi"/>
          <w:lang w:val="fr-FR"/>
        </w:rPr>
      </w:pPr>
    </w:p>
    <w:p w14:paraId="1C01BC9E" w14:textId="5D46CDCC" w:rsidR="00A52667" w:rsidRPr="00091CB9" w:rsidRDefault="005C097F" w:rsidP="00AA2B27">
      <w:pPr>
        <w:rPr>
          <w:rFonts w:asciiTheme="minorHAnsi" w:hAnsiTheme="minorHAnsi" w:cstheme="minorHAnsi"/>
          <w:b/>
          <w:sz w:val="22"/>
          <w:szCs w:val="22"/>
          <w:lang w:val="fr-FR"/>
        </w:rPr>
      </w:pPr>
      <w:r>
        <w:rPr>
          <w:rFonts w:asciiTheme="minorHAnsi" w:hAnsiTheme="minorHAnsi" w:cstheme="minorHAnsi"/>
          <w:b/>
          <w:sz w:val="22"/>
          <w:szCs w:val="22"/>
          <w:lang w:val="fr-FR"/>
        </w:rPr>
        <w:t>Travaux dans le cadre du Groupe de liaison sur la biodiversité</w:t>
      </w:r>
      <w:r w:rsidR="00A52667" w:rsidRPr="00091CB9">
        <w:rPr>
          <w:rFonts w:asciiTheme="minorHAnsi" w:hAnsiTheme="minorHAnsi" w:cstheme="minorHAnsi"/>
          <w:b/>
          <w:sz w:val="22"/>
          <w:szCs w:val="22"/>
          <w:lang w:val="fr-FR"/>
        </w:rPr>
        <w:t xml:space="preserve"> </w:t>
      </w:r>
      <w:r w:rsidR="00E64BB7">
        <w:rPr>
          <w:rFonts w:asciiTheme="minorHAnsi" w:hAnsiTheme="minorHAnsi" w:cstheme="minorHAnsi"/>
          <w:b/>
          <w:sz w:val="22"/>
          <w:szCs w:val="22"/>
          <w:lang w:val="fr-FR"/>
        </w:rPr>
        <w:t>(GLB)</w:t>
      </w:r>
    </w:p>
    <w:p w14:paraId="09ADC441" w14:textId="77777777" w:rsidR="00A52667" w:rsidRPr="00091CB9" w:rsidRDefault="00A52667" w:rsidP="00F61CAA">
      <w:pPr>
        <w:rPr>
          <w:rFonts w:asciiTheme="minorHAnsi" w:hAnsiTheme="minorHAnsi" w:cstheme="minorHAnsi"/>
          <w:sz w:val="22"/>
          <w:szCs w:val="22"/>
          <w:lang w:val="fr-FR"/>
        </w:rPr>
      </w:pPr>
    </w:p>
    <w:p w14:paraId="6A4EB6B2" w14:textId="24312535" w:rsidR="00A52667" w:rsidRPr="005C097F" w:rsidRDefault="00863119" w:rsidP="005C097F">
      <w:pPr>
        <w:suppressAutoHyphens/>
        <w:ind w:left="425" w:hanging="425"/>
        <w:rPr>
          <w:rFonts w:asciiTheme="minorHAnsi" w:hAnsiTheme="minorHAnsi" w:cstheme="minorHAnsi"/>
          <w:sz w:val="22"/>
          <w:szCs w:val="22"/>
          <w:lang w:val="fr-FR"/>
        </w:rPr>
      </w:pPr>
      <w:r w:rsidRPr="00B532F8">
        <w:rPr>
          <w:rFonts w:asciiTheme="minorHAnsi" w:hAnsiTheme="minorHAnsi" w:cstheme="minorHAnsi"/>
          <w:sz w:val="22"/>
          <w:szCs w:val="22"/>
          <w:lang w:val="fr-FR"/>
        </w:rPr>
        <w:t>10.</w:t>
      </w:r>
      <w:r w:rsidRPr="00B532F8">
        <w:rPr>
          <w:rFonts w:asciiTheme="minorHAnsi" w:hAnsiTheme="minorHAnsi" w:cstheme="minorHAnsi"/>
          <w:sz w:val="22"/>
          <w:szCs w:val="22"/>
          <w:lang w:val="fr-FR"/>
        </w:rPr>
        <w:tab/>
      </w:r>
      <w:r w:rsidR="005C097F" w:rsidRPr="005C097F">
        <w:rPr>
          <w:rFonts w:asciiTheme="minorHAnsi" w:hAnsiTheme="minorHAnsi" w:cstheme="minorHAnsi"/>
          <w:sz w:val="22"/>
          <w:szCs w:val="22"/>
          <w:lang w:val="fr-FR"/>
        </w:rPr>
        <w:t>Le Secrétariat Ramsar</w:t>
      </w:r>
      <w:r w:rsidR="00A52667" w:rsidRPr="005C097F">
        <w:rPr>
          <w:rFonts w:asciiTheme="minorHAnsi" w:hAnsiTheme="minorHAnsi" w:cstheme="minorHAnsi"/>
          <w:sz w:val="22"/>
          <w:szCs w:val="22"/>
          <w:lang w:val="fr-FR"/>
        </w:rPr>
        <w:t xml:space="preserve"> </w:t>
      </w:r>
      <w:r w:rsidR="005C097F" w:rsidRPr="005C097F">
        <w:rPr>
          <w:rFonts w:asciiTheme="minorHAnsi" w:hAnsiTheme="minorHAnsi" w:cstheme="minorHAnsi"/>
          <w:sz w:val="22"/>
          <w:szCs w:val="22"/>
          <w:lang w:val="fr-FR"/>
        </w:rPr>
        <w:t xml:space="preserve">a </w:t>
      </w:r>
      <w:r w:rsidR="005C097F">
        <w:rPr>
          <w:rFonts w:asciiTheme="minorHAnsi" w:hAnsiTheme="minorHAnsi" w:cstheme="minorHAnsi"/>
          <w:sz w:val="22"/>
          <w:szCs w:val="22"/>
          <w:lang w:val="fr-FR"/>
        </w:rPr>
        <w:t xml:space="preserve">continué à participer aux réunions et aux actions conjointes du GLB, selon </w:t>
      </w:r>
      <w:r w:rsidR="009176D9">
        <w:rPr>
          <w:rFonts w:asciiTheme="minorHAnsi" w:hAnsiTheme="minorHAnsi" w:cstheme="minorHAnsi"/>
          <w:sz w:val="22"/>
          <w:szCs w:val="22"/>
          <w:lang w:val="fr-FR"/>
        </w:rPr>
        <w:t xml:space="preserve">le </w:t>
      </w:r>
      <w:r w:rsidR="005C097F">
        <w:rPr>
          <w:rFonts w:asciiTheme="minorHAnsi" w:hAnsiTheme="minorHAnsi" w:cstheme="minorHAnsi"/>
          <w:sz w:val="22"/>
          <w:szCs w:val="22"/>
          <w:lang w:val="fr-FR"/>
        </w:rPr>
        <w:t>plan d’activités conjointes</w:t>
      </w:r>
      <w:r w:rsidR="009176D9">
        <w:rPr>
          <w:rFonts w:asciiTheme="minorHAnsi" w:hAnsiTheme="minorHAnsi" w:cstheme="minorHAnsi"/>
          <w:sz w:val="22"/>
          <w:szCs w:val="22"/>
          <w:lang w:val="fr-FR"/>
        </w:rPr>
        <w:t xml:space="preserve"> du GLB</w:t>
      </w:r>
      <w:r w:rsidR="005C097F">
        <w:rPr>
          <w:rFonts w:asciiTheme="minorHAnsi" w:hAnsiTheme="minorHAnsi" w:cstheme="minorHAnsi"/>
          <w:sz w:val="22"/>
          <w:szCs w:val="22"/>
          <w:lang w:val="fr-FR"/>
        </w:rPr>
        <w:t>. Le Secrétariat</w:t>
      </w:r>
      <w:r w:rsidR="00A52667"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a partici</w:t>
      </w:r>
      <w:r w:rsidR="00E64BB7">
        <w:rPr>
          <w:rFonts w:asciiTheme="minorHAnsi" w:hAnsiTheme="minorHAnsi" w:cstheme="minorHAnsi"/>
          <w:sz w:val="22"/>
          <w:szCs w:val="22"/>
          <w:lang w:val="fr-FR"/>
        </w:rPr>
        <w:t>pé à la réunion tenue par le GLB</w:t>
      </w:r>
      <w:r w:rsidR="00A52667"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 xml:space="preserve">en septembre </w:t>
      </w:r>
      <w:r w:rsidR="00A52667" w:rsidRPr="005C097F">
        <w:rPr>
          <w:rFonts w:asciiTheme="minorHAnsi" w:hAnsiTheme="minorHAnsi" w:cstheme="minorHAnsi"/>
          <w:sz w:val="22"/>
          <w:szCs w:val="22"/>
          <w:lang w:val="fr-FR"/>
        </w:rPr>
        <w:t>201</w:t>
      </w:r>
      <w:r w:rsidR="00A37A4F" w:rsidRPr="005C097F">
        <w:rPr>
          <w:rFonts w:asciiTheme="minorHAnsi" w:hAnsiTheme="minorHAnsi" w:cstheme="minorHAnsi"/>
          <w:sz w:val="22"/>
          <w:szCs w:val="22"/>
          <w:lang w:val="fr-FR"/>
        </w:rPr>
        <w:t>8</w:t>
      </w:r>
      <w:r w:rsidR="008B4CFE"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Parmi les questions discutées figuraient</w:t>
      </w:r>
      <w:r w:rsidR="00E800CA">
        <w:rPr>
          <w:rFonts w:asciiTheme="minorHAnsi" w:hAnsiTheme="minorHAnsi" w:cstheme="minorHAnsi"/>
          <w:sz w:val="22"/>
          <w:szCs w:val="22"/>
          <w:lang w:val="fr-FR"/>
        </w:rPr>
        <w:t xml:space="preserve"> :</w:t>
      </w:r>
      <w:r w:rsidR="00A52667"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 xml:space="preserve">les contributions </w:t>
      </w:r>
      <w:r w:rsidR="00E64BB7">
        <w:rPr>
          <w:rFonts w:asciiTheme="minorHAnsi" w:hAnsiTheme="minorHAnsi" w:cstheme="minorHAnsi"/>
          <w:sz w:val="22"/>
          <w:szCs w:val="22"/>
          <w:lang w:val="fr-FR"/>
        </w:rPr>
        <w:t xml:space="preserve">apportées par les </w:t>
      </w:r>
      <w:r w:rsidR="005C097F">
        <w:rPr>
          <w:rFonts w:asciiTheme="minorHAnsi" w:hAnsiTheme="minorHAnsi" w:cstheme="minorHAnsi"/>
          <w:sz w:val="22"/>
          <w:szCs w:val="22"/>
          <w:lang w:val="fr-FR"/>
        </w:rPr>
        <w:t xml:space="preserve">conventions relatives à la biodiversité à l’élaboration au </w:t>
      </w:r>
      <w:r w:rsidR="00F278BD">
        <w:rPr>
          <w:rFonts w:asciiTheme="minorHAnsi" w:hAnsiTheme="minorHAnsi" w:cstheme="minorHAnsi"/>
          <w:sz w:val="22"/>
          <w:szCs w:val="22"/>
          <w:lang w:val="fr-FR"/>
        </w:rPr>
        <w:t>Cadre mondial de la biodiversité pour l’après-2020</w:t>
      </w:r>
      <w:r w:rsidR="00E800CA">
        <w:rPr>
          <w:rFonts w:asciiTheme="minorHAnsi" w:hAnsiTheme="minorHAnsi" w:cstheme="minorHAnsi"/>
          <w:sz w:val="22"/>
          <w:szCs w:val="22"/>
          <w:lang w:val="fr-FR"/>
        </w:rPr>
        <w:t xml:space="preserve"> ;</w:t>
      </w:r>
      <w:r w:rsidR="00AF6E5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 xml:space="preserve">la </w:t>
      </w:r>
      <w:r w:rsidR="00B532F8" w:rsidRPr="005C097F">
        <w:rPr>
          <w:rFonts w:asciiTheme="minorHAnsi" w:hAnsiTheme="minorHAnsi" w:cstheme="minorHAnsi"/>
          <w:sz w:val="22"/>
          <w:szCs w:val="22"/>
          <w:lang w:val="fr-FR"/>
        </w:rPr>
        <w:t>coopération</w:t>
      </w:r>
      <w:r w:rsidR="00A33238"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 xml:space="preserve">et les </w:t>
      </w:r>
      <w:r w:rsidR="00A33238" w:rsidRPr="005C097F">
        <w:rPr>
          <w:rFonts w:asciiTheme="minorHAnsi" w:hAnsiTheme="minorHAnsi" w:cstheme="minorHAnsi"/>
          <w:sz w:val="22"/>
          <w:szCs w:val="22"/>
          <w:lang w:val="fr-FR"/>
        </w:rPr>
        <w:t xml:space="preserve">synergies </w:t>
      </w:r>
      <w:r w:rsidR="005C097F">
        <w:rPr>
          <w:rFonts w:asciiTheme="minorHAnsi" w:hAnsiTheme="minorHAnsi" w:cstheme="minorHAnsi"/>
          <w:sz w:val="22"/>
          <w:szCs w:val="22"/>
          <w:lang w:val="fr-FR"/>
        </w:rPr>
        <w:t>entre les conventions liées à la diversité biologique</w:t>
      </w:r>
      <w:r w:rsidR="00E800CA">
        <w:rPr>
          <w:rFonts w:asciiTheme="minorHAnsi" w:hAnsiTheme="minorHAnsi" w:cstheme="minorHAnsi"/>
          <w:sz w:val="22"/>
          <w:szCs w:val="22"/>
          <w:lang w:val="fr-FR"/>
        </w:rPr>
        <w:t xml:space="preserve"> ;</w:t>
      </w:r>
      <w:r w:rsidR="0051191A" w:rsidRPr="005C097F">
        <w:rPr>
          <w:rFonts w:asciiTheme="minorHAnsi" w:hAnsiTheme="minorHAnsi" w:cstheme="minorHAnsi"/>
          <w:sz w:val="22"/>
          <w:szCs w:val="22"/>
          <w:lang w:val="fr-FR"/>
        </w:rPr>
        <w:t xml:space="preserve"> </w:t>
      </w:r>
      <w:r w:rsidR="009561DD">
        <w:rPr>
          <w:rFonts w:asciiTheme="minorHAnsi" w:hAnsiTheme="minorHAnsi" w:cstheme="minorHAnsi"/>
          <w:sz w:val="22"/>
          <w:szCs w:val="22"/>
          <w:lang w:val="fr-FR"/>
        </w:rPr>
        <w:t>le prochain programme de travail de l’</w:t>
      </w:r>
      <w:r w:rsidR="000C7757" w:rsidRPr="005C097F">
        <w:rPr>
          <w:rFonts w:asciiTheme="minorHAnsi" w:hAnsiTheme="minorHAnsi" w:cstheme="minorHAnsi"/>
          <w:sz w:val="22"/>
          <w:szCs w:val="22"/>
          <w:lang w:val="fr-FR"/>
        </w:rPr>
        <w:t>IPBES</w:t>
      </w:r>
      <w:r w:rsidR="00E800CA">
        <w:rPr>
          <w:rFonts w:asciiTheme="minorHAnsi" w:hAnsiTheme="minorHAnsi" w:cstheme="minorHAnsi"/>
          <w:sz w:val="22"/>
          <w:szCs w:val="22"/>
          <w:lang w:val="fr-FR"/>
        </w:rPr>
        <w:t xml:space="preserve"> ;</w:t>
      </w:r>
      <w:r w:rsidR="00AC2490" w:rsidRPr="005C097F">
        <w:rPr>
          <w:rFonts w:asciiTheme="minorHAnsi" w:hAnsiTheme="minorHAnsi" w:cstheme="minorHAnsi"/>
          <w:sz w:val="22"/>
          <w:szCs w:val="22"/>
          <w:lang w:val="fr-FR"/>
        </w:rPr>
        <w:t xml:space="preserve"> </w:t>
      </w:r>
      <w:r w:rsidR="009561DD">
        <w:rPr>
          <w:rFonts w:asciiTheme="minorHAnsi" w:hAnsiTheme="minorHAnsi" w:cstheme="minorHAnsi"/>
          <w:sz w:val="22"/>
          <w:szCs w:val="22"/>
          <w:lang w:val="fr-FR"/>
        </w:rPr>
        <w:t xml:space="preserve">et </w:t>
      </w:r>
      <w:r w:rsidR="00E64BB7">
        <w:rPr>
          <w:rFonts w:asciiTheme="minorHAnsi" w:hAnsiTheme="minorHAnsi" w:cstheme="minorHAnsi"/>
          <w:sz w:val="22"/>
          <w:szCs w:val="22"/>
          <w:lang w:val="fr-FR"/>
        </w:rPr>
        <w:t xml:space="preserve">les </w:t>
      </w:r>
      <w:r w:rsidR="00F01E27">
        <w:rPr>
          <w:rFonts w:asciiTheme="minorHAnsi" w:hAnsiTheme="minorHAnsi" w:cstheme="minorHAnsi"/>
          <w:sz w:val="22"/>
          <w:szCs w:val="22"/>
          <w:lang w:val="fr-FR"/>
        </w:rPr>
        <w:t>information</w:t>
      </w:r>
      <w:r w:rsidR="00E64BB7">
        <w:rPr>
          <w:rFonts w:asciiTheme="minorHAnsi" w:hAnsiTheme="minorHAnsi" w:cstheme="minorHAnsi"/>
          <w:sz w:val="22"/>
          <w:szCs w:val="22"/>
          <w:lang w:val="fr-FR"/>
        </w:rPr>
        <w:t>s</w:t>
      </w:r>
      <w:r w:rsidR="00F01E27">
        <w:rPr>
          <w:rFonts w:asciiTheme="minorHAnsi" w:hAnsiTheme="minorHAnsi" w:cstheme="minorHAnsi"/>
          <w:sz w:val="22"/>
          <w:szCs w:val="22"/>
          <w:lang w:val="fr-FR"/>
        </w:rPr>
        <w:t xml:space="preserve"> et communication conjointes sur la biodiversité, y compris </w:t>
      </w:r>
      <w:r w:rsidR="00E64BB7">
        <w:rPr>
          <w:rFonts w:asciiTheme="minorHAnsi" w:hAnsiTheme="minorHAnsi" w:cstheme="minorHAnsi"/>
          <w:sz w:val="22"/>
          <w:szCs w:val="22"/>
          <w:lang w:val="fr-FR"/>
        </w:rPr>
        <w:t xml:space="preserve">la </w:t>
      </w:r>
      <w:r w:rsidR="00F01E27">
        <w:rPr>
          <w:rFonts w:asciiTheme="minorHAnsi" w:hAnsiTheme="minorHAnsi" w:cstheme="minorHAnsi"/>
          <w:sz w:val="22"/>
          <w:szCs w:val="22"/>
          <w:lang w:val="fr-FR"/>
        </w:rPr>
        <w:t>contribution commune aux réunions des conventions et autres processus</w:t>
      </w:r>
      <w:r w:rsidR="008B4CFE" w:rsidRPr="005C097F">
        <w:rPr>
          <w:rFonts w:asciiTheme="minorHAnsi" w:hAnsiTheme="minorHAnsi" w:cstheme="minorHAnsi"/>
          <w:sz w:val="22"/>
          <w:szCs w:val="22"/>
          <w:lang w:val="fr-FR"/>
        </w:rPr>
        <w:t>.</w:t>
      </w:r>
    </w:p>
    <w:p w14:paraId="68C3B6A2" w14:textId="77777777" w:rsidR="00A52667" w:rsidRPr="005C097F" w:rsidRDefault="00A52667" w:rsidP="00F61CAA">
      <w:pPr>
        <w:pStyle w:val="Default"/>
        <w:rPr>
          <w:rFonts w:asciiTheme="minorHAnsi" w:hAnsiTheme="minorHAnsi" w:cstheme="minorHAnsi"/>
          <w:color w:val="auto"/>
          <w:sz w:val="22"/>
          <w:szCs w:val="22"/>
          <w:lang w:val="fr-FR"/>
        </w:rPr>
      </w:pPr>
    </w:p>
    <w:p w14:paraId="6074FB5D" w14:textId="7DB88742" w:rsidR="00814875" w:rsidRPr="005C097F" w:rsidRDefault="00F01E27" w:rsidP="00F01E27">
      <w:pPr>
        <w:rPr>
          <w:rFonts w:asciiTheme="minorHAnsi" w:hAnsiTheme="minorHAnsi" w:cstheme="minorHAnsi"/>
          <w:b/>
          <w:sz w:val="22"/>
          <w:szCs w:val="22"/>
          <w:lang w:val="fr-FR"/>
        </w:rPr>
      </w:pPr>
      <w:r w:rsidRPr="00F01E27">
        <w:rPr>
          <w:rFonts w:asciiTheme="minorHAnsi" w:hAnsiTheme="minorHAnsi" w:cstheme="minorHAnsi"/>
          <w:b/>
          <w:sz w:val="22"/>
          <w:szCs w:val="22"/>
          <w:lang w:val="fr-FR"/>
        </w:rPr>
        <w:t>Plateforme intergouvernementale, scientifique et politique, sur la biodiversité et les services</w:t>
      </w:r>
      <w:r>
        <w:rPr>
          <w:rFonts w:asciiTheme="minorHAnsi" w:hAnsiTheme="minorHAnsi" w:cstheme="minorHAnsi"/>
          <w:b/>
          <w:sz w:val="22"/>
          <w:szCs w:val="22"/>
          <w:lang w:val="fr-FR"/>
        </w:rPr>
        <w:t xml:space="preserve"> </w:t>
      </w:r>
      <w:r w:rsidRPr="00F01E27">
        <w:rPr>
          <w:rFonts w:asciiTheme="minorHAnsi" w:hAnsiTheme="minorHAnsi" w:cstheme="minorHAnsi"/>
          <w:b/>
          <w:sz w:val="22"/>
          <w:szCs w:val="22"/>
          <w:lang w:val="fr-FR"/>
        </w:rPr>
        <w:t xml:space="preserve">écosystémiques </w:t>
      </w:r>
    </w:p>
    <w:p w14:paraId="4FA97816" w14:textId="77777777" w:rsidR="00814875" w:rsidRPr="005C097F" w:rsidRDefault="00814875" w:rsidP="00F61CAA">
      <w:pPr>
        <w:autoSpaceDE w:val="0"/>
        <w:autoSpaceDN w:val="0"/>
        <w:adjustRightInd w:val="0"/>
        <w:rPr>
          <w:rFonts w:asciiTheme="minorHAnsi" w:hAnsiTheme="minorHAnsi" w:cstheme="minorHAnsi"/>
          <w:b/>
          <w:sz w:val="22"/>
          <w:szCs w:val="22"/>
          <w:lang w:val="fr-FR"/>
        </w:rPr>
      </w:pPr>
    </w:p>
    <w:p w14:paraId="0F016300" w14:textId="0C6D15F5" w:rsidR="000536B9" w:rsidRPr="005C097F" w:rsidRDefault="00863119" w:rsidP="00F01E27">
      <w:pPr>
        <w:autoSpaceDE w:val="0"/>
        <w:autoSpaceDN w:val="0"/>
        <w:adjustRightInd w:val="0"/>
        <w:ind w:left="425" w:hanging="425"/>
        <w:rPr>
          <w:rFonts w:asciiTheme="minorHAnsi" w:hAnsiTheme="minorHAnsi" w:cstheme="minorHAnsi"/>
          <w:sz w:val="22"/>
          <w:szCs w:val="22"/>
          <w:lang w:val="fr-FR"/>
        </w:rPr>
      </w:pPr>
      <w:r w:rsidRPr="005C097F">
        <w:rPr>
          <w:rFonts w:asciiTheme="minorHAnsi" w:hAnsiTheme="minorHAnsi" w:cstheme="minorHAnsi"/>
          <w:sz w:val="22"/>
          <w:szCs w:val="22"/>
          <w:lang w:val="fr-FR"/>
        </w:rPr>
        <w:t>11.</w:t>
      </w:r>
      <w:r w:rsidRPr="005C097F">
        <w:rPr>
          <w:rFonts w:asciiTheme="minorHAnsi" w:hAnsiTheme="minorHAnsi" w:cstheme="minorHAnsi"/>
          <w:sz w:val="22"/>
          <w:szCs w:val="22"/>
          <w:lang w:val="fr-FR"/>
        </w:rPr>
        <w:tab/>
      </w:r>
      <w:r w:rsidR="00F01E27">
        <w:rPr>
          <w:rFonts w:asciiTheme="minorHAnsi" w:hAnsiTheme="minorHAnsi" w:cstheme="minorHAnsi"/>
          <w:sz w:val="22"/>
          <w:szCs w:val="22"/>
          <w:lang w:val="fr-FR"/>
        </w:rPr>
        <w:t>La Résolution X</w:t>
      </w:r>
      <w:r w:rsidR="000536B9" w:rsidRPr="005C097F">
        <w:rPr>
          <w:rFonts w:asciiTheme="minorHAnsi" w:hAnsiTheme="minorHAnsi" w:cstheme="minorHAnsi"/>
          <w:sz w:val="22"/>
          <w:szCs w:val="22"/>
          <w:lang w:val="fr-FR"/>
        </w:rPr>
        <w:t>III.8</w:t>
      </w:r>
      <w:r w:rsidR="00F745EA" w:rsidRPr="005C097F">
        <w:rPr>
          <w:rFonts w:asciiTheme="minorHAnsi" w:hAnsiTheme="minorHAnsi" w:cstheme="minorHAnsi"/>
          <w:sz w:val="22"/>
          <w:szCs w:val="22"/>
          <w:lang w:val="fr-FR"/>
        </w:rPr>
        <w:t xml:space="preserve"> </w:t>
      </w:r>
      <w:r w:rsidR="00F01E27" w:rsidRPr="00F01E27">
        <w:rPr>
          <w:rFonts w:asciiTheme="minorHAnsi" w:hAnsiTheme="minorHAnsi" w:cstheme="minorHAnsi"/>
          <w:i/>
          <w:sz w:val="22"/>
          <w:szCs w:val="22"/>
          <w:lang w:val="fr-FR"/>
        </w:rPr>
        <w:t>Application future des aspects scientifiques et techniques</w:t>
      </w:r>
      <w:r w:rsidR="00F01E27">
        <w:rPr>
          <w:rFonts w:asciiTheme="minorHAnsi" w:hAnsiTheme="minorHAnsi" w:cstheme="minorHAnsi"/>
          <w:i/>
          <w:sz w:val="22"/>
          <w:szCs w:val="22"/>
          <w:lang w:val="fr-FR"/>
        </w:rPr>
        <w:t xml:space="preserve"> </w:t>
      </w:r>
      <w:r w:rsidR="00F01E27" w:rsidRPr="00F01E27">
        <w:rPr>
          <w:rFonts w:asciiTheme="minorHAnsi" w:hAnsiTheme="minorHAnsi" w:cstheme="minorHAnsi"/>
          <w:i/>
          <w:sz w:val="22"/>
          <w:szCs w:val="22"/>
          <w:lang w:val="fr-FR"/>
        </w:rPr>
        <w:t>de la Convention pour 2019-2021</w:t>
      </w:r>
      <w:r w:rsidR="000536B9" w:rsidRPr="005C097F">
        <w:rPr>
          <w:rFonts w:asciiTheme="minorHAnsi" w:hAnsiTheme="minorHAnsi" w:cstheme="minorHAnsi"/>
          <w:i/>
          <w:sz w:val="22"/>
          <w:szCs w:val="22"/>
          <w:lang w:val="fr-FR"/>
        </w:rPr>
        <w:t xml:space="preserve"> </w:t>
      </w:r>
      <w:r w:rsidR="000536B9" w:rsidRPr="005C097F">
        <w:rPr>
          <w:rFonts w:asciiTheme="minorHAnsi" w:hAnsiTheme="minorHAnsi" w:cstheme="minorHAnsi"/>
          <w:sz w:val="22"/>
          <w:szCs w:val="22"/>
          <w:lang w:val="fr-FR"/>
        </w:rPr>
        <w:t>a</w:t>
      </w:r>
      <w:r w:rsidR="00F01E27">
        <w:rPr>
          <w:rFonts w:asciiTheme="minorHAnsi" w:hAnsiTheme="minorHAnsi" w:cstheme="minorHAnsi"/>
          <w:sz w:val="22"/>
          <w:szCs w:val="22"/>
          <w:lang w:val="fr-FR"/>
        </w:rPr>
        <w:t xml:space="preserve"> adopté des lignes directrice </w:t>
      </w:r>
      <w:r w:rsidR="00E64BB7">
        <w:rPr>
          <w:rFonts w:asciiTheme="minorHAnsi" w:hAnsiTheme="minorHAnsi" w:cstheme="minorHAnsi"/>
          <w:sz w:val="22"/>
          <w:szCs w:val="22"/>
          <w:lang w:val="fr-FR"/>
        </w:rPr>
        <w:t xml:space="preserve">relatives à la préparation des </w:t>
      </w:r>
      <w:r w:rsidR="001116E3">
        <w:rPr>
          <w:rFonts w:asciiTheme="minorHAnsi" w:hAnsiTheme="minorHAnsi" w:cstheme="minorHAnsi"/>
          <w:sz w:val="22"/>
          <w:szCs w:val="22"/>
          <w:lang w:val="fr-FR"/>
        </w:rPr>
        <w:t>demandes</w:t>
      </w:r>
      <w:r w:rsidR="009176D9">
        <w:rPr>
          <w:rFonts w:asciiTheme="minorHAnsi" w:hAnsiTheme="minorHAnsi" w:cstheme="minorHAnsi"/>
          <w:sz w:val="22"/>
          <w:szCs w:val="22"/>
          <w:lang w:val="fr-FR"/>
        </w:rPr>
        <w:t xml:space="preserve"> thématiques</w:t>
      </w:r>
      <w:r w:rsidR="00F01E27">
        <w:rPr>
          <w:rFonts w:asciiTheme="minorHAnsi" w:hAnsiTheme="minorHAnsi" w:cstheme="minorHAnsi"/>
          <w:sz w:val="22"/>
          <w:szCs w:val="22"/>
          <w:lang w:val="fr-FR"/>
        </w:rPr>
        <w:t xml:space="preserve"> à l’intention de l’</w:t>
      </w:r>
      <w:r w:rsidR="000536B9" w:rsidRPr="005C097F">
        <w:rPr>
          <w:rFonts w:asciiTheme="minorHAnsi" w:hAnsiTheme="minorHAnsi" w:cstheme="minorHAnsi"/>
          <w:sz w:val="22"/>
          <w:szCs w:val="22"/>
          <w:lang w:val="fr-FR"/>
        </w:rPr>
        <w:t xml:space="preserve">IPBES </w:t>
      </w:r>
      <w:r w:rsidR="00F01E27">
        <w:rPr>
          <w:rFonts w:asciiTheme="minorHAnsi" w:hAnsiTheme="minorHAnsi" w:cstheme="minorHAnsi"/>
          <w:sz w:val="22"/>
          <w:szCs w:val="22"/>
          <w:lang w:val="fr-FR"/>
        </w:rPr>
        <w:t>pour ses futurs programmes de travail</w:t>
      </w:r>
      <w:r w:rsidR="00024CE2" w:rsidRPr="005C097F">
        <w:rPr>
          <w:rFonts w:asciiTheme="minorHAnsi" w:hAnsiTheme="minorHAnsi" w:cstheme="minorHAnsi"/>
          <w:sz w:val="22"/>
          <w:szCs w:val="22"/>
          <w:lang w:val="fr-FR"/>
        </w:rPr>
        <w:t>.</w:t>
      </w:r>
      <w:r w:rsidR="000536B9"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 xml:space="preserve">En conséquence, le </w:t>
      </w:r>
      <w:r w:rsidR="001116E3" w:rsidRPr="005C097F">
        <w:rPr>
          <w:rFonts w:asciiTheme="minorHAnsi" w:hAnsiTheme="minorHAnsi" w:cstheme="minorHAnsi"/>
          <w:sz w:val="22"/>
          <w:szCs w:val="22"/>
          <w:lang w:val="fr-FR"/>
        </w:rPr>
        <w:t>Secrétariat</w:t>
      </w:r>
      <w:r w:rsidR="00F01E27">
        <w:rPr>
          <w:rFonts w:asciiTheme="minorHAnsi" w:hAnsiTheme="minorHAnsi" w:cstheme="minorHAnsi"/>
          <w:sz w:val="22"/>
          <w:szCs w:val="22"/>
          <w:lang w:val="fr-FR"/>
        </w:rPr>
        <w:t xml:space="preserve"> a lancé un appel à propositions en novembre </w:t>
      </w:r>
      <w:r w:rsidR="00030B12" w:rsidRPr="005C097F">
        <w:rPr>
          <w:rFonts w:asciiTheme="minorHAnsi" w:hAnsiTheme="minorHAnsi" w:cstheme="minorHAnsi"/>
          <w:sz w:val="22"/>
          <w:szCs w:val="22"/>
          <w:lang w:val="fr-FR"/>
        </w:rPr>
        <w:t xml:space="preserve">2018 </w:t>
      </w:r>
      <w:r w:rsidR="00F01E27">
        <w:rPr>
          <w:rFonts w:asciiTheme="minorHAnsi" w:hAnsiTheme="minorHAnsi" w:cstheme="minorHAnsi"/>
          <w:sz w:val="22"/>
          <w:szCs w:val="22"/>
          <w:lang w:val="fr-FR"/>
        </w:rPr>
        <w:t>à l’intention des Parties contractantes, des OIP</w:t>
      </w:r>
      <w:r w:rsidR="000536B9"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 xml:space="preserve">des </w:t>
      </w:r>
      <w:r w:rsidR="000536B9" w:rsidRPr="005C097F">
        <w:rPr>
          <w:rFonts w:asciiTheme="minorHAnsi" w:hAnsiTheme="minorHAnsi" w:cstheme="minorHAnsi"/>
          <w:sz w:val="22"/>
          <w:szCs w:val="22"/>
          <w:lang w:val="fr-FR"/>
        </w:rPr>
        <w:t>Initiatives</w:t>
      </w:r>
      <w:r w:rsidR="00F01E27">
        <w:rPr>
          <w:rFonts w:asciiTheme="minorHAnsi" w:hAnsiTheme="minorHAnsi" w:cstheme="minorHAnsi"/>
          <w:sz w:val="22"/>
          <w:szCs w:val="22"/>
          <w:lang w:val="fr-FR"/>
        </w:rPr>
        <w:t xml:space="preserve"> régionales Ramsar</w:t>
      </w:r>
      <w:r w:rsidR="000536B9"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 xml:space="preserve">du </w:t>
      </w:r>
      <w:r w:rsidR="00F01E27" w:rsidRPr="00F01E27">
        <w:rPr>
          <w:rFonts w:asciiTheme="minorHAnsi" w:hAnsiTheme="minorHAnsi" w:cstheme="minorHAnsi"/>
          <w:sz w:val="22"/>
          <w:szCs w:val="22"/>
          <w:lang w:val="fr-FR"/>
        </w:rPr>
        <w:t>Groupe d’évaluation scientifique et technique</w:t>
      </w:r>
      <w:r w:rsidR="000536B9"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GEST</w:t>
      </w:r>
      <w:r w:rsidR="000536B9"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et des AME</w:t>
      </w:r>
      <w:r w:rsidR="000536B9" w:rsidRPr="005C097F">
        <w:rPr>
          <w:rFonts w:asciiTheme="minorHAnsi" w:hAnsiTheme="minorHAnsi" w:cstheme="minorHAnsi"/>
          <w:sz w:val="22"/>
          <w:szCs w:val="22"/>
          <w:lang w:val="fr-FR"/>
        </w:rPr>
        <w:t xml:space="preserve">. </w:t>
      </w:r>
      <w:r w:rsidR="005C097F">
        <w:rPr>
          <w:rFonts w:asciiTheme="minorHAnsi" w:hAnsiTheme="minorHAnsi" w:cstheme="minorHAnsi"/>
          <w:sz w:val="22"/>
          <w:szCs w:val="22"/>
          <w:lang w:val="fr-FR"/>
        </w:rPr>
        <w:t>Le Secrétariat</w:t>
      </w:r>
      <w:r w:rsidR="00F01E27">
        <w:rPr>
          <w:rFonts w:asciiTheme="minorHAnsi" w:hAnsiTheme="minorHAnsi" w:cstheme="minorHAnsi"/>
          <w:sz w:val="22"/>
          <w:szCs w:val="22"/>
          <w:lang w:val="fr-FR"/>
        </w:rPr>
        <w:t xml:space="preserve"> a reçu trois propositions en réponse à cet appel</w:t>
      </w:r>
      <w:r w:rsidR="00E800CA">
        <w:rPr>
          <w:rFonts w:asciiTheme="minorHAnsi" w:hAnsiTheme="minorHAnsi" w:cstheme="minorHAnsi"/>
          <w:sz w:val="22"/>
          <w:szCs w:val="22"/>
          <w:lang w:val="fr-FR"/>
        </w:rPr>
        <w:t xml:space="preserve"> :</w:t>
      </w:r>
    </w:p>
    <w:p w14:paraId="4EF08CB8" w14:textId="77777777" w:rsidR="001C6B44" w:rsidRPr="005C097F" w:rsidRDefault="001C6B44" w:rsidP="00863119">
      <w:pPr>
        <w:autoSpaceDE w:val="0"/>
        <w:autoSpaceDN w:val="0"/>
        <w:adjustRightInd w:val="0"/>
        <w:ind w:left="425" w:hanging="425"/>
        <w:rPr>
          <w:rFonts w:asciiTheme="minorHAnsi" w:hAnsiTheme="minorHAnsi" w:cstheme="minorHAnsi"/>
          <w:sz w:val="22"/>
          <w:szCs w:val="22"/>
          <w:lang w:val="fr-FR"/>
        </w:rPr>
      </w:pPr>
    </w:p>
    <w:p w14:paraId="433FC1EE" w14:textId="38D63446" w:rsidR="000536B9" w:rsidRPr="005C097F" w:rsidRDefault="000536B9" w:rsidP="00863119">
      <w:pPr>
        <w:numPr>
          <w:ilvl w:val="0"/>
          <w:numId w:val="16"/>
        </w:numPr>
        <w:tabs>
          <w:tab w:val="clear" w:pos="720"/>
        </w:tabs>
        <w:ind w:left="850" w:hanging="425"/>
        <w:rPr>
          <w:rFonts w:asciiTheme="minorHAnsi" w:hAnsiTheme="minorHAnsi" w:cstheme="minorHAnsi"/>
          <w:sz w:val="22"/>
          <w:szCs w:val="22"/>
          <w:lang w:val="fr-FR"/>
        </w:rPr>
      </w:pPr>
      <w:r w:rsidRPr="005C097F">
        <w:rPr>
          <w:rStyle w:val="Emphasis"/>
          <w:rFonts w:asciiTheme="minorHAnsi" w:hAnsiTheme="minorHAnsi" w:cstheme="minorHAnsi"/>
          <w:sz w:val="22"/>
          <w:szCs w:val="22"/>
          <w:lang w:val="fr-FR"/>
        </w:rPr>
        <w:lastRenderedPageBreak/>
        <w:t>Profiling Harare’s wetlands for a sustainable future</w:t>
      </w:r>
      <w:r w:rsidRPr="005C097F">
        <w:rPr>
          <w:rFonts w:asciiTheme="minorHAnsi" w:hAnsiTheme="minorHAnsi" w:cstheme="minorHAnsi"/>
          <w:sz w:val="22"/>
          <w:szCs w:val="22"/>
          <w:lang w:val="fr-FR"/>
        </w:rPr>
        <w:t xml:space="preserve">, </w:t>
      </w:r>
      <w:r w:rsidR="00F01E27">
        <w:rPr>
          <w:rFonts w:asciiTheme="minorHAnsi" w:hAnsiTheme="minorHAnsi" w:cstheme="minorHAnsi"/>
          <w:sz w:val="22"/>
          <w:szCs w:val="22"/>
          <w:lang w:val="fr-FR"/>
        </w:rPr>
        <w:t xml:space="preserve">soumis par le </w:t>
      </w:r>
      <w:r w:rsidRPr="005C097F">
        <w:rPr>
          <w:rFonts w:asciiTheme="minorHAnsi" w:hAnsiTheme="minorHAnsi" w:cstheme="minorHAnsi"/>
          <w:sz w:val="22"/>
          <w:szCs w:val="22"/>
          <w:lang w:val="fr-FR"/>
        </w:rPr>
        <w:t>Zimbabwe</w:t>
      </w:r>
      <w:r w:rsidR="00024CE2" w:rsidRPr="005C097F">
        <w:rPr>
          <w:rFonts w:asciiTheme="minorHAnsi" w:hAnsiTheme="minorHAnsi" w:cstheme="minorHAnsi"/>
          <w:sz w:val="22"/>
          <w:szCs w:val="22"/>
          <w:lang w:val="fr-FR"/>
        </w:rPr>
        <w:t xml:space="preserve"> </w:t>
      </w:r>
      <w:r w:rsidRPr="005C097F">
        <w:rPr>
          <w:rFonts w:asciiTheme="minorHAnsi" w:hAnsiTheme="minorHAnsi" w:cstheme="minorHAnsi"/>
          <w:sz w:val="22"/>
          <w:szCs w:val="22"/>
          <w:lang w:val="fr-FR"/>
        </w:rPr>
        <w:t>(Environmental Management Agency)</w:t>
      </w:r>
      <w:r w:rsidR="00E800CA">
        <w:rPr>
          <w:rFonts w:asciiTheme="minorHAnsi" w:hAnsiTheme="minorHAnsi" w:cstheme="minorHAnsi"/>
          <w:sz w:val="22"/>
          <w:szCs w:val="22"/>
          <w:lang w:val="fr-FR"/>
        </w:rPr>
        <w:t xml:space="preserve"> ;</w:t>
      </w:r>
    </w:p>
    <w:p w14:paraId="7C55E7A9" w14:textId="77777777" w:rsidR="001C6B44" w:rsidRPr="005C097F" w:rsidRDefault="001C6B44" w:rsidP="001C6B44">
      <w:pPr>
        <w:rPr>
          <w:rFonts w:asciiTheme="minorHAnsi" w:hAnsiTheme="minorHAnsi" w:cstheme="minorHAnsi"/>
          <w:sz w:val="22"/>
          <w:szCs w:val="22"/>
          <w:lang w:val="fr-FR"/>
        </w:rPr>
      </w:pPr>
    </w:p>
    <w:p w14:paraId="7EF44EC1" w14:textId="7B000CDF" w:rsidR="001C6B44" w:rsidRPr="005C097F" w:rsidRDefault="000536B9" w:rsidP="001C6B44">
      <w:pPr>
        <w:numPr>
          <w:ilvl w:val="0"/>
          <w:numId w:val="16"/>
        </w:numPr>
        <w:tabs>
          <w:tab w:val="clear" w:pos="720"/>
        </w:tabs>
        <w:ind w:left="850" w:hanging="425"/>
        <w:rPr>
          <w:rFonts w:asciiTheme="minorHAnsi" w:hAnsiTheme="minorHAnsi" w:cstheme="minorHAnsi"/>
          <w:sz w:val="22"/>
          <w:szCs w:val="22"/>
          <w:lang w:val="fr-FR"/>
        </w:rPr>
      </w:pPr>
      <w:r w:rsidRPr="005C097F">
        <w:rPr>
          <w:rStyle w:val="Emphasis"/>
          <w:rFonts w:asciiTheme="minorHAnsi" w:hAnsiTheme="minorHAnsi" w:cstheme="minorHAnsi"/>
          <w:sz w:val="22"/>
          <w:szCs w:val="22"/>
          <w:lang w:val="fr-FR"/>
        </w:rPr>
        <w:t>Thematic assessment on peatlands</w:t>
      </w:r>
      <w:r w:rsidRPr="005C097F">
        <w:rPr>
          <w:rFonts w:asciiTheme="minorHAnsi" w:hAnsiTheme="minorHAnsi" w:cstheme="minorHAnsi"/>
          <w:sz w:val="22"/>
          <w:szCs w:val="22"/>
          <w:lang w:val="fr-FR"/>
        </w:rPr>
        <w:t xml:space="preserve">, </w:t>
      </w:r>
      <w:r w:rsidR="00012B9F">
        <w:rPr>
          <w:rFonts w:asciiTheme="minorHAnsi" w:hAnsiTheme="minorHAnsi" w:cstheme="minorHAnsi"/>
          <w:sz w:val="22"/>
          <w:szCs w:val="22"/>
          <w:lang w:val="fr-FR"/>
        </w:rPr>
        <w:t xml:space="preserve">soumis par le </w:t>
      </w:r>
      <w:r w:rsidR="00F01E27">
        <w:rPr>
          <w:rFonts w:asciiTheme="minorHAnsi" w:hAnsiTheme="minorHAnsi" w:cstheme="minorHAnsi"/>
          <w:sz w:val="22"/>
          <w:szCs w:val="22"/>
          <w:lang w:val="fr-FR"/>
        </w:rPr>
        <w:t>GEST</w:t>
      </w:r>
      <w:r w:rsidR="00E800CA">
        <w:rPr>
          <w:rFonts w:asciiTheme="minorHAnsi" w:hAnsiTheme="minorHAnsi" w:cstheme="minorHAnsi"/>
          <w:sz w:val="22"/>
          <w:szCs w:val="22"/>
          <w:lang w:val="fr-FR"/>
        </w:rPr>
        <w:t xml:space="preserve"> ;</w:t>
      </w:r>
      <w:r w:rsidRPr="005C097F">
        <w:rPr>
          <w:rFonts w:asciiTheme="minorHAnsi" w:hAnsiTheme="minorHAnsi" w:cstheme="minorHAnsi"/>
          <w:sz w:val="22"/>
          <w:szCs w:val="22"/>
          <w:lang w:val="fr-FR"/>
        </w:rPr>
        <w:t xml:space="preserve"> </w:t>
      </w:r>
      <w:r w:rsidR="00012B9F">
        <w:rPr>
          <w:rFonts w:asciiTheme="minorHAnsi" w:hAnsiTheme="minorHAnsi" w:cstheme="minorHAnsi"/>
          <w:sz w:val="22"/>
          <w:szCs w:val="22"/>
          <w:lang w:val="fr-FR"/>
        </w:rPr>
        <w:t xml:space="preserve">et </w:t>
      </w:r>
    </w:p>
    <w:p w14:paraId="7B91D8C3" w14:textId="77777777" w:rsidR="001C6B44" w:rsidRPr="005C097F" w:rsidRDefault="001C6B44" w:rsidP="001C6B44">
      <w:pPr>
        <w:rPr>
          <w:rFonts w:asciiTheme="minorHAnsi" w:hAnsiTheme="minorHAnsi" w:cstheme="minorHAnsi"/>
          <w:lang w:val="fr-FR"/>
        </w:rPr>
      </w:pPr>
    </w:p>
    <w:p w14:paraId="0ACAF072" w14:textId="643C917C" w:rsidR="000536B9" w:rsidRPr="005C097F" w:rsidRDefault="000536B9" w:rsidP="00863119">
      <w:pPr>
        <w:numPr>
          <w:ilvl w:val="0"/>
          <w:numId w:val="16"/>
        </w:numPr>
        <w:tabs>
          <w:tab w:val="clear" w:pos="720"/>
        </w:tabs>
        <w:ind w:left="850" w:hanging="425"/>
        <w:rPr>
          <w:rFonts w:asciiTheme="minorHAnsi" w:hAnsiTheme="minorHAnsi" w:cstheme="minorHAnsi"/>
          <w:sz w:val="22"/>
          <w:szCs w:val="22"/>
          <w:lang w:val="fr-FR"/>
        </w:rPr>
      </w:pPr>
      <w:r w:rsidRPr="005C097F">
        <w:rPr>
          <w:rStyle w:val="Emphasis"/>
          <w:rFonts w:asciiTheme="minorHAnsi" w:hAnsiTheme="minorHAnsi" w:cstheme="minorHAnsi"/>
          <w:sz w:val="22"/>
          <w:szCs w:val="22"/>
          <w:lang w:val="fr-FR"/>
        </w:rPr>
        <w:t>Thematic assessment on connectivity conservation</w:t>
      </w:r>
      <w:r w:rsidRPr="005C097F">
        <w:rPr>
          <w:rFonts w:asciiTheme="minorHAnsi" w:hAnsiTheme="minorHAnsi" w:cstheme="minorHAnsi"/>
          <w:sz w:val="22"/>
          <w:szCs w:val="22"/>
          <w:lang w:val="fr-FR"/>
        </w:rPr>
        <w:t xml:space="preserve">, </w:t>
      </w:r>
      <w:r w:rsidR="00012B9F">
        <w:rPr>
          <w:rFonts w:asciiTheme="minorHAnsi" w:hAnsiTheme="minorHAnsi" w:cstheme="minorHAnsi"/>
          <w:sz w:val="22"/>
          <w:szCs w:val="22"/>
          <w:lang w:val="fr-FR"/>
        </w:rPr>
        <w:t xml:space="preserve">soumis par la </w:t>
      </w:r>
      <w:r w:rsidR="00863119" w:rsidRPr="005C097F">
        <w:rPr>
          <w:rFonts w:asciiTheme="minorHAnsi" w:hAnsiTheme="minorHAnsi" w:cstheme="minorHAnsi"/>
          <w:sz w:val="22"/>
          <w:szCs w:val="22"/>
          <w:lang w:val="fr-FR"/>
        </w:rPr>
        <w:t>CMS.</w:t>
      </w:r>
    </w:p>
    <w:p w14:paraId="4E29E3A6" w14:textId="77777777" w:rsidR="00863119" w:rsidRPr="00024CE2" w:rsidRDefault="00863119" w:rsidP="00024CE2">
      <w:pPr>
        <w:ind w:left="425" w:hanging="425"/>
        <w:rPr>
          <w:rFonts w:asciiTheme="minorHAnsi" w:hAnsiTheme="minorHAnsi" w:cstheme="minorHAnsi"/>
          <w:sz w:val="22"/>
          <w:szCs w:val="22"/>
        </w:rPr>
      </w:pPr>
    </w:p>
    <w:p w14:paraId="2676EF9A" w14:textId="67F2FB80" w:rsidR="000536B9" w:rsidRPr="00024CE2" w:rsidRDefault="00024CE2" w:rsidP="00024CE2">
      <w:pPr>
        <w:ind w:left="425" w:hanging="425"/>
        <w:rPr>
          <w:rStyle w:val="Emphasis"/>
          <w:rFonts w:asciiTheme="minorHAnsi" w:eastAsiaTheme="majorEastAsia" w:hAnsiTheme="minorHAnsi" w:cstheme="minorHAnsi"/>
          <w:i w:val="0"/>
          <w:iCs w:val="0"/>
          <w:sz w:val="22"/>
          <w:szCs w:val="22"/>
        </w:rPr>
      </w:pPr>
      <w:r w:rsidRPr="00012B9F">
        <w:rPr>
          <w:rFonts w:asciiTheme="minorHAnsi" w:hAnsiTheme="minorHAnsi" w:cstheme="minorHAnsi"/>
          <w:sz w:val="22"/>
          <w:szCs w:val="22"/>
          <w:lang w:val="fr-FR"/>
        </w:rPr>
        <w:t>12.</w:t>
      </w:r>
      <w:r w:rsidRPr="00012B9F">
        <w:rPr>
          <w:rFonts w:asciiTheme="minorHAnsi" w:hAnsiTheme="minorHAnsi" w:cstheme="minorHAnsi"/>
          <w:sz w:val="22"/>
          <w:szCs w:val="22"/>
          <w:lang w:val="fr-FR"/>
        </w:rPr>
        <w:tab/>
      </w:r>
      <w:r w:rsidR="00012B9F" w:rsidRPr="00012B9F">
        <w:rPr>
          <w:rFonts w:asciiTheme="minorHAnsi" w:hAnsiTheme="minorHAnsi" w:cstheme="minorHAnsi"/>
          <w:sz w:val="22"/>
          <w:szCs w:val="22"/>
          <w:lang w:val="fr-FR"/>
        </w:rPr>
        <w:t xml:space="preserve">Selon la procédure décrite dans les lignes directrices, les propositions ont été envoyées </w:t>
      </w:r>
      <w:r w:rsidR="00E64BB7">
        <w:rPr>
          <w:rFonts w:asciiTheme="minorHAnsi" w:hAnsiTheme="minorHAnsi" w:cstheme="minorHAnsi"/>
          <w:sz w:val="22"/>
          <w:szCs w:val="22"/>
          <w:lang w:val="fr-FR"/>
        </w:rPr>
        <w:t xml:space="preserve">pour examen </w:t>
      </w:r>
      <w:r w:rsidR="00012B9F" w:rsidRPr="00012B9F">
        <w:rPr>
          <w:rFonts w:asciiTheme="minorHAnsi" w:hAnsiTheme="minorHAnsi" w:cstheme="minorHAnsi"/>
          <w:sz w:val="22"/>
          <w:szCs w:val="22"/>
          <w:lang w:val="fr-FR"/>
        </w:rPr>
        <w:t>au Comité permanent, accompagnées de l’</w:t>
      </w:r>
      <w:r w:rsidR="00012B9F">
        <w:rPr>
          <w:rFonts w:asciiTheme="minorHAnsi" w:hAnsiTheme="minorHAnsi" w:cstheme="minorHAnsi"/>
          <w:sz w:val="22"/>
          <w:szCs w:val="22"/>
          <w:lang w:val="fr-FR"/>
        </w:rPr>
        <w:t xml:space="preserve">examen et des observations </w:t>
      </w:r>
      <w:r w:rsidR="00012B9F" w:rsidRPr="00012B9F">
        <w:rPr>
          <w:rFonts w:asciiTheme="minorHAnsi" w:hAnsiTheme="minorHAnsi" w:cstheme="minorHAnsi"/>
          <w:sz w:val="22"/>
          <w:szCs w:val="22"/>
          <w:lang w:val="fr-FR"/>
        </w:rPr>
        <w:t xml:space="preserve">du </w:t>
      </w:r>
      <w:r w:rsidR="00F01E27" w:rsidRPr="00012B9F">
        <w:rPr>
          <w:rFonts w:asciiTheme="minorHAnsi" w:hAnsiTheme="minorHAnsi" w:cstheme="minorHAnsi"/>
          <w:sz w:val="22"/>
          <w:szCs w:val="22"/>
          <w:lang w:val="fr-FR"/>
        </w:rPr>
        <w:t>GEST</w:t>
      </w:r>
      <w:r w:rsidR="00304A95" w:rsidRPr="00012B9F">
        <w:rPr>
          <w:rFonts w:asciiTheme="minorHAnsi" w:hAnsiTheme="minorHAnsi" w:cstheme="minorHAnsi"/>
          <w:sz w:val="22"/>
          <w:szCs w:val="22"/>
          <w:lang w:val="fr-FR"/>
        </w:rPr>
        <w:t>.</w:t>
      </w:r>
      <w:r w:rsidR="000536B9" w:rsidRPr="00012B9F">
        <w:rPr>
          <w:rFonts w:asciiTheme="minorHAnsi" w:hAnsiTheme="minorHAnsi" w:cstheme="minorHAnsi"/>
          <w:sz w:val="22"/>
          <w:szCs w:val="22"/>
          <w:lang w:val="fr-FR"/>
        </w:rPr>
        <w:t xml:space="preserve"> </w:t>
      </w:r>
      <w:r w:rsidR="00012B9F" w:rsidRPr="00012B9F">
        <w:rPr>
          <w:rFonts w:asciiTheme="minorHAnsi" w:hAnsiTheme="minorHAnsi" w:cstheme="minorHAnsi"/>
          <w:sz w:val="22"/>
          <w:szCs w:val="22"/>
          <w:lang w:val="fr-FR"/>
        </w:rPr>
        <w:t>La priorité a été accordée à</w:t>
      </w:r>
      <w:r w:rsidR="00012B9F">
        <w:rPr>
          <w:rFonts w:asciiTheme="minorHAnsi" w:hAnsiTheme="minorHAnsi" w:cstheme="minorHAnsi"/>
          <w:sz w:val="22"/>
          <w:szCs w:val="22"/>
          <w:lang w:val="fr-FR"/>
        </w:rPr>
        <w:t xml:space="preserve"> la proposition</w:t>
      </w:r>
      <w:r w:rsidR="00012B9F" w:rsidRPr="00012B9F">
        <w:rPr>
          <w:rFonts w:asciiTheme="minorHAnsi" w:hAnsiTheme="minorHAnsi" w:cstheme="minorHAnsi"/>
          <w:sz w:val="22"/>
          <w:szCs w:val="22"/>
          <w:lang w:val="fr-FR"/>
        </w:rPr>
        <w:t xml:space="preserve"> </w:t>
      </w:r>
      <w:r w:rsidR="000536B9" w:rsidRPr="00012B9F">
        <w:rPr>
          <w:rStyle w:val="Emphasis"/>
          <w:rFonts w:asciiTheme="minorHAnsi" w:eastAsiaTheme="majorEastAsia" w:hAnsiTheme="minorHAnsi" w:cstheme="minorHAnsi"/>
          <w:sz w:val="22"/>
          <w:szCs w:val="22"/>
          <w:lang w:val="fr-FR"/>
        </w:rPr>
        <w:t>Thematic assessment on peatlands</w:t>
      </w:r>
      <w:r w:rsidR="00012B9F" w:rsidRPr="00012B9F">
        <w:rPr>
          <w:rStyle w:val="Emphasis"/>
          <w:rFonts w:asciiTheme="minorHAnsi" w:eastAsiaTheme="majorEastAsia" w:hAnsiTheme="minorHAnsi" w:cstheme="minorHAnsi"/>
          <w:i w:val="0"/>
          <w:iCs w:val="0"/>
          <w:sz w:val="22"/>
          <w:szCs w:val="22"/>
          <w:lang w:val="fr-FR"/>
        </w:rPr>
        <w:t xml:space="preserve">, </w:t>
      </w:r>
      <w:r w:rsidR="00012B9F">
        <w:rPr>
          <w:rStyle w:val="Emphasis"/>
          <w:rFonts w:asciiTheme="minorHAnsi" w:eastAsiaTheme="majorEastAsia" w:hAnsiTheme="minorHAnsi" w:cstheme="minorHAnsi"/>
          <w:i w:val="0"/>
          <w:iCs w:val="0"/>
          <w:sz w:val="22"/>
          <w:szCs w:val="22"/>
          <w:lang w:val="fr-FR"/>
        </w:rPr>
        <w:t xml:space="preserve">que le </w:t>
      </w:r>
      <w:r w:rsidR="00012B9F" w:rsidRPr="00012B9F">
        <w:rPr>
          <w:rStyle w:val="Emphasis"/>
          <w:rFonts w:asciiTheme="minorHAnsi" w:eastAsiaTheme="majorEastAsia" w:hAnsiTheme="minorHAnsi" w:cstheme="minorHAnsi"/>
          <w:i w:val="0"/>
          <w:iCs w:val="0"/>
          <w:sz w:val="22"/>
          <w:szCs w:val="22"/>
          <w:lang w:val="fr-FR"/>
        </w:rPr>
        <w:t>Secrétariat</w:t>
      </w:r>
      <w:r w:rsidR="000536B9" w:rsidRPr="00012B9F">
        <w:rPr>
          <w:rStyle w:val="Emphasis"/>
          <w:rFonts w:asciiTheme="minorHAnsi" w:eastAsiaTheme="majorEastAsia" w:hAnsiTheme="minorHAnsi" w:cstheme="minorHAnsi"/>
          <w:i w:val="0"/>
          <w:iCs w:val="0"/>
          <w:sz w:val="22"/>
          <w:szCs w:val="22"/>
          <w:lang w:val="fr-FR"/>
        </w:rPr>
        <w:t xml:space="preserve"> </w:t>
      </w:r>
      <w:r w:rsidR="00012B9F" w:rsidRPr="00012B9F">
        <w:rPr>
          <w:rStyle w:val="Emphasis"/>
          <w:rFonts w:asciiTheme="minorHAnsi" w:eastAsiaTheme="majorEastAsia" w:hAnsiTheme="minorHAnsi" w:cstheme="minorHAnsi"/>
          <w:i w:val="0"/>
          <w:iCs w:val="0"/>
          <w:sz w:val="22"/>
          <w:szCs w:val="22"/>
          <w:lang w:val="fr-FR"/>
        </w:rPr>
        <w:t>a donc soumis</w:t>
      </w:r>
      <w:r w:rsidR="00012B9F">
        <w:rPr>
          <w:rStyle w:val="Emphasis"/>
          <w:rFonts w:asciiTheme="minorHAnsi" w:eastAsiaTheme="majorEastAsia" w:hAnsiTheme="minorHAnsi" w:cstheme="minorHAnsi"/>
          <w:i w:val="0"/>
          <w:iCs w:val="0"/>
          <w:sz w:val="22"/>
          <w:szCs w:val="22"/>
          <w:lang w:val="fr-FR"/>
        </w:rPr>
        <w:t xml:space="preserve">e </w:t>
      </w:r>
      <w:r w:rsidR="00012B9F" w:rsidRPr="00012B9F">
        <w:rPr>
          <w:rStyle w:val="Emphasis"/>
          <w:rFonts w:asciiTheme="minorHAnsi" w:eastAsiaTheme="majorEastAsia" w:hAnsiTheme="minorHAnsi" w:cstheme="minorHAnsi"/>
          <w:i w:val="0"/>
          <w:iCs w:val="0"/>
          <w:sz w:val="22"/>
          <w:szCs w:val="22"/>
          <w:lang w:val="fr-FR"/>
        </w:rPr>
        <w:t>à l’</w:t>
      </w:r>
      <w:r w:rsidR="000536B9" w:rsidRPr="00012B9F">
        <w:rPr>
          <w:rStyle w:val="Emphasis"/>
          <w:rFonts w:asciiTheme="minorHAnsi" w:eastAsiaTheme="majorEastAsia" w:hAnsiTheme="minorHAnsi" w:cstheme="minorHAnsi"/>
          <w:i w:val="0"/>
          <w:iCs w:val="0"/>
          <w:sz w:val="22"/>
          <w:szCs w:val="22"/>
          <w:lang w:val="fr-FR"/>
        </w:rPr>
        <w:t xml:space="preserve">IPBES </w:t>
      </w:r>
      <w:r w:rsidR="00012B9F" w:rsidRPr="00012B9F">
        <w:rPr>
          <w:rStyle w:val="Emphasis"/>
          <w:rFonts w:asciiTheme="minorHAnsi" w:eastAsiaTheme="majorEastAsia" w:hAnsiTheme="minorHAnsi" w:cstheme="minorHAnsi"/>
          <w:i w:val="0"/>
          <w:iCs w:val="0"/>
          <w:sz w:val="22"/>
          <w:szCs w:val="22"/>
          <w:lang w:val="fr-FR"/>
        </w:rPr>
        <w:t xml:space="preserve">avant le </w:t>
      </w:r>
      <w:r w:rsidR="000536B9" w:rsidRPr="00012B9F">
        <w:rPr>
          <w:rStyle w:val="Emphasis"/>
          <w:rFonts w:asciiTheme="minorHAnsi" w:eastAsiaTheme="majorEastAsia" w:hAnsiTheme="minorHAnsi" w:cstheme="minorHAnsi"/>
          <w:i w:val="0"/>
          <w:iCs w:val="0"/>
          <w:sz w:val="22"/>
          <w:szCs w:val="22"/>
          <w:lang w:val="fr-FR"/>
        </w:rPr>
        <w:t xml:space="preserve">31 </w:t>
      </w:r>
      <w:r w:rsidR="00012B9F" w:rsidRPr="00012B9F">
        <w:rPr>
          <w:rStyle w:val="Emphasis"/>
          <w:rFonts w:asciiTheme="minorHAnsi" w:eastAsiaTheme="majorEastAsia" w:hAnsiTheme="minorHAnsi" w:cstheme="minorHAnsi"/>
          <w:i w:val="0"/>
          <w:iCs w:val="0"/>
          <w:sz w:val="22"/>
          <w:szCs w:val="22"/>
          <w:lang w:val="fr-FR"/>
        </w:rPr>
        <w:t xml:space="preserve">décembre </w:t>
      </w:r>
      <w:r w:rsidR="000536B9" w:rsidRPr="00012B9F">
        <w:rPr>
          <w:rStyle w:val="Emphasis"/>
          <w:rFonts w:asciiTheme="minorHAnsi" w:eastAsiaTheme="majorEastAsia" w:hAnsiTheme="minorHAnsi" w:cstheme="minorHAnsi"/>
          <w:i w:val="0"/>
          <w:iCs w:val="0"/>
          <w:sz w:val="22"/>
          <w:szCs w:val="22"/>
          <w:lang w:val="fr-FR"/>
        </w:rPr>
        <w:t xml:space="preserve">2018, </w:t>
      </w:r>
      <w:r w:rsidR="00012B9F" w:rsidRPr="00012B9F">
        <w:rPr>
          <w:rStyle w:val="Emphasis"/>
          <w:rFonts w:asciiTheme="minorHAnsi" w:eastAsiaTheme="majorEastAsia" w:hAnsiTheme="minorHAnsi" w:cstheme="minorHAnsi"/>
          <w:i w:val="0"/>
          <w:iCs w:val="0"/>
          <w:sz w:val="22"/>
          <w:szCs w:val="22"/>
          <w:lang w:val="fr-FR"/>
        </w:rPr>
        <w:t xml:space="preserve">date butoir pour la présentation des propositions des </w:t>
      </w:r>
      <w:r w:rsidR="00F01E27" w:rsidRPr="00012B9F">
        <w:rPr>
          <w:rStyle w:val="Emphasis"/>
          <w:rFonts w:asciiTheme="minorHAnsi" w:eastAsiaTheme="majorEastAsia" w:hAnsiTheme="minorHAnsi" w:cstheme="minorHAnsi"/>
          <w:i w:val="0"/>
          <w:iCs w:val="0"/>
          <w:sz w:val="22"/>
          <w:szCs w:val="22"/>
          <w:lang w:val="fr-FR"/>
        </w:rPr>
        <w:t>AME</w:t>
      </w:r>
      <w:r w:rsidR="000536B9" w:rsidRPr="00024CE2">
        <w:rPr>
          <w:rStyle w:val="Emphasis"/>
          <w:rFonts w:asciiTheme="minorHAnsi" w:eastAsiaTheme="majorEastAsia" w:hAnsiTheme="minorHAnsi" w:cstheme="minorHAnsi"/>
          <w:i w:val="0"/>
          <w:iCs w:val="0"/>
          <w:sz w:val="22"/>
          <w:szCs w:val="22"/>
        </w:rPr>
        <w:t>.</w:t>
      </w:r>
    </w:p>
    <w:p w14:paraId="2EF4C104" w14:textId="7E9D8BDE" w:rsidR="00B707D0" w:rsidRPr="00024CE2" w:rsidRDefault="00B707D0" w:rsidP="00024CE2">
      <w:pPr>
        <w:ind w:left="425" w:hanging="425"/>
        <w:rPr>
          <w:rStyle w:val="Emphasis"/>
          <w:rFonts w:asciiTheme="minorHAnsi" w:eastAsiaTheme="majorEastAsia" w:hAnsiTheme="minorHAnsi" w:cstheme="minorHAnsi"/>
          <w:i w:val="0"/>
          <w:iCs w:val="0"/>
          <w:sz w:val="22"/>
          <w:szCs w:val="22"/>
        </w:rPr>
      </w:pPr>
    </w:p>
    <w:p w14:paraId="4BDC4D96" w14:textId="25AB7296" w:rsidR="00E22523" w:rsidRPr="00E22523" w:rsidRDefault="00024CE2" w:rsidP="00E22523">
      <w:pPr>
        <w:ind w:left="425" w:hanging="425"/>
        <w:rPr>
          <w:rFonts w:asciiTheme="minorHAnsi" w:hAnsiTheme="minorHAnsi" w:cstheme="minorHAnsi"/>
          <w:sz w:val="22"/>
          <w:szCs w:val="22"/>
          <w:lang w:val="fr-FR"/>
        </w:rPr>
      </w:pPr>
      <w:r>
        <w:rPr>
          <w:rFonts w:asciiTheme="minorHAnsi" w:hAnsiTheme="minorHAnsi" w:cstheme="minorHAnsi"/>
          <w:sz w:val="22"/>
          <w:szCs w:val="22"/>
        </w:rPr>
        <w:t>13.</w:t>
      </w:r>
      <w:r>
        <w:rPr>
          <w:rFonts w:asciiTheme="minorHAnsi" w:hAnsiTheme="minorHAnsi" w:cstheme="minorHAnsi"/>
          <w:sz w:val="22"/>
          <w:szCs w:val="22"/>
        </w:rPr>
        <w:tab/>
      </w:r>
      <w:r w:rsidR="00E22523" w:rsidRPr="00E22523">
        <w:rPr>
          <w:rFonts w:asciiTheme="minorHAnsi" w:hAnsiTheme="minorHAnsi" w:cstheme="minorHAnsi"/>
          <w:sz w:val="22"/>
          <w:szCs w:val="22"/>
          <w:lang w:val="fr-FR"/>
        </w:rPr>
        <w:t>Le 28 février 2019, le Secrétariat de l'IPBES a informé le Secrétariat de la Convention de Ramsar que la proposition de la Convention relative à l’évaluation thématique des tourbières (</w:t>
      </w:r>
      <w:r w:rsidR="00E22523" w:rsidRPr="00E22523">
        <w:rPr>
          <w:rFonts w:asciiTheme="minorHAnsi" w:hAnsiTheme="minorHAnsi" w:cstheme="minorHAnsi"/>
          <w:i/>
          <w:sz w:val="22"/>
          <w:szCs w:val="22"/>
          <w:lang w:val="fr-FR"/>
        </w:rPr>
        <w:t>Thematic assessement on peatlands)</w:t>
      </w:r>
      <w:r w:rsidR="00E22523" w:rsidRPr="00E22523">
        <w:rPr>
          <w:rFonts w:asciiTheme="minorHAnsi" w:hAnsiTheme="minorHAnsi" w:cstheme="minorHAnsi"/>
          <w:sz w:val="22"/>
          <w:szCs w:val="22"/>
          <w:lang w:val="fr-FR"/>
        </w:rPr>
        <w:t xml:space="preserve"> avait été examinée par le Groupe d'experts multidisciplinaire (GEM) et le Bureau de l'IPBES. Il a constaté que le thème pourrait être «</w:t>
      </w:r>
      <w:r w:rsidR="00E800CA">
        <w:rPr>
          <w:rFonts w:asciiTheme="minorHAnsi" w:hAnsiTheme="minorHAnsi" w:cstheme="minorHAnsi"/>
          <w:sz w:val="22"/>
          <w:szCs w:val="22"/>
          <w:lang w:val="fr-FR"/>
        </w:rPr>
        <w:t xml:space="preserve"> </w:t>
      </w:r>
      <w:r w:rsidR="00E22523" w:rsidRPr="00E22523">
        <w:rPr>
          <w:rFonts w:asciiTheme="minorHAnsi" w:hAnsiTheme="minorHAnsi" w:cstheme="minorHAnsi"/>
          <w:sz w:val="22"/>
          <w:szCs w:val="22"/>
          <w:lang w:val="fr-FR"/>
        </w:rPr>
        <w:t xml:space="preserve">traité comme une évaluation thématique spécifique ou comme une composante d'une évaluation mondiale de la biodiversité et des services écosystémiques ». </w:t>
      </w:r>
      <w:r w:rsidR="00A30C6A">
        <w:rPr>
          <w:rFonts w:asciiTheme="minorHAnsi" w:hAnsiTheme="minorHAnsi" w:cstheme="minorHAnsi"/>
          <w:sz w:val="22"/>
          <w:szCs w:val="22"/>
          <w:lang w:val="fr-FR"/>
        </w:rPr>
        <w:t>Il a cependant recommandé à la P</w:t>
      </w:r>
      <w:r w:rsidR="00E22523" w:rsidRPr="00E22523">
        <w:rPr>
          <w:rFonts w:asciiTheme="minorHAnsi" w:hAnsiTheme="minorHAnsi" w:cstheme="minorHAnsi"/>
          <w:sz w:val="22"/>
          <w:szCs w:val="22"/>
          <w:lang w:val="fr-FR"/>
        </w:rPr>
        <w:t xml:space="preserve">lénière de l'IPBES d'entreprendre une évaluation mondiale à sa </w:t>
      </w:r>
      <w:r w:rsidR="009E4468">
        <w:rPr>
          <w:rFonts w:asciiTheme="minorHAnsi" w:hAnsiTheme="minorHAnsi" w:cstheme="minorHAnsi"/>
          <w:sz w:val="22"/>
          <w:szCs w:val="22"/>
          <w:lang w:val="fr-FR"/>
        </w:rPr>
        <w:t>10</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E22523" w:rsidRPr="00E22523">
        <w:rPr>
          <w:rFonts w:asciiTheme="minorHAnsi" w:hAnsiTheme="minorHAnsi" w:cstheme="minorHAnsi"/>
          <w:sz w:val="22"/>
          <w:szCs w:val="22"/>
          <w:lang w:val="fr-FR"/>
        </w:rPr>
        <w:t xml:space="preserve">session, étant donné que la première Évaluation mondiale de l'IPBES sera parachevée à la </w:t>
      </w:r>
      <w:r w:rsidR="009E4468">
        <w:rPr>
          <w:rFonts w:asciiTheme="minorHAnsi" w:hAnsiTheme="minorHAnsi" w:cstheme="minorHAnsi"/>
          <w:sz w:val="22"/>
          <w:szCs w:val="22"/>
          <w:lang w:val="fr-FR"/>
        </w:rPr>
        <w:t>7</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E22523" w:rsidRPr="00E22523">
        <w:rPr>
          <w:rFonts w:asciiTheme="minorHAnsi" w:hAnsiTheme="minorHAnsi" w:cstheme="minorHAnsi"/>
          <w:sz w:val="22"/>
          <w:szCs w:val="22"/>
          <w:lang w:val="fr-FR"/>
        </w:rPr>
        <w:t>session de la P</w:t>
      </w:r>
      <w:r w:rsidR="00E22523">
        <w:rPr>
          <w:rFonts w:asciiTheme="minorHAnsi" w:hAnsiTheme="minorHAnsi" w:cstheme="minorHAnsi"/>
          <w:sz w:val="22"/>
          <w:szCs w:val="22"/>
          <w:lang w:val="fr-FR"/>
        </w:rPr>
        <w:t>lénière.</w:t>
      </w:r>
    </w:p>
    <w:p w14:paraId="609D8288" w14:textId="322300A0" w:rsidR="00A52667" w:rsidRPr="00024CE2" w:rsidRDefault="00A52667" w:rsidP="00024CE2">
      <w:pPr>
        <w:ind w:left="425" w:hanging="425"/>
        <w:rPr>
          <w:rFonts w:asciiTheme="minorHAnsi" w:hAnsiTheme="minorHAnsi" w:cstheme="minorHAnsi"/>
          <w:sz w:val="22"/>
          <w:szCs w:val="22"/>
          <w:highlight w:val="yellow"/>
        </w:rPr>
      </w:pPr>
    </w:p>
    <w:p w14:paraId="502601BD" w14:textId="0B7A5968" w:rsidR="00E22523" w:rsidRPr="00E22523" w:rsidRDefault="00024CE2" w:rsidP="00024CE2">
      <w:pPr>
        <w:ind w:left="425" w:hanging="425"/>
        <w:rPr>
          <w:rFonts w:asciiTheme="minorHAnsi" w:hAnsiTheme="minorHAnsi" w:cstheme="minorHAnsi"/>
          <w:sz w:val="22"/>
          <w:szCs w:val="22"/>
          <w:lang w:val="fr-FR"/>
        </w:rPr>
      </w:pPr>
      <w:r>
        <w:rPr>
          <w:rFonts w:asciiTheme="minorHAnsi" w:hAnsiTheme="minorHAnsi" w:cstheme="minorHAnsi"/>
          <w:sz w:val="22"/>
          <w:szCs w:val="22"/>
        </w:rPr>
        <w:t>14.</w:t>
      </w:r>
      <w:r>
        <w:rPr>
          <w:rFonts w:asciiTheme="minorHAnsi" w:hAnsiTheme="minorHAnsi" w:cstheme="minorHAnsi"/>
          <w:sz w:val="22"/>
          <w:szCs w:val="22"/>
        </w:rPr>
        <w:tab/>
      </w:r>
      <w:r w:rsidR="00E22523" w:rsidRPr="00E22523">
        <w:rPr>
          <w:rFonts w:asciiTheme="minorHAnsi" w:hAnsiTheme="minorHAnsi" w:cstheme="minorHAnsi"/>
          <w:sz w:val="22"/>
          <w:szCs w:val="22"/>
          <w:lang w:val="fr-FR"/>
        </w:rPr>
        <w:t>Le président de GEST a assisté à la 11</w:t>
      </w:r>
      <w:r w:rsidR="00E22523" w:rsidRPr="00E22523">
        <w:rPr>
          <w:rFonts w:asciiTheme="minorHAnsi" w:hAnsiTheme="minorHAnsi" w:cstheme="minorHAnsi"/>
          <w:sz w:val="22"/>
          <w:szCs w:val="22"/>
          <w:vertAlign w:val="superscript"/>
          <w:lang w:val="fr-FR"/>
        </w:rPr>
        <w:t>e</w:t>
      </w:r>
      <w:r w:rsidR="00E22523">
        <w:rPr>
          <w:rFonts w:asciiTheme="minorHAnsi" w:hAnsiTheme="minorHAnsi" w:cstheme="minorHAnsi"/>
          <w:sz w:val="22"/>
          <w:szCs w:val="22"/>
          <w:lang w:val="fr-FR"/>
        </w:rPr>
        <w:t xml:space="preserve"> </w:t>
      </w:r>
      <w:r w:rsidR="00E22523" w:rsidRPr="00E22523">
        <w:rPr>
          <w:rFonts w:asciiTheme="minorHAnsi" w:hAnsiTheme="minorHAnsi" w:cstheme="minorHAnsi"/>
          <w:sz w:val="22"/>
          <w:szCs w:val="22"/>
          <w:lang w:val="fr-FR"/>
        </w:rPr>
        <w:t>réunion du Groupe d’experts multidisciplinaire de l’IPBES</w:t>
      </w:r>
      <w:r w:rsidR="00E64BB7">
        <w:rPr>
          <w:rFonts w:asciiTheme="minorHAnsi" w:hAnsiTheme="minorHAnsi" w:cstheme="minorHAnsi"/>
          <w:sz w:val="22"/>
          <w:szCs w:val="22"/>
          <w:lang w:val="fr-FR"/>
        </w:rPr>
        <w:t xml:space="preserve"> du </w:t>
      </w:r>
      <w:r w:rsidR="00E22523" w:rsidRPr="00E22523">
        <w:rPr>
          <w:rFonts w:asciiTheme="minorHAnsi" w:hAnsiTheme="minorHAnsi" w:cstheme="minorHAnsi"/>
          <w:sz w:val="22"/>
          <w:szCs w:val="22"/>
          <w:lang w:val="fr-FR"/>
        </w:rPr>
        <w:t xml:space="preserve">26 au 28 juin 2018 à Bonn, Allemagne. Parmi les points discutés figuraient le futur programme de travail de l'IPBES, la date </w:t>
      </w:r>
      <w:r w:rsidR="00A30C6A">
        <w:rPr>
          <w:rFonts w:asciiTheme="minorHAnsi" w:hAnsiTheme="minorHAnsi" w:cstheme="minorHAnsi"/>
          <w:sz w:val="22"/>
          <w:szCs w:val="22"/>
          <w:lang w:val="fr-FR"/>
        </w:rPr>
        <w:t xml:space="preserve">limite </w:t>
      </w:r>
      <w:r w:rsidR="00E22523" w:rsidRPr="00E22523">
        <w:rPr>
          <w:rFonts w:asciiTheme="minorHAnsi" w:hAnsiTheme="minorHAnsi" w:cstheme="minorHAnsi"/>
          <w:sz w:val="22"/>
          <w:szCs w:val="22"/>
          <w:lang w:val="fr-FR"/>
        </w:rPr>
        <w:t>à laquelle les AME peuvent soumettre leurs demandes d'évaluation thémati</w:t>
      </w:r>
      <w:bookmarkStart w:id="0" w:name="_GoBack"/>
      <w:bookmarkEnd w:id="0"/>
      <w:r w:rsidR="00E22523" w:rsidRPr="00E22523">
        <w:rPr>
          <w:rFonts w:asciiTheme="minorHAnsi" w:hAnsiTheme="minorHAnsi" w:cstheme="minorHAnsi"/>
          <w:sz w:val="22"/>
          <w:szCs w:val="22"/>
          <w:lang w:val="fr-FR"/>
        </w:rPr>
        <w:t>que, l'examen externe de l'IPBES et l'intégration des produits de l'IPBES dans les produits Ramsar.</w:t>
      </w:r>
    </w:p>
    <w:p w14:paraId="2AC5696F" w14:textId="24DC0A75" w:rsidR="00C879A7" w:rsidRPr="00407BF6" w:rsidRDefault="00C879A7" w:rsidP="00F61CAA">
      <w:pPr>
        <w:rPr>
          <w:rFonts w:asciiTheme="minorHAnsi" w:hAnsiTheme="minorHAnsi" w:cstheme="minorHAnsi"/>
          <w:sz w:val="22"/>
          <w:szCs w:val="22"/>
        </w:rPr>
      </w:pPr>
    </w:p>
    <w:p w14:paraId="6483CF41" w14:textId="556B7EC2" w:rsidR="00A52667" w:rsidRPr="00E22523" w:rsidRDefault="00E22523" w:rsidP="00030B12">
      <w:pPr>
        <w:rPr>
          <w:rFonts w:asciiTheme="minorHAnsi" w:hAnsiTheme="minorHAnsi" w:cstheme="minorHAnsi"/>
          <w:b/>
          <w:sz w:val="22"/>
          <w:szCs w:val="22"/>
          <w:lang w:val="fr-FR"/>
        </w:rPr>
      </w:pPr>
      <w:r w:rsidRPr="00E22523">
        <w:rPr>
          <w:rFonts w:asciiTheme="minorHAnsi" w:hAnsiTheme="minorHAnsi" w:cstheme="minorHAnsi"/>
          <w:b/>
          <w:sz w:val="22"/>
          <w:szCs w:val="22"/>
          <w:lang w:val="fr-FR"/>
        </w:rPr>
        <w:t>Coopération</w:t>
      </w:r>
      <w:r w:rsidR="001C6B44" w:rsidRPr="00E22523">
        <w:rPr>
          <w:rFonts w:asciiTheme="minorHAnsi" w:hAnsiTheme="minorHAnsi" w:cstheme="minorHAnsi"/>
          <w:b/>
          <w:sz w:val="22"/>
          <w:szCs w:val="22"/>
          <w:lang w:val="fr-FR"/>
        </w:rPr>
        <w:t xml:space="preserve"> </w:t>
      </w:r>
      <w:r w:rsidRPr="00E22523">
        <w:rPr>
          <w:rFonts w:asciiTheme="minorHAnsi" w:hAnsiTheme="minorHAnsi" w:cstheme="minorHAnsi"/>
          <w:b/>
          <w:sz w:val="22"/>
          <w:szCs w:val="22"/>
          <w:lang w:val="fr-FR"/>
        </w:rPr>
        <w:t xml:space="preserve">avec les accords multilatéraux sur l’environnement </w:t>
      </w:r>
    </w:p>
    <w:p w14:paraId="2FB2D4F2" w14:textId="77777777" w:rsidR="00A52667" w:rsidRPr="00E22523" w:rsidRDefault="00A52667" w:rsidP="00AA2B27">
      <w:pPr>
        <w:rPr>
          <w:rFonts w:asciiTheme="minorHAnsi" w:hAnsiTheme="minorHAnsi" w:cstheme="minorHAnsi"/>
          <w:b/>
          <w:sz w:val="22"/>
          <w:szCs w:val="22"/>
          <w:lang w:val="fr-FR"/>
        </w:rPr>
      </w:pPr>
    </w:p>
    <w:p w14:paraId="7AA003B4" w14:textId="6CB68B6D" w:rsidR="00A52667" w:rsidRPr="00E22523" w:rsidRDefault="00AA2B27" w:rsidP="00AA2B27">
      <w:pPr>
        <w:ind w:left="425" w:hanging="425"/>
        <w:rPr>
          <w:rFonts w:asciiTheme="minorHAnsi" w:hAnsiTheme="minorHAnsi" w:cstheme="minorHAnsi"/>
          <w:sz w:val="22"/>
          <w:szCs w:val="22"/>
          <w:lang w:val="fr-FR"/>
        </w:rPr>
      </w:pPr>
      <w:r w:rsidRPr="00E22523">
        <w:rPr>
          <w:rFonts w:asciiTheme="minorHAnsi" w:hAnsiTheme="minorHAnsi" w:cstheme="minorHAnsi"/>
          <w:sz w:val="22"/>
          <w:szCs w:val="22"/>
          <w:lang w:val="fr-FR"/>
        </w:rPr>
        <w:t>15.</w:t>
      </w:r>
      <w:r w:rsidRPr="00E22523">
        <w:rPr>
          <w:rFonts w:asciiTheme="minorHAnsi" w:hAnsiTheme="minorHAnsi" w:cstheme="minorHAnsi"/>
          <w:sz w:val="22"/>
          <w:szCs w:val="22"/>
          <w:lang w:val="fr-FR"/>
        </w:rPr>
        <w:tab/>
      </w:r>
      <w:r w:rsidR="005C097F" w:rsidRPr="00E22523">
        <w:rPr>
          <w:rFonts w:asciiTheme="minorHAnsi" w:hAnsiTheme="minorHAnsi" w:cstheme="minorHAnsi"/>
          <w:sz w:val="22"/>
          <w:szCs w:val="22"/>
          <w:lang w:val="fr-FR"/>
        </w:rPr>
        <w:t>Le Secrétariat</w:t>
      </w:r>
      <w:r w:rsidR="00A52667" w:rsidRPr="00E22523">
        <w:rPr>
          <w:rFonts w:asciiTheme="minorHAnsi" w:hAnsiTheme="minorHAnsi" w:cstheme="minorHAnsi"/>
          <w:sz w:val="22"/>
          <w:szCs w:val="22"/>
          <w:lang w:val="fr-FR"/>
        </w:rPr>
        <w:t xml:space="preserve"> </w:t>
      </w:r>
      <w:r w:rsidR="00EB1FF6" w:rsidRPr="00E22523">
        <w:rPr>
          <w:rFonts w:asciiTheme="minorHAnsi" w:hAnsiTheme="minorHAnsi" w:cstheme="minorHAnsi"/>
          <w:sz w:val="22"/>
          <w:szCs w:val="22"/>
          <w:lang w:val="fr-FR"/>
        </w:rPr>
        <w:t>continue</w:t>
      </w:r>
      <w:r w:rsidR="00E22523">
        <w:rPr>
          <w:rFonts w:asciiTheme="minorHAnsi" w:hAnsiTheme="minorHAnsi" w:cstheme="minorHAnsi"/>
          <w:sz w:val="22"/>
          <w:szCs w:val="22"/>
          <w:lang w:val="fr-FR"/>
        </w:rPr>
        <w:t xml:space="preserve"> à collaborer activement avec d’autres AME, et a concentré ses </w:t>
      </w:r>
      <w:r w:rsidR="00A52667" w:rsidRPr="00E22523">
        <w:rPr>
          <w:rFonts w:asciiTheme="minorHAnsi" w:hAnsiTheme="minorHAnsi" w:cstheme="minorHAnsi"/>
          <w:sz w:val="22"/>
          <w:szCs w:val="22"/>
          <w:lang w:val="fr-FR"/>
        </w:rPr>
        <w:t xml:space="preserve">efforts </w:t>
      </w:r>
      <w:r w:rsidR="00E22523">
        <w:rPr>
          <w:rFonts w:asciiTheme="minorHAnsi" w:hAnsiTheme="minorHAnsi" w:cstheme="minorHAnsi"/>
          <w:sz w:val="22"/>
          <w:szCs w:val="22"/>
          <w:lang w:val="fr-FR"/>
        </w:rPr>
        <w:t xml:space="preserve">conformément au </w:t>
      </w:r>
      <w:r w:rsidR="00A52667" w:rsidRPr="00E22523">
        <w:rPr>
          <w:rFonts w:asciiTheme="minorHAnsi" w:hAnsiTheme="minorHAnsi" w:cstheme="minorHAnsi"/>
          <w:sz w:val="22"/>
          <w:szCs w:val="22"/>
          <w:lang w:val="fr-FR"/>
        </w:rPr>
        <w:t>paragraph</w:t>
      </w:r>
      <w:r w:rsidR="00E22523">
        <w:rPr>
          <w:rFonts w:asciiTheme="minorHAnsi" w:hAnsiTheme="minorHAnsi" w:cstheme="minorHAnsi"/>
          <w:sz w:val="22"/>
          <w:szCs w:val="22"/>
          <w:lang w:val="fr-FR"/>
        </w:rPr>
        <w:t>e</w:t>
      </w:r>
      <w:r w:rsidR="00A52667" w:rsidRPr="00E22523">
        <w:rPr>
          <w:rFonts w:asciiTheme="minorHAnsi" w:hAnsiTheme="minorHAnsi" w:cstheme="minorHAnsi"/>
          <w:sz w:val="22"/>
          <w:szCs w:val="22"/>
          <w:lang w:val="fr-FR"/>
        </w:rPr>
        <w:t xml:space="preserve"> 44 </w:t>
      </w:r>
      <w:r w:rsidR="00E22523">
        <w:rPr>
          <w:rFonts w:asciiTheme="minorHAnsi" w:hAnsiTheme="minorHAnsi" w:cstheme="minorHAnsi"/>
          <w:sz w:val="22"/>
          <w:szCs w:val="22"/>
          <w:lang w:val="fr-FR"/>
        </w:rPr>
        <w:t xml:space="preserve">de </w:t>
      </w:r>
      <w:r w:rsidR="00F01E27" w:rsidRPr="00E22523">
        <w:rPr>
          <w:rFonts w:asciiTheme="minorHAnsi" w:hAnsiTheme="minorHAnsi" w:cstheme="minorHAnsi"/>
          <w:sz w:val="22"/>
          <w:szCs w:val="22"/>
          <w:lang w:val="fr-FR"/>
        </w:rPr>
        <w:t>la Résolution X</w:t>
      </w:r>
      <w:r w:rsidR="00A52667" w:rsidRPr="00E22523">
        <w:rPr>
          <w:rFonts w:asciiTheme="minorHAnsi" w:hAnsiTheme="minorHAnsi" w:cstheme="minorHAnsi"/>
          <w:sz w:val="22"/>
          <w:szCs w:val="22"/>
          <w:lang w:val="fr-FR"/>
        </w:rPr>
        <w:t>II.3.</w:t>
      </w:r>
    </w:p>
    <w:p w14:paraId="67BB0EA5" w14:textId="77777777" w:rsidR="00A52667" w:rsidRPr="00E22523" w:rsidRDefault="00A52667" w:rsidP="00F61CAA">
      <w:pPr>
        <w:autoSpaceDE w:val="0"/>
        <w:autoSpaceDN w:val="0"/>
        <w:adjustRightInd w:val="0"/>
        <w:rPr>
          <w:rFonts w:asciiTheme="minorHAnsi" w:hAnsiTheme="minorHAnsi" w:cstheme="minorHAnsi"/>
          <w:sz w:val="22"/>
          <w:szCs w:val="22"/>
          <w:lang w:val="fr-FR"/>
        </w:rPr>
      </w:pPr>
    </w:p>
    <w:p w14:paraId="138D59BC" w14:textId="24798010" w:rsidR="00DD4547" w:rsidRPr="00E22523" w:rsidRDefault="00DD4547" w:rsidP="00F61CAA">
      <w:pPr>
        <w:pStyle w:val="ListParagraph"/>
        <w:ind w:left="0"/>
        <w:jc w:val="left"/>
        <w:rPr>
          <w:rFonts w:asciiTheme="minorHAnsi" w:hAnsiTheme="minorHAnsi" w:cstheme="minorHAnsi"/>
          <w:i/>
          <w:lang w:val="fr-FR"/>
        </w:rPr>
      </w:pPr>
      <w:r w:rsidRPr="00E22523">
        <w:rPr>
          <w:rFonts w:asciiTheme="minorHAnsi" w:eastAsiaTheme="minorHAnsi" w:hAnsiTheme="minorHAnsi" w:cstheme="minorHAnsi"/>
          <w:bCs/>
          <w:i/>
          <w:lang w:val="fr-FR"/>
        </w:rPr>
        <w:t>Convention</w:t>
      </w:r>
      <w:r w:rsidR="00E22523">
        <w:rPr>
          <w:rFonts w:asciiTheme="minorHAnsi" w:eastAsiaTheme="minorHAnsi" w:hAnsiTheme="minorHAnsi" w:cstheme="minorHAnsi"/>
          <w:bCs/>
          <w:i/>
          <w:lang w:val="fr-FR"/>
        </w:rPr>
        <w:t xml:space="preserve"> sur la diversité biologique </w:t>
      </w:r>
    </w:p>
    <w:p w14:paraId="30B8475B" w14:textId="77777777" w:rsidR="00DD4547" w:rsidRPr="00E22523" w:rsidRDefault="00DD4547" w:rsidP="00F61CAA">
      <w:pPr>
        <w:pStyle w:val="ListParagraph"/>
        <w:ind w:left="0"/>
        <w:jc w:val="left"/>
        <w:rPr>
          <w:rFonts w:asciiTheme="minorHAnsi" w:hAnsiTheme="minorHAnsi" w:cstheme="minorHAnsi"/>
          <w:lang w:val="fr-FR"/>
        </w:rPr>
      </w:pPr>
    </w:p>
    <w:p w14:paraId="5F96918A" w14:textId="658789AE" w:rsidR="002F3514" w:rsidRDefault="00BE0B1E" w:rsidP="00AA2B27">
      <w:pPr>
        <w:ind w:left="425" w:hanging="425"/>
        <w:rPr>
          <w:rFonts w:asciiTheme="minorHAnsi" w:hAnsiTheme="minorHAnsi" w:cstheme="minorHAnsi"/>
          <w:sz w:val="22"/>
          <w:szCs w:val="22"/>
          <w:lang w:val="fr-FR"/>
        </w:rPr>
      </w:pPr>
      <w:r w:rsidRPr="00E22523">
        <w:rPr>
          <w:rFonts w:asciiTheme="minorHAnsi" w:hAnsiTheme="minorHAnsi" w:cstheme="minorHAnsi"/>
          <w:sz w:val="22"/>
          <w:szCs w:val="22"/>
          <w:lang w:val="fr-FR"/>
        </w:rPr>
        <w:t>16.</w:t>
      </w:r>
      <w:r w:rsidRPr="00E22523">
        <w:rPr>
          <w:rFonts w:asciiTheme="minorHAnsi" w:hAnsiTheme="minorHAnsi" w:cstheme="minorHAnsi"/>
          <w:sz w:val="22"/>
          <w:szCs w:val="22"/>
          <w:lang w:val="fr-FR"/>
        </w:rPr>
        <w:tab/>
      </w:r>
      <w:r w:rsidR="005C097F" w:rsidRPr="00E22523">
        <w:rPr>
          <w:rFonts w:asciiTheme="minorHAnsi" w:hAnsiTheme="minorHAnsi" w:cstheme="minorHAnsi"/>
          <w:sz w:val="22"/>
          <w:szCs w:val="22"/>
          <w:lang w:val="fr-FR"/>
        </w:rPr>
        <w:t>Le Secrétariat</w:t>
      </w:r>
      <w:r w:rsidR="00DD4547" w:rsidRPr="00E22523">
        <w:rPr>
          <w:rFonts w:asciiTheme="minorHAnsi" w:hAnsiTheme="minorHAnsi" w:cstheme="minorHAnsi"/>
          <w:sz w:val="22"/>
          <w:szCs w:val="22"/>
          <w:lang w:val="fr-FR"/>
        </w:rPr>
        <w:t xml:space="preserve"> </w:t>
      </w:r>
      <w:r w:rsidR="00A30C6A">
        <w:rPr>
          <w:rFonts w:asciiTheme="minorHAnsi" w:hAnsiTheme="minorHAnsi" w:cstheme="minorHAnsi"/>
          <w:sz w:val="22"/>
          <w:szCs w:val="22"/>
          <w:lang w:val="fr-FR"/>
        </w:rPr>
        <w:t xml:space="preserve">a </w:t>
      </w:r>
      <w:r w:rsidR="002F3514" w:rsidRPr="002F3514">
        <w:rPr>
          <w:rFonts w:asciiTheme="minorHAnsi" w:hAnsiTheme="minorHAnsi" w:cstheme="minorHAnsi"/>
          <w:sz w:val="22"/>
          <w:szCs w:val="22"/>
          <w:lang w:val="fr-FR"/>
        </w:rPr>
        <w:t xml:space="preserve">continué d'œuvrer au renforcement de la collaboration avec la CDB, en apportant des contributions à </w:t>
      </w:r>
      <w:r w:rsidR="00F278BD">
        <w:rPr>
          <w:rFonts w:asciiTheme="minorHAnsi" w:hAnsiTheme="minorHAnsi" w:cstheme="minorHAnsi"/>
          <w:sz w:val="22"/>
          <w:szCs w:val="22"/>
          <w:lang w:val="fr-FR"/>
        </w:rPr>
        <w:t xml:space="preserve">divers </w:t>
      </w:r>
      <w:r w:rsidR="002F3514" w:rsidRPr="002F3514">
        <w:rPr>
          <w:rFonts w:asciiTheme="minorHAnsi" w:hAnsiTheme="minorHAnsi" w:cstheme="minorHAnsi"/>
          <w:sz w:val="22"/>
          <w:szCs w:val="22"/>
          <w:lang w:val="fr-FR"/>
        </w:rPr>
        <w:t xml:space="preserve">processus, </w:t>
      </w:r>
      <w:r w:rsidR="00F278BD">
        <w:rPr>
          <w:rFonts w:asciiTheme="minorHAnsi" w:hAnsiTheme="minorHAnsi" w:cstheme="minorHAnsi"/>
          <w:sz w:val="22"/>
          <w:szCs w:val="22"/>
          <w:lang w:val="fr-FR"/>
        </w:rPr>
        <w:t xml:space="preserve">allant du </w:t>
      </w:r>
      <w:r w:rsidR="002F3514" w:rsidRPr="002F3514">
        <w:rPr>
          <w:rFonts w:asciiTheme="minorHAnsi" w:hAnsiTheme="minorHAnsi" w:cstheme="minorHAnsi"/>
          <w:sz w:val="22"/>
          <w:szCs w:val="22"/>
          <w:lang w:val="fr-FR"/>
        </w:rPr>
        <w:t xml:space="preserve">suivi du Plan stratégique pour la diversité biologique 2011-2020 </w:t>
      </w:r>
      <w:r w:rsidR="00F278BD">
        <w:rPr>
          <w:rFonts w:asciiTheme="minorHAnsi" w:hAnsiTheme="minorHAnsi" w:cstheme="minorHAnsi"/>
          <w:sz w:val="22"/>
          <w:szCs w:val="22"/>
          <w:lang w:val="fr-FR"/>
        </w:rPr>
        <w:t>au C</w:t>
      </w:r>
      <w:r w:rsidR="002F3514" w:rsidRPr="002F3514">
        <w:rPr>
          <w:rFonts w:asciiTheme="minorHAnsi" w:hAnsiTheme="minorHAnsi" w:cstheme="minorHAnsi"/>
          <w:sz w:val="22"/>
          <w:szCs w:val="22"/>
          <w:lang w:val="fr-FR"/>
        </w:rPr>
        <w:t xml:space="preserve">adre de la biodiversité pour l'après-2020, </w:t>
      </w:r>
      <w:r w:rsidR="00F278BD">
        <w:rPr>
          <w:rFonts w:asciiTheme="minorHAnsi" w:hAnsiTheme="minorHAnsi" w:cstheme="minorHAnsi"/>
          <w:sz w:val="22"/>
          <w:szCs w:val="22"/>
          <w:lang w:val="fr-FR"/>
        </w:rPr>
        <w:t xml:space="preserve">en passant par les </w:t>
      </w:r>
      <w:r w:rsidR="002F3514" w:rsidRPr="002F3514">
        <w:rPr>
          <w:rFonts w:asciiTheme="minorHAnsi" w:hAnsiTheme="minorHAnsi" w:cstheme="minorHAnsi"/>
          <w:sz w:val="22"/>
          <w:szCs w:val="22"/>
          <w:lang w:val="fr-FR"/>
        </w:rPr>
        <w:t>aires marines d'importance éco</w:t>
      </w:r>
      <w:r w:rsidR="00F278BD">
        <w:rPr>
          <w:rFonts w:asciiTheme="minorHAnsi" w:hAnsiTheme="minorHAnsi" w:cstheme="minorHAnsi"/>
          <w:sz w:val="22"/>
          <w:szCs w:val="22"/>
          <w:lang w:val="fr-FR"/>
        </w:rPr>
        <w:t>logique et biologique (AMIEB), l</w:t>
      </w:r>
      <w:r w:rsidR="002F3514" w:rsidRPr="002F3514">
        <w:rPr>
          <w:rFonts w:asciiTheme="minorHAnsi" w:hAnsiTheme="minorHAnsi" w:cstheme="minorHAnsi"/>
          <w:sz w:val="22"/>
          <w:szCs w:val="22"/>
          <w:lang w:val="fr-FR"/>
        </w:rPr>
        <w:t xml:space="preserve">es synergies et </w:t>
      </w:r>
      <w:r w:rsidR="00F278BD">
        <w:rPr>
          <w:rFonts w:asciiTheme="minorHAnsi" w:hAnsiTheme="minorHAnsi" w:cstheme="minorHAnsi"/>
          <w:sz w:val="22"/>
          <w:szCs w:val="22"/>
          <w:lang w:val="fr-FR"/>
        </w:rPr>
        <w:t xml:space="preserve">sa </w:t>
      </w:r>
      <w:r w:rsidR="002F3514" w:rsidRPr="002F3514">
        <w:rPr>
          <w:rFonts w:asciiTheme="minorHAnsi" w:hAnsiTheme="minorHAnsi" w:cstheme="minorHAnsi"/>
          <w:sz w:val="22"/>
          <w:szCs w:val="22"/>
          <w:lang w:val="fr-FR"/>
        </w:rPr>
        <w:t>présence à la 22</w:t>
      </w:r>
      <w:r w:rsidR="002F3514" w:rsidRPr="002F3514">
        <w:rPr>
          <w:rFonts w:asciiTheme="minorHAnsi" w:hAnsiTheme="minorHAnsi" w:cstheme="minorHAnsi"/>
          <w:sz w:val="22"/>
          <w:szCs w:val="22"/>
          <w:vertAlign w:val="superscript"/>
          <w:lang w:val="fr-FR"/>
        </w:rPr>
        <w:t>e</w:t>
      </w:r>
      <w:r w:rsidR="002F3514">
        <w:rPr>
          <w:rFonts w:asciiTheme="minorHAnsi" w:hAnsiTheme="minorHAnsi" w:cstheme="minorHAnsi"/>
          <w:sz w:val="22"/>
          <w:szCs w:val="22"/>
          <w:lang w:val="fr-FR"/>
        </w:rPr>
        <w:t xml:space="preserve"> </w:t>
      </w:r>
      <w:r w:rsidR="002F3514" w:rsidRPr="002F3514">
        <w:rPr>
          <w:rFonts w:asciiTheme="minorHAnsi" w:hAnsiTheme="minorHAnsi" w:cstheme="minorHAnsi"/>
          <w:sz w:val="22"/>
          <w:szCs w:val="22"/>
          <w:lang w:val="fr-FR"/>
        </w:rPr>
        <w:t>réunion de l’Organe subsidiaire chargé de fournir des avis scientifiques, techniques et technologiques de la CDB (SBSTTA22). À cette réunion, les thèmes suivants présentant un intérêt pour la Convention ont été discutés</w:t>
      </w:r>
      <w:r w:rsidR="00E800CA">
        <w:rPr>
          <w:rFonts w:asciiTheme="minorHAnsi" w:hAnsiTheme="minorHAnsi" w:cstheme="minorHAnsi"/>
          <w:sz w:val="22"/>
          <w:szCs w:val="22"/>
          <w:lang w:val="fr-FR"/>
        </w:rPr>
        <w:t xml:space="preserve"> :</w:t>
      </w:r>
      <w:r w:rsidR="002F3514" w:rsidRPr="002F3514">
        <w:rPr>
          <w:rFonts w:asciiTheme="minorHAnsi" w:hAnsiTheme="minorHAnsi" w:cstheme="minorHAnsi"/>
          <w:sz w:val="22"/>
          <w:szCs w:val="22"/>
          <w:lang w:val="fr-FR"/>
        </w:rPr>
        <w:t xml:space="preserve"> évaluation scientifique actualisée des progrès accomplis dans la réalisation des objectifs d'Aichi pour la biodiversité retenus, et moyens d’accélérer </w:t>
      </w:r>
      <w:r w:rsidR="00A30C6A">
        <w:rPr>
          <w:rFonts w:asciiTheme="minorHAnsi" w:hAnsiTheme="minorHAnsi" w:cstheme="minorHAnsi"/>
          <w:sz w:val="22"/>
          <w:szCs w:val="22"/>
          <w:lang w:val="fr-FR"/>
        </w:rPr>
        <w:t>c</w:t>
      </w:r>
      <w:r w:rsidR="002F3514" w:rsidRPr="002F3514">
        <w:rPr>
          <w:rFonts w:asciiTheme="minorHAnsi" w:hAnsiTheme="minorHAnsi" w:cstheme="minorHAnsi"/>
          <w:sz w:val="22"/>
          <w:szCs w:val="22"/>
          <w:lang w:val="fr-FR"/>
        </w:rPr>
        <w:t>es progrès; aires protégées et autres mesures visant à améliorer la conservation et la gestion; biodiversité et changement climatique</w:t>
      </w:r>
      <w:r w:rsidR="00E800CA">
        <w:rPr>
          <w:rFonts w:asciiTheme="minorHAnsi" w:hAnsiTheme="minorHAnsi" w:cstheme="minorHAnsi"/>
          <w:sz w:val="22"/>
          <w:szCs w:val="22"/>
          <w:lang w:val="fr-FR"/>
        </w:rPr>
        <w:t xml:space="preserve"> :</w:t>
      </w:r>
      <w:r w:rsidR="002F3514" w:rsidRPr="002F3514">
        <w:rPr>
          <w:rFonts w:asciiTheme="minorHAnsi" w:hAnsiTheme="minorHAnsi" w:cstheme="minorHAnsi"/>
          <w:sz w:val="22"/>
          <w:szCs w:val="22"/>
          <w:lang w:val="fr-FR"/>
        </w:rPr>
        <w:t xml:space="preserve"> approches écosystémiques de l'adaptation au changement climatique et de la réduction des risques de catastrophe</w:t>
      </w:r>
      <w:r w:rsidR="00E800CA">
        <w:rPr>
          <w:rFonts w:asciiTheme="minorHAnsi" w:hAnsiTheme="minorHAnsi" w:cstheme="minorHAnsi"/>
          <w:sz w:val="22"/>
          <w:szCs w:val="22"/>
          <w:lang w:val="fr-FR"/>
        </w:rPr>
        <w:t xml:space="preserve"> ;</w:t>
      </w:r>
      <w:r w:rsidR="002F3514" w:rsidRPr="002F3514">
        <w:rPr>
          <w:rFonts w:asciiTheme="minorHAnsi" w:hAnsiTheme="minorHAnsi" w:cstheme="minorHAnsi"/>
          <w:sz w:val="22"/>
          <w:szCs w:val="22"/>
          <w:lang w:val="fr-FR"/>
        </w:rPr>
        <w:t xml:space="preserve"> et deuxième Programme de travail de l'IPBES.</w:t>
      </w:r>
    </w:p>
    <w:p w14:paraId="275CBF39" w14:textId="77777777" w:rsidR="00DD4547" w:rsidRPr="00AA2B27" w:rsidRDefault="00DD4547" w:rsidP="00AA2B27">
      <w:pPr>
        <w:ind w:left="425" w:hanging="425"/>
        <w:rPr>
          <w:rFonts w:asciiTheme="minorHAnsi" w:hAnsiTheme="minorHAnsi" w:cstheme="minorHAnsi"/>
          <w:sz w:val="22"/>
          <w:szCs w:val="22"/>
        </w:rPr>
      </w:pPr>
    </w:p>
    <w:p w14:paraId="5C277084" w14:textId="6C501ADC" w:rsidR="000D251A" w:rsidRPr="000D251A" w:rsidRDefault="00BE0B1E" w:rsidP="000D251A">
      <w:pPr>
        <w:ind w:left="425" w:hanging="425"/>
        <w:rPr>
          <w:rFonts w:asciiTheme="minorHAnsi" w:hAnsiTheme="minorHAnsi" w:cstheme="minorHAnsi"/>
          <w:sz w:val="22"/>
          <w:szCs w:val="22"/>
          <w:lang w:val="fr-FR"/>
        </w:rPr>
      </w:pPr>
      <w:r>
        <w:rPr>
          <w:rFonts w:asciiTheme="minorHAnsi" w:hAnsiTheme="minorHAnsi" w:cstheme="minorHAnsi"/>
          <w:sz w:val="22"/>
          <w:szCs w:val="22"/>
        </w:rPr>
        <w:t>17.</w:t>
      </w:r>
      <w:r>
        <w:rPr>
          <w:rFonts w:asciiTheme="minorHAnsi" w:hAnsiTheme="minorHAnsi" w:cstheme="minorHAnsi"/>
          <w:sz w:val="22"/>
          <w:szCs w:val="22"/>
        </w:rPr>
        <w:tab/>
      </w:r>
      <w:r w:rsidR="005C097F">
        <w:rPr>
          <w:rFonts w:asciiTheme="minorHAnsi" w:hAnsiTheme="minorHAnsi" w:cstheme="minorHAnsi"/>
          <w:sz w:val="22"/>
          <w:szCs w:val="22"/>
        </w:rPr>
        <w:t xml:space="preserve">Le </w:t>
      </w:r>
      <w:r w:rsidR="000D251A" w:rsidRPr="000D251A">
        <w:rPr>
          <w:rFonts w:asciiTheme="minorHAnsi" w:hAnsiTheme="minorHAnsi" w:cstheme="minorHAnsi"/>
          <w:sz w:val="22"/>
          <w:szCs w:val="22"/>
          <w:lang w:val="fr-FR"/>
        </w:rPr>
        <w:t>Secrétariat a participé à la Conférence des Nations Unies sur la diversité biologique qui s'est tenue du 12 au 29 novembre 2018 à Sharm El-Cheikh, en Égypte, sur le thème «</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Investir dans la biodiversité pour les hommes et pour la planète</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 xml:space="preserve">». La Secrétaire générale a </w:t>
      </w:r>
      <w:r w:rsidR="00F278BD">
        <w:rPr>
          <w:rFonts w:asciiTheme="minorHAnsi" w:hAnsiTheme="minorHAnsi" w:cstheme="minorHAnsi"/>
          <w:sz w:val="22"/>
          <w:szCs w:val="22"/>
          <w:lang w:val="fr-FR"/>
        </w:rPr>
        <w:t xml:space="preserve">fait une déclaration </w:t>
      </w:r>
      <w:r w:rsidR="000D251A" w:rsidRPr="000D251A">
        <w:rPr>
          <w:rFonts w:asciiTheme="minorHAnsi" w:hAnsiTheme="minorHAnsi" w:cstheme="minorHAnsi"/>
          <w:sz w:val="22"/>
          <w:szCs w:val="22"/>
          <w:lang w:val="fr-FR"/>
        </w:rPr>
        <w:lastRenderedPageBreak/>
        <w:t xml:space="preserve">lors du Sommet ministériel sur la biodiversité en Afrique, et a participé en tant qu’intervenante </w:t>
      </w:r>
      <w:r w:rsidR="00F278BD">
        <w:rPr>
          <w:rFonts w:asciiTheme="minorHAnsi" w:hAnsiTheme="minorHAnsi" w:cstheme="minorHAnsi"/>
          <w:sz w:val="22"/>
          <w:szCs w:val="22"/>
          <w:lang w:val="fr-FR"/>
        </w:rPr>
        <w:t>au Groupe de discussion sur le C</w:t>
      </w:r>
      <w:r w:rsidR="000D251A" w:rsidRPr="000D251A">
        <w:rPr>
          <w:rFonts w:asciiTheme="minorHAnsi" w:hAnsiTheme="minorHAnsi" w:cstheme="minorHAnsi"/>
          <w:sz w:val="22"/>
          <w:szCs w:val="22"/>
          <w:lang w:val="fr-FR"/>
        </w:rPr>
        <w:t>adre de la biodiversité mondiale pour l'après-2020 et la vision à l'horizon 2050, occasion à laquelle elle a prononcé un discours au nom des huit organisation</w:t>
      </w:r>
      <w:r w:rsidR="00F278BD">
        <w:rPr>
          <w:rFonts w:asciiTheme="minorHAnsi" w:hAnsiTheme="minorHAnsi" w:cstheme="minorHAnsi"/>
          <w:sz w:val="22"/>
          <w:szCs w:val="22"/>
          <w:lang w:val="fr-FR"/>
        </w:rPr>
        <w:t>s liées à la biodiversité. Le S</w:t>
      </w:r>
      <w:r w:rsidR="000D251A" w:rsidRPr="000D251A">
        <w:rPr>
          <w:rFonts w:asciiTheme="minorHAnsi" w:hAnsiTheme="minorHAnsi" w:cstheme="minorHAnsi"/>
          <w:sz w:val="22"/>
          <w:szCs w:val="22"/>
          <w:lang w:val="fr-FR"/>
        </w:rPr>
        <w:t>ecrétariat a également collaboré avec les secrétariats des membres du BLG à la préparation et à la présentation d</w:t>
      </w:r>
      <w:r w:rsidR="00F278BD">
        <w:rPr>
          <w:rFonts w:asciiTheme="minorHAnsi" w:hAnsiTheme="minorHAnsi" w:cstheme="minorHAnsi"/>
          <w:sz w:val="22"/>
          <w:szCs w:val="22"/>
          <w:lang w:val="fr-FR"/>
        </w:rPr>
        <w:t>e déclarations communes sur le C</w:t>
      </w:r>
      <w:r w:rsidR="000D251A" w:rsidRPr="000D251A">
        <w:rPr>
          <w:rFonts w:asciiTheme="minorHAnsi" w:hAnsiTheme="minorHAnsi" w:cstheme="minorHAnsi"/>
          <w:sz w:val="22"/>
          <w:szCs w:val="22"/>
          <w:lang w:val="fr-FR"/>
        </w:rPr>
        <w:t>adre de la biodiversité pour l'après-2020 et sur la coopération avec d'autres conventions. Avec les autres membres du BLG, le Secrétariat a participé en tant qu’intervenant à la réunion organisée par le PNUE et intitulée « Le paysage des conventions dans un contexte de l’après-2020</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 ainsi qu’à la «</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Journée de l’Objectif 11</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 pour le lancement du «</w:t>
      </w:r>
      <w:r w:rsidR="00F278BD">
        <w:rPr>
          <w:rFonts w:asciiTheme="minorHAnsi" w:hAnsiTheme="minorHAnsi" w:cstheme="minorHAnsi"/>
          <w:sz w:val="22"/>
          <w:szCs w:val="22"/>
          <w:lang w:val="fr-FR"/>
        </w:rPr>
        <w:t xml:space="preserve"> </w:t>
      </w:r>
      <w:r w:rsidR="000D251A" w:rsidRPr="000D251A">
        <w:rPr>
          <w:rFonts w:asciiTheme="minorHAnsi" w:hAnsiTheme="minorHAnsi" w:cstheme="minorHAnsi"/>
          <w:sz w:val="22"/>
          <w:szCs w:val="22"/>
          <w:lang w:val="fr-FR"/>
        </w:rPr>
        <w:t>Partenariat pour atteindre l'objectif 11 d'Aichi pour la biodiversité avec les avantages multiples qui en découlent », organisé</w:t>
      </w:r>
      <w:r w:rsidR="00F278BD">
        <w:rPr>
          <w:rFonts w:asciiTheme="minorHAnsi" w:hAnsiTheme="minorHAnsi" w:cstheme="minorHAnsi"/>
          <w:sz w:val="22"/>
          <w:szCs w:val="22"/>
          <w:lang w:val="fr-FR"/>
        </w:rPr>
        <w:t>e</w:t>
      </w:r>
      <w:r w:rsidR="000D251A" w:rsidRPr="000D251A">
        <w:rPr>
          <w:rFonts w:asciiTheme="minorHAnsi" w:hAnsiTheme="minorHAnsi" w:cstheme="minorHAnsi"/>
          <w:sz w:val="22"/>
          <w:szCs w:val="22"/>
          <w:lang w:val="fr-FR"/>
        </w:rPr>
        <w:t xml:space="preserve"> par le Secrétariat de la CDB et la Commission mondiale des aires protégées de l'UICN, avec le soutien de l'Union européenne.</w:t>
      </w:r>
    </w:p>
    <w:p w14:paraId="09998D82" w14:textId="77777777" w:rsidR="000D251A" w:rsidRDefault="000D251A" w:rsidP="00AA2B27">
      <w:pPr>
        <w:ind w:left="425" w:hanging="425"/>
        <w:rPr>
          <w:rFonts w:asciiTheme="minorHAnsi" w:hAnsiTheme="minorHAnsi" w:cstheme="minorHAnsi"/>
          <w:sz w:val="22"/>
          <w:szCs w:val="22"/>
        </w:rPr>
      </w:pPr>
    </w:p>
    <w:p w14:paraId="4A10EA73" w14:textId="427E9F27" w:rsidR="00903903" w:rsidRPr="00903903" w:rsidRDefault="00BE0B1E" w:rsidP="00903903">
      <w:pPr>
        <w:ind w:left="425" w:hanging="425"/>
        <w:rPr>
          <w:rFonts w:asciiTheme="minorHAnsi" w:hAnsiTheme="minorHAnsi" w:cstheme="minorHAnsi"/>
          <w:sz w:val="22"/>
          <w:szCs w:val="22"/>
          <w:lang w:val="fr-FR"/>
        </w:rPr>
      </w:pPr>
      <w:r>
        <w:rPr>
          <w:rFonts w:asciiTheme="minorHAnsi" w:hAnsiTheme="minorHAnsi" w:cstheme="minorHAnsi"/>
          <w:sz w:val="22"/>
          <w:szCs w:val="22"/>
        </w:rPr>
        <w:t>18.</w:t>
      </w:r>
      <w:r>
        <w:rPr>
          <w:rFonts w:asciiTheme="minorHAnsi" w:hAnsiTheme="minorHAnsi" w:cstheme="minorHAnsi"/>
          <w:sz w:val="22"/>
          <w:szCs w:val="22"/>
        </w:rPr>
        <w:tab/>
      </w:r>
      <w:r w:rsidR="00903903">
        <w:rPr>
          <w:rFonts w:asciiTheme="minorHAnsi" w:hAnsiTheme="minorHAnsi" w:cstheme="minorHAnsi"/>
          <w:sz w:val="22"/>
          <w:szCs w:val="22"/>
        </w:rPr>
        <w:t xml:space="preserve">Le principal </w:t>
      </w:r>
      <w:r w:rsidR="00903903" w:rsidRPr="00903903">
        <w:rPr>
          <w:rFonts w:asciiTheme="minorHAnsi" w:hAnsiTheme="minorHAnsi" w:cstheme="minorHAnsi"/>
          <w:sz w:val="22"/>
          <w:szCs w:val="22"/>
          <w:lang w:val="fr-FR"/>
        </w:rPr>
        <w:t xml:space="preserve">objectif de cette période triennale est de participer activement à l'amélioration de la visibilité et de la pertinence du rôle des zones humides dans le processus du </w:t>
      </w:r>
      <w:r w:rsidR="00F278BD">
        <w:rPr>
          <w:rFonts w:asciiTheme="minorHAnsi" w:hAnsiTheme="minorHAnsi" w:cstheme="minorHAnsi"/>
          <w:sz w:val="22"/>
          <w:szCs w:val="22"/>
          <w:lang w:val="fr-FR"/>
        </w:rPr>
        <w:t>Cadre mondial de la biodiversité pour l’après-2020</w:t>
      </w:r>
      <w:r w:rsidR="00903903" w:rsidRPr="00903903">
        <w:rPr>
          <w:rFonts w:asciiTheme="minorHAnsi" w:hAnsiTheme="minorHAnsi" w:cstheme="minorHAnsi"/>
          <w:sz w:val="22"/>
          <w:szCs w:val="22"/>
          <w:lang w:val="fr-FR"/>
        </w:rPr>
        <w:t xml:space="preserve"> (Décision 14/34 de la CDB) et d'autres processus</w:t>
      </w:r>
      <w:r w:rsidR="00D450EA">
        <w:rPr>
          <w:rFonts w:asciiTheme="minorHAnsi" w:hAnsiTheme="minorHAnsi" w:cstheme="minorHAnsi"/>
          <w:sz w:val="22"/>
          <w:szCs w:val="22"/>
          <w:lang w:val="fr-FR"/>
        </w:rPr>
        <w:t>,</w:t>
      </w:r>
      <w:r w:rsidR="00903903" w:rsidRPr="00903903">
        <w:rPr>
          <w:rFonts w:asciiTheme="minorHAnsi" w:hAnsiTheme="minorHAnsi" w:cstheme="minorHAnsi"/>
          <w:sz w:val="22"/>
          <w:szCs w:val="22"/>
          <w:lang w:val="fr-FR"/>
        </w:rPr>
        <w:t xml:space="preserve"> conformément à la Résolution XIII.7 de Ramsar et aux Déc</w:t>
      </w:r>
      <w:r w:rsidR="00D450EA">
        <w:rPr>
          <w:rFonts w:asciiTheme="minorHAnsi" w:hAnsiTheme="minorHAnsi" w:cstheme="minorHAnsi"/>
          <w:sz w:val="22"/>
          <w:szCs w:val="22"/>
          <w:lang w:val="fr-FR"/>
        </w:rPr>
        <w:t>isions 13/24 et 14/30 de la CDB</w:t>
      </w:r>
      <w:r w:rsidR="00903903" w:rsidRPr="00903903">
        <w:rPr>
          <w:rFonts w:asciiTheme="minorHAnsi" w:hAnsiTheme="minorHAnsi" w:cstheme="minorHAnsi"/>
          <w:sz w:val="22"/>
          <w:szCs w:val="22"/>
          <w:lang w:val="fr-FR"/>
        </w:rPr>
        <w:t xml:space="preserve"> qui vont dans le sens des travaux de la Convention de Ramsar.</w:t>
      </w:r>
    </w:p>
    <w:p w14:paraId="7C5019F2" w14:textId="77777777" w:rsidR="00F57BED" w:rsidRPr="00F61CAA" w:rsidRDefault="00F57BED" w:rsidP="00F61CAA">
      <w:pPr>
        <w:autoSpaceDE w:val="0"/>
        <w:autoSpaceDN w:val="0"/>
        <w:adjustRightInd w:val="0"/>
        <w:rPr>
          <w:rFonts w:asciiTheme="minorHAnsi" w:hAnsiTheme="minorHAnsi" w:cstheme="minorHAnsi"/>
          <w:i/>
          <w:sz w:val="22"/>
          <w:szCs w:val="22"/>
          <w:lang w:val="en"/>
        </w:rPr>
      </w:pPr>
    </w:p>
    <w:p w14:paraId="0E2DAC55" w14:textId="6B1EE9BA" w:rsidR="00A52667" w:rsidRPr="00903903" w:rsidRDefault="00903903" w:rsidP="001C6B44">
      <w:pPr>
        <w:keepNext/>
        <w:autoSpaceDE w:val="0"/>
        <w:autoSpaceDN w:val="0"/>
        <w:adjustRightInd w:val="0"/>
        <w:rPr>
          <w:rFonts w:asciiTheme="minorHAnsi" w:hAnsiTheme="minorHAnsi" w:cstheme="minorHAnsi"/>
          <w:i/>
          <w:sz w:val="22"/>
          <w:szCs w:val="22"/>
          <w:lang w:val="fr-FR"/>
        </w:rPr>
      </w:pPr>
      <w:r w:rsidRPr="00903903">
        <w:rPr>
          <w:rFonts w:asciiTheme="minorHAnsi" w:hAnsiTheme="minorHAnsi" w:cstheme="minorHAnsi"/>
          <w:i/>
          <w:sz w:val="22"/>
          <w:szCs w:val="22"/>
          <w:lang w:val="fr-FR"/>
        </w:rPr>
        <w:t>Convention sur la conservation des espèces migratrices appartenant à la faune sauvage</w:t>
      </w:r>
      <w:r w:rsidR="00A52667" w:rsidRPr="00903903">
        <w:rPr>
          <w:rFonts w:asciiTheme="minorHAnsi" w:hAnsiTheme="minorHAnsi" w:cstheme="minorHAnsi"/>
          <w:i/>
          <w:sz w:val="22"/>
          <w:szCs w:val="22"/>
          <w:lang w:val="fr-FR"/>
        </w:rPr>
        <w:t xml:space="preserve"> </w:t>
      </w:r>
    </w:p>
    <w:p w14:paraId="0938EAEF" w14:textId="77777777" w:rsidR="00A52667" w:rsidRPr="00903903" w:rsidRDefault="00A52667" w:rsidP="001C6B44">
      <w:pPr>
        <w:keepNext/>
        <w:autoSpaceDE w:val="0"/>
        <w:autoSpaceDN w:val="0"/>
        <w:adjustRightInd w:val="0"/>
        <w:rPr>
          <w:rFonts w:asciiTheme="minorHAnsi" w:hAnsiTheme="minorHAnsi" w:cstheme="minorHAnsi"/>
          <w:b/>
          <w:sz w:val="22"/>
          <w:szCs w:val="22"/>
          <w:lang w:val="fr-FR"/>
        </w:rPr>
      </w:pPr>
    </w:p>
    <w:p w14:paraId="7B995518" w14:textId="41B08333" w:rsidR="00A009AE" w:rsidRDefault="00BE0B1E" w:rsidP="00BE0B1E">
      <w:pPr>
        <w:ind w:left="425" w:hanging="425"/>
        <w:rPr>
          <w:rFonts w:asciiTheme="minorHAnsi" w:hAnsiTheme="minorHAnsi" w:cstheme="minorHAnsi"/>
          <w:sz w:val="22"/>
          <w:szCs w:val="22"/>
          <w:lang w:val="fr-FR"/>
        </w:rPr>
      </w:pPr>
      <w:r w:rsidRPr="00903903">
        <w:rPr>
          <w:rFonts w:asciiTheme="minorHAnsi" w:hAnsiTheme="minorHAnsi" w:cstheme="minorHAnsi"/>
          <w:sz w:val="22"/>
          <w:szCs w:val="22"/>
          <w:lang w:val="fr-FR"/>
        </w:rPr>
        <w:t>19.</w:t>
      </w:r>
      <w:r w:rsidRPr="00903903">
        <w:rPr>
          <w:rFonts w:asciiTheme="minorHAnsi" w:hAnsiTheme="minorHAnsi" w:cstheme="minorHAnsi"/>
          <w:sz w:val="22"/>
          <w:szCs w:val="22"/>
          <w:lang w:val="fr-FR"/>
        </w:rPr>
        <w:tab/>
      </w:r>
      <w:r w:rsidR="00A009AE" w:rsidRPr="00A009AE">
        <w:rPr>
          <w:rFonts w:asciiTheme="minorHAnsi" w:hAnsiTheme="minorHAnsi" w:cstheme="minorHAnsi"/>
          <w:sz w:val="22"/>
          <w:szCs w:val="22"/>
          <w:lang w:val="fr-FR"/>
        </w:rPr>
        <w:t xml:space="preserve">Le Secrétariat a participé au Groupe de travail </w:t>
      </w:r>
      <w:r w:rsidR="00A30C6A">
        <w:rPr>
          <w:rFonts w:asciiTheme="minorHAnsi" w:hAnsiTheme="minorHAnsi" w:cstheme="minorHAnsi"/>
          <w:sz w:val="22"/>
          <w:szCs w:val="22"/>
          <w:lang w:val="fr-FR"/>
        </w:rPr>
        <w:t xml:space="preserve">de la CMS </w:t>
      </w:r>
      <w:r w:rsidR="00A009AE" w:rsidRPr="00A009AE">
        <w:rPr>
          <w:rFonts w:asciiTheme="minorHAnsi" w:hAnsiTheme="minorHAnsi" w:cstheme="minorHAnsi"/>
          <w:sz w:val="22"/>
          <w:szCs w:val="22"/>
          <w:lang w:val="fr-FR"/>
        </w:rPr>
        <w:t>sur l'énergie et à deux événements organisés par le Secrétariat de l</w:t>
      </w:r>
      <w:r w:rsidR="00D450EA">
        <w:rPr>
          <w:rFonts w:asciiTheme="minorHAnsi" w:hAnsiTheme="minorHAnsi" w:cstheme="minorHAnsi"/>
          <w:sz w:val="22"/>
          <w:szCs w:val="22"/>
          <w:lang w:val="fr-FR"/>
        </w:rPr>
        <w:t>a CMS et BirdLife International</w:t>
      </w:r>
      <w:r w:rsidR="00A009AE" w:rsidRPr="00A009AE">
        <w:rPr>
          <w:rFonts w:asciiTheme="minorHAnsi" w:hAnsiTheme="minorHAnsi" w:cstheme="minorHAnsi"/>
          <w:sz w:val="22"/>
          <w:szCs w:val="22"/>
          <w:lang w:val="fr-FR"/>
        </w:rPr>
        <w:t xml:space="preserve"> parallèlement à la 14</w:t>
      </w:r>
      <w:r w:rsidR="00A009AE" w:rsidRPr="00A009AE">
        <w:rPr>
          <w:rFonts w:asciiTheme="minorHAnsi" w:hAnsiTheme="minorHAnsi" w:cstheme="minorHAnsi"/>
          <w:sz w:val="22"/>
          <w:szCs w:val="22"/>
          <w:vertAlign w:val="superscript"/>
          <w:lang w:val="fr-FR"/>
        </w:rPr>
        <w:t>e</w:t>
      </w:r>
      <w:r w:rsidR="00A009AE">
        <w:rPr>
          <w:rFonts w:asciiTheme="minorHAnsi" w:hAnsiTheme="minorHAnsi" w:cstheme="minorHAnsi"/>
          <w:sz w:val="22"/>
          <w:szCs w:val="22"/>
          <w:lang w:val="fr-FR"/>
        </w:rPr>
        <w:t xml:space="preserve"> </w:t>
      </w:r>
      <w:r w:rsidR="00A009AE" w:rsidRPr="00A009AE">
        <w:rPr>
          <w:rFonts w:asciiTheme="minorHAnsi" w:hAnsiTheme="minorHAnsi" w:cstheme="minorHAnsi"/>
          <w:sz w:val="22"/>
          <w:szCs w:val="22"/>
          <w:lang w:val="fr-FR"/>
        </w:rPr>
        <w:t>réunion de la Conférence des Parties à la CDB, et portant sur les contributions de la CMS au Cadre de l'après-2020 et au-delà, et sur l'intégration de la conservation des voies de migration dans les conventions.</w:t>
      </w:r>
    </w:p>
    <w:p w14:paraId="76AE336B" w14:textId="77777777" w:rsidR="00D64B39" w:rsidRPr="00903903" w:rsidRDefault="00D64B39" w:rsidP="00F61CAA">
      <w:pPr>
        <w:autoSpaceDE w:val="0"/>
        <w:autoSpaceDN w:val="0"/>
        <w:adjustRightInd w:val="0"/>
        <w:ind w:left="426" w:hanging="426"/>
        <w:rPr>
          <w:rFonts w:asciiTheme="minorHAnsi" w:hAnsiTheme="minorHAnsi" w:cstheme="minorHAnsi"/>
          <w:i/>
          <w:sz w:val="22"/>
          <w:szCs w:val="22"/>
          <w:lang w:val="fr-FR"/>
        </w:rPr>
      </w:pPr>
    </w:p>
    <w:p w14:paraId="3AC746C4" w14:textId="3AFF79B0" w:rsidR="00A009AE" w:rsidRDefault="00A009AE" w:rsidP="00F61CAA">
      <w:pPr>
        <w:autoSpaceDE w:val="0"/>
        <w:autoSpaceDN w:val="0"/>
        <w:adjustRightInd w:val="0"/>
        <w:ind w:left="426" w:hanging="426"/>
        <w:rPr>
          <w:rFonts w:asciiTheme="minorHAnsi" w:hAnsiTheme="minorHAnsi" w:cstheme="minorHAnsi"/>
          <w:i/>
          <w:sz w:val="22"/>
          <w:szCs w:val="22"/>
          <w:lang w:val="fr-FR"/>
        </w:rPr>
      </w:pPr>
      <w:r w:rsidRPr="00A009AE">
        <w:rPr>
          <w:rFonts w:asciiTheme="minorHAnsi" w:hAnsiTheme="minorHAnsi" w:cstheme="minorHAnsi"/>
          <w:i/>
          <w:sz w:val="22"/>
          <w:szCs w:val="22"/>
          <w:lang w:val="fr-FR"/>
        </w:rPr>
        <w:t>Accord sur la conservation des oiseaux d'eau migrateurs d'Afrique-Eurasie</w:t>
      </w:r>
    </w:p>
    <w:p w14:paraId="4048E345" w14:textId="4743988C" w:rsidR="00C22B32" w:rsidRPr="00903903" w:rsidRDefault="00C22B32" w:rsidP="00F61CAA">
      <w:pPr>
        <w:autoSpaceDE w:val="0"/>
        <w:autoSpaceDN w:val="0"/>
        <w:adjustRightInd w:val="0"/>
        <w:ind w:left="426" w:hanging="426"/>
        <w:rPr>
          <w:rFonts w:asciiTheme="minorHAnsi" w:hAnsiTheme="minorHAnsi" w:cstheme="minorHAnsi"/>
          <w:i/>
          <w:sz w:val="22"/>
          <w:szCs w:val="22"/>
          <w:lang w:val="fr-FR"/>
        </w:rPr>
      </w:pPr>
    </w:p>
    <w:p w14:paraId="163B56FC" w14:textId="4C74DFC7" w:rsidR="00A47D98" w:rsidRDefault="00BE0B1E" w:rsidP="00BE0B1E">
      <w:pPr>
        <w:ind w:left="425" w:hanging="425"/>
        <w:rPr>
          <w:rFonts w:asciiTheme="minorHAnsi" w:hAnsiTheme="minorHAnsi" w:cstheme="minorHAnsi"/>
          <w:sz w:val="22"/>
          <w:szCs w:val="22"/>
          <w:lang w:val="fr-FR"/>
        </w:rPr>
      </w:pPr>
      <w:r w:rsidRPr="00903903">
        <w:rPr>
          <w:rFonts w:asciiTheme="minorHAnsi" w:hAnsiTheme="minorHAnsi" w:cstheme="minorHAnsi"/>
          <w:sz w:val="22"/>
          <w:szCs w:val="22"/>
          <w:lang w:val="fr-FR"/>
        </w:rPr>
        <w:t>20.</w:t>
      </w:r>
      <w:r w:rsidRPr="00903903">
        <w:rPr>
          <w:rFonts w:asciiTheme="minorHAnsi" w:hAnsiTheme="minorHAnsi" w:cstheme="minorHAnsi"/>
          <w:sz w:val="22"/>
          <w:szCs w:val="22"/>
          <w:lang w:val="fr-FR"/>
        </w:rPr>
        <w:tab/>
      </w:r>
      <w:r w:rsidR="00A47D98" w:rsidRPr="00A47D98">
        <w:rPr>
          <w:rFonts w:asciiTheme="minorHAnsi" w:hAnsiTheme="minorHAnsi" w:cstheme="minorHAnsi"/>
          <w:sz w:val="22"/>
          <w:szCs w:val="22"/>
          <w:lang w:val="fr-FR"/>
        </w:rPr>
        <w:t xml:space="preserve">Le Secrétariat Ramsar a participé activement à la </w:t>
      </w:r>
      <w:r w:rsidR="009E4468">
        <w:rPr>
          <w:rFonts w:asciiTheme="minorHAnsi" w:hAnsiTheme="minorHAnsi" w:cstheme="minorHAnsi"/>
          <w:sz w:val="22"/>
          <w:szCs w:val="22"/>
          <w:lang w:val="fr-FR"/>
        </w:rPr>
        <w:t>7</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A47D98" w:rsidRPr="00A47D98">
        <w:rPr>
          <w:rFonts w:asciiTheme="minorHAnsi" w:hAnsiTheme="minorHAnsi" w:cstheme="minorHAnsi"/>
          <w:sz w:val="22"/>
          <w:szCs w:val="22"/>
          <w:lang w:val="fr-FR"/>
        </w:rPr>
        <w:t>session de la Réunion des Parties (MOP7) à l'Accord sur</w:t>
      </w:r>
      <w:r w:rsidR="00D450EA">
        <w:rPr>
          <w:rFonts w:asciiTheme="minorHAnsi" w:hAnsiTheme="minorHAnsi" w:cstheme="minorHAnsi"/>
          <w:sz w:val="22"/>
          <w:szCs w:val="22"/>
          <w:lang w:val="fr-FR"/>
        </w:rPr>
        <w:t xml:space="preserve"> la conservation d</w:t>
      </w:r>
      <w:r w:rsidR="00A47D98" w:rsidRPr="00A47D98">
        <w:rPr>
          <w:rFonts w:asciiTheme="minorHAnsi" w:hAnsiTheme="minorHAnsi" w:cstheme="minorHAnsi"/>
          <w:sz w:val="22"/>
          <w:szCs w:val="22"/>
          <w:lang w:val="fr-FR"/>
        </w:rPr>
        <w:t>es oiseaux d'eau migrateurs d'Afrique-Eurasie (AEWA), tenue du 4 au 8 décembre 2018 à Durban, Afrique du Sud. Le Secrétariat a organisé un événement p</w:t>
      </w:r>
      <w:r w:rsidR="004322F9">
        <w:rPr>
          <w:rFonts w:asciiTheme="minorHAnsi" w:hAnsiTheme="minorHAnsi" w:cstheme="minorHAnsi"/>
          <w:sz w:val="22"/>
          <w:szCs w:val="22"/>
          <w:lang w:val="fr-FR"/>
        </w:rPr>
        <w:t>arallèle offrant un aperçu des P</w:t>
      </w:r>
      <w:r w:rsidR="00A47D98" w:rsidRPr="00A47D98">
        <w:rPr>
          <w:rFonts w:asciiTheme="minorHAnsi" w:hAnsiTheme="minorHAnsi" w:cstheme="minorHAnsi"/>
          <w:sz w:val="22"/>
          <w:szCs w:val="22"/>
          <w:lang w:val="fr-FR"/>
        </w:rPr>
        <w:t xml:space="preserve">erspectives mondiales pour les zones humides et des principaux outils pratiques de Ramsar pour faire face aux menaces </w:t>
      </w:r>
      <w:r w:rsidR="00D450EA">
        <w:rPr>
          <w:rFonts w:asciiTheme="minorHAnsi" w:hAnsiTheme="minorHAnsi" w:cstheme="minorHAnsi"/>
          <w:sz w:val="22"/>
          <w:szCs w:val="22"/>
          <w:lang w:val="fr-FR"/>
        </w:rPr>
        <w:t xml:space="preserve">pesant </w:t>
      </w:r>
      <w:r w:rsidR="00A47D98" w:rsidRPr="00A47D98">
        <w:rPr>
          <w:rFonts w:asciiTheme="minorHAnsi" w:hAnsiTheme="minorHAnsi" w:cstheme="minorHAnsi"/>
          <w:sz w:val="22"/>
          <w:szCs w:val="22"/>
          <w:lang w:val="fr-FR"/>
        </w:rPr>
        <w:t>sur les zones humides. Les résolutions adoptées par la COP13 de Ramsar sur les tourbières (Résolutions XIII.12 et XIII.13), sur le carbone bleu (Résolution XIII.14) et sur l'urbanisation durable, les changement</w:t>
      </w:r>
      <w:r w:rsidR="00A47D98">
        <w:rPr>
          <w:rFonts w:asciiTheme="minorHAnsi" w:hAnsiTheme="minorHAnsi" w:cstheme="minorHAnsi"/>
          <w:sz w:val="22"/>
          <w:szCs w:val="22"/>
          <w:lang w:val="fr-FR"/>
        </w:rPr>
        <w:t>s</w:t>
      </w:r>
      <w:r w:rsidR="00A47D98" w:rsidRPr="00A47D98">
        <w:rPr>
          <w:rFonts w:asciiTheme="minorHAnsi" w:hAnsiTheme="minorHAnsi" w:cstheme="minorHAnsi"/>
          <w:sz w:val="22"/>
          <w:szCs w:val="22"/>
          <w:lang w:val="fr-FR"/>
        </w:rPr>
        <w:t xml:space="preserve"> climatiques et les zones humides (Résolution XIII.16) ont été intégrées dans les résolutions et documents de l'AEWA.</w:t>
      </w:r>
    </w:p>
    <w:p w14:paraId="7F28CA32" w14:textId="77777777" w:rsidR="00A52667" w:rsidRPr="00903903" w:rsidRDefault="00A52667" w:rsidP="00BE0B1E">
      <w:pPr>
        <w:ind w:left="425" w:hanging="425"/>
        <w:rPr>
          <w:rFonts w:asciiTheme="minorHAnsi" w:hAnsiTheme="minorHAnsi" w:cstheme="minorHAnsi"/>
          <w:sz w:val="22"/>
          <w:szCs w:val="22"/>
          <w:lang w:val="fr-FR"/>
        </w:rPr>
      </w:pPr>
    </w:p>
    <w:p w14:paraId="2CC7FC92" w14:textId="6C51BD49" w:rsidR="00A47D98" w:rsidRDefault="00BE0B1E" w:rsidP="00BE0B1E">
      <w:pPr>
        <w:ind w:left="425" w:hanging="425"/>
        <w:rPr>
          <w:rFonts w:asciiTheme="minorHAnsi" w:hAnsiTheme="minorHAnsi" w:cstheme="minorHAnsi"/>
          <w:sz w:val="22"/>
          <w:szCs w:val="22"/>
          <w:lang w:val="fr-FR"/>
        </w:rPr>
      </w:pPr>
      <w:r w:rsidRPr="00903903">
        <w:rPr>
          <w:rFonts w:asciiTheme="minorHAnsi" w:hAnsiTheme="minorHAnsi" w:cstheme="minorHAnsi"/>
          <w:sz w:val="22"/>
          <w:szCs w:val="22"/>
          <w:lang w:val="fr-FR"/>
        </w:rPr>
        <w:t>21.</w:t>
      </w:r>
      <w:r w:rsidRPr="00903903">
        <w:rPr>
          <w:rFonts w:asciiTheme="minorHAnsi" w:hAnsiTheme="minorHAnsi" w:cstheme="minorHAnsi"/>
          <w:sz w:val="22"/>
          <w:szCs w:val="22"/>
          <w:lang w:val="fr-FR"/>
        </w:rPr>
        <w:tab/>
      </w:r>
      <w:r w:rsidR="00A47D98" w:rsidRPr="00A47D98">
        <w:rPr>
          <w:rFonts w:asciiTheme="minorHAnsi" w:hAnsiTheme="minorHAnsi" w:cstheme="minorHAnsi"/>
          <w:sz w:val="22"/>
          <w:szCs w:val="22"/>
          <w:lang w:val="fr-FR"/>
        </w:rPr>
        <w:t>Le Secrétariat Ramsar continue de travailler avec le Secrétariat de l'AEWA pour finaliser la préparation de l’Atelier AEWA de formation des formateurs sur la conservation par l’approche «</w:t>
      </w:r>
      <w:r w:rsidR="0035499B">
        <w:rPr>
          <w:rFonts w:asciiTheme="minorHAnsi" w:hAnsiTheme="minorHAnsi" w:cstheme="minorHAnsi"/>
          <w:sz w:val="22"/>
          <w:szCs w:val="22"/>
          <w:lang w:val="fr-FR"/>
        </w:rPr>
        <w:t> </w:t>
      </w:r>
      <w:r w:rsidR="00A47D98" w:rsidRPr="00A47D98">
        <w:rPr>
          <w:rFonts w:asciiTheme="minorHAnsi" w:hAnsiTheme="minorHAnsi" w:cstheme="minorHAnsi"/>
          <w:sz w:val="22"/>
          <w:szCs w:val="22"/>
          <w:lang w:val="fr-FR"/>
        </w:rPr>
        <w:t xml:space="preserve">voies de migration » pour les pays francophones d'Afrique centrale et d’Afrique de l'Ouest, qui se tiendra du 6 au 10 mai 2019 à Cotonou, Bénin. Ce cours est destiné au personnel technique de 17 États francophones de la région. Au moment de la rédaction du présent document, la sélection des candidats qualifiés était en cours, en collaboration </w:t>
      </w:r>
      <w:r w:rsidR="00FE6DFC">
        <w:rPr>
          <w:rFonts w:asciiTheme="minorHAnsi" w:hAnsiTheme="minorHAnsi" w:cstheme="minorHAnsi"/>
          <w:sz w:val="22"/>
          <w:szCs w:val="22"/>
          <w:lang w:val="fr-FR"/>
        </w:rPr>
        <w:t xml:space="preserve">avec le </w:t>
      </w:r>
      <w:r w:rsidR="00A47D98" w:rsidRPr="00A47D98">
        <w:rPr>
          <w:rFonts w:asciiTheme="minorHAnsi" w:hAnsiTheme="minorHAnsi" w:cstheme="minorHAnsi"/>
          <w:sz w:val="22"/>
          <w:szCs w:val="22"/>
          <w:lang w:val="fr-FR"/>
        </w:rPr>
        <w:t>Secrétariat Ramsar. L'AEWA a obtenu une contribution financière de la Commission européenne.</w:t>
      </w:r>
    </w:p>
    <w:p w14:paraId="2D6755C1" w14:textId="77777777" w:rsidR="00A7527D" w:rsidRPr="00F61CAA" w:rsidRDefault="00A7527D" w:rsidP="00F61CAA">
      <w:pPr>
        <w:autoSpaceDE w:val="0"/>
        <w:autoSpaceDN w:val="0"/>
        <w:adjustRightInd w:val="0"/>
        <w:ind w:left="426" w:hanging="426"/>
        <w:rPr>
          <w:rStyle w:val="intro-resume2"/>
          <w:rFonts w:asciiTheme="minorHAnsi" w:hAnsiTheme="minorHAnsi" w:cstheme="minorHAnsi"/>
          <w:sz w:val="22"/>
          <w:szCs w:val="22"/>
        </w:rPr>
      </w:pPr>
    </w:p>
    <w:p w14:paraId="494240F0" w14:textId="6972E6F2" w:rsidR="0035499B" w:rsidRPr="0035499B" w:rsidRDefault="0035499B" w:rsidP="002B62C0">
      <w:pPr>
        <w:keepNext/>
        <w:autoSpaceDE w:val="0"/>
        <w:autoSpaceDN w:val="0"/>
        <w:adjustRightInd w:val="0"/>
        <w:ind w:left="426" w:hanging="426"/>
        <w:rPr>
          <w:rStyle w:val="intro-resume2"/>
          <w:rFonts w:asciiTheme="minorHAnsi" w:hAnsiTheme="minorHAnsi" w:cstheme="minorHAnsi"/>
          <w:i/>
          <w:sz w:val="22"/>
          <w:szCs w:val="22"/>
          <w:lang w:val="fr-FR"/>
        </w:rPr>
      </w:pPr>
      <w:r w:rsidRPr="0035499B">
        <w:rPr>
          <w:rStyle w:val="intro-resume2"/>
          <w:rFonts w:asciiTheme="minorHAnsi" w:hAnsiTheme="minorHAnsi" w:cstheme="minorHAnsi"/>
          <w:i/>
          <w:sz w:val="22"/>
          <w:szCs w:val="22"/>
          <w:lang w:val="fr-FR"/>
        </w:rPr>
        <w:lastRenderedPageBreak/>
        <w:t>Convention-cadre des Nations Unies sur les changements climatiques</w:t>
      </w:r>
    </w:p>
    <w:p w14:paraId="1576959E" w14:textId="77777777" w:rsidR="00FF4505" w:rsidRPr="0035499B" w:rsidRDefault="00FF4505" w:rsidP="002B62C0">
      <w:pPr>
        <w:keepNext/>
        <w:autoSpaceDE w:val="0"/>
        <w:autoSpaceDN w:val="0"/>
        <w:adjustRightInd w:val="0"/>
        <w:rPr>
          <w:rStyle w:val="Strong"/>
          <w:rFonts w:asciiTheme="minorHAnsi" w:hAnsiTheme="minorHAnsi" w:cstheme="minorHAnsi"/>
          <w:b w:val="0"/>
          <w:sz w:val="22"/>
          <w:szCs w:val="22"/>
          <w:lang w:val="fr-FR"/>
        </w:rPr>
      </w:pPr>
    </w:p>
    <w:p w14:paraId="143E8F1A" w14:textId="2F9E758D" w:rsidR="006D482F" w:rsidRPr="0035499B" w:rsidRDefault="00BE0B1E" w:rsidP="002963B0">
      <w:pPr>
        <w:ind w:left="425" w:hanging="425"/>
        <w:rPr>
          <w:rFonts w:asciiTheme="minorHAnsi" w:hAnsiTheme="minorHAnsi" w:cstheme="minorHAnsi"/>
          <w:sz w:val="22"/>
          <w:szCs w:val="22"/>
          <w:lang w:val="fr-FR"/>
        </w:rPr>
      </w:pPr>
      <w:r w:rsidRPr="0035499B">
        <w:rPr>
          <w:rFonts w:asciiTheme="minorHAnsi" w:hAnsiTheme="minorHAnsi" w:cstheme="minorHAnsi"/>
          <w:sz w:val="22"/>
          <w:szCs w:val="22"/>
          <w:lang w:val="fr-FR"/>
        </w:rPr>
        <w:t>22.</w:t>
      </w:r>
      <w:r w:rsidRPr="0035499B">
        <w:rPr>
          <w:rFonts w:asciiTheme="minorHAnsi" w:hAnsiTheme="minorHAnsi" w:cstheme="minorHAnsi"/>
          <w:sz w:val="22"/>
          <w:szCs w:val="22"/>
          <w:lang w:val="fr-FR"/>
        </w:rPr>
        <w:tab/>
      </w:r>
      <w:r w:rsidR="002963B0" w:rsidRPr="002963B0">
        <w:rPr>
          <w:rFonts w:asciiTheme="minorHAnsi" w:hAnsiTheme="minorHAnsi" w:cstheme="minorHAnsi"/>
          <w:sz w:val="22"/>
          <w:szCs w:val="22"/>
          <w:lang w:val="fr-FR"/>
        </w:rPr>
        <w:t>Le Secrétariat continue d’axer sa collaboration avec la CCNUCC sur les processus visant à promouvoir la relation entre les changements climatiques et les zones humides, dans le contexte des mesures d'atténuation et d'adaptation. Il s'emploie également à aider les Parties contractantes à Ramsar à intégrer les services écosystémiques des zones humides («</w:t>
      </w:r>
      <w:r w:rsidR="00D450EA">
        <w:rPr>
          <w:rFonts w:asciiTheme="minorHAnsi" w:hAnsiTheme="minorHAnsi" w:cstheme="minorHAnsi"/>
          <w:sz w:val="22"/>
          <w:szCs w:val="22"/>
          <w:lang w:val="fr-FR"/>
        </w:rPr>
        <w:t xml:space="preserve"> </w:t>
      </w:r>
      <w:r w:rsidR="002963B0" w:rsidRPr="002963B0">
        <w:rPr>
          <w:rFonts w:asciiTheme="minorHAnsi" w:hAnsiTheme="minorHAnsi" w:cstheme="minorHAnsi"/>
          <w:sz w:val="22"/>
          <w:szCs w:val="22"/>
          <w:lang w:val="fr-FR"/>
        </w:rPr>
        <w:t>solutions naturelles</w:t>
      </w:r>
      <w:r w:rsidR="00D450EA">
        <w:rPr>
          <w:rFonts w:asciiTheme="minorHAnsi" w:hAnsiTheme="minorHAnsi" w:cstheme="minorHAnsi"/>
          <w:sz w:val="22"/>
          <w:szCs w:val="22"/>
          <w:lang w:val="fr-FR"/>
        </w:rPr>
        <w:t xml:space="preserve"> </w:t>
      </w:r>
      <w:r w:rsidR="002963B0" w:rsidRPr="002963B0">
        <w:rPr>
          <w:rFonts w:asciiTheme="minorHAnsi" w:hAnsiTheme="minorHAnsi" w:cstheme="minorHAnsi"/>
          <w:sz w:val="22"/>
          <w:szCs w:val="22"/>
          <w:lang w:val="fr-FR"/>
        </w:rPr>
        <w:t xml:space="preserve">») dans les politiques relatives aux changements climatiques, y compris les contributions déterminées au niveau national (CDN), afin d'atteindre les objectifs de l'Accord de Paris en valorisant le rôle des zones humides en tant que puits de carbone, et par conséquent, leurs contributions à l'atténuation des effets du changement climatique. </w:t>
      </w:r>
      <w:r w:rsidR="004322F9">
        <w:rPr>
          <w:rFonts w:asciiTheme="minorHAnsi" w:hAnsiTheme="minorHAnsi" w:cstheme="minorHAnsi"/>
          <w:sz w:val="22"/>
          <w:szCs w:val="22"/>
          <w:lang w:val="fr-FR"/>
        </w:rPr>
        <w:t xml:space="preserve">À </w:t>
      </w:r>
      <w:r w:rsidR="002963B0" w:rsidRPr="002963B0">
        <w:rPr>
          <w:rFonts w:asciiTheme="minorHAnsi" w:hAnsiTheme="minorHAnsi" w:cstheme="minorHAnsi"/>
          <w:sz w:val="22"/>
          <w:szCs w:val="22"/>
          <w:lang w:val="fr-FR"/>
        </w:rPr>
        <w:t>la 24</w:t>
      </w:r>
      <w:r w:rsidR="00D450EA" w:rsidRPr="00D450EA">
        <w:rPr>
          <w:rFonts w:asciiTheme="minorHAnsi" w:hAnsiTheme="minorHAnsi" w:cstheme="minorHAnsi"/>
          <w:sz w:val="22"/>
          <w:szCs w:val="22"/>
          <w:vertAlign w:val="superscript"/>
          <w:lang w:val="fr-FR"/>
        </w:rPr>
        <w:t>e</w:t>
      </w:r>
      <w:r w:rsidR="00D450EA">
        <w:rPr>
          <w:rFonts w:asciiTheme="minorHAnsi" w:hAnsiTheme="minorHAnsi" w:cstheme="minorHAnsi"/>
          <w:sz w:val="22"/>
          <w:szCs w:val="22"/>
          <w:lang w:val="fr-FR"/>
        </w:rPr>
        <w:t xml:space="preserve"> </w:t>
      </w:r>
      <w:r w:rsidR="007F6146">
        <w:rPr>
          <w:rFonts w:asciiTheme="minorHAnsi" w:hAnsiTheme="minorHAnsi" w:cstheme="minorHAnsi"/>
          <w:sz w:val="22"/>
          <w:szCs w:val="22"/>
          <w:lang w:val="fr-FR"/>
        </w:rPr>
        <w:t xml:space="preserve">session </w:t>
      </w:r>
      <w:r w:rsidR="002963B0" w:rsidRPr="002963B0">
        <w:rPr>
          <w:rFonts w:asciiTheme="minorHAnsi" w:hAnsiTheme="minorHAnsi" w:cstheme="minorHAnsi"/>
          <w:sz w:val="22"/>
          <w:szCs w:val="22"/>
          <w:lang w:val="fr-FR"/>
        </w:rPr>
        <w:t>de la Conférence des Parties à la CCNUCC (COP24) tenue à Katowice (Pologne) du 2 au 14 décembre 2018, le Secrétariat a participé act</w:t>
      </w:r>
      <w:r w:rsidR="002963B0">
        <w:rPr>
          <w:rFonts w:asciiTheme="minorHAnsi" w:hAnsiTheme="minorHAnsi" w:cstheme="minorHAnsi"/>
          <w:sz w:val="22"/>
          <w:szCs w:val="22"/>
          <w:lang w:val="fr-FR"/>
        </w:rPr>
        <w:t>ivement aux événements suivants</w:t>
      </w:r>
      <w:r w:rsidR="00E800CA">
        <w:rPr>
          <w:rFonts w:asciiTheme="minorHAnsi" w:hAnsiTheme="minorHAnsi" w:cstheme="minorHAnsi"/>
          <w:sz w:val="22"/>
          <w:szCs w:val="22"/>
          <w:lang w:val="fr-FR"/>
        </w:rPr>
        <w:t xml:space="preserve"> :</w:t>
      </w:r>
      <w:r w:rsidR="00AE62F4" w:rsidRPr="0035499B">
        <w:rPr>
          <w:rFonts w:asciiTheme="minorHAnsi" w:hAnsiTheme="minorHAnsi" w:cstheme="minorHAnsi"/>
          <w:sz w:val="22"/>
          <w:szCs w:val="22"/>
          <w:lang w:val="fr-FR"/>
        </w:rPr>
        <w:t xml:space="preserve"> </w:t>
      </w:r>
      <w:r w:rsidR="00AE62F4" w:rsidRPr="00B532F8">
        <w:rPr>
          <w:rFonts w:asciiTheme="minorHAnsi" w:hAnsiTheme="minorHAnsi" w:cstheme="minorHAnsi"/>
          <w:i/>
          <w:sz w:val="22"/>
          <w:szCs w:val="22"/>
        </w:rPr>
        <w:t xml:space="preserve">Adapting to water </w:t>
      </w:r>
      <w:r w:rsidR="0081550C" w:rsidRPr="00B532F8">
        <w:rPr>
          <w:rFonts w:asciiTheme="minorHAnsi" w:hAnsiTheme="minorHAnsi" w:cstheme="minorHAnsi"/>
          <w:i/>
          <w:sz w:val="22"/>
          <w:szCs w:val="22"/>
        </w:rPr>
        <w:t xml:space="preserve">scarcity </w:t>
      </w:r>
      <w:r w:rsidR="00AE62F4" w:rsidRPr="00B532F8">
        <w:rPr>
          <w:rFonts w:asciiTheme="minorHAnsi" w:hAnsiTheme="minorHAnsi" w:cstheme="minorHAnsi"/>
          <w:i/>
          <w:sz w:val="22"/>
          <w:szCs w:val="22"/>
        </w:rPr>
        <w:t xml:space="preserve">in </w:t>
      </w:r>
      <w:r w:rsidR="00EE499A" w:rsidRPr="00B532F8">
        <w:rPr>
          <w:rFonts w:asciiTheme="minorHAnsi" w:hAnsiTheme="minorHAnsi" w:cstheme="minorHAnsi"/>
          <w:i/>
          <w:sz w:val="22"/>
          <w:szCs w:val="22"/>
        </w:rPr>
        <w:t>a</w:t>
      </w:r>
      <w:r w:rsidR="00AE62F4" w:rsidRPr="00B532F8">
        <w:rPr>
          <w:rFonts w:asciiTheme="minorHAnsi" w:hAnsiTheme="minorHAnsi" w:cstheme="minorHAnsi"/>
          <w:i/>
          <w:sz w:val="22"/>
          <w:szCs w:val="22"/>
        </w:rPr>
        <w:t>griculture</w:t>
      </w:r>
      <w:r w:rsidR="0081550C" w:rsidRPr="00B532F8">
        <w:rPr>
          <w:rFonts w:asciiTheme="minorHAnsi" w:hAnsiTheme="minorHAnsi" w:cstheme="minorHAnsi"/>
          <w:sz w:val="22"/>
          <w:szCs w:val="22"/>
        </w:rPr>
        <w:t xml:space="preserve">; </w:t>
      </w:r>
      <w:r w:rsidR="00EE499A" w:rsidRPr="00B532F8">
        <w:rPr>
          <w:rFonts w:asciiTheme="minorHAnsi" w:hAnsiTheme="minorHAnsi" w:cstheme="minorHAnsi"/>
          <w:i/>
          <w:sz w:val="22"/>
          <w:szCs w:val="22"/>
        </w:rPr>
        <w:t>T</w:t>
      </w:r>
      <w:r w:rsidR="00AE62F4" w:rsidRPr="00B532F8">
        <w:rPr>
          <w:rFonts w:asciiTheme="minorHAnsi" w:hAnsiTheme="minorHAnsi" w:cstheme="minorHAnsi"/>
          <w:i/>
          <w:sz w:val="22"/>
          <w:szCs w:val="22"/>
        </w:rPr>
        <w:t xml:space="preserve">owards a joint peatland declaration: Synergies of </w:t>
      </w:r>
      <w:r w:rsidR="00B532F8" w:rsidRPr="00B532F8">
        <w:rPr>
          <w:rFonts w:asciiTheme="minorHAnsi" w:hAnsiTheme="minorHAnsi" w:cstheme="minorHAnsi"/>
          <w:i/>
          <w:sz w:val="22"/>
          <w:szCs w:val="22"/>
        </w:rPr>
        <w:t xml:space="preserve">MEAs </w:t>
      </w:r>
      <w:r w:rsidR="00AE62F4" w:rsidRPr="00B532F8">
        <w:rPr>
          <w:rFonts w:asciiTheme="minorHAnsi" w:hAnsiTheme="minorHAnsi" w:cstheme="minorHAnsi"/>
          <w:i/>
          <w:sz w:val="22"/>
          <w:szCs w:val="22"/>
        </w:rPr>
        <w:t>to reverse the trend on peatlands degradation</w:t>
      </w:r>
      <w:r w:rsidR="00E800CA">
        <w:rPr>
          <w:rFonts w:asciiTheme="minorHAnsi" w:hAnsiTheme="minorHAnsi" w:cstheme="minorHAnsi"/>
          <w:sz w:val="22"/>
          <w:szCs w:val="22"/>
        </w:rPr>
        <w:t xml:space="preserve"> ;</w:t>
      </w:r>
      <w:r w:rsidR="00791680" w:rsidRPr="0035499B">
        <w:rPr>
          <w:rFonts w:asciiTheme="minorHAnsi" w:hAnsiTheme="minorHAnsi" w:cstheme="minorHAnsi"/>
          <w:sz w:val="22"/>
          <w:szCs w:val="22"/>
          <w:lang w:val="fr-FR"/>
        </w:rPr>
        <w:t xml:space="preserve"> </w:t>
      </w:r>
      <w:r w:rsidR="002963B0">
        <w:rPr>
          <w:rFonts w:asciiTheme="minorHAnsi" w:hAnsiTheme="minorHAnsi" w:cstheme="minorHAnsi"/>
          <w:sz w:val="22"/>
          <w:szCs w:val="22"/>
          <w:lang w:val="fr-FR"/>
        </w:rPr>
        <w:t xml:space="preserve">et </w:t>
      </w:r>
      <w:r w:rsidR="00AE62F4" w:rsidRPr="00B532F8">
        <w:rPr>
          <w:rFonts w:asciiTheme="minorHAnsi" w:hAnsiTheme="minorHAnsi" w:cstheme="minorHAnsi"/>
          <w:i/>
          <w:sz w:val="22"/>
          <w:szCs w:val="22"/>
        </w:rPr>
        <w:t>Getting to the Point: The relevance of wetland ecosystems for increasing NDC ambition</w:t>
      </w:r>
      <w:r w:rsidR="00DF0135" w:rsidRPr="0035499B">
        <w:rPr>
          <w:rFonts w:asciiTheme="minorHAnsi" w:hAnsiTheme="minorHAnsi" w:cstheme="minorHAnsi"/>
          <w:sz w:val="22"/>
          <w:szCs w:val="22"/>
          <w:lang w:val="fr-FR"/>
        </w:rPr>
        <w:t xml:space="preserve">. </w:t>
      </w:r>
      <w:r w:rsidR="005C097F" w:rsidRPr="0035499B">
        <w:rPr>
          <w:rFonts w:asciiTheme="minorHAnsi" w:hAnsiTheme="minorHAnsi" w:cstheme="minorHAnsi"/>
          <w:sz w:val="22"/>
          <w:szCs w:val="22"/>
          <w:lang w:val="fr-FR"/>
        </w:rPr>
        <w:t>Le Secrétariat</w:t>
      </w:r>
      <w:r w:rsidR="00DF0135" w:rsidRPr="0035499B">
        <w:rPr>
          <w:rFonts w:asciiTheme="minorHAnsi" w:hAnsiTheme="minorHAnsi" w:cstheme="minorHAnsi"/>
          <w:sz w:val="22"/>
          <w:szCs w:val="22"/>
          <w:lang w:val="fr-FR"/>
        </w:rPr>
        <w:t xml:space="preserve"> </w:t>
      </w:r>
      <w:r w:rsidR="002963B0">
        <w:rPr>
          <w:rFonts w:asciiTheme="minorHAnsi" w:hAnsiTheme="minorHAnsi" w:cstheme="minorHAnsi"/>
          <w:sz w:val="22"/>
          <w:szCs w:val="22"/>
          <w:lang w:val="fr-FR"/>
        </w:rPr>
        <w:t xml:space="preserve">a aussi participé en tant qu’intervenant aux </w:t>
      </w:r>
      <w:r w:rsidR="00D450EA">
        <w:rPr>
          <w:rFonts w:asciiTheme="minorHAnsi" w:hAnsiTheme="minorHAnsi" w:cstheme="minorHAnsi"/>
          <w:sz w:val="22"/>
          <w:szCs w:val="22"/>
          <w:lang w:val="fr-FR"/>
        </w:rPr>
        <w:t>réunions suivantes</w:t>
      </w:r>
      <w:r w:rsidR="004322F9">
        <w:rPr>
          <w:rFonts w:asciiTheme="minorHAnsi" w:hAnsiTheme="minorHAnsi" w:cstheme="minorHAnsi"/>
          <w:sz w:val="22"/>
          <w:szCs w:val="22"/>
          <w:lang w:val="fr-FR"/>
        </w:rPr>
        <w:t xml:space="preserve"> </w:t>
      </w:r>
      <w:r w:rsidR="00791680" w:rsidRPr="0035499B">
        <w:rPr>
          <w:rFonts w:asciiTheme="minorHAnsi" w:hAnsiTheme="minorHAnsi" w:cstheme="minorHAnsi"/>
          <w:sz w:val="22"/>
          <w:szCs w:val="22"/>
          <w:lang w:val="fr-FR"/>
        </w:rPr>
        <w:t xml:space="preserve">: </w:t>
      </w:r>
      <w:r w:rsidR="005E62C2" w:rsidRPr="00B532F8">
        <w:rPr>
          <w:rFonts w:asciiTheme="minorHAnsi" w:hAnsiTheme="minorHAnsi" w:cstheme="minorHAnsi"/>
          <w:i/>
          <w:sz w:val="22"/>
          <w:szCs w:val="22"/>
        </w:rPr>
        <w:t xml:space="preserve">Marrakech </w:t>
      </w:r>
      <w:r w:rsidR="00DF0135" w:rsidRPr="00B532F8">
        <w:rPr>
          <w:rFonts w:asciiTheme="minorHAnsi" w:hAnsiTheme="minorHAnsi" w:cstheme="minorHAnsi"/>
          <w:i/>
          <w:sz w:val="22"/>
          <w:szCs w:val="22"/>
        </w:rPr>
        <w:t>p</w:t>
      </w:r>
      <w:r w:rsidR="005E62C2" w:rsidRPr="00B532F8">
        <w:rPr>
          <w:rFonts w:asciiTheme="minorHAnsi" w:hAnsiTheme="minorHAnsi" w:cstheme="minorHAnsi"/>
          <w:i/>
          <w:sz w:val="22"/>
          <w:szCs w:val="22"/>
        </w:rPr>
        <w:t xml:space="preserve">artnership for </w:t>
      </w:r>
      <w:r w:rsidR="00DF0135" w:rsidRPr="00B532F8">
        <w:rPr>
          <w:rFonts w:asciiTheme="minorHAnsi" w:hAnsiTheme="minorHAnsi" w:cstheme="minorHAnsi"/>
          <w:i/>
          <w:sz w:val="22"/>
          <w:szCs w:val="22"/>
        </w:rPr>
        <w:t>g</w:t>
      </w:r>
      <w:r w:rsidR="005E62C2" w:rsidRPr="00B532F8">
        <w:rPr>
          <w:rFonts w:asciiTheme="minorHAnsi" w:hAnsiTheme="minorHAnsi" w:cstheme="minorHAnsi"/>
          <w:i/>
          <w:sz w:val="22"/>
          <w:szCs w:val="22"/>
        </w:rPr>
        <w:t xml:space="preserve">lobal </w:t>
      </w:r>
      <w:r w:rsidR="00DF0135" w:rsidRPr="00B532F8">
        <w:rPr>
          <w:rFonts w:asciiTheme="minorHAnsi" w:hAnsiTheme="minorHAnsi" w:cstheme="minorHAnsi"/>
          <w:i/>
          <w:sz w:val="22"/>
          <w:szCs w:val="22"/>
        </w:rPr>
        <w:t>c</w:t>
      </w:r>
      <w:r w:rsidR="005E62C2" w:rsidRPr="00B532F8">
        <w:rPr>
          <w:rFonts w:asciiTheme="minorHAnsi" w:hAnsiTheme="minorHAnsi" w:cstheme="minorHAnsi"/>
          <w:i/>
          <w:sz w:val="22"/>
          <w:szCs w:val="22"/>
        </w:rPr>
        <w:t xml:space="preserve">limate </w:t>
      </w:r>
      <w:r w:rsidR="00DF0135" w:rsidRPr="00B532F8">
        <w:rPr>
          <w:rFonts w:asciiTheme="minorHAnsi" w:hAnsiTheme="minorHAnsi" w:cstheme="minorHAnsi"/>
          <w:i/>
          <w:sz w:val="22"/>
          <w:szCs w:val="22"/>
        </w:rPr>
        <w:t>a</w:t>
      </w:r>
      <w:r w:rsidR="005E62C2" w:rsidRPr="00B532F8">
        <w:rPr>
          <w:rFonts w:asciiTheme="minorHAnsi" w:hAnsiTheme="minorHAnsi" w:cstheme="minorHAnsi"/>
          <w:i/>
          <w:sz w:val="22"/>
          <w:szCs w:val="22"/>
        </w:rPr>
        <w:t>ction</w:t>
      </w:r>
      <w:r w:rsidR="00DF0135" w:rsidRPr="00B532F8">
        <w:rPr>
          <w:rFonts w:asciiTheme="minorHAnsi" w:hAnsiTheme="minorHAnsi" w:cstheme="minorHAnsi"/>
          <w:i/>
          <w:sz w:val="22"/>
          <w:szCs w:val="22"/>
        </w:rPr>
        <w:t>,</w:t>
      </w:r>
      <w:r w:rsidR="00AE62F4" w:rsidRPr="00B532F8">
        <w:rPr>
          <w:rFonts w:asciiTheme="minorHAnsi" w:hAnsiTheme="minorHAnsi" w:cstheme="minorHAnsi"/>
          <w:i/>
          <w:sz w:val="22"/>
          <w:szCs w:val="22"/>
        </w:rPr>
        <w:t xml:space="preserve"> </w:t>
      </w:r>
      <w:r w:rsidR="00DF0135" w:rsidRPr="00B532F8">
        <w:rPr>
          <w:rFonts w:asciiTheme="minorHAnsi" w:hAnsiTheme="minorHAnsi" w:cstheme="minorHAnsi"/>
          <w:i/>
          <w:sz w:val="22"/>
          <w:szCs w:val="22"/>
        </w:rPr>
        <w:t>w</w:t>
      </w:r>
      <w:r w:rsidR="00AE62F4" w:rsidRPr="00B532F8">
        <w:rPr>
          <w:rFonts w:asciiTheme="minorHAnsi" w:hAnsiTheme="minorHAnsi" w:cstheme="minorHAnsi"/>
          <w:i/>
          <w:sz w:val="22"/>
          <w:szCs w:val="22"/>
        </w:rPr>
        <w:t>ater-wise solutions to mitigate, adapt and thrive</w:t>
      </w:r>
      <w:r w:rsidR="00791680" w:rsidRPr="00B532F8">
        <w:rPr>
          <w:rFonts w:asciiTheme="minorHAnsi" w:hAnsiTheme="minorHAnsi" w:cstheme="minorHAnsi"/>
          <w:sz w:val="22"/>
          <w:szCs w:val="22"/>
        </w:rPr>
        <w:t>;</w:t>
      </w:r>
      <w:r w:rsidR="00AE62F4" w:rsidRPr="00B532F8">
        <w:rPr>
          <w:rFonts w:asciiTheme="minorHAnsi" w:hAnsiTheme="minorHAnsi" w:cstheme="minorHAnsi"/>
          <w:sz w:val="22"/>
          <w:szCs w:val="22"/>
        </w:rPr>
        <w:t xml:space="preserve"> </w:t>
      </w:r>
      <w:r w:rsidR="00AE62F4" w:rsidRPr="00B532F8">
        <w:rPr>
          <w:rFonts w:asciiTheme="minorHAnsi" w:hAnsiTheme="minorHAnsi" w:cstheme="minorHAnsi"/>
          <w:i/>
          <w:sz w:val="22"/>
          <w:szCs w:val="22"/>
        </w:rPr>
        <w:t>International updates on Blue Carbon science and knowledge</w:t>
      </w:r>
      <w:r w:rsidR="00791680" w:rsidRPr="0035499B">
        <w:rPr>
          <w:rFonts w:asciiTheme="minorHAnsi" w:hAnsiTheme="minorHAnsi" w:cstheme="minorHAnsi"/>
          <w:sz w:val="22"/>
          <w:szCs w:val="22"/>
          <w:lang w:val="fr-FR"/>
        </w:rPr>
        <w:t>;</w:t>
      </w:r>
      <w:r w:rsidR="00AE62F4" w:rsidRPr="0035499B">
        <w:rPr>
          <w:rFonts w:asciiTheme="minorHAnsi" w:hAnsiTheme="minorHAnsi" w:cstheme="minorHAnsi"/>
          <w:sz w:val="22"/>
          <w:szCs w:val="22"/>
          <w:lang w:val="fr-FR"/>
        </w:rPr>
        <w:t xml:space="preserve"> </w:t>
      </w:r>
      <w:r w:rsidR="00AE62F4" w:rsidRPr="00B532F8">
        <w:rPr>
          <w:rFonts w:asciiTheme="minorHAnsi" w:hAnsiTheme="minorHAnsi" w:cstheme="minorHAnsi"/>
          <w:i/>
          <w:sz w:val="22"/>
          <w:szCs w:val="22"/>
        </w:rPr>
        <w:t>Forests first – from 10 years of REDD+ to the full scope of nature-based climate solutions</w:t>
      </w:r>
      <w:r w:rsidR="00E800CA">
        <w:rPr>
          <w:rFonts w:asciiTheme="minorHAnsi" w:hAnsiTheme="minorHAnsi" w:cstheme="minorHAnsi"/>
          <w:sz w:val="22"/>
          <w:szCs w:val="22"/>
          <w:lang w:val="fr-FR"/>
        </w:rPr>
        <w:t xml:space="preserve"> ;</w:t>
      </w:r>
      <w:r w:rsidR="00DF0135" w:rsidRPr="0035499B">
        <w:rPr>
          <w:rFonts w:asciiTheme="minorHAnsi" w:hAnsiTheme="minorHAnsi" w:cstheme="minorHAnsi"/>
          <w:sz w:val="22"/>
          <w:szCs w:val="22"/>
          <w:lang w:val="fr-FR"/>
        </w:rPr>
        <w:t xml:space="preserve"> </w:t>
      </w:r>
      <w:r w:rsidR="002963B0">
        <w:rPr>
          <w:rFonts w:asciiTheme="minorHAnsi" w:hAnsiTheme="minorHAnsi" w:cstheme="minorHAnsi"/>
          <w:sz w:val="22"/>
          <w:szCs w:val="22"/>
          <w:lang w:val="fr-FR"/>
        </w:rPr>
        <w:t xml:space="preserve">et </w:t>
      </w:r>
      <w:r w:rsidR="00AE62F4" w:rsidRPr="00B532F8">
        <w:rPr>
          <w:rFonts w:asciiTheme="minorHAnsi" w:hAnsiTheme="minorHAnsi" w:cstheme="minorHAnsi"/>
          <w:i/>
          <w:sz w:val="22"/>
          <w:szCs w:val="22"/>
        </w:rPr>
        <w:t>Raising the bar on nature-based solutions in NDCs</w:t>
      </w:r>
      <w:r w:rsidR="009A336A" w:rsidRPr="0035499B">
        <w:rPr>
          <w:rFonts w:asciiTheme="minorHAnsi" w:hAnsiTheme="minorHAnsi" w:cstheme="minorHAnsi"/>
          <w:sz w:val="22"/>
          <w:szCs w:val="22"/>
          <w:lang w:val="fr-FR"/>
        </w:rPr>
        <w:t xml:space="preserve">. </w:t>
      </w:r>
      <w:r w:rsidR="002963B0">
        <w:rPr>
          <w:rFonts w:asciiTheme="minorHAnsi" w:hAnsiTheme="minorHAnsi" w:cstheme="minorHAnsi"/>
          <w:sz w:val="22"/>
          <w:szCs w:val="22"/>
          <w:lang w:val="fr-FR"/>
        </w:rPr>
        <w:t xml:space="preserve">Le Secrétariat et ses partenaires ont profité de </w:t>
      </w:r>
      <w:r w:rsidR="00B532F8">
        <w:rPr>
          <w:rFonts w:asciiTheme="minorHAnsi" w:hAnsiTheme="minorHAnsi" w:cstheme="minorHAnsi"/>
          <w:sz w:val="22"/>
          <w:szCs w:val="22"/>
          <w:lang w:val="fr-FR"/>
        </w:rPr>
        <w:t>ces occasions</w:t>
      </w:r>
      <w:r w:rsidR="002963B0">
        <w:rPr>
          <w:rFonts w:asciiTheme="minorHAnsi" w:hAnsiTheme="minorHAnsi" w:cstheme="minorHAnsi"/>
          <w:sz w:val="22"/>
          <w:szCs w:val="22"/>
          <w:lang w:val="fr-FR"/>
        </w:rPr>
        <w:t xml:space="preserve"> pour souligner l’</w:t>
      </w:r>
      <w:r w:rsidR="006D482F" w:rsidRPr="0035499B">
        <w:rPr>
          <w:rFonts w:asciiTheme="minorHAnsi" w:hAnsiTheme="minorHAnsi" w:cstheme="minorHAnsi"/>
          <w:sz w:val="22"/>
          <w:szCs w:val="22"/>
          <w:lang w:val="fr-FR"/>
        </w:rPr>
        <w:t xml:space="preserve">importance </w:t>
      </w:r>
      <w:r w:rsidR="002963B0">
        <w:rPr>
          <w:rFonts w:asciiTheme="minorHAnsi" w:hAnsiTheme="minorHAnsi" w:cstheme="minorHAnsi"/>
          <w:sz w:val="22"/>
          <w:szCs w:val="22"/>
          <w:lang w:val="fr-FR"/>
        </w:rPr>
        <w:t>des tourbières en tant qu’écosystème essentiel et souvent négligé pour l’adaptation aux changements climatiques et l’atténuation de leurs effets, la conservation de la biodiversité et les services écosystémiques</w:t>
      </w:r>
      <w:r w:rsidR="001C6B44" w:rsidRPr="0035499B">
        <w:rPr>
          <w:rFonts w:asciiTheme="minorHAnsi" w:hAnsiTheme="minorHAnsi" w:cstheme="minorHAnsi"/>
          <w:sz w:val="22"/>
          <w:szCs w:val="22"/>
          <w:lang w:val="fr-FR"/>
        </w:rPr>
        <w:t>.</w:t>
      </w:r>
    </w:p>
    <w:p w14:paraId="7887D315" w14:textId="77777777" w:rsidR="00006D1A" w:rsidRPr="0035499B" w:rsidRDefault="00006D1A" w:rsidP="00BE0B1E">
      <w:pPr>
        <w:ind w:left="425" w:hanging="425"/>
        <w:rPr>
          <w:rFonts w:asciiTheme="minorHAnsi" w:hAnsiTheme="minorHAnsi" w:cstheme="minorHAnsi"/>
          <w:sz w:val="22"/>
          <w:szCs w:val="22"/>
          <w:lang w:val="fr-FR"/>
        </w:rPr>
      </w:pPr>
    </w:p>
    <w:p w14:paraId="210C5A24" w14:textId="0E9A2E95" w:rsidR="00B04A72" w:rsidRDefault="00BE0B1E" w:rsidP="00B04A72">
      <w:pPr>
        <w:ind w:left="425" w:hanging="425"/>
        <w:rPr>
          <w:rFonts w:asciiTheme="minorHAnsi" w:hAnsiTheme="minorHAnsi" w:cstheme="minorHAnsi"/>
          <w:sz w:val="22"/>
          <w:szCs w:val="22"/>
          <w:lang w:val="fr-FR"/>
        </w:rPr>
      </w:pPr>
      <w:r>
        <w:rPr>
          <w:rFonts w:asciiTheme="minorHAnsi" w:hAnsiTheme="minorHAnsi" w:cstheme="minorHAnsi"/>
          <w:sz w:val="22"/>
          <w:szCs w:val="22"/>
        </w:rPr>
        <w:t>23.</w:t>
      </w:r>
      <w:r>
        <w:rPr>
          <w:rFonts w:asciiTheme="minorHAnsi" w:hAnsiTheme="minorHAnsi" w:cstheme="minorHAnsi"/>
          <w:sz w:val="22"/>
          <w:szCs w:val="22"/>
        </w:rPr>
        <w:tab/>
      </w:r>
      <w:r w:rsidR="00B04A72" w:rsidRPr="00B04A72">
        <w:rPr>
          <w:rFonts w:asciiTheme="minorHAnsi" w:hAnsiTheme="minorHAnsi" w:cstheme="minorHAnsi"/>
          <w:sz w:val="22"/>
          <w:szCs w:val="22"/>
          <w:lang w:val="fr-FR"/>
        </w:rPr>
        <w:t xml:space="preserve">L'Initiative mondiale pour les tourbières, lancée par le PNUE et la Convention de Ramsar </w:t>
      </w:r>
      <w:r w:rsidR="004322F9">
        <w:rPr>
          <w:rFonts w:asciiTheme="minorHAnsi" w:hAnsiTheme="minorHAnsi" w:cstheme="minorHAnsi"/>
          <w:sz w:val="22"/>
          <w:szCs w:val="22"/>
          <w:lang w:val="fr-FR"/>
        </w:rPr>
        <w:t>à la 22</w:t>
      </w:r>
      <w:r w:rsidR="004322F9" w:rsidRPr="004322F9">
        <w:rPr>
          <w:rFonts w:asciiTheme="minorHAnsi" w:hAnsiTheme="minorHAnsi" w:cstheme="minorHAnsi"/>
          <w:sz w:val="22"/>
          <w:szCs w:val="22"/>
          <w:vertAlign w:val="superscript"/>
          <w:lang w:val="fr-FR"/>
        </w:rPr>
        <w:t>e</w:t>
      </w:r>
      <w:r w:rsidR="004322F9">
        <w:rPr>
          <w:rFonts w:asciiTheme="minorHAnsi" w:hAnsiTheme="minorHAnsi" w:cstheme="minorHAnsi"/>
          <w:sz w:val="22"/>
          <w:szCs w:val="22"/>
          <w:lang w:val="fr-FR"/>
        </w:rPr>
        <w:t xml:space="preserve"> session de la Conférence des Parties à la </w:t>
      </w:r>
      <w:r w:rsidR="00B04A72" w:rsidRPr="00B04A72">
        <w:rPr>
          <w:rFonts w:asciiTheme="minorHAnsi" w:hAnsiTheme="minorHAnsi" w:cstheme="minorHAnsi"/>
          <w:sz w:val="22"/>
          <w:szCs w:val="22"/>
          <w:lang w:val="fr-FR"/>
        </w:rPr>
        <w:t xml:space="preserve">CCNUCC </w:t>
      </w:r>
      <w:r w:rsidR="004322F9">
        <w:rPr>
          <w:rFonts w:asciiTheme="minorHAnsi" w:hAnsiTheme="minorHAnsi" w:cstheme="minorHAnsi"/>
          <w:sz w:val="22"/>
          <w:szCs w:val="22"/>
          <w:lang w:val="fr-FR"/>
        </w:rPr>
        <w:t>(</w:t>
      </w:r>
      <w:r w:rsidR="004322F9" w:rsidRPr="004322F9">
        <w:rPr>
          <w:rFonts w:asciiTheme="minorHAnsi" w:hAnsiTheme="minorHAnsi" w:cstheme="minorHAnsi"/>
          <w:sz w:val="22"/>
          <w:szCs w:val="22"/>
          <w:lang w:val="fr-FR"/>
        </w:rPr>
        <w:t>COP22</w:t>
      </w:r>
      <w:r w:rsidR="004322F9">
        <w:rPr>
          <w:rFonts w:asciiTheme="minorHAnsi" w:hAnsiTheme="minorHAnsi" w:cstheme="minorHAnsi"/>
          <w:sz w:val="22"/>
          <w:szCs w:val="22"/>
          <w:lang w:val="fr-FR"/>
        </w:rPr>
        <w:t>)</w:t>
      </w:r>
      <w:r w:rsidR="004322F9" w:rsidRPr="004322F9">
        <w:rPr>
          <w:rFonts w:asciiTheme="minorHAnsi" w:hAnsiTheme="minorHAnsi" w:cstheme="minorHAnsi"/>
          <w:sz w:val="22"/>
          <w:szCs w:val="22"/>
          <w:lang w:val="fr-FR"/>
        </w:rPr>
        <w:t xml:space="preserve"> </w:t>
      </w:r>
      <w:r w:rsidR="00B04A72" w:rsidRPr="00B04A72">
        <w:rPr>
          <w:rFonts w:asciiTheme="minorHAnsi" w:hAnsiTheme="minorHAnsi" w:cstheme="minorHAnsi"/>
          <w:sz w:val="22"/>
          <w:szCs w:val="22"/>
          <w:lang w:val="fr-FR"/>
        </w:rPr>
        <w:t>à Marrakech, Maroc, continue d</w:t>
      </w:r>
      <w:r w:rsidR="00B532F8">
        <w:rPr>
          <w:rFonts w:asciiTheme="minorHAnsi" w:hAnsiTheme="minorHAnsi" w:cstheme="minorHAnsi"/>
          <w:sz w:val="22"/>
          <w:szCs w:val="22"/>
          <w:lang w:val="fr-FR"/>
        </w:rPr>
        <w:t>’offrir un</w:t>
      </w:r>
      <w:r w:rsidR="00792827">
        <w:rPr>
          <w:rFonts w:asciiTheme="minorHAnsi" w:hAnsiTheme="minorHAnsi" w:cstheme="minorHAnsi"/>
          <w:sz w:val="22"/>
          <w:szCs w:val="22"/>
          <w:lang w:val="fr-FR"/>
        </w:rPr>
        <w:t xml:space="preserve">e plateforme </w:t>
      </w:r>
      <w:r w:rsidR="00FE6DFC">
        <w:rPr>
          <w:rFonts w:asciiTheme="minorHAnsi" w:hAnsiTheme="minorHAnsi" w:cstheme="minorHAnsi"/>
          <w:sz w:val="22"/>
          <w:szCs w:val="22"/>
          <w:lang w:val="fr-FR"/>
        </w:rPr>
        <w:t xml:space="preserve">et un </w:t>
      </w:r>
      <w:r w:rsidR="00792827">
        <w:rPr>
          <w:rFonts w:asciiTheme="minorHAnsi" w:hAnsiTheme="minorHAnsi" w:cstheme="minorHAnsi"/>
          <w:sz w:val="22"/>
          <w:szCs w:val="22"/>
          <w:lang w:val="fr-FR"/>
        </w:rPr>
        <w:t xml:space="preserve">pôle de connaissances </w:t>
      </w:r>
      <w:r w:rsidR="00B532F8">
        <w:rPr>
          <w:rFonts w:asciiTheme="minorHAnsi" w:hAnsiTheme="minorHAnsi" w:cstheme="minorHAnsi"/>
          <w:sz w:val="22"/>
          <w:szCs w:val="22"/>
          <w:lang w:val="fr-FR"/>
        </w:rPr>
        <w:t xml:space="preserve">pour </w:t>
      </w:r>
      <w:r w:rsidR="00B04A72" w:rsidRPr="00B04A72">
        <w:rPr>
          <w:rFonts w:asciiTheme="minorHAnsi" w:hAnsiTheme="minorHAnsi" w:cstheme="minorHAnsi"/>
          <w:sz w:val="22"/>
          <w:szCs w:val="22"/>
          <w:lang w:val="fr-FR"/>
        </w:rPr>
        <w:t>améliorer l</w:t>
      </w:r>
      <w:r w:rsidR="00792827">
        <w:rPr>
          <w:rFonts w:asciiTheme="minorHAnsi" w:hAnsiTheme="minorHAnsi" w:cstheme="minorHAnsi"/>
          <w:sz w:val="22"/>
          <w:szCs w:val="22"/>
          <w:lang w:val="fr-FR"/>
        </w:rPr>
        <w:t>a compréhension de l'état et d</w:t>
      </w:r>
      <w:r w:rsidR="00B04A72" w:rsidRPr="00B04A72">
        <w:rPr>
          <w:rFonts w:asciiTheme="minorHAnsi" w:hAnsiTheme="minorHAnsi" w:cstheme="minorHAnsi"/>
          <w:sz w:val="22"/>
          <w:szCs w:val="22"/>
          <w:lang w:val="fr-FR"/>
        </w:rPr>
        <w:t>es tendances d</w:t>
      </w:r>
      <w:r w:rsidR="00B532F8">
        <w:rPr>
          <w:rFonts w:asciiTheme="minorHAnsi" w:hAnsiTheme="minorHAnsi" w:cstheme="minorHAnsi"/>
          <w:sz w:val="22"/>
          <w:szCs w:val="22"/>
          <w:lang w:val="fr-FR"/>
        </w:rPr>
        <w:t>es tourbières</w:t>
      </w:r>
      <w:r w:rsidR="00B04A72" w:rsidRPr="00B04A72">
        <w:rPr>
          <w:rFonts w:asciiTheme="minorHAnsi" w:hAnsiTheme="minorHAnsi" w:cstheme="minorHAnsi"/>
          <w:sz w:val="22"/>
          <w:szCs w:val="22"/>
          <w:lang w:val="fr-FR"/>
        </w:rPr>
        <w:t xml:space="preserve">. Avec les pays partenaires et les experts, cette Initiative travaille </w:t>
      </w:r>
      <w:r w:rsidR="00792827">
        <w:rPr>
          <w:rFonts w:asciiTheme="minorHAnsi" w:hAnsiTheme="minorHAnsi" w:cstheme="minorHAnsi"/>
          <w:sz w:val="22"/>
          <w:szCs w:val="22"/>
          <w:lang w:val="fr-FR"/>
        </w:rPr>
        <w:t xml:space="preserve">à </w:t>
      </w:r>
      <w:r w:rsidR="00B04A72" w:rsidRPr="00B04A72">
        <w:rPr>
          <w:rFonts w:asciiTheme="minorHAnsi" w:hAnsiTheme="minorHAnsi" w:cstheme="minorHAnsi"/>
          <w:sz w:val="22"/>
          <w:szCs w:val="22"/>
          <w:lang w:val="fr-FR"/>
        </w:rPr>
        <w:t>la conservation et à la restauration des stocks de carbone dans les principaux pays de tourbières que sont l’Indonésie, le Pérou, la République du Congo et la République démocratique du Congo. L’Initiative mondiale pour les tourbières vise à réduire les émissions mondiales de gaz à effet de serre en améliorant les connaissances sur les tourbières (leur étendue, leur épaisseur, leur évolution et les causes majeures de changement).</w:t>
      </w:r>
    </w:p>
    <w:p w14:paraId="15291E0F" w14:textId="77777777" w:rsidR="00785702" w:rsidRPr="00F61CAA" w:rsidRDefault="00785702" w:rsidP="00B04A72">
      <w:pPr>
        <w:rPr>
          <w:rFonts w:asciiTheme="minorHAnsi" w:hAnsiTheme="minorHAnsi" w:cstheme="minorHAnsi"/>
          <w:sz w:val="22"/>
          <w:szCs w:val="22"/>
        </w:rPr>
      </w:pPr>
    </w:p>
    <w:p w14:paraId="3EA092CE" w14:textId="7C9CFB84" w:rsidR="00356F19" w:rsidRPr="00356F19" w:rsidRDefault="00BE0B1E" w:rsidP="00BE0B1E">
      <w:pPr>
        <w:ind w:left="425" w:hanging="425"/>
        <w:rPr>
          <w:rFonts w:asciiTheme="minorHAnsi" w:hAnsiTheme="minorHAnsi" w:cstheme="minorHAnsi"/>
          <w:sz w:val="22"/>
          <w:szCs w:val="22"/>
          <w:lang w:val="fr-FR"/>
        </w:rPr>
      </w:pPr>
      <w:r w:rsidRPr="00AF6E5F">
        <w:rPr>
          <w:rFonts w:asciiTheme="minorHAnsi" w:hAnsiTheme="minorHAnsi" w:cstheme="minorHAnsi"/>
          <w:sz w:val="22"/>
          <w:szCs w:val="22"/>
          <w:lang w:val="fr-FR"/>
        </w:rPr>
        <w:t>24.</w:t>
      </w:r>
      <w:r w:rsidRPr="00AF6E5F">
        <w:rPr>
          <w:rFonts w:asciiTheme="minorHAnsi" w:hAnsiTheme="minorHAnsi" w:cstheme="minorHAnsi"/>
          <w:sz w:val="22"/>
          <w:szCs w:val="22"/>
          <w:lang w:val="fr-FR"/>
        </w:rPr>
        <w:tab/>
      </w:r>
      <w:r w:rsidR="00356F19" w:rsidRPr="00356F19">
        <w:rPr>
          <w:rFonts w:asciiTheme="minorHAnsi" w:hAnsiTheme="minorHAnsi" w:cstheme="minorHAnsi"/>
          <w:sz w:val="22"/>
          <w:szCs w:val="22"/>
          <w:lang w:val="fr-FR"/>
        </w:rPr>
        <w:t xml:space="preserve">Le Secrétariat a rejoint le Partenariat international pour le carbone bleu </w:t>
      </w:r>
      <w:r w:rsidR="00D450EA">
        <w:rPr>
          <w:rFonts w:asciiTheme="minorHAnsi" w:hAnsiTheme="minorHAnsi" w:cstheme="minorHAnsi"/>
          <w:sz w:val="22"/>
          <w:szCs w:val="22"/>
          <w:lang w:val="fr-FR"/>
        </w:rPr>
        <w:t>afin d’</w:t>
      </w:r>
      <w:r w:rsidR="00356F19" w:rsidRPr="00356F19">
        <w:rPr>
          <w:rFonts w:asciiTheme="minorHAnsi" w:hAnsiTheme="minorHAnsi" w:cstheme="minorHAnsi"/>
          <w:sz w:val="22"/>
          <w:szCs w:val="22"/>
          <w:lang w:val="fr-FR"/>
        </w:rPr>
        <w:t>aider à mieux relier les efforts déployés par les gouvernements, les organismes de recherche et les ONG. Fin 2018, il a participé à une table ronde sur le carbone bleu organisée par l'Intergroupe du Parlement Européen sur les changements climatiques, la biodiversité et le développement durable, à Bruxelles, Belgique.</w:t>
      </w:r>
    </w:p>
    <w:p w14:paraId="70AA6D75" w14:textId="77777777" w:rsidR="001036C8" w:rsidRPr="00356F19" w:rsidRDefault="001036C8" w:rsidP="00BE0B1E">
      <w:pPr>
        <w:ind w:left="425" w:hanging="425"/>
        <w:rPr>
          <w:rFonts w:asciiTheme="minorHAnsi" w:hAnsiTheme="minorHAnsi" w:cstheme="minorHAnsi"/>
          <w:sz w:val="22"/>
          <w:szCs w:val="22"/>
          <w:lang w:val="fr-FR"/>
        </w:rPr>
      </w:pPr>
    </w:p>
    <w:p w14:paraId="12E1A3A4" w14:textId="115640B3" w:rsidR="00356F19" w:rsidRPr="00356F19" w:rsidRDefault="00BE0B1E" w:rsidP="00356F19">
      <w:pPr>
        <w:ind w:left="425" w:hanging="425"/>
        <w:rPr>
          <w:rFonts w:asciiTheme="minorHAnsi" w:hAnsiTheme="minorHAnsi" w:cstheme="minorHAnsi"/>
          <w:sz w:val="22"/>
          <w:szCs w:val="22"/>
          <w:lang w:val="fr-FR"/>
        </w:rPr>
      </w:pPr>
      <w:r w:rsidRPr="00356F19">
        <w:rPr>
          <w:rFonts w:asciiTheme="minorHAnsi" w:hAnsiTheme="minorHAnsi" w:cstheme="minorHAnsi"/>
          <w:sz w:val="22"/>
          <w:szCs w:val="22"/>
          <w:lang w:val="fr-FR"/>
        </w:rPr>
        <w:t>25.</w:t>
      </w:r>
      <w:r w:rsidRPr="00356F19">
        <w:rPr>
          <w:rFonts w:asciiTheme="minorHAnsi" w:hAnsiTheme="minorHAnsi" w:cstheme="minorHAnsi"/>
          <w:sz w:val="22"/>
          <w:szCs w:val="22"/>
          <w:lang w:val="fr-FR"/>
        </w:rPr>
        <w:tab/>
      </w:r>
      <w:r w:rsidR="00356F19" w:rsidRPr="00356F19">
        <w:rPr>
          <w:rFonts w:asciiTheme="minorHAnsi" w:hAnsiTheme="minorHAnsi" w:cstheme="minorHAnsi"/>
          <w:sz w:val="22"/>
          <w:szCs w:val="22"/>
          <w:lang w:val="fr-FR"/>
        </w:rPr>
        <w:t xml:space="preserve">Les solutions fondées sur les zones humides utilisant les services écosystémiques pour l’adaptation aux changements climatiques et l’atténuation de leurs effets doivent encore être mises en avant de façon plus visible et plus convaincante dans le programme de la CCNUCC. Sur la base des résolutions de la </w:t>
      </w:r>
      <w:r w:rsidR="00D2534E">
        <w:rPr>
          <w:rFonts w:asciiTheme="minorHAnsi" w:hAnsiTheme="minorHAnsi" w:cstheme="minorHAnsi"/>
          <w:sz w:val="22"/>
          <w:szCs w:val="22"/>
          <w:lang w:val="fr-FR"/>
        </w:rPr>
        <w:t>13</w:t>
      </w:r>
      <w:r w:rsidR="00D2534E" w:rsidRPr="00D2534E">
        <w:rPr>
          <w:rFonts w:asciiTheme="minorHAnsi" w:hAnsiTheme="minorHAnsi" w:cstheme="minorHAnsi"/>
          <w:sz w:val="22"/>
          <w:szCs w:val="22"/>
          <w:vertAlign w:val="superscript"/>
          <w:lang w:val="fr-FR"/>
        </w:rPr>
        <w:t>e</w:t>
      </w:r>
      <w:r w:rsidR="00D2534E">
        <w:rPr>
          <w:rFonts w:asciiTheme="minorHAnsi" w:hAnsiTheme="minorHAnsi" w:cstheme="minorHAnsi"/>
          <w:sz w:val="22"/>
          <w:szCs w:val="22"/>
          <w:lang w:val="fr-FR"/>
        </w:rPr>
        <w:t xml:space="preserve"> Session de la Conférence des Parties à la Convention de Ramsar (</w:t>
      </w:r>
      <w:r w:rsidR="00356F19" w:rsidRPr="00356F19">
        <w:rPr>
          <w:rFonts w:asciiTheme="minorHAnsi" w:hAnsiTheme="minorHAnsi" w:cstheme="minorHAnsi"/>
          <w:sz w:val="22"/>
          <w:szCs w:val="22"/>
          <w:lang w:val="fr-FR"/>
        </w:rPr>
        <w:t>COP13</w:t>
      </w:r>
      <w:r w:rsidR="00D2534E">
        <w:rPr>
          <w:rFonts w:asciiTheme="minorHAnsi" w:hAnsiTheme="minorHAnsi" w:cstheme="minorHAnsi"/>
          <w:sz w:val="22"/>
          <w:szCs w:val="22"/>
          <w:lang w:val="fr-FR"/>
        </w:rPr>
        <w:t>)</w:t>
      </w:r>
      <w:r w:rsidR="00356F19" w:rsidRPr="00356F19">
        <w:rPr>
          <w:rFonts w:asciiTheme="minorHAnsi" w:hAnsiTheme="minorHAnsi" w:cstheme="minorHAnsi"/>
          <w:sz w:val="22"/>
          <w:szCs w:val="22"/>
          <w:lang w:val="fr-FR"/>
        </w:rPr>
        <w:t xml:space="preserve"> sur les synergies (Résolution XIII.7),</w:t>
      </w:r>
      <w:r w:rsidR="007F6146">
        <w:rPr>
          <w:rFonts w:asciiTheme="minorHAnsi" w:hAnsiTheme="minorHAnsi" w:cstheme="minorHAnsi"/>
          <w:sz w:val="22"/>
          <w:szCs w:val="22"/>
          <w:lang w:val="fr-FR"/>
        </w:rPr>
        <w:t xml:space="preserve"> sur</w:t>
      </w:r>
      <w:r w:rsidR="00356F19" w:rsidRPr="00356F19">
        <w:rPr>
          <w:rFonts w:asciiTheme="minorHAnsi" w:hAnsiTheme="minorHAnsi" w:cstheme="minorHAnsi"/>
          <w:sz w:val="22"/>
          <w:szCs w:val="22"/>
          <w:lang w:val="fr-FR"/>
        </w:rPr>
        <w:t xml:space="preserve"> les tourbières (Résolutions XIII.12 et XIII.13) et </w:t>
      </w:r>
      <w:r w:rsidR="00FE6DFC">
        <w:rPr>
          <w:rFonts w:asciiTheme="minorHAnsi" w:hAnsiTheme="minorHAnsi" w:cstheme="minorHAnsi"/>
          <w:sz w:val="22"/>
          <w:szCs w:val="22"/>
          <w:lang w:val="fr-FR"/>
        </w:rPr>
        <w:t xml:space="preserve">sur </w:t>
      </w:r>
      <w:r w:rsidR="00356F19" w:rsidRPr="00356F19">
        <w:rPr>
          <w:rFonts w:asciiTheme="minorHAnsi" w:hAnsiTheme="minorHAnsi" w:cstheme="minorHAnsi"/>
          <w:sz w:val="22"/>
          <w:szCs w:val="22"/>
          <w:lang w:val="fr-FR"/>
        </w:rPr>
        <w:t xml:space="preserve">le carbone bleu (Résolution XIII.14), le Secrétariat travaillera avec les Parties contractantes </w:t>
      </w:r>
      <w:r w:rsidR="007F6146">
        <w:rPr>
          <w:rFonts w:asciiTheme="minorHAnsi" w:hAnsiTheme="minorHAnsi" w:cstheme="minorHAnsi"/>
          <w:sz w:val="22"/>
          <w:szCs w:val="22"/>
          <w:lang w:val="fr-FR"/>
        </w:rPr>
        <w:t xml:space="preserve">et les partenaires </w:t>
      </w:r>
      <w:r w:rsidR="00356F19" w:rsidRPr="00356F19">
        <w:rPr>
          <w:rFonts w:asciiTheme="minorHAnsi" w:hAnsiTheme="minorHAnsi" w:cstheme="minorHAnsi"/>
          <w:sz w:val="22"/>
          <w:szCs w:val="22"/>
          <w:lang w:val="fr-FR"/>
        </w:rPr>
        <w:t xml:space="preserve">afin que les questions relatives aux zones humides soient </w:t>
      </w:r>
      <w:r w:rsidR="007F6146">
        <w:rPr>
          <w:rFonts w:asciiTheme="minorHAnsi" w:hAnsiTheme="minorHAnsi" w:cstheme="minorHAnsi"/>
          <w:sz w:val="22"/>
          <w:szCs w:val="22"/>
          <w:lang w:val="fr-FR"/>
        </w:rPr>
        <w:t xml:space="preserve">abordées à </w:t>
      </w:r>
      <w:r w:rsidR="00356F19" w:rsidRPr="00356F19">
        <w:rPr>
          <w:rFonts w:asciiTheme="minorHAnsi" w:hAnsiTheme="minorHAnsi" w:cstheme="minorHAnsi"/>
          <w:sz w:val="22"/>
          <w:szCs w:val="22"/>
          <w:lang w:val="fr-FR"/>
        </w:rPr>
        <w:t>la COP25 de la CCNUCC</w:t>
      </w:r>
      <w:r w:rsidR="007F6146">
        <w:rPr>
          <w:rFonts w:asciiTheme="minorHAnsi" w:hAnsiTheme="minorHAnsi" w:cstheme="minorHAnsi"/>
          <w:sz w:val="22"/>
          <w:szCs w:val="22"/>
          <w:lang w:val="fr-FR"/>
        </w:rPr>
        <w:t xml:space="preserve"> qui aura lieu prochainement</w:t>
      </w:r>
      <w:r w:rsidR="00356F19" w:rsidRPr="00356F19">
        <w:rPr>
          <w:rFonts w:asciiTheme="minorHAnsi" w:hAnsiTheme="minorHAnsi" w:cstheme="minorHAnsi"/>
          <w:sz w:val="22"/>
          <w:szCs w:val="22"/>
          <w:lang w:val="fr-FR"/>
        </w:rPr>
        <w:t>.</w:t>
      </w:r>
    </w:p>
    <w:p w14:paraId="754F8E29" w14:textId="77777777" w:rsidR="00356F19" w:rsidRPr="00356F19" w:rsidRDefault="00356F19" w:rsidP="00356F19">
      <w:pPr>
        <w:ind w:left="425" w:hanging="425"/>
        <w:rPr>
          <w:rFonts w:asciiTheme="minorHAnsi" w:hAnsiTheme="minorHAnsi" w:cstheme="minorHAnsi"/>
          <w:sz w:val="22"/>
          <w:szCs w:val="22"/>
          <w:lang w:val="fr-FR"/>
        </w:rPr>
      </w:pPr>
    </w:p>
    <w:p w14:paraId="080DB4F5" w14:textId="56AA8292" w:rsidR="00356F19" w:rsidRPr="00356F19" w:rsidRDefault="00356F19" w:rsidP="002B62C0">
      <w:pPr>
        <w:keepNext/>
        <w:autoSpaceDE w:val="0"/>
        <w:autoSpaceDN w:val="0"/>
        <w:adjustRightInd w:val="0"/>
        <w:ind w:left="425" w:hanging="425"/>
        <w:rPr>
          <w:rFonts w:asciiTheme="minorHAnsi" w:hAnsiTheme="minorHAnsi" w:cstheme="minorHAnsi"/>
          <w:i/>
          <w:sz w:val="22"/>
          <w:szCs w:val="22"/>
          <w:lang w:val="fr-FR"/>
        </w:rPr>
      </w:pPr>
      <w:r w:rsidRPr="00356F19">
        <w:rPr>
          <w:rFonts w:asciiTheme="minorHAnsi" w:hAnsiTheme="minorHAnsi" w:cstheme="minorHAnsi"/>
          <w:i/>
          <w:sz w:val="22"/>
          <w:szCs w:val="22"/>
          <w:lang w:val="fr-FR"/>
        </w:rPr>
        <w:lastRenderedPageBreak/>
        <w:t>Convention des Nations Unies sur la lutte</w:t>
      </w:r>
      <w:r w:rsidR="00AF62C4">
        <w:rPr>
          <w:rFonts w:asciiTheme="minorHAnsi" w:hAnsiTheme="minorHAnsi" w:cstheme="minorHAnsi"/>
          <w:i/>
          <w:sz w:val="22"/>
          <w:szCs w:val="22"/>
          <w:lang w:val="fr-FR"/>
        </w:rPr>
        <w:t xml:space="preserve"> contre la désertification (CNU</w:t>
      </w:r>
      <w:r w:rsidRPr="00356F19">
        <w:rPr>
          <w:rFonts w:asciiTheme="minorHAnsi" w:hAnsiTheme="minorHAnsi" w:cstheme="minorHAnsi"/>
          <w:i/>
          <w:sz w:val="22"/>
          <w:szCs w:val="22"/>
          <w:lang w:val="fr-FR"/>
        </w:rPr>
        <w:t>LD)</w:t>
      </w:r>
    </w:p>
    <w:p w14:paraId="73A2FF95" w14:textId="1A806FE0" w:rsidR="00A52667" w:rsidRPr="00356F19" w:rsidRDefault="00A52667" w:rsidP="002B62C0">
      <w:pPr>
        <w:keepNext/>
        <w:autoSpaceDE w:val="0"/>
        <w:autoSpaceDN w:val="0"/>
        <w:adjustRightInd w:val="0"/>
        <w:ind w:left="425" w:hanging="425"/>
        <w:rPr>
          <w:rFonts w:asciiTheme="minorHAnsi" w:hAnsiTheme="minorHAnsi" w:cstheme="minorHAnsi"/>
          <w:sz w:val="22"/>
          <w:szCs w:val="22"/>
          <w:lang w:val="fr-FR"/>
        </w:rPr>
      </w:pPr>
    </w:p>
    <w:p w14:paraId="4155F057" w14:textId="4153EC34" w:rsidR="00356F19" w:rsidRPr="00356F19" w:rsidRDefault="000615EE" w:rsidP="00356F19">
      <w:pPr>
        <w:ind w:left="425" w:hanging="425"/>
        <w:rPr>
          <w:rFonts w:asciiTheme="minorHAnsi" w:hAnsiTheme="minorHAnsi" w:cstheme="minorHAnsi"/>
          <w:spacing w:val="-4"/>
          <w:sz w:val="22"/>
          <w:szCs w:val="22"/>
          <w:lang w:val="fr-FR"/>
        </w:rPr>
      </w:pPr>
      <w:r w:rsidRPr="00356F19">
        <w:rPr>
          <w:rFonts w:asciiTheme="minorHAnsi" w:hAnsiTheme="minorHAnsi" w:cstheme="minorHAnsi"/>
          <w:spacing w:val="-4"/>
          <w:sz w:val="22"/>
          <w:szCs w:val="22"/>
          <w:lang w:val="fr-FR"/>
        </w:rPr>
        <w:t>26.</w:t>
      </w:r>
      <w:r w:rsidRPr="00356F19">
        <w:rPr>
          <w:rFonts w:asciiTheme="minorHAnsi" w:hAnsiTheme="minorHAnsi" w:cstheme="minorHAnsi"/>
          <w:spacing w:val="-4"/>
          <w:sz w:val="22"/>
          <w:szCs w:val="22"/>
          <w:lang w:val="fr-FR"/>
        </w:rPr>
        <w:tab/>
      </w:r>
      <w:r w:rsidR="00356F19" w:rsidRPr="00356F19">
        <w:rPr>
          <w:rFonts w:asciiTheme="minorHAnsi" w:hAnsiTheme="minorHAnsi" w:cstheme="minorHAnsi"/>
          <w:spacing w:val="-4"/>
          <w:sz w:val="22"/>
          <w:szCs w:val="22"/>
          <w:lang w:val="fr-FR"/>
        </w:rPr>
        <w:t xml:space="preserve">Le Secrétariat </w:t>
      </w:r>
      <w:r w:rsidR="00AF62C4">
        <w:rPr>
          <w:rFonts w:asciiTheme="minorHAnsi" w:hAnsiTheme="minorHAnsi" w:cstheme="minorHAnsi"/>
          <w:spacing w:val="-4"/>
          <w:sz w:val="22"/>
          <w:szCs w:val="22"/>
          <w:lang w:val="fr-FR"/>
        </w:rPr>
        <w:t xml:space="preserve">Ramsar </w:t>
      </w:r>
      <w:r w:rsidR="00356F19" w:rsidRPr="00356F19">
        <w:rPr>
          <w:rFonts w:asciiTheme="minorHAnsi" w:hAnsiTheme="minorHAnsi" w:cstheme="minorHAnsi"/>
          <w:spacing w:val="-4"/>
          <w:sz w:val="22"/>
          <w:szCs w:val="22"/>
          <w:lang w:val="fr-FR"/>
        </w:rPr>
        <w:t xml:space="preserve">a communiqué avec le Secrétariat de la </w:t>
      </w:r>
      <w:r w:rsidR="00AF62C4">
        <w:rPr>
          <w:rFonts w:asciiTheme="minorHAnsi" w:hAnsiTheme="minorHAnsi" w:cstheme="minorHAnsi"/>
          <w:spacing w:val="-4"/>
          <w:sz w:val="22"/>
          <w:szCs w:val="22"/>
          <w:lang w:val="fr-FR"/>
        </w:rPr>
        <w:t xml:space="preserve">CNULD </w:t>
      </w:r>
      <w:r w:rsidR="00356F19" w:rsidRPr="00356F19">
        <w:rPr>
          <w:rFonts w:asciiTheme="minorHAnsi" w:hAnsiTheme="minorHAnsi" w:cstheme="minorHAnsi"/>
          <w:spacing w:val="-4"/>
          <w:sz w:val="22"/>
          <w:szCs w:val="22"/>
          <w:lang w:val="fr-FR"/>
        </w:rPr>
        <w:t>à propos de la deuxième édition des Perspectives territoriales mondiales (</w:t>
      </w:r>
      <w:r w:rsidR="00356F19" w:rsidRPr="00356F19">
        <w:rPr>
          <w:rFonts w:asciiTheme="minorHAnsi" w:hAnsiTheme="minorHAnsi" w:cstheme="minorHAnsi"/>
          <w:i/>
          <w:spacing w:val="-4"/>
          <w:sz w:val="22"/>
          <w:szCs w:val="22"/>
          <w:lang w:val="fr-FR"/>
        </w:rPr>
        <w:t>Global Land Outlook</w:t>
      </w:r>
      <w:r w:rsidR="00356F19" w:rsidRPr="00356F19">
        <w:rPr>
          <w:rFonts w:asciiTheme="minorHAnsi" w:hAnsiTheme="minorHAnsi" w:cstheme="minorHAnsi"/>
          <w:spacing w:val="-4"/>
          <w:sz w:val="22"/>
          <w:szCs w:val="22"/>
          <w:lang w:val="fr-FR"/>
        </w:rPr>
        <w:t xml:space="preserve"> – GLO2), qui doit être publiée en septembre 2021 et lancée à la</w:t>
      </w:r>
      <w:r w:rsidR="00D2534E">
        <w:rPr>
          <w:rFonts w:asciiTheme="minorHAnsi" w:hAnsiTheme="minorHAnsi" w:cstheme="minorHAnsi"/>
          <w:spacing w:val="-4"/>
          <w:sz w:val="22"/>
          <w:szCs w:val="22"/>
          <w:lang w:val="fr-FR"/>
        </w:rPr>
        <w:t xml:space="preserve"> 15</w:t>
      </w:r>
      <w:r w:rsidR="00D2534E" w:rsidRPr="00D2534E">
        <w:rPr>
          <w:rFonts w:asciiTheme="minorHAnsi" w:hAnsiTheme="minorHAnsi" w:cstheme="minorHAnsi"/>
          <w:spacing w:val="-4"/>
          <w:sz w:val="22"/>
          <w:szCs w:val="22"/>
          <w:vertAlign w:val="superscript"/>
          <w:lang w:val="fr-FR"/>
        </w:rPr>
        <w:t>e</w:t>
      </w:r>
      <w:r w:rsidR="00D2534E">
        <w:rPr>
          <w:rFonts w:asciiTheme="minorHAnsi" w:hAnsiTheme="minorHAnsi" w:cstheme="minorHAnsi"/>
          <w:spacing w:val="-4"/>
          <w:sz w:val="22"/>
          <w:szCs w:val="22"/>
          <w:lang w:val="fr-FR"/>
        </w:rPr>
        <w:t xml:space="preserve"> session de la </w:t>
      </w:r>
      <w:r w:rsidR="00356F19" w:rsidRPr="00356F19">
        <w:rPr>
          <w:rFonts w:asciiTheme="minorHAnsi" w:hAnsiTheme="minorHAnsi" w:cstheme="minorHAnsi"/>
          <w:spacing w:val="-4"/>
          <w:sz w:val="22"/>
          <w:szCs w:val="22"/>
          <w:lang w:val="fr-FR"/>
        </w:rPr>
        <w:t>CN</w:t>
      </w:r>
      <w:r w:rsidR="00AF62C4">
        <w:rPr>
          <w:rFonts w:asciiTheme="minorHAnsi" w:hAnsiTheme="minorHAnsi" w:cstheme="minorHAnsi"/>
          <w:spacing w:val="-4"/>
          <w:sz w:val="22"/>
          <w:szCs w:val="22"/>
          <w:lang w:val="fr-FR"/>
        </w:rPr>
        <w:t>ULD</w:t>
      </w:r>
      <w:r w:rsidR="00D2534E">
        <w:rPr>
          <w:rFonts w:asciiTheme="minorHAnsi" w:hAnsiTheme="minorHAnsi" w:cstheme="minorHAnsi"/>
          <w:spacing w:val="-4"/>
          <w:sz w:val="22"/>
          <w:szCs w:val="22"/>
          <w:lang w:val="fr-FR"/>
        </w:rPr>
        <w:t xml:space="preserve"> (</w:t>
      </w:r>
      <w:r w:rsidR="00D2534E" w:rsidRPr="00D2534E">
        <w:rPr>
          <w:rFonts w:asciiTheme="minorHAnsi" w:hAnsiTheme="minorHAnsi" w:cstheme="minorHAnsi"/>
          <w:spacing w:val="-4"/>
          <w:sz w:val="22"/>
          <w:szCs w:val="22"/>
          <w:lang w:val="fr-FR"/>
        </w:rPr>
        <w:t>COP15</w:t>
      </w:r>
      <w:r w:rsidR="00D2534E">
        <w:rPr>
          <w:rFonts w:asciiTheme="minorHAnsi" w:hAnsiTheme="minorHAnsi" w:cstheme="minorHAnsi"/>
          <w:spacing w:val="-4"/>
          <w:sz w:val="22"/>
          <w:szCs w:val="22"/>
          <w:lang w:val="fr-FR"/>
        </w:rPr>
        <w:t>)</w:t>
      </w:r>
      <w:r w:rsidR="00356F19" w:rsidRPr="00356F19">
        <w:rPr>
          <w:rFonts w:asciiTheme="minorHAnsi" w:hAnsiTheme="minorHAnsi" w:cstheme="minorHAnsi"/>
          <w:spacing w:val="-4"/>
          <w:sz w:val="22"/>
          <w:szCs w:val="22"/>
          <w:lang w:val="fr-FR"/>
        </w:rPr>
        <w:t>, sur la base de la mise en œuvre du Plan stratégique Ramsar et d</w:t>
      </w:r>
      <w:r w:rsidR="00D450EA">
        <w:rPr>
          <w:rFonts w:asciiTheme="minorHAnsi" w:hAnsiTheme="minorHAnsi" w:cstheme="minorHAnsi"/>
          <w:spacing w:val="-4"/>
          <w:sz w:val="22"/>
          <w:szCs w:val="22"/>
          <w:lang w:val="fr-FR"/>
        </w:rPr>
        <w:t xml:space="preserve">u rapport </w:t>
      </w:r>
      <w:r w:rsidR="00356F19" w:rsidRPr="00D450EA">
        <w:rPr>
          <w:rFonts w:asciiTheme="minorHAnsi" w:hAnsiTheme="minorHAnsi" w:cstheme="minorHAnsi"/>
          <w:i/>
          <w:spacing w:val="-4"/>
          <w:sz w:val="22"/>
          <w:szCs w:val="22"/>
          <w:lang w:val="fr-FR"/>
        </w:rPr>
        <w:t>Perspectives mondiales sur les zones humides</w:t>
      </w:r>
      <w:r w:rsidR="00356F19" w:rsidRPr="00356F19">
        <w:rPr>
          <w:rFonts w:asciiTheme="minorHAnsi" w:hAnsiTheme="minorHAnsi" w:cstheme="minorHAnsi"/>
          <w:spacing w:val="-4"/>
          <w:sz w:val="22"/>
          <w:szCs w:val="22"/>
          <w:lang w:val="fr-FR"/>
        </w:rPr>
        <w:t>. Des contributions spécifiques seront apportées à GLO2. Le Secrétariat étudie également les liens entre les zones</w:t>
      </w:r>
      <w:r w:rsidR="00AF62C4">
        <w:rPr>
          <w:rFonts w:asciiTheme="minorHAnsi" w:hAnsiTheme="minorHAnsi" w:cstheme="minorHAnsi"/>
          <w:spacing w:val="-4"/>
          <w:sz w:val="22"/>
          <w:szCs w:val="22"/>
          <w:lang w:val="fr-FR"/>
        </w:rPr>
        <w:t xml:space="preserve"> humides et la réalisation des O</w:t>
      </w:r>
      <w:r w:rsidR="00356F19" w:rsidRPr="00356F19">
        <w:rPr>
          <w:rFonts w:asciiTheme="minorHAnsi" w:hAnsiTheme="minorHAnsi" w:cstheme="minorHAnsi"/>
          <w:spacing w:val="-4"/>
          <w:sz w:val="22"/>
          <w:szCs w:val="22"/>
          <w:lang w:val="fr-FR"/>
        </w:rPr>
        <w:t>bjectifs volontaires de neutralité de la dégradation des terres (NDT).</w:t>
      </w:r>
    </w:p>
    <w:p w14:paraId="2946C7DA" w14:textId="77777777" w:rsidR="00D32E9F" w:rsidRPr="00356F19" w:rsidRDefault="00D32E9F" w:rsidP="000615EE">
      <w:pPr>
        <w:ind w:left="425" w:hanging="425"/>
        <w:rPr>
          <w:rFonts w:asciiTheme="minorHAnsi" w:hAnsiTheme="minorHAnsi" w:cstheme="minorHAnsi"/>
          <w:sz w:val="22"/>
          <w:szCs w:val="22"/>
          <w:lang w:val="fr-FR"/>
        </w:rPr>
      </w:pPr>
    </w:p>
    <w:p w14:paraId="68C743AC" w14:textId="7BAA2CE4" w:rsidR="00C26C01" w:rsidRPr="00C26C01" w:rsidRDefault="000615EE" w:rsidP="00C26C01">
      <w:pPr>
        <w:ind w:left="425" w:hanging="425"/>
        <w:rPr>
          <w:rFonts w:asciiTheme="minorHAnsi" w:hAnsiTheme="minorHAnsi" w:cstheme="minorHAnsi"/>
          <w:sz w:val="22"/>
          <w:szCs w:val="22"/>
          <w:lang w:val="fr-FR"/>
        </w:rPr>
      </w:pPr>
      <w:r w:rsidRPr="00356F19">
        <w:rPr>
          <w:rFonts w:asciiTheme="minorHAnsi" w:hAnsiTheme="minorHAnsi" w:cstheme="minorHAnsi"/>
          <w:sz w:val="22"/>
          <w:szCs w:val="22"/>
          <w:lang w:val="fr-FR"/>
        </w:rPr>
        <w:t>27.</w:t>
      </w:r>
      <w:r w:rsidRPr="00356F19">
        <w:rPr>
          <w:rFonts w:asciiTheme="minorHAnsi" w:hAnsiTheme="minorHAnsi" w:cstheme="minorHAnsi"/>
          <w:sz w:val="22"/>
          <w:szCs w:val="22"/>
          <w:lang w:val="fr-FR"/>
        </w:rPr>
        <w:tab/>
      </w:r>
      <w:r w:rsidR="00C26C01" w:rsidRPr="00C26C01">
        <w:rPr>
          <w:rFonts w:asciiTheme="minorHAnsi" w:hAnsiTheme="minorHAnsi" w:cstheme="minorHAnsi"/>
          <w:sz w:val="22"/>
          <w:szCs w:val="22"/>
          <w:lang w:val="fr-FR"/>
        </w:rPr>
        <w:t>Conformément au paragraphe 23 de la Résolution XIII.7, le Secrétariat présentera à la 58</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C26C01" w:rsidRPr="00C26C01">
        <w:rPr>
          <w:rFonts w:asciiTheme="minorHAnsi" w:hAnsiTheme="minorHAnsi" w:cstheme="minorHAnsi"/>
          <w:sz w:val="22"/>
          <w:szCs w:val="22"/>
          <w:lang w:val="fr-FR"/>
        </w:rPr>
        <w:t>session du Conseil de sécurité un plan visant à renforcer les synergies avec d'autres accords multilatéraux sur l'environ</w:t>
      </w:r>
      <w:r w:rsidR="00F278BD">
        <w:rPr>
          <w:rFonts w:asciiTheme="minorHAnsi" w:hAnsiTheme="minorHAnsi" w:cstheme="minorHAnsi"/>
          <w:sz w:val="22"/>
          <w:szCs w:val="22"/>
          <w:lang w:val="fr-FR"/>
        </w:rPr>
        <w:t xml:space="preserve">nement </w:t>
      </w:r>
      <w:r w:rsidR="00D2534E">
        <w:rPr>
          <w:rFonts w:asciiTheme="minorHAnsi" w:hAnsiTheme="minorHAnsi" w:cstheme="minorHAnsi"/>
          <w:sz w:val="22"/>
          <w:szCs w:val="22"/>
          <w:lang w:val="fr-FR"/>
        </w:rPr>
        <w:t>(AME) et l</w:t>
      </w:r>
      <w:r w:rsidR="00F278BD">
        <w:rPr>
          <w:rFonts w:asciiTheme="minorHAnsi" w:hAnsiTheme="minorHAnsi" w:cstheme="minorHAnsi"/>
          <w:sz w:val="22"/>
          <w:szCs w:val="22"/>
          <w:lang w:val="fr-FR"/>
        </w:rPr>
        <w:t>es contributions au C</w:t>
      </w:r>
      <w:r w:rsidR="00C26C01" w:rsidRPr="00C26C01">
        <w:rPr>
          <w:rFonts w:asciiTheme="minorHAnsi" w:hAnsiTheme="minorHAnsi" w:cstheme="minorHAnsi"/>
          <w:sz w:val="22"/>
          <w:szCs w:val="22"/>
          <w:lang w:val="fr-FR"/>
        </w:rPr>
        <w:t xml:space="preserve">adre mondial de la biodiversité pour l’après-2020. </w:t>
      </w:r>
    </w:p>
    <w:p w14:paraId="047F864E" w14:textId="77777777" w:rsidR="00C26C01" w:rsidRDefault="00C26C01" w:rsidP="000615EE">
      <w:pPr>
        <w:ind w:left="425" w:hanging="425"/>
        <w:rPr>
          <w:rFonts w:asciiTheme="minorHAnsi" w:hAnsiTheme="minorHAnsi" w:cstheme="minorHAnsi"/>
          <w:sz w:val="22"/>
          <w:szCs w:val="22"/>
          <w:lang w:val="fr-FR"/>
        </w:rPr>
      </w:pPr>
    </w:p>
    <w:p w14:paraId="4F33E3A0" w14:textId="432AB564" w:rsidR="00A52667" w:rsidRPr="00356F19" w:rsidRDefault="00C26C01" w:rsidP="00F61CAA">
      <w:pPr>
        <w:rPr>
          <w:rFonts w:asciiTheme="minorHAnsi" w:hAnsiTheme="minorHAnsi" w:cstheme="minorHAnsi"/>
          <w:b/>
          <w:bCs/>
          <w:sz w:val="22"/>
          <w:szCs w:val="22"/>
          <w:lang w:val="fr-FR"/>
        </w:rPr>
      </w:pPr>
      <w:r w:rsidRPr="00C26C01">
        <w:rPr>
          <w:rFonts w:asciiTheme="minorHAnsi" w:hAnsiTheme="minorHAnsi" w:cstheme="minorHAnsi"/>
          <w:b/>
          <w:bCs/>
          <w:sz w:val="22"/>
          <w:szCs w:val="22"/>
          <w:lang w:val="fr-FR"/>
        </w:rPr>
        <w:t xml:space="preserve">Les objectifs du développement durable </w:t>
      </w:r>
    </w:p>
    <w:p w14:paraId="14B04B91" w14:textId="77777777" w:rsidR="00A52667" w:rsidRPr="00356F19" w:rsidRDefault="00A52667" w:rsidP="00F61CAA">
      <w:pPr>
        <w:autoSpaceDE w:val="0"/>
        <w:autoSpaceDN w:val="0"/>
        <w:adjustRightInd w:val="0"/>
        <w:rPr>
          <w:rFonts w:asciiTheme="minorHAnsi" w:hAnsiTheme="minorHAnsi" w:cstheme="minorHAnsi"/>
          <w:bCs/>
          <w:sz w:val="22"/>
          <w:szCs w:val="22"/>
          <w:lang w:val="fr-FR"/>
        </w:rPr>
      </w:pPr>
    </w:p>
    <w:p w14:paraId="4BCBFF59" w14:textId="01EA83AE" w:rsidR="00C26C01" w:rsidRPr="00C26C01" w:rsidRDefault="000615EE" w:rsidP="00C26C01">
      <w:pPr>
        <w:ind w:left="425" w:hanging="425"/>
        <w:rPr>
          <w:rFonts w:asciiTheme="minorHAnsi" w:hAnsiTheme="minorHAnsi" w:cstheme="minorHAnsi"/>
          <w:sz w:val="22"/>
          <w:szCs w:val="22"/>
          <w:lang w:val="fr-FR"/>
        </w:rPr>
      </w:pPr>
      <w:r w:rsidRPr="00356F19">
        <w:rPr>
          <w:rFonts w:asciiTheme="minorHAnsi" w:hAnsiTheme="minorHAnsi" w:cstheme="minorHAnsi"/>
          <w:sz w:val="22"/>
          <w:szCs w:val="22"/>
          <w:lang w:val="fr-FR"/>
        </w:rPr>
        <w:t>28.</w:t>
      </w:r>
      <w:r w:rsidRPr="00356F19">
        <w:rPr>
          <w:rFonts w:asciiTheme="minorHAnsi" w:hAnsiTheme="minorHAnsi" w:cstheme="minorHAnsi"/>
          <w:sz w:val="22"/>
          <w:szCs w:val="22"/>
          <w:lang w:val="fr-FR"/>
        </w:rPr>
        <w:tab/>
      </w:r>
      <w:r w:rsidR="00C26C01" w:rsidRPr="00C26C01">
        <w:rPr>
          <w:rFonts w:asciiTheme="minorHAnsi" w:hAnsiTheme="minorHAnsi" w:cstheme="minorHAnsi"/>
          <w:sz w:val="22"/>
          <w:szCs w:val="22"/>
          <w:lang w:val="fr-FR"/>
        </w:rPr>
        <w:t>Conformément à la Décision SC53-17 et à la Résolution XIII.7, le Secrétariat continue de participer aux débats en cours sur la réalisation des Objectifs du développement durable (ODD), y compris aux travaux du Groupe interinstitutions et d’experts sur les indicateurs relatifs aux Objectifs de développement durable (IAEG-ODD) et de l'équipe chargée de l'indicateur 6.6.1, dirigée par le PNUE.</w:t>
      </w:r>
    </w:p>
    <w:p w14:paraId="6C0FD544" w14:textId="77777777" w:rsidR="00C26C01" w:rsidRPr="00C26C01" w:rsidRDefault="00C26C01" w:rsidP="00C26C01">
      <w:pPr>
        <w:ind w:left="425" w:hanging="425"/>
        <w:rPr>
          <w:rFonts w:asciiTheme="minorHAnsi" w:hAnsiTheme="minorHAnsi" w:cstheme="minorHAnsi"/>
          <w:sz w:val="22"/>
          <w:szCs w:val="22"/>
          <w:lang w:val="fr-FR"/>
        </w:rPr>
      </w:pPr>
    </w:p>
    <w:p w14:paraId="36758D09" w14:textId="49A8601F" w:rsidR="00C26C01" w:rsidRPr="00C26C01" w:rsidRDefault="00C26C01" w:rsidP="00C26C01">
      <w:pPr>
        <w:ind w:left="425" w:hanging="425"/>
        <w:rPr>
          <w:rFonts w:asciiTheme="minorHAnsi" w:hAnsiTheme="minorHAnsi" w:cstheme="minorHAnsi"/>
          <w:sz w:val="22"/>
          <w:szCs w:val="22"/>
          <w:lang w:val="fr-FR"/>
        </w:rPr>
      </w:pPr>
      <w:r w:rsidRPr="00C26C01">
        <w:rPr>
          <w:rFonts w:asciiTheme="minorHAnsi" w:hAnsiTheme="minorHAnsi" w:cstheme="minorHAnsi"/>
          <w:sz w:val="22"/>
          <w:szCs w:val="22"/>
          <w:lang w:val="fr-FR"/>
        </w:rPr>
        <w:t>29.</w:t>
      </w:r>
      <w:r w:rsidRPr="00C26C01">
        <w:rPr>
          <w:rFonts w:asciiTheme="minorHAnsi" w:hAnsiTheme="minorHAnsi" w:cstheme="minorHAnsi"/>
          <w:sz w:val="22"/>
          <w:szCs w:val="22"/>
          <w:lang w:val="fr-FR"/>
        </w:rPr>
        <w:tab/>
        <w:t xml:space="preserve">Dans ce contexte, le Secrétariat a participé à la </w:t>
      </w:r>
      <w:r w:rsidR="009E4468">
        <w:rPr>
          <w:rFonts w:asciiTheme="minorHAnsi" w:hAnsiTheme="minorHAnsi" w:cstheme="minorHAnsi"/>
          <w:sz w:val="22"/>
          <w:szCs w:val="22"/>
          <w:lang w:val="fr-FR"/>
        </w:rPr>
        <w:t>8</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Pr="00C26C01">
        <w:rPr>
          <w:rFonts w:asciiTheme="minorHAnsi" w:hAnsiTheme="minorHAnsi" w:cstheme="minorHAnsi"/>
          <w:sz w:val="22"/>
          <w:szCs w:val="22"/>
          <w:lang w:val="fr-FR"/>
        </w:rPr>
        <w:t>réunion de l’IAEG-ODD à Stockholm, Suède, du 6 au 8 novembre 2018.</w:t>
      </w:r>
    </w:p>
    <w:p w14:paraId="355DF0D0" w14:textId="77777777" w:rsidR="00785702" w:rsidRPr="00356F19" w:rsidRDefault="00785702" w:rsidP="00C26C01">
      <w:pPr>
        <w:rPr>
          <w:rFonts w:asciiTheme="minorHAnsi" w:hAnsiTheme="minorHAnsi" w:cstheme="minorHAnsi"/>
          <w:sz w:val="22"/>
          <w:szCs w:val="22"/>
          <w:lang w:val="fr-FR"/>
        </w:rPr>
      </w:pPr>
    </w:p>
    <w:p w14:paraId="1B146AB5" w14:textId="207E55BD" w:rsidR="00C26C01" w:rsidRPr="00C26C01" w:rsidRDefault="000615EE" w:rsidP="00C26C01">
      <w:pPr>
        <w:ind w:left="425" w:hanging="425"/>
        <w:rPr>
          <w:rFonts w:asciiTheme="minorHAnsi" w:hAnsiTheme="minorHAnsi" w:cstheme="minorHAnsi"/>
          <w:sz w:val="22"/>
          <w:szCs w:val="22"/>
          <w:lang w:val="fr-FR"/>
        </w:rPr>
      </w:pPr>
      <w:r w:rsidRPr="00356F19">
        <w:rPr>
          <w:rFonts w:asciiTheme="minorHAnsi" w:hAnsiTheme="minorHAnsi" w:cstheme="minorHAnsi"/>
          <w:sz w:val="22"/>
          <w:szCs w:val="22"/>
          <w:lang w:val="fr-FR"/>
        </w:rPr>
        <w:t>30.</w:t>
      </w:r>
      <w:r w:rsidRPr="00356F19">
        <w:rPr>
          <w:rFonts w:asciiTheme="minorHAnsi" w:hAnsiTheme="minorHAnsi" w:cstheme="minorHAnsi"/>
          <w:sz w:val="22"/>
          <w:szCs w:val="22"/>
          <w:lang w:val="fr-FR"/>
        </w:rPr>
        <w:tab/>
      </w:r>
      <w:r w:rsidR="00C26C01" w:rsidRPr="00C26C01">
        <w:rPr>
          <w:rFonts w:asciiTheme="minorHAnsi" w:hAnsiTheme="minorHAnsi" w:cstheme="minorHAnsi"/>
          <w:sz w:val="22"/>
          <w:szCs w:val="22"/>
          <w:lang w:val="fr-FR"/>
        </w:rPr>
        <w:t xml:space="preserve">Comme indiqué dans la Résolution XIII.7, l'IAEG-ODD a décidé, </w:t>
      </w:r>
      <w:r w:rsidR="00D2534E">
        <w:rPr>
          <w:rFonts w:asciiTheme="minorHAnsi" w:hAnsiTheme="minorHAnsi" w:cstheme="minorHAnsi"/>
          <w:sz w:val="22"/>
          <w:szCs w:val="22"/>
          <w:lang w:val="fr-FR"/>
        </w:rPr>
        <w:t xml:space="preserve">à </w:t>
      </w:r>
      <w:r w:rsidR="00C26C01" w:rsidRPr="00C26C01">
        <w:rPr>
          <w:rFonts w:asciiTheme="minorHAnsi" w:hAnsiTheme="minorHAnsi" w:cstheme="minorHAnsi"/>
          <w:sz w:val="22"/>
          <w:szCs w:val="22"/>
          <w:lang w:val="fr-FR"/>
        </w:rPr>
        <w:t xml:space="preserve">sa </w:t>
      </w:r>
      <w:r w:rsidR="009E4468">
        <w:rPr>
          <w:rFonts w:asciiTheme="minorHAnsi" w:hAnsiTheme="minorHAnsi" w:cstheme="minorHAnsi"/>
          <w:sz w:val="22"/>
          <w:szCs w:val="22"/>
          <w:lang w:val="fr-FR"/>
        </w:rPr>
        <w:t>7</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C26C01" w:rsidRPr="00C26C01">
        <w:rPr>
          <w:rFonts w:asciiTheme="minorHAnsi" w:hAnsiTheme="minorHAnsi" w:cstheme="minorHAnsi"/>
          <w:sz w:val="22"/>
          <w:szCs w:val="22"/>
          <w:lang w:val="fr-FR"/>
        </w:rPr>
        <w:t xml:space="preserve">réunion, de reclasser l'indicateur 6.6.1 et d’approuver deux structures hiérarchiques dans la Base de données mondiale des ODD tenue par la Division de </w:t>
      </w:r>
      <w:r w:rsidR="007E1684">
        <w:rPr>
          <w:rFonts w:asciiTheme="minorHAnsi" w:hAnsiTheme="minorHAnsi" w:cstheme="minorHAnsi"/>
          <w:sz w:val="22"/>
          <w:szCs w:val="22"/>
          <w:lang w:val="fr-FR"/>
        </w:rPr>
        <w:t xml:space="preserve">la </w:t>
      </w:r>
      <w:r w:rsidR="00C26C01" w:rsidRPr="00C26C01">
        <w:rPr>
          <w:rFonts w:asciiTheme="minorHAnsi" w:hAnsiTheme="minorHAnsi" w:cstheme="minorHAnsi"/>
          <w:sz w:val="22"/>
          <w:szCs w:val="22"/>
          <w:lang w:val="fr-FR"/>
        </w:rPr>
        <w:t>statistique d</w:t>
      </w:r>
      <w:r w:rsidR="007E1684">
        <w:rPr>
          <w:rFonts w:asciiTheme="minorHAnsi" w:hAnsiTheme="minorHAnsi" w:cstheme="minorHAnsi"/>
          <w:sz w:val="22"/>
          <w:szCs w:val="22"/>
          <w:lang w:val="fr-FR"/>
        </w:rPr>
        <w:t>es Nations Unies,</w:t>
      </w:r>
      <w:r w:rsidR="00C26C01" w:rsidRPr="00C26C01">
        <w:rPr>
          <w:rFonts w:asciiTheme="minorHAnsi" w:hAnsiTheme="minorHAnsi" w:cstheme="minorHAnsi"/>
          <w:sz w:val="22"/>
          <w:szCs w:val="22"/>
          <w:lang w:val="fr-FR"/>
        </w:rPr>
        <w:t xml:space="preserve"> </w:t>
      </w:r>
      <w:r w:rsidR="00C26C01" w:rsidRPr="00252ED7">
        <w:rPr>
          <w:rFonts w:asciiTheme="minorHAnsi" w:hAnsiTheme="minorHAnsi" w:cstheme="minorHAnsi"/>
          <w:sz w:val="22"/>
          <w:szCs w:val="22"/>
          <w:lang w:val="fr-FR"/>
        </w:rPr>
        <w:t>de telle sorte que le PNUE</w:t>
      </w:r>
      <w:r w:rsidR="00252ED7" w:rsidRPr="00252ED7">
        <w:rPr>
          <w:rFonts w:asciiTheme="minorHAnsi" w:hAnsiTheme="minorHAnsi" w:cstheme="minorHAnsi"/>
          <w:sz w:val="22"/>
          <w:szCs w:val="22"/>
          <w:lang w:val="fr-FR"/>
        </w:rPr>
        <w:t xml:space="preserve"> </w:t>
      </w:r>
      <w:r w:rsidR="00FB3C40">
        <w:rPr>
          <w:rFonts w:asciiTheme="minorHAnsi" w:hAnsiTheme="minorHAnsi" w:cstheme="minorHAnsi"/>
          <w:sz w:val="22"/>
          <w:szCs w:val="22"/>
          <w:lang w:val="fr-FR"/>
        </w:rPr>
        <w:t xml:space="preserve">est </w:t>
      </w:r>
      <w:r w:rsidR="00C26C01" w:rsidRPr="00252ED7">
        <w:rPr>
          <w:rFonts w:asciiTheme="minorHAnsi" w:hAnsiTheme="minorHAnsi" w:cstheme="minorHAnsi"/>
          <w:sz w:val="22"/>
          <w:szCs w:val="22"/>
          <w:lang w:val="fr-FR"/>
        </w:rPr>
        <w:t>responsable</w:t>
      </w:r>
      <w:r w:rsidR="00C26C01" w:rsidRPr="00C26C01">
        <w:rPr>
          <w:rFonts w:asciiTheme="minorHAnsi" w:hAnsiTheme="minorHAnsi" w:cstheme="minorHAnsi"/>
          <w:sz w:val="22"/>
          <w:szCs w:val="22"/>
          <w:lang w:val="fr-FR"/>
        </w:rPr>
        <w:t xml:space="preserve"> de la méthodologie comparable au plan international avec des données nationales et des regroupements régionaux et mondiaux pour l'indicateur 6</w:t>
      </w:r>
      <w:r w:rsidR="00AF62C4">
        <w:rPr>
          <w:rFonts w:asciiTheme="minorHAnsi" w:hAnsiTheme="minorHAnsi" w:cstheme="minorHAnsi"/>
          <w:sz w:val="22"/>
          <w:szCs w:val="22"/>
          <w:lang w:val="fr-FR"/>
        </w:rPr>
        <w:t xml:space="preserve">.6.1, et </w:t>
      </w:r>
      <w:r w:rsidR="00FB3C40">
        <w:rPr>
          <w:rFonts w:asciiTheme="minorHAnsi" w:hAnsiTheme="minorHAnsi" w:cstheme="minorHAnsi"/>
          <w:sz w:val="22"/>
          <w:szCs w:val="22"/>
          <w:lang w:val="fr-FR"/>
        </w:rPr>
        <w:t xml:space="preserve">que </w:t>
      </w:r>
      <w:r w:rsidR="00AF62C4">
        <w:rPr>
          <w:rFonts w:asciiTheme="minorHAnsi" w:hAnsiTheme="minorHAnsi" w:cstheme="minorHAnsi"/>
          <w:sz w:val="22"/>
          <w:szCs w:val="22"/>
          <w:lang w:val="fr-FR"/>
        </w:rPr>
        <w:t xml:space="preserve">la Convention </w:t>
      </w:r>
      <w:r w:rsidR="00FB3C40">
        <w:rPr>
          <w:rFonts w:asciiTheme="minorHAnsi" w:hAnsiTheme="minorHAnsi" w:cstheme="minorHAnsi"/>
          <w:sz w:val="22"/>
          <w:szCs w:val="22"/>
          <w:lang w:val="fr-FR"/>
        </w:rPr>
        <w:t xml:space="preserve">fournit </w:t>
      </w:r>
      <w:r w:rsidR="00AF62C4">
        <w:rPr>
          <w:rFonts w:asciiTheme="minorHAnsi" w:hAnsiTheme="minorHAnsi" w:cstheme="minorHAnsi"/>
          <w:sz w:val="22"/>
          <w:szCs w:val="22"/>
          <w:lang w:val="fr-FR"/>
        </w:rPr>
        <w:t>l</w:t>
      </w:r>
      <w:r w:rsidR="00C26C01" w:rsidRPr="00C26C01">
        <w:rPr>
          <w:rFonts w:asciiTheme="minorHAnsi" w:hAnsiTheme="minorHAnsi" w:cstheme="minorHAnsi"/>
          <w:sz w:val="22"/>
          <w:szCs w:val="22"/>
          <w:lang w:val="fr-FR"/>
        </w:rPr>
        <w:t xml:space="preserve">es données des rapports nationaux fondées sur les définitions et besoins de Ramsar. La Convention et le PNUE, en tant que co-responsables pour l'indicateur 6.6.1 des ODD, sont responsables de leur structure hiérarchique respective et contribuent à la cible 6.6 des ODD. À sa </w:t>
      </w:r>
      <w:r w:rsidR="009E4468">
        <w:rPr>
          <w:rFonts w:asciiTheme="minorHAnsi" w:hAnsiTheme="minorHAnsi" w:cstheme="minorHAnsi"/>
          <w:sz w:val="22"/>
          <w:szCs w:val="22"/>
          <w:lang w:val="fr-FR"/>
        </w:rPr>
        <w:t>8</w:t>
      </w:r>
      <w:r w:rsidR="009E4468" w:rsidRPr="009E4468">
        <w:rPr>
          <w:rFonts w:asciiTheme="minorHAnsi" w:hAnsiTheme="minorHAnsi" w:cstheme="minorHAnsi"/>
          <w:sz w:val="22"/>
          <w:szCs w:val="22"/>
          <w:vertAlign w:val="superscript"/>
          <w:lang w:val="fr-FR"/>
        </w:rPr>
        <w:t>e</w:t>
      </w:r>
      <w:r w:rsidR="009E4468">
        <w:rPr>
          <w:rFonts w:asciiTheme="minorHAnsi" w:hAnsiTheme="minorHAnsi" w:cstheme="minorHAnsi"/>
          <w:sz w:val="22"/>
          <w:szCs w:val="22"/>
          <w:lang w:val="fr-FR"/>
        </w:rPr>
        <w:t xml:space="preserve"> </w:t>
      </w:r>
      <w:r w:rsidR="00C26C01" w:rsidRPr="00C26C01">
        <w:rPr>
          <w:rFonts w:asciiTheme="minorHAnsi" w:hAnsiTheme="minorHAnsi" w:cstheme="minorHAnsi"/>
          <w:sz w:val="22"/>
          <w:szCs w:val="22"/>
          <w:lang w:val="fr-FR"/>
        </w:rPr>
        <w:t xml:space="preserve">réunion, l'IAEG-SDG a décidé de reclasser l'indicateur 6.6.1 en indicateur de catégorie I, </w:t>
      </w:r>
      <w:r w:rsidR="00FB3C40">
        <w:rPr>
          <w:rFonts w:asciiTheme="minorHAnsi" w:hAnsiTheme="minorHAnsi" w:cstheme="minorHAnsi"/>
          <w:sz w:val="22"/>
          <w:szCs w:val="22"/>
          <w:lang w:val="fr-FR"/>
        </w:rPr>
        <w:t xml:space="preserve">en se fondant sur </w:t>
      </w:r>
      <w:r w:rsidR="00C26C01" w:rsidRPr="00C26C01">
        <w:rPr>
          <w:rFonts w:asciiTheme="minorHAnsi" w:hAnsiTheme="minorHAnsi" w:cstheme="minorHAnsi"/>
          <w:sz w:val="22"/>
          <w:szCs w:val="22"/>
          <w:lang w:val="fr-FR"/>
        </w:rPr>
        <w:t>un examen de la disponibilité de données dans la base de données mondiale sur les indicateurs des ODD. Conformément à la Résolution XIII.7 et aux rapports nationaux à la COP13, le Secrétariat prépare une analyse des lacunes afin de continuer à travailler avec les Parties contractantes à la réalisation des inventaires nationaux des zones humides et de l'étendue des zones humides pour faire rapport sur l'indicateur 6.6.1 des ODD.</w:t>
      </w:r>
    </w:p>
    <w:p w14:paraId="72EF37D3" w14:textId="692AE89E" w:rsidR="00A52667" w:rsidRPr="00356F19" w:rsidRDefault="00A52667" w:rsidP="000615EE">
      <w:pPr>
        <w:ind w:left="425" w:hanging="425"/>
        <w:rPr>
          <w:rFonts w:asciiTheme="minorHAnsi" w:hAnsiTheme="minorHAnsi" w:cstheme="minorHAnsi"/>
          <w:sz w:val="22"/>
          <w:szCs w:val="22"/>
          <w:lang w:val="fr-FR"/>
        </w:rPr>
      </w:pPr>
    </w:p>
    <w:p w14:paraId="35D4E174" w14:textId="3DCDA4A6" w:rsidR="00C26C01" w:rsidRPr="00C26C01" w:rsidRDefault="000615EE" w:rsidP="000615EE">
      <w:pPr>
        <w:ind w:left="425" w:hanging="425"/>
        <w:rPr>
          <w:rFonts w:asciiTheme="minorHAnsi" w:hAnsiTheme="minorHAnsi" w:cstheme="minorHAnsi"/>
          <w:sz w:val="22"/>
          <w:szCs w:val="22"/>
        </w:rPr>
      </w:pPr>
      <w:r w:rsidRPr="00356F19">
        <w:rPr>
          <w:rFonts w:asciiTheme="minorHAnsi" w:hAnsiTheme="minorHAnsi" w:cstheme="minorHAnsi"/>
          <w:sz w:val="22"/>
          <w:szCs w:val="22"/>
          <w:lang w:val="fr-FR"/>
        </w:rPr>
        <w:t>31.</w:t>
      </w:r>
      <w:r w:rsidRPr="00356F19">
        <w:rPr>
          <w:rFonts w:asciiTheme="minorHAnsi" w:hAnsiTheme="minorHAnsi" w:cstheme="minorHAnsi"/>
          <w:sz w:val="22"/>
          <w:szCs w:val="22"/>
          <w:lang w:val="fr-FR"/>
        </w:rPr>
        <w:tab/>
      </w:r>
      <w:r w:rsidR="00C26C01" w:rsidRPr="00C26C01">
        <w:rPr>
          <w:rFonts w:asciiTheme="minorHAnsi" w:hAnsiTheme="minorHAnsi" w:cstheme="minorHAnsi"/>
          <w:sz w:val="22"/>
          <w:szCs w:val="22"/>
          <w:lang w:val="fr-FR"/>
        </w:rPr>
        <w:t>À l'appui de la réalisation de l'ODD 14 «</w:t>
      </w:r>
      <w:r w:rsidR="007924ED">
        <w:rPr>
          <w:rFonts w:asciiTheme="minorHAnsi" w:hAnsiTheme="minorHAnsi" w:cstheme="minorHAnsi"/>
          <w:sz w:val="22"/>
          <w:szCs w:val="22"/>
          <w:lang w:val="fr-FR"/>
        </w:rPr>
        <w:t xml:space="preserve"> </w:t>
      </w:r>
      <w:r w:rsidR="00C26C01" w:rsidRPr="00C26C01">
        <w:rPr>
          <w:rFonts w:asciiTheme="minorHAnsi" w:hAnsiTheme="minorHAnsi" w:cstheme="minorHAnsi"/>
          <w:sz w:val="22"/>
          <w:szCs w:val="22"/>
          <w:lang w:val="fr-FR"/>
        </w:rPr>
        <w:t>Conserver et exploiter de manière durable les océans, les mers et les ressources marines aux fins du développement durable</w:t>
      </w:r>
      <w:r w:rsidR="007924ED">
        <w:rPr>
          <w:rFonts w:asciiTheme="minorHAnsi" w:hAnsiTheme="minorHAnsi" w:cstheme="minorHAnsi"/>
          <w:sz w:val="22"/>
          <w:szCs w:val="22"/>
          <w:lang w:val="fr-FR"/>
        </w:rPr>
        <w:t xml:space="preserve"> </w:t>
      </w:r>
      <w:r w:rsidR="00C26C01" w:rsidRPr="00C26C01">
        <w:rPr>
          <w:rFonts w:asciiTheme="minorHAnsi" w:hAnsiTheme="minorHAnsi" w:cstheme="minorHAnsi"/>
          <w:sz w:val="22"/>
          <w:szCs w:val="22"/>
          <w:lang w:val="fr-FR"/>
        </w:rPr>
        <w:t>», la Secrétaire générale de la Convention et le Directeur général de l'UICN, en tant que point</w:t>
      </w:r>
      <w:r w:rsidR="00AF62C4">
        <w:rPr>
          <w:rFonts w:asciiTheme="minorHAnsi" w:hAnsiTheme="minorHAnsi" w:cstheme="minorHAnsi"/>
          <w:sz w:val="22"/>
          <w:szCs w:val="22"/>
          <w:lang w:val="fr-FR"/>
        </w:rPr>
        <w:t>s</w:t>
      </w:r>
      <w:r w:rsidR="00C26C01" w:rsidRPr="00C26C01">
        <w:rPr>
          <w:rFonts w:asciiTheme="minorHAnsi" w:hAnsiTheme="minorHAnsi" w:cstheme="minorHAnsi"/>
          <w:sz w:val="22"/>
          <w:szCs w:val="22"/>
          <w:lang w:val="fr-FR"/>
        </w:rPr>
        <w:t xml:space="preserve"> foca</w:t>
      </w:r>
      <w:r w:rsidR="00AF62C4">
        <w:rPr>
          <w:rFonts w:asciiTheme="minorHAnsi" w:hAnsiTheme="minorHAnsi" w:cstheme="minorHAnsi"/>
          <w:sz w:val="22"/>
          <w:szCs w:val="22"/>
          <w:lang w:val="fr-FR"/>
        </w:rPr>
        <w:t xml:space="preserve">ux </w:t>
      </w:r>
      <w:r w:rsidR="00C26C01" w:rsidRPr="00C26C01">
        <w:rPr>
          <w:rFonts w:asciiTheme="minorHAnsi" w:hAnsiTheme="minorHAnsi" w:cstheme="minorHAnsi"/>
          <w:sz w:val="22"/>
          <w:szCs w:val="22"/>
          <w:lang w:val="fr-FR"/>
        </w:rPr>
        <w:t>pour la</w:t>
      </w:r>
      <w:r w:rsidR="007924ED">
        <w:rPr>
          <w:rFonts w:asciiTheme="minorHAnsi" w:hAnsiTheme="minorHAnsi" w:cstheme="minorHAnsi"/>
          <w:sz w:val="22"/>
          <w:szCs w:val="22"/>
        </w:rPr>
        <w:t xml:space="preserve"> </w:t>
      </w:r>
      <w:r w:rsidR="007924ED">
        <w:rPr>
          <w:rFonts w:asciiTheme="minorHAnsi" w:hAnsiTheme="minorHAnsi" w:cstheme="minorHAnsi"/>
          <w:sz w:val="22"/>
          <w:szCs w:val="22"/>
          <w:lang w:val="fr-FR"/>
        </w:rPr>
        <w:t>« C</w:t>
      </w:r>
      <w:r w:rsidR="00C26C01" w:rsidRPr="00C26C01">
        <w:rPr>
          <w:rFonts w:asciiTheme="minorHAnsi" w:hAnsiTheme="minorHAnsi" w:cstheme="minorHAnsi"/>
          <w:sz w:val="22"/>
          <w:szCs w:val="22"/>
          <w:lang w:val="fr-FR"/>
        </w:rPr>
        <w:t>ommunauté d’action océanique sur les mangroves</w:t>
      </w:r>
      <w:r w:rsidR="007924ED">
        <w:rPr>
          <w:rFonts w:asciiTheme="minorHAnsi" w:hAnsiTheme="minorHAnsi" w:cstheme="minorHAnsi"/>
          <w:sz w:val="22"/>
          <w:szCs w:val="22"/>
          <w:lang w:val="fr-FR"/>
        </w:rPr>
        <w:t> </w:t>
      </w:r>
      <w:r w:rsidR="007924ED" w:rsidRPr="00FB3C40">
        <w:rPr>
          <w:rFonts w:asciiTheme="minorHAnsi" w:hAnsiTheme="minorHAnsi" w:cstheme="minorHAnsi"/>
          <w:sz w:val="22"/>
          <w:szCs w:val="22"/>
          <w:lang w:val="fr-FR"/>
        </w:rPr>
        <w:t>»</w:t>
      </w:r>
      <w:r w:rsidR="00C26C01" w:rsidRPr="00FB3C40">
        <w:rPr>
          <w:rFonts w:asciiTheme="minorHAnsi" w:hAnsiTheme="minorHAnsi" w:cstheme="minorHAnsi"/>
          <w:sz w:val="22"/>
          <w:szCs w:val="22"/>
          <w:lang w:val="fr-FR"/>
        </w:rPr>
        <w:t xml:space="preserve"> à la Conférence</w:t>
      </w:r>
      <w:r w:rsidR="00C26C01" w:rsidRPr="00C26C01">
        <w:rPr>
          <w:rFonts w:asciiTheme="minorHAnsi" w:hAnsiTheme="minorHAnsi" w:cstheme="minorHAnsi"/>
          <w:sz w:val="22"/>
          <w:szCs w:val="22"/>
          <w:lang w:val="fr-FR"/>
        </w:rPr>
        <w:t xml:space="preserve"> des Nations Unies sur l’o</w:t>
      </w:r>
      <w:r w:rsidR="003B1C61">
        <w:rPr>
          <w:rFonts w:asciiTheme="minorHAnsi" w:hAnsiTheme="minorHAnsi" w:cstheme="minorHAnsi"/>
          <w:sz w:val="22"/>
          <w:szCs w:val="22"/>
          <w:lang w:val="fr-FR"/>
        </w:rPr>
        <w:t>céan</w:t>
      </w:r>
      <w:r w:rsidR="00AF62C4">
        <w:rPr>
          <w:rFonts w:asciiTheme="minorHAnsi" w:hAnsiTheme="minorHAnsi" w:cstheme="minorHAnsi"/>
          <w:sz w:val="22"/>
          <w:szCs w:val="22"/>
          <w:lang w:val="fr-FR"/>
        </w:rPr>
        <w:t xml:space="preserve">, ont </w:t>
      </w:r>
      <w:r w:rsidR="00C26C01" w:rsidRPr="00C26C01">
        <w:rPr>
          <w:rFonts w:asciiTheme="minorHAnsi" w:hAnsiTheme="minorHAnsi" w:cstheme="minorHAnsi"/>
          <w:sz w:val="22"/>
          <w:szCs w:val="22"/>
          <w:lang w:val="fr-FR"/>
        </w:rPr>
        <w:t xml:space="preserve">invité les Parties contractantes et les délégués à l’événement parallèle spécial organisé par la COP13 de Ramsar, </w:t>
      </w:r>
      <w:r w:rsidR="00C26C01" w:rsidRPr="00FB3C40">
        <w:rPr>
          <w:rFonts w:asciiTheme="minorHAnsi" w:hAnsiTheme="minorHAnsi" w:cstheme="minorHAnsi"/>
          <w:sz w:val="22"/>
          <w:szCs w:val="22"/>
          <w:lang w:val="fr-FR"/>
        </w:rPr>
        <w:t xml:space="preserve">intitulé </w:t>
      </w:r>
      <w:r w:rsidR="00C26C01" w:rsidRPr="00FB3C40">
        <w:rPr>
          <w:rFonts w:asciiTheme="minorHAnsi" w:hAnsiTheme="minorHAnsi" w:cstheme="minorHAnsi"/>
          <w:i/>
          <w:sz w:val="22"/>
          <w:szCs w:val="22"/>
        </w:rPr>
        <w:t>UN Ocean Conference Community of Ocean Action on Mangroves:</w:t>
      </w:r>
      <w:r w:rsidR="00C26C01" w:rsidRPr="00C26C01">
        <w:rPr>
          <w:rFonts w:asciiTheme="minorHAnsi" w:hAnsiTheme="minorHAnsi" w:cstheme="minorHAnsi"/>
          <w:i/>
          <w:sz w:val="22"/>
          <w:szCs w:val="22"/>
        </w:rPr>
        <w:t xml:space="preserve"> Progress and Opportunities</w:t>
      </w:r>
      <w:r w:rsidR="00C26C01" w:rsidRPr="00C26C01">
        <w:rPr>
          <w:rFonts w:asciiTheme="minorHAnsi" w:hAnsiTheme="minorHAnsi" w:cstheme="minorHAnsi"/>
          <w:sz w:val="22"/>
          <w:szCs w:val="22"/>
        </w:rPr>
        <w:t>.</w:t>
      </w:r>
    </w:p>
    <w:p w14:paraId="1B0B990B" w14:textId="77777777" w:rsidR="004D3B63" w:rsidRPr="00F61CAA" w:rsidRDefault="004D3B63" w:rsidP="000615EE">
      <w:pPr>
        <w:ind w:left="425" w:hanging="425"/>
        <w:rPr>
          <w:rFonts w:asciiTheme="minorHAnsi" w:hAnsiTheme="minorHAnsi" w:cstheme="minorHAnsi"/>
          <w:sz w:val="22"/>
          <w:szCs w:val="22"/>
        </w:rPr>
      </w:pPr>
    </w:p>
    <w:p w14:paraId="6BBAE325" w14:textId="28AC3B45" w:rsidR="00224DF1" w:rsidRDefault="000615EE" w:rsidP="006D75C8">
      <w:pPr>
        <w:ind w:left="425" w:hanging="425"/>
        <w:rPr>
          <w:rFonts w:asciiTheme="minorHAnsi" w:hAnsiTheme="minorHAnsi" w:cstheme="minorHAnsi"/>
          <w:sz w:val="22"/>
          <w:szCs w:val="22"/>
          <w:lang w:val="fr-FR"/>
        </w:rPr>
      </w:pPr>
      <w:r w:rsidRPr="00AF6E5F">
        <w:rPr>
          <w:rFonts w:asciiTheme="minorHAnsi" w:hAnsiTheme="minorHAnsi" w:cstheme="minorHAnsi"/>
          <w:sz w:val="22"/>
          <w:szCs w:val="22"/>
          <w:lang w:val="fr-FR"/>
        </w:rPr>
        <w:t>32.</w:t>
      </w:r>
      <w:r w:rsidRPr="00AF6E5F">
        <w:rPr>
          <w:rFonts w:asciiTheme="minorHAnsi" w:hAnsiTheme="minorHAnsi" w:cstheme="minorHAnsi"/>
          <w:sz w:val="22"/>
          <w:szCs w:val="22"/>
          <w:lang w:val="fr-FR"/>
        </w:rPr>
        <w:tab/>
      </w:r>
      <w:r w:rsidR="006D75C8" w:rsidRPr="006D75C8">
        <w:rPr>
          <w:rFonts w:asciiTheme="minorHAnsi" w:hAnsiTheme="minorHAnsi" w:cstheme="minorHAnsi"/>
          <w:sz w:val="22"/>
          <w:szCs w:val="22"/>
          <w:lang w:val="fr-FR"/>
        </w:rPr>
        <w:t xml:space="preserve">Lors de cet événement, les représentants </w:t>
      </w:r>
      <w:r w:rsidR="007924ED">
        <w:rPr>
          <w:rFonts w:asciiTheme="minorHAnsi" w:hAnsiTheme="minorHAnsi" w:cstheme="minorHAnsi"/>
          <w:sz w:val="22"/>
          <w:szCs w:val="22"/>
          <w:lang w:val="fr-FR"/>
        </w:rPr>
        <w:t>des gouvernements ont présenté l</w:t>
      </w:r>
      <w:r w:rsidR="006D75C8" w:rsidRPr="006D75C8">
        <w:rPr>
          <w:rFonts w:asciiTheme="minorHAnsi" w:hAnsiTheme="minorHAnsi" w:cstheme="minorHAnsi"/>
          <w:sz w:val="22"/>
          <w:szCs w:val="22"/>
          <w:lang w:val="fr-FR"/>
        </w:rPr>
        <w:t>es enseignements à tirer des engagements volontaires existants, y com</w:t>
      </w:r>
      <w:r w:rsidR="00AF62C4">
        <w:rPr>
          <w:rFonts w:asciiTheme="minorHAnsi" w:hAnsiTheme="minorHAnsi" w:cstheme="minorHAnsi"/>
          <w:sz w:val="22"/>
          <w:szCs w:val="22"/>
          <w:lang w:val="fr-FR"/>
        </w:rPr>
        <w:t>pris l</w:t>
      </w:r>
      <w:r w:rsidR="006D75C8" w:rsidRPr="006D75C8">
        <w:rPr>
          <w:rFonts w:asciiTheme="minorHAnsi" w:hAnsiTheme="minorHAnsi" w:cstheme="minorHAnsi"/>
          <w:sz w:val="22"/>
          <w:szCs w:val="22"/>
          <w:lang w:val="fr-FR"/>
        </w:rPr>
        <w:t xml:space="preserve">es actions portant sur la restauration, la </w:t>
      </w:r>
      <w:r w:rsidR="006D75C8" w:rsidRPr="006D75C8">
        <w:rPr>
          <w:rFonts w:asciiTheme="minorHAnsi" w:hAnsiTheme="minorHAnsi" w:cstheme="minorHAnsi"/>
          <w:sz w:val="22"/>
          <w:szCs w:val="22"/>
          <w:lang w:val="fr-FR"/>
        </w:rPr>
        <w:lastRenderedPageBreak/>
        <w:t xml:space="preserve">protection et le carbone bleu. L’Initiative régionale Ramsar pour la conservation et l’utilisation rationnelle des mangroves et des récifs coralliens, et le Partenariat régional pour la conservation des zones côtières et marines de l’Afrique de l’Ouest ont </w:t>
      </w:r>
      <w:r w:rsidR="007924ED">
        <w:rPr>
          <w:rFonts w:asciiTheme="minorHAnsi" w:hAnsiTheme="minorHAnsi" w:cstheme="minorHAnsi"/>
          <w:sz w:val="22"/>
          <w:szCs w:val="22"/>
          <w:lang w:val="fr-FR"/>
        </w:rPr>
        <w:t xml:space="preserve">proposé </w:t>
      </w:r>
      <w:r w:rsidR="006D75C8" w:rsidRPr="006D75C8">
        <w:rPr>
          <w:rFonts w:asciiTheme="minorHAnsi" w:hAnsiTheme="minorHAnsi" w:cstheme="minorHAnsi"/>
          <w:sz w:val="22"/>
          <w:szCs w:val="22"/>
          <w:lang w:val="fr-FR"/>
        </w:rPr>
        <w:t xml:space="preserve">de soumettre leurs travaux en tant qu’engagement volontaire dans le cadre de </w:t>
      </w:r>
      <w:r w:rsidR="007924ED" w:rsidRPr="007924ED">
        <w:rPr>
          <w:rFonts w:asciiTheme="minorHAnsi" w:hAnsiTheme="minorHAnsi" w:cstheme="minorHAnsi"/>
          <w:sz w:val="22"/>
          <w:szCs w:val="22"/>
          <w:lang w:val="fr-FR"/>
        </w:rPr>
        <w:t xml:space="preserve">la </w:t>
      </w:r>
      <w:r w:rsidR="007924ED">
        <w:rPr>
          <w:rFonts w:asciiTheme="minorHAnsi" w:hAnsiTheme="minorHAnsi" w:cstheme="minorHAnsi"/>
          <w:sz w:val="22"/>
          <w:szCs w:val="22"/>
          <w:lang w:val="fr-FR"/>
        </w:rPr>
        <w:t>« </w:t>
      </w:r>
      <w:r w:rsidR="006D75C8" w:rsidRPr="007924ED">
        <w:rPr>
          <w:rFonts w:asciiTheme="minorHAnsi" w:hAnsiTheme="minorHAnsi" w:cstheme="minorHAnsi"/>
          <w:sz w:val="22"/>
          <w:szCs w:val="22"/>
          <w:lang w:val="fr-FR"/>
        </w:rPr>
        <w:t>Communauté d’action océanique sur les mangroves</w:t>
      </w:r>
      <w:r w:rsidR="007924ED">
        <w:rPr>
          <w:rFonts w:asciiTheme="minorHAnsi" w:hAnsiTheme="minorHAnsi" w:cstheme="minorHAnsi"/>
          <w:sz w:val="22"/>
          <w:szCs w:val="22"/>
          <w:lang w:val="fr-FR"/>
        </w:rPr>
        <w:t> »</w:t>
      </w:r>
      <w:r w:rsidR="006D75C8" w:rsidRPr="007924ED">
        <w:rPr>
          <w:rFonts w:asciiTheme="minorHAnsi" w:hAnsiTheme="minorHAnsi" w:cstheme="minorHAnsi"/>
          <w:sz w:val="22"/>
          <w:szCs w:val="22"/>
          <w:lang w:val="fr-FR"/>
        </w:rPr>
        <w:t xml:space="preserve"> </w:t>
      </w:r>
      <w:r w:rsidR="007924ED" w:rsidRPr="00FB3C40">
        <w:rPr>
          <w:rFonts w:asciiTheme="minorHAnsi" w:hAnsiTheme="minorHAnsi" w:cstheme="minorHAnsi"/>
          <w:sz w:val="22"/>
          <w:szCs w:val="22"/>
          <w:lang w:val="fr-FR"/>
        </w:rPr>
        <w:t xml:space="preserve">à </w:t>
      </w:r>
      <w:r w:rsidR="006D75C8" w:rsidRPr="00FB3C40">
        <w:rPr>
          <w:rFonts w:asciiTheme="minorHAnsi" w:hAnsiTheme="minorHAnsi" w:cstheme="minorHAnsi"/>
          <w:sz w:val="22"/>
          <w:szCs w:val="22"/>
          <w:lang w:val="fr-FR"/>
        </w:rPr>
        <w:t>la</w:t>
      </w:r>
      <w:r w:rsidR="006D75C8" w:rsidRPr="007924ED">
        <w:rPr>
          <w:rFonts w:asciiTheme="minorHAnsi" w:hAnsiTheme="minorHAnsi" w:cstheme="minorHAnsi"/>
          <w:sz w:val="22"/>
          <w:szCs w:val="22"/>
          <w:lang w:val="fr-FR"/>
        </w:rPr>
        <w:t xml:space="preserve"> Conférence des Nations Unies </w:t>
      </w:r>
      <w:r w:rsidR="007924ED" w:rsidRPr="007924ED">
        <w:rPr>
          <w:rFonts w:asciiTheme="minorHAnsi" w:hAnsiTheme="minorHAnsi" w:cstheme="minorHAnsi"/>
          <w:sz w:val="22"/>
          <w:szCs w:val="22"/>
          <w:lang w:val="fr-FR"/>
        </w:rPr>
        <w:t xml:space="preserve">sur </w:t>
      </w:r>
      <w:r w:rsidR="006D75C8" w:rsidRPr="007924ED">
        <w:rPr>
          <w:rFonts w:asciiTheme="minorHAnsi" w:hAnsiTheme="minorHAnsi" w:cstheme="minorHAnsi"/>
          <w:sz w:val="22"/>
          <w:szCs w:val="22"/>
          <w:lang w:val="fr-FR"/>
        </w:rPr>
        <w:t>l’</w:t>
      </w:r>
      <w:r w:rsidR="007924ED" w:rsidRPr="007924ED">
        <w:rPr>
          <w:rFonts w:asciiTheme="minorHAnsi" w:hAnsiTheme="minorHAnsi" w:cstheme="minorHAnsi"/>
          <w:sz w:val="22"/>
          <w:szCs w:val="22"/>
          <w:lang w:val="fr-FR"/>
        </w:rPr>
        <w:t>océan</w:t>
      </w:r>
      <w:r w:rsidR="006D75C8">
        <w:rPr>
          <w:rFonts w:asciiTheme="minorHAnsi" w:hAnsiTheme="minorHAnsi" w:cstheme="minorHAnsi"/>
          <w:sz w:val="22"/>
          <w:szCs w:val="22"/>
          <w:lang w:val="fr-FR"/>
        </w:rPr>
        <w:t>.</w:t>
      </w:r>
      <w:r w:rsidR="00AF6E5F">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L’Ambassadeur Peter Thomson, Envoyé spécial du Secrétaire général de l’ONU pour l</w:t>
      </w:r>
      <w:r w:rsidR="006D75C8">
        <w:rPr>
          <w:rFonts w:asciiTheme="minorHAnsi" w:hAnsiTheme="minorHAnsi" w:cstheme="minorHAnsi"/>
          <w:sz w:val="22"/>
          <w:szCs w:val="22"/>
          <w:lang w:val="fr-FR"/>
        </w:rPr>
        <w:t xml:space="preserve">es </w:t>
      </w:r>
      <w:r w:rsidR="006D75C8" w:rsidRPr="006D75C8">
        <w:rPr>
          <w:rFonts w:asciiTheme="minorHAnsi" w:hAnsiTheme="minorHAnsi" w:cstheme="minorHAnsi"/>
          <w:sz w:val="22"/>
          <w:szCs w:val="22"/>
          <w:lang w:val="fr-FR"/>
        </w:rPr>
        <w:t>océan</w:t>
      </w:r>
      <w:r w:rsidR="006D75C8">
        <w:rPr>
          <w:rFonts w:asciiTheme="minorHAnsi" w:hAnsiTheme="minorHAnsi" w:cstheme="minorHAnsi"/>
          <w:sz w:val="22"/>
          <w:szCs w:val="22"/>
          <w:lang w:val="fr-FR"/>
        </w:rPr>
        <w:t>s</w:t>
      </w:r>
      <w:r w:rsidR="006D75C8" w:rsidRPr="006D75C8">
        <w:rPr>
          <w:rFonts w:asciiTheme="minorHAnsi" w:hAnsiTheme="minorHAnsi" w:cstheme="minorHAnsi"/>
          <w:sz w:val="22"/>
          <w:szCs w:val="22"/>
          <w:lang w:val="fr-FR"/>
        </w:rPr>
        <w:t>, a souligné le rôle crucial des écosystèmes de mangrov</w:t>
      </w:r>
      <w:r w:rsidR="006D75C8">
        <w:rPr>
          <w:rFonts w:asciiTheme="minorHAnsi" w:hAnsiTheme="minorHAnsi" w:cstheme="minorHAnsi"/>
          <w:sz w:val="22"/>
          <w:szCs w:val="22"/>
          <w:lang w:val="fr-FR"/>
        </w:rPr>
        <w:t>es</w:t>
      </w:r>
      <w:r w:rsidR="006D75C8" w:rsidRPr="006D75C8">
        <w:rPr>
          <w:rFonts w:asciiTheme="minorHAnsi" w:hAnsiTheme="minorHAnsi" w:cstheme="minorHAnsi"/>
          <w:sz w:val="22"/>
          <w:szCs w:val="22"/>
          <w:lang w:val="fr-FR"/>
        </w:rPr>
        <w:t xml:space="preserve"> pour la résilience des côtes et des océans, et a décrit la Convention de Ramsar comme étant au cœur du soutien aux activités de la </w:t>
      </w:r>
      <w:r w:rsidR="007924ED">
        <w:rPr>
          <w:rFonts w:asciiTheme="minorHAnsi" w:hAnsiTheme="minorHAnsi" w:cstheme="minorHAnsi"/>
          <w:sz w:val="22"/>
          <w:szCs w:val="22"/>
          <w:lang w:val="fr-FR"/>
        </w:rPr>
        <w:t>« </w:t>
      </w:r>
      <w:r w:rsidR="006D75C8" w:rsidRPr="006D75C8">
        <w:rPr>
          <w:rFonts w:asciiTheme="minorHAnsi" w:hAnsiTheme="minorHAnsi" w:cstheme="minorHAnsi"/>
          <w:sz w:val="22"/>
          <w:szCs w:val="22"/>
          <w:lang w:val="fr-FR"/>
        </w:rPr>
        <w:t>Communauté d’action océanique sur les mangroves</w:t>
      </w:r>
      <w:r w:rsidR="007924ED">
        <w:rPr>
          <w:rFonts w:asciiTheme="minorHAnsi" w:hAnsiTheme="minorHAnsi" w:cstheme="minorHAnsi"/>
          <w:sz w:val="22"/>
          <w:szCs w:val="22"/>
          <w:lang w:val="fr-FR"/>
        </w:rPr>
        <w:t> »</w:t>
      </w:r>
      <w:r w:rsidR="006D75C8" w:rsidRPr="006D75C8">
        <w:rPr>
          <w:rFonts w:asciiTheme="minorHAnsi" w:hAnsiTheme="minorHAnsi" w:cstheme="minorHAnsi"/>
          <w:sz w:val="22"/>
          <w:szCs w:val="22"/>
          <w:lang w:val="fr-FR"/>
        </w:rPr>
        <w:t>. Il a encouragé les participants à annoncer de nouveaux</w:t>
      </w:r>
      <w:r w:rsidR="006D75C8">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 xml:space="preserve">engagements volontaires et a exhorté les pays et les autres parties prenantes à </w:t>
      </w:r>
      <w:r w:rsidR="006D75C8">
        <w:rPr>
          <w:rFonts w:asciiTheme="minorHAnsi" w:hAnsiTheme="minorHAnsi" w:cstheme="minorHAnsi"/>
          <w:sz w:val="22"/>
          <w:szCs w:val="22"/>
          <w:lang w:val="fr-FR"/>
        </w:rPr>
        <w:t xml:space="preserve">actualiser les </w:t>
      </w:r>
      <w:r w:rsidR="006D75C8" w:rsidRPr="006D75C8">
        <w:rPr>
          <w:rFonts w:asciiTheme="minorHAnsi" w:hAnsiTheme="minorHAnsi" w:cstheme="minorHAnsi"/>
          <w:sz w:val="22"/>
          <w:szCs w:val="22"/>
          <w:lang w:val="fr-FR"/>
        </w:rPr>
        <w:t xml:space="preserve">engagements existants. </w:t>
      </w:r>
    </w:p>
    <w:p w14:paraId="20DEC61F" w14:textId="77777777" w:rsidR="006D75C8" w:rsidRPr="006D75C8" w:rsidRDefault="006D75C8" w:rsidP="006D75C8">
      <w:pPr>
        <w:ind w:left="425" w:hanging="425"/>
        <w:rPr>
          <w:rFonts w:asciiTheme="minorHAnsi" w:hAnsiTheme="minorHAnsi" w:cstheme="minorHAnsi"/>
          <w:sz w:val="22"/>
          <w:szCs w:val="22"/>
          <w:lang w:val="fr-FR"/>
        </w:rPr>
      </w:pPr>
    </w:p>
    <w:p w14:paraId="1A053EE6" w14:textId="680756A9" w:rsidR="00A52667" w:rsidRPr="006D75C8" w:rsidRDefault="00A52667" w:rsidP="000615EE">
      <w:pPr>
        <w:rPr>
          <w:rFonts w:asciiTheme="minorHAnsi" w:hAnsiTheme="minorHAnsi" w:cstheme="minorHAnsi"/>
          <w:b/>
          <w:bCs/>
          <w:sz w:val="22"/>
          <w:szCs w:val="22"/>
          <w:lang w:val="fr-FR"/>
        </w:rPr>
      </w:pPr>
      <w:r w:rsidRPr="006D75C8">
        <w:rPr>
          <w:rFonts w:asciiTheme="minorHAnsi" w:hAnsiTheme="minorHAnsi" w:cstheme="minorHAnsi"/>
          <w:b/>
          <w:bCs/>
          <w:sz w:val="22"/>
          <w:szCs w:val="22"/>
          <w:lang w:val="fr-FR"/>
        </w:rPr>
        <w:t xml:space="preserve">Actions </w:t>
      </w:r>
      <w:r w:rsidR="00CE33BE" w:rsidRPr="006D75C8">
        <w:rPr>
          <w:rFonts w:asciiTheme="minorHAnsi" w:hAnsiTheme="minorHAnsi" w:cstheme="minorHAnsi"/>
          <w:b/>
          <w:bCs/>
          <w:sz w:val="22"/>
          <w:szCs w:val="22"/>
          <w:lang w:val="fr-FR"/>
        </w:rPr>
        <w:t xml:space="preserve">de renforcement de la </w:t>
      </w:r>
      <w:r w:rsidR="006D75C8" w:rsidRPr="006D75C8">
        <w:rPr>
          <w:rFonts w:asciiTheme="minorHAnsi" w:hAnsiTheme="minorHAnsi" w:cstheme="minorHAnsi"/>
          <w:b/>
          <w:bCs/>
          <w:sz w:val="22"/>
          <w:szCs w:val="22"/>
          <w:lang w:val="fr-FR"/>
        </w:rPr>
        <w:t>coopération</w:t>
      </w:r>
      <w:r w:rsidR="00CE33BE" w:rsidRPr="006D75C8">
        <w:rPr>
          <w:rFonts w:asciiTheme="minorHAnsi" w:hAnsiTheme="minorHAnsi" w:cstheme="minorHAnsi"/>
          <w:b/>
          <w:bCs/>
          <w:sz w:val="22"/>
          <w:szCs w:val="22"/>
          <w:lang w:val="fr-FR"/>
        </w:rPr>
        <w:t xml:space="preserve"> avec le Programme des Nations Unies pour</w:t>
      </w:r>
      <w:r w:rsidR="006D75C8" w:rsidRPr="006D75C8">
        <w:rPr>
          <w:rFonts w:asciiTheme="minorHAnsi" w:hAnsiTheme="minorHAnsi" w:cstheme="minorHAnsi"/>
          <w:b/>
          <w:bCs/>
          <w:sz w:val="22"/>
          <w:szCs w:val="22"/>
          <w:lang w:val="fr-FR"/>
        </w:rPr>
        <w:t xml:space="preserve"> </w:t>
      </w:r>
      <w:r w:rsidR="00CE33BE" w:rsidRPr="006D75C8">
        <w:rPr>
          <w:rFonts w:asciiTheme="minorHAnsi" w:hAnsiTheme="minorHAnsi" w:cstheme="minorHAnsi"/>
          <w:b/>
          <w:bCs/>
          <w:sz w:val="22"/>
          <w:szCs w:val="22"/>
          <w:lang w:val="fr-FR"/>
        </w:rPr>
        <w:t xml:space="preserve">l’environnement et d’autres </w:t>
      </w:r>
      <w:r w:rsidRPr="006D75C8">
        <w:rPr>
          <w:rFonts w:asciiTheme="minorHAnsi" w:hAnsiTheme="minorHAnsi" w:cstheme="minorHAnsi"/>
          <w:b/>
          <w:bCs/>
          <w:sz w:val="22"/>
          <w:szCs w:val="22"/>
          <w:lang w:val="fr-FR"/>
        </w:rPr>
        <w:t xml:space="preserve">institutions </w:t>
      </w:r>
      <w:r w:rsidR="00CE33BE" w:rsidRPr="006D75C8">
        <w:rPr>
          <w:rFonts w:asciiTheme="minorHAnsi" w:hAnsiTheme="minorHAnsi" w:cstheme="minorHAnsi"/>
          <w:b/>
          <w:bCs/>
          <w:sz w:val="22"/>
          <w:szCs w:val="22"/>
          <w:lang w:val="fr-FR"/>
        </w:rPr>
        <w:t>internationales</w:t>
      </w:r>
    </w:p>
    <w:p w14:paraId="564AD080" w14:textId="77777777" w:rsidR="00A52667" w:rsidRPr="006D75C8" w:rsidRDefault="00A52667" w:rsidP="000615EE">
      <w:pPr>
        <w:rPr>
          <w:rFonts w:asciiTheme="minorHAnsi" w:hAnsiTheme="minorHAnsi" w:cstheme="minorHAnsi"/>
          <w:b/>
          <w:bCs/>
          <w:sz w:val="22"/>
          <w:szCs w:val="22"/>
          <w:lang w:val="fr-FR"/>
        </w:rPr>
      </w:pPr>
    </w:p>
    <w:p w14:paraId="53FCAC7B" w14:textId="3B07FC8A" w:rsidR="00C54BD0" w:rsidRPr="006D75C8" w:rsidRDefault="000615EE" w:rsidP="00C54BD0">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33.</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 xml:space="preserve">Comme indiqué dans les précédents rapports au Comité permanent, le Secrétariat continue d'œuvrer au renforcement de la collaboration avec les organismes des Nations Unies et d’autres institutions internationales. </w:t>
      </w:r>
    </w:p>
    <w:p w14:paraId="63AA2E3B" w14:textId="77777777" w:rsidR="00A52667" w:rsidRPr="006D75C8" w:rsidRDefault="00A52667" w:rsidP="00C54BD0">
      <w:pPr>
        <w:autoSpaceDE w:val="0"/>
        <w:autoSpaceDN w:val="0"/>
        <w:adjustRightInd w:val="0"/>
        <w:rPr>
          <w:rFonts w:asciiTheme="minorHAnsi" w:eastAsiaTheme="minorHAnsi" w:hAnsiTheme="minorHAnsi" w:cstheme="minorHAnsi"/>
          <w:sz w:val="22"/>
          <w:szCs w:val="22"/>
          <w:lang w:val="fr-FR" w:eastAsia="en-US"/>
        </w:rPr>
      </w:pPr>
    </w:p>
    <w:p w14:paraId="12BC85EC" w14:textId="7D0CFD69" w:rsidR="00A52667" w:rsidRPr="006D75C8" w:rsidRDefault="00A52667" w:rsidP="00F61CAA">
      <w:pPr>
        <w:autoSpaceDE w:val="0"/>
        <w:autoSpaceDN w:val="0"/>
        <w:adjustRightInd w:val="0"/>
        <w:ind w:left="426" w:hanging="426"/>
        <w:rPr>
          <w:rFonts w:asciiTheme="minorHAnsi" w:eastAsiaTheme="minorHAnsi" w:hAnsiTheme="minorHAnsi" w:cstheme="minorHAnsi"/>
          <w:i/>
          <w:sz w:val="22"/>
          <w:szCs w:val="22"/>
          <w:lang w:val="fr-FR" w:eastAsia="en-US"/>
        </w:rPr>
      </w:pPr>
      <w:r w:rsidRPr="006D75C8">
        <w:rPr>
          <w:rFonts w:asciiTheme="minorHAnsi" w:eastAsiaTheme="minorHAnsi" w:hAnsiTheme="minorHAnsi" w:cstheme="minorHAnsi"/>
          <w:i/>
          <w:sz w:val="22"/>
          <w:szCs w:val="22"/>
          <w:lang w:val="fr-FR" w:eastAsia="en-US"/>
        </w:rPr>
        <w:t xml:space="preserve">Collaboration </w:t>
      </w:r>
      <w:r w:rsidR="00AF6E5F">
        <w:rPr>
          <w:rFonts w:asciiTheme="minorHAnsi" w:eastAsiaTheme="minorHAnsi" w:hAnsiTheme="minorHAnsi" w:cstheme="minorHAnsi"/>
          <w:i/>
          <w:sz w:val="22"/>
          <w:szCs w:val="22"/>
          <w:lang w:val="fr-FR" w:eastAsia="en-US"/>
        </w:rPr>
        <w:t>avec le PNUE</w:t>
      </w:r>
    </w:p>
    <w:p w14:paraId="656A6535" w14:textId="77777777" w:rsidR="00A52667" w:rsidRPr="006D75C8" w:rsidRDefault="00A52667" w:rsidP="00F61CAA">
      <w:pPr>
        <w:autoSpaceDE w:val="0"/>
        <w:autoSpaceDN w:val="0"/>
        <w:adjustRightInd w:val="0"/>
        <w:rPr>
          <w:rFonts w:asciiTheme="minorHAnsi" w:hAnsiTheme="minorHAnsi" w:cstheme="minorHAnsi"/>
          <w:sz w:val="22"/>
          <w:szCs w:val="22"/>
          <w:lang w:val="fr-FR"/>
        </w:rPr>
      </w:pPr>
    </w:p>
    <w:p w14:paraId="68B41CD8" w14:textId="20DEF1A7" w:rsidR="00C54BD0" w:rsidRPr="006D75C8" w:rsidRDefault="000615EE" w:rsidP="00C54BD0">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34.</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Le Secrétariat</w:t>
      </w:r>
      <w:r w:rsidR="00FB3C40">
        <w:rPr>
          <w:rFonts w:asciiTheme="minorHAnsi" w:hAnsiTheme="minorHAnsi" w:cstheme="minorHAnsi"/>
          <w:sz w:val="22"/>
          <w:szCs w:val="22"/>
          <w:lang w:val="fr-FR"/>
        </w:rPr>
        <w:t xml:space="preserve"> Ramsar </w:t>
      </w:r>
      <w:r w:rsidR="00C54BD0" w:rsidRPr="006D75C8">
        <w:rPr>
          <w:rFonts w:asciiTheme="minorHAnsi" w:hAnsiTheme="minorHAnsi" w:cstheme="minorHAnsi"/>
          <w:sz w:val="22"/>
          <w:szCs w:val="22"/>
          <w:lang w:val="fr-FR"/>
        </w:rPr>
        <w:t>et le PNUE renouvelleront leurs mémorandums d'accord lors de la 4</w:t>
      </w:r>
      <w:r w:rsidR="00C54BD0" w:rsidRPr="006D75C8">
        <w:rPr>
          <w:rFonts w:asciiTheme="minorHAnsi" w:hAnsiTheme="minorHAnsi" w:cstheme="minorHAnsi"/>
          <w:sz w:val="22"/>
          <w:szCs w:val="22"/>
          <w:vertAlign w:val="superscript"/>
          <w:lang w:val="fr-FR"/>
        </w:rPr>
        <w:t>e</w:t>
      </w:r>
      <w:r w:rsidR="00C54BD0" w:rsidRPr="006D75C8">
        <w:rPr>
          <w:rFonts w:asciiTheme="minorHAnsi" w:hAnsiTheme="minorHAnsi" w:cstheme="minorHAnsi"/>
          <w:sz w:val="22"/>
          <w:szCs w:val="22"/>
          <w:lang w:val="fr-FR"/>
        </w:rPr>
        <w:t xml:space="preserve"> session de l’Assemblée des Nations Unies pour l’environnement (ANUE-4) en mars 2019. Ils ont</w:t>
      </w:r>
      <w:r w:rsidR="00AF62C4">
        <w:rPr>
          <w:rFonts w:asciiTheme="minorHAnsi" w:hAnsiTheme="minorHAnsi" w:cstheme="minorHAnsi"/>
          <w:sz w:val="22"/>
          <w:szCs w:val="22"/>
          <w:lang w:val="fr-FR"/>
        </w:rPr>
        <w:t xml:space="preserve"> mis sur pied </w:t>
      </w:r>
      <w:r w:rsidR="00C54BD0" w:rsidRPr="006D75C8">
        <w:rPr>
          <w:rFonts w:asciiTheme="minorHAnsi" w:hAnsiTheme="minorHAnsi" w:cstheme="minorHAnsi"/>
          <w:sz w:val="22"/>
          <w:szCs w:val="22"/>
          <w:lang w:val="fr-FR"/>
        </w:rPr>
        <w:t>des activités de coopération pour promouvoir les synergies et améliorer l’application de la Convention. La Secrétaire générale de la Convention a participé à la 7</w:t>
      </w:r>
      <w:r w:rsidR="00C54BD0" w:rsidRPr="006D75C8">
        <w:rPr>
          <w:rFonts w:asciiTheme="minorHAnsi" w:hAnsiTheme="minorHAnsi" w:cstheme="minorHAnsi"/>
          <w:sz w:val="22"/>
          <w:szCs w:val="22"/>
          <w:vertAlign w:val="superscript"/>
          <w:lang w:val="fr-FR"/>
        </w:rPr>
        <w:t>e</w:t>
      </w:r>
      <w:r w:rsidR="00C54BD0" w:rsidRPr="006D75C8">
        <w:rPr>
          <w:rFonts w:asciiTheme="minorHAnsi" w:hAnsiTheme="minorHAnsi" w:cstheme="minorHAnsi"/>
          <w:sz w:val="22"/>
          <w:szCs w:val="22"/>
          <w:lang w:val="fr-FR"/>
        </w:rPr>
        <w:t xml:space="preserve"> réunion extraordinaire de la Conférence ministérielle africaine sur l'environnement (CMAE) </w:t>
      </w:r>
      <w:r w:rsidR="00955E29">
        <w:rPr>
          <w:rFonts w:asciiTheme="minorHAnsi" w:hAnsiTheme="minorHAnsi" w:cstheme="minorHAnsi"/>
          <w:sz w:val="22"/>
          <w:szCs w:val="22"/>
          <w:lang w:val="fr-FR"/>
        </w:rPr>
        <w:t xml:space="preserve">tenue </w:t>
      </w:r>
      <w:r w:rsidR="00C54BD0" w:rsidRPr="006D75C8">
        <w:rPr>
          <w:rFonts w:asciiTheme="minorHAnsi" w:hAnsiTheme="minorHAnsi" w:cstheme="minorHAnsi"/>
          <w:sz w:val="22"/>
          <w:szCs w:val="22"/>
          <w:lang w:val="fr-FR"/>
        </w:rPr>
        <w:t>à Nairobi du 17 au 21 septembre 2018. Cette réunion a été l'occasion de renforcer la coopération avec les Parties contractantes africaines à la mise en œuvre des objectifs de la Convention.</w:t>
      </w:r>
    </w:p>
    <w:p w14:paraId="3493DD8B" w14:textId="123EBE6C" w:rsidR="00A52667" w:rsidRPr="006D75C8" w:rsidRDefault="00A52667" w:rsidP="000615EE">
      <w:pPr>
        <w:ind w:left="425" w:hanging="425"/>
        <w:rPr>
          <w:rFonts w:asciiTheme="minorHAnsi" w:hAnsiTheme="minorHAnsi" w:cstheme="minorHAnsi"/>
          <w:sz w:val="22"/>
          <w:szCs w:val="22"/>
          <w:lang w:val="fr-FR"/>
        </w:rPr>
      </w:pPr>
    </w:p>
    <w:p w14:paraId="5554F2DB" w14:textId="071DB3F9" w:rsidR="00C54BD0" w:rsidRPr="006D75C8" w:rsidRDefault="000615EE" w:rsidP="000615EE">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35.</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Le Secrétariat participera activement à la réunion de haut niveau de la 4</w:t>
      </w:r>
      <w:r w:rsidR="00C54BD0" w:rsidRPr="006D75C8">
        <w:rPr>
          <w:rFonts w:asciiTheme="minorHAnsi" w:hAnsiTheme="minorHAnsi" w:cstheme="minorHAnsi"/>
          <w:sz w:val="22"/>
          <w:szCs w:val="22"/>
          <w:vertAlign w:val="superscript"/>
          <w:lang w:val="fr-FR"/>
        </w:rPr>
        <w:t>e</w:t>
      </w:r>
      <w:r w:rsidR="00C54BD0" w:rsidRPr="006D75C8">
        <w:rPr>
          <w:rFonts w:asciiTheme="minorHAnsi" w:hAnsiTheme="minorHAnsi" w:cstheme="minorHAnsi"/>
          <w:sz w:val="22"/>
          <w:szCs w:val="22"/>
          <w:lang w:val="fr-FR"/>
        </w:rPr>
        <w:t xml:space="preserve"> session de l'Assemblée des Nations Unies pour l'environnement à Nairobi (ANUE, 11-15 mars 2019), et insistera sur le rôle des zones humides dans la production et la consommation durables, ainsi que sur leur contribution aux ODD. </w:t>
      </w:r>
    </w:p>
    <w:p w14:paraId="64675226" w14:textId="77777777" w:rsidR="001011BF" w:rsidRPr="006D75C8" w:rsidRDefault="001011BF" w:rsidP="000615EE">
      <w:pPr>
        <w:ind w:left="425" w:hanging="425"/>
        <w:rPr>
          <w:rFonts w:asciiTheme="minorHAnsi" w:hAnsiTheme="minorHAnsi" w:cstheme="minorHAnsi"/>
          <w:sz w:val="22"/>
          <w:szCs w:val="22"/>
          <w:lang w:val="fr-FR"/>
        </w:rPr>
      </w:pPr>
    </w:p>
    <w:p w14:paraId="38140CA6" w14:textId="60EEF301" w:rsidR="00C54BD0" w:rsidRPr="006D75C8" w:rsidRDefault="000615EE" w:rsidP="000615EE">
      <w:pPr>
        <w:ind w:left="425" w:hanging="425"/>
        <w:rPr>
          <w:rFonts w:asciiTheme="minorHAnsi" w:hAnsiTheme="minorHAnsi" w:cstheme="minorHAnsi"/>
          <w:sz w:val="22"/>
          <w:szCs w:val="22"/>
          <w:lang w:val="fr-FR"/>
        </w:rPr>
      </w:pPr>
      <w:r w:rsidRPr="006D75C8">
        <w:rPr>
          <w:rFonts w:asciiTheme="minorHAnsi" w:hAnsiTheme="minorHAnsi" w:cstheme="minorHAnsi"/>
          <w:sz w:val="22"/>
          <w:szCs w:val="22"/>
          <w:lang w:val="fr-FR"/>
        </w:rPr>
        <w:t>36.</w:t>
      </w:r>
      <w:r w:rsidRPr="006D75C8">
        <w:rPr>
          <w:rFonts w:asciiTheme="minorHAnsi" w:hAnsiTheme="minorHAnsi" w:cstheme="minorHAnsi"/>
          <w:sz w:val="22"/>
          <w:szCs w:val="22"/>
          <w:lang w:val="fr-FR"/>
        </w:rPr>
        <w:tab/>
      </w:r>
      <w:r w:rsidR="00C54BD0" w:rsidRPr="006D75C8">
        <w:rPr>
          <w:rFonts w:asciiTheme="minorHAnsi" w:hAnsiTheme="minorHAnsi" w:cstheme="minorHAnsi"/>
          <w:sz w:val="22"/>
          <w:szCs w:val="22"/>
          <w:lang w:val="fr-FR"/>
        </w:rPr>
        <w:t xml:space="preserve">Le Secrétariat participe au « Programme sur les traités environnementaux - exploiter les synergies pour la biodiversité », dirigé par le PNUE avec la participation d’autres conventions relatives à la biodiversité. Ce projet a fixé cinq résultats à atteindre, qui répondent à la Résolution 2/17 de l'Assemblée des Nations Unies pour l'environnement. L’objectif visé est d’aider les pays à mettre en œuvre les traités sur l'environnement et d’améliorer la gouvernance internationale en matière d'environnement afin de réaliser les </w:t>
      </w:r>
      <w:r w:rsidR="00F47415">
        <w:rPr>
          <w:rFonts w:asciiTheme="minorHAnsi" w:hAnsiTheme="minorHAnsi" w:cstheme="minorHAnsi"/>
          <w:sz w:val="22"/>
          <w:szCs w:val="22"/>
          <w:lang w:val="fr-FR"/>
        </w:rPr>
        <w:t>ODD</w:t>
      </w:r>
      <w:r w:rsidR="00C54BD0" w:rsidRPr="006D75C8">
        <w:rPr>
          <w:rFonts w:asciiTheme="minorHAnsi" w:hAnsiTheme="minorHAnsi" w:cstheme="minorHAnsi"/>
          <w:sz w:val="22"/>
          <w:szCs w:val="22"/>
          <w:lang w:val="fr-FR"/>
        </w:rPr>
        <w:t>.</w:t>
      </w:r>
    </w:p>
    <w:p w14:paraId="338C8E61" w14:textId="77777777" w:rsidR="004D3B63" w:rsidRPr="000615EE" w:rsidRDefault="004D3B63" w:rsidP="000615EE">
      <w:pPr>
        <w:ind w:left="425" w:hanging="425"/>
        <w:rPr>
          <w:rFonts w:asciiTheme="minorHAnsi" w:hAnsiTheme="minorHAnsi" w:cstheme="minorHAnsi"/>
          <w:sz w:val="22"/>
          <w:szCs w:val="22"/>
        </w:rPr>
      </w:pPr>
    </w:p>
    <w:p w14:paraId="4C61C157" w14:textId="3116AC66" w:rsidR="006D75C8" w:rsidRPr="006D75C8" w:rsidRDefault="000615EE" w:rsidP="006D75C8">
      <w:pPr>
        <w:ind w:left="425" w:hanging="425"/>
        <w:rPr>
          <w:rFonts w:asciiTheme="minorHAnsi" w:hAnsiTheme="minorHAnsi" w:cstheme="minorHAnsi"/>
          <w:sz w:val="22"/>
          <w:szCs w:val="22"/>
          <w:lang w:val="fr-FR"/>
        </w:rPr>
      </w:pPr>
      <w:r>
        <w:rPr>
          <w:rFonts w:asciiTheme="minorHAnsi" w:hAnsiTheme="minorHAnsi" w:cstheme="minorHAnsi"/>
          <w:sz w:val="22"/>
          <w:szCs w:val="22"/>
        </w:rPr>
        <w:t>37.</w:t>
      </w:r>
      <w:r>
        <w:rPr>
          <w:rFonts w:asciiTheme="minorHAnsi" w:hAnsiTheme="minorHAnsi" w:cstheme="minorHAnsi"/>
          <w:sz w:val="22"/>
          <w:szCs w:val="22"/>
        </w:rPr>
        <w:tab/>
      </w:r>
      <w:r w:rsidR="006D75C8" w:rsidRPr="006D75C8">
        <w:rPr>
          <w:rFonts w:asciiTheme="minorHAnsi" w:hAnsiTheme="minorHAnsi" w:cstheme="minorHAnsi"/>
          <w:sz w:val="22"/>
          <w:szCs w:val="22"/>
          <w:lang w:val="fr-FR"/>
        </w:rPr>
        <w:t>Dans le cadre d</w:t>
      </w:r>
      <w:r w:rsidR="00423BB6">
        <w:rPr>
          <w:rFonts w:asciiTheme="minorHAnsi" w:hAnsiTheme="minorHAnsi" w:cstheme="minorHAnsi"/>
          <w:sz w:val="22"/>
          <w:szCs w:val="22"/>
          <w:lang w:val="fr-FR"/>
        </w:rPr>
        <w:t>e ce programme</w:t>
      </w:r>
      <w:r w:rsidR="006D75C8" w:rsidRPr="006D75C8">
        <w:rPr>
          <w:rFonts w:asciiTheme="minorHAnsi" w:hAnsiTheme="minorHAnsi" w:cstheme="minorHAnsi"/>
          <w:sz w:val="22"/>
          <w:szCs w:val="22"/>
          <w:lang w:val="fr-FR"/>
        </w:rPr>
        <w:t>, une réunion des responsables de l'information des conventions sur la biodiversité, à savoir Ramsar, la CMS, la CDB, la CITES, la Convention internationale pour la protection des végétaux et le Traité international sur les ressources phytogénétiques pour l'alimentation et l'agriculture</w:t>
      </w:r>
      <w:r w:rsidR="00F47415">
        <w:rPr>
          <w:rFonts w:asciiTheme="minorHAnsi" w:hAnsiTheme="minorHAnsi" w:cstheme="minorHAnsi"/>
          <w:sz w:val="22"/>
          <w:szCs w:val="22"/>
          <w:lang w:val="fr-FR"/>
        </w:rPr>
        <w:t>,</w:t>
      </w:r>
      <w:r w:rsidR="006D75C8" w:rsidRPr="006D75C8">
        <w:rPr>
          <w:rFonts w:asciiTheme="minorHAnsi" w:hAnsiTheme="minorHAnsi" w:cstheme="minorHAnsi"/>
          <w:sz w:val="22"/>
          <w:szCs w:val="22"/>
          <w:lang w:val="fr-FR"/>
        </w:rPr>
        <w:t xml:space="preserve"> a </w:t>
      </w:r>
      <w:r w:rsidR="00F47415">
        <w:rPr>
          <w:rFonts w:asciiTheme="minorHAnsi" w:hAnsiTheme="minorHAnsi" w:cstheme="minorHAnsi"/>
          <w:sz w:val="22"/>
          <w:szCs w:val="22"/>
          <w:lang w:val="fr-FR"/>
        </w:rPr>
        <w:t xml:space="preserve">eu lieu </w:t>
      </w:r>
      <w:r w:rsidR="006D75C8" w:rsidRPr="006D75C8">
        <w:rPr>
          <w:rFonts w:asciiTheme="minorHAnsi" w:hAnsiTheme="minorHAnsi" w:cstheme="minorHAnsi"/>
          <w:sz w:val="22"/>
          <w:szCs w:val="22"/>
          <w:lang w:val="fr-FR"/>
        </w:rPr>
        <w:t>en marge de la COP13 de Ramsar. Les objectifs de cette réunion étaient les suivants</w:t>
      </w:r>
      <w:r w:rsidR="00E800CA">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 xml:space="preserve"> 1) </w:t>
      </w:r>
      <w:r w:rsidR="00F47415">
        <w:rPr>
          <w:rFonts w:asciiTheme="minorHAnsi" w:hAnsiTheme="minorHAnsi" w:cstheme="minorHAnsi"/>
          <w:sz w:val="22"/>
          <w:szCs w:val="22"/>
          <w:lang w:val="fr-FR"/>
        </w:rPr>
        <w:t xml:space="preserve">communiquer la teneur des discussions de </w:t>
      </w:r>
      <w:r w:rsidR="006D75C8" w:rsidRPr="006D75C8">
        <w:rPr>
          <w:rFonts w:asciiTheme="minorHAnsi" w:hAnsiTheme="minorHAnsi" w:cstheme="minorHAnsi"/>
          <w:sz w:val="22"/>
          <w:szCs w:val="22"/>
          <w:lang w:val="fr-FR"/>
        </w:rPr>
        <w:t>la réunion de la CDB sur la communication en matière de biodiversité dans le monde, qui s'est tenue en avril 2018 à Cambridge, au Royaume-Uni</w:t>
      </w:r>
      <w:r w:rsidR="00E800CA">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 xml:space="preserve"> 2) dresser le bilan des besoins en communication en 2019 de chaque responsable de l'information que le groupe peut soutenir</w:t>
      </w:r>
      <w:r w:rsidR="00E800CA">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 xml:space="preserve"> 3) examiner l'utilisation de l'outil de surveillance des médias Meltwater, ainsi que les constatations et les données</w:t>
      </w:r>
      <w:r w:rsidR="00AF6E5F">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lastRenderedPageBreak/>
        <w:t>recueillies à ce jour</w:t>
      </w:r>
      <w:r w:rsidR="00E800CA">
        <w:rPr>
          <w:rFonts w:asciiTheme="minorHAnsi" w:hAnsiTheme="minorHAnsi" w:cstheme="minorHAnsi"/>
          <w:sz w:val="22"/>
          <w:szCs w:val="22"/>
          <w:lang w:val="fr-FR"/>
        </w:rPr>
        <w:t xml:space="preserve"> ;</w:t>
      </w:r>
      <w:r w:rsidR="006D75C8" w:rsidRPr="006D75C8">
        <w:rPr>
          <w:rFonts w:asciiTheme="minorHAnsi" w:hAnsiTheme="minorHAnsi" w:cstheme="minorHAnsi"/>
          <w:sz w:val="22"/>
          <w:szCs w:val="22"/>
          <w:lang w:val="fr-FR"/>
        </w:rPr>
        <w:t xml:space="preserve"> et 4) déterminer les possibilités et les synergies en matière de communication collective pour l’après-2020.</w:t>
      </w:r>
    </w:p>
    <w:p w14:paraId="74B8DFC0" w14:textId="77777777" w:rsidR="00345BA5" w:rsidRPr="00F61CAA" w:rsidRDefault="00345BA5" w:rsidP="006D75C8">
      <w:pPr>
        <w:rPr>
          <w:rFonts w:asciiTheme="minorHAnsi" w:hAnsiTheme="minorHAnsi" w:cstheme="minorHAnsi"/>
          <w:sz w:val="22"/>
          <w:szCs w:val="22"/>
        </w:rPr>
      </w:pPr>
    </w:p>
    <w:p w14:paraId="1E41BF5F" w14:textId="4DE08DE2" w:rsidR="006D75C8" w:rsidRPr="006D75C8" w:rsidRDefault="000615EE" w:rsidP="006D75C8">
      <w:pPr>
        <w:ind w:left="425" w:hanging="425"/>
        <w:rPr>
          <w:rFonts w:asciiTheme="minorHAnsi" w:hAnsiTheme="minorHAnsi" w:cstheme="minorHAnsi"/>
          <w:sz w:val="22"/>
          <w:szCs w:val="22"/>
          <w:lang w:val="fr-FR"/>
        </w:rPr>
      </w:pPr>
      <w:r w:rsidRPr="00AF6E5F">
        <w:rPr>
          <w:rFonts w:asciiTheme="minorHAnsi" w:hAnsiTheme="minorHAnsi" w:cstheme="minorHAnsi"/>
          <w:sz w:val="22"/>
          <w:szCs w:val="22"/>
          <w:lang w:val="fr-FR"/>
        </w:rPr>
        <w:t>38.</w:t>
      </w:r>
      <w:r w:rsidRPr="00AF6E5F">
        <w:rPr>
          <w:rFonts w:asciiTheme="minorHAnsi" w:hAnsiTheme="minorHAnsi" w:cstheme="minorHAnsi"/>
          <w:sz w:val="22"/>
          <w:szCs w:val="22"/>
          <w:lang w:val="fr-FR"/>
        </w:rPr>
        <w:tab/>
      </w:r>
      <w:r w:rsidR="006D75C8" w:rsidRPr="006D75C8">
        <w:rPr>
          <w:rFonts w:asciiTheme="minorHAnsi" w:hAnsiTheme="minorHAnsi" w:cstheme="minorHAnsi"/>
          <w:sz w:val="22"/>
          <w:szCs w:val="22"/>
          <w:lang w:val="fr-FR"/>
        </w:rPr>
        <w:t>Le Secrétariat a poursuivi sa participation aux activités du Partenariat pour l'environnement et la réduction des risques de catastrophe (PERRC), une alliance mondiale d'organismes des Nations Unies, d'ONG et d'institut</w:t>
      </w:r>
      <w:r w:rsidR="00F47415">
        <w:rPr>
          <w:rFonts w:asciiTheme="minorHAnsi" w:hAnsiTheme="minorHAnsi" w:cstheme="minorHAnsi"/>
          <w:sz w:val="22"/>
          <w:szCs w:val="22"/>
          <w:lang w:val="fr-FR"/>
        </w:rPr>
        <w:t>ion</w:t>
      </w:r>
      <w:r w:rsidR="006D75C8" w:rsidRPr="006D75C8">
        <w:rPr>
          <w:rFonts w:asciiTheme="minorHAnsi" w:hAnsiTheme="minorHAnsi" w:cstheme="minorHAnsi"/>
          <w:sz w:val="22"/>
          <w:szCs w:val="22"/>
          <w:lang w:val="fr-FR"/>
        </w:rPr>
        <w:t>s spécialisés. En décembre 2018, le Secrétariat a participé au séminaire du PERRC organisé par le PNUE à Genève, Suisse, pour présenter les décisions relatives à la réduction des risques de catastrophe (RRC) adoptées à la COP13, et informer les partenaires des progrès réalisés dans la mise en œuvre des activités liées à la RRC.</w:t>
      </w:r>
    </w:p>
    <w:p w14:paraId="07CF415A" w14:textId="77777777" w:rsidR="00393CD5" w:rsidRPr="000615EE" w:rsidRDefault="00393CD5" w:rsidP="006D75C8">
      <w:pPr>
        <w:rPr>
          <w:rFonts w:asciiTheme="minorHAnsi" w:hAnsiTheme="minorHAnsi" w:cstheme="minorHAnsi"/>
          <w:sz w:val="22"/>
          <w:szCs w:val="22"/>
        </w:rPr>
      </w:pPr>
    </w:p>
    <w:p w14:paraId="28861EBA" w14:textId="3AB00639" w:rsidR="00622732" w:rsidRPr="00622732" w:rsidRDefault="000615EE" w:rsidP="00622732">
      <w:pPr>
        <w:ind w:left="425" w:hanging="425"/>
        <w:rPr>
          <w:rFonts w:asciiTheme="minorHAnsi" w:hAnsiTheme="minorHAnsi" w:cstheme="minorHAnsi"/>
          <w:sz w:val="22"/>
          <w:szCs w:val="22"/>
          <w:lang w:val="fr-FR"/>
        </w:rPr>
      </w:pPr>
      <w:r>
        <w:rPr>
          <w:rFonts w:asciiTheme="minorHAnsi" w:hAnsiTheme="minorHAnsi" w:cstheme="minorHAnsi"/>
          <w:sz w:val="22"/>
          <w:szCs w:val="22"/>
        </w:rPr>
        <w:t>39.</w:t>
      </w:r>
      <w:r>
        <w:rPr>
          <w:rFonts w:asciiTheme="minorHAnsi" w:hAnsiTheme="minorHAnsi" w:cstheme="minorHAnsi"/>
          <w:sz w:val="22"/>
          <w:szCs w:val="22"/>
        </w:rPr>
        <w:tab/>
      </w:r>
      <w:r w:rsidR="00622732" w:rsidRPr="00622732">
        <w:rPr>
          <w:rFonts w:asciiTheme="minorHAnsi" w:hAnsiTheme="minorHAnsi" w:cstheme="minorHAnsi"/>
          <w:sz w:val="22"/>
          <w:szCs w:val="22"/>
          <w:lang w:val="fr-FR"/>
        </w:rPr>
        <w:t>En février 2019, le Secrétariat a également participé à l'Atelier international sur les sciences et la politique</w:t>
      </w:r>
      <w:r w:rsidR="00F47415">
        <w:rPr>
          <w:rFonts w:asciiTheme="minorHAnsi" w:hAnsiTheme="minorHAnsi" w:cstheme="minorHAnsi"/>
          <w:sz w:val="22"/>
          <w:szCs w:val="22"/>
          <w:lang w:val="fr-FR"/>
        </w:rPr>
        <w:t>,</w:t>
      </w:r>
      <w:r w:rsidR="00622732" w:rsidRPr="00622732">
        <w:rPr>
          <w:rFonts w:asciiTheme="minorHAnsi" w:hAnsiTheme="minorHAnsi" w:cstheme="minorHAnsi"/>
          <w:sz w:val="22"/>
          <w:szCs w:val="22"/>
          <w:lang w:val="fr-FR"/>
        </w:rPr>
        <w:t xml:space="preserve"> organisé à Bonn par le PNUE afin de présenter les progrès réalisés dans le domaine de la RRC et de faire connaître les lacunes, les difficultés</w:t>
      </w:r>
      <w:r w:rsidR="00AF6E5F">
        <w:rPr>
          <w:rFonts w:asciiTheme="minorHAnsi" w:hAnsiTheme="minorHAnsi" w:cstheme="minorHAnsi"/>
          <w:sz w:val="22"/>
          <w:szCs w:val="22"/>
          <w:lang w:val="fr-FR"/>
        </w:rPr>
        <w:t xml:space="preserve"> </w:t>
      </w:r>
      <w:r w:rsidR="00622732" w:rsidRPr="00622732">
        <w:rPr>
          <w:rFonts w:asciiTheme="minorHAnsi" w:hAnsiTheme="minorHAnsi" w:cstheme="minorHAnsi"/>
          <w:sz w:val="22"/>
          <w:szCs w:val="22"/>
          <w:lang w:val="fr-FR"/>
        </w:rPr>
        <w:t>et les possibilités recensées dans le rapport entre science et politique. Cet atelier a offert aux participants un relai important vers les travaux et les progrès réalisés dans le cadre de divers organisations et accords internationaux, à savoir, la C</w:t>
      </w:r>
      <w:r w:rsidR="00423BB6">
        <w:rPr>
          <w:rFonts w:asciiTheme="minorHAnsi" w:hAnsiTheme="minorHAnsi" w:cstheme="minorHAnsi"/>
          <w:sz w:val="22"/>
          <w:szCs w:val="22"/>
          <w:lang w:val="fr-FR"/>
        </w:rPr>
        <w:t>DB, Ramsar, l’UNESCO et la CNUL</w:t>
      </w:r>
      <w:r w:rsidR="00622732" w:rsidRPr="00622732">
        <w:rPr>
          <w:rFonts w:asciiTheme="minorHAnsi" w:hAnsiTheme="minorHAnsi" w:cstheme="minorHAnsi"/>
          <w:sz w:val="22"/>
          <w:szCs w:val="22"/>
          <w:lang w:val="fr-FR"/>
        </w:rPr>
        <w:t xml:space="preserve">D. Cet atelier visait avant tout à offrir une </w:t>
      </w:r>
      <w:r w:rsidR="00423BB6">
        <w:rPr>
          <w:rFonts w:asciiTheme="minorHAnsi" w:hAnsiTheme="minorHAnsi" w:cstheme="minorHAnsi"/>
          <w:sz w:val="22"/>
          <w:szCs w:val="22"/>
          <w:lang w:val="fr-FR"/>
        </w:rPr>
        <w:t xml:space="preserve">occasion </w:t>
      </w:r>
      <w:r w:rsidR="00622732" w:rsidRPr="00622732">
        <w:rPr>
          <w:rFonts w:asciiTheme="minorHAnsi" w:hAnsiTheme="minorHAnsi" w:cstheme="minorHAnsi"/>
          <w:sz w:val="22"/>
          <w:szCs w:val="22"/>
          <w:lang w:val="fr-FR"/>
        </w:rPr>
        <w:t>de partager et d'échanger des expériences sur le rôle de l'éco-RRC dans ces accords internationaux, dans l'espoir de trouver une voie commune pour l'avenir.</w:t>
      </w:r>
    </w:p>
    <w:p w14:paraId="7956E89F" w14:textId="16270231" w:rsidR="00410532" w:rsidRPr="00F61CAA" w:rsidRDefault="00410532" w:rsidP="00F61CAA">
      <w:pPr>
        <w:rPr>
          <w:rFonts w:asciiTheme="minorHAnsi" w:hAnsiTheme="minorHAnsi" w:cstheme="minorHAnsi"/>
          <w:bCs/>
          <w:sz w:val="22"/>
          <w:szCs w:val="22"/>
        </w:rPr>
      </w:pPr>
    </w:p>
    <w:p w14:paraId="1BDC724B" w14:textId="5CF7E73F" w:rsidR="00410532" w:rsidRPr="000615EE" w:rsidRDefault="000615EE" w:rsidP="000615EE">
      <w:pPr>
        <w:ind w:left="425" w:hanging="425"/>
        <w:rPr>
          <w:rFonts w:asciiTheme="minorHAnsi" w:hAnsiTheme="minorHAnsi" w:cstheme="minorHAnsi"/>
          <w:sz w:val="22"/>
          <w:szCs w:val="22"/>
        </w:rPr>
      </w:pPr>
      <w:r w:rsidRPr="00622732">
        <w:rPr>
          <w:rFonts w:asciiTheme="minorHAnsi" w:hAnsiTheme="minorHAnsi" w:cstheme="minorHAnsi"/>
          <w:sz w:val="22"/>
          <w:szCs w:val="22"/>
          <w:lang w:val="fr-FR"/>
        </w:rPr>
        <w:t>40.</w:t>
      </w:r>
      <w:r w:rsidRPr="00622732">
        <w:rPr>
          <w:rFonts w:asciiTheme="minorHAnsi" w:hAnsiTheme="minorHAnsi" w:cstheme="minorHAnsi"/>
          <w:sz w:val="22"/>
          <w:szCs w:val="22"/>
          <w:lang w:val="fr-FR"/>
        </w:rPr>
        <w:tab/>
      </w:r>
      <w:r w:rsidR="00622732" w:rsidRPr="00622732">
        <w:rPr>
          <w:rFonts w:asciiTheme="minorHAnsi" w:hAnsiTheme="minorHAnsi" w:cstheme="minorHAnsi"/>
          <w:sz w:val="22"/>
          <w:szCs w:val="22"/>
          <w:lang w:val="fr-FR"/>
        </w:rPr>
        <w:t>Le Secrétariat a continué de contribuer à l'initiative InforMEA</w:t>
      </w:r>
      <w:r w:rsidR="00F47415">
        <w:rPr>
          <w:rFonts w:asciiTheme="minorHAnsi" w:hAnsiTheme="minorHAnsi" w:cstheme="minorHAnsi"/>
          <w:sz w:val="22"/>
          <w:szCs w:val="22"/>
          <w:lang w:val="fr-FR"/>
        </w:rPr>
        <w:t xml:space="preserve"> et </w:t>
      </w:r>
      <w:r w:rsidR="00622732" w:rsidRPr="00622732">
        <w:rPr>
          <w:rFonts w:asciiTheme="minorHAnsi" w:hAnsiTheme="minorHAnsi" w:cstheme="minorHAnsi"/>
          <w:sz w:val="22"/>
          <w:szCs w:val="22"/>
          <w:lang w:val="fr-FR"/>
        </w:rPr>
        <w:t>a participé à la réunion d</w:t>
      </w:r>
      <w:r w:rsidR="00F47415">
        <w:rPr>
          <w:rFonts w:asciiTheme="minorHAnsi" w:hAnsiTheme="minorHAnsi" w:cstheme="minorHAnsi"/>
          <w:sz w:val="22"/>
          <w:szCs w:val="22"/>
          <w:lang w:val="fr-FR"/>
        </w:rPr>
        <w:t xml:space="preserve">e son </w:t>
      </w:r>
      <w:r w:rsidR="00622732" w:rsidRPr="00622732">
        <w:rPr>
          <w:rFonts w:asciiTheme="minorHAnsi" w:hAnsiTheme="minorHAnsi" w:cstheme="minorHAnsi"/>
          <w:sz w:val="22"/>
          <w:szCs w:val="22"/>
          <w:lang w:val="fr-FR"/>
        </w:rPr>
        <w:t xml:space="preserve">Comité directeur en juin 2018. Les documents Ramsar </w:t>
      </w:r>
      <w:r w:rsidR="00423BB6">
        <w:rPr>
          <w:rFonts w:asciiTheme="minorHAnsi" w:hAnsiTheme="minorHAnsi" w:cstheme="minorHAnsi"/>
          <w:sz w:val="22"/>
          <w:szCs w:val="22"/>
          <w:lang w:val="fr-FR"/>
        </w:rPr>
        <w:t xml:space="preserve">disponibles </w:t>
      </w:r>
      <w:r w:rsidR="00622732" w:rsidRPr="00622732">
        <w:rPr>
          <w:rFonts w:asciiTheme="minorHAnsi" w:hAnsiTheme="minorHAnsi" w:cstheme="minorHAnsi"/>
          <w:sz w:val="22"/>
          <w:szCs w:val="22"/>
          <w:lang w:val="fr-FR"/>
        </w:rPr>
        <w:t>sur la plate-forme InforMEA ont été mis à jour pour inclure les résolutions adoptées à la COP13</w:t>
      </w:r>
      <w:r w:rsidR="00622732">
        <w:rPr>
          <w:rFonts w:asciiTheme="minorHAnsi" w:hAnsiTheme="minorHAnsi" w:cstheme="minorHAnsi"/>
          <w:sz w:val="22"/>
          <w:szCs w:val="22"/>
          <w:lang w:val="fr-FR"/>
        </w:rPr>
        <w:t xml:space="preserve"> </w:t>
      </w:r>
      <w:r w:rsidR="00410532" w:rsidRPr="00AF6E5F">
        <w:rPr>
          <w:rFonts w:asciiTheme="minorHAnsi" w:hAnsiTheme="minorHAnsi" w:cstheme="minorHAnsi"/>
          <w:sz w:val="22"/>
          <w:szCs w:val="22"/>
          <w:lang w:val="fr-FR"/>
        </w:rPr>
        <w:t>(</w:t>
      </w:r>
      <w:r w:rsidR="00021E7A" w:rsidRPr="00AF6E5F">
        <w:rPr>
          <w:rFonts w:asciiTheme="minorHAnsi" w:hAnsiTheme="minorHAnsi" w:cstheme="minorHAnsi"/>
          <w:sz w:val="22"/>
          <w:szCs w:val="22"/>
          <w:lang w:val="fr-FR"/>
        </w:rPr>
        <w:t>voir</w:t>
      </w:r>
      <w:r w:rsidR="00E800CA">
        <w:rPr>
          <w:rFonts w:asciiTheme="minorHAnsi" w:hAnsiTheme="minorHAnsi" w:cstheme="minorHAnsi"/>
          <w:color w:val="1F497D"/>
          <w:sz w:val="22"/>
          <w:szCs w:val="22"/>
        </w:rPr>
        <w:t xml:space="preserve"> :</w:t>
      </w:r>
      <w:r w:rsidR="00BC4862">
        <w:rPr>
          <w:rFonts w:asciiTheme="minorHAnsi" w:hAnsiTheme="minorHAnsi" w:cstheme="minorHAnsi"/>
          <w:color w:val="1F497D"/>
          <w:sz w:val="22"/>
          <w:szCs w:val="22"/>
        </w:rPr>
        <w:t xml:space="preserve"> </w:t>
      </w:r>
      <w:hyperlink r:id="rId7" w:history="1">
        <w:r w:rsidR="00410532" w:rsidRPr="000615EE">
          <w:rPr>
            <w:rStyle w:val="Hyperlink"/>
            <w:rFonts w:asciiTheme="minorHAnsi" w:hAnsiTheme="minorHAnsi" w:cstheme="minorHAnsi"/>
            <w:sz w:val="22"/>
            <w:szCs w:val="22"/>
          </w:rPr>
          <w:t>https://www.informea.org/en/event/13th-meeting-conference-parties</w:t>
        </w:r>
      </w:hyperlink>
      <w:r w:rsidR="00410532" w:rsidRPr="000615EE">
        <w:rPr>
          <w:rFonts w:asciiTheme="minorHAnsi" w:hAnsiTheme="minorHAnsi" w:cstheme="minorHAnsi"/>
          <w:color w:val="1F497D"/>
          <w:sz w:val="22"/>
          <w:szCs w:val="22"/>
        </w:rPr>
        <w:t>).</w:t>
      </w:r>
    </w:p>
    <w:p w14:paraId="718BD0F6" w14:textId="1BA38FCF" w:rsidR="00410532" w:rsidRPr="00F61CAA" w:rsidRDefault="00410532" w:rsidP="00F61CAA">
      <w:pPr>
        <w:rPr>
          <w:rFonts w:asciiTheme="minorHAnsi" w:hAnsiTheme="minorHAnsi" w:cstheme="minorHAnsi"/>
          <w:bCs/>
          <w:sz w:val="22"/>
          <w:szCs w:val="22"/>
        </w:rPr>
      </w:pPr>
    </w:p>
    <w:p w14:paraId="6CD0B62A" w14:textId="0EBAA975" w:rsidR="003A2287" w:rsidRPr="000615EE" w:rsidRDefault="003A2287" w:rsidP="000615EE">
      <w:pPr>
        <w:tabs>
          <w:tab w:val="left" w:pos="0"/>
        </w:tabs>
        <w:autoSpaceDE w:val="0"/>
        <w:autoSpaceDN w:val="0"/>
        <w:adjustRightInd w:val="0"/>
        <w:rPr>
          <w:rFonts w:asciiTheme="minorHAnsi" w:eastAsiaTheme="minorHAnsi" w:hAnsiTheme="minorHAnsi" w:cstheme="minorHAnsi"/>
          <w:i/>
          <w:sz w:val="22"/>
          <w:szCs w:val="22"/>
        </w:rPr>
      </w:pPr>
      <w:r w:rsidRPr="000615EE">
        <w:rPr>
          <w:rFonts w:asciiTheme="minorHAnsi" w:eastAsiaTheme="minorHAnsi" w:hAnsiTheme="minorHAnsi" w:cstheme="minorHAnsi"/>
          <w:i/>
          <w:sz w:val="22"/>
          <w:szCs w:val="22"/>
        </w:rPr>
        <w:t xml:space="preserve">Collaboration </w:t>
      </w:r>
      <w:r w:rsidR="00622732">
        <w:rPr>
          <w:rFonts w:asciiTheme="minorHAnsi" w:eastAsiaTheme="minorHAnsi" w:hAnsiTheme="minorHAnsi" w:cstheme="minorHAnsi"/>
          <w:i/>
          <w:sz w:val="22"/>
          <w:szCs w:val="22"/>
        </w:rPr>
        <w:t xml:space="preserve">avec la </w:t>
      </w:r>
      <w:r w:rsidRPr="000615EE">
        <w:rPr>
          <w:rFonts w:asciiTheme="minorHAnsi" w:eastAsiaTheme="minorHAnsi" w:hAnsiTheme="minorHAnsi" w:cstheme="minorHAnsi"/>
          <w:i/>
          <w:sz w:val="22"/>
          <w:szCs w:val="22"/>
        </w:rPr>
        <w:t>CITES</w:t>
      </w:r>
    </w:p>
    <w:p w14:paraId="0ACEE3BE" w14:textId="3E0394BD" w:rsidR="003A2287" w:rsidRPr="00AA2B27" w:rsidRDefault="003A2287" w:rsidP="00F61CAA">
      <w:pPr>
        <w:rPr>
          <w:rFonts w:asciiTheme="minorHAnsi" w:hAnsiTheme="minorHAnsi" w:cstheme="minorHAnsi"/>
          <w:bCs/>
          <w:sz w:val="22"/>
          <w:szCs w:val="22"/>
          <w:highlight w:val="green"/>
        </w:rPr>
      </w:pPr>
    </w:p>
    <w:p w14:paraId="5F1ADA84" w14:textId="549FF226" w:rsidR="00622732" w:rsidRPr="00622732" w:rsidRDefault="000615EE" w:rsidP="00622732">
      <w:pPr>
        <w:ind w:left="425" w:hanging="425"/>
        <w:rPr>
          <w:rFonts w:asciiTheme="minorHAnsi" w:hAnsiTheme="minorHAnsi" w:cstheme="minorHAnsi"/>
          <w:sz w:val="22"/>
          <w:szCs w:val="22"/>
          <w:lang w:val="fr-FR"/>
        </w:rPr>
      </w:pPr>
      <w:r w:rsidRPr="00AF6E5F">
        <w:rPr>
          <w:rFonts w:asciiTheme="minorHAnsi" w:hAnsiTheme="minorHAnsi" w:cstheme="minorHAnsi"/>
          <w:sz w:val="22"/>
          <w:szCs w:val="22"/>
          <w:lang w:val="fr-FR"/>
        </w:rPr>
        <w:t>41.</w:t>
      </w:r>
      <w:r w:rsidRPr="00AF6E5F">
        <w:rPr>
          <w:rFonts w:asciiTheme="minorHAnsi" w:hAnsiTheme="minorHAnsi" w:cstheme="minorHAnsi"/>
          <w:sz w:val="22"/>
          <w:szCs w:val="22"/>
          <w:lang w:val="fr-FR"/>
        </w:rPr>
        <w:tab/>
      </w:r>
      <w:r w:rsidR="00622732" w:rsidRPr="00622732">
        <w:rPr>
          <w:rFonts w:asciiTheme="minorHAnsi" w:hAnsiTheme="minorHAnsi" w:cstheme="minorHAnsi"/>
          <w:sz w:val="22"/>
          <w:szCs w:val="22"/>
          <w:lang w:val="fr-FR"/>
        </w:rPr>
        <w:t xml:space="preserve">Outre la collaboration </w:t>
      </w:r>
      <w:r w:rsidR="00E800CA">
        <w:rPr>
          <w:rFonts w:asciiTheme="minorHAnsi" w:hAnsiTheme="minorHAnsi" w:cstheme="minorHAnsi"/>
          <w:sz w:val="22"/>
          <w:szCs w:val="22"/>
          <w:lang w:val="fr-FR"/>
        </w:rPr>
        <w:t>entre les programmes</w:t>
      </w:r>
      <w:r w:rsidR="00622732" w:rsidRPr="00622732">
        <w:rPr>
          <w:rFonts w:asciiTheme="minorHAnsi" w:hAnsiTheme="minorHAnsi" w:cstheme="minorHAnsi"/>
          <w:sz w:val="22"/>
          <w:szCs w:val="22"/>
          <w:lang w:val="fr-FR"/>
        </w:rPr>
        <w:t>, le Secrétariat a également encouragé l'échange d'expériences et un soutien opérationnel mutuel avec le Secrétariat CITES. En particulier, le Secrétariat CITES a détaché un spécialiste de la documentation qui a rejoint l'équipe du Secrétariat Ramsar pour la COP13 de Ramsar</w:t>
      </w:r>
      <w:r w:rsidR="00E800CA">
        <w:rPr>
          <w:rFonts w:asciiTheme="minorHAnsi" w:hAnsiTheme="minorHAnsi" w:cstheme="minorHAnsi"/>
          <w:sz w:val="22"/>
          <w:szCs w:val="22"/>
          <w:lang w:val="fr-FR"/>
        </w:rPr>
        <w:t xml:space="preserve"> ;</w:t>
      </w:r>
      <w:r w:rsidR="00622732" w:rsidRPr="00622732">
        <w:rPr>
          <w:rFonts w:asciiTheme="minorHAnsi" w:hAnsiTheme="minorHAnsi" w:cstheme="minorHAnsi"/>
          <w:sz w:val="22"/>
          <w:szCs w:val="22"/>
          <w:lang w:val="fr-FR"/>
        </w:rPr>
        <w:t xml:space="preserve"> le Secrétariat Ramsar, quant à lui, mettra son responsable informatique à la disposition de l'équipe du Secrétariat de la CITES pour la COP18.</w:t>
      </w:r>
    </w:p>
    <w:p w14:paraId="5F4E2B8A" w14:textId="77777777" w:rsidR="00C9192F" w:rsidRPr="00F61CAA" w:rsidRDefault="00C9192F" w:rsidP="00F61CAA">
      <w:pPr>
        <w:tabs>
          <w:tab w:val="left" w:pos="0"/>
        </w:tabs>
        <w:autoSpaceDE w:val="0"/>
        <w:autoSpaceDN w:val="0"/>
        <w:adjustRightInd w:val="0"/>
        <w:rPr>
          <w:rFonts w:asciiTheme="minorHAnsi" w:hAnsiTheme="minorHAnsi" w:cstheme="minorHAnsi"/>
          <w:sz w:val="22"/>
          <w:szCs w:val="22"/>
        </w:rPr>
      </w:pPr>
    </w:p>
    <w:p w14:paraId="4AB20237" w14:textId="2AFAF026" w:rsidR="00A52667" w:rsidRDefault="00A52667" w:rsidP="00F61CAA">
      <w:pPr>
        <w:tabs>
          <w:tab w:val="left" w:pos="0"/>
        </w:tabs>
        <w:autoSpaceDE w:val="0"/>
        <w:autoSpaceDN w:val="0"/>
        <w:adjustRightInd w:val="0"/>
        <w:rPr>
          <w:rFonts w:asciiTheme="minorHAnsi" w:eastAsiaTheme="minorHAnsi" w:hAnsiTheme="minorHAnsi" w:cstheme="minorHAnsi"/>
          <w:i/>
          <w:sz w:val="22"/>
          <w:szCs w:val="22"/>
          <w:lang w:val="fr-FR"/>
        </w:rPr>
      </w:pPr>
      <w:r w:rsidRPr="00622732">
        <w:rPr>
          <w:rFonts w:asciiTheme="minorHAnsi" w:eastAsiaTheme="minorHAnsi" w:hAnsiTheme="minorHAnsi" w:cstheme="minorHAnsi"/>
          <w:i/>
          <w:sz w:val="22"/>
          <w:szCs w:val="22"/>
          <w:lang w:val="fr-FR"/>
        </w:rPr>
        <w:t xml:space="preserve">Collaboration </w:t>
      </w:r>
      <w:r w:rsidR="00622732" w:rsidRPr="00622732">
        <w:rPr>
          <w:rFonts w:asciiTheme="minorHAnsi" w:eastAsiaTheme="minorHAnsi" w:hAnsiTheme="minorHAnsi" w:cstheme="minorHAnsi"/>
          <w:i/>
          <w:sz w:val="22"/>
          <w:szCs w:val="22"/>
          <w:lang w:val="fr-FR"/>
        </w:rPr>
        <w:t xml:space="preserve">avec les organisations internationales partenaires </w:t>
      </w:r>
      <w:r w:rsidR="00622732">
        <w:rPr>
          <w:rFonts w:asciiTheme="minorHAnsi" w:eastAsiaTheme="minorHAnsi" w:hAnsiTheme="minorHAnsi" w:cstheme="minorHAnsi"/>
          <w:i/>
          <w:sz w:val="22"/>
          <w:szCs w:val="22"/>
          <w:lang w:val="fr-FR"/>
        </w:rPr>
        <w:t>(OIP)</w:t>
      </w:r>
    </w:p>
    <w:p w14:paraId="69376390" w14:textId="77777777" w:rsidR="007B47A7" w:rsidRPr="00622732" w:rsidRDefault="007B47A7" w:rsidP="00F61CAA">
      <w:pPr>
        <w:tabs>
          <w:tab w:val="left" w:pos="0"/>
        </w:tabs>
        <w:autoSpaceDE w:val="0"/>
        <w:autoSpaceDN w:val="0"/>
        <w:adjustRightInd w:val="0"/>
        <w:rPr>
          <w:rFonts w:asciiTheme="minorHAnsi" w:eastAsiaTheme="minorHAnsi" w:hAnsiTheme="minorHAnsi" w:cstheme="minorHAnsi"/>
          <w:i/>
          <w:sz w:val="22"/>
          <w:szCs w:val="22"/>
          <w:lang w:val="fr-FR"/>
        </w:rPr>
      </w:pPr>
    </w:p>
    <w:p w14:paraId="61419574" w14:textId="79246DE2" w:rsidR="006751E2" w:rsidRPr="006751E2" w:rsidRDefault="007B47A7" w:rsidP="006751E2">
      <w:pPr>
        <w:autoSpaceDE w:val="0"/>
        <w:autoSpaceDN w:val="0"/>
        <w:adjustRightInd w:val="0"/>
        <w:ind w:left="426" w:hanging="426"/>
        <w:rPr>
          <w:rFonts w:asciiTheme="minorHAnsi" w:eastAsiaTheme="minorHAnsi" w:hAnsiTheme="minorHAnsi" w:cstheme="minorHAnsi"/>
          <w:sz w:val="22"/>
          <w:szCs w:val="22"/>
          <w:lang w:val="fr-FR"/>
        </w:rPr>
      </w:pPr>
      <w:r w:rsidRPr="00AF6E5F">
        <w:rPr>
          <w:rFonts w:asciiTheme="minorHAnsi" w:eastAsiaTheme="minorHAnsi" w:hAnsiTheme="minorHAnsi" w:cstheme="minorHAnsi"/>
          <w:sz w:val="22"/>
          <w:szCs w:val="22"/>
          <w:lang w:val="fr-FR"/>
        </w:rPr>
        <w:t>42.</w:t>
      </w:r>
      <w:r w:rsidRPr="00AF6E5F">
        <w:rPr>
          <w:rFonts w:asciiTheme="minorHAnsi" w:eastAsiaTheme="minorHAnsi" w:hAnsiTheme="minorHAnsi" w:cstheme="minorHAnsi"/>
          <w:sz w:val="22"/>
          <w:szCs w:val="22"/>
          <w:lang w:val="fr-FR"/>
        </w:rPr>
        <w:tab/>
      </w:r>
      <w:r w:rsidR="006751E2" w:rsidRPr="006751E2">
        <w:rPr>
          <w:rFonts w:asciiTheme="minorHAnsi" w:eastAsiaTheme="minorHAnsi" w:hAnsiTheme="minorHAnsi" w:cstheme="minorHAnsi"/>
          <w:sz w:val="22"/>
          <w:szCs w:val="22"/>
          <w:lang w:val="fr-FR"/>
        </w:rPr>
        <w:t xml:space="preserve">Le Secrétariat continue de collaborer avec les OIP. Une réunion a été organisée en marge de la COP13 pour examiner la mise en œuvre des activités conjointes prévues dans le nouveau mémorandum de coopération. Au cours de cette réunion, il a été convenu de mener conjointement un certain nombre d'activités de communication, notamment des déclarations communes, la production de matériel pour la Journée mondiale des zones humides et la diffusion du rapport </w:t>
      </w:r>
      <w:r w:rsidR="006751E2" w:rsidRPr="006751E2">
        <w:rPr>
          <w:rFonts w:asciiTheme="minorHAnsi" w:eastAsiaTheme="minorHAnsi" w:hAnsiTheme="minorHAnsi" w:cstheme="minorHAnsi"/>
          <w:i/>
          <w:sz w:val="22"/>
          <w:szCs w:val="22"/>
          <w:lang w:val="fr-FR"/>
        </w:rPr>
        <w:t>Perspectives mondiales sur les zones humides</w:t>
      </w:r>
      <w:r w:rsidR="006751E2" w:rsidRPr="006751E2">
        <w:rPr>
          <w:rFonts w:asciiTheme="minorHAnsi" w:eastAsiaTheme="minorHAnsi" w:hAnsiTheme="minorHAnsi" w:cstheme="minorHAnsi"/>
          <w:sz w:val="22"/>
          <w:szCs w:val="22"/>
          <w:lang w:val="fr-FR"/>
        </w:rPr>
        <w:t>. Parmi les nouveaux domaines de collaboration figurent la promotion de la Convention dans les campagnes des OIP axées sur la visibilité et la mobilisation, les actions conjointes de sensibilisation visant le secteur privé</w:t>
      </w:r>
      <w:r w:rsidR="00EE5350">
        <w:rPr>
          <w:rFonts w:asciiTheme="minorHAnsi" w:eastAsiaTheme="minorHAnsi" w:hAnsiTheme="minorHAnsi" w:cstheme="minorHAnsi"/>
          <w:sz w:val="22"/>
          <w:szCs w:val="22"/>
          <w:lang w:val="fr-FR"/>
        </w:rPr>
        <w:t>,</w:t>
      </w:r>
      <w:r w:rsidR="006751E2" w:rsidRPr="006751E2">
        <w:rPr>
          <w:rFonts w:asciiTheme="minorHAnsi" w:eastAsiaTheme="minorHAnsi" w:hAnsiTheme="minorHAnsi" w:cstheme="minorHAnsi"/>
          <w:sz w:val="22"/>
          <w:szCs w:val="22"/>
          <w:lang w:val="fr-FR"/>
        </w:rPr>
        <w:t xml:space="preserve"> et une messagerie partagée sur l’après-2020. Une téléconférence de suivi a eu lieu le 8 mars 2019 pour évaluer les progrès réalisés et discuter des projets à venir.</w:t>
      </w:r>
    </w:p>
    <w:p w14:paraId="0CF38C7E" w14:textId="77777777" w:rsidR="007B47A7" w:rsidRPr="007B47A7" w:rsidRDefault="007B47A7" w:rsidP="007B47A7">
      <w:pPr>
        <w:autoSpaceDE w:val="0"/>
        <w:autoSpaceDN w:val="0"/>
        <w:adjustRightInd w:val="0"/>
        <w:ind w:left="426" w:hanging="426"/>
        <w:rPr>
          <w:rFonts w:asciiTheme="minorHAnsi" w:eastAsiaTheme="minorHAnsi" w:hAnsiTheme="minorHAnsi" w:cstheme="minorHAnsi"/>
          <w:sz w:val="22"/>
          <w:szCs w:val="22"/>
        </w:rPr>
      </w:pPr>
    </w:p>
    <w:p w14:paraId="2C28405D" w14:textId="5B2DCD15" w:rsidR="00D541A4" w:rsidRPr="00622732" w:rsidRDefault="00D541A4" w:rsidP="002B62C0">
      <w:pPr>
        <w:rPr>
          <w:rFonts w:asciiTheme="minorHAnsi" w:hAnsiTheme="minorHAnsi" w:cstheme="minorHAnsi"/>
          <w:i/>
          <w:sz w:val="22"/>
          <w:szCs w:val="22"/>
          <w:lang w:val="fr-FR"/>
        </w:rPr>
      </w:pPr>
      <w:r w:rsidRPr="00622732">
        <w:rPr>
          <w:rFonts w:asciiTheme="minorHAnsi" w:hAnsiTheme="minorHAnsi" w:cstheme="minorHAnsi"/>
          <w:i/>
          <w:sz w:val="22"/>
          <w:szCs w:val="22"/>
          <w:lang w:val="fr-FR"/>
        </w:rPr>
        <w:t xml:space="preserve">Collaboration </w:t>
      </w:r>
      <w:r w:rsidR="00622732" w:rsidRPr="00622732">
        <w:rPr>
          <w:rFonts w:asciiTheme="minorHAnsi" w:hAnsiTheme="minorHAnsi" w:cstheme="minorHAnsi"/>
          <w:i/>
          <w:sz w:val="22"/>
          <w:szCs w:val="22"/>
          <w:lang w:val="fr-FR"/>
        </w:rPr>
        <w:t xml:space="preserve">avec </w:t>
      </w:r>
      <w:r w:rsidR="00622732">
        <w:rPr>
          <w:rFonts w:asciiTheme="minorHAnsi" w:hAnsiTheme="minorHAnsi" w:cstheme="minorHAnsi"/>
          <w:i/>
          <w:sz w:val="22"/>
          <w:szCs w:val="22"/>
          <w:lang w:val="fr-FR"/>
        </w:rPr>
        <w:t xml:space="preserve">l’Union </w:t>
      </w:r>
      <w:r w:rsidR="00622732" w:rsidRPr="00622732">
        <w:rPr>
          <w:rFonts w:asciiTheme="minorHAnsi" w:hAnsiTheme="minorHAnsi" w:cstheme="minorHAnsi"/>
          <w:i/>
          <w:sz w:val="22"/>
          <w:szCs w:val="22"/>
          <w:lang w:val="fr-FR"/>
        </w:rPr>
        <w:t>internationale po</w:t>
      </w:r>
      <w:r w:rsidR="00EE5350">
        <w:rPr>
          <w:rFonts w:asciiTheme="minorHAnsi" w:hAnsiTheme="minorHAnsi" w:cstheme="minorHAnsi"/>
          <w:i/>
          <w:sz w:val="22"/>
          <w:szCs w:val="22"/>
          <w:lang w:val="fr-FR"/>
        </w:rPr>
        <w:t>ur la conservation de la nature (UICN)</w:t>
      </w:r>
    </w:p>
    <w:p w14:paraId="224EE20D" w14:textId="4742C093" w:rsidR="002C4A11" w:rsidRPr="00F61CAA" w:rsidRDefault="002C4A11" w:rsidP="00F61CAA">
      <w:pPr>
        <w:rPr>
          <w:rFonts w:asciiTheme="minorHAnsi" w:hAnsiTheme="minorHAnsi" w:cstheme="minorHAnsi"/>
          <w:i/>
          <w:sz w:val="22"/>
          <w:szCs w:val="22"/>
          <w:lang w:val="en-US"/>
        </w:rPr>
      </w:pPr>
    </w:p>
    <w:p w14:paraId="0FEE1933" w14:textId="2A25C49F" w:rsidR="00622732" w:rsidRPr="00622732" w:rsidRDefault="000615EE" w:rsidP="00746E6E">
      <w:pPr>
        <w:ind w:left="425" w:hanging="425"/>
        <w:rPr>
          <w:rFonts w:asciiTheme="minorHAnsi" w:hAnsiTheme="minorHAnsi" w:cstheme="minorHAnsi"/>
          <w:sz w:val="22"/>
          <w:szCs w:val="22"/>
          <w:lang w:val="fr-FR"/>
        </w:rPr>
      </w:pPr>
      <w:r w:rsidRPr="00622732">
        <w:rPr>
          <w:rFonts w:asciiTheme="minorHAnsi" w:hAnsiTheme="minorHAnsi" w:cstheme="minorHAnsi"/>
          <w:sz w:val="22"/>
          <w:szCs w:val="22"/>
          <w:lang w:val="fr-FR"/>
        </w:rPr>
        <w:t>43.</w:t>
      </w:r>
      <w:r w:rsidRPr="00622732">
        <w:rPr>
          <w:rFonts w:asciiTheme="minorHAnsi" w:hAnsiTheme="minorHAnsi" w:cstheme="minorHAnsi"/>
          <w:sz w:val="22"/>
          <w:szCs w:val="22"/>
          <w:lang w:val="fr-FR"/>
        </w:rPr>
        <w:tab/>
      </w:r>
      <w:r w:rsidR="00622732" w:rsidRPr="00622732">
        <w:rPr>
          <w:rFonts w:asciiTheme="minorHAnsi" w:hAnsiTheme="minorHAnsi" w:cstheme="minorHAnsi"/>
          <w:sz w:val="22"/>
          <w:szCs w:val="22"/>
          <w:lang w:val="fr-FR"/>
        </w:rPr>
        <w:t xml:space="preserve">Le Secrétariat continue de collaborer étroitement avec l'UICN dans le cadre des réunions annuelles du Groupe de liaison UICN/Ramsar pour soutenir le fonctionnement du Secrétariat, dans le cadre de l'accord de service entre la Ramsar et l'UICN. Des réunions régulières ont également lieu dans les différents domaines couverts par l’accord de service, par exemple, la </w:t>
      </w:r>
      <w:r w:rsidR="00622732" w:rsidRPr="00622732">
        <w:rPr>
          <w:rFonts w:asciiTheme="minorHAnsi" w:hAnsiTheme="minorHAnsi" w:cstheme="minorHAnsi"/>
          <w:sz w:val="22"/>
          <w:szCs w:val="22"/>
          <w:lang w:val="fr-FR"/>
        </w:rPr>
        <w:lastRenderedPageBreak/>
        <w:t xml:space="preserve">gestion financière. Dans le cadre de cette coopération, l’Unité de surveillance de l’UICN </w:t>
      </w:r>
      <w:r w:rsidR="00EE5350">
        <w:rPr>
          <w:rFonts w:asciiTheme="minorHAnsi" w:hAnsiTheme="minorHAnsi" w:cstheme="minorHAnsi"/>
          <w:sz w:val="22"/>
          <w:szCs w:val="22"/>
          <w:lang w:val="fr-FR"/>
        </w:rPr>
        <w:t xml:space="preserve">a </w:t>
      </w:r>
      <w:r w:rsidR="00E800CA">
        <w:rPr>
          <w:rFonts w:asciiTheme="minorHAnsi" w:hAnsiTheme="minorHAnsi" w:cstheme="minorHAnsi"/>
          <w:sz w:val="22"/>
          <w:szCs w:val="22"/>
          <w:lang w:val="fr-FR"/>
        </w:rPr>
        <w:t xml:space="preserve">procédé à un examen des </w:t>
      </w:r>
      <w:r w:rsidR="00622732" w:rsidRPr="00622732">
        <w:rPr>
          <w:rFonts w:asciiTheme="minorHAnsi" w:hAnsiTheme="minorHAnsi" w:cstheme="minorHAnsi"/>
          <w:sz w:val="22"/>
          <w:szCs w:val="22"/>
          <w:lang w:val="fr-FR"/>
        </w:rPr>
        <w:t xml:space="preserve">ressources </w:t>
      </w:r>
      <w:r w:rsidR="00423BB6">
        <w:rPr>
          <w:rFonts w:asciiTheme="minorHAnsi" w:hAnsiTheme="minorHAnsi" w:cstheme="minorHAnsi"/>
          <w:sz w:val="22"/>
          <w:szCs w:val="22"/>
          <w:lang w:val="fr-FR"/>
        </w:rPr>
        <w:t>non administratives</w:t>
      </w:r>
      <w:r w:rsidR="00EE5350">
        <w:rPr>
          <w:rFonts w:asciiTheme="minorHAnsi" w:hAnsiTheme="minorHAnsi" w:cstheme="minorHAnsi"/>
          <w:sz w:val="22"/>
          <w:szCs w:val="22"/>
          <w:lang w:val="fr-FR"/>
        </w:rPr>
        <w:t>,</w:t>
      </w:r>
      <w:r w:rsidR="00423BB6">
        <w:rPr>
          <w:rFonts w:asciiTheme="minorHAnsi" w:hAnsiTheme="minorHAnsi" w:cstheme="minorHAnsi"/>
          <w:sz w:val="22"/>
          <w:szCs w:val="22"/>
          <w:lang w:val="fr-FR"/>
        </w:rPr>
        <w:t xml:space="preserve"> </w:t>
      </w:r>
      <w:r w:rsidR="00E800CA">
        <w:rPr>
          <w:rFonts w:asciiTheme="minorHAnsi" w:hAnsiTheme="minorHAnsi" w:cstheme="minorHAnsi"/>
          <w:sz w:val="22"/>
          <w:szCs w:val="22"/>
          <w:lang w:val="fr-FR"/>
        </w:rPr>
        <w:t>demandé</w:t>
      </w:r>
      <w:r w:rsidR="00622732" w:rsidRPr="00622732">
        <w:rPr>
          <w:rFonts w:asciiTheme="minorHAnsi" w:hAnsiTheme="minorHAnsi" w:cstheme="minorHAnsi"/>
          <w:sz w:val="22"/>
          <w:szCs w:val="22"/>
          <w:lang w:val="fr-FR"/>
        </w:rPr>
        <w:t xml:space="preserve"> par le Comité permanent et </w:t>
      </w:r>
      <w:r w:rsidR="00E800CA">
        <w:rPr>
          <w:rFonts w:asciiTheme="minorHAnsi" w:hAnsiTheme="minorHAnsi" w:cstheme="minorHAnsi"/>
          <w:sz w:val="22"/>
          <w:szCs w:val="22"/>
          <w:lang w:val="fr-FR"/>
        </w:rPr>
        <w:t xml:space="preserve">soumis </w:t>
      </w:r>
      <w:r w:rsidR="00622732" w:rsidRPr="00622732">
        <w:rPr>
          <w:rFonts w:asciiTheme="minorHAnsi" w:hAnsiTheme="minorHAnsi" w:cstheme="minorHAnsi"/>
          <w:sz w:val="22"/>
          <w:szCs w:val="22"/>
          <w:lang w:val="fr-FR"/>
        </w:rPr>
        <w:t xml:space="preserve">à celui-ci. La collaboration </w:t>
      </w:r>
      <w:r w:rsidR="00E800CA">
        <w:rPr>
          <w:rFonts w:asciiTheme="minorHAnsi" w:hAnsiTheme="minorHAnsi" w:cstheme="minorHAnsi"/>
          <w:sz w:val="22"/>
          <w:szCs w:val="22"/>
          <w:lang w:val="fr-FR"/>
        </w:rPr>
        <w:t>entre les programmes</w:t>
      </w:r>
      <w:r w:rsidR="00622732" w:rsidRPr="00622732">
        <w:rPr>
          <w:rFonts w:asciiTheme="minorHAnsi" w:hAnsiTheme="minorHAnsi" w:cstheme="minorHAnsi"/>
          <w:sz w:val="22"/>
          <w:szCs w:val="22"/>
          <w:lang w:val="fr-FR"/>
        </w:rPr>
        <w:t xml:space="preserve"> </w:t>
      </w:r>
      <w:r w:rsidR="00E800CA">
        <w:rPr>
          <w:rFonts w:asciiTheme="minorHAnsi" w:hAnsiTheme="minorHAnsi" w:cstheme="minorHAnsi"/>
          <w:sz w:val="22"/>
          <w:szCs w:val="22"/>
          <w:lang w:val="fr-FR"/>
        </w:rPr>
        <w:t xml:space="preserve">se déroule </w:t>
      </w:r>
      <w:r w:rsidR="00622732" w:rsidRPr="00622732">
        <w:rPr>
          <w:rFonts w:asciiTheme="minorHAnsi" w:hAnsiTheme="minorHAnsi" w:cstheme="minorHAnsi"/>
          <w:sz w:val="22"/>
          <w:szCs w:val="22"/>
          <w:lang w:val="fr-FR"/>
        </w:rPr>
        <w:t>également dans le contexte du travail des Organisations internationales partenaires (OIP) ci-dessus.</w:t>
      </w:r>
    </w:p>
    <w:p w14:paraId="69D4A1FE" w14:textId="77777777" w:rsidR="00423BB6" w:rsidRPr="00F61CAA" w:rsidRDefault="00423BB6" w:rsidP="00746E6E">
      <w:pPr>
        <w:ind w:left="425" w:hanging="425"/>
        <w:rPr>
          <w:rFonts w:asciiTheme="minorHAnsi" w:hAnsiTheme="minorHAnsi" w:cstheme="minorHAnsi"/>
          <w:i/>
          <w:sz w:val="22"/>
          <w:szCs w:val="22"/>
        </w:rPr>
      </w:pPr>
    </w:p>
    <w:sectPr w:rsidR="00423BB6" w:rsidRPr="00F61CAA" w:rsidSect="00024CE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0EA0" w14:textId="77777777" w:rsidR="0029679F" w:rsidRDefault="0029679F" w:rsidP="00024CE2">
      <w:r>
        <w:separator/>
      </w:r>
    </w:p>
  </w:endnote>
  <w:endnote w:type="continuationSeparator" w:id="0">
    <w:p w14:paraId="06CC5E79" w14:textId="77777777" w:rsidR="0029679F" w:rsidRDefault="0029679F"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E1E9" w14:textId="097A4B4C" w:rsidR="00D450EA" w:rsidRPr="00024CE2" w:rsidRDefault="00D450EA" w:rsidP="00E05123">
    <w:pPr>
      <w:pStyle w:val="Footer"/>
      <w:tabs>
        <w:tab w:val="clear" w:pos="9360"/>
        <w:tab w:val="right" w:pos="8931"/>
      </w:tabs>
      <w:rPr>
        <w:rFonts w:asciiTheme="minorHAnsi" w:hAnsiTheme="minorHAnsi" w:cstheme="minorHAnsi"/>
        <w:sz w:val="20"/>
        <w:szCs w:val="20"/>
      </w:rPr>
    </w:pPr>
    <w:r w:rsidRPr="00024CE2">
      <w:rPr>
        <w:rFonts w:asciiTheme="minorHAnsi" w:hAnsiTheme="minorHAnsi" w:cstheme="minorHAnsi"/>
        <w:sz w:val="20"/>
        <w:szCs w:val="20"/>
      </w:rPr>
      <w:t>SC57 Doc.17</w:t>
    </w:r>
    <w:r w:rsidRPr="00024CE2">
      <w:rPr>
        <w:rFonts w:asciiTheme="minorHAnsi" w:hAnsiTheme="minorHAnsi" w:cstheme="minorHAnsi"/>
        <w:sz w:val="20"/>
        <w:szCs w:val="20"/>
      </w:rPr>
      <w:tab/>
    </w:r>
    <w:r w:rsidRPr="00024CE2">
      <w:rPr>
        <w:rFonts w:asciiTheme="minorHAnsi" w:hAnsiTheme="minorHAnsi" w:cstheme="minorHAnsi"/>
        <w:sz w:val="20"/>
        <w:szCs w:val="20"/>
      </w:rPr>
      <w:tab/>
    </w:r>
    <w:r w:rsidRPr="00024CE2">
      <w:rPr>
        <w:rFonts w:asciiTheme="minorHAnsi" w:hAnsiTheme="minorHAnsi" w:cstheme="minorHAnsi"/>
        <w:sz w:val="20"/>
        <w:szCs w:val="20"/>
      </w:rPr>
      <w:fldChar w:fldCharType="begin"/>
    </w:r>
    <w:r w:rsidRPr="00024CE2">
      <w:rPr>
        <w:rFonts w:asciiTheme="minorHAnsi" w:hAnsiTheme="minorHAnsi" w:cstheme="minorHAnsi"/>
        <w:sz w:val="20"/>
        <w:szCs w:val="20"/>
      </w:rPr>
      <w:instrText xml:space="preserve"> PAGE   \* MERGEFORMAT </w:instrText>
    </w:r>
    <w:r w:rsidRPr="00024CE2">
      <w:rPr>
        <w:rFonts w:asciiTheme="minorHAnsi" w:hAnsiTheme="minorHAnsi" w:cstheme="minorHAnsi"/>
        <w:sz w:val="20"/>
        <w:szCs w:val="20"/>
      </w:rPr>
      <w:fldChar w:fldCharType="separate"/>
    </w:r>
    <w:r w:rsidR="00E05123">
      <w:rPr>
        <w:rFonts w:asciiTheme="minorHAnsi" w:hAnsiTheme="minorHAnsi" w:cstheme="minorHAnsi"/>
        <w:noProof/>
        <w:sz w:val="20"/>
        <w:szCs w:val="20"/>
      </w:rPr>
      <w:t>4</w:t>
    </w:r>
    <w:r w:rsidRPr="00024CE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D275" w14:textId="77777777" w:rsidR="0029679F" w:rsidRDefault="0029679F" w:rsidP="00024CE2">
      <w:r>
        <w:separator/>
      </w:r>
    </w:p>
  </w:footnote>
  <w:footnote w:type="continuationSeparator" w:id="0">
    <w:p w14:paraId="57ED5619" w14:textId="77777777" w:rsidR="0029679F" w:rsidRDefault="0029679F" w:rsidP="0002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4"/>
  </w:num>
  <w:num w:numId="4">
    <w:abstractNumId w:val="13"/>
  </w:num>
  <w:num w:numId="5">
    <w:abstractNumId w:val="12"/>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5"/>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23"/>
  </w:num>
  <w:num w:numId="15">
    <w:abstractNumId w:val="4"/>
  </w:num>
  <w:num w:numId="16">
    <w:abstractNumId w:val="21"/>
  </w:num>
  <w:num w:numId="17">
    <w:abstractNumId w:val="2"/>
  </w:num>
  <w:num w:numId="18">
    <w:abstractNumId w:val="17"/>
  </w:num>
  <w:num w:numId="19">
    <w:abstractNumId w:val="3"/>
  </w:num>
  <w:num w:numId="20">
    <w:abstractNumId w:val="10"/>
  </w:num>
  <w:num w:numId="21">
    <w:abstractNumId w:val="8"/>
  </w:num>
  <w:num w:numId="22">
    <w:abstractNumId w:val="14"/>
  </w:num>
  <w:num w:numId="23">
    <w:abstractNumId w:val="25"/>
  </w:num>
  <w:num w:numId="24">
    <w:abstractNumId w:val="18"/>
  </w:num>
  <w:num w:numId="25">
    <w:abstractNumId w:val="7"/>
  </w:num>
  <w:num w:numId="26">
    <w:abstractNumId w:val="22"/>
  </w:num>
  <w:num w:numId="27">
    <w:abstractNumId w:val="26"/>
  </w:num>
  <w:num w:numId="28">
    <w:abstractNumId w:val="6"/>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A"/>
    <w:rsid w:val="00005B9E"/>
    <w:rsid w:val="00006D1A"/>
    <w:rsid w:val="00012B9F"/>
    <w:rsid w:val="00015CEE"/>
    <w:rsid w:val="00020204"/>
    <w:rsid w:val="00020FEE"/>
    <w:rsid w:val="00021462"/>
    <w:rsid w:val="00021A83"/>
    <w:rsid w:val="00021AA7"/>
    <w:rsid w:val="00021E7A"/>
    <w:rsid w:val="00024CE2"/>
    <w:rsid w:val="00030B12"/>
    <w:rsid w:val="000362FC"/>
    <w:rsid w:val="000536B9"/>
    <w:rsid w:val="00057B56"/>
    <w:rsid w:val="000615EE"/>
    <w:rsid w:val="000719D6"/>
    <w:rsid w:val="00087ACA"/>
    <w:rsid w:val="00091CB9"/>
    <w:rsid w:val="00093706"/>
    <w:rsid w:val="00093B5A"/>
    <w:rsid w:val="000976A1"/>
    <w:rsid w:val="000A0112"/>
    <w:rsid w:val="000A7E08"/>
    <w:rsid w:val="000B431D"/>
    <w:rsid w:val="000C0879"/>
    <w:rsid w:val="000C7757"/>
    <w:rsid w:val="000D251A"/>
    <w:rsid w:val="000E2598"/>
    <w:rsid w:val="001011BF"/>
    <w:rsid w:val="001036C8"/>
    <w:rsid w:val="001116E3"/>
    <w:rsid w:val="001116E9"/>
    <w:rsid w:val="00116E83"/>
    <w:rsid w:val="001213E2"/>
    <w:rsid w:val="001662BD"/>
    <w:rsid w:val="00192363"/>
    <w:rsid w:val="001974D4"/>
    <w:rsid w:val="001A4A24"/>
    <w:rsid w:val="001B79E3"/>
    <w:rsid w:val="001C4F23"/>
    <w:rsid w:val="001C6B44"/>
    <w:rsid w:val="001D2BE9"/>
    <w:rsid w:val="001E1E33"/>
    <w:rsid w:val="001F7288"/>
    <w:rsid w:val="002031DE"/>
    <w:rsid w:val="00211D8C"/>
    <w:rsid w:val="00224DF1"/>
    <w:rsid w:val="002274D9"/>
    <w:rsid w:val="00252ED7"/>
    <w:rsid w:val="002664DD"/>
    <w:rsid w:val="00267B55"/>
    <w:rsid w:val="00274B24"/>
    <w:rsid w:val="002963B0"/>
    <w:rsid w:val="0029679F"/>
    <w:rsid w:val="002B2A59"/>
    <w:rsid w:val="002B2FD8"/>
    <w:rsid w:val="002B49E9"/>
    <w:rsid w:val="002B62C0"/>
    <w:rsid w:val="002C0D69"/>
    <w:rsid w:val="002C13CB"/>
    <w:rsid w:val="002C4A11"/>
    <w:rsid w:val="002C4A6C"/>
    <w:rsid w:val="002C7214"/>
    <w:rsid w:val="002D17AE"/>
    <w:rsid w:val="002D5696"/>
    <w:rsid w:val="002E6D07"/>
    <w:rsid w:val="002F3514"/>
    <w:rsid w:val="00304A95"/>
    <w:rsid w:val="00313266"/>
    <w:rsid w:val="003265A8"/>
    <w:rsid w:val="00345BA5"/>
    <w:rsid w:val="003463B8"/>
    <w:rsid w:val="0035499B"/>
    <w:rsid w:val="00356F19"/>
    <w:rsid w:val="00356F3D"/>
    <w:rsid w:val="00393CD5"/>
    <w:rsid w:val="003A2287"/>
    <w:rsid w:val="003B1C61"/>
    <w:rsid w:val="003C2550"/>
    <w:rsid w:val="003C6EDA"/>
    <w:rsid w:val="003E490E"/>
    <w:rsid w:val="003F53C3"/>
    <w:rsid w:val="00407BF6"/>
    <w:rsid w:val="00410532"/>
    <w:rsid w:val="004167A5"/>
    <w:rsid w:val="004236C4"/>
    <w:rsid w:val="00423BB6"/>
    <w:rsid w:val="00425CB2"/>
    <w:rsid w:val="004322F9"/>
    <w:rsid w:val="00437BE5"/>
    <w:rsid w:val="004406EB"/>
    <w:rsid w:val="00463481"/>
    <w:rsid w:val="004725E5"/>
    <w:rsid w:val="00487526"/>
    <w:rsid w:val="004B6ED5"/>
    <w:rsid w:val="004D3B63"/>
    <w:rsid w:val="00501908"/>
    <w:rsid w:val="0051059E"/>
    <w:rsid w:val="0051191A"/>
    <w:rsid w:val="00527E76"/>
    <w:rsid w:val="00531397"/>
    <w:rsid w:val="005333F1"/>
    <w:rsid w:val="00550408"/>
    <w:rsid w:val="005733F9"/>
    <w:rsid w:val="00574ABB"/>
    <w:rsid w:val="00591DAC"/>
    <w:rsid w:val="005A0023"/>
    <w:rsid w:val="005A147C"/>
    <w:rsid w:val="005A4DF7"/>
    <w:rsid w:val="005B59A3"/>
    <w:rsid w:val="005C097F"/>
    <w:rsid w:val="005C580F"/>
    <w:rsid w:val="005E62C2"/>
    <w:rsid w:val="005F096B"/>
    <w:rsid w:val="0060504C"/>
    <w:rsid w:val="00622732"/>
    <w:rsid w:val="00627527"/>
    <w:rsid w:val="0063261F"/>
    <w:rsid w:val="006450E9"/>
    <w:rsid w:val="00646B27"/>
    <w:rsid w:val="00656C54"/>
    <w:rsid w:val="00672CD2"/>
    <w:rsid w:val="006751E2"/>
    <w:rsid w:val="00687418"/>
    <w:rsid w:val="006B32FF"/>
    <w:rsid w:val="006C1199"/>
    <w:rsid w:val="006D077E"/>
    <w:rsid w:val="006D482F"/>
    <w:rsid w:val="006D75C8"/>
    <w:rsid w:val="006E6285"/>
    <w:rsid w:val="006F7F7E"/>
    <w:rsid w:val="007246FA"/>
    <w:rsid w:val="00730E7E"/>
    <w:rsid w:val="00745EE6"/>
    <w:rsid w:val="00746E6E"/>
    <w:rsid w:val="00761531"/>
    <w:rsid w:val="00771DB0"/>
    <w:rsid w:val="00785702"/>
    <w:rsid w:val="00791680"/>
    <w:rsid w:val="007922A2"/>
    <w:rsid w:val="007924ED"/>
    <w:rsid w:val="00792827"/>
    <w:rsid w:val="007B3B44"/>
    <w:rsid w:val="007B47A7"/>
    <w:rsid w:val="007B4956"/>
    <w:rsid w:val="007B5859"/>
    <w:rsid w:val="007E1684"/>
    <w:rsid w:val="007F6146"/>
    <w:rsid w:val="008057FB"/>
    <w:rsid w:val="00810F19"/>
    <w:rsid w:val="00811640"/>
    <w:rsid w:val="00814875"/>
    <w:rsid w:val="0081550C"/>
    <w:rsid w:val="00823232"/>
    <w:rsid w:val="008534BA"/>
    <w:rsid w:val="008550C8"/>
    <w:rsid w:val="00863119"/>
    <w:rsid w:val="00863775"/>
    <w:rsid w:val="00866AB4"/>
    <w:rsid w:val="00870CF3"/>
    <w:rsid w:val="00875234"/>
    <w:rsid w:val="008758DD"/>
    <w:rsid w:val="008940DE"/>
    <w:rsid w:val="008A3AE7"/>
    <w:rsid w:val="008B4CFE"/>
    <w:rsid w:val="008C32A1"/>
    <w:rsid w:val="008D3C9C"/>
    <w:rsid w:val="008E052A"/>
    <w:rsid w:val="008F33A3"/>
    <w:rsid w:val="00902AB2"/>
    <w:rsid w:val="00903903"/>
    <w:rsid w:val="00903B94"/>
    <w:rsid w:val="009068C1"/>
    <w:rsid w:val="00917080"/>
    <w:rsid w:val="009176D9"/>
    <w:rsid w:val="00923221"/>
    <w:rsid w:val="00931B12"/>
    <w:rsid w:val="00933882"/>
    <w:rsid w:val="00936A56"/>
    <w:rsid w:val="00955E29"/>
    <w:rsid w:val="009561DD"/>
    <w:rsid w:val="00962081"/>
    <w:rsid w:val="0096533D"/>
    <w:rsid w:val="009901DE"/>
    <w:rsid w:val="009A336A"/>
    <w:rsid w:val="009B055A"/>
    <w:rsid w:val="009C7BBF"/>
    <w:rsid w:val="009D77D5"/>
    <w:rsid w:val="009E22C1"/>
    <w:rsid w:val="009E4468"/>
    <w:rsid w:val="00A009AE"/>
    <w:rsid w:val="00A053B8"/>
    <w:rsid w:val="00A117DF"/>
    <w:rsid w:val="00A150B3"/>
    <w:rsid w:val="00A30C6A"/>
    <w:rsid w:val="00A33238"/>
    <w:rsid w:val="00A37A4F"/>
    <w:rsid w:val="00A47D98"/>
    <w:rsid w:val="00A52667"/>
    <w:rsid w:val="00A65EE8"/>
    <w:rsid w:val="00A7527D"/>
    <w:rsid w:val="00A7600C"/>
    <w:rsid w:val="00A967F6"/>
    <w:rsid w:val="00AA2B27"/>
    <w:rsid w:val="00AB0DF5"/>
    <w:rsid w:val="00AC2490"/>
    <w:rsid w:val="00AD3732"/>
    <w:rsid w:val="00AD4E6A"/>
    <w:rsid w:val="00AE62F4"/>
    <w:rsid w:val="00AF2D1F"/>
    <w:rsid w:val="00AF62C4"/>
    <w:rsid w:val="00AF6E5F"/>
    <w:rsid w:val="00B04A72"/>
    <w:rsid w:val="00B2005A"/>
    <w:rsid w:val="00B22B80"/>
    <w:rsid w:val="00B25C30"/>
    <w:rsid w:val="00B27A1A"/>
    <w:rsid w:val="00B32A29"/>
    <w:rsid w:val="00B47B7D"/>
    <w:rsid w:val="00B532F8"/>
    <w:rsid w:val="00B55BB8"/>
    <w:rsid w:val="00B64CAF"/>
    <w:rsid w:val="00B660E1"/>
    <w:rsid w:val="00B707D0"/>
    <w:rsid w:val="00B955A2"/>
    <w:rsid w:val="00B95B3B"/>
    <w:rsid w:val="00BB0BE9"/>
    <w:rsid w:val="00BC4862"/>
    <w:rsid w:val="00BC52CB"/>
    <w:rsid w:val="00BE0B1E"/>
    <w:rsid w:val="00BE55FC"/>
    <w:rsid w:val="00BF12C2"/>
    <w:rsid w:val="00BF5C59"/>
    <w:rsid w:val="00C1728B"/>
    <w:rsid w:val="00C20E42"/>
    <w:rsid w:val="00C21DD0"/>
    <w:rsid w:val="00C22B32"/>
    <w:rsid w:val="00C23AA3"/>
    <w:rsid w:val="00C23CAC"/>
    <w:rsid w:val="00C26C01"/>
    <w:rsid w:val="00C31071"/>
    <w:rsid w:val="00C479F6"/>
    <w:rsid w:val="00C54BD0"/>
    <w:rsid w:val="00C60C7A"/>
    <w:rsid w:val="00C67500"/>
    <w:rsid w:val="00C700EB"/>
    <w:rsid w:val="00C71C89"/>
    <w:rsid w:val="00C84F13"/>
    <w:rsid w:val="00C879A7"/>
    <w:rsid w:val="00C9192F"/>
    <w:rsid w:val="00C91A71"/>
    <w:rsid w:val="00C94FAB"/>
    <w:rsid w:val="00C971A1"/>
    <w:rsid w:val="00CA331E"/>
    <w:rsid w:val="00CB221E"/>
    <w:rsid w:val="00CB47E3"/>
    <w:rsid w:val="00CB6DFF"/>
    <w:rsid w:val="00CC10BE"/>
    <w:rsid w:val="00CC43DE"/>
    <w:rsid w:val="00CC5813"/>
    <w:rsid w:val="00CC5FA8"/>
    <w:rsid w:val="00CD6047"/>
    <w:rsid w:val="00CE2C96"/>
    <w:rsid w:val="00CE33BE"/>
    <w:rsid w:val="00D043D3"/>
    <w:rsid w:val="00D049ED"/>
    <w:rsid w:val="00D051A5"/>
    <w:rsid w:val="00D10431"/>
    <w:rsid w:val="00D140C3"/>
    <w:rsid w:val="00D15EA6"/>
    <w:rsid w:val="00D2534E"/>
    <w:rsid w:val="00D269A6"/>
    <w:rsid w:val="00D30AA2"/>
    <w:rsid w:val="00D32E07"/>
    <w:rsid w:val="00D32E9F"/>
    <w:rsid w:val="00D34E63"/>
    <w:rsid w:val="00D450EA"/>
    <w:rsid w:val="00D541A4"/>
    <w:rsid w:val="00D5788B"/>
    <w:rsid w:val="00D64B39"/>
    <w:rsid w:val="00D66098"/>
    <w:rsid w:val="00D80337"/>
    <w:rsid w:val="00D96CB7"/>
    <w:rsid w:val="00DC0723"/>
    <w:rsid w:val="00DC63E9"/>
    <w:rsid w:val="00DD4547"/>
    <w:rsid w:val="00DE5CCC"/>
    <w:rsid w:val="00DE7757"/>
    <w:rsid w:val="00DF0135"/>
    <w:rsid w:val="00DF29E3"/>
    <w:rsid w:val="00E05123"/>
    <w:rsid w:val="00E10493"/>
    <w:rsid w:val="00E20027"/>
    <w:rsid w:val="00E22523"/>
    <w:rsid w:val="00E2607F"/>
    <w:rsid w:val="00E31F1D"/>
    <w:rsid w:val="00E42488"/>
    <w:rsid w:val="00E4659B"/>
    <w:rsid w:val="00E64BB7"/>
    <w:rsid w:val="00E800CA"/>
    <w:rsid w:val="00EA2BCD"/>
    <w:rsid w:val="00EA47A1"/>
    <w:rsid w:val="00EA7726"/>
    <w:rsid w:val="00EB0043"/>
    <w:rsid w:val="00EB1FF6"/>
    <w:rsid w:val="00ED4E0A"/>
    <w:rsid w:val="00EE499A"/>
    <w:rsid w:val="00EE5350"/>
    <w:rsid w:val="00F00555"/>
    <w:rsid w:val="00F01E27"/>
    <w:rsid w:val="00F04713"/>
    <w:rsid w:val="00F070BC"/>
    <w:rsid w:val="00F1714F"/>
    <w:rsid w:val="00F25034"/>
    <w:rsid w:val="00F278BD"/>
    <w:rsid w:val="00F35BF0"/>
    <w:rsid w:val="00F47223"/>
    <w:rsid w:val="00F47415"/>
    <w:rsid w:val="00F5164F"/>
    <w:rsid w:val="00F57BED"/>
    <w:rsid w:val="00F61CAA"/>
    <w:rsid w:val="00F65B13"/>
    <w:rsid w:val="00F71C60"/>
    <w:rsid w:val="00F744A4"/>
    <w:rsid w:val="00F745EA"/>
    <w:rsid w:val="00F945B2"/>
    <w:rsid w:val="00FB1FCA"/>
    <w:rsid w:val="00FB3C40"/>
    <w:rsid w:val="00FC69BA"/>
    <w:rsid w:val="00FD5104"/>
    <w:rsid w:val="00FE3249"/>
    <w:rsid w:val="00FE6DFC"/>
    <w:rsid w:val="00FF010B"/>
    <w:rsid w:val="00FF1540"/>
    <w:rsid w:val="00FF4505"/>
    <w:rsid w:val="00FF6743"/>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507"/>
  <w15:docId w15:val="{8D0F3D87-B76B-45EA-AB5E-AFC8760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ormea.org/en/event/13th-meeting-conference-par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4198</Words>
  <Characters>23929</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3</cp:revision>
  <cp:lastPrinted>2019-03-29T17:32:00Z</cp:lastPrinted>
  <dcterms:created xsi:type="dcterms:W3CDTF">2019-04-08T08:25:00Z</dcterms:created>
  <dcterms:modified xsi:type="dcterms:W3CDTF">2019-04-08T08:25:00Z</dcterms:modified>
</cp:coreProperties>
</file>