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8926" w14:textId="3EAB11E4" w:rsidR="00275F13" w:rsidRPr="00D130B4" w:rsidRDefault="00DF2386" w:rsidP="001B4DD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left="0" w:right="3214" w:firstLine="0"/>
        <w:rPr>
          <w:bCs/>
          <w:sz w:val="24"/>
          <w:szCs w:val="24"/>
          <w:lang w:val="fr-FR"/>
        </w:rPr>
      </w:pPr>
      <w:r w:rsidRPr="00D130B4">
        <w:rPr>
          <w:bCs/>
          <w:sz w:val="24"/>
          <w:szCs w:val="24"/>
          <w:lang w:val="fr-FR"/>
        </w:rPr>
        <w:t xml:space="preserve">CONVENTION </w:t>
      </w:r>
      <w:r w:rsidR="003513CC" w:rsidRPr="00D130B4">
        <w:rPr>
          <w:bCs/>
          <w:sz w:val="24"/>
          <w:szCs w:val="24"/>
          <w:lang w:val="fr-FR"/>
        </w:rPr>
        <w:t>DE RAMSAR SUR LES ZONES HUMIDES</w:t>
      </w:r>
      <w:r w:rsidRPr="00D130B4">
        <w:rPr>
          <w:bCs/>
          <w:sz w:val="24"/>
          <w:szCs w:val="24"/>
          <w:lang w:val="fr-FR"/>
        </w:rPr>
        <w:t xml:space="preserve"> </w:t>
      </w:r>
    </w:p>
    <w:p w14:paraId="7C9862D9" w14:textId="77777777" w:rsidR="00DF2386" w:rsidRPr="003513CC" w:rsidRDefault="00DF2386" w:rsidP="008B55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fr-FR"/>
        </w:rPr>
      </w:pPr>
      <w:r w:rsidRPr="003513CC">
        <w:rPr>
          <w:bCs/>
          <w:sz w:val="24"/>
          <w:szCs w:val="24"/>
          <w:lang w:val="fr-FR"/>
        </w:rPr>
        <w:t>5</w:t>
      </w:r>
      <w:r w:rsidR="002F6155" w:rsidRPr="003513CC">
        <w:rPr>
          <w:bCs/>
          <w:sz w:val="24"/>
          <w:szCs w:val="24"/>
          <w:lang w:val="fr-FR"/>
        </w:rPr>
        <w:t>7</w:t>
      </w:r>
      <w:r w:rsidR="006411D1" w:rsidRPr="006411D1">
        <w:rPr>
          <w:bCs/>
          <w:sz w:val="24"/>
          <w:szCs w:val="24"/>
          <w:vertAlign w:val="superscript"/>
          <w:lang w:val="fr-FR"/>
        </w:rPr>
        <w:t>e</w:t>
      </w:r>
      <w:r w:rsidR="006411D1">
        <w:rPr>
          <w:bCs/>
          <w:sz w:val="24"/>
          <w:szCs w:val="24"/>
          <w:lang w:val="fr-FR"/>
        </w:rPr>
        <w:t xml:space="preserve"> </w:t>
      </w:r>
      <w:r w:rsidR="003513CC">
        <w:rPr>
          <w:bCs/>
          <w:sz w:val="24"/>
          <w:szCs w:val="24"/>
          <w:lang w:val="fr-FR"/>
        </w:rPr>
        <w:t xml:space="preserve">Réunion du Comité permanent </w:t>
      </w:r>
    </w:p>
    <w:p w14:paraId="7D151C55" w14:textId="77777777" w:rsidR="00DF2386" w:rsidRPr="003513CC" w:rsidRDefault="00DF2386" w:rsidP="008B55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fr-FR"/>
        </w:rPr>
      </w:pPr>
      <w:r w:rsidRPr="003513CC">
        <w:rPr>
          <w:bCs/>
          <w:sz w:val="24"/>
          <w:szCs w:val="24"/>
          <w:lang w:val="fr-FR"/>
        </w:rPr>
        <w:t xml:space="preserve">Gland, </w:t>
      </w:r>
      <w:r w:rsidR="003513CC">
        <w:rPr>
          <w:bCs/>
          <w:sz w:val="24"/>
          <w:szCs w:val="24"/>
          <w:lang w:val="fr-FR"/>
        </w:rPr>
        <w:t>Suisse</w:t>
      </w:r>
      <w:r w:rsidRPr="003513CC">
        <w:rPr>
          <w:bCs/>
          <w:sz w:val="24"/>
          <w:szCs w:val="24"/>
          <w:lang w:val="fr-FR"/>
        </w:rPr>
        <w:t>, 2</w:t>
      </w:r>
      <w:r w:rsidR="00C0528F" w:rsidRPr="003513CC">
        <w:rPr>
          <w:bCs/>
          <w:sz w:val="24"/>
          <w:szCs w:val="24"/>
          <w:lang w:val="fr-FR"/>
        </w:rPr>
        <w:t>4</w:t>
      </w:r>
      <w:r w:rsidR="00275F13" w:rsidRPr="003513CC">
        <w:rPr>
          <w:bCs/>
          <w:sz w:val="24"/>
          <w:szCs w:val="24"/>
          <w:lang w:val="fr-FR"/>
        </w:rPr>
        <w:t xml:space="preserve"> </w:t>
      </w:r>
      <w:r w:rsidRPr="003513CC">
        <w:rPr>
          <w:bCs/>
          <w:sz w:val="24"/>
          <w:szCs w:val="24"/>
          <w:lang w:val="fr-FR"/>
        </w:rPr>
        <w:t>– 2</w:t>
      </w:r>
      <w:r w:rsidR="00C0528F" w:rsidRPr="003513CC">
        <w:rPr>
          <w:bCs/>
          <w:sz w:val="24"/>
          <w:szCs w:val="24"/>
          <w:lang w:val="fr-FR"/>
        </w:rPr>
        <w:t>8</w:t>
      </w:r>
      <w:r w:rsidRPr="003513CC">
        <w:rPr>
          <w:bCs/>
          <w:sz w:val="24"/>
          <w:szCs w:val="24"/>
          <w:lang w:val="fr-FR"/>
        </w:rPr>
        <w:t xml:space="preserve"> </w:t>
      </w:r>
      <w:r w:rsidR="003513CC">
        <w:rPr>
          <w:bCs/>
          <w:sz w:val="24"/>
          <w:szCs w:val="24"/>
          <w:lang w:val="fr-FR"/>
        </w:rPr>
        <w:t xml:space="preserve">juin </w:t>
      </w:r>
      <w:r w:rsidR="00C0528F" w:rsidRPr="003513CC">
        <w:rPr>
          <w:bCs/>
          <w:sz w:val="24"/>
          <w:szCs w:val="24"/>
          <w:lang w:val="fr-FR"/>
        </w:rPr>
        <w:t>2019</w:t>
      </w:r>
    </w:p>
    <w:p w14:paraId="2DECF2AC" w14:textId="77777777" w:rsidR="00DF2386" w:rsidRPr="00D130B4" w:rsidRDefault="00DF2386" w:rsidP="00014168">
      <w:pPr>
        <w:outlineLvl w:val="0"/>
        <w:rPr>
          <w:b/>
          <w:lang w:val="fr-FR"/>
        </w:rPr>
      </w:pPr>
    </w:p>
    <w:p w14:paraId="76268BD2" w14:textId="77777777" w:rsidR="00DF2386" w:rsidRPr="00D130B4" w:rsidRDefault="00DF2386" w:rsidP="00014168">
      <w:pPr>
        <w:jc w:val="right"/>
        <w:rPr>
          <w:rFonts w:cs="Arial"/>
          <w:sz w:val="28"/>
          <w:szCs w:val="28"/>
          <w:lang w:val="fr-FR"/>
        </w:rPr>
      </w:pPr>
      <w:r w:rsidRPr="00D130B4">
        <w:rPr>
          <w:rFonts w:cs="Arial"/>
          <w:b/>
          <w:sz w:val="28"/>
          <w:szCs w:val="28"/>
          <w:lang w:val="fr-FR"/>
        </w:rPr>
        <w:t>SC5</w:t>
      </w:r>
      <w:r w:rsidR="00C0528F" w:rsidRPr="00D130B4">
        <w:rPr>
          <w:rFonts w:cs="Arial"/>
          <w:b/>
          <w:sz w:val="28"/>
          <w:szCs w:val="28"/>
          <w:lang w:val="fr-FR"/>
        </w:rPr>
        <w:t>7</w:t>
      </w:r>
      <w:r w:rsidR="004F4474" w:rsidRPr="00D130B4">
        <w:rPr>
          <w:rFonts w:cs="Arial"/>
          <w:b/>
          <w:sz w:val="28"/>
          <w:szCs w:val="28"/>
          <w:lang w:val="fr-FR"/>
        </w:rPr>
        <w:t xml:space="preserve"> Doc.15.1</w:t>
      </w:r>
      <w:r w:rsidR="00D245A1" w:rsidRPr="00D130B4">
        <w:rPr>
          <w:rFonts w:cs="Arial"/>
          <w:b/>
          <w:sz w:val="28"/>
          <w:szCs w:val="28"/>
          <w:lang w:val="fr-FR"/>
        </w:rPr>
        <w:t xml:space="preserve"> </w:t>
      </w:r>
    </w:p>
    <w:p w14:paraId="3FCEE13D" w14:textId="77777777" w:rsidR="00DF2386" w:rsidRPr="00D130B4" w:rsidRDefault="00DF2386" w:rsidP="004F4474">
      <w:pPr>
        <w:ind w:left="0" w:firstLine="0"/>
        <w:jc w:val="center"/>
        <w:rPr>
          <w:rFonts w:cs="Arial"/>
          <w:b/>
          <w:sz w:val="28"/>
          <w:szCs w:val="28"/>
          <w:lang w:val="fr-FR"/>
        </w:rPr>
      </w:pPr>
    </w:p>
    <w:p w14:paraId="7EA3B500" w14:textId="77777777" w:rsidR="00DF2386" w:rsidRPr="00BC3219" w:rsidRDefault="004F4474" w:rsidP="004F4474">
      <w:pPr>
        <w:ind w:left="0" w:firstLine="0"/>
        <w:jc w:val="center"/>
        <w:rPr>
          <w:rFonts w:cs="Arial"/>
          <w:b/>
          <w:sz w:val="28"/>
          <w:szCs w:val="28"/>
          <w:lang w:val="fr-FR"/>
        </w:rPr>
      </w:pPr>
      <w:r w:rsidRPr="00BC3219">
        <w:rPr>
          <w:rFonts w:cs="Arial"/>
          <w:b/>
          <w:sz w:val="28"/>
          <w:szCs w:val="28"/>
          <w:lang w:val="fr-FR"/>
        </w:rPr>
        <w:t xml:space="preserve">Communication, </w:t>
      </w:r>
      <w:r w:rsidR="00466DE0" w:rsidRPr="00BC3219">
        <w:rPr>
          <w:rFonts w:cs="Arial"/>
          <w:b/>
          <w:sz w:val="28"/>
          <w:szCs w:val="28"/>
          <w:lang w:val="fr-FR"/>
        </w:rPr>
        <w:t>renforcement des capacités</w:t>
      </w:r>
      <w:r w:rsidRPr="00BC3219">
        <w:rPr>
          <w:rFonts w:cs="Arial"/>
          <w:b/>
          <w:sz w:val="28"/>
          <w:szCs w:val="28"/>
          <w:lang w:val="fr-FR"/>
        </w:rPr>
        <w:t xml:space="preserve">, </w:t>
      </w:r>
      <w:r w:rsidR="00952FDE" w:rsidRPr="00BC3219">
        <w:rPr>
          <w:rFonts w:cs="Arial"/>
          <w:b/>
          <w:sz w:val="28"/>
          <w:szCs w:val="28"/>
          <w:lang w:val="fr-FR"/>
        </w:rPr>
        <w:t>éducation</w:t>
      </w:r>
      <w:r w:rsidRPr="00BC3219">
        <w:rPr>
          <w:rFonts w:cs="Arial"/>
          <w:b/>
          <w:sz w:val="28"/>
          <w:szCs w:val="28"/>
          <w:lang w:val="fr-FR"/>
        </w:rPr>
        <w:t xml:space="preserve">, participation </w:t>
      </w:r>
      <w:r w:rsidRPr="00BC3219">
        <w:rPr>
          <w:rFonts w:cs="Arial"/>
          <w:b/>
          <w:sz w:val="28"/>
          <w:szCs w:val="28"/>
          <w:lang w:val="fr-FR"/>
        </w:rPr>
        <w:br/>
      </w:r>
      <w:r w:rsidR="006411D1">
        <w:rPr>
          <w:rFonts w:cs="Arial"/>
          <w:b/>
          <w:sz w:val="28"/>
          <w:szCs w:val="28"/>
          <w:lang w:val="fr-FR"/>
        </w:rPr>
        <w:t xml:space="preserve">et </w:t>
      </w:r>
      <w:r w:rsidR="00466DE0" w:rsidRPr="00BC3219">
        <w:rPr>
          <w:rFonts w:cs="Arial"/>
          <w:b/>
          <w:sz w:val="28"/>
          <w:szCs w:val="28"/>
          <w:lang w:val="fr-FR"/>
        </w:rPr>
        <w:t>sensibilisation</w:t>
      </w:r>
      <w:r w:rsidRPr="00BC3219">
        <w:rPr>
          <w:rFonts w:cs="Arial"/>
          <w:b/>
          <w:sz w:val="28"/>
          <w:szCs w:val="28"/>
          <w:lang w:val="fr-FR"/>
        </w:rPr>
        <w:t xml:space="preserve"> (</w:t>
      </w:r>
      <w:r w:rsidR="00466DE0" w:rsidRPr="00BC3219">
        <w:rPr>
          <w:rFonts w:cs="Arial"/>
          <w:b/>
          <w:sz w:val="28"/>
          <w:szCs w:val="28"/>
          <w:lang w:val="fr-FR"/>
        </w:rPr>
        <w:t>CESP</w:t>
      </w:r>
      <w:r w:rsidRPr="00BC3219">
        <w:rPr>
          <w:rFonts w:cs="Arial"/>
          <w:b/>
          <w:sz w:val="28"/>
          <w:szCs w:val="28"/>
          <w:lang w:val="fr-FR"/>
        </w:rPr>
        <w:t>)</w:t>
      </w:r>
    </w:p>
    <w:p w14:paraId="6963CB04" w14:textId="58A11329" w:rsidR="004F4474" w:rsidRPr="00BC3219" w:rsidRDefault="00D130B4" w:rsidP="004F4474">
      <w:pPr>
        <w:ind w:left="0" w:firstLine="0"/>
        <w:jc w:val="center"/>
        <w:rPr>
          <w:rFonts w:cs="Arial"/>
          <w:b/>
          <w:sz w:val="28"/>
          <w:szCs w:val="28"/>
          <w:lang w:val="fr-FR"/>
        </w:rPr>
      </w:pPr>
      <w:r w:rsidRPr="00D130B4">
        <w:rPr>
          <w:rFonts w:cs="Arial"/>
          <w:b/>
          <w:sz w:val="28"/>
          <w:szCs w:val="28"/>
          <w:lang w:val="fr-FR"/>
        </w:rPr>
        <w:t xml:space="preserve">Constitution </w:t>
      </w:r>
      <w:bookmarkStart w:id="0" w:name="_GoBack"/>
      <w:bookmarkEnd w:id="0"/>
      <w:r w:rsidR="00BC3219" w:rsidRPr="00BC3219">
        <w:rPr>
          <w:rFonts w:cs="Arial"/>
          <w:b/>
          <w:sz w:val="28"/>
          <w:szCs w:val="28"/>
          <w:lang w:val="fr-FR"/>
        </w:rPr>
        <w:t xml:space="preserve">du </w:t>
      </w:r>
      <w:r w:rsidR="00466DE0" w:rsidRPr="00BC3219">
        <w:rPr>
          <w:rFonts w:cs="Arial"/>
          <w:b/>
          <w:sz w:val="28"/>
          <w:szCs w:val="28"/>
          <w:lang w:val="fr-FR"/>
        </w:rPr>
        <w:t>Groupe de surveillance de</w:t>
      </w:r>
      <w:r w:rsidR="00952FDE">
        <w:rPr>
          <w:rFonts w:cs="Arial"/>
          <w:b/>
          <w:sz w:val="28"/>
          <w:szCs w:val="28"/>
          <w:lang w:val="fr-FR"/>
        </w:rPr>
        <w:t>s</w:t>
      </w:r>
      <w:r w:rsidR="00466DE0" w:rsidRPr="00BC3219">
        <w:rPr>
          <w:rFonts w:cs="Arial"/>
          <w:b/>
          <w:sz w:val="28"/>
          <w:szCs w:val="28"/>
          <w:lang w:val="fr-FR"/>
        </w:rPr>
        <w:t xml:space="preserve"> activités de CESP</w:t>
      </w:r>
    </w:p>
    <w:p w14:paraId="347048C6" w14:textId="77777777" w:rsidR="004F4474" w:rsidRPr="00BC3219" w:rsidRDefault="004F4474" w:rsidP="00014168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52A4921F" w14:textId="77777777" w:rsidR="000C2489" w:rsidRPr="00BC3219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fr-FR"/>
        </w:rPr>
      </w:pPr>
      <w:r w:rsidRPr="00BC3219">
        <w:rPr>
          <w:noProof/>
          <w:lang w:eastAsia="en-GB"/>
        </w:rPr>
        <mc:AlternateContent>
          <mc:Choice Requires="wps">
            <w:drawing>
              <wp:inline distT="0" distB="0" distL="0" distR="0" wp14:anchorId="3725E808" wp14:editId="44434B14">
                <wp:extent cx="5731510" cy="1859280"/>
                <wp:effectExtent l="0" t="0" r="21590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5D3B" w14:textId="77777777" w:rsidR="000C2489" w:rsidRPr="00BC3219" w:rsidRDefault="00466DE0" w:rsidP="000C2489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BC3219">
                              <w:rPr>
                                <w:b/>
                                <w:bCs/>
                                <w:lang w:val="fr-FR"/>
                              </w:rPr>
                              <w:t>Mesures requises</w:t>
                            </w:r>
                            <w:r w:rsidR="006411D1">
                              <w:rPr>
                                <w:b/>
                                <w:bCs/>
                                <w:lang w:val="fr-FR"/>
                              </w:rPr>
                              <w:t xml:space="preserve"> :</w:t>
                            </w:r>
                            <w:r w:rsidR="000C2489" w:rsidRPr="00BC3219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14:paraId="262CA3A3" w14:textId="77777777" w:rsidR="000C2489" w:rsidRPr="00BC3219" w:rsidRDefault="000C2489" w:rsidP="000C2489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198E59CB" w14:textId="77777777" w:rsidR="000C2489" w:rsidRPr="00BC3219" w:rsidRDefault="00466DE0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 w:rsidRPr="00BC3219">
                              <w:rPr>
                                <w:lang w:val="fr-FR"/>
                              </w:rPr>
                              <w:t>Le Comité permanent</w:t>
                            </w:r>
                            <w:r w:rsidR="000C2489" w:rsidRPr="00BC3219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C3219">
                              <w:rPr>
                                <w:lang w:val="fr-FR"/>
                              </w:rPr>
                              <w:t>est invit</w:t>
                            </w:r>
                            <w:r w:rsidR="00BC3219">
                              <w:rPr>
                                <w:lang w:val="fr-FR"/>
                              </w:rPr>
                              <w:t>é</w:t>
                            </w:r>
                            <w:r w:rsidRPr="00BC3219">
                              <w:rPr>
                                <w:lang w:val="fr-FR"/>
                              </w:rPr>
                              <w:t xml:space="preserve"> à </w:t>
                            </w:r>
                            <w:r w:rsidR="000C2489" w:rsidRPr="00BC3219">
                              <w:rPr>
                                <w:rFonts w:cs="Calibri"/>
                                <w:lang w:val="fr-FR"/>
                              </w:rPr>
                              <w:t>:</w:t>
                            </w:r>
                          </w:p>
                          <w:p w14:paraId="05176F5B" w14:textId="77777777" w:rsidR="004822F9" w:rsidRPr="00BC3219" w:rsidRDefault="004822F9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6F17A8C8" w14:textId="77777777" w:rsidR="004822F9" w:rsidRPr="00BC3219" w:rsidRDefault="004822F9" w:rsidP="004822F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  <w:r w:rsidRPr="00BC3219">
                              <w:rPr>
                                <w:rFonts w:cs="Calibri"/>
                                <w:lang w:val="fr-FR"/>
                              </w:rPr>
                              <w:t>i.</w:t>
                            </w:r>
                            <w:r w:rsidRPr="00BC3219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466DE0" w:rsidRPr="00BC3219">
                              <w:rPr>
                                <w:rFonts w:cs="Calibri"/>
                                <w:lang w:val="fr-FR"/>
                              </w:rPr>
                              <w:t xml:space="preserve">prendre les mesures </w:t>
                            </w:r>
                            <w:r w:rsidR="001B4DD9">
                              <w:rPr>
                                <w:rFonts w:cs="Calibri"/>
                                <w:lang w:val="fr-FR"/>
                              </w:rPr>
                              <w:t xml:space="preserve">nécessaires </w:t>
                            </w:r>
                            <w:r w:rsidR="00466DE0" w:rsidRPr="00BC3219">
                              <w:rPr>
                                <w:rFonts w:cs="Calibri"/>
                                <w:lang w:val="fr-FR"/>
                              </w:rPr>
                              <w:t xml:space="preserve">pour </w:t>
                            </w:r>
                            <w:r w:rsidR="00BC3219" w:rsidRPr="00BC3219">
                              <w:rPr>
                                <w:rFonts w:cs="Calibri"/>
                                <w:lang w:val="fr-FR"/>
                              </w:rPr>
                              <w:t xml:space="preserve">que la composition </w:t>
                            </w:r>
                            <w:r w:rsidR="00BC3219" w:rsidRPr="00BC3219">
                              <w:rPr>
                                <w:lang w:val="fr-FR"/>
                              </w:rPr>
                              <w:t xml:space="preserve">du </w:t>
                            </w:r>
                            <w:r w:rsidR="00466DE0" w:rsidRPr="00BC3219">
                              <w:rPr>
                                <w:lang w:val="fr-FR"/>
                              </w:rPr>
                              <w:t xml:space="preserve">Groupe de surveillance </w:t>
                            </w:r>
                            <w:r w:rsidR="00952FDE">
                              <w:rPr>
                                <w:lang w:val="fr-FR"/>
                              </w:rPr>
                              <w:t>des activités</w:t>
                            </w:r>
                            <w:r w:rsidR="00466DE0" w:rsidRPr="00BC3219">
                              <w:rPr>
                                <w:lang w:val="fr-FR"/>
                              </w:rPr>
                              <w:t xml:space="preserve"> de CESP</w:t>
                            </w:r>
                            <w:r w:rsidRPr="00BC3219">
                              <w:rPr>
                                <w:lang w:val="fr-FR"/>
                              </w:rPr>
                              <w:t xml:space="preserve"> </w:t>
                            </w:r>
                            <w:r w:rsidR="00BC3219" w:rsidRPr="00BC3219">
                              <w:rPr>
                                <w:lang w:val="fr-FR"/>
                              </w:rPr>
                              <w:t xml:space="preserve">pour </w:t>
                            </w:r>
                            <w:r w:rsidRPr="00BC3219">
                              <w:rPr>
                                <w:lang w:val="fr-FR"/>
                              </w:rPr>
                              <w:t>2019-2021</w:t>
                            </w:r>
                            <w:r w:rsidR="00BC3219" w:rsidRPr="00BC3219">
                              <w:rPr>
                                <w:lang w:val="fr-FR"/>
                              </w:rPr>
                              <w:t xml:space="preserve"> soit conforme aux dispositions de la Résolution</w:t>
                            </w:r>
                            <w:r w:rsidRPr="00BC3219">
                              <w:rPr>
                                <w:lang w:val="fr-FR"/>
                              </w:rPr>
                              <w:t xml:space="preserve"> XIII.5</w:t>
                            </w:r>
                            <w:r w:rsidR="006411D1">
                              <w:rPr>
                                <w:rFonts w:cs="Calibri"/>
                                <w:lang w:val="fr-FR"/>
                              </w:rPr>
                              <w:t xml:space="preserve"> ; </w:t>
                            </w:r>
                            <w:r w:rsidR="00BC3219" w:rsidRPr="00BC3219">
                              <w:rPr>
                                <w:rFonts w:cs="Calibri"/>
                                <w:lang w:val="fr-FR"/>
                              </w:rPr>
                              <w:t>et</w:t>
                            </w:r>
                          </w:p>
                          <w:p w14:paraId="79B2FFBB" w14:textId="77777777" w:rsidR="004822F9" w:rsidRPr="00BC3219" w:rsidRDefault="004822F9" w:rsidP="004822F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6309AB88" w14:textId="77777777" w:rsidR="004822F9" w:rsidRPr="00BC3219" w:rsidRDefault="004822F9" w:rsidP="004822F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  <w:r w:rsidRPr="00BC3219">
                              <w:rPr>
                                <w:rFonts w:cs="Calibri"/>
                                <w:lang w:val="fr-FR"/>
                              </w:rPr>
                              <w:t>ii.</w:t>
                            </w:r>
                            <w:r w:rsidRPr="00BC3219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BC3219" w:rsidRPr="00BC3219">
                              <w:rPr>
                                <w:rFonts w:cs="Calibri"/>
                                <w:lang w:val="fr-FR"/>
                              </w:rPr>
                              <w:t>demander que le Groupe nouvellement formé présent</w:t>
                            </w:r>
                            <w:r w:rsidR="00BC3219">
                              <w:rPr>
                                <w:rFonts w:cs="Calibri"/>
                                <w:lang w:val="fr-FR"/>
                              </w:rPr>
                              <w:t>e</w:t>
                            </w:r>
                            <w:r w:rsidR="00BC3219" w:rsidRPr="00BC3219">
                              <w:rPr>
                                <w:rFonts w:cs="Calibri"/>
                                <w:lang w:val="fr-FR"/>
                              </w:rPr>
                              <w:t xml:space="preserve"> à la 58</w:t>
                            </w:r>
                            <w:r w:rsidR="00BC3219" w:rsidRPr="00BC3219">
                              <w:rPr>
                                <w:rFonts w:cs="Calibri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="00BC3219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="00BC3219" w:rsidRPr="00BC3219">
                              <w:rPr>
                                <w:rFonts w:cs="Calibri"/>
                                <w:lang w:val="fr-FR"/>
                              </w:rPr>
                              <w:t xml:space="preserve">Réunion </w:t>
                            </w:r>
                            <w:r w:rsidR="00466DE0" w:rsidRPr="00BC3219">
                              <w:rPr>
                                <w:lang w:val="fr-FR"/>
                              </w:rPr>
                              <w:t>du Comité permanent</w:t>
                            </w:r>
                            <w:r w:rsidR="00BC3219" w:rsidRPr="00BC3219">
                              <w:rPr>
                                <w:lang w:val="fr-FR"/>
                              </w:rPr>
                              <w:t xml:space="preserve"> sa proposition d’assumer les responsabilités </w:t>
                            </w:r>
                            <w:r w:rsidR="001B4DD9">
                              <w:rPr>
                                <w:lang w:val="fr-FR"/>
                              </w:rPr>
                              <w:t xml:space="preserve">qui lui ont été confiées au titre de </w:t>
                            </w:r>
                            <w:r w:rsidR="00BC3219" w:rsidRPr="00BC3219">
                              <w:rPr>
                                <w:lang w:val="fr-FR"/>
                              </w:rPr>
                              <w:t>la Résolution</w:t>
                            </w:r>
                            <w:r w:rsidRPr="00BC3219">
                              <w:rPr>
                                <w:lang w:val="fr-FR"/>
                              </w:rPr>
                              <w:t xml:space="preserve"> XII.9.</w:t>
                            </w:r>
                          </w:p>
                          <w:p w14:paraId="05067154" w14:textId="77777777" w:rsidR="000C2489" w:rsidRPr="00BC3219" w:rsidRDefault="000C2489" w:rsidP="000C2489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25E8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">
                <v:textbox>
                  <w:txbxContent>
                    <w:p w14:paraId="71535D3B" w14:textId="77777777" w:rsidR="000C2489" w:rsidRPr="00BC3219" w:rsidRDefault="00466DE0" w:rsidP="000C2489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BC3219">
                        <w:rPr>
                          <w:b/>
                          <w:bCs/>
                          <w:lang w:val="fr-FR"/>
                        </w:rPr>
                        <w:t>Mesures requises</w:t>
                      </w:r>
                      <w:r w:rsidR="006411D1">
                        <w:rPr>
                          <w:b/>
                          <w:bCs/>
                          <w:lang w:val="fr-FR"/>
                        </w:rPr>
                        <w:t xml:space="preserve"> :</w:t>
                      </w:r>
                      <w:r w:rsidR="000C2489" w:rsidRPr="00BC3219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14:paraId="262CA3A3" w14:textId="77777777" w:rsidR="000C2489" w:rsidRPr="00BC3219" w:rsidRDefault="000C2489" w:rsidP="000C2489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198E59CB" w14:textId="77777777" w:rsidR="000C2489" w:rsidRPr="00BC3219" w:rsidRDefault="00466DE0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  <w:r w:rsidRPr="00BC3219">
                        <w:rPr>
                          <w:lang w:val="fr-FR"/>
                        </w:rPr>
                        <w:t>Le Comité permanent</w:t>
                      </w:r>
                      <w:r w:rsidR="000C2489" w:rsidRPr="00BC3219">
                        <w:rPr>
                          <w:lang w:val="fr-FR"/>
                        </w:rPr>
                        <w:t xml:space="preserve"> </w:t>
                      </w:r>
                      <w:r w:rsidRPr="00BC3219">
                        <w:rPr>
                          <w:lang w:val="fr-FR"/>
                        </w:rPr>
                        <w:t>est invit</w:t>
                      </w:r>
                      <w:r w:rsidR="00BC3219">
                        <w:rPr>
                          <w:lang w:val="fr-FR"/>
                        </w:rPr>
                        <w:t>é</w:t>
                      </w:r>
                      <w:r w:rsidRPr="00BC3219">
                        <w:rPr>
                          <w:lang w:val="fr-FR"/>
                        </w:rPr>
                        <w:t xml:space="preserve"> à </w:t>
                      </w:r>
                      <w:r w:rsidR="000C2489" w:rsidRPr="00BC3219">
                        <w:rPr>
                          <w:rFonts w:cs="Calibri"/>
                          <w:lang w:val="fr-FR"/>
                        </w:rPr>
                        <w:t>:</w:t>
                      </w:r>
                    </w:p>
                    <w:p w14:paraId="05176F5B" w14:textId="77777777" w:rsidR="004822F9" w:rsidRPr="00BC3219" w:rsidRDefault="004822F9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</w:p>
                    <w:p w14:paraId="6F17A8C8" w14:textId="77777777" w:rsidR="004822F9" w:rsidRPr="00BC3219" w:rsidRDefault="004822F9" w:rsidP="004822F9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  <w:r w:rsidRPr="00BC3219">
                        <w:rPr>
                          <w:rFonts w:cs="Calibri"/>
                          <w:lang w:val="fr-FR"/>
                        </w:rPr>
                        <w:t>i.</w:t>
                      </w:r>
                      <w:r w:rsidRPr="00BC3219">
                        <w:rPr>
                          <w:rFonts w:cs="Calibri"/>
                          <w:lang w:val="fr-FR"/>
                        </w:rPr>
                        <w:tab/>
                      </w:r>
                      <w:r w:rsidR="00466DE0" w:rsidRPr="00BC3219">
                        <w:rPr>
                          <w:rFonts w:cs="Calibri"/>
                          <w:lang w:val="fr-FR"/>
                        </w:rPr>
                        <w:t xml:space="preserve">prendre les mesures </w:t>
                      </w:r>
                      <w:r w:rsidR="001B4DD9">
                        <w:rPr>
                          <w:rFonts w:cs="Calibri"/>
                          <w:lang w:val="fr-FR"/>
                        </w:rPr>
                        <w:t xml:space="preserve">nécessaires </w:t>
                      </w:r>
                      <w:r w:rsidR="00466DE0" w:rsidRPr="00BC3219">
                        <w:rPr>
                          <w:rFonts w:cs="Calibri"/>
                          <w:lang w:val="fr-FR"/>
                        </w:rPr>
                        <w:t xml:space="preserve">pour </w:t>
                      </w:r>
                      <w:r w:rsidR="00BC3219" w:rsidRPr="00BC3219">
                        <w:rPr>
                          <w:rFonts w:cs="Calibri"/>
                          <w:lang w:val="fr-FR"/>
                        </w:rPr>
                        <w:t xml:space="preserve">que la composition </w:t>
                      </w:r>
                      <w:r w:rsidR="00BC3219" w:rsidRPr="00BC3219">
                        <w:rPr>
                          <w:lang w:val="fr-FR"/>
                        </w:rPr>
                        <w:t xml:space="preserve">du </w:t>
                      </w:r>
                      <w:r w:rsidR="00466DE0" w:rsidRPr="00BC3219">
                        <w:rPr>
                          <w:lang w:val="fr-FR"/>
                        </w:rPr>
                        <w:t xml:space="preserve">Groupe de surveillance </w:t>
                      </w:r>
                      <w:r w:rsidR="00952FDE">
                        <w:rPr>
                          <w:lang w:val="fr-FR"/>
                        </w:rPr>
                        <w:t>des activités</w:t>
                      </w:r>
                      <w:r w:rsidR="00466DE0" w:rsidRPr="00BC3219">
                        <w:rPr>
                          <w:lang w:val="fr-FR"/>
                        </w:rPr>
                        <w:t xml:space="preserve"> de CESP</w:t>
                      </w:r>
                      <w:r w:rsidRPr="00BC3219">
                        <w:rPr>
                          <w:lang w:val="fr-FR"/>
                        </w:rPr>
                        <w:t xml:space="preserve"> </w:t>
                      </w:r>
                      <w:r w:rsidR="00BC3219" w:rsidRPr="00BC3219">
                        <w:rPr>
                          <w:lang w:val="fr-FR"/>
                        </w:rPr>
                        <w:t xml:space="preserve">pour </w:t>
                      </w:r>
                      <w:r w:rsidRPr="00BC3219">
                        <w:rPr>
                          <w:lang w:val="fr-FR"/>
                        </w:rPr>
                        <w:t>2019-2021</w:t>
                      </w:r>
                      <w:r w:rsidR="00BC3219" w:rsidRPr="00BC3219">
                        <w:rPr>
                          <w:lang w:val="fr-FR"/>
                        </w:rPr>
                        <w:t xml:space="preserve"> soit conforme aux dispositions de la Résolution</w:t>
                      </w:r>
                      <w:r w:rsidRPr="00BC3219">
                        <w:rPr>
                          <w:lang w:val="fr-FR"/>
                        </w:rPr>
                        <w:t xml:space="preserve"> XIII.5</w:t>
                      </w:r>
                      <w:r w:rsidR="006411D1">
                        <w:rPr>
                          <w:rFonts w:cs="Calibri"/>
                          <w:lang w:val="fr-FR"/>
                        </w:rPr>
                        <w:t xml:space="preserve"> ; </w:t>
                      </w:r>
                      <w:r w:rsidR="00BC3219" w:rsidRPr="00BC3219">
                        <w:rPr>
                          <w:rFonts w:cs="Calibri"/>
                          <w:lang w:val="fr-FR"/>
                        </w:rPr>
                        <w:t>et</w:t>
                      </w:r>
                    </w:p>
                    <w:p w14:paraId="79B2FFBB" w14:textId="77777777" w:rsidR="004822F9" w:rsidRPr="00BC3219" w:rsidRDefault="004822F9" w:rsidP="004822F9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</w:p>
                    <w:p w14:paraId="6309AB88" w14:textId="77777777" w:rsidR="004822F9" w:rsidRPr="00BC3219" w:rsidRDefault="004822F9" w:rsidP="004822F9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  <w:r w:rsidRPr="00BC3219">
                        <w:rPr>
                          <w:rFonts w:cs="Calibri"/>
                          <w:lang w:val="fr-FR"/>
                        </w:rPr>
                        <w:t>ii.</w:t>
                      </w:r>
                      <w:r w:rsidRPr="00BC3219">
                        <w:rPr>
                          <w:rFonts w:cs="Calibri"/>
                          <w:lang w:val="fr-FR"/>
                        </w:rPr>
                        <w:tab/>
                      </w:r>
                      <w:r w:rsidR="00BC3219" w:rsidRPr="00BC3219">
                        <w:rPr>
                          <w:rFonts w:cs="Calibri"/>
                          <w:lang w:val="fr-FR"/>
                        </w:rPr>
                        <w:t>demander que le Groupe nouvellement formé présent</w:t>
                      </w:r>
                      <w:r w:rsidR="00BC3219">
                        <w:rPr>
                          <w:rFonts w:cs="Calibri"/>
                          <w:lang w:val="fr-FR"/>
                        </w:rPr>
                        <w:t>e</w:t>
                      </w:r>
                      <w:r w:rsidR="00BC3219" w:rsidRPr="00BC3219">
                        <w:rPr>
                          <w:rFonts w:cs="Calibri"/>
                          <w:lang w:val="fr-FR"/>
                        </w:rPr>
                        <w:t xml:space="preserve"> à la 58</w:t>
                      </w:r>
                      <w:r w:rsidR="00BC3219" w:rsidRPr="00BC3219">
                        <w:rPr>
                          <w:rFonts w:cs="Calibri"/>
                          <w:vertAlign w:val="superscript"/>
                          <w:lang w:val="fr-FR"/>
                        </w:rPr>
                        <w:t>e</w:t>
                      </w:r>
                      <w:r w:rsidR="00BC3219"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="00BC3219" w:rsidRPr="00BC3219">
                        <w:rPr>
                          <w:rFonts w:cs="Calibri"/>
                          <w:lang w:val="fr-FR"/>
                        </w:rPr>
                        <w:t xml:space="preserve">Réunion </w:t>
                      </w:r>
                      <w:r w:rsidR="00466DE0" w:rsidRPr="00BC3219">
                        <w:rPr>
                          <w:lang w:val="fr-FR"/>
                        </w:rPr>
                        <w:t>du Comité permanent</w:t>
                      </w:r>
                      <w:r w:rsidR="00BC3219" w:rsidRPr="00BC3219">
                        <w:rPr>
                          <w:lang w:val="fr-FR"/>
                        </w:rPr>
                        <w:t xml:space="preserve"> sa proposition d’assumer les responsabilités </w:t>
                      </w:r>
                      <w:r w:rsidR="001B4DD9">
                        <w:rPr>
                          <w:lang w:val="fr-FR"/>
                        </w:rPr>
                        <w:t xml:space="preserve">qui lui ont été confiées au titre de </w:t>
                      </w:r>
                      <w:r w:rsidR="00BC3219" w:rsidRPr="00BC3219">
                        <w:rPr>
                          <w:lang w:val="fr-FR"/>
                        </w:rPr>
                        <w:t>la Résolution</w:t>
                      </w:r>
                      <w:r w:rsidRPr="00BC3219">
                        <w:rPr>
                          <w:lang w:val="fr-FR"/>
                        </w:rPr>
                        <w:t xml:space="preserve"> XII.9.</w:t>
                      </w:r>
                    </w:p>
                    <w:p w14:paraId="05067154" w14:textId="77777777" w:rsidR="000C2489" w:rsidRPr="00BC3219" w:rsidRDefault="000C2489" w:rsidP="000C2489">
                      <w:pPr>
                        <w:pStyle w:val="ColorfulList-Accent11"/>
                        <w:ind w:left="0"/>
                        <w:rPr>
                          <w:rFonts w:cs="Calibri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867FF6" w14:textId="77777777" w:rsidR="009E0AE8" w:rsidRPr="00BC3219" w:rsidRDefault="009E0AE8" w:rsidP="00014168">
      <w:pPr>
        <w:rPr>
          <w:rFonts w:cs="Arial"/>
          <w:b/>
          <w:lang w:val="fr-FR"/>
        </w:rPr>
      </w:pPr>
    </w:p>
    <w:p w14:paraId="58E7CBE5" w14:textId="77777777" w:rsidR="009E0AE8" w:rsidRPr="00BC3219" w:rsidRDefault="009E0AE8" w:rsidP="00014168">
      <w:pPr>
        <w:rPr>
          <w:rFonts w:cs="Arial"/>
          <w:b/>
          <w:lang w:val="fr-FR"/>
        </w:rPr>
      </w:pPr>
    </w:p>
    <w:p w14:paraId="4F85EDA0" w14:textId="77777777" w:rsidR="000C2489" w:rsidRPr="00BC3219" w:rsidRDefault="00BC3219" w:rsidP="008B55AE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Contexte</w:t>
      </w:r>
    </w:p>
    <w:p w14:paraId="5FFA005E" w14:textId="77777777" w:rsidR="004F4474" w:rsidRPr="00BC3219" w:rsidRDefault="004F4474" w:rsidP="008B55AE">
      <w:pPr>
        <w:rPr>
          <w:rFonts w:cs="Arial"/>
          <w:b/>
          <w:lang w:val="fr-FR"/>
        </w:rPr>
      </w:pPr>
    </w:p>
    <w:p w14:paraId="14ED0FE9" w14:textId="77777777" w:rsidR="004F4474" w:rsidRPr="00BC3219" w:rsidRDefault="004F4474" w:rsidP="00BC3219">
      <w:pPr>
        <w:rPr>
          <w:lang w:val="fr-FR"/>
        </w:rPr>
      </w:pPr>
      <w:r w:rsidRPr="00BC3219">
        <w:rPr>
          <w:lang w:val="fr-FR"/>
        </w:rPr>
        <w:t>1.</w:t>
      </w:r>
      <w:r w:rsidRPr="00BC3219">
        <w:rPr>
          <w:lang w:val="fr-FR"/>
        </w:rPr>
        <w:tab/>
      </w:r>
      <w:r w:rsidR="002F1B0E">
        <w:rPr>
          <w:lang w:val="fr-FR"/>
        </w:rPr>
        <w:t xml:space="preserve">Lors de </w:t>
      </w:r>
      <w:r w:rsidR="00BC3219">
        <w:rPr>
          <w:lang w:val="fr-FR"/>
        </w:rPr>
        <w:t>la 12</w:t>
      </w:r>
      <w:r w:rsidR="00BC3219" w:rsidRPr="00BC3219">
        <w:rPr>
          <w:vertAlign w:val="superscript"/>
          <w:lang w:val="fr-FR"/>
        </w:rPr>
        <w:t>e</w:t>
      </w:r>
      <w:r w:rsidR="00BC3219">
        <w:rPr>
          <w:lang w:val="fr-FR"/>
        </w:rPr>
        <w:t xml:space="preserve"> Session de la </w:t>
      </w:r>
      <w:r w:rsidR="002F1B0E" w:rsidRPr="00BC3219">
        <w:rPr>
          <w:lang w:val="fr-FR"/>
        </w:rPr>
        <w:t>Conférence</w:t>
      </w:r>
      <w:r w:rsidRPr="00BC3219">
        <w:rPr>
          <w:lang w:val="fr-FR"/>
        </w:rPr>
        <w:t xml:space="preserve"> </w:t>
      </w:r>
      <w:r w:rsidR="00BC3219">
        <w:rPr>
          <w:lang w:val="fr-FR"/>
        </w:rPr>
        <w:t xml:space="preserve">des Parties contractantes </w:t>
      </w:r>
      <w:r w:rsidR="00434488" w:rsidRPr="00BC3219">
        <w:rPr>
          <w:lang w:val="fr-FR"/>
        </w:rPr>
        <w:t xml:space="preserve">(COP12) </w:t>
      </w:r>
      <w:r w:rsidR="002F1B0E">
        <w:rPr>
          <w:lang w:val="fr-FR"/>
        </w:rPr>
        <w:t xml:space="preserve">en </w:t>
      </w:r>
      <w:r w:rsidRPr="00BC3219">
        <w:rPr>
          <w:lang w:val="fr-FR"/>
        </w:rPr>
        <w:t xml:space="preserve">2015, </w:t>
      </w:r>
      <w:r w:rsidR="00BC3219">
        <w:rPr>
          <w:lang w:val="fr-FR"/>
        </w:rPr>
        <w:t xml:space="preserve">les </w:t>
      </w:r>
      <w:r w:rsidRPr="00BC3219">
        <w:rPr>
          <w:lang w:val="fr-FR"/>
        </w:rPr>
        <w:t xml:space="preserve">Parties </w:t>
      </w:r>
      <w:r w:rsidR="00BC3219">
        <w:rPr>
          <w:lang w:val="fr-FR"/>
        </w:rPr>
        <w:t xml:space="preserve">ont </w:t>
      </w:r>
      <w:r w:rsidR="001E1D85">
        <w:rPr>
          <w:lang w:val="fr-FR"/>
        </w:rPr>
        <w:t>approuvé</w:t>
      </w:r>
      <w:r w:rsidR="00BC3219">
        <w:rPr>
          <w:lang w:val="fr-FR"/>
        </w:rPr>
        <w:t xml:space="preserve"> la </w:t>
      </w:r>
      <w:r w:rsidR="001E1D85" w:rsidRPr="00BC3219">
        <w:rPr>
          <w:lang w:val="fr-FR"/>
        </w:rPr>
        <w:t>Résolution</w:t>
      </w:r>
      <w:r w:rsidR="00434488" w:rsidRPr="00BC3219">
        <w:rPr>
          <w:lang w:val="fr-FR"/>
        </w:rPr>
        <w:t xml:space="preserve"> XII.9</w:t>
      </w:r>
      <w:r w:rsidR="00096F42" w:rsidRPr="00BC3219">
        <w:rPr>
          <w:lang w:val="fr-FR"/>
        </w:rPr>
        <w:t xml:space="preserve"> </w:t>
      </w:r>
      <w:r w:rsidR="00BC3219" w:rsidRPr="00BC3219">
        <w:rPr>
          <w:i/>
          <w:lang w:val="fr-FR"/>
        </w:rPr>
        <w:t>Le Programme de la Convention de Ramsar relatif à la communication, au</w:t>
      </w:r>
      <w:r w:rsidR="001E1D85">
        <w:rPr>
          <w:i/>
          <w:lang w:val="fr-FR"/>
        </w:rPr>
        <w:t xml:space="preserve"> </w:t>
      </w:r>
      <w:r w:rsidR="00BC3219" w:rsidRPr="00BC3219">
        <w:rPr>
          <w:i/>
          <w:lang w:val="fr-FR"/>
        </w:rPr>
        <w:t>renforcement des capacités, à l’éducation, à la sensibilisation et à la</w:t>
      </w:r>
      <w:r w:rsidR="001E1D85">
        <w:rPr>
          <w:i/>
          <w:lang w:val="fr-FR"/>
        </w:rPr>
        <w:t xml:space="preserve"> </w:t>
      </w:r>
      <w:r w:rsidR="00BC3219" w:rsidRPr="00BC3219">
        <w:rPr>
          <w:i/>
          <w:lang w:val="fr-FR"/>
        </w:rPr>
        <w:t>participation (CESP) 2016-2024</w:t>
      </w:r>
      <w:r w:rsidRPr="00BC3219">
        <w:rPr>
          <w:lang w:val="fr-FR"/>
        </w:rPr>
        <w:t xml:space="preserve">. </w:t>
      </w:r>
      <w:r w:rsidR="001B4DD9">
        <w:rPr>
          <w:lang w:val="fr-FR"/>
        </w:rPr>
        <w:t>Le</w:t>
      </w:r>
      <w:r w:rsidR="001E1D85">
        <w:rPr>
          <w:lang w:val="fr-FR"/>
        </w:rPr>
        <w:t xml:space="preserve"> </w:t>
      </w:r>
      <w:r w:rsidRPr="00BC3219">
        <w:rPr>
          <w:lang w:val="fr-FR"/>
        </w:rPr>
        <w:t xml:space="preserve">Programme </w:t>
      </w:r>
      <w:r w:rsidR="001B4DD9">
        <w:rPr>
          <w:lang w:val="fr-FR"/>
        </w:rPr>
        <w:t xml:space="preserve">décrit neuf </w:t>
      </w:r>
      <w:r w:rsidR="001E1D85">
        <w:rPr>
          <w:lang w:val="fr-FR"/>
        </w:rPr>
        <w:t xml:space="preserve">Stratégies de CESP et </w:t>
      </w:r>
      <w:r w:rsidRPr="00BC3219">
        <w:rPr>
          <w:lang w:val="fr-FR"/>
        </w:rPr>
        <w:t xml:space="preserve">43 </w:t>
      </w:r>
      <w:r w:rsidR="001E1D85">
        <w:rPr>
          <w:lang w:val="fr-FR"/>
        </w:rPr>
        <w:t>objectifs</w:t>
      </w:r>
      <w:r w:rsidR="002F1B0E">
        <w:rPr>
          <w:lang w:val="fr-FR"/>
        </w:rPr>
        <w:t xml:space="preserve"> </w:t>
      </w:r>
      <w:r w:rsidR="001B4DD9">
        <w:rPr>
          <w:lang w:val="fr-FR"/>
        </w:rPr>
        <w:t>stratégiques qui les sous-tendent</w:t>
      </w:r>
      <w:r w:rsidRPr="00BC3219">
        <w:rPr>
          <w:lang w:val="fr-FR"/>
        </w:rPr>
        <w:t>.</w:t>
      </w:r>
    </w:p>
    <w:p w14:paraId="6588177D" w14:textId="77777777" w:rsidR="004F4474" w:rsidRPr="00D130B4" w:rsidRDefault="004F4474" w:rsidP="008B55AE">
      <w:pPr>
        <w:rPr>
          <w:lang w:val="fr-FR"/>
        </w:rPr>
      </w:pPr>
    </w:p>
    <w:p w14:paraId="30F9F8F1" w14:textId="77777777" w:rsidR="004F4474" w:rsidRPr="001E1D85" w:rsidRDefault="004F4474" w:rsidP="008B55AE">
      <w:pPr>
        <w:rPr>
          <w:lang w:val="fr-FR"/>
        </w:rPr>
      </w:pPr>
      <w:r w:rsidRPr="00D130B4">
        <w:rPr>
          <w:lang w:val="fr-FR"/>
        </w:rPr>
        <w:t>2.</w:t>
      </w:r>
      <w:r w:rsidRPr="00D130B4">
        <w:rPr>
          <w:lang w:val="fr-FR"/>
        </w:rPr>
        <w:tab/>
      </w:r>
      <w:r w:rsidR="002F1B0E">
        <w:rPr>
          <w:lang w:val="fr-FR"/>
        </w:rPr>
        <w:t xml:space="preserve">Les </w:t>
      </w:r>
      <w:r w:rsidR="001E1D85">
        <w:rPr>
          <w:lang w:val="fr-FR"/>
        </w:rPr>
        <w:t xml:space="preserve">Parties contractantes, </w:t>
      </w:r>
      <w:r w:rsidR="00466DE0" w:rsidRPr="001E1D85">
        <w:rPr>
          <w:lang w:val="fr-FR"/>
        </w:rPr>
        <w:t>le Secrétariat</w:t>
      </w:r>
      <w:r w:rsidRPr="001E1D85">
        <w:rPr>
          <w:lang w:val="fr-FR"/>
        </w:rPr>
        <w:t xml:space="preserve">, </w:t>
      </w:r>
      <w:r w:rsidR="001E1D85">
        <w:rPr>
          <w:lang w:val="fr-FR"/>
        </w:rPr>
        <w:t xml:space="preserve">les Organisations internationales partenaires </w:t>
      </w:r>
      <w:r w:rsidR="002F1B0E">
        <w:rPr>
          <w:lang w:val="fr-FR"/>
        </w:rPr>
        <w:t xml:space="preserve">(OIP) </w:t>
      </w:r>
      <w:r w:rsidR="001E1D85">
        <w:rPr>
          <w:lang w:val="fr-FR"/>
        </w:rPr>
        <w:t xml:space="preserve">de la </w:t>
      </w:r>
      <w:r w:rsidRPr="001E1D85">
        <w:rPr>
          <w:lang w:val="fr-FR"/>
        </w:rPr>
        <w:t xml:space="preserve">Convention, </w:t>
      </w:r>
      <w:r w:rsidR="001E1D85">
        <w:rPr>
          <w:lang w:val="fr-FR"/>
        </w:rPr>
        <w:t xml:space="preserve">les ONG, les organisations communautaires et </w:t>
      </w:r>
      <w:r w:rsidR="002F1B0E">
        <w:rPr>
          <w:lang w:val="fr-FR"/>
        </w:rPr>
        <w:t>d’</w:t>
      </w:r>
      <w:r w:rsidR="001E1D85">
        <w:rPr>
          <w:lang w:val="fr-FR"/>
        </w:rPr>
        <w:t>autres acteurs</w:t>
      </w:r>
      <w:r w:rsidR="002F1B0E">
        <w:rPr>
          <w:lang w:val="fr-FR"/>
        </w:rPr>
        <w:t xml:space="preserve"> se partagent la responsabilité de l’application du Programme</w:t>
      </w:r>
      <w:r w:rsidRPr="001E1D85">
        <w:rPr>
          <w:lang w:val="fr-FR"/>
        </w:rPr>
        <w:t>.</w:t>
      </w:r>
    </w:p>
    <w:p w14:paraId="00D009ED" w14:textId="77777777" w:rsidR="004F4474" w:rsidRPr="001E1D85" w:rsidRDefault="004F4474" w:rsidP="008B55AE">
      <w:pPr>
        <w:rPr>
          <w:lang w:val="fr-FR"/>
        </w:rPr>
      </w:pPr>
    </w:p>
    <w:p w14:paraId="48196A71" w14:textId="3C173192" w:rsidR="004F4474" w:rsidRPr="001E1D85" w:rsidRDefault="004F4474" w:rsidP="008B55AE">
      <w:pPr>
        <w:rPr>
          <w:lang w:val="fr-FR"/>
        </w:rPr>
      </w:pPr>
      <w:r w:rsidRPr="001E1D85">
        <w:rPr>
          <w:lang w:val="fr-FR"/>
        </w:rPr>
        <w:t>3.</w:t>
      </w:r>
      <w:r w:rsidRPr="001E1D85">
        <w:rPr>
          <w:lang w:val="fr-FR"/>
        </w:rPr>
        <w:tab/>
      </w:r>
      <w:r w:rsidR="001E1D85">
        <w:rPr>
          <w:lang w:val="fr-FR"/>
        </w:rPr>
        <w:t xml:space="preserve">Les Parties contractantes sont les </w:t>
      </w:r>
      <w:r w:rsidR="002F1B0E">
        <w:rPr>
          <w:lang w:val="fr-FR"/>
        </w:rPr>
        <w:t xml:space="preserve">chefs de file de l’application du </w:t>
      </w:r>
      <w:r w:rsidR="001E1D85">
        <w:rPr>
          <w:lang w:val="fr-FR"/>
        </w:rPr>
        <w:t>Programme de CESP</w:t>
      </w:r>
      <w:r w:rsidR="002F1B0E">
        <w:rPr>
          <w:lang w:val="fr-FR"/>
        </w:rPr>
        <w:t xml:space="preserve">, en s’appuyant sur leurs Correspondants nationaux, les Correspondants du Programme </w:t>
      </w:r>
      <w:r w:rsidR="00604465">
        <w:rPr>
          <w:lang w:val="fr-FR"/>
        </w:rPr>
        <w:t xml:space="preserve">de </w:t>
      </w:r>
      <w:r w:rsidR="002F1B0E">
        <w:rPr>
          <w:lang w:val="fr-FR"/>
        </w:rPr>
        <w:t xml:space="preserve">CESP, les organisations communautaires, les </w:t>
      </w:r>
      <w:r w:rsidR="00A212B6">
        <w:rPr>
          <w:lang w:val="fr-FR"/>
        </w:rPr>
        <w:t>I</w:t>
      </w:r>
      <w:r w:rsidR="002F1B0E">
        <w:rPr>
          <w:lang w:val="fr-FR"/>
        </w:rPr>
        <w:t>nitiatives régionales Ramsar et les centres d’éducation aux zones humides</w:t>
      </w:r>
      <w:r w:rsidRPr="001E1D85">
        <w:rPr>
          <w:lang w:val="fr-FR"/>
        </w:rPr>
        <w:t xml:space="preserve">. </w:t>
      </w:r>
    </w:p>
    <w:p w14:paraId="12154460" w14:textId="77777777" w:rsidR="004F4474" w:rsidRPr="001E1D85" w:rsidRDefault="004F4474" w:rsidP="008B55AE">
      <w:pPr>
        <w:rPr>
          <w:lang w:val="fr-FR"/>
        </w:rPr>
      </w:pPr>
    </w:p>
    <w:p w14:paraId="54ECD537" w14:textId="77777777" w:rsidR="004F4474" w:rsidRPr="001E1D85" w:rsidRDefault="004F4474" w:rsidP="008B55AE">
      <w:pPr>
        <w:rPr>
          <w:lang w:val="fr-FR"/>
        </w:rPr>
      </w:pPr>
      <w:r w:rsidRPr="001E1D85">
        <w:rPr>
          <w:lang w:val="fr-FR"/>
        </w:rPr>
        <w:t>4.</w:t>
      </w:r>
      <w:r w:rsidRPr="001E1D85">
        <w:rPr>
          <w:lang w:val="fr-FR"/>
        </w:rPr>
        <w:tab/>
      </w:r>
      <w:r w:rsidR="002F1B0E">
        <w:rPr>
          <w:lang w:val="fr-FR"/>
        </w:rPr>
        <w:t xml:space="preserve">Le </w:t>
      </w:r>
      <w:r w:rsidR="00466DE0" w:rsidRPr="001E1D85">
        <w:rPr>
          <w:lang w:val="fr-FR"/>
        </w:rPr>
        <w:t>Groupe de surveillance de</w:t>
      </w:r>
      <w:r w:rsidR="00952FDE">
        <w:rPr>
          <w:lang w:val="fr-FR"/>
        </w:rPr>
        <w:t>s</w:t>
      </w:r>
      <w:r w:rsidR="00466DE0" w:rsidRPr="001E1D85">
        <w:rPr>
          <w:lang w:val="fr-FR"/>
        </w:rPr>
        <w:t xml:space="preserve"> activités de CESP</w:t>
      </w:r>
      <w:r w:rsidRPr="001E1D85">
        <w:rPr>
          <w:lang w:val="fr-FR"/>
        </w:rPr>
        <w:t xml:space="preserve"> </w:t>
      </w:r>
      <w:r w:rsidR="002F1B0E">
        <w:rPr>
          <w:lang w:val="fr-FR"/>
        </w:rPr>
        <w:t xml:space="preserve">a été créé en </w:t>
      </w:r>
      <w:r w:rsidRPr="001E1D85">
        <w:rPr>
          <w:lang w:val="fr-FR"/>
        </w:rPr>
        <w:t>2006 (</w:t>
      </w:r>
      <w:r w:rsidR="002F1B0E">
        <w:rPr>
          <w:lang w:val="fr-FR"/>
        </w:rPr>
        <w:t>lors de la 34</w:t>
      </w:r>
      <w:r w:rsidR="002F1B0E" w:rsidRPr="002F1B0E">
        <w:rPr>
          <w:vertAlign w:val="superscript"/>
          <w:lang w:val="fr-FR"/>
        </w:rPr>
        <w:t>e</w:t>
      </w:r>
      <w:r w:rsidR="002F1B0E">
        <w:rPr>
          <w:lang w:val="fr-FR"/>
        </w:rPr>
        <w:t xml:space="preserve"> Réunion du Comité permanent, suite à la </w:t>
      </w:r>
      <w:r w:rsidR="002F1B0E" w:rsidRPr="001E1D85">
        <w:rPr>
          <w:lang w:val="fr-FR"/>
        </w:rPr>
        <w:t>Résolution</w:t>
      </w:r>
      <w:r w:rsidRPr="001E1D85">
        <w:rPr>
          <w:lang w:val="fr-FR"/>
        </w:rPr>
        <w:t xml:space="preserve"> IX.18) </w:t>
      </w:r>
      <w:r w:rsidR="002F1B0E">
        <w:rPr>
          <w:lang w:val="fr-FR"/>
        </w:rPr>
        <w:t xml:space="preserve">pour suivre et rendre compte des questions liées à la </w:t>
      </w:r>
      <w:r w:rsidR="00466DE0" w:rsidRPr="001E1D85">
        <w:rPr>
          <w:lang w:val="fr-FR"/>
        </w:rPr>
        <w:t>CESP</w:t>
      </w:r>
      <w:r w:rsidRPr="001E1D85">
        <w:rPr>
          <w:lang w:val="fr-FR"/>
        </w:rPr>
        <w:t xml:space="preserve"> </w:t>
      </w:r>
      <w:r w:rsidR="002F1B0E">
        <w:rPr>
          <w:lang w:val="fr-FR"/>
        </w:rPr>
        <w:t xml:space="preserve">au niveau national au sein de la </w:t>
      </w:r>
      <w:r w:rsidRPr="001E1D85">
        <w:rPr>
          <w:lang w:val="fr-FR"/>
        </w:rPr>
        <w:t xml:space="preserve">Convention </w:t>
      </w:r>
      <w:r w:rsidR="002F1B0E">
        <w:rPr>
          <w:lang w:val="fr-FR"/>
        </w:rPr>
        <w:t xml:space="preserve">et des progrès </w:t>
      </w:r>
      <w:r w:rsidR="00604465">
        <w:rPr>
          <w:lang w:val="fr-FR"/>
        </w:rPr>
        <w:t>d</w:t>
      </w:r>
      <w:r w:rsidR="002F1B0E">
        <w:rPr>
          <w:lang w:val="fr-FR"/>
        </w:rPr>
        <w:t xml:space="preserve">’application du Programme de </w:t>
      </w:r>
      <w:r w:rsidR="00466DE0" w:rsidRPr="001E1D85">
        <w:rPr>
          <w:lang w:val="fr-FR"/>
        </w:rPr>
        <w:t>CESP</w:t>
      </w:r>
      <w:r w:rsidRPr="001E1D85">
        <w:rPr>
          <w:lang w:val="fr-FR"/>
        </w:rPr>
        <w:t>.</w:t>
      </w:r>
    </w:p>
    <w:p w14:paraId="1CBC7D9E" w14:textId="77777777" w:rsidR="004F4474" w:rsidRPr="001E1D85" w:rsidRDefault="004F4474" w:rsidP="008B55AE">
      <w:pPr>
        <w:rPr>
          <w:lang w:val="fr-FR"/>
        </w:rPr>
      </w:pPr>
    </w:p>
    <w:p w14:paraId="062BD9B0" w14:textId="77777777" w:rsidR="004F4474" w:rsidRPr="001E1D85" w:rsidRDefault="004F4474" w:rsidP="008B55AE">
      <w:pPr>
        <w:rPr>
          <w:lang w:val="fr-FR"/>
        </w:rPr>
      </w:pPr>
      <w:r w:rsidRPr="001E1D85">
        <w:rPr>
          <w:lang w:val="fr-FR"/>
        </w:rPr>
        <w:t>5.</w:t>
      </w:r>
      <w:r w:rsidRPr="001E1D85">
        <w:rPr>
          <w:lang w:val="fr-FR"/>
        </w:rPr>
        <w:tab/>
      </w:r>
      <w:r w:rsidR="002F1B0E">
        <w:rPr>
          <w:lang w:val="fr-FR"/>
        </w:rPr>
        <w:t xml:space="preserve">Lors de la </w:t>
      </w:r>
      <w:r w:rsidRPr="001E1D85">
        <w:rPr>
          <w:lang w:val="fr-FR"/>
        </w:rPr>
        <w:t xml:space="preserve">COP13, </w:t>
      </w:r>
      <w:r w:rsidR="002F1B0E">
        <w:rPr>
          <w:lang w:val="fr-FR"/>
        </w:rPr>
        <w:t>les Parties contractantes</w:t>
      </w:r>
      <w:r w:rsidRPr="001E1D85">
        <w:rPr>
          <w:lang w:val="fr-FR"/>
        </w:rPr>
        <w:t xml:space="preserve"> </w:t>
      </w:r>
      <w:r w:rsidR="00952FDE">
        <w:rPr>
          <w:lang w:val="fr-FR"/>
        </w:rPr>
        <w:t>ont</w:t>
      </w:r>
      <w:r w:rsidR="00DF4A87">
        <w:rPr>
          <w:lang w:val="fr-FR"/>
        </w:rPr>
        <w:t xml:space="preserve"> confié au </w:t>
      </w:r>
      <w:r w:rsidR="00466DE0" w:rsidRPr="001E1D85">
        <w:rPr>
          <w:lang w:val="fr-FR"/>
        </w:rPr>
        <w:t>Groupe de surveillance de</w:t>
      </w:r>
      <w:r w:rsidR="00952FDE">
        <w:rPr>
          <w:lang w:val="fr-FR"/>
        </w:rPr>
        <w:t>s</w:t>
      </w:r>
      <w:r w:rsidR="00466DE0" w:rsidRPr="001E1D85">
        <w:rPr>
          <w:lang w:val="fr-FR"/>
        </w:rPr>
        <w:t xml:space="preserve"> activités de CESP</w:t>
      </w:r>
      <w:r w:rsidRPr="001E1D85">
        <w:rPr>
          <w:lang w:val="fr-FR"/>
        </w:rPr>
        <w:t xml:space="preserve">, </w:t>
      </w:r>
      <w:r w:rsidR="00952FDE">
        <w:rPr>
          <w:lang w:val="fr-FR"/>
        </w:rPr>
        <w:t xml:space="preserve">par les </w:t>
      </w:r>
      <w:r w:rsidR="004E1FB3">
        <w:rPr>
          <w:lang w:val="fr-FR"/>
        </w:rPr>
        <w:t xml:space="preserve">paragraphes </w:t>
      </w:r>
      <w:r w:rsidRPr="001E1D85">
        <w:rPr>
          <w:lang w:val="fr-FR"/>
        </w:rPr>
        <w:t xml:space="preserve">24, 25, 26 </w:t>
      </w:r>
      <w:r w:rsidR="00952FDE">
        <w:rPr>
          <w:lang w:val="fr-FR"/>
        </w:rPr>
        <w:t xml:space="preserve">et </w:t>
      </w:r>
      <w:r w:rsidRPr="001E1D85">
        <w:rPr>
          <w:lang w:val="fr-FR"/>
        </w:rPr>
        <w:t xml:space="preserve">27 </w:t>
      </w:r>
      <w:r w:rsidR="00466DE0" w:rsidRPr="001E1D85">
        <w:rPr>
          <w:lang w:val="fr-FR"/>
        </w:rPr>
        <w:t xml:space="preserve">de la Résolution </w:t>
      </w:r>
      <w:r w:rsidRPr="001E1D85">
        <w:rPr>
          <w:lang w:val="fr-FR"/>
        </w:rPr>
        <w:t xml:space="preserve">XIII.5 </w:t>
      </w:r>
      <w:r w:rsidR="00952FDE" w:rsidRPr="001E1D85">
        <w:rPr>
          <w:i/>
          <w:lang w:val="fr-FR"/>
        </w:rPr>
        <w:t>R</w:t>
      </w:r>
      <w:r w:rsidR="00952FDE" w:rsidRPr="00952FDE">
        <w:rPr>
          <w:i/>
          <w:lang w:val="fr-FR"/>
        </w:rPr>
        <w:t>évision du quatrième Plan stratégique de la Convention de Ramsar</w:t>
      </w:r>
      <w:r w:rsidR="00BD2799" w:rsidRPr="001E1D85">
        <w:rPr>
          <w:lang w:val="fr-FR"/>
        </w:rPr>
        <w:t>,</w:t>
      </w:r>
      <w:r w:rsidR="00DF4A87">
        <w:rPr>
          <w:lang w:val="fr-FR"/>
        </w:rPr>
        <w:t xml:space="preserve"> l</w:t>
      </w:r>
      <w:r w:rsidR="00952FDE">
        <w:rPr>
          <w:lang w:val="fr-FR"/>
        </w:rPr>
        <w:t>es tâches suivantes</w:t>
      </w:r>
      <w:r w:rsidR="006411D1">
        <w:rPr>
          <w:lang w:val="fr-FR"/>
        </w:rPr>
        <w:t xml:space="preserve"> </w:t>
      </w:r>
      <w:r w:rsidRPr="001E1D85">
        <w:rPr>
          <w:lang w:val="fr-FR"/>
        </w:rPr>
        <w:t xml:space="preserve">: </w:t>
      </w:r>
    </w:p>
    <w:p w14:paraId="5B4AECC2" w14:textId="77777777" w:rsidR="00E55EC2" w:rsidRPr="00D130B4" w:rsidRDefault="00E55EC2" w:rsidP="008B55AE">
      <w:pPr>
        <w:rPr>
          <w:lang w:val="fr-FR"/>
        </w:rPr>
      </w:pPr>
    </w:p>
    <w:p w14:paraId="6469B4AD" w14:textId="77777777" w:rsidR="001E64BE" w:rsidRPr="00D130B4" w:rsidRDefault="001E64BE" w:rsidP="008B55AE">
      <w:pPr>
        <w:rPr>
          <w:lang w:val="fr-FR"/>
        </w:rPr>
      </w:pPr>
    </w:p>
    <w:p w14:paraId="464547C2" w14:textId="77777777" w:rsidR="004F4474" w:rsidRPr="00952FDE" w:rsidRDefault="00E55EC2" w:rsidP="008B55AE">
      <w:pPr>
        <w:ind w:left="850"/>
        <w:rPr>
          <w:lang w:val="fr-FR"/>
        </w:rPr>
      </w:pPr>
      <w:r w:rsidRPr="00952FDE">
        <w:rPr>
          <w:lang w:val="fr-FR"/>
        </w:rPr>
        <w:t>a.</w:t>
      </w:r>
      <w:r w:rsidRPr="00952FDE">
        <w:rPr>
          <w:lang w:val="fr-FR"/>
        </w:rPr>
        <w:tab/>
      </w:r>
      <w:r w:rsidR="00952FDE" w:rsidRPr="00952FDE">
        <w:rPr>
          <w:lang w:val="fr-FR"/>
        </w:rPr>
        <w:t xml:space="preserve">présenter au </w:t>
      </w:r>
      <w:r w:rsidR="00466DE0" w:rsidRPr="00952FDE">
        <w:rPr>
          <w:lang w:val="fr-FR"/>
        </w:rPr>
        <w:t>Comité permanent</w:t>
      </w:r>
      <w:r w:rsidR="004F4474" w:rsidRPr="00952FDE">
        <w:rPr>
          <w:lang w:val="fr-FR"/>
        </w:rPr>
        <w:t xml:space="preserve">, </w:t>
      </w:r>
      <w:r w:rsidR="00952FDE" w:rsidRPr="00952FDE">
        <w:rPr>
          <w:lang w:val="fr-FR"/>
        </w:rPr>
        <w:t xml:space="preserve">à sa </w:t>
      </w:r>
      <w:r w:rsidR="004F4474" w:rsidRPr="00952FDE">
        <w:rPr>
          <w:lang w:val="fr-FR"/>
        </w:rPr>
        <w:t>57</w:t>
      </w:r>
      <w:r w:rsidR="00952FDE" w:rsidRPr="00952FDE">
        <w:rPr>
          <w:vertAlign w:val="superscript"/>
          <w:lang w:val="fr-FR"/>
        </w:rPr>
        <w:t>e</w:t>
      </w:r>
      <w:r w:rsidR="00952FDE">
        <w:rPr>
          <w:lang w:val="fr-FR"/>
        </w:rPr>
        <w:t xml:space="preserve"> </w:t>
      </w:r>
      <w:r w:rsidR="00952FDE" w:rsidRPr="00952FDE">
        <w:rPr>
          <w:lang w:val="fr-FR"/>
        </w:rPr>
        <w:t xml:space="preserve">Réunion </w:t>
      </w:r>
      <w:r w:rsidR="004F4474" w:rsidRPr="00952FDE">
        <w:rPr>
          <w:lang w:val="fr-FR"/>
        </w:rPr>
        <w:t xml:space="preserve">(SC57), </w:t>
      </w:r>
      <w:r w:rsidR="004E1FB3" w:rsidRPr="00952FDE">
        <w:rPr>
          <w:lang w:val="fr-FR"/>
        </w:rPr>
        <w:t>sa proposition</w:t>
      </w:r>
      <w:r w:rsidR="004F4474" w:rsidRPr="00952FDE">
        <w:rPr>
          <w:lang w:val="fr-FR"/>
        </w:rPr>
        <w:t xml:space="preserve"> </w:t>
      </w:r>
      <w:r w:rsidR="00952FDE">
        <w:rPr>
          <w:lang w:val="fr-FR"/>
        </w:rPr>
        <w:t xml:space="preserve">concernant sa volonté d’assumer les responsabilités qui lui ont été confiées au titre de la </w:t>
      </w:r>
      <w:r w:rsidR="00466DE0" w:rsidRPr="00952FDE">
        <w:rPr>
          <w:lang w:val="fr-FR"/>
        </w:rPr>
        <w:t xml:space="preserve">Résolution </w:t>
      </w:r>
      <w:r w:rsidR="004F4474" w:rsidRPr="00952FDE">
        <w:rPr>
          <w:lang w:val="fr-FR"/>
        </w:rPr>
        <w:t>XII.9</w:t>
      </w:r>
      <w:r w:rsidR="006411D1">
        <w:rPr>
          <w:lang w:val="fr-FR"/>
        </w:rPr>
        <w:t> ;</w:t>
      </w:r>
      <w:r w:rsidR="004F4474" w:rsidRPr="00952FDE">
        <w:rPr>
          <w:lang w:val="fr-FR"/>
        </w:rPr>
        <w:t xml:space="preserve"> </w:t>
      </w:r>
    </w:p>
    <w:p w14:paraId="6ADEC16E" w14:textId="77777777" w:rsidR="00E55EC2" w:rsidRPr="00952FDE" w:rsidRDefault="00E55EC2" w:rsidP="008B55AE">
      <w:pPr>
        <w:ind w:left="850"/>
        <w:rPr>
          <w:lang w:val="fr-FR"/>
        </w:rPr>
      </w:pPr>
    </w:p>
    <w:p w14:paraId="7EAF7EA3" w14:textId="77777777" w:rsidR="004F4474" w:rsidRPr="00952FDE" w:rsidRDefault="004F4474" w:rsidP="008B55AE">
      <w:pPr>
        <w:ind w:left="850"/>
        <w:rPr>
          <w:lang w:val="fr-FR"/>
        </w:rPr>
      </w:pPr>
      <w:r w:rsidRPr="00952FDE">
        <w:rPr>
          <w:lang w:val="fr-FR"/>
        </w:rPr>
        <w:t>b.</w:t>
      </w:r>
      <w:r w:rsidRPr="00952FDE">
        <w:rPr>
          <w:lang w:val="fr-FR"/>
        </w:rPr>
        <w:tab/>
      </w:r>
      <w:r w:rsidR="00952FDE">
        <w:rPr>
          <w:lang w:val="fr-FR"/>
        </w:rPr>
        <w:t xml:space="preserve">élaborer une nouvelle approche pour soutenir l’application de la </w:t>
      </w:r>
      <w:r w:rsidR="00466DE0" w:rsidRPr="00952FDE">
        <w:rPr>
          <w:lang w:val="fr-FR"/>
        </w:rPr>
        <w:t>CESP</w:t>
      </w:r>
      <w:r w:rsidR="00952FDE">
        <w:rPr>
          <w:lang w:val="fr-FR"/>
        </w:rPr>
        <w:t xml:space="preserve"> en tenant compte des travaux déjà réalisés par le Groupe avant la </w:t>
      </w:r>
      <w:r w:rsidRPr="00952FDE">
        <w:rPr>
          <w:lang w:val="fr-FR"/>
        </w:rPr>
        <w:t>COP13</w:t>
      </w:r>
      <w:r w:rsidR="006411D1">
        <w:rPr>
          <w:lang w:val="fr-FR"/>
        </w:rPr>
        <w:t xml:space="preserve"> ;</w:t>
      </w:r>
    </w:p>
    <w:p w14:paraId="2D9A1FCA" w14:textId="77777777" w:rsidR="00E55EC2" w:rsidRPr="00952FDE" w:rsidRDefault="00E55EC2" w:rsidP="008B55AE">
      <w:pPr>
        <w:ind w:left="850"/>
        <w:rPr>
          <w:lang w:val="fr-FR"/>
        </w:rPr>
      </w:pPr>
    </w:p>
    <w:p w14:paraId="0CC24381" w14:textId="77777777" w:rsidR="00082B84" w:rsidRPr="00952FDE" w:rsidRDefault="004F4474" w:rsidP="009A579D">
      <w:pPr>
        <w:ind w:left="850"/>
        <w:rPr>
          <w:lang w:val="fr-FR"/>
        </w:rPr>
      </w:pPr>
      <w:r w:rsidRPr="00952FDE">
        <w:rPr>
          <w:lang w:val="fr-FR"/>
        </w:rPr>
        <w:t>c.</w:t>
      </w:r>
      <w:r w:rsidRPr="00952FDE">
        <w:rPr>
          <w:lang w:val="fr-FR"/>
        </w:rPr>
        <w:tab/>
      </w:r>
      <w:r w:rsidR="00952FDE">
        <w:rPr>
          <w:lang w:val="fr-FR"/>
        </w:rPr>
        <w:t>présenter sa proposition de nouvelle approche à la 59</w:t>
      </w:r>
      <w:r w:rsidR="00952FDE" w:rsidRPr="00952FDE">
        <w:rPr>
          <w:vertAlign w:val="superscript"/>
          <w:lang w:val="fr-FR"/>
        </w:rPr>
        <w:t>e</w:t>
      </w:r>
      <w:r w:rsidR="00952FDE">
        <w:rPr>
          <w:lang w:val="fr-FR"/>
        </w:rPr>
        <w:t xml:space="preserve"> Réunion du Comité </w:t>
      </w:r>
      <w:r w:rsidR="00082B84">
        <w:rPr>
          <w:lang w:val="fr-FR"/>
        </w:rPr>
        <w:t>permanent</w:t>
      </w:r>
      <w:r w:rsidR="00952FDE">
        <w:rPr>
          <w:lang w:val="fr-FR"/>
        </w:rPr>
        <w:t xml:space="preserve"> </w:t>
      </w:r>
      <w:r w:rsidR="00082B84">
        <w:rPr>
          <w:lang w:val="fr-FR"/>
        </w:rPr>
        <w:t xml:space="preserve">et un projet de </w:t>
      </w:r>
      <w:r w:rsidR="00082B84" w:rsidRPr="00952FDE">
        <w:rPr>
          <w:lang w:val="fr-FR"/>
        </w:rPr>
        <w:t>résolution</w:t>
      </w:r>
      <w:r w:rsidRPr="00952FDE">
        <w:rPr>
          <w:lang w:val="fr-FR"/>
        </w:rPr>
        <w:t xml:space="preserve"> </w:t>
      </w:r>
      <w:r w:rsidR="00082B84">
        <w:rPr>
          <w:lang w:val="fr-FR"/>
        </w:rPr>
        <w:t xml:space="preserve">à ce sujet pour examen à la </w:t>
      </w:r>
      <w:r w:rsidRPr="00952FDE">
        <w:rPr>
          <w:lang w:val="fr-FR"/>
        </w:rPr>
        <w:t>COP14</w:t>
      </w:r>
      <w:r w:rsidR="006411D1">
        <w:rPr>
          <w:lang w:val="fr-FR"/>
        </w:rPr>
        <w:t xml:space="preserve"> ;</w:t>
      </w:r>
      <w:r w:rsidRPr="00952FDE">
        <w:rPr>
          <w:lang w:val="fr-FR"/>
        </w:rPr>
        <w:t xml:space="preserve"> </w:t>
      </w:r>
      <w:r w:rsidR="00082B84">
        <w:rPr>
          <w:lang w:val="fr-FR"/>
        </w:rPr>
        <w:t xml:space="preserve">et </w:t>
      </w:r>
    </w:p>
    <w:p w14:paraId="13A46B68" w14:textId="77777777" w:rsidR="00E55EC2" w:rsidRPr="00952FDE" w:rsidRDefault="00E55EC2" w:rsidP="008B55AE">
      <w:pPr>
        <w:ind w:left="850"/>
        <w:rPr>
          <w:lang w:val="fr-FR"/>
        </w:rPr>
      </w:pPr>
    </w:p>
    <w:p w14:paraId="25B92975" w14:textId="77777777" w:rsidR="004F4474" w:rsidRDefault="004F4474" w:rsidP="008B55AE">
      <w:pPr>
        <w:ind w:left="850"/>
        <w:rPr>
          <w:lang w:val="fr-FR"/>
        </w:rPr>
      </w:pPr>
      <w:r w:rsidRPr="00952FDE">
        <w:rPr>
          <w:lang w:val="fr-FR"/>
        </w:rPr>
        <w:t>d.</w:t>
      </w:r>
      <w:r w:rsidRPr="00952FDE">
        <w:rPr>
          <w:lang w:val="fr-FR"/>
        </w:rPr>
        <w:tab/>
      </w:r>
      <w:r w:rsidR="009A579D">
        <w:rPr>
          <w:lang w:val="fr-FR"/>
        </w:rPr>
        <w:t xml:space="preserve">indiquer quelles </w:t>
      </w:r>
      <w:r w:rsidRPr="00952FDE">
        <w:rPr>
          <w:lang w:val="fr-FR"/>
        </w:rPr>
        <w:t xml:space="preserve">Parties </w:t>
      </w:r>
      <w:r w:rsidR="009A579D">
        <w:rPr>
          <w:lang w:val="fr-FR"/>
        </w:rPr>
        <w:t xml:space="preserve">ont accepté de se joindre aux activités déployées à cet effet par le Groupe de surveillance des activités de CESP, afin de s’assurer que, pour cette tâche spécifique, les six régions Ramsar soient représentées par des </w:t>
      </w:r>
      <w:r w:rsidRPr="00952FDE">
        <w:rPr>
          <w:lang w:val="fr-FR"/>
        </w:rPr>
        <w:t xml:space="preserve">Parties, </w:t>
      </w:r>
      <w:r w:rsidR="009A579D">
        <w:rPr>
          <w:lang w:val="fr-FR"/>
        </w:rPr>
        <w:t xml:space="preserve">précisant que d’autres </w:t>
      </w:r>
      <w:r w:rsidRPr="00952FDE">
        <w:rPr>
          <w:lang w:val="fr-FR"/>
        </w:rPr>
        <w:t xml:space="preserve">Parties </w:t>
      </w:r>
      <w:r w:rsidR="009A579D">
        <w:rPr>
          <w:lang w:val="fr-FR"/>
        </w:rPr>
        <w:t>en plus de ces six Parties pourront également collaborer tout en s’efforçant de maintenir un équilibre et une souplesse de gestion au niveau régional</w:t>
      </w:r>
      <w:r w:rsidRPr="00952FDE">
        <w:rPr>
          <w:lang w:val="fr-FR"/>
        </w:rPr>
        <w:t xml:space="preserve">. </w:t>
      </w:r>
    </w:p>
    <w:p w14:paraId="4B783B94" w14:textId="77777777" w:rsidR="00BD2799" w:rsidRPr="00952FDE" w:rsidRDefault="00BD2799" w:rsidP="009A579D">
      <w:pPr>
        <w:ind w:left="0" w:firstLine="0"/>
        <w:rPr>
          <w:lang w:val="fr-FR"/>
        </w:rPr>
      </w:pPr>
    </w:p>
    <w:p w14:paraId="5E9280F1" w14:textId="77777777" w:rsidR="00BD2799" w:rsidRPr="00952FDE" w:rsidRDefault="009A579D" w:rsidP="008B55AE">
      <w:pPr>
        <w:rPr>
          <w:b/>
          <w:lang w:val="fr-FR"/>
        </w:rPr>
      </w:pPr>
      <w:r>
        <w:rPr>
          <w:b/>
          <w:lang w:val="fr-FR"/>
        </w:rPr>
        <w:t xml:space="preserve">Établissement du </w:t>
      </w:r>
      <w:r w:rsidR="00466DE0" w:rsidRPr="00952FDE">
        <w:rPr>
          <w:b/>
          <w:lang w:val="fr-FR"/>
        </w:rPr>
        <w:t xml:space="preserve">Groupe de surveillance </w:t>
      </w:r>
      <w:r w:rsidR="00952FDE" w:rsidRPr="00952FDE">
        <w:rPr>
          <w:b/>
          <w:lang w:val="fr-FR"/>
        </w:rPr>
        <w:t>des activités</w:t>
      </w:r>
      <w:r w:rsidR="00466DE0" w:rsidRPr="00952FDE">
        <w:rPr>
          <w:b/>
          <w:lang w:val="fr-FR"/>
        </w:rPr>
        <w:t xml:space="preserve"> de CESP</w:t>
      </w:r>
      <w:r w:rsidR="00BD2799" w:rsidRPr="00952FDE">
        <w:rPr>
          <w:b/>
          <w:lang w:val="fr-FR"/>
        </w:rPr>
        <w:t xml:space="preserve"> </w:t>
      </w:r>
      <w:r>
        <w:rPr>
          <w:b/>
          <w:lang w:val="fr-FR"/>
        </w:rPr>
        <w:t xml:space="preserve">pour </w:t>
      </w:r>
      <w:r w:rsidR="00BD2799" w:rsidRPr="00952FDE">
        <w:rPr>
          <w:b/>
          <w:lang w:val="fr-FR"/>
        </w:rPr>
        <w:t>2019-2021</w:t>
      </w:r>
    </w:p>
    <w:p w14:paraId="35699822" w14:textId="77777777" w:rsidR="004F4474" w:rsidRPr="00952FDE" w:rsidRDefault="004F4474" w:rsidP="008B55AE">
      <w:pPr>
        <w:rPr>
          <w:lang w:val="fr-FR"/>
        </w:rPr>
      </w:pPr>
    </w:p>
    <w:p w14:paraId="2EFE307C" w14:textId="77777777" w:rsidR="004F4474" w:rsidRPr="00952FDE" w:rsidRDefault="005346C5" w:rsidP="008B55AE">
      <w:pPr>
        <w:rPr>
          <w:lang w:val="fr-FR"/>
        </w:rPr>
      </w:pPr>
      <w:r w:rsidRPr="00952FDE">
        <w:rPr>
          <w:lang w:val="fr-FR"/>
        </w:rPr>
        <w:t>6.</w:t>
      </w:r>
      <w:r w:rsidRPr="00952FDE">
        <w:rPr>
          <w:lang w:val="fr-FR"/>
        </w:rPr>
        <w:tab/>
      </w:r>
      <w:r w:rsidR="00057736">
        <w:rPr>
          <w:lang w:val="fr-FR"/>
        </w:rPr>
        <w:t xml:space="preserve">La </w:t>
      </w:r>
      <w:r w:rsidR="004F4474" w:rsidRPr="00952FDE">
        <w:rPr>
          <w:lang w:val="fr-FR"/>
        </w:rPr>
        <w:t xml:space="preserve">structure </w:t>
      </w:r>
      <w:r w:rsidR="00057736">
        <w:rPr>
          <w:lang w:val="fr-FR"/>
        </w:rPr>
        <w:t xml:space="preserve">existante du </w:t>
      </w:r>
      <w:r w:rsidR="00466DE0" w:rsidRPr="00952FDE">
        <w:rPr>
          <w:lang w:val="fr-FR"/>
        </w:rPr>
        <w:t xml:space="preserve">Groupe de surveillance </w:t>
      </w:r>
      <w:r w:rsidR="00952FDE" w:rsidRPr="00952FDE">
        <w:rPr>
          <w:lang w:val="fr-FR"/>
        </w:rPr>
        <w:t>des activités</w:t>
      </w:r>
      <w:r w:rsidR="00466DE0" w:rsidRPr="00952FDE">
        <w:rPr>
          <w:lang w:val="fr-FR"/>
        </w:rPr>
        <w:t xml:space="preserve"> de CESP</w:t>
      </w:r>
      <w:r w:rsidR="004F4474" w:rsidRPr="00952FDE">
        <w:rPr>
          <w:lang w:val="fr-FR"/>
        </w:rPr>
        <w:t xml:space="preserve"> (</w:t>
      </w:r>
      <w:r w:rsidR="00057736">
        <w:rPr>
          <w:lang w:val="fr-FR"/>
        </w:rPr>
        <w:t>établi à la 34</w:t>
      </w:r>
      <w:r w:rsidR="00057736" w:rsidRPr="00057736">
        <w:rPr>
          <w:vertAlign w:val="superscript"/>
          <w:lang w:val="fr-FR"/>
        </w:rPr>
        <w:t>e</w:t>
      </w:r>
      <w:r w:rsidR="00057736">
        <w:rPr>
          <w:lang w:val="fr-FR"/>
        </w:rPr>
        <w:t xml:space="preserve"> Réunion du Comité permanent en 2006 dans la </w:t>
      </w:r>
      <w:r w:rsidR="00057736" w:rsidRPr="00952FDE">
        <w:rPr>
          <w:lang w:val="fr-FR"/>
        </w:rPr>
        <w:t>Résolution</w:t>
      </w:r>
      <w:r w:rsidR="004F4474" w:rsidRPr="00952FDE">
        <w:rPr>
          <w:lang w:val="fr-FR"/>
        </w:rPr>
        <w:t xml:space="preserve"> IX.18)</w:t>
      </w:r>
      <w:r w:rsidR="00057736">
        <w:rPr>
          <w:lang w:val="fr-FR"/>
        </w:rPr>
        <w:t xml:space="preserve"> n’a pas répondu aux exigences</w:t>
      </w:r>
      <w:r w:rsidR="006411D1">
        <w:rPr>
          <w:lang w:val="fr-FR"/>
        </w:rPr>
        <w:t xml:space="preserve"> </w:t>
      </w:r>
      <w:r w:rsidR="00057736">
        <w:rPr>
          <w:lang w:val="fr-FR"/>
        </w:rPr>
        <w:t xml:space="preserve">énoncées dans la </w:t>
      </w:r>
      <w:r w:rsidR="00466DE0" w:rsidRPr="00952FDE">
        <w:rPr>
          <w:lang w:val="fr-FR"/>
        </w:rPr>
        <w:t xml:space="preserve">Résolution </w:t>
      </w:r>
      <w:r w:rsidR="004F4474" w:rsidRPr="00952FDE">
        <w:rPr>
          <w:lang w:val="fr-FR"/>
        </w:rPr>
        <w:t>XIII.5</w:t>
      </w:r>
      <w:r w:rsidR="00057736">
        <w:rPr>
          <w:lang w:val="fr-FR"/>
        </w:rPr>
        <w:t xml:space="preserve">, </w:t>
      </w:r>
      <w:r w:rsidR="00DF4A87">
        <w:rPr>
          <w:lang w:val="fr-FR"/>
        </w:rPr>
        <w:t xml:space="preserve">ni </w:t>
      </w:r>
      <w:r w:rsidR="00057736">
        <w:rPr>
          <w:lang w:val="fr-FR"/>
        </w:rPr>
        <w:t xml:space="preserve">reflété l’évolution des </w:t>
      </w:r>
      <w:r w:rsidR="004F4474" w:rsidRPr="00952FDE">
        <w:rPr>
          <w:lang w:val="fr-FR"/>
        </w:rPr>
        <w:t xml:space="preserve">structures </w:t>
      </w:r>
      <w:r w:rsidR="00057736">
        <w:rPr>
          <w:lang w:val="fr-FR"/>
        </w:rPr>
        <w:t xml:space="preserve">et des </w:t>
      </w:r>
      <w:r w:rsidR="004F4474" w:rsidRPr="00952FDE">
        <w:rPr>
          <w:lang w:val="fr-FR"/>
        </w:rPr>
        <w:t>group</w:t>
      </w:r>
      <w:r w:rsidR="00057736">
        <w:rPr>
          <w:lang w:val="fr-FR"/>
        </w:rPr>
        <w:t>e</w:t>
      </w:r>
      <w:r w:rsidR="004F4474" w:rsidRPr="00952FDE">
        <w:rPr>
          <w:lang w:val="fr-FR"/>
        </w:rPr>
        <w:t xml:space="preserve">s </w:t>
      </w:r>
      <w:r w:rsidR="00057736">
        <w:rPr>
          <w:lang w:val="fr-FR"/>
        </w:rPr>
        <w:t>de la C</w:t>
      </w:r>
      <w:r w:rsidR="004F4474" w:rsidRPr="00952FDE">
        <w:rPr>
          <w:lang w:val="fr-FR"/>
        </w:rPr>
        <w:t>onvention.</w:t>
      </w:r>
    </w:p>
    <w:p w14:paraId="6896E09B" w14:textId="77777777" w:rsidR="005346C5" w:rsidRPr="00952FDE" w:rsidRDefault="005346C5" w:rsidP="008B55AE">
      <w:pPr>
        <w:rPr>
          <w:lang w:val="fr-FR"/>
        </w:rPr>
      </w:pPr>
    </w:p>
    <w:p w14:paraId="7F339929" w14:textId="77777777" w:rsidR="004F4474" w:rsidRPr="00952FDE" w:rsidRDefault="005346C5" w:rsidP="008B55AE">
      <w:pPr>
        <w:rPr>
          <w:lang w:val="fr-FR"/>
        </w:rPr>
      </w:pPr>
      <w:r w:rsidRPr="00952FDE">
        <w:rPr>
          <w:lang w:val="fr-FR"/>
        </w:rPr>
        <w:t>7.</w:t>
      </w:r>
      <w:r w:rsidRPr="00952FDE">
        <w:rPr>
          <w:lang w:val="fr-FR"/>
        </w:rPr>
        <w:tab/>
      </w:r>
      <w:r w:rsidR="00057736">
        <w:rPr>
          <w:lang w:val="fr-FR"/>
        </w:rPr>
        <w:t>En av</w:t>
      </w:r>
      <w:r w:rsidR="004F4474" w:rsidRPr="00952FDE">
        <w:rPr>
          <w:lang w:val="fr-FR"/>
        </w:rPr>
        <w:t>ril 2019</w:t>
      </w:r>
      <w:r w:rsidR="00057736">
        <w:rPr>
          <w:lang w:val="fr-FR"/>
        </w:rPr>
        <w:t>,</w:t>
      </w:r>
      <w:r w:rsidR="004F4474" w:rsidRPr="00952FDE">
        <w:rPr>
          <w:lang w:val="fr-FR"/>
        </w:rPr>
        <w:t xml:space="preserve"> </w:t>
      </w:r>
      <w:r w:rsidR="00466DE0" w:rsidRPr="00952FDE">
        <w:rPr>
          <w:lang w:val="fr-FR"/>
        </w:rPr>
        <w:t>le Secrétariat</w:t>
      </w:r>
      <w:r w:rsidR="004F4474" w:rsidRPr="00952FDE">
        <w:rPr>
          <w:lang w:val="fr-FR"/>
        </w:rPr>
        <w:t xml:space="preserve"> </w:t>
      </w:r>
      <w:r w:rsidR="00057736">
        <w:rPr>
          <w:lang w:val="fr-FR"/>
        </w:rPr>
        <w:t>a prop</w:t>
      </w:r>
      <w:r w:rsidR="003E3DD0">
        <w:rPr>
          <w:lang w:val="fr-FR"/>
        </w:rPr>
        <w:t>osé une structure révisée et un</w:t>
      </w:r>
      <w:r w:rsidR="00057736">
        <w:rPr>
          <w:lang w:val="fr-FR"/>
        </w:rPr>
        <w:t xml:space="preserve"> mécanisme de travail pour le </w:t>
      </w:r>
      <w:r w:rsidR="00466DE0" w:rsidRPr="00952FDE">
        <w:rPr>
          <w:lang w:val="fr-FR"/>
        </w:rPr>
        <w:t xml:space="preserve">Groupe de surveillance </w:t>
      </w:r>
      <w:r w:rsidR="00952FDE" w:rsidRPr="00952FDE">
        <w:rPr>
          <w:lang w:val="fr-FR"/>
        </w:rPr>
        <w:t>des activités</w:t>
      </w:r>
      <w:r w:rsidR="00466DE0" w:rsidRPr="00952FDE">
        <w:rPr>
          <w:lang w:val="fr-FR"/>
        </w:rPr>
        <w:t xml:space="preserve"> de CESP</w:t>
      </w:r>
      <w:r w:rsidR="004F4474" w:rsidRPr="00952FDE">
        <w:rPr>
          <w:lang w:val="fr-FR"/>
        </w:rPr>
        <w:t xml:space="preserve">, </w:t>
      </w:r>
      <w:r w:rsidR="003E3DD0">
        <w:rPr>
          <w:lang w:val="fr-FR"/>
        </w:rPr>
        <w:t xml:space="preserve">qui ont été approuvés </w:t>
      </w:r>
      <w:r w:rsidR="00466DE0" w:rsidRPr="00952FDE">
        <w:rPr>
          <w:lang w:val="fr-FR"/>
        </w:rPr>
        <w:t>par le Comité permanent</w:t>
      </w:r>
      <w:r w:rsidR="004F4474" w:rsidRPr="00952FDE">
        <w:rPr>
          <w:lang w:val="fr-FR"/>
        </w:rPr>
        <w:t xml:space="preserve"> </w:t>
      </w:r>
      <w:r w:rsidR="003E3DD0">
        <w:rPr>
          <w:lang w:val="fr-FR"/>
        </w:rPr>
        <w:t>pendant l’</w:t>
      </w:r>
      <w:r w:rsidR="004F4474" w:rsidRPr="00952FDE">
        <w:rPr>
          <w:lang w:val="fr-FR"/>
        </w:rPr>
        <w:t xml:space="preserve">intersession. </w:t>
      </w:r>
      <w:r w:rsidR="003E3DD0">
        <w:rPr>
          <w:lang w:val="fr-FR"/>
        </w:rPr>
        <w:t xml:space="preserve">La nouvelle composition approuvée du Groupe se présente </w:t>
      </w:r>
      <w:r w:rsidR="00DF4A87">
        <w:rPr>
          <w:lang w:val="fr-FR"/>
        </w:rPr>
        <w:t xml:space="preserve">comme suit </w:t>
      </w:r>
      <w:r w:rsidR="004F4474" w:rsidRPr="00952FDE">
        <w:rPr>
          <w:lang w:val="fr-FR"/>
        </w:rPr>
        <w:t>:</w:t>
      </w:r>
    </w:p>
    <w:p w14:paraId="7987A796" w14:textId="77777777" w:rsidR="004F4474" w:rsidRPr="00952FDE" w:rsidRDefault="002F1B0E" w:rsidP="008B55AE">
      <w:pPr>
        <w:pStyle w:val="ListParagraph"/>
        <w:numPr>
          <w:ilvl w:val="0"/>
          <w:numId w:val="32"/>
        </w:numPr>
        <w:ind w:left="850" w:hanging="425"/>
        <w:rPr>
          <w:lang w:val="fr-FR"/>
        </w:rPr>
      </w:pPr>
      <w:r w:rsidRPr="00952FDE">
        <w:rPr>
          <w:lang w:val="fr-FR"/>
        </w:rPr>
        <w:t xml:space="preserve">Le </w:t>
      </w:r>
      <w:r w:rsidR="004F4474" w:rsidRPr="00952FDE">
        <w:rPr>
          <w:lang w:val="fr-FR"/>
        </w:rPr>
        <w:t>Vice-</w:t>
      </w:r>
      <w:r w:rsidRPr="00952FDE">
        <w:rPr>
          <w:lang w:val="fr-FR"/>
        </w:rPr>
        <w:t xml:space="preserve">Président </w:t>
      </w:r>
      <w:r w:rsidR="00466DE0" w:rsidRPr="00952FDE">
        <w:rPr>
          <w:lang w:val="fr-FR"/>
        </w:rPr>
        <w:t>du Comité permanent</w:t>
      </w:r>
      <w:r w:rsidR="004F4474" w:rsidRPr="00952FDE">
        <w:rPr>
          <w:lang w:val="fr-FR"/>
        </w:rPr>
        <w:t xml:space="preserve">, </w:t>
      </w:r>
      <w:r w:rsidR="003E3DD0">
        <w:rPr>
          <w:lang w:val="fr-FR"/>
        </w:rPr>
        <w:t xml:space="preserve">assurant la présidence </w:t>
      </w:r>
      <w:r w:rsidR="00057736">
        <w:rPr>
          <w:lang w:val="fr-FR"/>
        </w:rPr>
        <w:t xml:space="preserve">du </w:t>
      </w:r>
      <w:r w:rsidRPr="00952FDE">
        <w:rPr>
          <w:lang w:val="fr-FR"/>
        </w:rPr>
        <w:t>Groupe de surveillance des activités de CESP</w:t>
      </w:r>
      <w:r w:rsidR="006411D1">
        <w:rPr>
          <w:lang w:val="fr-FR"/>
        </w:rPr>
        <w:t xml:space="preserve"> ;</w:t>
      </w:r>
    </w:p>
    <w:p w14:paraId="643522B2" w14:textId="77777777" w:rsidR="004F4474" w:rsidRPr="00952FDE" w:rsidRDefault="003E3DD0" w:rsidP="008B55AE">
      <w:pPr>
        <w:pStyle w:val="ListParagraph"/>
        <w:numPr>
          <w:ilvl w:val="0"/>
          <w:numId w:val="32"/>
        </w:numPr>
        <w:ind w:left="850" w:hanging="425"/>
        <w:rPr>
          <w:lang w:val="fr-FR"/>
        </w:rPr>
      </w:pPr>
      <w:r>
        <w:rPr>
          <w:lang w:val="fr-FR"/>
        </w:rPr>
        <w:t xml:space="preserve">Un </w:t>
      </w:r>
      <w:r w:rsidR="001C557D" w:rsidRPr="00952FDE">
        <w:rPr>
          <w:lang w:val="fr-FR"/>
        </w:rPr>
        <w:t>m</w:t>
      </w:r>
      <w:r w:rsidR="004F4474" w:rsidRPr="00952FDE">
        <w:rPr>
          <w:lang w:val="fr-FR"/>
        </w:rPr>
        <w:t xml:space="preserve">aximum </w:t>
      </w:r>
      <w:r>
        <w:rPr>
          <w:lang w:val="fr-FR"/>
        </w:rPr>
        <w:t xml:space="preserve">de </w:t>
      </w:r>
      <w:r w:rsidR="004F4474" w:rsidRPr="00952FDE">
        <w:rPr>
          <w:lang w:val="fr-FR"/>
        </w:rPr>
        <w:t xml:space="preserve">six </w:t>
      </w:r>
      <w:r w:rsidR="004E1FB3" w:rsidRPr="00952FDE">
        <w:rPr>
          <w:lang w:val="fr-FR"/>
        </w:rPr>
        <w:t>représentant</w:t>
      </w:r>
      <w:r w:rsidR="004F4474" w:rsidRPr="00952FDE">
        <w:rPr>
          <w:lang w:val="fr-FR"/>
        </w:rPr>
        <w:t xml:space="preserve">s </w:t>
      </w:r>
      <w:r>
        <w:rPr>
          <w:lang w:val="fr-FR"/>
        </w:rPr>
        <w:t xml:space="preserve">des </w:t>
      </w:r>
      <w:r w:rsidR="002F1B0E" w:rsidRPr="00952FDE">
        <w:rPr>
          <w:lang w:val="fr-FR"/>
        </w:rPr>
        <w:t>Parties contractantes</w:t>
      </w:r>
      <w:r w:rsidR="004F4474" w:rsidRPr="00952FDE">
        <w:rPr>
          <w:lang w:val="fr-FR"/>
        </w:rPr>
        <w:t>,</w:t>
      </w:r>
      <w:r>
        <w:rPr>
          <w:lang w:val="fr-FR"/>
        </w:rPr>
        <w:t xml:space="preserve"> pouvant comprendre des Correspondants gouvernementaux </w:t>
      </w:r>
      <w:r w:rsidR="006411D1">
        <w:rPr>
          <w:lang w:val="fr-FR"/>
        </w:rPr>
        <w:t>de CESP</w:t>
      </w:r>
      <w:r w:rsidR="004F4474" w:rsidRPr="00952FDE">
        <w:rPr>
          <w:lang w:val="fr-FR"/>
        </w:rPr>
        <w:t xml:space="preserve">, </w:t>
      </w:r>
      <w:r>
        <w:rPr>
          <w:lang w:val="fr-FR"/>
        </w:rPr>
        <w:t xml:space="preserve">des représentants du Comité permanent ou d’autres </w:t>
      </w:r>
      <w:r w:rsidR="004E1FB3" w:rsidRPr="00952FDE">
        <w:rPr>
          <w:lang w:val="fr-FR"/>
        </w:rPr>
        <w:t>représentant</w:t>
      </w:r>
      <w:r w:rsidR="004F4474" w:rsidRPr="00952FDE">
        <w:rPr>
          <w:lang w:val="fr-FR"/>
        </w:rPr>
        <w:t xml:space="preserve">s </w:t>
      </w:r>
      <w:r>
        <w:rPr>
          <w:lang w:val="fr-FR"/>
        </w:rPr>
        <w:t xml:space="preserve">des </w:t>
      </w:r>
      <w:r w:rsidR="004F4474" w:rsidRPr="00952FDE">
        <w:rPr>
          <w:lang w:val="fr-FR"/>
        </w:rPr>
        <w:t>Parties (</w:t>
      </w:r>
      <w:r w:rsidR="00DF4A87">
        <w:rPr>
          <w:lang w:val="fr-FR"/>
        </w:rPr>
        <w:t>un maximum d’</w:t>
      </w:r>
      <w:r>
        <w:rPr>
          <w:lang w:val="fr-FR"/>
        </w:rPr>
        <w:t>un par région</w:t>
      </w:r>
      <w:r w:rsidR="004F4474" w:rsidRPr="00952FDE">
        <w:rPr>
          <w:lang w:val="fr-FR"/>
        </w:rPr>
        <w:t>)</w:t>
      </w:r>
      <w:r w:rsidR="006411D1">
        <w:rPr>
          <w:lang w:val="fr-FR"/>
        </w:rPr>
        <w:t xml:space="preserve"> ;</w:t>
      </w:r>
    </w:p>
    <w:p w14:paraId="6580F495" w14:textId="77777777" w:rsidR="004F4474" w:rsidRPr="00952FDE" w:rsidRDefault="003E3DD0" w:rsidP="008B55AE">
      <w:pPr>
        <w:pStyle w:val="ListParagraph"/>
        <w:numPr>
          <w:ilvl w:val="0"/>
          <w:numId w:val="32"/>
        </w:numPr>
        <w:ind w:left="850" w:hanging="425"/>
        <w:rPr>
          <w:lang w:val="fr-FR"/>
        </w:rPr>
      </w:pPr>
      <w:r>
        <w:rPr>
          <w:lang w:val="fr-FR"/>
        </w:rPr>
        <w:t xml:space="preserve">Le </w:t>
      </w:r>
      <w:r w:rsidR="004E1FB3" w:rsidRPr="00952FDE">
        <w:rPr>
          <w:lang w:val="fr-FR"/>
        </w:rPr>
        <w:t xml:space="preserve">Vice-Président </w:t>
      </w:r>
      <w:r w:rsidR="00057736">
        <w:rPr>
          <w:lang w:val="fr-FR"/>
        </w:rPr>
        <w:t xml:space="preserve">du </w:t>
      </w:r>
      <w:r w:rsidR="004E1FB3" w:rsidRPr="00952FDE">
        <w:rPr>
          <w:lang w:val="fr-FR"/>
        </w:rPr>
        <w:t>Groupe d’évaluation scientifique et technique</w:t>
      </w:r>
      <w:r w:rsidR="006411D1">
        <w:rPr>
          <w:lang w:val="fr-FR"/>
        </w:rPr>
        <w:t xml:space="preserve"> ;</w:t>
      </w:r>
    </w:p>
    <w:p w14:paraId="1F33E3E1" w14:textId="5F96C4E6" w:rsidR="004F4474" w:rsidRPr="00952FDE" w:rsidRDefault="003E3DD0" w:rsidP="008B55AE">
      <w:pPr>
        <w:pStyle w:val="ListParagraph"/>
        <w:numPr>
          <w:ilvl w:val="0"/>
          <w:numId w:val="32"/>
        </w:numPr>
        <w:ind w:left="850" w:hanging="425"/>
        <w:rPr>
          <w:lang w:val="fr-FR"/>
        </w:rPr>
      </w:pPr>
      <w:r>
        <w:rPr>
          <w:lang w:val="fr-FR"/>
        </w:rPr>
        <w:t xml:space="preserve">Un </w:t>
      </w:r>
      <w:r w:rsidR="001C557D" w:rsidRPr="00952FDE">
        <w:rPr>
          <w:lang w:val="fr-FR"/>
        </w:rPr>
        <w:t>m</w:t>
      </w:r>
      <w:r w:rsidR="004F4474" w:rsidRPr="00952FDE">
        <w:rPr>
          <w:lang w:val="fr-FR"/>
        </w:rPr>
        <w:t xml:space="preserve">aximum </w:t>
      </w:r>
      <w:r w:rsidR="004E1FB3" w:rsidRPr="00952FDE">
        <w:rPr>
          <w:lang w:val="fr-FR"/>
        </w:rPr>
        <w:t xml:space="preserve">de deux correspondants </w:t>
      </w:r>
      <w:r w:rsidR="00A212B6">
        <w:rPr>
          <w:lang w:val="fr-FR"/>
        </w:rPr>
        <w:t>d’</w:t>
      </w:r>
      <w:r w:rsidR="004E1FB3" w:rsidRPr="00952FDE">
        <w:rPr>
          <w:lang w:val="fr-FR"/>
        </w:rPr>
        <w:t xml:space="preserve">ONG </w:t>
      </w:r>
      <w:r w:rsidR="004F4474" w:rsidRPr="00952FDE">
        <w:rPr>
          <w:lang w:val="fr-FR"/>
        </w:rPr>
        <w:t>(</w:t>
      </w:r>
      <w:r>
        <w:rPr>
          <w:lang w:val="fr-FR"/>
        </w:rPr>
        <w:t>pas de la même région</w:t>
      </w:r>
      <w:r w:rsidR="004F4474" w:rsidRPr="00952FDE">
        <w:rPr>
          <w:lang w:val="fr-FR"/>
        </w:rPr>
        <w:t>)</w:t>
      </w:r>
      <w:r w:rsidR="006411D1">
        <w:rPr>
          <w:lang w:val="fr-FR"/>
        </w:rPr>
        <w:t xml:space="preserve"> ;</w:t>
      </w:r>
    </w:p>
    <w:p w14:paraId="24B9E9DC" w14:textId="77777777" w:rsidR="004F4474" w:rsidRPr="00952FDE" w:rsidRDefault="003E3DD0" w:rsidP="008B55AE">
      <w:pPr>
        <w:pStyle w:val="ListParagraph"/>
        <w:numPr>
          <w:ilvl w:val="0"/>
          <w:numId w:val="32"/>
        </w:numPr>
        <w:ind w:left="850" w:hanging="425"/>
        <w:rPr>
          <w:lang w:val="fr-FR"/>
        </w:rPr>
      </w:pPr>
      <w:r>
        <w:rPr>
          <w:lang w:val="fr-FR"/>
        </w:rPr>
        <w:t xml:space="preserve">Un </w:t>
      </w:r>
      <w:r w:rsidR="001C557D" w:rsidRPr="00952FDE">
        <w:rPr>
          <w:lang w:val="fr-FR"/>
        </w:rPr>
        <w:t xml:space="preserve">maximum </w:t>
      </w:r>
      <w:r>
        <w:rPr>
          <w:lang w:val="fr-FR"/>
        </w:rPr>
        <w:t xml:space="preserve">de </w:t>
      </w:r>
      <w:r w:rsidR="004E1FB3" w:rsidRPr="00952FDE">
        <w:rPr>
          <w:lang w:val="fr-FR"/>
        </w:rPr>
        <w:t>deux représentant</w:t>
      </w:r>
      <w:r w:rsidR="004F4474" w:rsidRPr="00952FDE">
        <w:rPr>
          <w:lang w:val="fr-FR"/>
        </w:rPr>
        <w:t xml:space="preserve">s </w:t>
      </w:r>
      <w:r w:rsidR="00057736">
        <w:rPr>
          <w:lang w:val="fr-FR"/>
        </w:rPr>
        <w:t xml:space="preserve">des </w:t>
      </w:r>
      <w:r>
        <w:rPr>
          <w:lang w:val="fr-FR"/>
        </w:rPr>
        <w:t>OIP</w:t>
      </w:r>
      <w:r w:rsidR="006411D1">
        <w:rPr>
          <w:lang w:val="fr-FR"/>
        </w:rPr>
        <w:t xml:space="preserve"> ;</w:t>
      </w:r>
      <w:r w:rsidR="004F4474" w:rsidRPr="00952FDE">
        <w:rPr>
          <w:lang w:val="fr-FR"/>
        </w:rPr>
        <w:t xml:space="preserve"> </w:t>
      </w:r>
      <w:r>
        <w:rPr>
          <w:lang w:val="fr-FR"/>
        </w:rPr>
        <w:t xml:space="preserve">et </w:t>
      </w:r>
    </w:p>
    <w:p w14:paraId="0B4D5C77" w14:textId="77777777" w:rsidR="004F4474" w:rsidRPr="00952FDE" w:rsidRDefault="003E3DD0" w:rsidP="008B55AE">
      <w:pPr>
        <w:pStyle w:val="ListParagraph"/>
        <w:numPr>
          <w:ilvl w:val="0"/>
          <w:numId w:val="32"/>
        </w:numPr>
        <w:ind w:left="850" w:hanging="425"/>
        <w:rPr>
          <w:lang w:val="fr-FR"/>
        </w:rPr>
      </w:pPr>
      <w:r>
        <w:rPr>
          <w:lang w:val="fr-FR"/>
        </w:rPr>
        <w:t xml:space="preserve">Un </w:t>
      </w:r>
      <w:r w:rsidR="004E1FB3" w:rsidRPr="00952FDE">
        <w:rPr>
          <w:lang w:val="fr-FR"/>
        </w:rPr>
        <w:t>représentant</w:t>
      </w:r>
      <w:r w:rsidR="001C557D" w:rsidRPr="00952FDE">
        <w:rPr>
          <w:lang w:val="fr-FR"/>
        </w:rPr>
        <w:t xml:space="preserve"> </w:t>
      </w:r>
      <w:r w:rsidR="00057736">
        <w:rPr>
          <w:lang w:val="fr-FR"/>
        </w:rPr>
        <w:t>d</w:t>
      </w:r>
      <w:r>
        <w:rPr>
          <w:lang w:val="fr-FR"/>
        </w:rPr>
        <w:t xml:space="preserve">u Secrétariat de </w:t>
      </w:r>
      <w:r w:rsidR="00057736">
        <w:rPr>
          <w:lang w:val="fr-FR"/>
        </w:rPr>
        <w:t>la C</w:t>
      </w:r>
      <w:r w:rsidR="001C557D" w:rsidRPr="00952FDE">
        <w:rPr>
          <w:lang w:val="fr-FR"/>
        </w:rPr>
        <w:t xml:space="preserve">onvention </w:t>
      </w:r>
      <w:r w:rsidR="004F4474" w:rsidRPr="00952FDE">
        <w:rPr>
          <w:lang w:val="fr-FR"/>
        </w:rPr>
        <w:t>(</w:t>
      </w:r>
      <w:r>
        <w:rPr>
          <w:i/>
          <w:lang w:val="fr-FR"/>
        </w:rPr>
        <w:t>ex-</w:t>
      </w:r>
      <w:r w:rsidR="004F4474" w:rsidRPr="00952FDE">
        <w:rPr>
          <w:i/>
          <w:lang w:val="fr-FR"/>
        </w:rPr>
        <w:t>officio</w:t>
      </w:r>
      <w:r w:rsidR="004F4474" w:rsidRPr="00952FDE">
        <w:rPr>
          <w:lang w:val="fr-FR"/>
        </w:rPr>
        <w:t>). </w:t>
      </w:r>
    </w:p>
    <w:p w14:paraId="31E0F5E8" w14:textId="77777777" w:rsidR="005346C5" w:rsidRPr="00952FDE" w:rsidRDefault="005346C5" w:rsidP="00714BE8">
      <w:pPr>
        <w:ind w:left="0"/>
        <w:rPr>
          <w:lang w:val="fr-FR"/>
        </w:rPr>
      </w:pPr>
    </w:p>
    <w:p w14:paraId="1E46935C" w14:textId="77777777" w:rsidR="004F4474" w:rsidRPr="004230E8" w:rsidRDefault="005346C5" w:rsidP="00153FE4">
      <w:pPr>
        <w:rPr>
          <w:lang w:val="fr-FR"/>
        </w:rPr>
      </w:pPr>
      <w:r w:rsidRPr="006411D1">
        <w:rPr>
          <w:lang w:val="fr-FR"/>
        </w:rPr>
        <w:t>8.</w:t>
      </w:r>
      <w:r w:rsidRPr="006411D1">
        <w:rPr>
          <w:lang w:val="fr-FR"/>
        </w:rPr>
        <w:tab/>
      </w:r>
      <w:r w:rsidR="00153FE4" w:rsidRPr="004230E8">
        <w:rPr>
          <w:lang w:val="fr-FR"/>
        </w:rPr>
        <w:t xml:space="preserve">Le </w:t>
      </w:r>
      <w:r w:rsidR="004F4474" w:rsidRPr="004230E8">
        <w:rPr>
          <w:lang w:val="fr-FR"/>
        </w:rPr>
        <w:t xml:space="preserve">29 </w:t>
      </w:r>
      <w:r w:rsidR="00153FE4" w:rsidRPr="004230E8">
        <w:rPr>
          <w:lang w:val="fr-FR"/>
        </w:rPr>
        <w:t xml:space="preserve">avril </w:t>
      </w:r>
      <w:r w:rsidR="004F4474" w:rsidRPr="004230E8">
        <w:rPr>
          <w:lang w:val="fr-FR"/>
        </w:rPr>
        <w:t xml:space="preserve">2019, </w:t>
      </w:r>
      <w:r w:rsidR="00466DE0" w:rsidRPr="004230E8">
        <w:rPr>
          <w:lang w:val="fr-FR"/>
        </w:rPr>
        <w:t>le Secrétariat</w:t>
      </w:r>
      <w:r w:rsidR="004230E8">
        <w:rPr>
          <w:lang w:val="fr-FR"/>
        </w:rPr>
        <w:t xml:space="preserve"> a lancé un appel pour la désignation des membres </w:t>
      </w:r>
      <w:r w:rsidR="00057736" w:rsidRPr="004230E8">
        <w:rPr>
          <w:lang w:val="fr-FR"/>
        </w:rPr>
        <w:t xml:space="preserve">du </w:t>
      </w:r>
      <w:r w:rsidR="00466DE0" w:rsidRPr="004230E8">
        <w:rPr>
          <w:lang w:val="fr-FR"/>
        </w:rPr>
        <w:t xml:space="preserve">Groupe de surveillance </w:t>
      </w:r>
      <w:r w:rsidR="00952FDE" w:rsidRPr="004230E8">
        <w:rPr>
          <w:lang w:val="fr-FR"/>
        </w:rPr>
        <w:t>des activités</w:t>
      </w:r>
      <w:r w:rsidR="00466DE0" w:rsidRPr="004230E8">
        <w:rPr>
          <w:lang w:val="fr-FR"/>
        </w:rPr>
        <w:t xml:space="preserve"> de CESP</w:t>
      </w:r>
      <w:r w:rsidR="004F4474" w:rsidRPr="004230E8">
        <w:rPr>
          <w:lang w:val="fr-FR"/>
        </w:rPr>
        <w:t xml:space="preserve"> </w:t>
      </w:r>
      <w:r w:rsidR="004230E8">
        <w:rPr>
          <w:lang w:val="fr-FR"/>
        </w:rPr>
        <w:t xml:space="preserve">pour la période triennale </w:t>
      </w:r>
      <w:r w:rsidR="004F4474" w:rsidRPr="004230E8">
        <w:rPr>
          <w:lang w:val="fr-FR"/>
        </w:rPr>
        <w:t xml:space="preserve">2019-2021. </w:t>
      </w:r>
      <w:r w:rsidR="004230E8">
        <w:rPr>
          <w:lang w:val="fr-FR"/>
        </w:rPr>
        <w:t xml:space="preserve">La date limite de présentation des candidatures a été fixée au </w:t>
      </w:r>
      <w:r w:rsidR="004F4474" w:rsidRPr="004230E8">
        <w:rPr>
          <w:lang w:val="fr-FR"/>
        </w:rPr>
        <w:t xml:space="preserve">27 </w:t>
      </w:r>
      <w:r w:rsidR="004E1FB3" w:rsidRPr="004230E8">
        <w:rPr>
          <w:lang w:val="fr-FR"/>
        </w:rPr>
        <w:t xml:space="preserve">mai </w:t>
      </w:r>
      <w:r w:rsidR="004F4474" w:rsidRPr="004230E8">
        <w:rPr>
          <w:lang w:val="fr-FR"/>
        </w:rPr>
        <w:t xml:space="preserve">2019. </w:t>
      </w:r>
      <w:r w:rsidR="004230E8">
        <w:rPr>
          <w:lang w:val="fr-FR"/>
        </w:rPr>
        <w:t xml:space="preserve">Le </w:t>
      </w:r>
      <w:r w:rsidR="004F4474" w:rsidRPr="004230E8">
        <w:rPr>
          <w:lang w:val="fr-FR"/>
        </w:rPr>
        <w:t xml:space="preserve">22 </w:t>
      </w:r>
      <w:r w:rsidR="004E1FB3" w:rsidRPr="004230E8">
        <w:rPr>
          <w:lang w:val="fr-FR"/>
        </w:rPr>
        <w:t xml:space="preserve">mai </w:t>
      </w:r>
      <w:r w:rsidR="004F4474" w:rsidRPr="004230E8">
        <w:rPr>
          <w:lang w:val="fr-FR"/>
        </w:rPr>
        <w:t>2019</w:t>
      </w:r>
      <w:r w:rsidR="004230E8">
        <w:rPr>
          <w:lang w:val="fr-FR"/>
        </w:rPr>
        <w:t xml:space="preserve">, une notification de rappel a été renvoyée à toutes les </w:t>
      </w:r>
      <w:r w:rsidR="00D806F2">
        <w:rPr>
          <w:lang w:val="fr-FR"/>
        </w:rPr>
        <w:t xml:space="preserve">Parties </w:t>
      </w:r>
      <w:r w:rsidR="002F1B0E" w:rsidRPr="004230E8">
        <w:rPr>
          <w:lang w:val="fr-FR"/>
        </w:rPr>
        <w:t>contractantes</w:t>
      </w:r>
      <w:r w:rsidR="004F4474" w:rsidRPr="004230E8">
        <w:rPr>
          <w:lang w:val="fr-FR"/>
        </w:rPr>
        <w:t>.</w:t>
      </w:r>
    </w:p>
    <w:p w14:paraId="148FEE3E" w14:textId="77777777" w:rsidR="005346C5" w:rsidRPr="004230E8" w:rsidRDefault="005346C5" w:rsidP="008B55AE">
      <w:pPr>
        <w:rPr>
          <w:lang w:val="fr-FR"/>
        </w:rPr>
      </w:pPr>
    </w:p>
    <w:p w14:paraId="70B36E60" w14:textId="2E6C5EA7" w:rsidR="00714BE8" w:rsidRPr="004230E8" w:rsidRDefault="005346C5" w:rsidP="008B55AE">
      <w:pPr>
        <w:rPr>
          <w:lang w:val="fr-FR"/>
        </w:rPr>
      </w:pPr>
      <w:r w:rsidRPr="004230E8">
        <w:rPr>
          <w:lang w:val="fr-FR"/>
        </w:rPr>
        <w:t>9.</w:t>
      </w:r>
      <w:r w:rsidRPr="004230E8">
        <w:rPr>
          <w:lang w:val="fr-FR"/>
        </w:rPr>
        <w:tab/>
      </w:r>
      <w:r w:rsidR="00D806F2">
        <w:rPr>
          <w:lang w:val="fr-FR"/>
        </w:rPr>
        <w:t xml:space="preserve">Au total, le </w:t>
      </w:r>
      <w:r w:rsidR="00466DE0" w:rsidRPr="004230E8">
        <w:rPr>
          <w:lang w:val="fr-FR"/>
        </w:rPr>
        <w:t>Secrétariat</w:t>
      </w:r>
      <w:r w:rsidR="002906B3" w:rsidRPr="004230E8">
        <w:rPr>
          <w:lang w:val="fr-FR"/>
        </w:rPr>
        <w:t xml:space="preserve"> </w:t>
      </w:r>
      <w:r w:rsidR="004230E8">
        <w:rPr>
          <w:lang w:val="fr-FR"/>
        </w:rPr>
        <w:t xml:space="preserve">a reçu </w:t>
      </w:r>
      <w:r w:rsidR="00F64D74" w:rsidRPr="004230E8">
        <w:rPr>
          <w:lang w:val="fr-FR"/>
        </w:rPr>
        <w:t>11</w:t>
      </w:r>
      <w:r w:rsidR="002906B3" w:rsidRPr="004230E8">
        <w:rPr>
          <w:lang w:val="fr-FR"/>
        </w:rPr>
        <w:t xml:space="preserve"> nominations </w:t>
      </w:r>
      <w:r w:rsidR="004230E8">
        <w:rPr>
          <w:lang w:val="fr-FR"/>
        </w:rPr>
        <w:t>dans les délais</w:t>
      </w:r>
      <w:r w:rsidR="002906B3" w:rsidRPr="004230E8">
        <w:rPr>
          <w:lang w:val="fr-FR"/>
        </w:rPr>
        <w:t xml:space="preserve">, </w:t>
      </w:r>
      <w:r w:rsidR="004230E8">
        <w:rPr>
          <w:lang w:val="fr-FR"/>
        </w:rPr>
        <w:t xml:space="preserve">neuf pour des </w:t>
      </w:r>
      <w:r w:rsidR="004E1FB3" w:rsidRPr="004230E8">
        <w:rPr>
          <w:lang w:val="fr-FR"/>
        </w:rPr>
        <w:t>représentant</w:t>
      </w:r>
      <w:r w:rsidR="002906B3" w:rsidRPr="004230E8">
        <w:rPr>
          <w:lang w:val="fr-FR"/>
        </w:rPr>
        <w:t xml:space="preserve">s </w:t>
      </w:r>
      <w:r w:rsidR="004230E8">
        <w:rPr>
          <w:lang w:val="fr-FR"/>
        </w:rPr>
        <w:t xml:space="preserve">des </w:t>
      </w:r>
      <w:r w:rsidR="002F1B0E" w:rsidRPr="004230E8">
        <w:rPr>
          <w:lang w:val="fr-FR"/>
        </w:rPr>
        <w:t>Parties contractantes</w:t>
      </w:r>
      <w:r w:rsidR="002906B3" w:rsidRPr="004230E8">
        <w:rPr>
          <w:lang w:val="fr-FR"/>
        </w:rPr>
        <w:t xml:space="preserve"> </w:t>
      </w:r>
      <w:r w:rsidR="004230E8">
        <w:rPr>
          <w:lang w:val="fr-FR"/>
        </w:rPr>
        <w:t xml:space="preserve">et deux pour un correspondant </w:t>
      </w:r>
      <w:r w:rsidR="00A212B6">
        <w:rPr>
          <w:lang w:val="fr-FR"/>
        </w:rPr>
        <w:t>d’</w:t>
      </w:r>
      <w:r w:rsidR="004230E8">
        <w:rPr>
          <w:lang w:val="fr-FR"/>
        </w:rPr>
        <w:t>ONG</w:t>
      </w:r>
      <w:r w:rsidR="002906B3" w:rsidRPr="004230E8">
        <w:rPr>
          <w:lang w:val="fr-FR"/>
        </w:rPr>
        <w:t xml:space="preserve">. </w:t>
      </w:r>
      <w:r w:rsidR="00D806F2">
        <w:rPr>
          <w:lang w:val="fr-FR"/>
        </w:rPr>
        <w:t xml:space="preserve">Deux régions n’ont pas désigné de représentant, </w:t>
      </w:r>
      <w:r w:rsidR="004230E8">
        <w:rPr>
          <w:lang w:val="fr-FR"/>
        </w:rPr>
        <w:t xml:space="preserve">ne respectant pas en cela l’exigence </w:t>
      </w:r>
      <w:r w:rsidR="0037794D">
        <w:rPr>
          <w:lang w:val="fr-FR"/>
        </w:rPr>
        <w:t xml:space="preserve">selon laquelle </w:t>
      </w:r>
      <w:r w:rsidR="004230E8">
        <w:rPr>
          <w:lang w:val="fr-FR"/>
        </w:rPr>
        <w:t xml:space="preserve">les six régions </w:t>
      </w:r>
      <w:r w:rsidR="0037794D">
        <w:rPr>
          <w:lang w:val="fr-FR"/>
        </w:rPr>
        <w:t xml:space="preserve">doivent être </w:t>
      </w:r>
      <w:r w:rsidR="004230E8">
        <w:rPr>
          <w:lang w:val="fr-FR"/>
        </w:rPr>
        <w:t>représentées</w:t>
      </w:r>
      <w:r w:rsidR="002906B3" w:rsidRPr="004230E8">
        <w:rPr>
          <w:lang w:val="fr-FR"/>
        </w:rPr>
        <w:t xml:space="preserve">. </w:t>
      </w:r>
    </w:p>
    <w:p w14:paraId="2E9E5F5F" w14:textId="77777777" w:rsidR="00714BE8" w:rsidRPr="004230E8" w:rsidRDefault="00714BE8" w:rsidP="008B55AE">
      <w:pPr>
        <w:rPr>
          <w:lang w:val="fr-FR"/>
        </w:rPr>
      </w:pPr>
    </w:p>
    <w:p w14:paraId="0CBD9B27" w14:textId="77777777" w:rsidR="00CA2DAD" w:rsidRPr="004230E8" w:rsidRDefault="005346C5" w:rsidP="008B55AE">
      <w:pPr>
        <w:rPr>
          <w:lang w:val="fr-FR"/>
        </w:rPr>
      </w:pPr>
      <w:r w:rsidRPr="004230E8">
        <w:rPr>
          <w:lang w:val="fr-FR"/>
        </w:rPr>
        <w:t>10.</w:t>
      </w:r>
      <w:r w:rsidR="002906B3" w:rsidRPr="004230E8">
        <w:rPr>
          <w:lang w:val="fr-FR"/>
        </w:rPr>
        <w:tab/>
      </w:r>
      <w:r w:rsidR="0037794D">
        <w:rPr>
          <w:lang w:val="fr-FR"/>
        </w:rPr>
        <w:t xml:space="preserve">Après </w:t>
      </w:r>
      <w:r w:rsidR="002906B3" w:rsidRPr="004230E8">
        <w:rPr>
          <w:lang w:val="fr-FR"/>
        </w:rPr>
        <w:t xml:space="preserve">consultation </w:t>
      </w:r>
      <w:r w:rsidR="0037794D">
        <w:rPr>
          <w:lang w:val="fr-FR"/>
        </w:rPr>
        <w:t xml:space="preserve">avec le nouveau Président du </w:t>
      </w:r>
      <w:r w:rsidR="00466DE0" w:rsidRPr="004230E8">
        <w:rPr>
          <w:lang w:val="fr-FR"/>
        </w:rPr>
        <w:t xml:space="preserve">Groupe de surveillance </w:t>
      </w:r>
      <w:r w:rsidR="00952FDE" w:rsidRPr="004230E8">
        <w:rPr>
          <w:lang w:val="fr-FR"/>
        </w:rPr>
        <w:t>des activités</w:t>
      </w:r>
      <w:r w:rsidR="00466DE0" w:rsidRPr="004230E8">
        <w:rPr>
          <w:lang w:val="fr-FR"/>
        </w:rPr>
        <w:t xml:space="preserve"> de CESP</w:t>
      </w:r>
      <w:r w:rsidR="002906B3" w:rsidRPr="004230E8">
        <w:rPr>
          <w:lang w:val="fr-FR"/>
        </w:rPr>
        <w:t xml:space="preserve">, </w:t>
      </w:r>
      <w:r w:rsidR="00466DE0" w:rsidRPr="004230E8">
        <w:rPr>
          <w:lang w:val="fr-FR"/>
        </w:rPr>
        <w:t>le Secrétariat</w:t>
      </w:r>
      <w:r w:rsidR="002906B3" w:rsidRPr="004230E8">
        <w:rPr>
          <w:lang w:val="fr-FR"/>
        </w:rPr>
        <w:t xml:space="preserve"> </w:t>
      </w:r>
      <w:r w:rsidR="0037794D">
        <w:rPr>
          <w:lang w:val="fr-FR"/>
        </w:rPr>
        <w:t xml:space="preserve">a contacté les </w:t>
      </w:r>
      <w:r w:rsidR="002906B3" w:rsidRPr="004230E8">
        <w:rPr>
          <w:lang w:val="fr-FR"/>
        </w:rPr>
        <w:t xml:space="preserve">Parties </w:t>
      </w:r>
      <w:r w:rsidR="0037794D">
        <w:rPr>
          <w:lang w:val="fr-FR"/>
        </w:rPr>
        <w:t xml:space="preserve">des </w:t>
      </w:r>
      <w:r w:rsidR="004E1FB3" w:rsidRPr="004230E8">
        <w:rPr>
          <w:lang w:val="fr-FR"/>
        </w:rPr>
        <w:t>deux région</w:t>
      </w:r>
      <w:r w:rsidR="002906B3" w:rsidRPr="004230E8">
        <w:rPr>
          <w:lang w:val="fr-FR"/>
        </w:rPr>
        <w:t xml:space="preserve">s </w:t>
      </w:r>
      <w:r w:rsidR="0037794D">
        <w:rPr>
          <w:lang w:val="fr-FR"/>
        </w:rPr>
        <w:t xml:space="preserve">qui n’avaient pas désigné de </w:t>
      </w:r>
      <w:r w:rsidR="004E1FB3" w:rsidRPr="004230E8">
        <w:rPr>
          <w:lang w:val="fr-FR"/>
        </w:rPr>
        <w:t>représentant</w:t>
      </w:r>
      <w:r w:rsidR="002906B3" w:rsidRPr="004230E8">
        <w:rPr>
          <w:lang w:val="fr-FR"/>
        </w:rPr>
        <w:t xml:space="preserve"> </w:t>
      </w:r>
      <w:r w:rsidR="0037794D">
        <w:rPr>
          <w:lang w:val="fr-FR"/>
        </w:rPr>
        <w:t xml:space="preserve">et a demandé aux </w:t>
      </w:r>
      <w:r w:rsidR="002F1B0E" w:rsidRPr="004230E8">
        <w:rPr>
          <w:lang w:val="fr-FR"/>
        </w:rPr>
        <w:t>Parties contractantes</w:t>
      </w:r>
      <w:r w:rsidR="002906B3" w:rsidRPr="004230E8">
        <w:rPr>
          <w:lang w:val="fr-FR"/>
        </w:rPr>
        <w:t xml:space="preserve"> </w:t>
      </w:r>
      <w:r w:rsidR="0037794D">
        <w:rPr>
          <w:lang w:val="fr-FR"/>
        </w:rPr>
        <w:t xml:space="preserve">de proposer des candidatures susceptibles d’être </w:t>
      </w:r>
      <w:r w:rsidR="0037794D">
        <w:rPr>
          <w:lang w:val="fr-FR"/>
        </w:rPr>
        <w:lastRenderedPageBreak/>
        <w:t>présentées à la 57</w:t>
      </w:r>
      <w:r w:rsidR="0037794D" w:rsidRPr="0037794D">
        <w:rPr>
          <w:vertAlign w:val="superscript"/>
          <w:lang w:val="fr-FR"/>
        </w:rPr>
        <w:t>e</w:t>
      </w:r>
      <w:r w:rsidR="0037794D">
        <w:rPr>
          <w:lang w:val="fr-FR"/>
        </w:rPr>
        <w:t xml:space="preserve"> Réunion du Comité permanent afin qu’un projet de liste de membres du Groupe puisse être </w:t>
      </w:r>
      <w:r w:rsidR="00D806F2">
        <w:rPr>
          <w:lang w:val="fr-FR"/>
        </w:rPr>
        <w:t xml:space="preserve">soumis au </w:t>
      </w:r>
      <w:r w:rsidR="00466DE0" w:rsidRPr="004230E8">
        <w:rPr>
          <w:lang w:val="fr-FR"/>
        </w:rPr>
        <w:t>Comité permanent</w:t>
      </w:r>
      <w:r w:rsidR="00D806F2">
        <w:rPr>
          <w:lang w:val="fr-FR"/>
        </w:rPr>
        <w:t xml:space="preserve"> pour approbation</w:t>
      </w:r>
      <w:r w:rsidR="002906B3" w:rsidRPr="004230E8">
        <w:rPr>
          <w:lang w:val="fr-FR"/>
        </w:rPr>
        <w:t xml:space="preserve">. </w:t>
      </w:r>
    </w:p>
    <w:p w14:paraId="60F5E043" w14:textId="77777777" w:rsidR="00714BE8" w:rsidRPr="004230E8" w:rsidRDefault="00714BE8" w:rsidP="008B55AE">
      <w:pPr>
        <w:rPr>
          <w:lang w:val="fr-FR"/>
        </w:rPr>
      </w:pPr>
    </w:p>
    <w:p w14:paraId="53A953EA" w14:textId="77777777" w:rsidR="00CA2DAD" w:rsidRPr="004230E8" w:rsidRDefault="00CA2DAD" w:rsidP="008B55AE">
      <w:pPr>
        <w:rPr>
          <w:lang w:val="fr-FR"/>
        </w:rPr>
      </w:pPr>
      <w:r w:rsidRPr="004230E8">
        <w:rPr>
          <w:lang w:val="fr-FR"/>
        </w:rPr>
        <w:t>11.</w:t>
      </w:r>
      <w:r w:rsidRPr="004230E8">
        <w:rPr>
          <w:lang w:val="fr-FR"/>
        </w:rPr>
        <w:tab/>
      </w:r>
      <w:r w:rsidR="00466DE0" w:rsidRPr="004230E8">
        <w:rPr>
          <w:lang w:val="fr-FR"/>
        </w:rPr>
        <w:t>Le Secrétariat</w:t>
      </w:r>
      <w:r w:rsidR="0037794D">
        <w:rPr>
          <w:lang w:val="fr-FR"/>
        </w:rPr>
        <w:t xml:space="preserve"> invite</w:t>
      </w:r>
      <w:r w:rsidRPr="004230E8">
        <w:rPr>
          <w:lang w:val="fr-FR"/>
        </w:rPr>
        <w:t xml:space="preserve"> </w:t>
      </w:r>
      <w:r w:rsidR="00466DE0" w:rsidRPr="004230E8">
        <w:rPr>
          <w:lang w:val="fr-FR"/>
        </w:rPr>
        <w:t>le Comité permanent</w:t>
      </w:r>
      <w:r w:rsidRPr="004230E8">
        <w:rPr>
          <w:lang w:val="fr-FR"/>
        </w:rPr>
        <w:t xml:space="preserve"> </w:t>
      </w:r>
      <w:r w:rsidR="0037794D">
        <w:rPr>
          <w:lang w:val="fr-FR"/>
        </w:rPr>
        <w:t xml:space="preserve">à prendre les mesures requises pour garantir que la composition du </w:t>
      </w:r>
      <w:r w:rsidR="00466DE0" w:rsidRPr="004230E8">
        <w:rPr>
          <w:lang w:val="fr-FR"/>
        </w:rPr>
        <w:t xml:space="preserve">Groupe de surveillance </w:t>
      </w:r>
      <w:r w:rsidR="00952FDE" w:rsidRPr="004230E8">
        <w:rPr>
          <w:lang w:val="fr-FR"/>
        </w:rPr>
        <w:t>des activités</w:t>
      </w:r>
      <w:r w:rsidR="00466DE0" w:rsidRPr="004230E8">
        <w:rPr>
          <w:lang w:val="fr-FR"/>
        </w:rPr>
        <w:t xml:space="preserve"> de CESP</w:t>
      </w:r>
      <w:r w:rsidRPr="004230E8">
        <w:rPr>
          <w:lang w:val="fr-FR"/>
        </w:rPr>
        <w:t xml:space="preserve"> </w:t>
      </w:r>
      <w:r w:rsidR="0037794D">
        <w:rPr>
          <w:lang w:val="fr-FR"/>
        </w:rPr>
        <w:t xml:space="preserve">pour </w:t>
      </w:r>
      <w:r w:rsidRPr="004230E8">
        <w:rPr>
          <w:lang w:val="fr-FR"/>
        </w:rPr>
        <w:t xml:space="preserve">2019-2021 </w:t>
      </w:r>
      <w:r w:rsidR="0037794D">
        <w:rPr>
          <w:lang w:val="fr-FR"/>
        </w:rPr>
        <w:t xml:space="preserve">soit conforme aux </w:t>
      </w:r>
      <w:r w:rsidR="004E1FB3" w:rsidRPr="004230E8">
        <w:rPr>
          <w:lang w:val="fr-FR"/>
        </w:rPr>
        <w:t>dispositions</w:t>
      </w:r>
      <w:r w:rsidR="00362D22" w:rsidRPr="004230E8">
        <w:rPr>
          <w:lang w:val="fr-FR"/>
        </w:rPr>
        <w:t xml:space="preserve"> </w:t>
      </w:r>
      <w:r w:rsidR="00466DE0" w:rsidRPr="004230E8">
        <w:rPr>
          <w:lang w:val="fr-FR"/>
        </w:rPr>
        <w:t xml:space="preserve">de la Résolution </w:t>
      </w:r>
      <w:r w:rsidR="00362D22" w:rsidRPr="004230E8">
        <w:rPr>
          <w:lang w:val="fr-FR"/>
        </w:rPr>
        <w:t xml:space="preserve">XIII.5 </w:t>
      </w:r>
      <w:r w:rsidR="0037794D">
        <w:rPr>
          <w:lang w:val="fr-FR"/>
        </w:rPr>
        <w:t xml:space="preserve">énoncées au </w:t>
      </w:r>
      <w:r w:rsidR="00466DE0" w:rsidRPr="004230E8">
        <w:rPr>
          <w:lang w:val="fr-FR"/>
        </w:rPr>
        <w:t xml:space="preserve">paragraphe </w:t>
      </w:r>
      <w:r w:rsidR="00362D22" w:rsidRPr="004230E8">
        <w:rPr>
          <w:lang w:val="fr-FR"/>
        </w:rPr>
        <w:t xml:space="preserve">6.d </w:t>
      </w:r>
      <w:r w:rsidR="0037794D">
        <w:rPr>
          <w:lang w:val="fr-FR"/>
        </w:rPr>
        <w:t xml:space="preserve">ci-dessus, de telle sorte que le Groupe puisse mener ses travaux tels que décrits aux </w:t>
      </w:r>
      <w:r w:rsidR="004E1FB3" w:rsidRPr="004230E8">
        <w:rPr>
          <w:lang w:val="fr-FR"/>
        </w:rPr>
        <w:t xml:space="preserve">paragraphes </w:t>
      </w:r>
      <w:r w:rsidR="00362D22" w:rsidRPr="004230E8">
        <w:rPr>
          <w:lang w:val="fr-FR"/>
        </w:rPr>
        <w:t xml:space="preserve">24-27 </w:t>
      </w:r>
      <w:r w:rsidR="00466DE0" w:rsidRPr="004230E8">
        <w:rPr>
          <w:lang w:val="fr-FR"/>
        </w:rPr>
        <w:t xml:space="preserve">de la Résolution </w:t>
      </w:r>
      <w:r w:rsidR="00362D22" w:rsidRPr="004230E8">
        <w:rPr>
          <w:lang w:val="fr-FR"/>
        </w:rPr>
        <w:t xml:space="preserve">XIII.5, </w:t>
      </w:r>
      <w:r w:rsidR="0037794D">
        <w:rPr>
          <w:lang w:val="fr-FR"/>
        </w:rPr>
        <w:t xml:space="preserve">et présenter </w:t>
      </w:r>
      <w:r w:rsidR="00466DE0" w:rsidRPr="004230E8">
        <w:rPr>
          <w:lang w:val="fr-FR"/>
        </w:rPr>
        <w:t>au Comité permanent</w:t>
      </w:r>
      <w:r w:rsidR="00362D22" w:rsidRPr="004230E8">
        <w:rPr>
          <w:lang w:val="fr-FR"/>
        </w:rPr>
        <w:t xml:space="preserve">, </w:t>
      </w:r>
      <w:r w:rsidR="004E1FB3" w:rsidRPr="004230E8">
        <w:rPr>
          <w:lang w:val="fr-FR"/>
        </w:rPr>
        <w:t>à sa 58</w:t>
      </w:r>
      <w:r w:rsidR="004E1FB3" w:rsidRPr="004230E8">
        <w:rPr>
          <w:vertAlign w:val="superscript"/>
          <w:lang w:val="fr-FR"/>
        </w:rPr>
        <w:t>e</w:t>
      </w:r>
      <w:r w:rsidR="004E1FB3" w:rsidRPr="004230E8">
        <w:rPr>
          <w:lang w:val="fr-FR"/>
        </w:rPr>
        <w:t xml:space="preserve"> Session</w:t>
      </w:r>
      <w:r w:rsidR="00362D22" w:rsidRPr="004230E8">
        <w:rPr>
          <w:lang w:val="fr-FR"/>
        </w:rPr>
        <w:t xml:space="preserve">, </w:t>
      </w:r>
      <w:r w:rsidR="004E1FB3" w:rsidRPr="004230E8">
        <w:rPr>
          <w:lang w:val="fr-FR"/>
        </w:rPr>
        <w:t>sa proposition</w:t>
      </w:r>
      <w:r w:rsidR="00362D22" w:rsidRPr="004230E8">
        <w:rPr>
          <w:lang w:val="fr-FR"/>
        </w:rPr>
        <w:t xml:space="preserve"> </w:t>
      </w:r>
      <w:r w:rsidR="0037794D">
        <w:rPr>
          <w:lang w:val="fr-FR"/>
        </w:rPr>
        <w:t xml:space="preserve">d’assumer les </w:t>
      </w:r>
      <w:r w:rsidR="004E1FB3" w:rsidRPr="004230E8">
        <w:rPr>
          <w:lang w:val="fr-FR"/>
        </w:rPr>
        <w:t>responsabilités</w:t>
      </w:r>
      <w:r w:rsidR="00362D22" w:rsidRPr="004230E8">
        <w:rPr>
          <w:lang w:val="fr-FR"/>
        </w:rPr>
        <w:t xml:space="preserve"> </w:t>
      </w:r>
      <w:r w:rsidR="00D806F2">
        <w:rPr>
          <w:lang w:val="fr-FR"/>
        </w:rPr>
        <w:t xml:space="preserve">qui lui </w:t>
      </w:r>
      <w:r w:rsidR="0037794D">
        <w:rPr>
          <w:lang w:val="fr-FR"/>
        </w:rPr>
        <w:t xml:space="preserve">ont </w:t>
      </w:r>
      <w:r w:rsidR="00D806F2">
        <w:rPr>
          <w:lang w:val="fr-FR"/>
        </w:rPr>
        <w:t xml:space="preserve">été confiées au titre de </w:t>
      </w:r>
      <w:r w:rsidR="00466DE0" w:rsidRPr="004230E8">
        <w:rPr>
          <w:lang w:val="fr-FR"/>
        </w:rPr>
        <w:t xml:space="preserve">la Résolution </w:t>
      </w:r>
      <w:r w:rsidR="00362D22" w:rsidRPr="004230E8">
        <w:rPr>
          <w:lang w:val="fr-FR"/>
        </w:rPr>
        <w:t>XII.9.</w:t>
      </w:r>
    </w:p>
    <w:p w14:paraId="22050F3A" w14:textId="77777777" w:rsidR="004F4474" w:rsidRPr="004230E8" w:rsidRDefault="004F4474" w:rsidP="004F4474">
      <w:pPr>
        <w:ind w:left="0" w:firstLine="0"/>
        <w:rPr>
          <w:rFonts w:cs="Arial"/>
          <w:b/>
          <w:lang w:val="fr-FR"/>
        </w:rPr>
      </w:pPr>
    </w:p>
    <w:sectPr w:rsidR="004F4474" w:rsidRPr="004230E8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A28C2" w14:textId="77777777" w:rsidR="00F37F5B" w:rsidRDefault="00F37F5B" w:rsidP="00DF2386">
      <w:r>
        <w:separator/>
      </w:r>
    </w:p>
  </w:endnote>
  <w:endnote w:type="continuationSeparator" w:id="0">
    <w:p w14:paraId="477ED907" w14:textId="77777777" w:rsidR="00F37F5B" w:rsidRDefault="00F37F5B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B026" w14:textId="0B49FF92" w:rsidR="00F73E71" w:rsidRDefault="004F4474" w:rsidP="002137E0">
    <w:pPr>
      <w:pStyle w:val="Header"/>
      <w:rPr>
        <w:noProof/>
      </w:rPr>
    </w:pPr>
    <w:r>
      <w:rPr>
        <w:sz w:val="20"/>
        <w:szCs w:val="20"/>
      </w:rPr>
      <w:t>SC57 Doc.15.1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D130B4">
          <w:rPr>
            <w:noProof/>
            <w:sz w:val="20"/>
            <w:szCs w:val="20"/>
          </w:rPr>
          <w:t>3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655D" w14:textId="77777777" w:rsidR="00F37F5B" w:rsidRDefault="00F37F5B" w:rsidP="00DF2386">
      <w:r>
        <w:separator/>
      </w:r>
    </w:p>
  </w:footnote>
  <w:footnote w:type="continuationSeparator" w:id="0">
    <w:p w14:paraId="2A37C17E" w14:textId="77777777" w:rsidR="00F37F5B" w:rsidRDefault="00F37F5B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F64D0" w14:textId="77777777" w:rsidR="00F73E71" w:rsidRDefault="00F73E71">
    <w:pPr>
      <w:pStyle w:val="Header"/>
    </w:pPr>
  </w:p>
  <w:p w14:paraId="65DB57C0" w14:textId="77777777"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08766F"/>
    <w:multiLevelType w:val="hybridMultilevel"/>
    <w:tmpl w:val="C4AC9248"/>
    <w:lvl w:ilvl="0" w:tplc="45A06F0E">
      <w:start w:val="1"/>
      <w:numFmt w:val="decimal"/>
      <w:lvlText w:val="%1."/>
      <w:lvlJc w:val="left"/>
      <w:pPr>
        <w:ind w:left="-708" w:hanging="360"/>
      </w:pPr>
    </w:lvl>
    <w:lvl w:ilvl="1" w:tplc="0C090019">
      <w:start w:val="1"/>
      <w:numFmt w:val="lowerLetter"/>
      <w:lvlText w:val="%2."/>
      <w:lvlJc w:val="left"/>
      <w:pPr>
        <w:ind w:left="12" w:hanging="360"/>
      </w:pPr>
    </w:lvl>
    <w:lvl w:ilvl="2" w:tplc="0C09001B">
      <w:start w:val="1"/>
      <w:numFmt w:val="lowerRoman"/>
      <w:lvlText w:val="%3."/>
      <w:lvlJc w:val="right"/>
      <w:pPr>
        <w:ind w:left="732" w:hanging="180"/>
      </w:pPr>
    </w:lvl>
    <w:lvl w:ilvl="3" w:tplc="0C09000F">
      <w:start w:val="1"/>
      <w:numFmt w:val="decimal"/>
      <w:lvlText w:val="%4."/>
      <w:lvlJc w:val="left"/>
      <w:pPr>
        <w:ind w:left="1452" w:hanging="360"/>
      </w:pPr>
    </w:lvl>
    <w:lvl w:ilvl="4" w:tplc="0C090019">
      <w:start w:val="1"/>
      <w:numFmt w:val="lowerLetter"/>
      <w:lvlText w:val="%5."/>
      <w:lvlJc w:val="left"/>
      <w:pPr>
        <w:ind w:left="2172" w:hanging="360"/>
      </w:pPr>
    </w:lvl>
    <w:lvl w:ilvl="5" w:tplc="0C09001B" w:tentative="1">
      <w:start w:val="1"/>
      <w:numFmt w:val="lowerRoman"/>
      <w:lvlText w:val="%6."/>
      <w:lvlJc w:val="right"/>
      <w:pPr>
        <w:ind w:left="2892" w:hanging="180"/>
      </w:pPr>
    </w:lvl>
    <w:lvl w:ilvl="6" w:tplc="0C09000F" w:tentative="1">
      <w:start w:val="1"/>
      <w:numFmt w:val="decimal"/>
      <w:lvlText w:val="%7."/>
      <w:lvlJc w:val="left"/>
      <w:pPr>
        <w:ind w:left="3612" w:hanging="360"/>
      </w:pPr>
    </w:lvl>
    <w:lvl w:ilvl="7" w:tplc="0C090019" w:tentative="1">
      <w:start w:val="1"/>
      <w:numFmt w:val="lowerLetter"/>
      <w:lvlText w:val="%8."/>
      <w:lvlJc w:val="left"/>
      <w:pPr>
        <w:ind w:left="4332" w:hanging="360"/>
      </w:pPr>
    </w:lvl>
    <w:lvl w:ilvl="8" w:tplc="0C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E09A6"/>
    <w:multiLevelType w:val="hybridMultilevel"/>
    <w:tmpl w:val="9BEAC7E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45011"/>
    <w:multiLevelType w:val="hybridMultilevel"/>
    <w:tmpl w:val="E3A23B4A"/>
    <w:lvl w:ilvl="0" w:tplc="33E06D62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92FC1"/>
    <w:multiLevelType w:val="hybridMultilevel"/>
    <w:tmpl w:val="6E62436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>
      <w:start w:val="1"/>
      <w:numFmt w:val="lowerRoman"/>
      <w:lvlText w:val="%3."/>
      <w:lvlJc w:val="right"/>
      <w:pPr>
        <w:ind w:left="2517" w:hanging="180"/>
      </w:pPr>
    </w:lvl>
    <w:lvl w:ilvl="3" w:tplc="0C09000F">
      <w:start w:val="1"/>
      <w:numFmt w:val="decimal"/>
      <w:lvlText w:val="%4."/>
      <w:lvlJc w:val="left"/>
      <w:pPr>
        <w:ind w:left="3237" w:hanging="360"/>
      </w:pPr>
    </w:lvl>
    <w:lvl w:ilvl="4" w:tplc="0C090019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7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20"/>
  </w:num>
  <w:num w:numId="14">
    <w:abstractNumId w:val="13"/>
  </w:num>
  <w:num w:numId="15">
    <w:abstractNumId w:val="3"/>
  </w:num>
  <w:num w:numId="16">
    <w:abstractNumId w:val="16"/>
  </w:num>
  <w:num w:numId="17">
    <w:abstractNumId w:val="22"/>
  </w:num>
  <w:num w:numId="18">
    <w:abstractNumId w:val="30"/>
  </w:num>
  <w:num w:numId="19">
    <w:abstractNumId w:val="29"/>
  </w:num>
  <w:num w:numId="20">
    <w:abstractNumId w:val="24"/>
  </w:num>
  <w:num w:numId="21">
    <w:abstractNumId w:val="26"/>
  </w:num>
  <w:num w:numId="22">
    <w:abstractNumId w:val="18"/>
  </w:num>
  <w:num w:numId="23">
    <w:abstractNumId w:val="23"/>
  </w:num>
  <w:num w:numId="24">
    <w:abstractNumId w:val="21"/>
  </w:num>
  <w:num w:numId="25">
    <w:abstractNumId w:val="28"/>
  </w:num>
  <w:num w:numId="26">
    <w:abstractNumId w:val="10"/>
  </w:num>
  <w:num w:numId="27">
    <w:abstractNumId w:val="0"/>
  </w:num>
  <w:num w:numId="28">
    <w:abstractNumId w:val="12"/>
  </w:num>
  <w:num w:numId="29">
    <w:abstractNumId w:val="4"/>
  </w:num>
  <w:num w:numId="30">
    <w:abstractNumId w:val="2"/>
  </w:num>
  <w:num w:numId="31">
    <w:abstractNumId w:val="17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A16"/>
    <w:rsid w:val="00026E09"/>
    <w:rsid w:val="000373ED"/>
    <w:rsid w:val="00037CE0"/>
    <w:rsid w:val="00053929"/>
    <w:rsid w:val="00057736"/>
    <w:rsid w:val="00074DE8"/>
    <w:rsid w:val="00082B84"/>
    <w:rsid w:val="00096F42"/>
    <w:rsid w:val="000A3E3E"/>
    <w:rsid w:val="000C2489"/>
    <w:rsid w:val="000D5C76"/>
    <w:rsid w:val="000E2FA0"/>
    <w:rsid w:val="000E47E9"/>
    <w:rsid w:val="0012096C"/>
    <w:rsid w:val="00127828"/>
    <w:rsid w:val="00153FE4"/>
    <w:rsid w:val="00161BDA"/>
    <w:rsid w:val="00171618"/>
    <w:rsid w:val="001819B1"/>
    <w:rsid w:val="001A2D10"/>
    <w:rsid w:val="001B4DD9"/>
    <w:rsid w:val="001C557D"/>
    <w:rsid w:val="001C5E41"/>
    <w:rsid w:val="001C77BC"/>
    <w:rsid w:val="001D48BB"/>
    <w:rsid w:val="001E00E3"/>
    <w:rsid w:val="001E1D85"/>
    <w:rsid w:val="001E64BE"/>
    <w:rsid w:val="001F2349"/>
    <w:rsid w:val="002005D2"/>
    <w:rsid w:val="0020298B"/>
    <w:rsid w:val="00206111"/>
    <w:rsid w:val="002137E0"/>
    <w:rsid w:val="002371D9"/>
    <w:rsid w:val="002741AC"/>
    <w:rsid w:val="00275F13"/>
    <w:rsid w:val="002819C0"/>
    <w:rsid w:val="002906B3"/>
    <w:rsid w:val="00295556"/>
    <w:rsid w:val="00295BB5"/>
    <w:rsid w:val="002A5A4D"/>
    <w:rsid w:val="002B4262"/>
    <w:rsid w:val="002D5A4D"/>
    <w:rsid w:val="002E22AF"/>
    <w:rsid w:val="002F1B0E"/>
    <w:rsid w:val="002F6155"/>
    <w:rsid w:val="00324398"/>
    <w:rsid w:val="003513CC"/>
    <w:rsid w:val="00362D22"/>
    <w:rsid w:val="0037794D"/>
    <w:rsid w:val="003803EB"/>
    <w:rsid w:val="00384FC3"/>
    <w:rsid w:val="003A2037"/>
    <w:rsid w:val="003A3804"/>
    <w:rsid w:val="003A52BE"/>
    <w:rsid w:val="003A5866"/>
    <w:rsid w:val="003A6E9F"/>
    <w:rsid w:val="003D4CD6"/>
    <w:rsid w:val="003E3DD0"/>
    <w:rsid w:val="004228C7"/>
    <w:rsid w:val="004230E8"/>
    <w:rsid w:val="0042798B"/>
    <w:rsid w:val="00434488"/>
    <w:rsid w:val="00434913"/>
    <w:rsid w:val="004474F8"/>
    <w:rsid w:val="00466DE0"/>
    <w:rsid w:val="00477550"/>
    <w:rsid w:val="004822F9"/>
    <w:rsid w:val="004844A8"/>
    <w:rsid w:val="00496803"/>
    <w:rsid w:val="004B6688"/>
    <w:rsid w:val="004E1FB3"/>
    <w:rsid w:val="004F4474"/>
    <w:rsid w:val="005244A4"/>
    <w:rsid w:val="00527783"/>
    <w:rsid w:val="005346C5"/>
    <w:rsid w:val="005814B5"/>
    <w:rsid w:val="005D264E"/>
    <w:rsid w:val="005D3E9D"/>
    <w:rsid w:val="00604465"/>
    <w:rsid w:val="006256D3"/>
    <w:rsid w:val="00627BB7"/>
    <w:rsid w:val="006411D1"/>
    <w:rsid w:val="00644A13"/>
    <w:rsid w:val="0065136E"/>
    <w:rsid w:val="00670D71"/>
    <w:rsid w:val="006B272B"/>
    <w:rsid w:val="006E7DCE"/>
    <w:rsid w:val="007050FF"/>
    <w:rsid w:val="00714BE8"/>
    <w:rsid w:val="00752764"/>
    <w:rsid w:val="00766962"/>
    <w:rsid w:val="00775287"/>
    <w:rsid w:val="007C09E2"/>
    <w:rsid w:val="007D33F4"/>
    <w:rsid w:val="007F0BF3"/>
    <w:rsid w:val="007F3ABE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B2947"/>
    <w:rsid w:val="008B55AE"/>
    <w:rsid w:val="008C25E4"/>
    <w:rsid w:val="008C2DAE"/>
    <w:rsid w:val="008D4EAF"/>
    <w:rsid w:val="009059A9"/>
    <w:rsid w:val="009208A1"/>
    <w:rsid w:val="0092515E"/>
    <w:rsid w:val="00942FBD"/>
    <w:rsid w:val="0094770B"/>
    <w:rsid w:val="00952FDE"/>
    <w:rsid w:val="00962CCD"/>
    <w:rsid w:val="009A579D"/>
    <w:rsid w:val="009B2267"/>
    <w:rsid w:val="009E0AE8"/>
    <w:rsid w:val="009E5374"/>
    <w:rsid w:val="009F345D"/>
    <w:rsid w:val="00A13218"/>
    <w:rsid w:val="00A212B6"/>
    <w:rsid w:val="00A227A3"/>
    <w:rsid w:val="00A60B73"/>
    <w:rsid w:val="00A753E6"/>
    <w:rsid w:val="00A80080"/>
    <w:rsid w:val="00AB4951"/>
    <w:rsid w:val="00B315A0"/>
    <w:rsid w:val="00B34A18"/>
    <w:rsid w:val="00B468CE"/>
    <w:rsid w:val="00B579CB"/>
    <w:rsid w:val="00B626CD"/>
    <w:rsid w:val="00B70083"/>
    <w:rsid w:val="00BB28F6"/>
    <w:rsid w:val="00BC2609"/>
    <w:rsid w:val="00BC3219"/>
    <w:rsid w:val="00BD2799"/>
    <w:rsid w:val="00C0528F"/>
    <w:rsid w:val="00C10997"/>
    <w:rsid w:val="00C13145"/>
    <w:rsid w:val="00C561EA"/>
    <w:rsid w:val="00C60792"/>
    <w:rsid w:val="00CA2DAD"/>
    <w:rsid w:val="00CE750F"/>
    <w:rsid w:val="00D130B4"/>
    <w:rsid w:val="00D160CB"/>
    <w:rsid w:val="00D245A1"/>
    <w:rsid w:val="00D415E2"/>
    <w:rsid w:val="00D42055"/>
    <w:rsid w:val="00D647C3"/>
    <w:rsid w:val="00D806F2"/>
    <w:rsid w:val="00D9633A"/>
    <w:rsid w:val="00DF2386"/>
    <w:rsid w:val="00DF4A87"/>
    <w:rsid w:val="00DF7FE7"/>
    <w:rsid w:val="00E46367"/>
    <w:rsid w:val="00E55EC2"/>
    <w:rsid w:val="00E63F0B"/>
    <w:rsid w:val="00E95E83"/>
    <w:rsid w:val="00EA3A7F"/>
    <w:rsid w:val="00F078F1"/>
    <w:rsid w:val="00F10865"/>
    <w:rsid w:val="00F32D03"/>
    <w:rsid w:val="00F344DE"/>
    <w:rsid w:val="00F37F5B"/>
    <w:rsid w:val="00F64D74"/>
    <w:rsid w:val="00F73E71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672C9"/>
  <w15:docId w15:val="{8D7A5A7D-4A22-8440-A13B-E39D03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23A0-FE11-46BE-B822-28296BD0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JENNINGS Edmund</cp:lastModifiedBy>
  <cp:revision>3</cp:revision>
  <cp:lastPrinted>2019-06-11T06:42:00Z</cp:lastPrinted>
  <dcterms:created xsi:type="dcterms:W3CDTF">2019-06-13T19:21:00Z</dcterms:created>
  <dcterms:modified xsi:type="dcterms:W3CDTF">2019-06-13T19:25:00Z</dcterms:modified>
</cp:coreProperties>
</file>