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Default="00275F13" w:rsidP="008B55AE">
      <w:pPr>
        <w:pBdr>
          <w:top w:val="single" w:sz="12" w:space="0" w:color="auto" w:shadow="1"/>
          <w:left w:val="single" w:sz="12" w:space="4" w:color="auto" w:shadow="1"/>
          <w:bottom w:val="single" w:sz="12" w:space="1" w:color="auto" w:shadow="1"/>
          <w:right w:val="single" w:sz="12" w:space="7" w:color="auto" w:shadow="1"/>
        </w:pBdr>
        <w:ind w:right="3214"/>
        <w:rPr>
          <w:bCs/>
          <w:sz w:val="24"/>
          <w:szCs w:val="24"/>
        </w:rPr>
      </w:pPr>
      <w:r>
        <w:rPr>
          <w:bCs/>
          <w:sz w:val="24"/>
          <w:szCs w:val="24"/>
        </w:rPr>
        <w:t xml:space="preserve">RAMSAR </w:t>
      </w:r>
      <w:r w:rsidR="00DF2386">
        <w:rPr>
          <w:bCs/>
          <w:sz w:val="24"/>
          <w:szCs w:val="24"/>
        </w:rPr>
        <w:t xml:space="preserve">CONVENTION ON WETLANDS </w:t>
      </w:r>
    </w:p>
    <w:p w:rsidR="00DF2386" w:rsidRDefault="00DF2386" w:rsidP="008B55AE">
      <w:pPr>
        <w:pBdr>
          <w:top w:val="single" w:sz="12" w:space="0" w:color="auto" w:shadow="1"/>
          <w:left w:val="single" w:sz="12" w:space="4" w:color="auto" w:shadow="1"/>
          <w:bottom w:val="single" w:sz="12" w:space="1" w:color="auto" w:shadow="1"/>
          <w:right w:val="single" w:sz="12" w:space="7" w:color="auto" w:shadow="1"/>
        </w:pBdr>
        <w:ind w:right="3214"/>
        <w:rPr>
          <w:bCs/>
          <w:sz w:val="24"/>
          <w:szCs w:val="24"/>
        </w:rPr>
      </w:pPr>
      <w:r>
        <w:rPr>
          <w:bCs/>
          <w:sz w:val="24"/>
          <w:szCs w:val="24"/>
        </w:rPr>
        <w:t>5</w:t>
      </w:r>
      <w:r w:rsidR="002F6155">
        <w:rPr>
          <w:bCs/>
          <w:sz w:val="24"/>
          <w:szCs w:val="24"/>
        </w:rPr>
        <w:t>7</w:t>
      </w:r>
      <w:r w:rsidR="00275F13">
        <w:rPr>
          <w:bCs/>
          <w:sz w:val="24"/>
          <w:szCs w:val="24"/>
        </w:rPr>
        <w:t>th</w:t>
      </w:r>
      <w:r>
        <w:rPr>
          <w:bCs/>
          <w:sz w:val="24"/>
          <w:szCs w:val="24"/>
        </w:rPr>
        <w:t xml:space="preserve"> Meeting of the Standing Committee</w:t>
      </w:r>
    </w:p>
    <w:p w:rsidR="00DF2386" w:rsidRDefault="00DF2386" w:rsidP="008B55AE">
      <w:pPr>
        <w:pBdr>
          <w:top w:val="single" w:sz="12" w:space="0" w:color="auto" w:shadow="1"/>
          <w:left w:val="single" w:sz="12" w:space="4" w:color="auto" w:shadow="1"/>
          <w:bottom w:val="single" w:sz="12" w:space="1" w:color="auto" w:shadow="1"/>
          <w:right w:val="single" w:sz="12" w:space="7" w:color="auto" w:shadow="1"/>
        </w:pBdr>
        <w:ind w:right="3214"/>
        <w:rPr>
          <w:bCs/>
          <w:sz w:val="24"/>
          <w:szCs w:val="24"/>
        </w:rPr>
      </w:pPr>
      <w:r>
        <w:rPr>
          <w:bCs/>
          <w:sz w:val="24"/>
          <w:szCs w:val="24"/>
        </w:rPr>
        <w:t>Gland, Switzerland, 2</w:t>
      </w:r>
      <w:r w:rsidR="00C0528F">
        <w:rPr>
          <w:bCs/>
          <w:sz w:val="24"/>
          <w:szCs w:val="24"/>
        </w:rPr>
        <w:t>4</w:t>
      </w:r>
      <w:r w:rsidR="00275F13">
        <w:rPr>
          <w:bCs/>
          <w:sz w:val="24"/>
          <w:szCs w:val="24"/>
        </w:rPr>
        <w:t xml:space="preserve"> </w:t>
      </w:r>
      <w:r>
        <w:rPr>
          <w:bCs/>
          <w:sz w:val="24"/>
          <w:szCs w:val="24"/>
        </w:rPr>
        <w:t>– 2</w:t>
      </w:r>
      <w:r w:rsidR="00C0528F">
        <w:rPr>
          <w:bCs/>
          <w:sz w:val="24"/>
          <w:szCs w:val="24"/>
        </w:rPr>
        <w:t>8</w:t>
      </w:r>
      <w:r>
        <w:rPr>
          <w:bCs/>
          <w:sz w:val="24"/>
          <w:szCs w:val="24"/>
        </w:rPr>
        <w:t xml:space="preserve"> </w:t>
      </w:r>
      <w:r w:rsidR="00C0528F">
        <w:rPr>
          <w:bCs/>
          <w:sz w:val="24"/>
          <w:szCs w:val="24"/>
        </w:rPr>
        <w:t>June 2019</w:t>
      </w:r>
    </w:p>
    <w:p w:rsidR="00DF2386" w:rsidRDefault="00DF2386" w:rsidP="00014168">
      <w:pPr>
        <w:outlineLvl w:val="0"/>
        <w:rPr>
          <w:b/>
        </w:rPr>
      </w:pPr>
    </w:p>
    <w:p w:rsidR="00DF2386" w:rsidRPr="00D245A1" w:rsidRDefault="00DF2386" w:rsidP="00014168">
      <w:pPr>
        <w:jc w:val="right"/>
        <w:rPr>
          <w:rFonts w:cs="Arial"/>
          <w:sz w:val="28"/>
          <w:szCs w:val="28"/>
        </w:rPr>
      </w:pPr>
      <w:r>
        <w:rPr>
          <w:rFonts w:cs="Arial"/>
          <w:b/>
          <w:sz w:val="28"/>
          <w:szCs w:val="28"/>
        </w:rPr>
        <w:t>SC5</w:t>
      </w:r>
      <w:r w:rsidR="00C0528F">
        <w:rPr>
          <w:rFonts w:cs="Arial"/>
          <w:b/>
          <w:sz w:val="28"/>
          <w:szCs w:val="28"/>
        </w:rPr>
        <w:t>7</w:t>
      </w:r>
      <w:r w:rsidR="004F4474">
        <w:rPr>
          <w:rFonts w:cs="Arial"/>
          <w:b/>
          <w:sz w:val="28"/>
          <w:szCs w:val="28"/>
        </w:rPr>
        <w:t xml:space="preserve"> Doc.15.1</w:t>
      </w:r>
      <w:r w:rsidR="00D245A1">
        <w:rPr>
          <w:rFonts w:cs="Arial"/>
          <w:b/>
          <w:sz w:val="28"/>
          <w:szCs w:val="28"/>
        </w:rPr>
        <w:t xml:space="preserve"> </w:t>
      </w:r>
    </w:p>
    <w:p w:rsidR="00DF2386" w:rsidRDefault="00DF2386" w:rsidP="004F4474">
      <w:pPr>
        <w:ind w:left="0" w:firstLine="0"/>
        <w:jc w:val="center"/>
        <w:rPr>
          <w:rFonts w:cs="Arial"/>
          <w:b/>
          <w:sz w:val="28"/>
          <w:szCs w:val="28"/>
        </w:rPr>
      </w:pPr>
    </w:p>
    <w:p w:rsidR="00DF2386" w:rsidRDefault="004F4474" w:rsidP="004F4474">
      <w:pPr>
        <w:ind w:left="0" w:firstLine="0"/>
        <w:jc w:val="center"/>
        <w:rPr>
          <w:rFonts w:cs="Arial"/>
          <w:b/>
          <w:sz w:val="28"/>
          <w:szCs w:val="28"/>
        </w:rPr>
      </w:pPr>
      <w:r w:rsidRPr="004F4474">
        <w:rPr>
          <w:rFonts w:cs="Arial"/>
          <w:b/>
          <w:sz w:val="28"/>
          <w:szCs w:val="28"/>
        </w:rPr>
        <w:t xml:space="preserve">Communication, capacity building, education, participation </w:t>
      </w:r>
      <w:r>
        <w:rPr>
          <w:rFonts w:cs="Arial"/>
          <w:b/>
          <w:sz w:val="28"/>
          <w:szCs w:val="28"/>
        </w:rPr>
        <w:br/>
      </w:r>
      <w:r w:rsidRPr="004F4474">
        <w:rPr>
          <w:rFonts w:cs="Arial"/>
          <w:b/>
          <w:sz w:val="28"/>
          <w:szCs w:val="28"/>
        </w:rPr>
        <w:t>and awareness (CEPA)</w:t>
      </w:r>
    </w:p>
    <w:p w:rsidR="004F4474" w:rsidRDefault="004F4474" w:rsidP="004F4474">
      <w:pPr>
        <w:ind w:left="0" w:firstLine="0"/>
        <w:jc w:val="center"/>
        <w:rPr>
          <w:rFonts w:cs="Arial"/>
          <w:b/>
          <w:sz w:val="28"/>
          <w:szCs w:val="28"/>
        </w:rPr>
      </w:pPr>
      <w:r w:rsidRPr="004F4474">
        <w:rPr>
          <w:rFonts w:cs="Arial"/>
          <w:b/>
          <w:sz w:val="28"/>
          <w:szCs w:val="28"/>
        </w:rPr>
        <w:t>Establishment of the CEPA Oversight Panel</w:t>
      </w:r>
    </w:p>
    <w:p w:rsidR="004F4474" w:rsidRPr="008B55AE" w:rsidRDefault="004F4474" w:rsidP="00014168">
      <w:pPr>
        <w:rPr>
          <w:rFonts w:asciiTheme="minorHAnsi" w:hAnsiTheme="minorHAnsi" w:cstheme="minorHAnsi"/>
          <w:sz w:val="28"/>
          <w:szCs w:val="28"/>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48BB550E" wp14:editId="2A60D3E8">
                <wp:extent cx="5731510" cy="16764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76400"/>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F64D74" w:rsidP="00275F13">
                            <w:pPr>
                              <w:pStyle w:val="ColorfulList-Accent11"/>
                              <w:ind w:left="0" w:firstLine="0"/>
                              <w:rPr>
                                <w:rFonts w:cs="Calibri"/>
                              </w:rPr>
                            </w:pPr>
                            <w:r>
                              <w:t xml:space="preserve">The </w:t>
                            </w:r>
                            <w:r w:rsidR="000C2489">
                              <w:t xml:space="preserve">Standing Committee is </w:t>
                            </w:r>
                            <w:r w:rsidR="000C2489">
                              <w:rPr>
                                <w:rFonts w:cs="Calibri"/>
                              </w:rPr>
                              <w:t>invited:</w:t>
                            </w:r>
                          </w:p>
                          <w:p w:rsidR="004822F9" w:rsidRDefault="004822F9" w:rsidP="00275F13">
                            <w:pPr>
                              <w:pStyle w:val="ColorfulList-Accent11"/>
                              <w:ind w:left="0" w:firstLine="0"/>
                              <w:rPr>
                                <w:rFonts w:cs="Calibri"/>
                              </w:rPr>
                            </w:pPr>
                          </w:p>
                          <w:p w:rsidR="004822F9" w:rsidRDefault="004822F9" w:rsidP="004822F9">
                            <w:pPr>
                              <w:pStyle w:val="ColorfulList-Accent11"/>
                              <w:ind w:left="425"/>
                              <w:rPr>
                                <w:rFonts w:cs="Calibri"/>
                              </w:rPr>
                            </w:pPr>
                            <w:r>
                              <w:rPr>
                                <w:rFonts w:cs="Calibri"/>
                              </w:rPr>
                              <w:t>i.</w:t>
                            </w:r>
                            <w:r>
                              <w:rPr>
                                <w:rFonts w:cs="Calibri"/>
                              </w:rPr>
                              <w:tab/>
                            </w:r>
                            <w:r>
                              <w:t xml:space="preserve">to take the steps required to ensure the </w:t>
                            </w:r>
                            <w:r w:rsidR="008B55AE">
                              <w:t>membership</w:t>
                            </w:r>
                            <w:r>
                              <w:t xml:space="preserve"> of the </w:t>
                            </w:r>
                            <w:r w:rsidRPr="0021055F">
                              <w:t xml:space="preserve">CEPA Oversight </w:t>
                            </w:r>
                            <w:r>
                              <w:t>Panel for 2019-2021 in accordance with the terms of Resolution XIII.5</w:t>
                            </w:r>
                            <w:r w:rsidRPr="00F32D03">
                              <w:rPr>
                                <w:rFonts w:cs="Calibri"/>
                              </w:rPr>
                              <w:t>;</w:t>
                            </w:r>
                            <w:r>
                              <w:rPr>
                                <w:rFonts w:cs="Calibri"/>
                              </w:rPr>
                              <w:t xml:space="preserve"> and</w:t>
                            </w:r>
                          </w:p>
                          <w:p w:rsidR="004822F9" w:rsidRDefault="004822F9" w:rsidP="004822F9">
                            <w:pPr>
                              <w:pStyle w:val="ColorfulList-Accent11"/>
                              <w:ind w:left="425"/>
                              <w:rPr>
                                <w:rFonts w:cs="Calibri"/>
                              </w:rPr>
                            </w:pPr>
                          </w:p>
                          <w:p w:rsidR="004822F9" w:rsidRPr="004822F9" w:rsidRDefault="004822F9" w:rsidP="004822F9">
                            <w:pPr>
                              <w:pStyle w:val="ColorfulList-Accent11"/>
                              <w:ind w:left="425"/>
                              <w:rPr>
                                <w:rFonts w:cs="Calibri"/>
                              </w:rPr>
                            </w:pPr>
                            <w:r>
                              <w:rPr>
                                <w:rFonts w:cs="Calibri"/>
                              </w:rPr>
                              <w:t>ii.</w:t>
                            </w:r>
                            <w:r>
                              <w:rPr>
                                <w:rFonts w:cs="Calibri"/>
                              </w:rPr>
                              <w:tab/>
                              <w:t xml:space="preserve">to request that the newly-formed Panel </w:t>
                            </w:r>
                            <w:r>
                              <w:t>present to the 58th meeting of the Standing Committee its proposal to assume the responsibilities assigned in Resolution XII.9.</w:t>
                            </w:r>
                          </w:p>
                          <w:p w:rsidR="000C2489" w:rsidRDefault="000C2489" w:rsidP="000C2489">
                            <w:pPr>
                              <w:pStyle w:val="ColorfulList-Accent11"/>
                              <w:ind w:left="0"/>
                              <w:rPr>
                                <w:rFonts w:cs="Calibri"/>
                              </w:rPr>
                            </w:pPr>
                          </w:p>
                        </w:txbxContent>
                      </wps:txbx>
                      <wps:bodyPr rot="0" vert="horz" wrap="square" lIns="91440" tIns="45720" rIns="91440" bIns="45720" anchor="t" anchorCtr="0" upright="1">
                        <a:noAutofit/>
                      </wps:bodyPr>
                    </wps:wsp>
                  </a:graphicData>
                </a:graphic>
              </wp:inline>
            </w:drawing>
          </mc:Choice>
          <mc:Fallback>
            <w:pict>
              <v:shapetype w14:anchorId="48BB550E" id="_x0000_t202" coordsize="21600,21600" o:spt="202" path="m,l,21600r21600,l21600,xe">
                <v:stroke joinstyle="miter"/>
                <v:path gradientshapeok="t" o:connecttype="rect"/>
              </v:shapetype>
              <v:shape id="Text Box 1" o:spid="_x0000_s1026" type="#_x0000_t202" style="width:451.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F64D74" w:rsidP="00275F13">
                      <w:pPr>
                        <w:pStyle w:val="ColorfulList-Accent11"/>
                        <w:ind w:left="0" w:firstLine="0"/>
                        <w:rPr>
                          <w:rFonts w:cs="Calibri"/>
                        </w:rPr>
                      </w:pPr>
                      <w:r>
                        <w:t xml:space="preserve">The </w:t>
                      </w:r>
                      <w:r w:rsidR="000C2489">
                        <w:t xml:space="preserve">Standing Committee is </w:t>
                      </w:r>
                      <w:r w:rsidR="000C2489">
                        <w:rPr>
                          <w:rFonts w:cs="Calibri"/>
                        </w:rPr>
                        <w:t>invited:</w:t>
                      </w:r>
                    </w:p>
                    <w:p w:rsidR="004822F9" w:rsidRDefault="004822F9" w:rsidP="00275F13">
                      <w:pPr>
                        <w:pStyle w:val="ColorfulList-Accent11"/>
                        <w:ind w:left="0" w:firstLine="0"/>
                        <w:rPr>
                          <w:rFonts w:cs="Calibri"/>
                        </w:rPr>
                      </w:pPr>
                    </w:p>
                    <w:p w:rsidR="004822F9" w:rsidRDefault="004822F9" w:rsidP="004822F9">
                      <w:pPr>
                        <w:pStyle w:val="ColorfulList-Accent11"/>
                        <w:ind w:left="425"/>
                        <w:rPr>
                          <w:rFonts w:cs="Calibri"/>
                        </w:rPr>
                      </w:pPr>
                      <w:r>
                        <w:rPr>
                          <w:rFonts w:cs="Calibri"/>
                        </w:rPr>
                        <w:t>i.</w:t>
                      </w:r>
                      <w:r>
                        <w:rPr>
                          <w:rFonts w:cs="Calibri"/>
                        </w:rPr>
                        <w:tab/>
                      </w:r>
                      <w:r>
                        <w:t xml:space="preserve">to take the steps required to ensure the </w:t>
                      </w:r>
                      <w:r w:rsidR="008B55AE">
                        <w:t>membership</w:t>
                      </w:r>
                      <w:r>
                        <w:t xml:space="preserve"> of the </w:t>
                      </w:r>
                      <w:r w:rsidRPr="0021055F">
                        <w:t xml:space="preserve">CEPA Oversight </w:t>
                      </w:r>
                      <w:r>
                        <w:t>Panel for 2019-2021 in accordance with the terms of Resolution XIII.5</w:t>
                      </w:r>
                      <w:r w:rsidRPr="00F32D03">
                        <w:rPr>
                          <w:rFonts w:cs="Calibri"/>
                        </w:rPr>
                        <w:t>;</w:t>
                      </w:r>
                      <w:r>
                        <w:rPr>
                          <w:rFonts w:cs="Calibri"/>
                        </w:rPr>
                        <w:t xml:space="preserve"> and</w:t>
                      </w:r>
                    </w:p>
                    <w:p w:rsidR="004822F9" w:rsidRDefault="004822F9" w:rsidP="004822F9">
                      <w:pPr>
                        <w:pStyle w:val="ColorfulList-Accent11"/>
                        <w:ind w:left="425"/>
                        <w:rPr>
                          <w:rFonts w:cs="Calibri"/>
                        </w:rPr>
                      </w:pPr>
                    </w:p>
                    <w:p w:rsidR="004822F9" w:rsidRPr="004822F9" w:rsidRDefault="004822F9" w:rsidP="004822F9">
                      <w:pPr>
                        <w:pStyle w:val="ColorfulList-Accent11"/>
                        <w:ind w:left="425"/>
                        <w:rPr>
                          <w:rFonts w:cs="Calibri"/>
                        </w:rPr>
                      </w:pPr>
                      <w:r>
                        <w:rPr>
                          <w:rFonts w:cs="Calibri"/>
                        </w:rPr>
                        <w:t>ii.</w:t>
                      </w:r>
                      <w:r>
                        <w:rPr>
                          <w:rFonts w:cs="Calibri"/>
                        </w:rPr>
                        <w:tab/>
                        <w:t xml:space="preserve">to request that the newly-formed Panel </w:t>
                      </w:r>
                      <w:r>
                        <w:t>present to the 58th meeting of the Standing Committee its proposal to assume the responsibilities assigned in Resolution XII.9.</w:t>
                      </w:r>
                    </w:p>
                    <w:p w:rsidR="000C2489" w:rsidRDefault="000C2489" w:rsidP="000C2489">
                      <w:pPr>
                        <w:pStyle w:val="ColorfulList-Accent11"/>
                        <w:ind w:left="0"/>
                        <w:rPr>
                          <w:rFonts w:cs="Calibri"/>
                        </w:rPr>
                      </w:pP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0C2489" w:rsidRDefault="00BD2799" w:rsidP="008B55AE">
      <w:pPr>
        <w:rPr>
          <w:rFonts w:cs="Arial"/>
          <w:b/>
        </w:rPr>
      </w:pPr>
      <w:r>
        <w:rPr>
          <w:rFonts w:cs="Arial"/>
          <w:b/>
        </w:rPr>
        <w:t>Background</w:t>
      </w:r>
    </w:p>
    <w:p w:rsidR="004F4474" w:rsidRDefault="004F4474" w:rsidP="008B55AE">
      <w:pPr>
        <w:rPr>
          <w:rFonts w:cs="Arial"/>
          <w:b/>
        </w:rPr>
      </w:pPr>
    </w:p>
    <w:p w:rsidR="004F4474" w:rsidRDefault="004F4474" w:rsidP="008B55AE">
      <w:pPr>
        <w:rPr>
          <w:lang w:val="en-AU"/>
        </w:rPr>
      </w:pPr>
      <w:r>
        <w:rPr>
          <w:lang w:val="en-AU"/>
        </w:rPr>
        <w:t>1.</w:t>
      </w:r>
      <w:r>
        <w:rPr>
          <w:lang w:val="en-AU"/>
        </w:rPr>
        <w:tab/>
      </w:r>
      <w:r w:rsidRPr="00457000">
        <w:rPr>
          <w:lang w:val="en-AU"/>
        </w:rPr>
        <w:t xml:space="preserve">At the </w:t>
      </w:r>
      <w:r w:rsidRPr="00434488">
        <w:rPr>
          <w:lang w:val="en-AU"/>
        </w:rPr>
        <w:t>12th</w:t>
      </w:r>
      <w:r w:rsidRPr="00457000">
        <w:rPr>
          <w:lang w:val="en-AU"/>
        </w:rPr>
        <w:t xml:space="preserve"> Conference of the </w:t>
      </w:r>
      <w:r w:rsidR="00434488">
        <w:rPr>
          <w:lang w:val="en-AU"/>
        </w:rPr>
        <w:t xml:space="preserve">Contracting </w:t>
      </w:r>
      <w:r w:rsidRPr="00457000">
        <w:rPr>
          <w:lang w:val="en-AU"/>
        </w:rPr>
        <w:t xml:space="preserve">Parties </w:t>
      </w:r>
      <w:r w:rsidR="00434488">
        <w:rPr>
          <w:lang w:val="en-AU"/>
        </w:rPr>
        <w:t xml:space="preserve">(COP12) </w:t>
      </w:r>
      <w:r w:rsidRPr="00457000">
        <w:rPr>
          <w:lang w:val="en-AU"/>
        </w:rPr>
        <w:t xml:space="preserve">in 2015, the Parties approved </w:t>
      </w:r>
      <w:r w:rsidR="00434488" w:rsidRPr="00E55EC2">
        <w:rPr>
          <w:lang w:val="en-AU"/>
        </w:rPr>
        <w:t>Resolution XII.9</w:t>
      </w:r>
      <w:r w:rsidR="00096F42" w:rsidRPr="00E55EC2">
        <w:rPr>
          <w:lang w:val="en-AU"/>
        </w:rPr>
        <w:t xml:space="preserve"> on</w:t>
      </w:r>
      <w:r w:rsidR="008B55AE" w:rsidRPr="008B55AE">
        <w:rPr>
          <w:color w:val="0000FF"/>
          <w:lang w:val="en-AU"/>
        </w:rPr>
        <w:t xml:space="preserve"> </w:t>
      </w:r>
      <w:r w:rsidR="00096F42" w:rsidRPr="00096F42">
        <w:rPr>
          <w:i/>
        </w:rPr>
        <w:t>The Ramsar Convention’s Programme on communication, capacity building, education, participation and awareness (CEPA) 2016-2024</w:t>
      </w:r>
      <w:r w:rsidRPr="00457000">
        <w:rPr>
          <w:lang w:val="en-AU"/>
        </w:rPr>
        <w:t xml:space="preserve">. The Programme includes nine CEPA </w:t>
      </w:r>
      <w:r w:rsidR="00361074">
        <w:rPr>
          <w:lang w:val="en-AU"/>
        </w:rPr>
        <w:t>goals</w:t>
      </w:r>
      <w:r w:rsidRPr="00457000">
        <w:rPr>
          <w:lang w:val="en-AU"/>
        </w:rPr>
        <w:t xml:space="preserve"> and 43 targets.</w:t>
      </w:r>
    </w:p>
    <w:p w:rsidR="004F4474" w:rsidRPr="00457000" w:rsidRDefault="004F4474" w:rsidP="008B55AE">
      <w:pPr>
        <w:rPr>
          <w:lang w:val="en-AU"/>
        </w:rPr>
      </w:pPr>
    </w:p>
    <w:p w:rsidR="004F4474" w:rsidRPr="00457000" w:rsidRDefault="004F4474" w:rsidP="008B55AE">
      <w:pPr>
        <w:rPr>
          <w:lang w:val="en-AU"/>
        </w:rPr>
      </w:pPr>
      <w:r>
        <w:rPr>
          <w:lang w:val="en-AU"/>
        </w:rPr>
        <w:t>2.</w:t>
      </w:r>
      <w:r>
        <w:rPr>
          <w:lang w:val="en-AU"/>
        </w:rPr>
        <w:tab/>
      </w:r>
      <w:r w:rsidRPr="00457000">
        <w:rPr>
          <w:lang w:val="en-AU"/>
        </w:rPr>
        <w:t>Responsibilities for implementation are shared between Contracting Parties, the Secretariat, the Convention’s International Organization Partners (IOPs), NGOs, community‐based organizations, and other stakeholders.</w:t>
      </w:r>
    </w:p>
    <w:p w:rsidR="004F4474" w:rsidRDefault="004F4474" w:rsidP="008B55AE">
      <w:pPr>
        <w:rPr>
          <w:lang w:val="en-AU"/>
        </w:rPr>
      </w:pPr>
    </w:p>
    <w:p w:rsidR="004F4474" w:rsidRPr="00457000" w:rsidRDefault="004F4474" w:rsidP="008B55AE">
      <w:pPr>
        <w:rPr>
          <w:lang w:val="en-AU"/>
        </w:rPr>
      </w:pPr>
      <w:r>
        <w:rPr>
          <w:lang w:val="en-AU"/>
        </w:rPr>
        <w:t>3.</w:t>
      </w:r>
      <w:r>
        <w:rPr>
          <w:lang w:val="en-AU"/>
        </w:rPr>
        <w:tab/>
      </w:r>
      <w:r w:rsidRPr="00457000">
        <w:rPr>
          <w:lang w:val="en-AU"/>
        </w:rPr>
        <w:t>Contracting Parties are the key implementers of the CEPA Programme, working through their</w:t>
      </w:r>
      <w:r w:rsidRPr="00457000">
        <w:rPr>
          <w:lang w:val="en"/>
        </w:rPr>
        <w:t xml:space="preserve"> National Focal Points, CEPA Focal Points, community-based organisations, Ramsar Regional Initiatives and wetland education </w:t>
      </w:r>
      <w:r w:rsidR="00434488" w:rsidRPr="00457000">
        <w:rPr>
          <w:lang w:val="en"/>
        </w:rPr>
        <w:t>cent</w:t>
      </w:r>
      <w:r w:rsidR="00434488">
        <w:rPr>
          <w:lang w:val="en"/>
        </w:rPr>
        <w:t>re</w:t>
      </w:r>
      <w:r w:rsidR="00434488" w:rsidRPr="00457000">
        <w:rPr>
          <w:lang w:val="en"/>
        </w:rPr>
        <w:t>s</w:t>
      </w:r>
      <w:r w:rsidRPr="00457000">
        <w:rPr>
          <w:lang w:val="en"/>
        </w:rPr>
        <w:t xml:space="preserve">. </w:t>
      </w:r>
    </w:p>
    <w:p w:rsidR="004F4474" w:rsidRDefault="004F4474" w:rsidP="008B55AE"/>
    <w:p w:rsidR="004F4474" w:rsidRDefault="004F4474" w:rsidP="008B55AE">
      <w:r>
        <w:t>4.</w:t>
      </w:r>
      <w:r>
        <w:tab/>
        <w:t xml:space="preserve">The CEPA Oversight Panel was established in 2006 (by Standing Committee </w:t>
      </w:r>
      <w:r w:rsidR="00434488">
        <w:t xml:space="preserve">at its </w:t>
      </w:r>
      <w:r>
        <w:t>34</w:t>
      </w:r>
      <w:r w:rsidR="00434488">
        <w:t>th meeting</w:t>
      </w:r>
      <w:r>
        <w:t xml:space="preserve">, following Resolution IX.18) </w:t>
      </w:r>
      <w:r w:rsidRPr="00772EB0">
        <w:t xml:space="preserve">to monitor and report on CEPA issues at the national level within the Convention and </w:t>
      </w:r>
      <w:r w:rsidR="00434488">
        <w:t xml:space="preserve">on </w:t>
      </w:r>
      <w:r w:rsidRPr="00772EB0">
        <w:t>the progress of imple</w:t>
      </w:r>
      <w:r>
        <w:t>mentation of the CEPA Programme.</w:t>
      </w:r>
    </w:p>
    <w:p w:rsidR="004F4474" w:rsidRDefault="004F4474" w:rsidP="008B55AE"/>
    <w:p w:rsidR="004F4474" w:rsidRDefault="004F4474" w:rsidP="008B55AE">
      <w:r>
        <w:t>5.</w:t>
      </w:r>
      <w:r>
        <w:tab/>
        <w:t xml:space="preserve">At COP13, the </w:t>
      </w:r>
      <w:r w:rsidR="00434488" w:rsidRPr="00457000">
        <w:rPr>
          <w:lang w:val="en-AU"/>
        </w:rPr>
        <w:t xml:space="preserve">Contracting </w:t>
      </w:r>
      <w:r>
        <w:t xml:space="preserve">Parties mandated the CEPA Oversight Panel, through paragraphs 24, 25, 26 and 27 of Resolution XIII.5 </w:t>
      </w:r>
      <w:r w:rsidR="00434488">
        <w:t xml:space="preserve">on </w:t>
      </w:r>
      <w:r w:rsidR="00434488" w:rsidRPr="00434488">
        <w:rPr>
          <w:i/>
        </w:rPr>
        <w:t>Review of the fourth Strategic Plan of the Ramsar Convention</w:t>
      </w:r>
      <w:r w:rsidR="00BD2799">
        <w:t>,</w:t>
      </w:r>
      <w:r w:rsidR="00434488">
        <w:t xml:space="preserve"> </w:t>
      </w:r>
      <w:r>
        <w:t xml:space="preserve">with the following tasks: </w:t>
      </w:r>
    </w:p>
    <w:p w:rsidR="00E55EC2" w:rsidRPr="00E55EC2" w:rsidRDefault="00E55EC2" w:rsidP="008B55AE">
      <w:pPr>
        <w:rPr>
          <w:lang w:val="en-AU"/>
        </w:rPr>
      </w:pPr>
    </w:p>
    <w:p w:rsidR="004F4474" w:rsidRPr="00E55EC2" w:rsidRDefault="00E55EC2" w:rsidP="008B55AE">
      <w:pPr>
        <w:ind w:left="850"/>
        <w:rPr>
          <w:lang w:val="en-AU"/>
        </w:rPr>
      </w:pPr>
      <w:r>
        <w:rPr>
          <w:lang w:val="en-AU"/>
        </w:rPr>
        <w:t>a.</w:t>
      </w:r>
      <w:r>
        <w:rPr>
          <w:lang w:val="en-AU"/>
        </w:rPr>
        <w:tab/>
      </w:r>
      <w:r w:rsidR="004F4474" w:rsidRPr="00E55EC2">
        <w:rPr>
          <w:lang w:val="en-AU"/>
        </w:rPr>
        <w:t xml:space="preserve">to present to the Standing Committee, at its 57th meeting (SC57), its proposal to assume the responsibilities assigned to the Panel in Resolution XII.9; </w:t>
      </w:r>
    </w:p>
    <w:p w:rsidR="00E55EC2" w:rsidRPr="00E55EC2" w:rsidRDefault="00E55EC2" w:rsidP="008B55AE">
      <w:pPr>
        <w:ind w:left="850"/>
        <w:rPr>
          <w:lang w:val="en-AU"/>
        </w:rPr>
      </w:pPr>
    </w:p>
    <w:p w:rsidR="004F4474" w:rsidRDefault="004F4474" w:rsidP="008B55AE">
      <w:pPr>
        <w:ind w:left="850"/>
        <w:rPr>
          <w:lang w:val="en-AU"/>
        </w:rPr>
      </w:pPr>
      <w:r>
        <w:rPr>
          <w:lang w:val="en-AU"/>
        </w:rPr>
        <w:lastRenderedPageBreak/>
        <w:t>b.</w:t>
      </w:r>
      <w:r>
        <w:rPr>
          <w:lang w:val="en-AU"/>
        </w:rPr>
        <w:tab/>
      </w:r>
      <w:r w:rsidRPr="004F4474">
        <w:rPr>
          <w:lang w:val="en-AU"/>
        </w:rPr>
        <w:t>to develop a new approach for supporting CEPA implementation, taking into account the work already carried out by the Panel prior to COP13;</w:t>
      </w:r>
    </w:p>
    <w:p w:rsidR="00E55EC2" w:rsidRPr="004F4474" w:rsidRDefault="00E55EC2" w:rsidP="008B55AE">
      <w:pPr>
        <w:ind w:left="850"/>
        <w:rPr>
          <w:lang w:val="en-AU"/>
        </w:rPr>
      </w:pPr>
    </w:p>
    <w:p w:rsidR="004F4474" w:rsidRDefault="004F4474" w:rsidP="008B55AE">
      <w:pPr>
        <w:ind w:left="850"/>
        <w:rPr>
          <w:lang w:val="en-AU"/>
        </w:rPr>
      </w:pPr>
      <w:r>
        <w:rPr>
          <w:lang w:val="en-AU"/>
        </w:rPr>
        <w:t>c.</w:t>
      </w:r>
      <w:r>
        <w:rPr>
          <w:lang w:val="en-AU"/>
        </w:rPr>
        <w:tab/>
      </w:r>
      <w:r w:rsidRPr="004F4474">
        <w:rPr>
          <w:lang w:val="en-AU"/>
        </w:rPr>
        <w:t>to present the new CEPA approach at SC59 and a draft resolution on this subject to COP14; and</w:t>
      </w:r>
    </w:p>
    <w:p w:rsidR="00E55EC2" w:rsidRPr="004F4474" w:rsidRDefault="00E55EC2" w:rsidP="008B55AE">
      <w:pPr>
        <w:ind w:left="850"/>
        <w:rPr>
          <w:lang w:val="en-AU"/>
        </w:rPr>
      </w:pPr>
    </w:p>
    <w:p w:rsidR="004F4474" w:rsidRDefault="004F4474" w:rsidP="008B55AE">
      <w:pPr>
        <w:ind w:left="850"/>
        <w:rPr>
          <w:lang w:val="en-AU"/>
        </w:rPr>
      </w:pPr>
      <w:r>
        <w:rPr>
          <w:lang w:val="en-AU"/>
        </w:rPr>
        <w:t>d.</w:t>
      </w:r>
      <w:r>
        <w:rPr>
          <w:lang w:val="en-AU"/>
        </w:rPr>
        <w:tab/>
      </w:r>
      <w:r w:rsidRPr="004F4474">
        <w:rPr>
          <w:lang w:val="en-AU"/>
        </w:rPr>
        <w:t xml:space="preserve">to indicate which Parties have agreed to join the Panel’s work for this undertaking, in order to ensure that, for this specific task, all six Ramsar regions are represented by Parties, noting that additional Parties beyond those six may also join efforts while striving to maintain regional balance and manageability. </w:t>
      </w:r>
    </w:p>
    <w:p w:rsidR="00BD2799" w:rsidRDefault="00BD2799" w:rsidP="008B55AE">
      <w:pPr>
        <w:rPr>
          <w:lang w:val="en-AU"/>
        </w:rPr>
      </w:pPr>
    </w:p>
    <w:p w:rsidR="00BD2799" w:rsidRPr="00BD2799" w:rsidRDefault="00BD2799" w:rsidP="008B55AE">
      <w:pPr>
        <w:rPr>
          <w:b/>
          <w:lang w:val="en-AU"/>
        </w:rPr>
      </w:pPr>
      <w:r w:rsidRPr="00BD2799">
        <w:rPr>
          <w:b/>
          <w:lang w:val="en-AU"/>
        </w:rPr>
        <w:t>Establishment of the CEPA Oversight Panel for 2019-2021</w:t>
      </w:r>
    </w:p>
    <w:p w:rsidR="004F4474" w:rsidRDefault="004F4474" w:rsidP="008B55AE"/>
    <w:p w:rsidR="004F4474" w:rsidRDefault="005346C5" w:rsidP="008B55AE">
      <w:r>
        <w:t>6.</w:t>
      </w:r>
      <w:r>
        <w:tab/>
      </w:r>
      <w:r w:rsidR="004F4474" w:rsidRPr="0021055F">
        <w:t xml:space="preserve">The </w:t>
      </w:r>
      <w:r w:rsidR="00E55EC2">
        <w:t>existing</w:t>
      </w:r>
      <w:r w:rsidR="00E55EC2" w:rsidRPr="0021055F">
        <w:t xml:space="preserve"> </w:t>
      </w:r>
      <w:r w:rsidR="004F4474" w:rsidRPr="0021055F">
        <w:t>structure of the CEPA Oversight Panel</w:t>
      </w:r>
      <w:r w:rsidR="004F4474">
        <w:t xml:space="preserve"> (established in 2006 </w:t>
      </w:r>
      <w:r w:rsidR="004F4474" w:rsidRPr="00692CD2">
        <w:t>by Standing Committee 34, following Resolution IX.18</w:t>
      </w:r>
      <w:r w:rsidR="004F4474">
        <w:t>) did</w:t>
      </w:r>
      <w:r w:rsidR="004F4474" w:rsidRPr="0021055F">
        <w:t xml:space="preserve"> not meet the requirements expressed in Resolution XIII.5 </w:t>
      </w:r>
      <w:r w:rsidR="00E55EC2">
        <w:t>or</w:t>
      </w:r>
      <w:r w:rsidR="00E55EC2" w:rsidRPr="0021055F">
        <w:t xml:space="preserve"> </w:t>
      </w:r>
      <w:r w:rsidR="004F4474" w:rsidRPr="0021055F">
        <w:t>reflect the evolution of structures and groups of the Convention.</w:t>
      </w:r>
    </w:p>
    <w:p w:rsidR="005346C5" w:rsidRDefault="005346C5" w:rsidP="008B55AE"/>
    <w:p w:rsidR="004F4474" w:rsidRDefault="005346C5" w:rsidP="008B55AE">
      <w:r>
        <w:t>7.</w:t>
      </w:r>
      <w:r>
        <w:tab/>
      </w:r>
      <w:r w:rsidR="004F4474">
        <w:t>In April 2019 the Secretariat proposed</w:t>
      </w:r>
      <w:r w:rsidR="004F4474" w:rsidRPr="00F51FEB">
        <w:t xml:space="preserve"> </w:t>
      </w:r>
      <w:r w:rsidR="00E55EC2">
        <w:t>a</w:t>
      </w:r>
      <w:r w:rsidR="00E55EC2" w:rsidRPr="00F51FEB">
        <w:t xml:space="preserve"> </w:t>
      </w:r>
      <w:r w:rsidR="004F4474">
        <w:t>revised</w:t>
      </w:r>
      <w:r w:rsidR="004F4474" w:rsidRPr="00F51FEB">
        <w:t xml:space="preserve"> structure </w:t>
      </w:r>
      <w:r w:rsidR="00E55EC2">
        <w:t>and working mechanism</w:t>
      </w:r>
      <w:r w:rsidR="00E55EC2" w:rsidDel="00E55EC2">
        <w:t xml:space="preserve"> </w:t>
      </w:r>
      <w:r w:rsidR="00E55EC2">
        <w:t>for</w:t>
      </w:r>
      <w:r w:rsidR="00E55EC2" w:rsidRPr="00427C39">
        <w:t xml:space="preserve"> </w:t>
      </w:r>
      <w:r w:rsidR="004F4474" w:rsidRPr="00427C39">
        <w:t>the CEPA Oversight Panel</w:t>
      </w:r>
      <w:r w:rsidR="004F4474">
        <w:t xml:space="preserve">, which was approved by the </w:t>
      </w:r>
      <w:r w:rsidR="004F4474" w:rsidRPr="00427C39">
        <w:t>Standing Co</w:t>
      </w:r>
      <w:r w:rsidR="004F4474">
        <w:t>mmittee intersessionally. The new approved composition of the Panel is as follows:</w:t>
      </w:r>
    </w:p>
    <w:p w:rsidR="004F4474" w:rsidRPr="005346C5" w:rsidRDefault="004F4474" w:rsidP="008B55AE">
      <w:pPr>
        <w:pStyle w:val="ListParagraph"/>
        <w:numPr>
          <w:ilvl w:val="0"/>
          <w:numId w:val="32"/>
        </w:numPr>
        <w:ind w:left="850" w:hanging="425"/>
        <w:rPr>
          <w:lang w:val="en-AU"/>
        </w:rPr>
      </w:pPr>
      <w:r w:rsidRPr="005346C5">
        <w:rPr>
          <w:lang w:val="en-AU"/>
        </w:rPr>
        <w:t>The Vice-Chair of the Standing Committee, acting as Chair of the Oversight Panel;</w:t>
      </w:r>
    </w:p>
    <w:p w:rsidR="004F4474" w:rsidRPr="005346C5" w:rsidRDefault="001C557D" w:rsidP="008B55AE">
      <w:pPr>
        <w:pStyle w:val="ListParagraph"/>
        <w:numPr>
          <w:ilvl w:val="0"/>
          <w:numId w:val="32"/>
        </w:numPr>
        <w:ind w:left="850" w:hanging="425"/>
        <w:rPr>
          <w:lang w:val="en-AU"/>
        </w:rPr>
      </w:pPr>
      <w:r>
        <w:rPr>
          <w:lang w:val="en-AU"/>
        </w:rPr>
        <w:t>A m</w:t>
      </w:r>
      <w:r w:rsidR="004F4474" w:rsidRPr="005346C5">
        <w:rPr>
          <w:lang w:val="en-AU"/>
        </w:rPr>
        <w:t xml:space="preserve">aximum </w:t>
      </w:r>
      <w:r>
        <w:rPr>
          <w:lang w:val="en-AU"/>
        </w:rPr>
        <w:t xml:space="preserve">of </w:t>
      </w:r>
      <w:r w:rsidR="004F4474" w:rsidRPr="005346C5">
        <w:rPr>
          <w:lang w:val="en-AU"/>
        </w:rPr>
        <w:t xml:space="preserve">six representatives of Contracting Parties, which may include CEPA Government Focal Points, Standing Committee </w:t>
      </w:r>
      <w:r>
        <w:rPr>
          <w:lang w:val="en-AU"/>
        </w:rPr>
        <w:t>representatives</w:t>
      </w:r>
      <w:r w:rsidRPr="005346C5">
        <w:rPr>
          <w:lang w:val="en-AU"/>
        </w:rPr>
        <w:t xml:space="preserve"> </w:t>
      </w:r>
      <w:r w:rsidR="004F4474" w:rsidRPr="005346C5">
        <w:rPr>
          <w:lang w:val="en-AU"/>
        </w:rPr>
        <w:t>or other representatives of Parties (</w:t>
      </w:r>
      <w:r>
        <w:rPr>
          <w:lang w:val="en-AU"/>
        </w:rPr>
        <w:t xml:space="preserve">a </w:t>
      </w:r>
      <w:r w:rsidR="004F4474" w:rsidRPr="005346C5">
        <w:rPr>
          <w:lang w:val="en-AU"/>
        </w:rPr>
        <w:t xml:space="preserve">maximum </w:t>
      </w:r>
      <w:r>
        <w:rPr>
          <w:lang w:val="en-AU"/>
        </w:rPr>
        <w:t xml:space="preserve">of </w:t>
      </w:r>
      <w:r w:rsidR="004F4474" w:rsidRPr="005346C5">
        <w:rPr>
          <w:lang w:val="en-AU"/>
        </w:rPr>
        <w:t>one per region);</w:t>
      </w:r>
    </w:p>
    <w:p w:rsidR="004F4474" w:rsidRPr="005346C5" w:rsidRDefault="004F4474" w:rsidP="008B55AE">
      <w:pPr>
        <w:pStyle w:val="ListParagraph"/>
        <w:numPr>
          <w:ilvl w:val="0"/>
          <w:numId w:val="32"/>
        </w:numPr>
        <w:ind w:left="850" w:hanging="425"/>
        <w:rPr>
          <w:lang w:val="en-AU"/>
        </w:rPr>
      </w:pPr>
      <w:r w:rsidRPr="005346C5">
        <w:rPr>
          <w:lang w:val="en-AU"/>
        </w:rPr>
        <w:t xml:space="preserve">The Vice-Chair of the </w:t>
      </w:r>
      <w:r w:rsidR="001C557D" w:rsidRPr="001C557D">
        <w:rPr>
          <w:lang w:val="en-AU"/>
        </w:rPr>
        <w:t>Scientific and Technical Review Panel</w:t>
      </w:r>
      <w:r w:rsidRPr="005346C5">
        <w:rPr>
          <w:lang w:val="en-AU"/>
        </w:rPr>
        <w:t>;</w:t>
      </w:r>
    </w:p>
    <w:p w:rsidR="004F4474" w:rsidRPr="005346C5" w:rsidRDefault="001C557D" w:rsidP="008B55AE">
      <w:pPr>
        <w:pStyle w:val="ListParagraph"/>
        <w:numPr>
          <w:ilvl w:val="0"/>
          <w:numId w:val="32"/>
        </w:numPr>
        <w:ind w:left="850" w:hanging="425"/>
        <w:rPr>
          <w:lang w:val="en-AU"/>
        </w:rPr>
      </w:pPr>
      <w:r>
        <w:rPr>
          <w:lang w:val="en-AU"/>
        </w:rPr>
        <w:t>A m</w:t>
      </w:r>
      <w:r w:rsidR="004F4474" w:rsidRPr="005346C5">
        <w:rPr>
          <w:lang w:val="en-AU"/>
        </w:rPr>
        <w:t xml:space="preserve">aximum </w:t>
      </w:r>
      <w:r>
        <w:rPr>
          <w:lang w:val="en-AU"/>
        </w:rPr>
        <w:t xml:space="preserve">of </w:t>
      </w:r>
      <w:r w:rsidR="004F4474" w:rsidRPr="005346C5">
        <w:rPr>
          <w:lang w:val="en-AU"/>
        </w:rPr>
        <w:t>two NGO Focal Points (not from the same region);</w:t>
      </w:r>
    </w:p>
    <w:p w:rsidR="004F4474" w:rsidRPr="005346C5" w:rsidRDefault="001C557D" w:rsidP="008B55AE">
      <w:pPr>
        <w:pStyle w:val="ListParagraph"/>
        <w:numPr>
          <w:ilvl w:val="0"/>
          <w:numId w:val="32"/>
        </w:numPr>
        <w:ind w:left="850" w:hanging="425"/>
        <w:rPr>
          <w:lang w:val="en-AU"/>
        </w:rPr>
      </w:pPr>
      <w:r>
        <w:rPr>
          <w:lang w:val="en-AU"/>
        </w:rPr>
        <w:t>A m</w:t>
      </w:r>
      <w:r w:rsidRPr="005346C5">
        <w:rPr>
          <w:lang w:val="en-AU"/>
        </w:rPr>
        <w:t xml:space="preserve">aximum </w:t>
      </w:r>
      <w:r>
        <w:rPr>
          <w:lang w:val="en-AU"/>
        </w:rPr>
        <w:t xml:space="preserve">of </w:t>
      </w:r>
      <w:r w:rsidR="004F4474" w:rsidRPr="005346C5">
        <w:rPr>
          <w:lang w:val="en-AU"/>
        </w:rPr>
        <w:t xml:space="preserve">two representatives of the </w:t>
      </w:r>
      <w:r>
        <w:rPr>
          <w:lang w:val="en-AU"/>
        </w:rPr>
        <w:t>IOPS</w:t>
      </w:r>
      <w:r w:rsidR="004F4474" w:rsidRPr="005346C5">
        <w:rPr>
          <w:lang w:val="en-AU"/>
        </w:rPr>
        <w:t>; and</w:t>
      </w:r>
    </w:p>
    <w:p w:rsidR="004F4474" w:rsidRDefault="001C557D" w:rsidP="008B55AE">
      <w:pPr>
        <w:pStyle w:val="ListParagraph"/>
        <w:numPr>
          <w:ilvl w:val="0"/>
          <w:numId w:val="32"/>
        </w:numPr>
        <w:ind w:left="850" w:hanging="425"/>
        <w:rPr>
          <w:lang w:val="en-AU"/>
        </w:rPr>
      </w:pPr>
      <w:r>
        <w:t xml:space="preserve">A representative of the Convention </w:t>
      </w:r>
      <w:r w:rsidR="004F4474" w:rsidRPr="005346C5">
        <w:rPr>
          <w:lang w:val="en-AU"/>
        </w:rPr>
        <w:t>Secretariat (</w:t>
      </w:r>
      <w:r w:rsidR="004F4474" w:rsidRPr="001C557D">
        <w:rPr>
          <w:i/>
          <w:lang w:val="en-AU"/>
        </w:rPr>
        <w:t>ex officio</w:t>
      </w:r>
      <w:r w:rsidR="004F4474" w:rsidRPr="005346C5">
        <w:rPr>
          <w:lang w:val="en-AU"/>
        </w:rPr>
        <w:t>). </w:t>
      </w:r>
    </w:p>
    <w:p w:rsidR="005346C5" w:rsidRPr="005346C5" w:rsidRDefault="005346C5" w:rsidP="00714BE8">
      <w:pPr>
        <w:ind w:left="0"/>
        <w:rPr>
          <w:lang w:val="en-AU"/>
        </w:rPr>
      </w:pPr>
    </w:p>
    <w:p w:rsidR="004F4474" w:rsidRDefault="005346C5" w:rsidP="008B55AE">
      <w:r>
        <w:t>8.</w:t>
      </w:r>
      <w:r>
        <w:tab/>
      </w:r>
      <w:r w:rsidR="004F4474">
        <w:t xml:space="preserve">On 29 April 2019, the Secretariat issued the </w:t>
      </w:r>
      <w:r w:rsidR="001C557D">
        <w:t>call for nomination of m</w:t>
      </w:r>
      <w:r w:rsidR="001C557D" w:rsidRPr="00EA7E19">
        <w:t xml:space="preserve">embers </w:t>
      </w:r>
      <w:r w:rsidR="004F4474" w:rsidRPr="00EA7E19">
        <w:t>of the CEPA Oversight Panel for the 2019-2021 triennium</w:t>
      </w:r>
      <w:r w:rsidR="004F4474">
        <w:t>. The deadline for nominations was</w:t>
      </w:r>
      <w:r w:rsidR="004F4474" w:rsidRPr="00EA7E19">
        <w:t xml:space="preserve"> 27 May 2019.</w:t>
      </w:r>
      <w:r w:rsidR="004F4474">
        <w:t xml:space="preserve"> On 22 May 2019 a reminder notification was sent to all Contracting Parties.</w:t>
      </w:r>
    </w:p>
    <w:p w:rsidR="005346C5" w:rsidRDefault="005346C5" w:rsidP="008B55AE"/>
    <w:p w:rsidR="00714BE8" w:rsidRDefault="005346C5" w:rsidP="008B55AE">
      <w:r>
        <w:t>9.</w:t>
      </w:r>
      <w:r>
        <w:tab/>
      </w:r>
      <w:r w:rsidR="002906B3">
        <w:t xml:space="preserve">The Secretariat received a total of </w:t>
      </w:r>
      <w:r w:rsidR="00F64D74">
        <w:t>11</w:t>
      </w:r>
      <w:r w:rsidR="002906B3">
        <w:t xml:space="preserve"> nominations by the deadline, nine nominations for representatives of Contracting Parties and two for an NGO focal point. There were no representatives of Contracting Parties nominated from two regions</w:t>
      </w:r>
      <w:r w:rsidR="00714BE8">
        <w:t>,</w:t>
      </w:r>
      <w:r w:rsidR="002906B3">
        <w:t xml:space="preserve"> leaving the requirement that all six regions be represented unfulfilled. </w:t>
      </w:r>
    </w:p>
    <w:p w:rsidR="00714BE8" w:rsidRDefault="00714BE8" w:rsidP="008B55AE"/>
    <w:p w:rsidR="00CA2DAD" w:rsidRDefault="005346C5" w:rsidP="008B55AE">
      <w:r>
        <w:t>10.</w:t>
      </w:r>
      <w:r w:rsidR="002906B3">
        <w:tab/>
        <w:t xml:space="preserve">After consultation with the incoming chair of the CEPA Oversight Panel, the Secretariat contacted Parties in the two regions who did not nominate a representative and requested that Contracting Parties come forward with nominations that could be presented at SC57 such that a proposed list of Panel members can be approved by </w:t>
      </w:r>
      <w:r w:rsidR="00F64D74">
        <w:t>the Standing Committee</w:t>
      </w:r>
      <w:r w:rsidR="002906B3">
        <w:t xml:space="preserve">. </w:t>
      </w:r>
    </w:p>
    <w:p w:rsidR="00714BE8" w:rsidRDefault="00714BE8" w:rsidP="008B55AE"/>
    <w:p w:rsidR="00CA2DAD" w:rsidRDefault="00CA2DAD" w:rsidP="008B55AE">
      <w:r>
        <w:t>11.</w:t>
      </w:r>
      <w:r>
        <w:tab/>
        <w:t xml:space="preserve">The Secretariat invites the Standing Committee to take the steps required to ensure the </w:t>
      </w:r>
      <w:r w:rsidR="00714BE8">
        <w:t xml:space="preserve">membership </w:t>
      </w:r>
      <w:r>
        <w:t xml:space="preserve">of the </w:t>
      </w:r>
      <w:r w:rsidR="005D264E" w:rsidRPr="0021055F">
        <w:t xml:space="preserve">CEPA Oversight </w:t>
      </w:r>
      <w:r>
        <w:t xml:space="preserve">Panel for 2019-2021 in accordance with the </w:t>
      </w:r>
      <w:r w:rsidR="00362D22">
        <w:t xml:space="preserve">terms of Resolution XIII.5 listed at paragraph </w:t>
      </w:r>
      <w:r w:rsidR="00361074">
        <w:t>5</w:t>
      </w:r>
      <w:bookmarkStart w:id="0" w:name="_GoBack"/>
      <w:bookmarkEnd w:id="0"/>
      <w:r w:rsidR="00362D22">
        <w:t xml:space="preserve">.d above, so that </w:t>
      </w:r>
      <w:r w:rsidR="005D264E">
        <w:t>the Panel</w:t>
      </w:r>
      <w:r w:rsidR="00362D22">
        <w:t xml:space="preserve"> can take up its </w:t>
      </w:r>
      <w:r w:rsidR="005D264E">
        <w:t>duties descri</w:t>
      </w:r>
      <w:r w:rsidR="00362D22">
        <w:t>bed at paragraphs 24-27 of Resolution XIII.5, and present to the Standing Committee, at SC58, its proposal to assume the responsibilities assigned in Resolution XII.9.</w:t>
      </w:r>
    </w:p>
    <w:p w:rsidR="004F4474" w:rsidRPr="000C2489" w:rsidRDefault="004F4474" w:rsidP="004F4474">
      <w:pPr>
        <w:ind w:left="0" w:firstLine="0"/>
        <w:rPr>
          <w:rFonts w:cs="Arial"/>
          <w:b/>
        </w:rPr>
      </w:pPr>
    </w:p>
    <w:sectPr w:rsidR="004F4474" w:rsidRPr="000C2489"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47" w:rsidRDefault="008B2947" w:rsidP="00DF2386">
      <w:r>
        <w:separator/>
      </w:r>
    </w:p>
  </w:endnote>
  <w:endnote w:type="continuationSeparator" w:id="0">
    <w:p w:rsidR="008B2947" w:rsidRDefault="008B294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4F4474" w:rsidP="002137E0">
    <w:pPr>
      <w:pStyle w:val="Header"/>
      <w:rPr>
        <w:noProof/>
      </w:rPr>
    </w:pPr>
    <w:r>
      <w:rPr>
        <w:sz w:val="20"/>
        <w:szCs w:val="20"/>
      </w:rPr>
      <w:t>SC57 Doc.15.1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361074">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47" w:rsidRDefault="008B2947" w:rsidP="00DF2386">
      <w:r>
        <w:separator/>
      </w:r>
    </w:p>
  </w:footnote>
  <w:footnote w:type="continuationSeparator" w:id="0">
    <w:p w:rsidR="008B2947" w:rsidRDefault="008B294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08766F"/>
    <w:multiLevelType w:val="hybridMultilevel"/>
    <w:tmpl w:val="C4AC9248"/>
    <w:lvl w:ilvl="0" w:tplc="45A06F0E">
      <w:start w:val="1"/>
      <w:numFmt w:val="decimal"/>
      <w:lvlText w:val="%1."/>
      <w:lvlJc w:val="left"/>
      <w:pPr>
        <w:ind w:left="-708" w:hanging="360"/>
      </w:pPr>
    </w:lvl>
    <w:lvl w:ilvl="1" w:tplc="0C090019">
      <w:start w:val="1"/>
      <w:numFmt w:val="lowerLetter"/>
      <w:lvlText w:val="%2."/>
      <w:lvlJc w:val="left"/>
      <w:pPr>
        <w:ind w:left="12" w:hanging="360"/>
      </w:pPr>
    </w:lvl>
    <w:lvl w:ilvl="2" w:tplc="0C09001B">
      <w:start w:val="1"/>
      <w:numFmt w:val="lowerRoman"/>
      <w:lvlText w:val="%3."/>
      <w:lvlJc w:val="right"/>
      <w:pPr>
        <w:ind w:left="732" w:hanging="180"/>
      </w:pPr>
    </w:lvl>
    <w:lvl w:ilvl="3" w:tplc="0C09000F">
      <w:start w:val="1"/>
      <w:numFmt w:val="decimal"/>
      <w:lvlText w:val="%4."/>
      <w:lvlJc w:val="left"/>
      <w:pPr>
        <w:ind w:left="1452" w:hanging="360"/>
      </w:pPr>
    </w:lvl>
    <w:lvl w:ilvl="4" w:tplc="0C090019">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C9E09A6"/>
    <w:multiLevelType w:val="hybridMultilevel"/>
    <w:tmpl w:val="9BEAC7E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B45011"/>
    <w:multiLevelType w:val="hybridMultilevel"/>
    <w:tmpl w:val="E3A23B4A"/>
    <w:lvl w:ilvl="0" w:tplc="33E06D62">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92FC1"/>
    <w:multiLevelType w:val="hybridMultilevel"/>
    <w:tmpl w:val="6E62436A"/>
    <w:lvl w:ilvl="0" w:tplc="04090001">
      <w:start w:val="1"/>
      <w:numFmt w:val="bullet"/>
      <w:lvlText w:val=""/>
      <w:lvlJc w:val="left"/>
      <w:pPr>
        <w:ind w:left="1077" w:hanging="360"/>
      </w:pPr>
      <w:rPr>
        <w:rFonts w:ascii="Symbol" w:hAnsi="Symbol" w:hint="default"/>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start w:val="1"/>
      <w:numFmt w:val="decimal"/>
      <w:lvlText w:val="%4."/>
      <w:lvlJc w:val="left"/>
      <w:pPr>
        <w:ind w:left="3237" w:hanging="360"/>
      </w:pPr>
    </w:lvl>
    <w:lvl w:ilvl="4" w:tplc="0C090019">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7"/>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
  </w:num>
  <w:num w:numId="13">
    <w:abstractNumId w:val="20"/>
  </w:num>
  <w:num w:numId="14">
    <w:abstractNumId w:val="13"/>
  </w:num>
  <w:num w:numId="15">
    <w:abstractNumId w:val="3"/>
  </w:num>
  <w:num w:numId="16">
    <w:abstractNumId w:val="16"/>
  </w:num>
  <w:num w:numId="17">
    <w:abstractNumId w:val="22"/>
  </w:num>
  <w:num w:numId="18">
    <w:abstractNumId w:val="30"/>
  </w:num>
  <w:num w:numId="19">
    <w:abstractNumId w:val="29"/>
  </w:num>
  <w:num w:numId="20">
    <w:abstractNumId w:val="24"/>
  </w:num>
  <w:num w:numId="21">
    <w:abstractNumId w:val="26"/>
  </w:num>
  <w:num w:numId="22">
    <w:abstractNumId w:val="18"/>
  </w:num>
  <w:num w:numId="23">
    <w:abstractNumId w:val="23"/>
  </w:num>
  <w:num w:numId="24">
    <w:abstractNumId w:val="21"/>
  </w:num>
  <w:num w:numId="25">
    <w:abstractNumId w:val="28"/>
  </w:num>
  <w:num w:numId="26">
    <w:abstractNumId w:val="10"/>
  </w:num>
  <w:num w:numId="27">
    <w:abstractNumId w:val="0"/>
  </w:num>
  <w:num w:numId="28">
    <w:abstractNumId w:val="12"/>
  </w:num>
  <w:num w:numId="29">
    <w:abstractNumId w:val="4"/>
  </w:num>
  <w:num w:numId="30">
    <w:abstractNumId w:val="2"/>
  </w:num>
  <w:num w:numId="31">
    <w:abstractNumId w:val="17"/>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53929"/>
    <w:rsid w:val="00074DE8"/>
    <w:rsid w:val="00096F42"/>
    <w:rsid w:val="000A3E3E"/>
    <w:rsid w:val="000C2489"/>
    <w:rsid w:val="000D5C76"/>
    <w:rsid w:val="000E2FA0"/>
    <w:rsid w:val="000E47E9"/>
    <w:rsid w:val="0012096C"/>
    <w:rsid w:val="00127828"/>
    <w:rsid w:val="00161BDA"/>
    <w:rsid w:val="00171618"/>
    <w:rsid w:val="001819B1"/>
    <w:rsid w:val="001A2D10"/>
    <w:rsid w:val="001C557D"/>
    <w:rsid w:val="001C5E41"/>
    <w:rsid w:val="001C77BC"/>
    <w:rsid w:val="001D48BB"/>
    <w:rsid w:val="001E00E3"/>
    <w:rsid w:val="001F2349"/>
    <w:rsid w:val="002005D2"/>
    <w:rsid w:val="0020298B"/>
    <w:rsid w:val="00206111"/>
    <w:rsid w:val="002137E0"/>
    <w:rsid w:val="002741AC"/>
    <w:rsid w:val="00275F13"/>
    <w:rsid w:val="002819C0"/>
    <w:rsid w:val="002906B3"/>
    <w:rsid w:val="00295556"/>
    <w:rsid w:val="00295BB5"/>
    <w:rsid w:val="002A5A4D"/>
    <w:rsid w:val="002B4262"/>
    <w:rsid w:val="002D5A4D"/>
    <w:rsid w:val="002E22AF"/>
    <w:rsid w:val="002F6155"/>
    <w:rsid w:val="00324398"/>
    <w:rsid w:val="00361074"/>
    <w:rsid w:val="00362D22"/>
    <w:rsid w:val="00384FC3"/>
    <w:rsid w:val="003A3804"/>
    <w:rsid w:val="003A52BE"/>
    <w:rsid w:val="003A5866"/>
    <w:rsid w:val="003A6E9F"/>
    <w:rsid w:val="003D4CD6"/>
    <w:rsid w:val="004228C7"/>
    <w:rsid w:val="0042798B"/>
    <w:rsid w:val="00434488"/>
    <w:rsid w:val="00434913"/>
    <w:rsid w:val="004474F8"/>
    <w:rsid w:val="00477550"/>
    <w:rsid w:val="004822F9"/>
    <w:rsid w:val="004844A8"/>
    <w:rsid w:val="00496803"/>
    <w:rsid w:val="004B6688"/>
    <w:rsid w:val="004F4474"/>
    <w:rsid w:val="005244A4"/>
    <w:rsid w:val="00527783"/>
    <w:rsid w:val="005346C5"/>
    <w:rsid w:val="005814B5"/>
    <w:rsid w:val="005D264E"/>
    <w:rsid w:val="005D3E9D"/>
    <w:rsid w:val="006256D3"/>
    <w:rsid w:val="00627BB7"/>
    <w:rsid w:val="00644A13"/>
    <w:rsid w:val="0065136E"/>
    <w:rsid w:val="00670D71"/>
    <w:rsid w:val="006B272B"/>
    <w:rsid w:val="006E7DCE"/>
    <w:rsid w:val="007050FF"/>
    <w:rsid w:val="00714BE8"/>
    <w:rsid w:val="00752764"/>
    <w:rsid w:val="00766962"/>
    <w:rsid w:val="00775287"/>
    <w:rsid w:val="007D33F4"/>
    <w:rsid w:val="007F3ABE"/>
    <w:rsid w:val="008328E9"/>
    <w:rsid w:val="00835BCB"/>
    <w:rsid w:val="00835CDC"/>
    <w:rsid w:val="00850B09"/>
    <w:rsid w:val="00863B9D"/>
    <w:rsid w:val="00863BE6"/>
    <w:rsid w:val="008775BC"/>
    <w:rsid w:val="00882F1B"/>
    <w:rsid w:val="008A70CE"/>
    <w:rsid w:val="008B2947"/>
    <w:rsid w:val="008B55AE"/>
    <w:rsid w:val="008C25E4"/>
    <w:rsid w:val="008C2DAE"/>
    <w:rsid w:val="009059A9"/>
    <w:rsid w:val="0092515E"/>
    <w:rsid w:val="00942FBD"/>
    <w:rsid w:val="0094770B"/>
    <w:rsid w:val="009B2267"/>
    <w:rsid w:val="009E0AE8"/>
    <w:rsid w:val="009E5374"/>
    <w:rsid w:val="009F345D"/>
    <w:rsid w:val="00A13218"/>
    <w:rsid w:val="00A227A3"/>
    <w:rsid w:val="00A60B73"/>
    <w:rsid w:val="00A80080"/>
    <w:rsid w:val="00AB4951"/>
    <w:rsid w:val="00B315A0"/>
    <w:rsid w:val="00B34A18"/>
    <w:rsid w:val="00B468CE"/>
    <w:rsid w:val="00B579CB"/>
    <w:rsid w:val="00B626CD"/>
    <w:rsid w:val="00B70083"/>
    <w:rsid w:val="00BB28F6"/>
    <w:rsid w:val="00BC2609"/>
    <w:rsid w:val="00BD2799"/>
    <w:rsid w:val="00C0528F"/>
    <w:rsid w:val="00C10997"/>
    <w:rsid w:val="00C13145"/>
    <w:rsid w:val="00C561EA"/>
    <w:rsid w:val="00C60792"/>
    <w:rsid w:val="00CA2DAD"/>
    <w:rsid w:val="00CE750F"/>
    <w:rsid w:val="00D160CB"/>
    <w:rsid w:val="00D245A1"/>
    <w:rsid w:val="00D415E2"/>
    <w:rsid w:val="00D42055"/>
    <w:rsid w:val="00D647C3"/>
    <w:rsid w:val="00D9633A"/>
    <w:rsid w:val="00DF2386"/>
    <w:rsid w:val="00DF7FE7"/>
    <w:rsid w:val="00E46367"/>
    <w:rsid w:val="00E55EC2"/>
    <w:rsid w:val="00E63F0B"/>
    <w:rsid w:val="00E95E83"/>
    <w:rsid w:val="00EA3A7F"/>
    <w:rsid w:val="00F078F1"/>
    <w:rsid w:val="00F32D03"/>
    <w:rsid w:val="00F344DE"/>
    <w:rsid w:val="00F64D74"/>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EB5F2"/>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DA37-D0E1-4472-BD69-D3B44171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2019-06-07T08:56:00Z</cp:lastPrinted>
  <dcterms:created xsi:type="dcterms:W3CDTF">2019-06-11T12:37:00Z</dcterms:created>
  <dcterms:modified xsi:type="dcterms:W3CDTF">2019-06-11T12:37:00Z</dcterms:modified>
</cp:coreProperties>
</file>