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1DBB5" w14:textId="77777777" w:rsidR="004B4383" w:rsidRPr="00FD514D" w:rsidRDefault="004B4383" w:rsidP="004B4383">
      <w:pPr>
        <w:pBdr>
          <w:top w:val="single" w:sz="12" w:space="0" w:color="auto" w:shadow="1"/>
          <w:left w:val="single" w:sz="12" w:space="4" w:color="auto" w:shadow="1"/>
          <w:bottom w:val="single" w:sz="12" w:space="1" w:color="auto" w:shadow="1"/>
          <w:right w:val="single" w:sz="12" w:space="7" w:color="auto" w:shadow="1"/>
        </w:pBdr>
        <w:suppressAutoHyphens/>
        <w:ind w:right="2790"/>
        <w:rPr>
          <w:bCs/>
          <w:lang w:val="es-ES"/>
        </w:rPr>
      </w:pPr>
      <w:r w:rsidRPr="00FD514D">
        <w:rPr>
          <w:bCs/>
          <w:lang w:val="es-ES"/>
        </w:rPr>
        <w:t>CONVENCIÓN DE RAMSAR SOBRE LOS HUMEDALES</w:t>
      </w:r>
    </w:p>
    <w:p w14:paraId="09A67484" w14:textId="77777777" w:rsidR="004B4383" w:rsidRPr="00FD514D" w:rsidRDefault="004B4383" w:rsidP="004B4383">
      <w:pPr>
        <w:pBdr>
          <w:top w:val="single" w:sz="12" w:space="0" w:color="auto" w:shadow="1"/>
          <w:left w:val="single" w:sz="12" w:space="4" w:color="auto" w:shadow="1"/>
          <w:bottom w:val="single" w:sz="12" w:space="1" w:color="auto" w:shadow="1"/>
          <w:right w:val="single" w:sz="12" w:space="7" w:color="auto" w:shadow="1"/>
        </w:pBdr>
        <w:suppressAutoHyphens/>
        <w:ind w:right="2790"/>
        <w:rPr>
          <w:bCs/>
          <w:lang w:val="es-ES"/>
        </w:rPr>
      </w:pPr>
      <w:r w:rsidRPr="00FD514D">
        <w:rPr>
          <w:bCs/>
          <w:lang w:val="es-ES"/>
        </w:rPr>
        <w:t>57ª Reunión del Comité Permanente</w:t>
      </w:r>
    </w:p>
    <w:p w14:paraId="51D0A38D" w14:textId="77777777" w:rsidR="004B4383" w:rsidRPr="00FD514D" w:rsidRDefault="004B4383" w:rsidP="004B4383">
      <w:pPr>
        <w:pBdr>
          <w:top w:val="single" w:sz="12" w:space="0" w:color="auto" w:shadow="1"/>
          <w:left w:val="single" w:sz="12" w:space="4" w:color="auto" w:shadow="1"/>
          <w:bottom w:val="single" w:sz="12" w:space="1" w:color="auto" w:shadow="1"/>
          <w:right w:val="single" w:sz="12" w:space="7" w:color="auto" w:shadow="1"/>
        </w:pBdr>
        <w:suppressAutoHyphens/>
        <w:ind w:right="2790"/>
        <w:rPr>
          <w:bCs/>
          <w:lang w:val="es-ES"/>
        </w:rPr>
      </w:pPr>
      <w:r w:rsidRPr="00FD514D">
        <w:rPr>
          <w:bCs/>
          <w:lang w:val="es-ES"/>
        </w:rPr>
        <w:t>Gland, Suiza, 24 a 28 de junio de 2019</w:t>
      </w:r>
    </w:p>
    <w:p w14:paraId="4C1F2985" w14:textId="77777777" w:rsidR="00DF2386" w:rsidRPr="00FD514D" w:rsidRDefault="00DF2386" w:rsidP="00014168">
      <w:pPr>
        <w:outlineLvl w:val="0"/>
        <w:rPr>
          <w:b/>
          <w:lang w:val="es-ES"/>
        </w:rPr>
      </w:pPr>
    </w:p>
    <w:p w14:paraId="6288B03A" w14:textId="77777777" w:rsidR="00DF2386" w:rsidRPr="00FD514D" w:rsidRDefault="00DF2386" w:rsidP="00014168">
      <w:pPr>
        <w:jc w:val="right"/>
        <w:rPr>
          <w:rFonts w:cs="Arial"/>
          <w:sz w:val="28"/>
          <w:szCs w:val="28"/>
          <w:lang w:val="es-ES"/>
        </w:rPr>
      </w:pPr>
      <w:r w:rsidRPr="00FD514D">
        <w:rPr>
          <w:rFonts w:cs="Arial"/>
          <w:b/>
          <w:sz w:val="28"/>
          <w:szCs w:val="28"/>
          <w:lang w:val="es-ES"/>
        </w:rPr>
        <w:t>SC5</w:t>
      </w:r>
      <w:r w:rsidR="00C0528F" w:rsidRPr="00FD514D">
        <w:rPr>
          <w:rFonts w:cs="Arial"/>
          <w:b/>
          <w:sz w:val="28"/>
          <w:szCs w:val="28"/>
          <w:lang w:val="es-ES"/>
        </w:rPr>
        <w:t>7</w:t>
      </w:r>
      <w:r w:rsidR="004B4383" w:rsidRPr="00FD514D">
        <w:rPr>
          <w:rFonts w:cs="Arial"/>
          <w:b/>
          <w:sz w:val="28"/>
          <w:szCs w:val="28"/>
          <w:lang w:val="es-ES"/>
        </w:rPr>
        <w:t xml:space="preserve"> Doc.13</w:t>
      </w:r>
      <w:r w:rsidR="00502459" w:rsidRPr="00FD514D">
        <w:rPr>
          <w:rFonts w:cs="Arial"/>
          <w:b/>
          <w:sz w:val="28"/>
          <w:szCs w:val="28"/>
          <w:lang w:val="es-ES"/>
        </w:rPr>
        <w:t xml:space="preserve"> </w:t>
      </w:r>
    </w:p>
    <w:p w14:paraId="30DD83E7" w14:textId="77777777" w:rsidR="00DF2386" w:rsidRPr="00FD514D" w:rsidRDefault="00DF2386" w:rsidP="00014168">
      <w:pPr>
        <w:rPr>
          <w:rFonts w:cs="Arial"/>
          <w:b/>
          <w:sz w:val="28"/>
          <w:szCs w:val="28"/>
          <w:lang w:val="es-ES"/>
        </w:rPr>
      </w:pPr>
    </w:p>
    <w:p w14:paraId="3D19FECC" w14:textId="693F8301" w:rsidR="00DF2386" w:rsidRPr="00FD514D" w:rsidRDefault="002C7AFC" w:rsidP="00014168">
      <w:pPr>
        <w:jc w:val="center"/>
        <w:rPr>
          <w:rFonts w:cs="Arial"/>
          <w:b/>
          <w:sz w:val="28"/>
          <w:szCs w:val="28"/>
          <w:lang w:val="es-ES"/>
        </w:rPr>
      </w:pPr>
      <w:r w:rsidRPr="00FD514D">
        <w:rPr>
          <w:rFonts w:cs="Arial"/>
          <w:b/>
          <w:sz w:val="28"/>
          <w:szCs w:val="28"/>
          <w:lang w:val="es-ES"/>
        </w:rPr>
        <w:t xml:space="preserve">Examen del </w:t>
      </w:r>
      <w:r w:rsidR="00C27B30">
        <w:rPr>
          <w:rFonts w:cs="Arial"/>
          <w:b/>
          <w:sz w:val="28"/>
          <w:szCs w:val="28"/>
          <w:lang w:val="es-ES"/>
        </w:rPr>
        <w:t>r</w:t>
      </w:r>
      <w:r w:rsidR="00437F0F" w:rsidRPr="00FD514D">
        <w:rPr>
          <w:rFonts w:cs="Arial"/>
          <w:b/>
          <w:sz w:val="28"/>
          <w:szCs w:val="28"/>
          <w:lang w:val="es-ES"/>
        </w:rPr>
        <w:t>eglamento</w:t>
      </w:r>
      <w:r w:rsidR="00502459" w:rsidRPr="00FD514D">
        <w:rPr>
          <w:rFonts w:cs="Arial"/>
          <w:b/>
          <w:sz w:val="28"/>
          <w:szCs w:val="28"/>
          <w:lang w:val="es-ES"/>
        </w:rPr>
        <w:t xml:space="preserve"> </w:t>
      </w:r>
    </w:p>
    <w:p w14:paraId="2950B5B2" w14:textId="77777777" w:rsidR="00DF2386" w:rsidRPr="00FD514D" w:rsidRDefault="00DF2386" w:rsidP="00014168">
      <w:pPr>
        <w:rPr>
          <w:rFonts w:ascii="Garamond" w:hAnsi="Garamond" w:cs="Arial"/>
          <w:lang w:val="es-ES"/>
        </w:rPr>
      </w:pPr>
    </w:p>
    <w:p w14:paraId="1857427C" w14:textId="77777777" w:rsidR="000C2489" w:rsidRPr="00FD514D" w:rsidRDefault="000C2489" w:rsidP="00014168">
      <w:pPr>
        <w:autoSpaceDE w:val="0"/>
        <w:autoSpaceDN w:val="0"/>
        <w:adjustRightInd w:val="0"/>
        <w:rPr>
          <w:rFonts w:asciiTheme="minorHAnsi" w:eastAsiaTheme="minorHAnsi" w:hAnsiTheme="minorHAnsi" w:cs="Calibri-Bold"/>
          <w:b/>
          <w:bCs/>
          <w:lang w:val="es-ES"/>
        </w:rPr>
      </w:pPr>
    </w:p>
    <w:p w14:paraId="669E5A33" w14:textId="77777777" w:rsidR="009E0AE8" w:rsidRPr="00FD514D" w:rsidRDefault="00614DB0" w:rsidP="00014168">
      <w:pPr>
        <w:rPr>
          <w:rFonts w:cs="Arial"/>
          <w:b/>
          <w:lang w:val="es-ES"/>
        </w:rPr>
      </w:pPr>
      <w:r w:rsidRPr="00FD514D">
        <w:rPr>
          <w:noProof/>
          <w:lang w:eastAsia="en-GB"/>
        </w:rPr>
        <mc:AlternateContent>
          <mc:Choice Requires="wps">
            <w:drawing>
              <wp:inline distT="0" distB="0" distL="0" distR="0" wp14:anchorId="70B18B81" wp14:editId="1008A80D">
                <wp:extent cx="5731510" cy="3049089"/>
                <wp:effectExtent l="0" t="0" r="34290" b="247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49089"/>
                        </a:xfrm>
                        <a:prstGeom prst="rect">
                          <a:avLst/>
                        </a:prstGeom>
                        <a:solidFill>
                          <a:srgbClr val="FFFFFF"/>
                        </a:solidFill>
                        <a:ln w="9525">
                          <a:solidFill>
                            <a:srgbClr val="000000"/>
                          </a:solidFill>
                          <a:miter lim="800000"/>
                          <a:headEnd/>
                          <a:tailEnd/>
                        </a:ln>
                      </wps:spPr>
                      <wps:txbx>
                        <w:txbxContent>
                          <w:p w14:paraId="1B4A6BAA" w14:textId="77777777" w:rsidR="00C0067B" w:rsidRPr="00354A53" w:rsidRDefault="00C0067B" w:rsidP="00614DB0">
                            <w:pPr>
                              <w:rPr>
                                <w:b/>
                                <w:bCs/>
                                <w:lang w:val="es-ES"/>
                              </w:rPr>
                            </w:pPr>
                            <w:r w:rsidRPr="00354A53">
                              <w:rPr>
                                <w:b/>
                                <w:bCs/>
                                <w:lang w:val="es-ES"/>
                              </w:rPr>
                              <w:t xml:space="preserve">Acciones solicitadas: </w:t>
                            </w:r>
                          </w:p>
                          <w:p w14:paraId="11110DA9" w14:textId="77777777" w:rsidR="00C0067B" w:rsidRPr="00354A53" w:rsidRDefault="00C0067B" w:rsidP="00614DB0">
                            <w:pPr>
                              <w:pStyle w:val="ColorfulList-Accent11"/>
                              <w:ind w:left="0"/>
                              <w:rPr>
                                <w:color w:val="000000" w:themeColor="text1"/>
                                <w:lang w:val="es-ES"/>
                              </w:rPr>
                            </w:pPr>
                          </w:p>
                          <w:p w14:paraId="5645C903" w14:textId="77777777" w:rsidR="00C0067B" w:rsidRPr="00354A53" w:rsidRDefault="00C0067B" w:rsidP="00614DB0">
                            <w:pPr>
                              <w:pStyle w:val="ColorfulList-Accent11"/>
                              <w:ind w:left="0" w:firstLine="0"/>
                              <w:rPr>
                                <w:rFonts w:cs="Calibri"/>
                                <w:color w:val="000000" w:themeColor="text1"/>
                                <w:lang w:val="es-ES"/>
                              </w:rPr>
                            </w:pPr>
                            <w:r w:rsidRPr="00354A53">
                              <w:rPr>
                                <w:color w:val="000000" w:themeColor="text1"/>
                                <w:lang w:val="es-ES"/>
                              </w:rPr>
                              <w:t xml:space="preserve">Se invita al </w:t>
                            </w:r>
                            <w:r>
                              <w:rPr>
                                <w:color w:val="000000" w:themeColor="text1"/>
                                <w:lang w:val="es-ES"/>
                              </w:rPr>
                              <w:t>Comité Permanente (CP) a tomar nota del contenido del presente documento y a hacer lo siguiente:</w:t>
                            </w:r>
                          </w:p>
                          <w:p w14:paraId="4E3D4FE8" w14:textId="77777777" w:rsidR="00C0067B" w:rsidRPr="00354A53" w:rsidRDefault="00C0067B" w:rsidP="00614DB0">
                            <w:pPr>
                              <w:pStyle w:val="ColorfulList-Accent11"/>
                              <w:numPr>
                                <w:ilvl w:val="0"/>
                                <w:numId w:val="45"/>
                              </w:numPr>
                              <w:rPr>
                                <w:rFonts w:cs="Calibri"/>
                                <w:color w:val="000000" w:themeColor="text1"/>
                                <w:lang w:val="es-ES"/>
                              </w:rPr>
                            </w:pPr>
                            <w:r>
                              <w:rPr>
                                <w:rFonts w:cs="Calibri"/>
                                <w:color w:val="000000" w:themeColor="text1"/>
                                <w:lang w:val="es-ES"/>
                              </w:rPr>
                              <w:t xml:space="preserve">examinar las lagunas e incoherencias detectadas por la Secretaría; </w:t>
                            </w:r>
                          </w:p>
                          <w:p w14:paraId="212F4CA0" w14:textId="7968B2C8" w:rsidR="00C0067B" w:rsidRPr="00354A53" w:rsidRDefault="00C0067B" w:rsidP="00614DB0">
                            <w:pPr>
                              <w:pStyle w:val="ColorfulList-Accent11"/>
                              <w:numPr>
                                <w:ilvl w:val="0"/>
                                <w:numId w:val="45"/>
                              </w:numPr>
                              <w:rPr>
                                <w:color w:val="000000" w:themeColor="text1"/>
                                <w:lang w:val="es-ES"/>
                              </w:rPr>
                            </w:pPr>
                            <w:r>
                              <w:rPr>
                                <w:rFonts w:cs="Calibri"/>
                                <w:color w:val="000000" w:themeColor="text1"/>
                                <w:lang w:val="es-ES"/>
                              </w:rPr>
                              <w:t xml:space="preserve">solicitar a la Secretaría </w:t>
                            </w:r>
                            <w:r w:rsidRPr="00354A53">
                              <w:rPr>
                                <w:rFonts w:cs="Calibri"/>
                                <w:color w:val="000000" w:themeColor="text1"/>
                                <w:lang w:val="es-ES"/>
                              </w:rPr>
                              <w:t xml:space="preserve">– </w:t>
                            </w:r>
                            <w:r>
                              <w:rPr>
                                <w:rFonts w:cs="Calibri"/>
                                <w:color w:val="000000" w:themeColor="text1"/>
                                <w:lang w:val="es-ES"/>
                              </w:rPr>
                              <w:t xml:space="preserve">en función de las observaciones aportadas en la 57ª reunión del Comité Permanente (SC57) y las demás aportaciones de las Partes interesadas </w:t>
                            </w:r>
                            <w:r w:rsidRPr="00354A53">
                              <w:rPr>
                                <w:rFonts w:cs="Calibri"/>
                                <w:color w:val="000000" w:themeColor="text1"/>
                                <w:lang w:val="es-ES"/>
                              </w:rPr>
                              <w:t xml:space="preserve">– </w:t>
                            </w:r>
                            <w:r>
                              <w:rPr>
                                <w:rFonts w:cs="Calibri"/>
                                <w:color w:val="000000" w:themeColor="text1"/>
                                <w:lang w:val="es-ES"/>
                              </w:rPr>
                              <w:t xml:space="preserve">que prepare un reglamento revisado para la Conferencia de las Partes </w:t>
                            </w:r>
                            <w:r w:rsidRPr="00354A53">
                              <w:rPr>
                                <w:color w:val="000000" w:themeColor="text1"/>
                                <w:lang w:val="es-ES"/>
                              </w:rPr>
                              <w:t xml:space="preserve">(COP) </w:t>
                            </w:r>
                            <w:r>
                              <w:rPr>
                                <w:color w:val="000000" w:themeColor="text1"/>
                                <w:lang w:val="es-ES"/>
                              </w:rPr>
                              <w:t xml:space="preserve">y un reglamento nuevo para el Comité Permanente </w:t>
                            </w:r>
                            <w:r w:rsidRPr="00354A53">
                              <w:rPr>
                                <w:color w:val="000000" w:themeColor="text1"/>
                                <w:lang w:val="es-ES"/>
                              </w:rPr>
                              <w:t>(</w:t>
                            </w:r>
                            <w:r>
                              <w:rPr>
                                <w:color w:val="000000" w:themeColor="text1"/>
                                <w:lang w:val="es-ES"/>
                              </w:rPr>
                              <w:t xml:space="preserve">que será aplicable </w:t>
                            </w:r>
                            <w:r w:rsidRPr="00354A53">
                              <w:rPr>
                                <w:i/>
                                <w:color w:val="000000" w:themeColor="text1"/>
                                <w:lang w:val="es-ES"/>
                              </w:rPr>
                              <w:t>mutatis mutandis</w:t>
                            </w:r>
                            <w:r w:rsidRPr="00354A53">
                              <w:rPr>
                                <w:color w:val="000000" w:themeColor="text1"/>
                                <w:lang w:val="es-ES"/>
                              </w:rPr>
                              <w:t xml:space="preserve"> </w:t>
                            </w:r>
                            <w:r>
                              <w:rPr>
                                <w:color w:val="000000" w:themeColor="text1"/>
                                <w:lang w:val="es-ES"/>
                              </w:rPr>
                              <w:t>a otros órganos subsidiarios</w:t>
                            </w:r>
                            <w:r w:rsidRPr="00354A53">
                              <w:rPr>
                                <w:color w:val="000000" w:themeColor="text1"/>
                                <w:lang w:val="es-ES"/>
                              </w:rPr>
                              <w:t xml:space="preserve">) </w:t>
                            </w:r>
                            <w:r>
                              <w:rPr>
                                <w:color w:val="000000" w:themeColor="text1"/>
                                <w:lang w:val="es-ES"/>
                              </w:rPr>
                              <w:t xml:space="preserve">para que sean examinados en la reunión SC58; </w:t>
                            </w:r>
                          </w:p>
                          <w:p w14:paraId="2E9B6BB2" w14:textId="1AB4E123" w:rsidR="00C0067B" w:rsidRPr="00354A53" w:rsidRDefault="00C0067B" w:rsidP="00614DB0">
                            <w:pPr>
                              <w:pStyle w:val="ColorfulList-Accent11"/>
                              <w:numPr>
                                <w:ilvl w:val="0"/>
                                <w:numId w:val="45"/>
                              </w:numPr>
                              <w:rPr>
                                <w:color w:val="000000" w:themeColor="text1"/>
                                <w:lang w:val="es-ES"/>
                              </w:rPr>
                            </w:pPr>
                            <w:r>
                              <w:rPr>
                                <w:rFonts w:cs="Calibri"/>
                                <w:color w:val="000000" w:themeColor="text1"/>
                                <w:lang w:val="es-ES"/>
                              </w:rPr>
                              <w:t>pedir a la Secretaría –</w:t>
                            </w:r>
                            <w:r w:rsidRPr="00354A53">
                              <w:rPr>
                                <w:rFonts w:cs="Calibri"/>
                                <w:color w:val="000000" w:themeColor="text1"/>
                                <w:lang w:val="es-ES"/>
                              </w:rPr>
                              <w:t xml:space="preserve"> </w:t>
                            </w:r>
                            <w:r>
                              <w:rPr>
                                <w:rFonts w:cs="Calibri"/>
                                <w:color w:val="000000" w:themeColor="text1"/>
                                <w:lang w:val="es-ES"/>
                              </w:rPr>
                              <w:t>sobre la base de las observaciones aportadas en la reunión SC58</w:t>
                            </w:r>
                            <w:r w:rsidRPr="003C6A59">
                              <w:rPr>
                                <w:rFonts w:cs="Calibri"/>
                                <w:color w:val="000000" w:themeColor="text1"/>
                                <w:lang w:val="es-ES"/>
                              </w:rPr>
                              <w:t xml:space="preserve"> </w:t>
                            </w:r>
                            <w:r>
                              <w:rPr>
                                <w:rFonts w:cs="Calibri"/>
                                <w:color w:val="000000" w:themeColor="text1"/>
                                <w:lang w:val="es-ES"/>
                              </w:rPr>
                              <w:t xml:space="preserve">y las demás aportaciones de las Partes interesadas </w:t>
                            </w:r>
                            <w:r>
                              <w:rPr>
                                <w:rFonts w:cs="Calibri"/>
                                <w:color w:val="000000" w:themeColor="text1"/>
                                <w:lang w:val="es-ES"/>
                              </w:rPr>
                              <w:softHyphen/>
                              <w:t xml:space="preserve">– que finalice un proyecto de </w:t>
                            </w:r>
                            <w:r>
                              <w:rPr>
                                <w:color w:val="000000" w:themeColor="text1"/>
                                <w:lang w:val="es-ES"/>
                              </w:rPr>
                              <w:t xml:space="preserve">reglamento revisado para la Conferencia de las Partes y de un reglamento nuevo para el Comité Permanente para que sean examinados en la reunión SC59; y </w:t>
                            </w:r>
                          </w:p>
                          <w:p w14:paraId="1B7F4FC7" w14:textId="7C2816A6" w:rsidR="00C0067B" w:rsidRPr="00354A53" w:rsidRDefault="00C0067B" w:rsidP="00614DB0">
                            <w:pPr>
                              <w:pStyle w:val="ColorfulList-Accent11"/>
                              <w:numPr>
                                <w:ilvl w:val="0"/>
                                <w:numId w:val="45"/>
                              </w:numPr>
                              <w:rPr>
                                <w:color w:val="000000" w:themeColor="text1"/>
                                <w:lang w:val="es-ES"/>
                              </w:rPr>
                            </w:pPr>
                            <w:r>
                              <w:rPr>
                                <w:color w:val="000000" w:themeColor="text1"/>
                                <w:lang w:val="es-ES"/>
                              </w:rPr>
                              <w:t xml:space="preserve">recomendar que la 14ª reunión de la Conferencia de las Partes adopte el reglamento revisado de la Conferencia de las Partes y el nuevo reglamento del Comité Permanente que sean aprobados en la reunión SC59. </w:t>
                            </w:r>
                          </w:p>
                          <w:p w14:paraId="7E243D09" w14:textId="77777777" w:rsidR="00C0067B" w:rsidRPr="00576484" w:rsidRDefault="00C0067B" w:rsidP="00614DB0">
                            <w:pPr>
                              <w:pStyle w:val="ColorfulList-Accent11"/>
                              <w:ind w:left="709" w:hanging="349"/>
                              <w:rPr>
                                <w:lang w:val="fr-FR"/>
                              </w:rPr>
                            </w:pPr>
                            <w:r w:rsidRPr="00576484">
                              <w:rPr>
                                <w:rFonts w:cs="Calibri"/>
                                <w:lang w:val="fr-FR"/>
                              </w:rPr>
                              <w:t xml:space="preserve"> </w:t>
                            </w:r>
                          </w:p>
                        </w:txbxContent>
                      </wps:txbx>
                      <wps:bodyPr rot="0" vert="horz" wrap="square" lIns="91440" tIns="45720" rIns="91440" bIns="45720" anchor="t" anchorCtr="0" upright="1">
                        <a:noAutofit/>
                      </wps:bodyPr>
                    </wps:wsp>
                  </a:graphicData>
                </a:graphic>
              </wp:inline>
            </w:drawing>
          </mc:Choice>
          <mc:Fallback>
            <w:pict>
              <v:shapetype w14:anchorId="70B18B81" id="_x0000_t202" coordsize="21600,21600" o:spt="202" path="m,l,21600r21600,l21600,xe">
                <v:stroke joinstyle="miter"/>
                <v:path gradientshapeok="t" o:connecttype="rect"/>
              </v:shapetype>
              <v:shape id="Text Box 1" o:spid="_x0000_s1026" type="#_x0000_t202" style="width:451.3pt;height:2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0SKwIAAFE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">
                <v:textbox>
                  <w:txbxContent>
                    <w:p w14:paraId="1B4A6BAA" w14:textId="77777777" w:rsidR="00C0067B" w:rsidRPr="00354A53" w:rsidRDefault="00C0067B" w:rsidP="00614DB0">
                      <w:pPr>
                        <w:rPr>
                          <w:b/>
                          <w:bCs/>
                          <w:lang w:val="es-ES"/>
                        </w:rPr>
                      </w:pPr>
                      <w:r w:rsidRPr="00354A53">
                        <w:rPr>
                          <w:b/>
                          <w:bCs/>
                          <w:lang w:val="es-ES"/>
                        </w:rPr>
                        <w:t xml:space="preserve">Acciones solicitadas: </w:t>
                      </w:r>
                    </w:p>
                    <w:p w14:paraId="11110DA9" w14:textId="77777777" w:rsidR="00C0067B" w:rsidRPr="00354A53" w:rsidRDefault="00C0067B" w:rsidP="00614DB0">
                      <w:pPr>
                        <w:pStyle w:val="ColorfulList-Accent11"/>
                        <w:ind w:left="0"/>
                        <w:rPr>
                          <w:color w:val="000000" w:themeColor="text1"/>
                          <w:lang w:val="es-ES"/>
                        </w:rPr>
                      </w:pPr>
                    </w:p>
                    <w:p w14:paraId="5645C903" w14:textId="77777777" w:rsidR="00C0067B" w:rsidRPr="00354A53" w:rsidRDefault="00C0067B" w:rsidP="00614DB0">
                      <w:pPr>
                        <w:pStyle w:val="ColorfulList-Accent11"/>
                        <w:ind w:left="0" w:firstLine="0"/>
                        <w:rPr>
                          <w:rFonts w:cs="Calibri"/>
                          <w:color w:val="000000" w:themeColor="text1"/>
                          <w:lang w:val="es-ES"/>
                        </w:rPr>
                      </w:pPr>
                      <w:r w:rsidRPr="00354A53">
                        <w:rPr>
                          <w:color w:val="000000" w:themeColor="text1"/>
                          <w:lang w:val="es-ES"/>
                        </w:rPr>
                        <w:t xml:space="preserve">Se invita al </w:t>
                      </w:r>
                      <w:r>
                        <w:rPr>
                          <w:color w:val="000000" w:themeColor="text1"/>
                          <w:lang w:val="es-ES"/>
                        </w:rPr>
                        <w:t>Comité Permanente (CP) a tomar nota del contenido del presente documento y a hacer lo siguiente:</w:t>
                      </w:r>
                    </w:p>
                    <w:p w14:paraId="4E3D4FE8" w14:textId="77777777" w:rsidR="00C0067B" w:rsidRPr="00354A53" w:rsidRDefault="00C0067B" w:rsidP="00614DB0">
                      <w:pPr>
                        <w:pStyle w:val="ColorfulList-Accent11"/>
                        <w:numPr>
                          <w:ilvl w:val="0"/>
                          <w:numId w:val="45"/>
                        </w:numPr>
                        <w:rPr>
                          <w:rFonts w:cs="Calibri"/>
                          <w:color w:val="000000" w:themeColor="text1"/>
                          <w:lang w:val="es-ES"/>
                        </w:rPr>
                      </w:pPr>
                      <w:r>
                        <w:rPr>
                          <w:rFonts w:cs="Calibri"/>
                          <w:color w:val="000000" w:themeColor="text1"/>
                          <w:lang w:val="es-ES"/>
                        </w:rPr>
                        <w:t xml:space="preserve">examinar las lagunas e incoherencias detectadas por la Secretaría; </w:t>
                      </w:r>
                    </w:p>
                    <w:p w14:paraId="212F4CA0" w14:textId="7968B2C8" w:rsidR="00C0067B" w:rsidRPr="00354A53" w:rsidRDefault="00C0067B" w:rsidP="00614DB0">
                      <w:pPr>
                        <w:pStyle w:val="ColorfulList-Accent11"/>
                        <w:numPr>
                          <w:ilvl w:val="0"/>
                          <w:numId w:val="45"/>
                        </w:numPr>
                        <w:rPr>
                          <w:color w:val="000000" w:themeColor="text1"/>
                          <w:lang w:val="es-ES"/>
                        </w:rPr>
                      </w:pPr>
                      <w:r>
                        <w:rPr>
                          <w:rFonts w:cs="Calibri"/>
                          <w:color w:val="000000" w:themeColor="text1"/>
                          <w:lang w:val="es-ES"/>
                        </w:rPr>
                        <w:t xml:space="preserve">solicitar a la Secretaría </w:t>
                      </w:r>
                      <w:r w:rsidRPr="00354A53">
                        <w:rPr>
                          <w:rFonts w:cs="Calibri"/>
                          <w:color w:val="000000" w:themeColor="text1"/>
                          <w:lang w:val="es-ES"/>
                        </w:rPr>
                        <w:t xml:space="preserve">– </w:t>
                      </w:r>
                      <w:r>
                        <w:rPr>
                          <w:rFonts w:cs="Calibri"/>
                          <w:color w:val="000000" w:themeColor="text1"/>
                          <w:lang w:val="es-ES"/>
                        </w:rPr>
                        <w:t xml:space="preserve">en función de las observaciones aportadas en la 57ª reunión del Comité Permanente (SC57) y las demás aportaciones de las Partes interesadas </w:t>
                      </w:r>
                      <w:r w:rsidRPr="00354A53">
                        <w:rPr>
                          <w:rFonts w:cs="Calibri"/>
                          <w:color w:val="000000" w:themeColor="text1"/>
                          <w:lang w:val="es-ES"/>
                        </w:rPr>
                        <w:t xml:space="preserve">– </w:t>
                      </w:r>
                      <w:r>
                        <w:rPr>
                          <w:rFonts w:cs="Calibri"/>
                          <w:color w:val="000000" w:themeColor="text1"/>
                          <w:lang w:val="es-ES"/>
                        </w:rPr>
                        <w:t xml:space="preserve">que prepare un reglamento revisado para la Conferencia de las Partes </w:t>
                      </w:r>
                      <w:r w:rsidRPr="00354A53">
                        <w:rPr>
                          <w:color w:val="000000" w:themeColor="text1"/>
                          <w:lang w:val="es-ES"/>
                        </w:rPr>
                        <w:t xml:space="preserve">(COP) </w:t>
                      </w:r>
                      <w:r>
                        <w:rPr>
                          <w:color w:val="000000" w:themeColor="text1"/>
                          <w:lang w:val="es-ES"/>
                        </w:rPr>
                        <w:t xml:space="preserve">y un reglamento nuevo para el Comité Permanente </w:t>
                      </w:r>
                      <w:r w:rsidRPr="00354A53">
                        <w:rPr>
                          <w:color w:val="000000" w:themeColor="text1"/>
                          <w:lang w:val="es-ES"/>
                        </w:rPr>
                        <w:t>(</w:t>
                      </w:r>
                      <w:r>
                        <w:rPr>
                          <w:color w:val="000000" w:themeColor="text1"/>
                          <w:lang w:val="es-ES"/>
                        </w:rPr>
                        <w:t xml:space="preserve">que será aplicable </w:t>
                      </w:r>
                      <w:r w:rsidRPr="00354A53">
                        <w:rPr>
                          <w:i/>
                          <w:color w:val="000000" w:themeColor="text1"/>
                          <w:lang w:val="es-ES"/>
                        </w:rPr>
                        <w:t>mutatis mutandis</w:t>
                      </w:r>
                      <w:r w:rsidRPr="00354A53">
                        <w:rPr>
                          <w:color w:val="000000" w:themeColor="text1"/>
                          <w:lang w:val="es-ES"/>
                        </w:rPr>
                        <w:t xml:space="preserve"> </w:t>
                      </w:r>
                      <w:r>
                        <w:rPr>
                          <w:color w:val="000000" w:themeColor="text1"/>
                          <w:lang w:val="es-ES"/>
                        </w:rPr>
                        <w:t>a otros órganos subsidiarios</w:t>
                      </w:r>
                      <w:r w:rsidRPr="00354A53">
                        <w:rPr>
                          <w:color w:val="000000" w:themeColor="text1"/>
                          <w:lang w:val="es-ES"/>
                        </w:rPr>
                        <w:t xml:space="preserve">) </w:t>
                      </w:r>
                      <w:r>
                        <w:rPr>
                          <w:color w:val="000000" w:themeColor="text1"/>
                          <w:lang w:val="es-ES"/>
                        </w:rPr>
                        <w:t xml:space="preserve">para que sean examinados en la reunión SC58; </w:t>
                      </w:r>
                    </w:p>
                    <w:p w14:paraId="2E9B6BB2" w14:textId="1AB4E123" w:rsidR="00C0067B" w:rsidRPr="00354A53" w:rsidRDefault="00C0067B" w:rsidP="00614DB0">
                      <w:pPr>
                        <w:pStyle w:val="ColorfulList-Accent11"/>
                        <w:numPr>
                          <w:ilvl w:val="0"/>
                          <w:numId w:val="45"/>
                        </w:numPr>
                        <w:rPr>
                          <w:color w:val="000000" w:themeColor="text1"/>
                          <w:lang w:val="es-ES"/>
                        </w:rPr>
                      </w:pPr>
                      <w:r>
                        <w:rPr>
                          <w:rFonts w:cs="Calibri"/>
                          <w:color w:val="000000" w:themeColor="text1"/>
                          <w:lang w:val="es-ES"/>
                        </w:rPr>
                        <w:t>pedir a la Secretaría –</w:t>
                      </w:r>
                      <w:r w:rsidRPr="00354A53">
                        <w:rPr>
                          <w:rFonts w:cs="Calibri"/>
                          <w:color w:val="000000" w:themeColor="text1"/>
                          <w:lang w:val="es-ES"/>
                        </w:rPr>
                        <w:t xml:space="preserve"> </w:t>
                      </w:r>
                      <w:r>
                        <w:rPr>
                          <w:rFonts w:cs="Calibri"/>
                          <w:color w:val="000000" w:themeColor="text1"/>
                          <w:lang w:val="es-ES"/>
                        </w:rPr>
                        <w:t>sobre la base de las observaciones aportadas en la reunión SC58</w:t>
                      </w:r>
                      <w:r w:rsidRPr="003C6A59">
                        <w:rPr>
                          <w:rFonts w:cs="Calibri"/>
                          <w:color w:val="000000" w:themeColor="text1"/>
                          <w:lang w:val="es-ES"/>
                        </w:rPr>
                        <w:t xml:space="preserve"> </w:t>
                      </w:r>
                      <w:r>
                        <w:rPr>
                          <w:rFonts w:cs="Calibri"/>
                          <w:color w:val="000000" w:themeColor="text1"/>
                          <w:lang w:val="es-ES"/>
                        </w:rPr>
                        <w:t xml:space="preserve">y las demás aportaciones de las Partes interesadas </w:t>
                      </w:r>
                      <w:r>
                        <w:rPr>
                          <w:rFonts w:cs="Calibri"/>
                          <w:color w:val="000000" w:themeColor="text1"/>
                          <w:lang w:val="es-ES"/>
                        </w:rPr>
                        <w:softHyphen/>
                        <w:t xml:space="preserve">– que finalice un proyecto de </w:t>
                      </w:r>
                      <w:r>
                        <w:rPr>
                          <w:color w:val="000000" w:themeColor="text1"/>
                          <w:lang w:val="es-ES"/>
                        </w:rPr>
                        <w:t xml:space="preserve">reglamento revisado para la Conferencia de las Partes y de un reglamento nuevo para el Comité Permanente para que sean examinados en la reunión SC59; y </w:t>
                      </w:r>
                    </w:p>
                    <w:p w14:paraId="1B7F4FC7" w14:textId="7C2816A6" w:rsidR="00C0067B" w:rsidRPr="00354A53" w:rsidRDefault="00C0067B" w:rsidP="00614DB0">
                      <w:pPr>
                        <w:pStyle w:val="ColorfulList-Accent11"/>
                        <w:numPr>
                          <w:ilvl w:val="0"/>
                          <w:numId w:val="45"/>
                        </w:numPr>
                        <w:rPr>
                          <w:color w:val="000000" w:themeColor="text1"/>
                          <w:lang w:val="es-ES"/>
                        </w:rPr>
                      </w:pPr>
                      <w:r>
                        <w:rPr>
                          <w:color w:val="000000" w:themeColor="text1"/>
                          <w:lang w:val="es-ES"/>
                        </w:rPr>
                        <w:t xml:space="preserve">recomendar que la 14ª reunión de la Conferencia de las Partes adopte el reglamento revisado de la Conferencia de las Partes y el nuevo reglamento del Comité Permanente que sean aprobados en la reunión SC59. </w:t>
                      </w:r>
                    </w:p>
                    <w:p w14:paraId="7E243D09" w14:textId="77777777" w:rsidR="00C0067B" w:rsidRPr="00576484" w:rsidRDefault="00C0067B" w:rsidP="00614DB0">
                      <w:pPr>
                        <w:pStyle w:val="ColorfulList-Accent11"/>
                        <w:ind w:left="709" w:hanging="349"/>
                        <w:rPr>
                          <w:lang w:val="fr-FR"/>
                        </w:rPr>
                      </w:pPr>
                      <w:r w:rsidRPr="00576484">
                        <w:rPr>
                          <w:rFonts w:cs="Calibri"/>
                          <w:lang w:val="fr-FR"/>
                        </w:rPr>
                        <w:t xml:space="preserve"> </w:t>
                      </w:r>
                    </w:p>
                  </w:txbxContent>
                </v:textbox>
                <w10:anchorlock/>
              </v:shape>
            </w:pict>
          </mc:Fallback>
        </mc:AlternateContent>
      </w:r>
    </w:p>
    <w:p w14:paraId="63F7377C" w14:textId="77777777" w:rsidR="009E0AE8" w:rsidRPr="00FD514D" w:rsidRDefault="009E0AE8" w:rsidP="00014168">
      <w:pPr>
        <w:rPr>
          <w:rFonts w:cs="Arial"/>
          <w:b/>
          <w:lang w:val="es-ES"/>
        </w:rPr>
      </w:pPr>
    </w:p>
    <w:p w14:paraId="3EFE313F" w14:textId="77777777" w:rsidR="00576484" w:rsidRDefault="00576484" w:rsidP="00A6091D">
      <w:pPr>
        <w:pStyle w:val="CommentText"/>
        <w:keepNext/>
        <w:suppressAutoHyphens/>
        <w:autoSpaceDE w:val="0"/>
        <w:autoSpaceDN w:val="0"/>
        <w:adjustRightInd w:val="0"/>
        <w:rPr>
          <w:rFonts w:cs="Arial"/>
          <w:lang w:val="es-ES"/>
        </w:rPr>
      </w:pPr>
    </w:p>
    <w:p w14:paraId="1E186B89" w14:textId="023B7B84" w:rsidR="00A6091D" w:rsidRPr="00576484" w:rsidRDefault="00A6091D" w:rsidP="00A6091D">
      <w:pPr>
        <w:pStyle w:val="CommentText"/>
        <w:keepNext/>
        <w:suppressAutoHyphens/>
        <w:autoSpaceDE w:val="0"/>
        <w:autoSpaceDN w:val="0"/>
        <w:adjustRightInd w:val="0"/>
        <w:rPr>
          <w:rFonts w:cs="Arial"/>
          <w:sz w:val="22"/>
          <w:szCs w:val="22"/>
          <w:lang w:val="es-ES"/>
        </w:rPr>
      </w:pPr>
      <w:r w:rsidRPr="00576484">
        <w:rPr>
          <w:rFonts w:cs="Arial"/>
          <w:sz w:val="22"/>
          <w:szCs w:val="22"/>
          <w:lang w:val="es-ES"/>
        </w:rPr>
        <w:t>1.</w:t>
      </w:r>
      <w:r w:rsidRPr="00576484">
        <w:rPr>
          <w:rFonts w:cs="Arial"/>
          <w:sz w:val="22"/>
          <w:szCs w:val="22"/>
          <w:lang w:val="es-ES"/>
        </w:rPr>
        <w:tab/>
        <w:t>Este documento ha sido preparado por la Secretaría y la Asesora Jurídica.</w:t>
      </w:r>
    </w:p>
    <w:p w14:paraId="29E2384B" w14:textId="77777777" w:rsidR="00A6091D" w:rsidRPr="00FD514D" w:rsidRDefault="00A6091D" w:rsidP="00014168">
      <w:pPr>
        <w:rPr>
          <w:rFonts w:cs="Arial"/>
          <w:b/>
          <w:lang w:val="es-ES"/>
        </w:rPr>
      </w:pPr>
    </w:p>
    <w:p w14:paraId="669660B2" w14:textId="77777777" w:rsidR="000C2489" w:rsidRPr="00FD514D" w:rsidRDefault="00437F0F" w:rsidP="00014168">
      <w:pPr>
        <w:rPr>
          <w:rFonts w:cs="Arial"/>
          <w:b/>
          <w:lang w:val="es-ES"/>
        </w:rPr>
      </w:pPr>
      <w:r w:rsidRPr="00FD514D">
        <w:rPr>
          <w:rFonts w:cs="Arial"/>
          <w:b/>
          <w:lang w:val="es-ES"/>
        </w:rPr>
        <w:t>Antecedentes</w:t>
      </w:r>
      <w:r w:rsidR="00502459" w:rsidRPr="00FD514D">
        <w:rPr>
          <w:rFonts w:cs="Arial"/>
          <w:b/>
          <w:lang w:val="es-ES"/>
        </w:rPr>
        <w:t xml:space="preserve"> </w:t>
      </w:r>
    </w:p>
    <w:p w14:paraId="3208897F" w14:textId="77777777" w:rsidR="008D2D58" w:rsidRPr="00FD514D" w:rsidRDefault="008D2D58" w:rsidP="008D2D58">
      <w:pPr>
        <w:pStyle w:val="CommentText"/>
        <w:keepNext/>
        <w:suppressAutoHyphens/>
        <w:autoSpaceDE w:val="0"/>
        <w:autoSpaceDN w:val="0"/>
        <w:adjustRightInd w:val="0"/>
        <w:rPr>
          <w:rFonts w:cs="Arial"/>
          <w:lang w:val="es-ES"/>
        </w:rPr>
      </w:pPr>
    </w:p>
    <w:p w14:paraId="0C8F9825" w14:textId="7B08345A" w:rsidR="001A2D10" w:rsidRPr="00FD514D" w:rsidRDefault="008D2D58" w:rsidP="00AF63F6">
      <w:pPr>
        <w:rPr>
          <w:rFonts w:asciiTheme="minorHAnsi" w:hAnsiTheme="minorHAnsi" w:cstheme="minorHAnsi"/>
          <w:snapToGrid w:val="0"/>
          <w:lang w:val="es-ES"/>
        </w:rPr>
      </w:pPr>
      <w:r w:rsidRPr="00FD514D">
        <w:rPr>
          <w:rFonts w:cs="Arial"/>
          <w:lang w:val="es-ES"/>
        </w:rPr>
        <w:t>2.</w:t>
      </w:r>
      <w:r w:rsidRPr="00FD514D">
        <w:rPr>
          <w:rFonts w:cs="Arial"/>
          <w:lang w:val="es-ES"/>
        </w:rPr>
        <w:tab/>
      </w:r>
      <w:r w:rsidR="00696FCC" w:rsidRPr="00FD514D">
        <w:rPr>
          <w:rFonts w:cs="Arial"/>
          <w:lang w:val="es-ES"/>
        </w:rPr>
        <w:t xml:space="preserve">En </w:t>
      </w:r>
      <w:r w:rsidR="006525C9" w:rsidRPr="00FD514D">
        <w:rPr>
          <w:rFonts w:cs="Arial"/>
          <w:lang w:val="es-ES"/>
        </w:rPr>
        <w:t>el párrafo 26 de la</w:t>
      </w:r>
      <w:r w:rsidR="00231312" w:rsidRPr="00FD514D">
        <w:rPr>
          <w:rFonts w:cs="Arial"/>
          <w:lang w:val="es-ES"/>
        </w:rPr>
        <w:t xml:space="preserve"> </w:t>
      </w:r>
      <w:r w:rsidR="00696FCC" w:rsidRPr="00FD514D">
        <w:rPr>
          <w:rFonts w:cs="Arial"/>
          <w:lang w:val="es-ES"/>
        </w:rPr>
        <w:t>Resolución</w:t>
      </w:r>
      <w:r w:rsidR="00F90D96" w:rsidRPr="00FD514D">
        <w:rPr>
          <w:rFonts w:cs="Arial"/>
          <w:lang w:val="es-ES"/>
        </w:rPr>
        <w:t xml:space="preserve"> </w:t>
      </w:r>
      <w:r w:rsidR="00F146B5" w:rsidRPr="00FD514D">
        <w:rPr>
          <w:rFonts w:cs="Arial"/>
          <w:lang w:val="es-ES"/>
        </w:rPr>
        <w:t>XIII.4</w:t>
      </w:r>
      <w:r w:rsidR="006D09BD" w:rsidRPr="00FD514D">
        <w:rPr>
          <w:rFonts w:cs="Arial"/>
          <w:lang w:val="es-ES"/>
        </w:rPr>
        <w:t xml:space="preserve"> </w:t>
      </w:r>
      <w:r w:rsidR="00696FCC" w:rsidRPr="00FD514D">
        <w:rPr>
          <w:rFonts w:cs="Arial"/>
          <w:lang w:val="es-ES"/>
        </w:rPr>
        <w:t>sobre</w:t>
      </w:r>
      <w:r w:rsidR="0033715B" w:rsidRPr="00FD514D">
        <w:rPr>
          <w:rFonts w:cs="Arial"/>
          <w:lang w:val="es-ES"/>
        </w:rPr>
        <w:t xml:space="preserve"> </w:t>
      </w:r>
      <w:r w:rsidR="003C683E" w:rsidRPr="00FD514D">
        <w:rPr>
          <w:rFonts w:cs="Arial"/>
          <w:i/>
          <w:lang w:val="es-ES"/>
        </w:rPr>
        <w:t>Responsabilidades, funciones y composición del Comité Permanente y clasificación de los países por regiones en el marco de la Convención</w:t>
      </w:r>
      <w:r w:rsidR="00BD1845" w:rsidRPr="00FD514D">
        <w:rPr>
          <w:rFonts w:cs="Arial"/>
          <w:lang w:val="es-ES"/>
        </w:rPr>
        <w:t xml:space="preserve">, </w:t>
      </w:r>
      <w:r w:rsidR="003C683E" w:rsidRPr="00FD514D">
        <w:rPr>
          <w:rFonts w:cs="Arial"/>
          <w:lang w:val="es-ES"/>
        </w:rPr>
        <w:t>la Conferencia de las Partes</w:t>
      </w:r>
      <w:r w:rsidR="00502459" w:rsidRPr="00FD514D">
        <w:rPr>
          <w:rFonts w:cs="Arial"/>
          <w:lang w:val="es-ES"/>
        </w:rPr>
        <w:t xml:space="preserve"> </w:t>
      </w:r>
      <w:r w:rsidR="003C683E" w:rsidRPr="00FD514D">
        <w:rPr>
          <w:rFonts w:asciiTheme="minorHAnsi" w:hAnsiTheme="minorHAnsi" w:cstheme="minorHAnsi"/>
          <w:snapToGrid w:val="0"/>
          <w:lang w:val="es-ES"/>
        </w:rPr>
        <w:t>pide a la Secretaría que haga lo siguiente:</w:t>
      </w:r>
    </w:p>
    <w:p w14:paraId="7BCC7018" w14:textId="77777777" w:rsidR="00231312" w:rsidRPr="00FD514D" w:rsidRDefault="00231312" w:rsidP="00AF63F6">
      <w:pPr>
        <w:rPr>
          <w:rFonts w:cs="Arial"/>
          <w:i/>
          <w:lang w:val="es-ES"/>
        </w:rPr>
      </w:pPr>
    </w:p>
    <w:p w14:paraId="6CF552CF" w14:textId="77777777" w:rsidR="00026A44" w:rsidRPr="00FD514D" w:rsidRDefault="00026A44" w:rsidP="00026A44">
      <w:pPr>
        <w:ind w:left="850"/>
        <w:rPr>
          <w:rFonts w:asciiTheme="minorHAnsi" w:hAnsiTheme="minorHAnsi" w:cstheme="minorHAnsi"/>
          <w:lang w:val="es-ES"/>
        </w:rPr>
      </w:pPr>
      <w:r w:rsidRPr="00FD514D">
        <w:rPr>
          <w:rFonts w:asciiTheme="minorHAnsi" w:hAnsiTheme="minorHAnsi" w:cstheme="minorHAnsi"/>
          <w:lang w:val="es-ES"/>
        </w:rPr>
        <w:t>a.</w:t>
      </w:r>
      <w:r w:rsidRPr="00FD514D">
        <w:rPr>
          <w:rFonts w:asciiTheme="minorHAnsi" w:hAnsiTheme="minorHAnsi" w:cstheme="minorHAnsi"/>
          <w:lang w:val="es-ES"/>
        </w:rPr>
        <w:tab/>
      </w:r>
      <w:r w:rsidRPr="00FD514D">
        <w:rPr>
          <w:rFonts w:asciiTheme="minorHAnsi" w:hAnsiTheme="minorHAnsi" w:cstheme="minorHAnsi"/>
          <w:i/>
          <w:lang w:val="es-ES"/>
        </w:rPr>
        <w:t>llevar a cabo una revisión del Reglamento e identificar el texto que, en su caso, posiblemente no sea válido o aplicable, sea contradictorio o de otro modo incoherente con las prácticas actuales de Ramsar, y de la aplicabilidad del Reglamento a los órganos subsidiarios, incluyendo el Comité Permanente, los grupos de trabajo, los grupos de Amigos de la Presidencia, e informar de sus conclusiones durante la reunión SC57, incluyendo la información justificativa de sus conclusiones;</w:t>
      </w:r>
    </w:p>
    <w:p w14:paraId="1A76C66A" w14:textId="77777777" w:rsidR="00026A44" w:rsidRPr="00FD514D" w:rsidRDefault="00026A44" w:rsidP="00026A44">
      <w:pPr>
        <w:ind w:left="850"/>
        <w:rPr>
          <w:rFonts w:asciiTheme="minorHAnsi" w:hAnsiTheme="minorHAnsi" w:cstheme="minorHAnsi"/>
          <w:lang w:val="es-ES"/>
        </w:rPr>
      </w:pPr>
    </w:p>
    <w:p w14:paraId="277FD348" w14:textId="3723B7F1" w:rsidR="00FA1101" w:rsidRPr="00FD514D" w:rsidRDefault="00026A44" w:rsidP="00026A44">
      <w:pPr>
        <w:ind w:left="850"/>
        <w:rPr>
          <w:rFonts w:asciiTheme="minorHAnsi" w:hAnsiTheme="minorHAnsi" w:cstheme="minorHAnsi"/>
          <w:i/>
          <w:lang w:val="es-ES"/>
        </w:rPr>
      </w:pPr>
      <w:r w:rsidRPr="00FD514D">
        <w:rPr>
          <w:rFonts w:asciiTheme="minorHAnsi" w:hAnsiTheme="minorHAnsi" w:cstheme="minorHAnsi"/>
          <w:lang w:val="es-ES"/>
        </w:rPr>
        <w:t>b.</w:t>
      </w:r>
      <w:r w:rsidRPr="00FD514D">
        <w:rPr>
          <w:rFonts w:asciiTheme="minorHAnsi" w:hAnsiTheme="minorHAnsi" w:cstheme="minorHAnsi"/>
          <w:lang w:val="es-ES"/>
        </w:rPr>
        <w:tab/>
      </w:r>
      <w:r w:rsidRPr="00FD514D">
        <w:rPr>
          <w:rFonts w:asciiTheme="minorHAnsi" w:hAnsiTheme="minorHAnsi" w:cstheme="minorHAnsi"/>
          <w:i/>
          <w:lang w:val="es-ES"/>
        </w:rPr>
        <w:t>al llevar a cabo el examen antes mencionado, dar debida consideración a cualquier modificación propuesta al Reglamento que no haya sido examinada en la 13ª reunión de la Conferencia de las Partes Contratantes; y</w:t>
      </w:r>
    </w:p>
    <w:p w14:paraId="33E2A8E1" w14:textId="77777777" w:rsidR="0062785B" w:rsidRDefault="0062785B" w:rsidP="00026A44">
      <w:pPr>
        <w:ind w:left="850"/>
        <w:rPr>
          <w:rFonts w:asciiTheme="minorHAnsi" w:hAnsiTheme="minorHAnsi" w:cstheme="minorHAnsi"/>
          <w:lang w:val="es-ES"/>
        </w:rPr>
      </w:pPr>
    </w:p>
    <w:p w14:paraId="6416ACBC" w14:textId="24783DAC" w:rsidR="00026A44" w:rsidRPr="00FD514D" w:rsidRDefault="00026A44" w:rsidP="00026A44">
      <w:pPr>
        <w:ind w:left="850"/>
        <w:rPr>
          <w:rFonts w:asciiTheme="minorHAnsi" w:hAnsiTheme="minorHAnsi" w:cstheme="minorHAnsi"/>
          <w:i/>
          <w:lang w:val="es-ES"/>
        </w:rPr>
      </w:pPr>
      <w:r w:rsidRPr="00FD514D">
        <w:rPr>
          <w:rFonts w:asciiTheme="minorHAnsi" w:hAnsiTheme="minorHAnsi" w:cstheme="minorHAnsi"/>
          <w:lang w:val="es-ES"/>
        </w:rPr>
        <w:t xml:space="preserve">c. </w:t>
      </w:r>
      <w:r w:rsidRPr="00FD514D">
        <w:rPr>
          <w:rFonts w:asciiTheme="minorHAnsi" w:hAnsiTheme="minorHAnsi" w:cstheme="minorHAnsi"/>
          <w:lang w:val="es-ES"/>
        </w:rPr>
        <w:tab/>
      </w:r>
      <w:r w:rsidRPr="00FD514D">
        <w:rPr>
          <w:rFonts w:asciiTheme="minorHAnsi" w:hAnsiTheme="minorHAnsi" w:cstheme="minorHAnsi"/>
          <w:i/>
          <w:lang w:val="es-ES"/>
        </w:rPr>
        <w:t xml:space="preserve">basándose en sus conclusiones y en las observaciones de las Partes sobre el informe presentado a la reunión SC57, desarrollar recomendaciones, según proceda, para que las </w:t>
      </w:r>
      <w:r w:rsidRPr="00FD514D">
        <w:rPr>
          <w:rFonts w:asciiTheme="minorHAnsi" w:hAnsiTheme="minorHAnsi" w:cstheme="minorHAnsi"/>
          <w:i/>
          <w:lang w:val="es-ES"/>
        </w:rPr>
        <w:lastRenderedPageBreak/>
        <w:t>Partes en la reunión SC58 se planteen las revisiones que se puedan hacer del Reglamento en preparación para la COP14</w:t>
      </w:r>
      <w:r w:rsidR="00F75B3B" w:rsidRPr="00FD514D">
        <w:rPr>
          <w:rFonts w:asciiTheme="minorHAnsi" w:hAnsiTheme="minorHAnsi" w:cstheme="minorHAnsi"/>
          <w:i/>
          <w:lang w:val="es-ES"/>
        </w:rPr>
        <w:t>.</w:t>
      </w:r>
    </w:p>
    <w:p w14:paraId="54ED922B" w14:textId="77777777" w:rsidR="008A43FF" w:rsidRPr="00FD514D" w:rsidRDefault="008A43FF">
      <w:pPr>
        <w:pStyle w:val="NoSpacing"/>
        <w:rPr>
          <w:lang w:val="es-ES"/>
        </w:rPr>
      </w:pPr>
    </w:p>
    <w:p w14:paraId="390D6EB6" w14:textId="15508670" w:rsidR="00D60C78" w:rsidRPr="00FD514D" w:rsidRDefault="008D2D58">
      <w:pPr>
        <w:pStyle w:val="NoSpacing"/>
        <w:rPr>
          <w:lang w:val="es-ES"/>
        </w:rPr>
      </w:pPr>
      <w:r w:rsidRPr="00FD514D">
        <w:rPr>
          <w:lang w:val="es-ES"/>
        </w:rPr>
        <w:t>3</w:t>
      </w:r>
      <w:r w:rsidR="002E2CFF" w:rsidRPr="00FD514D">
        <w:rPr>
          <w:lang w:val="es-ES"/>
        </w:rPr>
        <w:t>.</w:t>
      </w:r>
      <w:r w:rsidR="002E2CFF" w:rsidRPr="00FD514D">
        <w:rPr>
          <w:lang w:val="es-ES"/>
        </w:rPr>
        <w:tab/>
      </w:r>
      <w:r w:rsidR="002A3170" w:rsidRPr="00FD514D">
        <w:rPr>
          <w:lang w:val="es-ES"/>
        </w:rPr>
        <w:t>En este contexto</w:t>
      </w:r>
      <w:r w:rsidR="003D11DA" w:rsidRPr="00FD514D">
        <w:rPr>
          <w:lang w:val="es-ES"/>
        </w:rPr>
        <w:t>,</w:t>
      </w:r>
      <w:r w:rsidR="0021235C" w:rsidRPr="00FD514D">
        <w:rPr>
          <w:lang w:val="es-ES"/>
        </w:rPr>
        <w:t xml:space="preserve"> el </w:t>
      </w:r>
      <w:r w:rsidR="00D60C78" w:rsidRPr="00FD514D">
        <w:rPr>
          <w:lang w:val="es-ES"/>
        </w:rPr>
        <w:t>a</w:t>
      </w:r>
      <w:r w:rsidR="00242B0A" w:rsidRPr="00FD514D">
        <w:rPr>
          <w:lang w:val="es-ES"/>
        </w:rPr>
        <w:t>rtículo</w:t>
      </w:r>
      <w:r w:rsidR="003D11DA" w:rsidRPr="00FD514D">
        <w:rPr>
          <w:lang w:val="es-ES"/>
        </w:rPr>
        <w:t xml:space="preserve"> 25.5 </w:t>
      </w:r>
      <w:r w:rsidR="0021235C" w:rsidRPr="00FD514D">
        <w:rPr>
          <w:lang w:val="es-ES"/>
        </w:rPr>
        <w:t>dispone que</w:t>
      </w:r>
      <w:r w:rsidR="003D11DA" w:rsidRPr="00FD514D">
        <w:rPr>
          <w:lang w:val="es-ES"/>
        </w:rPr>
        <w:t xml:space="preserve"> </w:t>
      </w:r>
      <w:r w:rsidR="00980900">
        <w:rPr>
          <w:lang w:val="es-ES"/>
        </w:rPr>
        <w:t>“</w:t>
      </w:r>
      <w:r w:rsidR="00172E91" w:rsidRPr="00FD514D">
        <w:rPr>
          <w:rFonts w:asciiTheme="minorHAnsi" w:hAnsiTheme="minorHAnsi"/>
          <w:lang w:val="es-ES"/>
        </w:rPr>
        <w:t xml:space="preserve">A menos que la Conferencia de las Partes decida otra cosa, el presente </w:t>
      </w:r>
      <w:r w:rsidR="00B94968" w:rsidRPr="00FD514D">
        <w:rPr>
          <w:rFonts w:asciiTheme="minorHAnsi" w:hAnsiTheme="minorHAnsi"/>
          <w:lang w:val="es-ES"/>
        </w:rPr>
        <w:t>r</w:t>
      </w:r>
      <w:r w:rsidR="00172E91" w:rsidRPr="00FD514D">
        <w:rPr>
          <w:rFonts w:asciiTheme="minorHAnsi" w:hAnsiTheme="minorHAnsi"/>
          <w:lang w:val="es-ES"/>
        </w:rPr>
        <w:t xml:space="preserve">eglamento se aplicará </w:t>
      </w:r>
      <w:r w:rsidR="00172E91" w:rsidRPr="00FD514D">
        <w:rPr>
          <w:rFonts w:asciiTheme="minorHAnsi" w:hAnsiTheme="minorHAnsi"/>
          <w:i/>
          <w:lang w:val="es-ES"/>
        </w:rPr>
        <w:t>mutatis mutandis</w:t>
      </w:r>
      <w:r w:rsidR="00172E91" w:rsidRPr="00FD514D">
        <w:rPr>
          <w:rFonts w:asciiTheme="minorHAnsi" w:hAnsiTheme="minorHAnsi"/>
          <w:lang w:val="es-ES"/>
        </w:rPr>
        <w:t xml:space="preserve"> a las actuaciones de los órganos subsidiarios</w:t>
      </w:r>
      <w:r w:rsidR="003D11DA" w:rsidRPr="00FD514D">
        <w:rPr>
          <w:lang w:val="es-ES"/>
        </w:rPr>
        <w:t>…</w:t>
      </w:r>
      <w:r w:rsidR="00980900">
        <w:rPr>
          <w:lang w:val="es-ES"/>
        </w:rPr>
        <w:t>”</w:t>
      </w:r>
      <w:r w:rsidR="00172E91" w:rsidRPr="00FD514D">
        <w:rPr>
          <w:lang w:val="es-ES"/>
        </w:rPr>
        <w:t xml:space="preserve">, con </w:t>
      </w:r>
      <w:r w:rsidR="00D60C78" w:rsidRPr="00FD514D">
        <w:rPr>
          <w:lang w:val="es-ES"/>
        </w:rPr>
        <w:t>determinad</w:t>
      </w:r>
      <w:r w:rsidR="00172E91" w:rsidRPr="00FD514D">
        <w:rPr>
          <w:lang w:val="es-ES"/>
        </w:rPr>
        <w:t xml:space="preserve">as excepciones. No obstante, </w:t>
      </w:r>
      <w:r w:rsidR="00946FD8" w:rsidRPr="00FD514D">
        <w:rPr>
          <w:lang w:val="es-ES"/>
        </w:rPr>
        <w:t xml:space="preserve">no siempre queda claro cuáles son los artículos </w:t>
      </w:r>
      <w:r w:rsidR="0021235C" w:rsidRPr="00FD514D">
        <w:rPr>
          <w:lang w:val="es-ES"/>
        </w:rPr>
        <w:t xml:space="preserve">aplicables a </w:t>
      </w:r>
      <w:r w:rsidR="001C7AC9" w:rsidRPr="00FD514D">
        <w:rPr>
          <w:lang w:val="es-ES"/>
        </w:rPr>
        <w:t xml:space="preserve">las reuniones de </w:t>
      </w:r>
      <w:r w:rsidR="00BD4AE3" w:rsidRPr="00FD514D">
        <w:rPr>
          <w:lang w:val="es-ES"/>
        </w:rPr>
        <w:t>estos otros órganos</w:t>
      </w:r>
      <w:r w:rsidR="001B4F8B" w:rsidRPr="00FD514D">
        <w:rPr>
          <w:lang w:val="es-ES"/>
        </w:rPr>
        <w:t>, lo que</w:t>
      </w:r>
      <w:r w:rsidR="00767B22" w:rsidRPr="00FD514D">
        <w:rPr>
          <w:lang w:val="es-ES"/>
        </w:rPr>
        <w:t xml:space="preserve"> da lugar a </w:t>
      </w:r>
      <w:r w:rsidR="00D60C78" w:rsidRPr="00FD514D">
        <w:rPr>
          <w:lang w:val="es-ES"/>
        </w:rPr>
        <w:t>confusiones</w:t>
      </w:r>
      <w:r w:rsidR="00767B22" w:rsidRPr="00FD514D">
        <w:rPr>
          <w:lang w:val="es-ES"/>
        </w:rPr>
        <w:t xml:space="preserve">. </w:t>
      </w:r>
    </w:p>
    <w:p w14:paraId="535D15F5" w14:textId="77777777" w:rsidR="00D60C78" w:rsidRPr="00FD514D" w:rsidRDefault="00D60C78">
      <w:pPr>
        <w:pStyle w:val="NoSpacing"/>
        <w:rPr>
          <w:lang w:val="es-ES"/>
        </w:rPr>
      </w:pPr>
    </w:p>
    <w:p w14:paraId="352029AD" w14:textId="77777777" w:rsidR="00A340E6" w:rsidRPr="00FD514D" w:rsidRDefault="008D2D58">
      <w:pPr>
        <w:pStyle w:val="NoSpacing"/>
        <w:rPr>
          <w:lang w:val="es-ES"/>
        </w:rPr>
      </w:pPr>
      <w:r w:rsidRPr="00FD514D">
        <w:rPr>
          <w:lang w:val="es-ES"/>
        </w:rPr>
        <w:t>4</w:t>
      </w:r>
      <w:r w:rsidR="002E2CFF" w:rsidRPr="00FD514D">
        <w:rPr>
          <w:lang w:val="es-ES"/>
        </w:rPr>
        <w:t>.</w:t>
      </w:r>
      <w:r w:rsidR="002E2CFF" w:rsidRPr="00FD514D">
        <w:rPr>
          <w:lang w:val="es-ES"/>
        </w:rPr>
        <w:tab/>
      </w:r>
      <w:r w:rsidR="001C7AC9" w:rsidRPr="00FD514D">
        <w:rPr>
          <w:lang w:val="es-ES"/>
        </w:rPr>
        <w:t>Cabe señalar</w:t>
      </w:r>
      <w:r w:rsidR="00767B22" w:rsidRPr="00FD514D">
        <w:rPr>
          <w:lang w:val="es-ES"/>
        </w:rPr>
        <w:t xml:space="preserve"> que </w:t>
      </w:r>
      <w:r w:rsidR="007E6992" w:rsidRPr="00FD514D">
        <w:rPr>
          <w:lang w:val="es-ES"/>
        </w:rPr>
        <w:t xml:space="preserve">las </w:t>
      </w:r>
      <w:r w:rsidR="00C45C00" w:rsidRPr="00FD514D">
        <w:rPr>
          <w:lang w:val="es-ES"/>
        </w:rPr>
        <w:t>modificaciones</w:t>
      </w:r>
      <w:r w:rsidR="007E6992" w:rsidRPr="00FD514D">
        <w:rPr>
          <w:lang w:val="es-ES"/>
        </w:rPr>
        <w:t xml:space="preserve"> al </w:t>
      </w:r>
      <w:r w:rsidR="00710AE3" w:rsidRPr="00FD514D">
        <w:rPr>
          <w:lang w:val="es-ES"/>
        </w:rPr>
        <w:t>r</w:t>
      </w:r>
      <w:r w:rsidR="007E6992" w:rsidRPr="00FD514D">
        <w:rPr>
          <w:lang w:val="es-ES"/>
        </w:rPr>
        <w:t>eglamento</w:t>
      </w:r>
      <w:r w:rsidR="00C60034" w:rsidRPr="00FD514D">
        <w:rPr>
          <w:lang w:val="es-ES"/>
        </w:rPr>
        <w:t xml:space="preserve"> propuestas </w:t>
      </w:r>
      <w:r w:rsidR="007E6992" w:rsidRPr="00FD514D">
        <w:rPr>
          <w:lang w:val="es-ES"/>
        </w:rPr>
        <w:t>por los Estados Unidos de América,</w:t>
      </w:r>
      <w:r w:rsidR="007E6992" w:rsidRPr="00FD514D" w:rsidDel="0034394F">
        <w:rPr>
          <w:lang w:val="es-ES"/>
        </w:rPr>
        <w:t xml:space="preserve"> </w:t>
      </w:r>
      <w:r w:rsidR="007E6992" w:rsidRPr="00FD514D">
        <w:rPr>
          <w:lang w:val="es-ES"/>
        </w:rPr>
        <w:t xml:space="preserve">el Japón y Suecia </w:t>
      </w:r>
      <w:r w:rsidR="00C60034" w:rsidRPr="00FD514D">
        <w:rPr>
          <w:lang w:val="es-ES"/>
        </w:rPr>
        <w:t>están indicadas</w:t>
      </w:r>
      <w:r w:rsidR="007E6992" w:rsidRPr="00FD514D">
        <w:rPr>
          <w:lang w:val="es-ES"/>
        </w:rPr>
        <w:t xml:space="preserve"> en </w:t>
      </w:r>
      <w:r w:rsidR="00767B22" w:rsidRPr="00FD514D">
        <w:rPr>
          <w:lang w:val="es-ES"/>
        </w:rPr>
        <w:t>el</w:t>
      </w:r>
      <w:r w:rsidR="00DE4500" w:rsidRPr="00FD514D">
        <w:rPr>
          <w:lang w:val="es-ES"/>
        </w:rPr>
        <w:t xml:space="preserve"> </w:t>
      </w:r>
      <w:r w:rsidR="008806EA" w:rsidRPr="00FD514D">
        <w:rPr>
          <w:lang w:val="es-ES"/>
        </w:rPr>
        <w:t>d</w:t>
      </w:r>
      <w:r w:rsidR="00BF7408" w:rsidRPr="00FD514D">
        <w:rPr>
          <w:lang w:val="es-ES"/>
        </w:rPr>
        <w:t>ocument</w:t>
      </w:r>
      <w:r w:rsidR="00767B22" w:rsidRPr="00FD514D">
        <w:rPr>
          <w:lang w:val="es-ES"/>
        </w:rPr>
        <w:t>o</w:t>
      </w:r>
      <w:r w:rsidR="00BF7408" w:rsidRPr="00FD514D">
        <w:rPr>
          <w:lang w:val="es-ES"/>
        </w:rPr>
        <w:t xml:space="preserve"> </w:t>
      </w:r>
      <w:r w:rsidR="00316215" w:rsidRPr="00FD514D">
        <w:rPr>
          <w:lang w:val="es-ES"/>
        </w:rPr>
        <w:t>COP13 Doc.</w:t>
      </w:r>
      <w:r w:rsidR="00BF7408" w:rsidRPr="00FD514D">
        <w:rPr>
          <w:lang w:val="es-ES"/>
        </w:rPr>
        <w:t>4.2</w:t>
      </w:r>
      <w:r w:rsidR="00316215" w:rsidRPr="00FD514D">
        <w:rPr>
          <w:lang w:val="es-ES"/>
        </w:rPr>
        <w:t xml:space="preserve"> </w:t>
      </w:r>
      <w:r w:rsidR="00C60034" w:rsidRPr="00FD514D">
        <w:rPr>
          <w:lang w:val="es-ES"/>
        </w:rPr>
        <w:t xml:space="preserve">que fue </w:t>
      </w:r>
      <w:r w:rsidR="00302969" w:rsidRPr="00FD514D">
        <w:rPr>
          <w:lang w:val="es-ES"/>
        </w:rPr>
        <w:t xml:space="preserve">presentado en la 13ª reunión de la Conferencia de las Partes Contratantes </w:t>
      </w:r>
      <w:r w:rsidR="00316215" w:rsidRPr="00FD514D">
        <w:rPr>
          <w:lang w:val="es-ES"/>
        </w:rPr>
        <w:t>(</w:t>
      </w:r>
      <w:r w:rsidR="00DE4500" w:rsidRPr="00FD514D">
        <w:rPr>
          <w:lang w:val="es-ES"/>
        </w:rPr>
        <w:t>COP13</w:t>
      </w:r>
      <w:r w:rsidR="00316215" w:rsidRPr="00FD514D">
        <w:rPr>
          <w:lang w:val="es-ES"/>
        </w:rPr>
        <w:t>)</w:t>
      </w:r>
      <w:r w:rsidR="00C45C00" w:rsidRPr="00FD514D">
        <w:rPr>
          <w:lang w:val="es-ES"/>
        </w:rPr>
        <w:t>.</w:t>
      </w:r>
    </w:p>
    <w:p w14:paraId="2DEBAB3D" w14:textId="77777777" w:rsidR="007F0335" w:rsidRPr="00FD514D" w:rsidRDefault="007F0335" w:rsidP="007303A4">
      <w:pPr>
        <w:pStyle w:val="NoSpacing"/>
        <w:rPr>
          <w:lang w:val="es-ES"/>
        </w:rPr>
      </w:pPr>
    </w:p>
    <w:p w14:paraId="45151163" w14:textId="77777777" w:rsidR="00DE4500" w:rsidRPr="00FD514D" w:rsidRDefault="00DE4500" w:rsidP="00DE4500">
      <w:pPr>
        <w:pStyle w:val="NoSpacing"/>
        <w:ind w:left="0" w:firstLine="0"/>
        <w:rPr>
          <w:lang w:val="es-ES"/>
        </w:rPr>
      </w:pPr>
    </w:p>
    <w:p w14:paraId="5448CEB7" w14:textId="3286222B" w:rsidR="0000041A" w:rsidRPr="00FD514D" w:rsidRDefault="00020E4D" w:rsidP="00275F13">
      <w:pPr>
        <w:pStyle w:val="NoSpacing"/>
        <w:rPr>
          <w:b/>
          <w:lang w:val="es-ES"/>
        </w:rPr>
      </w:pPr>
      <w:r w:rsidRPr="00FD514D">
        <w:rPr>
          <w:b/>
          <w:lang w:val="es-ES"/>
        </w:rPr>
        <w:t>Sección</w:t>
      </w:r>
      <w:r w:rsidR="00F66E6C" w:rsidRPr="00FD514D">
        <w:rPr>
          <w:b/>
          <w:lang w:val="es-ES"/>
        </w:rPr>
        <w:t xml:space="preserve"> 1</w:t>
      </w:r>
      <w:r w:rsidR="003131FF" w:rsidRPr="00FD514D">
        <w:rPr>
          <w:b/>
          <w:lang w:val="es-ES"/>
        </w:rPr>
        <w:t>:</w:t>
      </w:r>
      <w:r w:rsidR="00FA1101" w:rsidRPr="00FD514D">
        <w:rPr>
          <w:b/>
          <w:lang w:val="es-ES"/>
        </w:rPr>
        <w:t xml:space="preserve"> </w:t>
      </w:r>
      <w:r w:rsidR="00A801E9" w:rsidRPr="00FD514D">
        <w:rPr>
          <w:b/>
          <w:lang w:val="es-ES"/>
        </w:rPr>
        <w:t>M</w:t>
      </w:r>
      <w:r w:rsidR="009F7A1F" w:rsidRPr="00FD514D">
        <w:rPr>
          <w:b/>
          <w:lang w:val="es-ES"/>
        </w:rPr>
        <w:t>étodo</w:t>
      </w:r>
      <w:r w:rsidR="00F66E6C" w:rsidRPr="00FD514D">
        <w:rPr>
          <w:b/>
          <w:lang w:val="es-ES"/>
        </w:rPr>
        <w:t xml:space="preserve"> </w:t>
      </w:r>
    </w:p>
    <w:p w14:paraId="082F34D3" w14:textId="77777777" w:rsidR="0000041A" w:rsidRPr="00FD514D" w:rsidRDefault="0000041A" w:rsidP="00275F13">
      <w:pPr>
        <w:pStyle w:val="NoSpacing"/>
        <w:rPr>
          <w:lang w:val="es-ES"/>
        </w:rPr>
      </w:pPr>
    </w:p>
    <w:p w14:paraId="160A3D2D" w14:textId="77777777" w:rsidR="001446BC" w:rsidRPr="00FD514D" w:rsidRDefault="008D2D58" w:rsidP="001446BC">
      <w:pPr>
        <w:pStyle w:val="NoSpacing"/>
        <w:rPr>
          <w:lang w:val="es-ES"/>
        </w:rPr>
      </w:pPr>
      <w:r w:rsidRPr="00FD514D">
        <w:rPr>
          <w:lang w:val="es-ES"/>
        </w:rPr>
        <w:t>5</w:t>
      </w:r>
      <w:r w:rsidR="003D07AF" w:rsidRPr="00FD514D">
        <w:rPr>
          <w:lang w:val="es-ES"/>
        </w:rPr>
        <w:t>.</w:t>
      </w:r>
      <w:r w:rsidR="003D07AF" w:rsidRPr="00FD514D">
        <w:rPr>
          <w:lang w:val="es-ES"/>
        </w:rPr>
        <w:tab/>
      </w:r>
      <w:r w:rsidR="009F7A1F" w:rsidRPr="00FD514D">
        <w:rPr>
          <w:lang w:val="es-ES"/>
        </w:rPr>
        <w:t xml:space="preserve">Para los fines de la presente reunión </w:t>
      </w:r>
      <w:r w:rsidR="00CC54A3" w:rsidRPr="00FD514D">
        <w:rPr>
          <w:lang w:val="es-ES"/>
        </w:rPr>
        <w:t>(</w:t>
      </w:r>
      <w:r w:rsidR="00A801E9" w:rsidRPr="00FD514D">
        <w:rPr>
          <w:lang w:val="es-ES"/>
        </w:rPr>
        <w:t>SC57</w:t>
      </w:r>
      <w:r w:rsidR="00CC54A3" w:rsidRPr="00FD514D">
        <w:rPr>
          <w:lang w:val="es-ES"/>
        </w:rPr>
        <w:t>)</w:t>
      </w:r>
      <w:r w:rsidR="00A801E9" w:rsidRPr="00FD514D">
        <w:rPr>
          <w:lang w:val="es-ES"/>
        </w:rPr>
        <w:t>,</w:t>
      </w:r>
      <w:r w:rsidR="0072408F" w:rsidRPr="00FD514D">
        <w:rPr>
          <w:lang w:val="es-ES"/>
        </w:rPr>
        <w:t xml:space="preserve"> </w:t>
      </w:r>
      <w:r w:rsidR="00054206" w:rsidRPr="00FD514D">
        <w:rPr>
          <w:lang w:val="es-ES"/>
        </w:rPr>
        <w:t xml:space="preserve">la Secretaría </w:t>
      </w:r>
      <w:r w:rsidR="00D42CE1" w:rsidRPr="00FD514D">
        <w:rPr>
          <w:lang w:val="es-ES"/>
        </w:rPr>
        <w:t xml:space="preserve">debería </w:t>
      </w:r>
      <w:r w:rsidR="009226D0" w:rsidRPr="00FD514D">
        <w:rPr>
          <w:lang w:val="es-ES"/>
        </w:rPr>
        <w:t>abordar</w:t>
      </w:r>
      <w:r w:rsidR="0065134E" w:rsidRPr="00FD514D">
        <w:rPr>
          <w:lang w:val="es-ES"/>
        </w:rPr>
        <w:t xml:space="preserve"> </w:t>
      </w:r>
      <w:r w:rsidR="009226D0" w:rsidRPr="00FD514D">
        <w:rPr>
          <w:lang w:val="es-ES"/>
        </w:rPr>
        <w:t xml:space="preserve">los elementos señalados en los subpárrafos </w:t>
      </w:r>
      <w:r w:rsidRPr="00FD514D">
        <w:rPr>
          <w:lang w:val="es-ES"/>
        </w:rPr>
        <w:t>2</w:t>
      </w:r>
      <w:r w:rsidR="00E13918" w:rsidRPr="00FD514D">
        <w:rPr>
          <w:lang w:val="es-ES"/>
        </w:rPr>
        <w:t>.</w:t>
      </w:r>
      <w:r w:rsidR="00A801E9" w:rsidRPr="00FD514D">
        <w:rPr>
          <w:lang w:val="es-ES"/>
        </w:rPr>
        <w:t xml:space="preserve">a </w:t>
      </w:r>
      <w:r w:rsidR="009226D0" w:rsidRPr="00FD514D">
        <w:rPr>
          <w:lang w:val="es-ES"/>
        </w:rPr>
        <w:t>y</w:t>
      </w:r>
      <w:r w:rsidR="00502459" w:rsidRPr="00FD514D">
        <w:rPr>
          <w:lang w:val="es-ES"/>
        </w:rPr>
        <w:t xml:space="preserve"> </w:t>
      </w:r>
      <w:r w:rsidRPr="00FD514D">
        <w:rPr>
          <w:lang w:val="es-ES"/>
        </w:rPr>
        <w:t>2</w:t>
      </w:r>
      <w:r w:rsidR="00E13918" w:rsidRPr="00FD514D">
        <w:rPr>
          <w:lang w:val="es-ES"/>
        </w:rPr>
        <w:t>.</w:t>
      </w:r>
      <w:r w:rsidR="00A801E9" w:rsidRPr="00FD514D">
        <w:rPr>
          <w:lang w:val="es-ES"/>
        </w:rPr>
        <w:t>b</w:t>
      </w:r>
      <w:r w:rsidR="009226D0" w:rsidRPr="00FD514D">
        <w:rPr>
          <w:lang w:val="es-ES"/>
        </w:rPr>
        <w:t xml:space="preserve"> anteriores.</w:t>
      </w:r>
      <w:r w:rsidR="001446BC" w:rsidRPr="00FD514D">
        <w:rPr>
          <w:lang w:val="es-ES"/>
        </w:rPr>
        <w:t xml:space="preserve"> </w:t>
      </w:r>
    </w:p>
    <w:p w14:paraId="21D99581" w14:textId="77777777" w:rsidR="001446BC" w:rsidRPr="00FD514D" w:rsidRDefault="001446BC" w:rsidP="001446BC">
      <w:pPr>
        <w:pStyle w:val="NoSpacing"/>
        <w:rPr>
          <w:lang w:val="es-ES"/>
        </w:rPr>
      </w:pPr>
    </w:p>
    <w:p w14:paraId="33494B82" w14:textId="5880C9A7" w:rsidR="000C2489" w:rsidRPr="00FD514D" w:rsidRDefault="001446BC" w:rsidP="00A644B4">
      <w:pPr>
        <w:pStyle w:val="NoSpacing"/>
        <w:rPr>
          <w:lang w:val="es-ES"/>
        </w:rPr>
      </w:pPr>
      <w:r w:rsidRPr="00FD514D">
        <w:rPr>
          <w:lang w:val="es-ES"/>
        </w:rPr>
        <w:t>6.</w:t>
      </w:r>
      <w:r w:rsidRPr="00FD514D">
        <w:rPr>
          <w:lang w:val="es-ES"/>
        </w:rPr>
        <w:tab/>
        <w:t>El subpárrafo 2.a se puede dividir en dos elementos distintos:</w:t>
      </w:r>
    </w:p>
    <w:p w14:paraId="1DE2854F" w14:textId="77777777" w:rsidR="00204E70" w:rsidRPr="00FD514D" w:rsidRDefault="00A85AC1" w:rsidP="00204E70">
      <w:pPr>
        <w:pStyle w:val="NoSpacing"/>
        <w:numPr>
          <w:ilvl w:val="0"/>
          <w:numId w:val="41"/>
        </w:numPr>
        <w:ind w:left="1418" w:hanging="698"/>
        <w:rPr>
          <w:lang w:val="es-ES"/>
        </w:rPr>
      </w:pPr>
      <w:r w:rsidRPr="00FD514D">
        <w:rPr>
          <w:lang w:val="es-ES"/>
        </w:rPr>
        <w:t>Identif</w:t>
      </w:r>
      <w:r w:rsidR="00FB428F" w:rsidRPr="00FD514D">
        <w:rPr>
          <w:lang w:val="es-ES"/>
        </w:rPr>
        <w:t>ica</w:t>
      </w:r>
      <w:r w:rsidR="00D42CE1" w:rsidRPr="00FD514D">
        <w:rPr>
          <w:lang w:val="es-ES"/>
        </w:rPr>
        <w:t>r</w:t>
      </w:r>
      <w:r w:rsidR="00A717C9" w:rsidRPr="00FD514D">
        <w:rPr>
          <w:lang w:val="es-ES"/>
        </w:rPr>
        <w:t xml:space="preserve"> </w:t>
      </w:r>
      <w:r w:rsidR="00D42CE1" w:rsidRPr="00FD514D">
        <w:rPr>
          <w:lang w:val="es-ES"/>
        </w:rPr>
        <w:t>el</w:t>
      </w:r>
      <w:r w:rsidR="00FB428F" w:rsidRPr="00FD514D">
        <w:rPr>
          <w:lang w:val="es-ES"/>
        </w:rPr>
        <w:t xml:space="preserve"> texto que no sea válido o aplicable actualmente,</w:t>
      </w:r>
      <w:r w:rsidR="00C34A17" w:rsidRPr="00FD514D">
        <w:rPr>
          <w:lang w:val="es-ES"/>
        </w:rPr>
        <w:t xml:space="preserve"> </w:t>
      </w:r>
      <w:r w:rsidR="00A717C9" w:rsidRPr="00FD514D">
        <w:rPr>
          <w:lang w:val="es-ES"/>
        </w:rPr>
        <w:t xml:space="preserve">o que sea </w:t>
      </w:r>
      <w:r w:rsidR="00C34A17" w:rsidRPr="00FD514D">
        <w:rPr>
          <w:lang w:val="es-ES"/>
        </w:rPr>
        <w:t>contradictorio o de otro modo no se ajuste a las prácticas actuales de Ramsar.</w:t>
      </w:r>
      <w:r w:rsidR="00502459" w:rsidRPr="00FD514D">
        <w:rPr>
          <w:lang w:val="es-ES"/>
        </w:rPr>
        <w:t xml:space="preserve"> </w:t>
      </w:r>
    </w:p>
    <w:p w14:paraId="1620DB54" w14:textId="70C48DA0" w:rsidR="007F0335" w:rsidRPr="00FD514D" w:rsidRDefault="00C34A17" w:rsidP="00204E70">
      <w:pPr>
        <w:pStyle w:val="NoSpacing"/>
        <w:ind w:left="1418" w:firstLine="0"/>
        <w:rPr>
          <w:lang w:val="es-ES"/>
        </w:rPr>
      </w:pPr>
      <w:r w:rsidRPr="00FD514D">
        <w:rPr>
          <w:lang w:val="es-ES"/>
        </w:rPr>
        <w:t xml:space="preserve">El análisis relativo a este elemento </w:t>
      </w:r>
      <w:r w:rsidR="00A717C9" w:rsidRPr="00FD514D">
        <w:rPr>
          <w:lang w:val="es-ES"/>
        </w:rPr>
        <w:t xml:space="preserve">se presenta en el </w:t>
      </w:r>
      <w:r w:rsidR="00470074">
        <w:rPr>
          <w:b/>
          <w:lang w:val="es-ES"/>
        </w:rPr>
        <w:t>cuadro</w:t>
      </w:r>
      <w:r w:rsidR="00A85AC1" w:rsidRPr="00FD514D">
        <w:rPr>
          <w:b/>
          <w:lang w:val="es-ES"/>
        </w:rPr>
        <w:t xml:space="preserve"> 1</w:t>
      </w:r>
      <w:r w:rsidR="00A717C9" w:rsidRPr="00FD514D">
        <w:rPr>
          <w:lang w:val="es-ES"/>
        </w:rPr>
        <w:t xml:space="preserve"> que figura a</w:t>
      </w:r>
      <w:r w:rsidR="00204E70" w:rsidRPr="00FD514D">
        <w:rPr>
          <w:lang w:val="es-ES"/>
        </w:rPr>
        <w:t xml:space="preserve"> </w:t>
      </w:r>
      <w:r w:rsidR="00A717C9" w:rsidRPr="00FD514D">
        <w:rPr>
          <w:lang w:val="es-ES"/>
        </w:rPr>
        <w:t>continuación.</w:t>
      </w:r>
      <w:r w:rsidR="00A85AC1" w:rsidRPr="00FD514D">
        <w:rPr>
          <w:lang w:val="es-ES"/>
        </w:rPr>
        <w:t xml:space="preserve"> </w:t>
      </w:r>
    </w:p>
    <w:p w14:paraId="058ADEC4" w14:textId="4A9A9718" w:rsidR="007F0335" w:rsidRPr="00FD514D" w:rsidRDefault="00A85AC1" w:rsidP="00204E70">
      <w:pPr>
        <w:pStyle w:val="NoSpacing"/>
        <w:numPr>
          <w:ilvl w:val="0"/>
          <w:numId w:val="41"/>
        </w:numPr>
        <w:ind w:left="1418" w:hanging="698"/>
        <w:rPr>
          <w:lang w:val="es-ES"/>
        </w:rPr>
      </w:pPr>
      <w:r w:rsidRPr="00FD514D">
        <w:rPr>
          <w:lang w:val="es-ES"/>
        </w:rPr>
        <w:t>Identif</w:t>
      </w:r>
      <w:r w:rsidR="00A717C9" w:rsidRPr="00FD514D">
        <w:rPr>
          <w:lang w:val="es-ES"/>
        </w:rPr>
        <w:t>ica</w:t>
      </w:r>
      <w:r w:rsidR="00204E70" w:rsidRPr="00FD514D">
        <w:rPr>
          <w:lang w:val="es-ES"/>
        </w:rPr>
        <w:t xml:space="preserve">r </w:t>
      </w:r>
      <w:r w:rsidR="00A717C9" w:rsidRPr="00FD514D">
        <w:rPr>
          <w:lang w:val="es-ES"/>
        </w:rPr>
        <w:t>l</w:t>
      </w:r>
      <w:r w:rsidR="009E4A71" w:rsidRPr="00FD514D">
        <w:rPr>
          <w:lang w:val="es-ES"/>
        </w:rPr>
        <w:t xml:space="preserve">os </w:t>
      </w:r>
      <w:r w:rsidR="0065134E" w:rsidRPr="00FD514D">
        <w:rPr>
          <w:lang w:val="es-ES"/>
        </w:rPr>
        <w:t>a</w:t>
      </w:r>
      <w:r w:rsidR="009E4A71" w:rsidRPr="00FD514D">
        <w:rPr>
          <w:lang w:val="es-ES"/>
        </w:rPr>
        <w:t xml:space="preserve">rtículos del </w:t>
      </w:r>
      <w:r w:rsidR="0065134E" w:rsidRPr="00FD514D">
        <w:rPr>
          <w:lang w:val="es-ES"/>
        </w:rPr>
        <w:t>r</w:t>
      </w:r>
      <w:r w:rsidR="009E4A71" w:rsidRPr="00FD514D">
        <w:rPr>
          <w:lang w:val="es-ES"/>
        </w:rPr>
        <w:t>eglamento que s</w:t>
      </w:r>
      <w:r w:rsidR="0065134E" w:rsidRPr="00FD514D">
        <w:rPr>
          <w:lang w:val="es-ES"/>
        </w:rPr>
        <w:t>o</w:t>
      </w:r>
      <w:r w:rsidR="009E4A71" w:rsidRPr="00FD514D">
        <w:rPr>
          <w:lang w:val="es-ES"/>
        </w:rPr>
        <w:t>n aplicables a los órganos subsidiarios, incluyendo el Comité Permanente, los grupos de trabajo y los grupos de Amigos de la Presidencia.</w:t>
      </w:r>
      <w:r w:rsidR="00502459" w:rsidRPr="00FD514D">
        <w:rPr>
          <w:lang w:val="es-ES"/>
        </w:rPr>
        <w:t xml:space="preserve"> </w:t>
      </w:r>
      <w:r w:rsidR="00331AA3" w:rsidRPr="00FD514D">
        <w:rPr>
          <w:lang w:val="es-ES"/>
        </w:rPr>
        <w:br/>
      </w:r>
      <w:r w:rsidR="009E4A71" w:rsidRPr="00FD514D">
        <w:rPr>
          <w:lang w:val="es-ES"/>
        </w:rPr>
        <w:t xml:space="preserve">El análisis relativo a este elemento se presenta en el </w:t>
      </w:r>
      <w:r w:rsidR="00470074">
        <w:rPr>
          <w:b/>
          <w:lang w:val="es-ES"/>
        </w:rPr>
        <w:t>cuadro</w:t>
      </w:r>
      <w:r w:rsidR="009E4A71" w:rsidRPr="00FD514D">
        <w:rPr>
          <w:b/>
          <w:lang w:val="es-ES"/>
        </w:rPr>
        <w:t xml:space="preserve"> 2</w:t>
      </w:r>
      <w:r w:rsidR="00BF28D1" w:rsidRPr="00FD514D">
        <w:rPr>
          <w:lang w:val="es-ES"/>
        </w:rPr>
        <w:t xml:space="preserve"> </w:t>
      </w:r>
      <w:r w:rsidR="009E4A71" w:rsidRPr="00FD514D">
        <w:rPr>
          <w:lang w:val="es-ES"/>
        </w:rPr>
        <w:t>a continuación.</w:t>
      </w:r>
      <w:r w:rsidRPr="00FD514D">
        <w:rPr>
          <w:lang w:val="es-ES"/>
        </w:rPr>
        <w:t xml:space="preserve"> </w:t>
      </w:r>
    </w:p>
    <w:p w14:paraId="3B90AFFD" w14:textId="77777777" w:rsidR="00A85AC1" w:rsidRPr="00FD514D" w:rsidRDefault="00A85AC1" w:rsidP="00A85AC1">
      <w:pPr>
        <w:pStyle w:val="NoSpacing"/>
        <w:ind w:left="0" w:firstLine="0"/>
        <w:rPr>
          <w:lang w:val="es-ES"/>
        </w:rPr>
      </w:pPr>
    </w:p>
    <w:p w14:paraId="38BC4BE3" w14:textId="3D92B925" w:rsidR="00A85AC1" w:rsidRPr="00FD514D" w:rsidRDefault="001446BC" w:rsidP="00A85AC1">
      <w:pPr>
        <w:pStyle w:val="NoSpacing"/>
        <w:rPr>
          <w:lang w:val="es-ES"/>
        </w:rPr>
      </w:pPr>
      <w:r w:rsidRPr="00FD514D">
        <w:rPr>
          <w:lang w:val="es-ES"/>
        </w:rPr>
        <w:t>7</w:t>
      </w:r>
      <w:r w:rsidR="00A85AC1" w:rsidRPr="00FD514D">
        <w:rPr>
          <w:lang w:val="es-ES"/>
        </w:rPr>
        <w:t xml:space="preserve">. </w:t>
      </w:r>
      <w:r w:rsidR="00A85AC1" w:rsidRPr="00FD514D">
        <w:rPr>
          <w:lang w:val="es-ES"/>
        </w:rPr>
        <w:tab/>
      </w:r>
      <w:r w:rsidR="000010D0" w:rsidRPr="00FD514D">
        <w:rPr>
          <w:lang w:val="es-ES"/>
        </w:rPr>
        <w:t xml:space="preserve">Con arreglo al </w:t>
      </w:r>
      <w:r w:rsidR="00BF28D1" w:rsidRPr="00FD514D">
        <w:rPr>
          <w:lang w:val="es-ES"/>
        </w:rPr>
        <w:t>s</w:t>
      </w:r>
      <w:r w:rsidR="00A85AC1" w:rsidRPr="00FD514D">
        <w:rPr>
          <w:lang w:val="es-ES"/>
        </w:rPr>
        <w:t>ub</w:t>
      </w:r>
      <w:r w:rsidR="00BF28D1" w:rsidRPr="00FD514D">
        <w:rPr>
          <w:lang w:val="es-ES"/>
        </w:rPr>
        <w:t>párrafo</w:t>
      </w:r>
      <w:r w:rsidR="00502459" w:rsidRPr="00FD514D">
        <w:rPr>
          <w:lang w:val="es-ES"/>
        </w:rPr>
        <w:t xml:space="preserve"> </w:t>
      </w:r>
      <w:r w:rsidRPr="00FD514D">
        <w:rPr>
          <w:lang w:val="es-ES"/>
        </w:rPr>
        <w:t>2</w:t>
      </w:r>
      <w:r w:rsidR="00B5786C" w:rsidRPr="00FD514D">
        <w:rPr>
          <w:lang w:val="es-ES"/>
        </w:rPr>
        <w:t>.</w:t>
      </w:r>
      <w:r w:rsidR="00A85AC1" w:rsidRPr="00FD514D">
        <w:rPr>
          <w:lang w:val="es-ES"/>
        </w:rPr>
        <w:t>b</w:t>
      </w:r>
      <w:r w:rsidR="000010D0" w:rsidRPr="00FD514D">
        <w:rPr>
          <w:lang w:val="es-ES"/>
        </w:rPr>
        <w:t>,</w:t>
      </w:r>
      <w:r w:rsidR="00A85AC1" w:rsidRPr="00FD514D">
        <w:rPr>
          <w:lang w:val="es-ES"/>
        </w:rPr>
        <w:t xml:space="preserve"> </w:t>
      </w:r>
      <w:r w:rsidR="00355B82" w:rsidRPr="00FD514D">
        <w:rPr>
          <w:lang w:val="es-ES"/>
        </w:rPr>
        <w:t xml:space="preserve">la Secretaría </w:t>
      </w:r>
      <w:r w:rsidR="009C7200" w:rsidRPr="00FD514D">
        <w:rPr>
          <w:lang w:val="es-ES"/>
        </w:rPr>
        <w:t>debe</w:t>
      </w:r>
      <w:r w:rsidR="000010D0" w:rsidRPr="00FD514D">
        <w:rPr>
          <w:lang w:val="es-ES"/>
        </w:rPr>
        <w:t xml:space="preserve">rá </w:t>
      </w:r>
      <w:r w:rsidR="0002792A" w:rsidRPr="00FD514D">
        <w:rPr>
          <w:lang w:val="es-ES"/>
        </w:rPr>
        <w:t>proponer</w:t>
      </w:r>
      <w:r w:rsidR="00204E70" w:rsidRPr="00FD514D">
        <w:rPr>
          <w:lang w:val="es-ES"/>
        </w:rPr>
        <w:t xml:space="preserve"> </w:t>
      </w:r>
      <w:r w:rsidR="00BF28D1" w:rsidRPr="00FD514D">
        <w:rPr>
          <w:lang w:val="es-ES"/>
        </w:rPr>
        <w:t xml:space="preserve">enmiendas, </w:t>
      </w:r>
      <w:r w:rsidR="002056D5" w:rsidRPr="00FD514D">
        <w:rPr>
          <w:lang w:val="es-ES"/>
        </w:rPr>
        <w:t>teniendo debidamente en cuenta las enmiendas que no fueron examinad</w:t>
      </w:r>
      <w:r w:rsidR="00A53F1B" w:rsidRPr="00FD514D">
        <w:rPr>
          <w:lang w:val="es-ES"/>
        </w:rPr>
        <w:t>a</w:t>
      </w:r>
      <w:r w:rsidR="002056D5" w:rsidRPr="00FD514D">
        <w:rPr>
          <w:lang w:val="es-ES"/>
        </w:rPr>
        <w:t xml:space="preserve">s en la </w:t>
      </w:r>
      <w:r w:rsidR="003131FF" w:rsidRPr="00FD514D">
        <w:rPr>
          <w:lang w:val="es-ES"/>
        </w:rPr>
        <w:t>COP</w:t>
      </w:r>
      <w:r w:rsidR="00A85AC1" w:rsidRPr="00FD514D">
        <w:rPr>
          <w:lang w:val="es-ES"/>
        </w:rPr>
        <w:t xml:space="preserve">13. </w:t>
      </w:r>
      <w:r w:rsidR="00BF28D1" w:rsidRPr="00FD514D">
        <w:rPr>
          <w:lang w:val="es-ES"/>
        </w:rPr>
        <w:t>Las enmiendas propuestas están in</w:t>
      </w:r>
      <w:r w:rsidR="008D2E36" w:rsidRPr="00FD514D">
        <w:rPr>
          <w:lang w:val="es-ES"/>
        </w:rPr>
        <w:t>cluidas</w:t>
      </w:r>
      <w:r w:rsidR="00BF28D1" w:rsidRPr="00FD514D">
        <w:rPr>
          <w:lang w:val="es-ES"/>
        </w:rPr>
        <w:t xml:space="preserve">, según proceda, en los </w:t>
      </w:r>
      <w:r w:rsidR="00F01318">
        <w:rPr>
          <w:b/>
          <w:lang w:val="es-ES"/>
        </w:rPr>
        <w:t>c</w:t>
      </w:r>
      <w:r w:rsidR="00BF28D1" w:rsidRPr="00FD514D">
        <w:rPr>
          <w:b/>
          <w:lang w:val="es-ES"/>
        </w:rPr>
        <w:t>uadro</w:t>
      </w:r>
      <w:r w:rsidR="00A85AC1" w:rsidRPr="00FD514D">
        <w:rPr>
          <w:b/>
          <w:lang w:val="es-ES"/>
        </w:rPr>
        <w:t xml:space="preserve">s 1 </w:t>
      </w:r>
      <w:r w:rsidR="00BF28D1" w:rsidRPr="00FD514D">
        <w:rPr>
          <w:b/>
          <w:lang w:val="es-ES"/>
        </w:rPr>
        <w:t>y</w:t>
      </w:r>
      <w:r w:rsidR="00A85AC1" w:rsidRPr="00FD514D">
        <w:rPr>
          <w:b/>
          <w:lang w:val="es-ES"/>
        </w:rPr>
        <w:t xml:space="preserve"> 2</w:t>
      </w:r>
      <w:r w:rsidR="006B384F" w:rsidRPr="00FD514D">
        <w:rPr>
          <w:lang w:val="es-ES"/>
        </w:rPr>
        <w:t xml:space="preserve"> a continuación</w:t>
      </w:r>
      <w:r w:rsidR="00A85AC1" w:rsidRPr="00FD514D">
        <w:rPr>
          <w:lang w:val="es-ES"/>
        </w:rPr>
        <w:t xml:space="preserve"> (</w:t>
      </w:r>
      <w:r w:rsidR="006B384F" w:rsidRPr="00FD514D">
        <w:rPr>
          <w:lang w:val="es-ES"/>
        </w:rPr>
        <w:t>y están vinculadas explícitamente a las cuestiones indicadas en esos cuadros</w:t>
      </w:r>
      <w:r w:rsidR="00A85AC1" w:rsidRPr="00FD514D">
        <w:rPr>
          <w:lang w:val="es-ES"/>
        </w:rPr>
        <w:t xml:space="preserve">). </w:t>
      </w:r>
    </w:p>
    <w:p w14:paraId="2AB8082D" w14:textId="77777777" w:rsidR="00A340E6" w:rsidRPr="00FD514D" w:rsidRDefault="00A340E6" w:rsidP="00A85AC1">
      <w:pPr>
        <w:pStyle w:val="NoSpacing"/>
        <w:rPr>
          <w:lang w:val="es-ES"/>
        </w:rPr>
      </w:pPr>
    </w:p>
    <w:p w14:paraId="711E6F7A" w14:textId="77777777" w:rsidR="00A85AC1" w:rsidRPr="00FD514D" w:rsidRDefault="00A85AC1" w:rsidP="00A85AC1">
      <w:pPr>
        <w:pStyle w:val="NoSpacing"/>
        <w:rPr>
          <w:lang w:val="es-ES"/>
        </w:rPr>
      </w:pPr>
    </w:p>
    <w:p w14:paraId="37A77FF3" w14:textId="0C19CC82" w:rsidR="007F0335" w:rsidRPr="00FD514D" w:rsidRDefault="00204E70" w:rsidP="00070719">
      <w:pPr>
        <w:pStyle w:val="NoSpacing"/>
        <w:ind w:left="0" w:firstLine="0"/>
        <w:rPr>
          <w:b/>
          <w:lang w:val="es-ES"/>
        </w:rPr>
      </w:pPr>
      <w:r w:rsidRPr="00FD514D">
        <w:rPr>
          <w:b/>
          <w:lang w:val="es-ES"/>
        </w:rPr>
        <w:t>Sección</w:t>
      </w:r>
      <w:r w:rsidR="003131FF" w:rsidRPr="00FD514D">
        <w:rPr>
          <w:b/>
          <w:lang w:val="es-ES"/>
        </w:rPr>
        <w:t xml:space="preserve"> 2:</w:t>
      </w:r>
      <w:r w:rsidR="00070719">
        <w:rPr>
          <w:b/>
          <w:lang w:val="es-ES"/>
        </w:rPr>
        <w:t xml:space="preserve"> </w:t>
      </w:r>
      <w:r w:rsidR="006B384F" w:rsidRPr="00FD514D">
        <w:rPr>
          <w:b/>
          <w:lang w:val="es-ES"/>
        </w:rPr>
        <w:t>Artículos que no</w:t>
      </w:r>
      <w:r w:rsidR="001D2B6B" w:rsidRPr="00FD514D">
        <w:rPr>
          <w:b/>
          <w:lang w:val="es-ES"/>
        </w:rPr>
        <w:t xml:space="preserve"> son válidos o aplicables</w:t>
      </w:r>
      <w:r w:rsidR="00B67D0F" w:rsidRPr="00FD514D">
        <w:rPr>
          <w:b/>
          <w:lang w:val="es-ES"/>
        </w:rPr>
        <w:t xml:space="preserve"> actualmente</w:t>
      </w:r>
      <w:r w:rsidR="001D2B6B" w:rsidRPr="00FD514D">
        <w:rPr>
          <w:b/>
          <w:lang w:val="es-ES"/>
        </w:rPr>
        <w:t>, son contradictorios o de otro modo no se aju</w:t>
      </w:r>
      <w:r w:rsidR="001446BC" w:rsidRPr="00FD514D">
        <w:rPr>
          <w:b/>
          <w:lang w:val="es-ES"/>
        </w:rPr>
        <w:t>s</w:t>
      </w:r>
      <w:r w:rsidR="001D2B6B" w:rsidRPr="00FD514D">
        <w:rPr>
          <w:b/>
          <w:lang w:val="es-ES"/>
        </w:rPr>
        <w:t>tan a las practicas actuales de Ramsar</w:t>
      </w:r>
      <w:r w:rsidR="00502459" w:rsidRPr="00FD514D">
        <w:rPr>
          <w:b/>
          <w:lang w:val="es-ES"/>
        </w:rPr>
        <w:t xml:space="preserve"> </w:t>
      </w:r>
      <w:r w:rsidR="001E0DB7" w:rsidRPr="00FD514D">
        <w:rPr>
          <w:b/>
          <w:lang w:val="es-ES"/>
        </w:rPr>
        <w:t>(</w:t>
      </w:r>
      <w:r w:rsidR="006B384F" w:rsidRPr="00FD514D">
        <w:rPr>
          <w:b/>
          <w:lang w:val="es-ES"/>
        </w:rPr>
        <w:t xml:space="preserve">y </w:t>
      </w:r>
      <w:r w:rsidR="008D6021" w:rsidRPr="00FD514D">
        <w:rPr>
          <w:b/>
          <w:lang w:val="es-ES"/>
        </w:rPr>
        <w:t>enmiendas recomendadas</w:t>
      </w:r>
      <w:r w:rsidR="001E0DB7" w:rsidRPr="00FD514D">
        <w:rPr>
          <w:b/>
          <w:lang w:val="es-ES"/>
        </w:rPr>
        <w:t xml:space="preserve">) </w:t>
      </w:r>
    </w:p>
    <w:p w14:paraId="2FE46505" w14:textId="77777777" w:rsidR="004C4168" w:rsidRPr="00FD514D" w:rsidRDefault="004C4168" w:rsidP="00A85AC1">
      <w:pPr>
        <w:pStyle w:val="NoSpacing"/>
        <w:ind w:left="709" w:hanging="709"/>
        <w:rPr>
          <w:b/>
          <w:lang w:val="es-ES"/>
        </w:rPr>
      </w:pPr>
    </w:p>
    <w:p w14:paraId="68043F30" w14:textId="77777777" w:rsidR="004C4168" w:rsidRPr="00FD514D" w:rsidRDefault="002A2C08" w:rsidP="003131FF">
      <w:pPr>
        <w:pStyle w:val="NoSpacing"/>
        <w:ind w:left="709" w:hanging="709"/>
        <w:jc w:val="center"/>
        <w:rPr>
          <w:b/>
          <w:i/>
          <w:u w:val="single"/>
          <w:lang w:val="es-ES"/>
        </w:rPr>
      </w:pPr>
      <w:r w:rsidRPr="00FD514D">
        <w:rPr>
          <w:b/>
          <w:i/>
          <w:u w:val="single"/>
          <w:lang w:val="es-ES"/>
        </w:rPr>
        <w:t xml:space="preserve">Cuadro </w:t>
      </w:r>
      <w:r w:rsidR="004C4168" w:rsidRPr="00FD514D">
        <w:rPr>
          <w:b/>
          <w:i/>
          <w:u w:val="single"/>
          <w:lang w:val="es-ES"/>
        </w:rPr>
        <w:t>1</w:t>
      </w:r>
    </w:p>
    <w:p w14:paraId="05F9147E" w14:textId="77777777" w:rsidR="00D00100" w:rsidRPr="00FD514D" w:rsidRDefault="00D00100" w:rsidP="00D00100">
      <w:pPr>
        <w:pStyle w:val="NoSpacing"/>
        <w:ind w:left="0" w:firstLine="0"/>
        <w:rPr>
          <w:lang w:val="es-ES"/>
        </w:rPr>
      </w:pPr>
    </w:p>
    <w:tbl>
      <w:tblPr>
        <w:tblStyle w:val="TableGrid"/>
        <w:tblW w:w="0" w:type="auto"/>
        <w:tblCellMar>
          <w:top w:w="85" w:type="dxa"/>
          <w:bottom w:w="85" w:type="dxa"/>
        </w:tblCellMar>
        <w:tblLook w:val="04A0" w:firstRow="1" w:lastRow="0" w:firstColumn="1" w:lastColumn="0" w:noHBand="0" w:noVBand="1"/>
      </w:tblPr>
      <w:tblGrid>
        <w:gridCol w:w="578"/>
        <w:gridCol w:w="1939"/>
        <w:gridCol w:w="3331"/>
        <w:gridCol w:w="3332"/>
      </w:tblGrid>
      <w:tr w:rsidR="00D50999" w:rsidRPr="00FD514D" w14:paraId="14F5CBF5" w14:textId="77777777" w:rsidTr="00980900">
        <w:trPr>
          <w:tblHeader/>
        </w:trPr>
        <w:tc>
          <w:tcPr>
            <w:tcW w:w="578" w:type="dxa"/>
            <w:shd w:val="clear" w:color="auto" w:fill="F2F2F2" w:themeFill="background1" w:themeFillShade="F2"/>
          </w:tcPr>
          <w:p w14:paraId="3F93E982" w14:textId="77777777" w:rsidR="00A36FF0" w:rsidRPr="00FD514D" w:rsidRDefault="00A36FF0" w:rsidP="0078688F">
            <w:pPr>
              <w:pStyle w:val="NoSpacing"/>
              <w:ind w:left="0" w:firstLine="0"/>
              <w:rPr>
                <w:b/>
                <w:lang w:val="es-ES"/>
              </w:rPr>
            </w:pPr>
          </w:p>
        </w:tc>
        <w:tc>
          <w:tcPr>
            <w:tcW w:w="1939" w:type="dxa"/>
            <w:shd w:val="clear" w:color="auto" w:fill="F2F2F2" w:themeFill="background1" w:themeFillShade="F2"/>
          </w:tcPr>
          <w:p w14:paraId="287201DC" w14:textId="77777777" w:rsidR="00A36FF0" w:rsidRPr="00FD514D" w:rsidRDefault="002A2C08" w:rsidP="0078688F">
            <w:pPr>
              <w:pStyle w:val="NoSpacing"/>
              <w:ind w:left="0" w:firstLine="0"/>
              <w:rPr>
                <w:b/>
                <w:lang w:val="es-ES"/>
              </w:rPr>
            </w:pPr>
            <w:r w:rsidRPr="00FD514D">
              <w:rPr>
                <w:b/>
                <w:lang w:val="es-ES"/>
              </w:rPr>
              <w:t>Artículo</w:t>
            </w:r>
          </w:p>
        </w:tc>
        <w:tc>
          <w:tcPr>
            <w:tcW w:w="3331" w:type="dxa"/>
            <w:shd w:val="clear" w:color="auto" w:fill="F2F2F2" w:themeFill="background1" w:themeFillShade="F2"/>
          </w:tcPr>
          <w:p w14:paraId="38BE2266" w14:textId="77777777" w:rsidR="00A36FF0" w:rsidRPr="00FD514D" w:rsidRDefault="00B61043" w:rsidP="0078688F">
            <w:pPr>
              <w:pStyle w:val="NoSpacing"/>
              <w:ind w:left="0" w:firstLine="0"/>
              <w:rPr>
                <w:b/>
                <w:lang w:val="es-ES"/>
              </w:rPr>
            </w:pPr>
            <w:r w:rsidRPr="00FD514D">
              <w:rPr>
                <w:b/>
                <w:lang w:val="es-ES"/>
              </w:rPr>
              <w:t>Problema</w:t>
            </w:r>
            <w:r w:rsidR="00A36FF0" w:rsidRPr="00FD514D">
              <w:rPr>
                <w:rStyle w:val="FootnoteReference"/>
                <w:lang w:val="es-ES"/>
              </w:rPr>
              <w:footnoteReference w:id="1"/>
            </w:r>
            <w:r w:rsidR="00A36FF0" w:rsidRPr="00FD514D">
              <w:rPr>
                <w:b/>
                <w:lang w:val="es-ES"/>
              </w:rPr>
              <w:t xml:space="preserve"> </w:t>
            </w:r>
          </w:p>
          <w:p w14:paraId="713A75D9" w14:textId="77777777" w:rsidR="00A36FF0" w:rsidRPr="00FD514D" w:rsidRDefault="00A36FF0" w:rsidP="0078688F">
            <w:pPr>
              <w:pStyle w:val="NoSpacing"/>
              <w:ind w:left="0" w:firstLine="0"/>
              <w:rPr>
                <w:b/>
                <w:lang w:val="es-ES"/>
              </w:rPr>
            </w:pPr>
          </w:p>
        </w:tc>
        <w:tc>
          <w:tcPr>
            <w:tcW w:w="3332" w:type="dxa"/>
            <w:shd w:val="clear" w:color="auto" w:fill="F2F2F2" w:themeFill="background1" w:themeFillShade="F2"/>
          </w:tcPr>
          <w:p w14:paraId="6AC7FB05" w14:textId="79679409" w:rsidR="00A36FF0" w:rsidRPr="00FD514D" w:rsidRDefault="00B61043" w:rsidP="0078688F">
            <w:pPr>
              <w:pStyle w:val="NoSpacing"/>
              <w:ind w:left="0" w:firstLine="0"/>
              <w:rPr>
                <w:b/>
                <w:lang w:val="es-ES"/>
              </w:rPr>
            </w:pPr>
            <w:r w:rsidRPr="00FD514D">
              <w:rPr>
                <w:b/>
                <w:lang w:val="es-ES"/>
              </w:rPr>
              <w:t xml:space="preserve">Recomendación </w:t>
            </w:r>
            <w:r w:rsidR="006A6862" w:rsidRPr="00FD514D">
              <w:rPr>
                <w:b/>
                <w:lang w:val="es-ES"/>
              </w:rPr>
              <w:t>sobre</w:t>
            </w:r>
            <w:r w:rsidRPr="00FD514D">
              <w:rPr>
                <w:b/>
                <w:lang w:val="es-ES"/>
              </w:rPr>
              <w:t xml:space="preserve"> enmiendas</w:t>
            </w:r>
          </w:p>
        </w:tc>
      </w:tr>
      <w:tr w:rsidR="00D50999" w:rsidRPr="00070719" w14:paraId="08CED3D5" w14:textId="77777777" w:rsidTr="00980900">
        <w:tc>
          <w:tcPr>
            <w:tcW w:w="578" w:type="dxa"/>
          </w:tcPr>
          <w:p w14:paraId="349E2117" w14:textId="77777777" w:rsidR="00A36FF0" w:rsidRPr="00FD514D" w:rsidRDefault="00A36FF0" w:rsidP="0078688F">
            <w:pPr>
              <w:pStyle w:val="NoSpacing"/>
              <w:ind w:left="0" w:firstLine="0"/>
              <w:rPr>
                <w:lang w:val="es-ES"/>
              </w:rPr>
            </w:pPr>
            <w:r w:rsidRPr="00FD514D">
              <w:rPr>
                <w:lang w:val="es-ES"/>
              </w:rPr>
              <w:t>1</w:t>
            </w:r>
          </w:p>
        </w:tc>
        <w:tc>
          <w:tcPr>
            <w:tcW w:w="1939" w:type="dxa"/>
          </w:tcPr>
          <w:p w14:paraId="316833D7" w14:textId="77777777" w:rsidR="00A36FF0" w:rsidRPr="00FD514D" w:rsidRDefault="002A2C08" w:rsidP="0078688F">
            <w:pPr>
              <w:pStyle w:val="NoSpacing"/>
              <w:ind w:left="0" w:firstLine="0"/>
              <w:rPr>
                <w:lang w:val="es-ES"/>
              </w:rPr>
            </w:pPr>
            <w:r w:rsidRPr="00FD514D">
              <w:rPr>
                <w:lang w:val="es-ES"/>
              </w:rPr>
              <w:t xml:space="preserve">Artículo </w:t>
            </w:r>
            <w:r w:rsidR="00A36FF0" w:rsidRPr="00FD514D">
              <w:rPr>
                <w:lang w:val="es-ES"/>
              </w:rPr>
              <w:t>1</w:t>
            </w:r>
            <w:r w:rsidR="004344C6" w:rsidRPr="00FD514D">
              <w:rPr>
                <w:lang w:val="es-ES"/>
              </w:rPr>
              <w:t>:</w:t>
            </w:r>
            <w:r w:rsidR="00A36FF0" w:rsidRPr="00FD514D">
              <w:rPr>
                <w:lang w:val="es-ES"/>
              </w:rPr>
              <w:t xml:space="preserve"> </w:t>
            </w:r>
            <w:r w:rsidR="00280146" w:rsidRPr="00FD514D">
              <w:rPr>
                <w:lang w:val="es-ES"/>
              </w:rPr>
              <w:t xml:space="preserve">Fines </w:t>
            </w:r>
          </w:p>
        </w:tc>
        <w:tc>
          <w:tcPr>
            <w:tcW w:w="3331" w:type="dxa"/>
          </w:tcPr>
          <w:p w14:paraId="059999B3" w14:textId="020C0D66" w:rsidR="00A36FF0" w:rsidRPr="00FD514D" w:rsidRDefault="00762688" w:rsidP="00D50999">
            <w:pPr>
              <w:pStyle w:val="NoSpacing"/>
              <w:ind w:left="0" w:firstLine="0"/>
              <w:rPr>
                <w:lang w:val="es-ES"/>
              </w:rPr>
            </w:pPr>
            <w:r w:rsidRPr="00FD514D">
              <w:rPr>
                <w:lang w:val="es-ES"/>
              </w:rPr>
              <w:t>Se afirma</w:t>
            </w:r>
            <w:r w:rsidR="00280146" w:rsidRPr="00FD514D">
              <w:rPr>
                <w:lang w:val="es-ES"/>
              </w:rPr>
              <w:t xml:space="preserve"> que el </w:t>
            </w:r>
            <w:r w:rsidRPr="00FD514D">
              <w:rPr>
                <w:lang w:val="es-ES"/>
              </w:rPr>
              <w:t>reglamento</w:t>
            </w:r>
            <w:r w:rsidR="00280146" w:rsidRPr="00FD514D">
              <w:rPr>
                <w:lang w:val="es-ES"/>
              </w:rPr>
              <w:t xml:space="preserve"> se aplicará a toda reunión de la </w:t>
            </w:r>
            <w:r w:rsidR="00A36FF0" w:rsidRPr="00FD514D">
              <w:rPr>
                <w:lang w:val="es-ES"/>
              </w:rPr>
              <w:t xml:space="preserve">COP. </w:t>
            </w:r>
            <w:r w:rsidR="00280146" w:rsidRPr="00FD514D">
              <w:rPr>
                <w:lang w:val="es-ES"/>
              </w:rPr>
              <w:t xml:space="preserve">No obstante, hay determinados </w:t>
            </w:r>
            <w:r w:rsidRPr="00FD514D">
              <w:rPr>
                <w:lang w:val="es-ES"/>
              </w:rPr>
              <w:t>a</w:t>
            </w:r>
            <w:r w:rsidR="00280146" w:rsidRPr="00FD514D">
              <w:rPr>
                <w:lang w:val="es-ES"/>
              </w:rPr>
              <w:t xml:space="preserve">rtículos </w:t>
            </w:r>
            <w:r w:rsidR="00024D76" w:rsidRPr="00FD514D">
              <w:rPr>
                <w:lang w:val="es-ES"/>
              </w:rPr>
              <w:t>que solo s</w:t>
            </w:r>
            <w:r w:rsidR="00B67D0F" w:rsidRPr="00FD514D">
              <w:rPr>
                <w:lang w:val="es-ES"/>
              </w:rPr>
              <w:t>on</w:t>
            </w:r>
            <w:r w:rsidR="00024D76" w:rsidRPr="00FD514D">
              <w:rPr>
                <w:lang w:val="es-ES"/>
              </w:rPr>
              <w:t xml:space="preserve"> aplica</w:t>
            </w:r>
            <w:r w:rsidR="00B67D0F" w:rsidRPr="00FD514D">
              <w:rPr>
                <w:lang w:val="es-ES"/>
              </w:rPr>
              <w:t>bles</w:t>
            </w:r>
            <w:r w:rsidR="00024D76" w:rsidRPr="00FD514D">
              <w:rPr>
                <w:lang w:val="es-ES"/>
              </w:rPr>
              <w:t xml:space="preserve"> a reuniones específicas del Comité Permanente (CP) (por ejemplo, </w:t>
            </w:r>
            <w:r w:rsidR="00660EE9" w:rsidRPr="00FD514D">
              <w:rPr>
                <w:lang w:val="es-ES"/>
              </w:rPr>
              <w:t xml:space="preserve">los </w:t>
            </w:r>
            <w:r w:rsidR="00660EE9" w:rsidRPr="00FD514D">
              <w:rPr>
                <w:lang w:val="es-ES"/>
              </w:rPr>
              <w:lastRenderedPageBreak/>
              <w:t>a</w:t>
            </w:r>
            <w:r w:rsidR="00024D76" w:rsidRPr="00FD514D">
              <w:rPr>
                <w:lang w:val="es-ES"/>
              </w:rPr>
              <w:t xml:space="preserve">rtículos </w:t>
            </w:r>
            <w:r w:rsidR="00A36FF0" w:rsidRPr="00FD514D">
              <w:rPr>
                <w:lang w:val="es-ES"/>
              </w:rPr>
              <w:t>5.</w:t>
            </w:r>
            <w:r w:rsidR="009951D3">
              <w:rPr>
                <w:lang w:val="es-ES"/>
              </w:rPr>
              <w:t>1</w:t>
            </w:r>
            <w:r w:rsidR="003E32E9" w:rsidRPr="00FD514D">
              <w:rPr>
                <w:lang w:val="es-ES"/>
              </w:rPr>
              <w:t xml:space="preserve"> </w:t>
            </w:r>
            <w:r w:rsidR="00024D76" w:rsidRPr="00FD514D">
              <w:rPr>
                <w:lang w:val="es-ES"/>
              </w:rPr>
              <w:t>y</w:t>
            </w:r>
            <w:r w:rsidR="00A36FF0" w:rsidRPr="00FD514D">
              <w:rPr>
                <w:lang w:val="es-ES"/>
              </w:rPr>
              <w:t xml:space="preserve"> 34.1 </w:t>
            </w:r>
            <w:r w:rsidR="00A72BFE" w:rsidRPr="00FD514D">
              <w:rPr>
                <w:lang w:val="es-ES"/>
              </w:rPr>
              <w:t>que</w:t>
            </w:r>
            <w:r w:rsidR="009E326F" w:rsidRPr="00FD514D">
              <w:rPr>
                <w:lang w:val="es-ES"/>
              </w:rPr>
              <w:t>,</w:t>
            </w:r>
            <w:r w:rsidR="00502459" w:rsidRPr="00FD514D">
              <w:rPr>
                <w:lang w:val="es-ES"/>
              </w:rPr>
              <w:t xml:space="preserve"> </w:t>
            </w:r>
            <w:r w:rsidR="00A72BFE" w:rsidRPr="00FD514D">
              <w:rPr>
                <w:lang w:val="es-ES"/>
              </w:rPr>
              <w:t>lógicamente</w:t>
            </w:r>
            <w:r w:rsidR="009E326F" w:rsidRPr="00FD514D">
              <w:rPr>
                <w:lang w:val="es-ES"/>
              </w:rPr>
              <w:t>,</w:t>
            </w:r>
            <w:r w:rsidR="00A72BFE" w:rsidRPr="00FD514D">
              <w:rPr>
                <w:lang w:val="es-ES"/>
              </w:rPr>
              <w:t xml:space="preserve"> </w:t>
            </w:r>
            <w:r w:rsidR="002F5CD9" w:rsidRPr="00FD514D">
              <w:rPr>
                <w:lang w:val="es-ES"/>
              </w:rPr>
              <w:t xml:space="preserve">hacen referencia a la reunión del CP en la que </w:t>
            </w:r>
            <w:r w:rsidR="00BE3C78" w:rsidRPr="00FD514D">
              <w:rPr>
                <w:lang w:val="es-ES"/>
              </w:rPr>
              <w:t>esté previsto debatir sobre</w:t>
            </w:r>
            <w:r w:rsidR="002F5CD9" w:rsidRPr="00FD514D">
              <w:rPr>
                <w:lang w:val="es-ES"/>
              </w:rPr>
              <w:t xml:space="preserve"> las propuestas</w:t>
            </w:r>
            <w:r w:rsidR="00F17A3A" w:rsidRPr="00FD514D">
              <w:rPr>
                <w:lang w:val="es-ES"/>
              </w:rPr>
              <w:t xml:space="preserve"> que se examinarán en </w:t>
            </w:r>
            <w:r w:rsidR="001C5BCB" w:rsidRPr="00FD514D">
              <w:rPr>
                <w:lang w:val="es-ES"/>
              </w:rPr>
              <w:t>la próxima reunión de</w:t>
            </w:r>
            <w:r w:rsidR="00F17A3A" w:rsidRPr="00FD514D">
              <w:rPr>
                <w:lang w:val="es-ES"/>
              </w:rPr>
              <w:t xml:space="preserve"> la COP</w:t>
            </w:r>
            <w:r w:rsidR="001C5BCB" w:rsidRPr="00FD514D">
              <w:rPr>
                <w:lang w:val="es-ES"/>
              </w:rPr>
              <w:t>).</w:t>
            </w:r>
            <w:r w:rsidR="00502459" w:rsidRPr="00FD514D">
              <w:rPr>
                <w:lang w:val="es-ES"/>
              </w:rPr>
              <w:t xml:space="preserve"> </w:t>
            </w:r>
            <w:r w:rsidR="001C5BCB" w:rsidRPr="00FD514D">
              <w:rPr>
                <w:lang w:val="es-ES"/>
              </w:rPr>
              <w:t xml:space="preserve">Esto es contradictorio y puede dar lugar a confusión. </w:t>
            </w:r>
          </w:p>
        </w:tc>
        <w:tc>
          <w:tcPr>
            <w:tcW w:w="3332" w:type="dxa"/>
          </w:tcPr>
          <w:p w14:paraId="70AA0C4A" w14:textId="77777777" w:rsidR="00A36FF0" w:rsidRPr="00FD514D" w:rsidRDefault="001C5BCB" w:rsidP="0078688F">
            <w:pPr>
              <w:pStyle w:val="NoSpacing"/>
              <w:ind w:left="0" w:firstLine="0"/>
              <w:rPr>
                <w:lang w:val="es-ES"/>
              </w:rPr>
            </w:pPr>
            <w:r w:rsidRPr="00FD514D">
              <w:rPr>
                <w:lang w:val="es-ES"/>
              </w:rPr>
              <w:lastRenderedPageBreak/>
              <w:t xml:space="preserve">Establecer </w:t>
            </w:r>
            <w:r w:rsidR="00B61043" w:rsidRPr="00FD514D">
              <w:rPr>
                <w:lang w:val="es-ES"/>
              </w:rPr>
              <w:t xml:space="preserve">un </w:t>
            </w:r>
            <w:r w:rsidR="00F503A5" w:rsidRPr="00FD514D">
              <w:rPr>
                <w:lang w:val="es-ES"/>
              </w:rPr>
              <w:t>r</w:t>
            </w:r>
            <w:r w:rsidR="00B61043" w:rsidRPr="00FD514D">
              <w:rPr>
                <w:lang w:val="es-ES"/>
              </w:rPr>
              <w:t>eglamento</w:t>
            </w:r>
            <w:r w:rsidR="009B75B8" w:rsidRPr="00FD514D">
              <w:rPr>
                <w:lang w:val="es-ES"/>
              </w:rPr>
              <w:t xml:space="preserve"> propio </w:t>
            </w:r>
            <w:r w:rsidR="00D91144" w:rsidRPr="00FD514D">
              <w:rPr>
                <w:lang w:val="es-ES"/>
              </w:rPr>
              <w:t xml:space="preserve">para </w:t>
            </w:r>
            <w:r w:rsidR="009B75B8" w:rsidRPr="00FD514D">
              <w:rPr>
                <w:lang w:val="es-ES"/>
              </w:rPr>
              <w:t>el CP que se</w:t>
            </w:r>
            <w:r w:rsidR="00EF3F79" w:rsidRPr="00FD514D">
              <w:rPr>
                <w:lang w:val="es-ES"/>
              </w:rPr>
              <w:t>rá</w:t>
            </w:r>
            <w:r w:rsidR="009B75B8" w:rsidRPr="00FD514D">
              <w:rPr>
                <w:lang w:val="es-ES"/>
              </w:rPr>
              <w:t xml:space="preserve"> aplic</w:t>
            </w:r>
            <w:r w:rsidR="00EF3F79" w:rsidRPr="00FD514D">
              <w:rPr>
                <w:lang w:val="es-ES"/>
              </w:rPr>
              <w:t xml:space="preserve">able </w:t>
            </w:r>
            <w:r w:rsidR="00A36FF0" w:rsidRPr="00FD514D">
              <w:rPr>
                <w:i/>
                <w:lang w:val="es-ES"/>
              </w:rPr>
              <w:t>mutatis mutandis</w:t>
            </w:r>
            <w:r w:rsidR="00A36FF0" w:rsidRPr="00FD514D">
              <w:rPr>
                <w:lang w:val="es-ES"/>
              </w:rPr>
              <w:t xml:space="preserve"> </w:t>
            </w:r>
            <w:r w:rsidR="00EF3F79" w:rsidRPr="00FD514D">
              <w:rPr>
                <w:lang w:val="es-ES"/>
              </w:rPr>
              <w:t>a otros órganos subsidiarios</w:t>
            </w:r>
            <w:r w:rsidR="00A36FF0" w:rsidRPr="00FD514D">
              <w:rPr>
                <w:lang w:val="es-ES"/>
              </w:rPr>
              <w:t>.</w:t>
            </w:r>
            <w:r w:rsidR="00A36FF0" w:rsidRPr="00FD514D">
              <w:rPr>
                <w:rStyle w:val="FootnoteReference"/>
                <w:lang w:val="es-ES"/>
              </w:rPr>
              <w:footnoteReference w:id="2"/>
            </w:r>
            <w:r w:rsidR="00A36FF0" w:rsidRPr="00FD514D">
              <w:rPr>
                <w:lang w:val="es-ES"/>
              </w:rPr>
              <w:t xml:space="preserve"> </w:t>
            </w:r>
          </w:p>
          <w:p w14:paraId="7A1B6A6D" w14:textId="77777777" w:rsidR="00A36FF0" w:rsidRPr="00FD514D" w:rsidRDefault="00561E56" w:rsidP="003177A6">
            <w:pPr>
              <w:pStyle w:val="NoSpacing"/>
              <w:ind w:left="0" w:firstLine="0"/>
              <w:rPr>
                <w:lang w:val="es-ES"/>
              </w:rPr>
            </w:pPr>
            <w:r w:rsidRPr="00FD514D">
              <w:rPr>
                <w:lang w:val="es-ES"/>
              </w:rPr>
              <w:t>Como a</w:t>
            </w:r>
            <w:r w:rsidR="00A36FF0" w:rsidRPr="00FD514D">
              <w:rPr>
                <w:lang w:val="es-ES"/>
              </w:rPr>
              <w:t>lternativ</w:t>
            </w:r>
            <w:r w:rsidRPr="00FD514D">
              <w:rPr>
                <w:lang w:val="es-ES"/>
              </w:rPr>
              <w:t>a</w:t>
            </w:r>
            <w:r w:rsidR="00A36FF0" w:rsidRPr="00FD514D">
              <w:rPr>
                <w:lang w:val="es-ES"/>
              </w:rPr>
              <w:t xml:space="preserve">, </w:t>
            </w:r>
            <w:r w:rsidR="00EF3F79" w:rsidRPr="00FD514D">
              <w:rPr>
                <w:lang w:val="es-ES"/>
              </w:rPr>
              <w:t>especificar en el</w:t>
            </w:r>
            <w:r w:rsidR="00502459" w:rsidRPr="00FD514D">
              <w:rPr>
                <w:lang w:val="es-ES"/>
              </w:rPr>
              <w:t xml:space="preserve"> </w:t>
            </w:r>
            <w:r w:rsidR="00D91144" w:rsidRPr="00FD514D">
              <w:rPr>
                <w:lang w:val="es-ES"/>
              </w:rPr>
              <w:t>a</w:t>
            </w:r>
            <w:r w:rsidR="00242B0A" w:rsidRPr="00FD514D">
              <w:rPr>
                <w:lang w:val="es-ES"/>
              </w:rPr>
              <w:t>rtículo</w:t>
            </w:r>
            <w:r w:rsidR="00BA255B" w:rsidRPr="00FD514D">
              <w:rPr>
                <w:lang w:val="es-ES"/>
              </w:rPr>
              <w:t> </w:t>
            </w:r>
            <w:r w:rsidR="00A36FF0" w:rsidRPr="00FD514D">
              <w:rPr>
                <w:lang w:val="es-ES"/>
              </w:rPr>
              <w:t xml:space="preserve">1 </w:t>
            </w:r>
            <w:r w:rsidR="00EF3F79" w:rsidRPr="00FD514D">
              <w:rPr>
                <w:lang w:val="es-ES"/>
              </w:rPr>
              <w:t xml:space="preserve">que el </w:t>
            </w:r>
            <w:r w:rsidR="00D91144" w:rsidRPr="00FD514D">
              <w:rPr>
                <w:lang w:val="es-ES"/>
              </w:rPr>
              <w:t>r</w:t>
            </w:r>
            <w:r w:rsidRPr="00FD514D">
              <w:rPr>
                <w:lang w:val="es-ES"/>
              </w:rPr>
              <w:t xml:space="preserve">eglamento es </w:t>
            </w:r>
            <w:r w:rsidRPr="00FD514D">
              <w:rPr>
                <w:lang w:val="es-ES"/>
              </w:rPr>
              <w:lastRenderedPageBreak/>
              <w:t>aplicable a toda reunión de la COP, salvo que se indique lo contrario.</w:t>
            </w:r>
            <w:r w:rsidR="00502459" w:rsidRPr="00FD514D">
              <w:rPr>
                <w:lang w:val="es-ES"/>
              </w:rPr>
              <w:t xml:space="preserve"> </w:t>
            </w:r>
          </w:p>
        </w:tc>
      </w:tr>
      <w:tr w:rsidR="00D50999" w:rsidRPr="00070719" w14:paraId="0554D6CD" w14:textId="77777777" w:rsidTr="00980900">
        <w:trPr>
          <w:trHeight w:val="703"/>
        </w:trPr>
        <w:tc>
          <w:tcPr>
            <w:tcW w:w="578" w:type="dxa"/>
          </w:tcPr>
          <w:p w14:paraId="01A14C27" w14:textId="77777777" w:rsidR="00A36FF0" w:rsidRPr="00FD514D" w:rsidRDefault="00A36FF0" w:rsidP="0078688F">
            <w:pPr>
              <w:pStyle w:val="NoSpacing"/>
              <w:ind w:left="0" w:firstLine="0"/>
              <w:rPr>
                <w:lang w:val="es-ES"/>
              </w:rPr>
            </w:pPr>
            <w:r w:rsidRPr="00FD514D">
              <w:rPr>
                <w:lang w:val="es-ES"/>
              </w:rPr>
              <w:lastRenderedPageBreak/>
              <w:t>2</w:t>
            </w:r>
          </w:p>
        </w:tc>
        <w:tc>
          <w:tcPr>
            <w:tcW w:w="1939" w:type="dxa"/>
          </w:tcPr>
          <w:p w14:paraId="23F3295E" w14:textId="77777777" w:rsidR="00A36FF0" w:rsidRPr="00FD514D" w:rsidRDefault="001C5BCB" w:rsidP="0078688F">
            <w:pPr>
              <w:pStyle w:val="NoSpacing"/>
              <w:ind w:left="0" w:firstLine="0"/>
              <w:rPr>
                <w:lang w:val="es-ES"/>
              </w:rPr>
            </w:pPr>
            <w:r w:rsidRPr="00FD514D">
              <w:rPr>
                <w:lang w:val="es-ES"/>
              </w:rPr>
              <w:t>Artículo</w:t>
            </w:r>
            <w:r w:rsidR="000C061B" w:rsidRPr="00FD514D">
              <w:rPr>
                <w:lang w:val="es-ES"/>
              </w:rPr>
              <w:t xml:space="preserve"> </w:t>
            </w:r>
            <w:r w:rsidR="00A36FF0" w:rsidRPr="00FD514D">
              <w:rPr>
                <w:lang w:val="es-ES"/>
              </w:rPr>
              <w:t>2</w:t>
            </w:r>
            <w:r w:rsidR="00BA255B" w:rsidRPr="00FD514D">
              <w:rPr>
                <w:lang w:val="es-ES"/>
              </w:rPr>
              <w:t>:</w:t>
            </w:r>
            <w:r w:rsidR="00A36FF0" w:rsidRPr="00FD514D">
              <w:rPr>
                <w:lang w:val="es-ES"/>
              </w:rPr>
              <w:t xml:space="preserve"> Defini</w:t>
            </w:r>
            <w:r w:rsidR="00DC49AA" w:rsidRPr="00FD514D">
              <w:rPr>
                <w:lang w:val="es-ES"/>
              </w:rPr>
              <w:t>ciones</w:t>
            </w:r>
            <w:r w:rsidR="00A36FF0" w:rsidRPr="00FD514D">
              <w:rPr>
                <w:lang w:val="es-ES"/>
              </w:rPr>
              <w:t xml:space="preserve"> </w:t>
            </w:r>
          </w:p>
        </w:tc>
        <w:tc>
          <w:tcPr>
            <w:tcW w:w="3331" w:type="dxa"/>
          </w:tcPr>
          <w:p w14:paraId="4286D3A4" w14:textId="2A4BAA4C" w:rsidR="00A36FF0" w:rsidRPr="00FD514D" w:rsidRDefault="00BE3C78" w:rsidP="00BA255B">
            <w:pPr>
              <w:pStyle w:val="NoSpacing"/>
              <w:ind w:left="0" w:firstLine="0"/>
              <w:rPr>
                <w:lang w:val="es-ES"/>
              </w:rPr>
            </w:pPr>
            <w:r w:rsidRPr="00FD514D">
              <w:rPr>
                <w:lang w:val="es-ES"/>
              </w:rPr>
              <w:t>Algun</w:t>
            </w:r>
            <w:r w:rsidR="00C465CF" w:rsidRPr="00FD514D">
              <w:rPr>
                <w:lang w:val="es-ES"/>
              </w:rPr>
              <w:t>os</w:t>
            </w:r>
            <w:r w:rsidR="00DC49AA" w:rsidRPr="00FD514D">
              <w:rPr>
                <w:lang w:val="es-ES"/>
              </w:rPr>
              <w:t xml:space="preserve"> términos </w:t>
            </w:r>
            <w:r w:rsidR="00C465CF" w:rsidRPr="00FD514D">
              <w:rPr>
                <w:lang w:val="es-ES"/>
              </w:rPr>
              <w:t xml:space="preserve">empleados en el </w:t>
            </w:r>
            <w:r w:rsidRPr="00FD514D">
              <w:rPr>
                <w:lang w:val="es-ES"/>
              </w:rPr>
              <w:t>r</w:t>
            </w:r>
            <w:r w:rsidR="00762688" w:rsidRPr="00FD514D">
              <w:rPr>
                <w:lang w:val="es-ES"/>
              </w:rPr>
              <w:t>eglamento</w:t>
            </w:r>
            <w:r w:rsidR="00C465CF" w:rsidRPr="00FD514D">
              <w:rPr>
                <w:lang w:val="es-ES"/>
              </w:rPr>
              <w:t xml:space="preserve"> no están definidos explícitamente en el </w:t>
            </w:r>
            <w:r w:rsidR="00F503A5" w:rsidRPr="00FD514D">
              <w:rPr>
                <w:lang w:val="es-ES"/>
              </w:rPr>
              <w:t>a</w:t>
            </w:r>
            <w:r w:rsidR="00C465CF" w:rsidRPr="00FD514D">
              <w:rPr>
                <w:lang w:val="es-ES"/>
              </w:rPr>
              <w:t>rtículo</w:t>
            </w:r>
            <w:r w:rsidR="00502459" w:rsidRPr="00FD514D">
              <w:rPr>
                <w:lang w:val="es-ES"/>
              </w:rPr>
              <w:t xml:space="preserve"> </w:t>
            </w:r>
            <w:r w:rsidR="00BA255B" w:rsidRPr="00FD514D">
              <w:rPr>
                <w:lang w:val="es-ES"/>
              </w:rPr>
              <w:t xml:space="preserve">2 </w:t>
            </w:r>
            <w:r w:rsidR="00F503A5" w:rsidRPr="00FD514D">
              <w:rPr>
                <w:lang w:val="es-ES"/>
              </w:rPr>
              <w:t>relativo a</w:t>
            </w:r>
            <w:r w:rsidR="00BA255B" w:rsidRPr="00FD514D">
              <w:rPr>
                <w:lang w:val="es-ES"/>
              </w:rPr>
              <w:t xml:space="preserve"> </w:t>
            </w:r>
            <w:r w:rsidR="00855E6E">
              <w:rPr>
                <w:lang w:val="es-ES"/>
              </w:rPr>
              <w:t>‘</w:t>
            </w:r>
            <w:r w:rsidR="00A36FF0" w:rsidRPr="00FD514D">
              <w:rPr>
                <w:lang w:val="es-ES"/>
              </w:rPr>
              <w:t>Defini</w:t>
            </w:r>
            <w:r w:rsidR="00307316" w:rsidRPr="00FD514D">
              <w:rPr>
                <w:lang w:val="es-ES"/>
              </w:rPr>
              <w:t>ciones</w:t>
            </w:r>
            <w:r w:rsidR="00855E6E">
              <w:rPr>
                <w:lang w:val="es-ES"/>
              </w:rPr>
              <w:t>’</w:t>
            </w:r>
            <w:r w:rsidR="00F503A5" w:rsidRPr="00FD514D">
              <w:rPr>
                <w:lang w:val="es-ES"/>
              </w:rPr>
              <w:t>, p</w:t>
            </w:r>
            <w:r w:rsidR="00307316" w:rsidRPr="00FD514D">
              <w:rPr>
                <w:lang w:val="es-ES"/>
              </w:rPr>
              <w:t>or ejemplo</w:t>
            </w:r>
            <w:r w:rsidR="00A36FF0" w:rsidRPr="00FD514D">
              <w:rPr>
                <w:lang w:val="es-ES"/>
              </w:rPr>
              <w:t xml:space="preserve">: </w:t>
            </w:r>
            <w:r w:rsidR="00855E6E">
              <w:rPr>
                <w:lang w:val="es-ES"/>
              </w:rPr>
              <w:t>‘</w:t>
            </w:r>
            <w:r w:rsidR="00307316" w:rsidRPr="00FD514D">
              <w:rPr>
                <w:lang w:val="es-ES"/>
              </w:rPr>
              <w:t>Mesa de la Conferencia</w:t>
            </w:r>
            <w:r w:rsidR="00855E6E">
              <w:rPr>
                <w:lang w:val="es-ES"/>
              </w:rPr>
              <w:t>’</w:t>
            </w:r>
            <w:r w:rsidR="00A36FF0" w:rsidRPr="00FD514D">
              <w:rPr>
                <w:rStyle w:val="FootnoteReference"/>
                <w:lang w:val="es-ES"/>
              </w:rPr>
              <w:footnoteReference w:id="3"/>
            </w:r>
            <w:r w:rsidR="00BA255B" w:rsidRPr="00FD514D">
              <w:rPr>
                <w:lang w:val="es-ES"/>
              </w:rPr>
              <w:t>;</w:t>
            </w:r>
            <w:r w:rsidR="00A36FF0" w:rsidRPr="00FD514D">
              <w:rPr>
                <w:lang w:val="es-ES"/>
              </w:rPr>
              <w:t xml:space="preserve"> </w:t>
            </w:r>
            <w:r w:rsidR="00855E6E">
              <w:rPr>
                <w:lang w:val="es-ES"/>
              </w:rPr>
              <w:t>‘</w:t>
            </w:r>
            <w:r w:rsidR="00D5434A" w:rsidRPr="00FD514D">
              <w:rPr>
                <w:lang w:val="es-ES"/>
              </w:rPr>
              <w:t>ses</w:t>
            </w:r>
            <w:r w:rsidR="00307316" w:rsidRPr="00FD514D">
              <w:rPr>
                <w:lang w:val="es-ES"/>
              </w:rPr>
              <w:t>ión</w:t>
            </w:r>
            <w:r w:rsidR="00855E6E">
              <w:rPr>
                <w:lang w:val="es-ES"/>
              </w:rPr>
              <w:t>’</w:t>
            </w:r>
            <w:r w:rsidR="00A36FF0" w:rsidRPr="00FD514D">
              <w:rPr>
                <w:rStyle w:val="FootnoteReference"/>
                <w:lang w:val="es-ES"/>
              </w:rPr>
              <w:footnoteReference w:id="4"/>
            </w:r>
            <w:r w:rsidR="00BA255B" w:rsidRPr="00FD514D">
              <w:rPr>
                <w:lang w:val="es-ES"/>
              </w:rPr>
              <w:t>;</w:t>
            </w:r>
            <w:r w:rsidR="00A36FF0" w:rsidRPr="00FD514D">
              <w:rPr>
                <w:lang w:val="es-ES"/>
              </w:rPr>
              <w:t xml:space="preserve"> </w:t>
            </w:r>
            <w:r w:rsidR="00855E6E">
              <w:rPr>
                <w:lang w:val="es-ES"/>
              </w:rPr>
              <w:t>‘</w:t>
            </w:r>
            <w:r w:rsidR="00A36FF0" w:rsidRPr="00FD514D">
              <w:rPr>
                <w:lang w:val="es-ES"/>
              </w:rPr>
              <w:t>recom</w:t>
            </w:r>
            <w:r w:rsidR="00D44B50" w:rsidRPr="00FD514D">
              <w:rPr>
                <w:lang w:val="es-ES"/>
              </w:rPr>
              <w:t>endación</w:t>
            </w:r>
            <w:r w:rsidR="00855E6E">
              <w:rPr>
                <w:lang w:val="es-ES"/>
              </w:rPr>
              <w:t>’</w:t>
            </w:r>
            <w:r w:rsidR="00A36FF0" w:rsidRPr="00FD514D">
              <w:rPr>
                <w:rStyle w:val="FootnoteReference"/>
                <w:lang w:val="es-ES"/>
              </w:rPr>
              <w:footnoteReference w:id="5"/>
            </w:r>
            <w:r w:rsidR="00BA255B" w:rsidRPr="00FD514D">
              <w:rPr>
                <w:lang w:val="es-ES"/>
              </w:rPr>
              <w:t>;</w:t>
            </w:r>
            <w:r w:rsidR="00A36FF0" w:rsidRPr="00FD514D">
              <w:rPr>
                <w:lang w:val="es-ES"/>
              </w:rPr>
              <w:t xml:space="preserve"> </w:t>
            </w:r>
            <w:r w:rsidR="00855E6E">
              <w:rPr>
                <w:lang w:val="es-ES"/>
              </w:rPr>
              <w:t>‘</w:t>
            </w:r>
            <w:r w:rsidR="00D44B50" w:rsidRPr="00FD514D">
              <w:rPr>
                <w:lang w:val="es-ES"/>
              </w:rPr>
              <w:t xml:space="preserve">propuesta enmendada </w:t>
            </w:r>
            <w:r w:rsidR="00855E6E">
              <w:rPr>
                <w:lang w:val="es-ES"/>
              </w:rPr>
              <w:t>‘</w:t>
            </w:r>
            <w:r w:rsidR="00A36FF0" w:rsidRPr="00FD514D">
              <w:rPr>
                <w:rStyle w:val="FootnoteReference"/>
                <w:lang w:val="es-ES"/>
              </w:rPr>
              <w:footnoteReference w:id="6"/>
            </w:r>
            <w:r w:rsidR="00BA255B" w:rsidRPr="00FD514D">
              <w:rPr>
                <w:lang w:val="es-ES"/>
              </w:rPr>
              <w:t xml:space="preserve">; </w:t>
            </w:r>
            <w:r w:rsidR="00D44B50" w:rsidRPr="00FD514D">
              <w:rPr>
                <w:lang w:val="es-ES"/>
              </w:rPr>
              <w:t>y</w:t>
            </w:r>
            <w:r w:rsidR="00BA255B" w:rsidRPr="00FD514D">
              <w:rPr>
                <w:lang w:val="es-ES"/>
              </w:rPr>
              <w:t xml:space="preserve"> </w:t>
            </w:r>
            <w:r w:rsidR="00855E6E">
              <w:rPr>
                <w:lang w:val="es-ES"/>
              </w:rPr>
              <w:t>‘</w:t>
            </w:r>
            <w:r w:rsidR="008B75B5" w:rsidRPr="00FD514D">
              <w:rPr>
                <w:lang w:val="es-ES"/>
              </w:rPr>
              <w:t>patrocinar</w:t>
            </w:r>
            <w:r w:rsidR="00723DBD" w:rsidRPr="00FD514D">
              <w:rPr>
                <w:rStyle w:val="FootnoteReference"/>
                <w:lang w:val="es-ES"/>
              </w:rPr>
              <w:footnoteReference w:id="7"/>
            </w:r>
            <w:r w:rsidR="00BA255B" w:rsidRPr="00FD514D">
              <w:rPr>
                <w:lang w:val="es-ES"/>
              </w:rPr>
              <w:t>.</w:t>
            </w:r>
          </w:p>
        </w:tc>
        <w:tc>
          <w:tcPr>
            <w:tcW w:w="3332" w:type="dxa"/>
          </w:tcPr>
          <w:p w14:paraId="49720D69" w14:textId="77777777" w:rsidR="00A36FF0" w:rsidRPr="00FD514D" w:rsidRDefault="00E27C41" w:rsidP="00A02ABF">
            <w:pPr>
              <w:pStyle w:val="NoSpacing"/>
              <w:ind w:left="0" w:firstLine="0"/>
              <w:rPr>
                <w:lang w:val="es-ES"/>
              </w:rPr>
            </w:pPr>
            <w:r w:rsidRPr="00FD514D">
              <w:rPr>
                <w:lang w:val="es-ES"/>
              </w:rPr>
              <w:t xml:space="preserve">Todo término que tenga un significado </w:t>
            </w:r>
            <w:r w:rsidR="00663659" w:rsidRPr="00FD514D">
              <w:rPr>
                <w:lang w:val="es-ES"/>
              </w:rPr>
              <w:t>específico</w:t>
            </w:r>
            <w:r w:rsidRPr="00FD514D">
              <w:rPr>
                <w:lang w:val="es-ES"/>
              </w:rPr>
              <w:t xml:space="preserve"> en el contexto de la Convención y sus reuniones debería estar definido en el</w:t>
            </w:r>
            <w:r w:rsidR="00502459" w:rsidRPr="00FD514D">
              <w:rPr>
                <w:lang w:val="es-ES"/>
              </w:rPr>
              <w:t xml:space="preserve"> </w:t>
            </w:r>
            <w:r w:rsidR="00D91144" w:rsidRPr="00FD514D">
              <w:rPr>
                <w:lang w:val="es-ES"/>
              </w:rPr>
              <w:t>a</w:t>
            </w:r>
            <w:r w:rsidR="00242B0A" w:rsidRPr="00FD514D">
              <w:rPr>
                <w:lang w:val="es-ES"/>
              </w:rPr>
              <w:t>rtículo</w:t>
            </w:r>
            <w:r w:rsidR="00A36FF0" w:rsidRPr="00FD514D">
              <w:rPr>
                <w:lang w:val="es-ES"/>
              </w:rPr>
              <w:t xml:space="preserve"> 2. </w:t>
            </w:r>
            <w:r w:rsidRPr="00FD514D">
              <w:rPr>
                <w:lang w:val="es-ES"/>
              </w:rPr>
              <w:t xml:space="preserve">De esta manera, se facilitaría </w:t>
            </w:r>
            <w:r w:rsidR="003B4972" w:rsidRPr="00FD514D">
              <w:rPr>
                <w:lang w:val="es-ES"/>
              </w:rPr>
              <w:t xml:space="preserve">su consulta y se evitarían posibles confusiones respecto del significado de los términos. </w:t>
            </w:r>
          </w:p>
          <w:p w14:paraId="37795A99" w14:textId="77777777" w:rsidR="00A36FF0" w:rsidRPr="00FD514D" w:rsidRDefault="00A36FF0" w:rsidP="00A02ABF">
            <w:pPr>
              <w:pStyle w:val="NoSpacing"/>
              <w:ind w:left="0" w:firstLine="0"/>
              <w:rPr>
                <w:lang w:val="es-ES"/>
              </w:rPr>
            </w:pPr>
          </w:p>
          <w:p w14:paraId="4595772C" w14:textId="0EBC6920" w:rsidR="00D50999" w:rsidRPr="00FD514D" w:rsidRDefault="00663659" w:rsidP="00BF047D">
            <w:pPr>
              <w:pStyle w:val="NoSpacing"/>
              <w:ind w:left="0" w:firstLine="0"/>
              <w:rPr>
                <w:lang w:val="es-ES"/>
              </w:rPr>
            </w:pPr>
            <w:r w:rsidRPr="00FD514D">
              <w:rPr>
                <w:lang w:val="es-ES"/>
              </w:rPr>
              <w:t>A</w:t>
            </w:r>
            <w:r w:rsidR="00242B0A" w:rsidRPr="00FD514D">
              <w:rPr>
                <w:lang w:val="es-ES"/>
              </w:rPr>
              <w:t>rtículo</w:t>
            </w:r>
            <w:r w:rsidR="0082241E" w:rsidRPr="00FD514D">
              <w:rPr>
                <w:lang w:val="es-ES"/>
              </w:rPr>
              <w:t xml:space="preserve"> 2(g)</w:t>
            </w:r>
            <w:r w:rsidRPr="00FD514D">
              <w:rPr>
                <w:lang w:val="es-ES"/>
              </w:rPr>
              <w:t>:</w:t>
            </w:r>
            <w:r w:rsidR="003B4972" w:rsidRPr="00FD514D">
              <w:rPr>
                <w:lang w:val="es-ES"/>
              </w:rPr>
              <w:t xml:space="preserve"> </w:t>
            </w:r>
            <w:r w:rsidRPr="00FD514D">
              <w:rPr>
                <w:lang w:val="es-ES"/>
              </w:rPr>
              <w:t>L</w:t>
            </w:r>
            <w:r w:rsidR="003B4972" w:rsidRPr="00FD514D">
              <w:rPr>
                <w:lang w:val="es-ES"/>
              </w:rPr>
              <w:t xml:space="preserve">a definición de </w:t>
            </w:r>
            <w:r w:rsidR="00855E6E">
              <w:rPr>
                <w:lang w:val="es-ES"/>
              </w:rPr>
              <w:t>‘</w:t>
            </w:r>
            <w:r w:rsidR="003B4972" w:rsidRPr="00FD514D">
              <w:rPr>
                <w:lang w:val="es-ES"/>
              </w:rPr>
              <w:t>propuesta</w:t>
            </w:r>
            <w:r w:rsidR="00855E6E">
              <w:rPr>
                <w:lang w:val="es-ES"/>
              </w:rPr>
              <w:t>’</w:t>
            </w:r>
            <w:r w:rsidR="003B4972" w:rsidRPr="00FD514D">
              <w:rPr>
                <w:lang w:val="es-ES"/>
              </w:rPr>
              <w:t xml:space="preserve"> debería ser modificada a fin de aclarar que </w:t>
            </w:r>
            <w:r w:rsidR="004A42AD" w:rsidRPr="00FD514D">
              <w:rPr>
                <w:lang w:val="es-ES"/>
              </w:rPr>
              <w:t xml:space="preserve">solamente una Parte Contratante, el CP, la Mesa de la Conferencia o </w:t>
            </w:r>
            <w:r w:rsidR="004A42AD" w:rsidRPr="00FD514D">
              <w:rPr>
                <w:i/>
                <w:lang w:val="es-ES"/>
              </w:rPr>
              <w:t xml:space="preserve">cualquier otro órgano subsidiario aprobado por la COP </w:t>
            </w:r>
            <w:r w:rsidR="00393BF1" w:rsidRPr="00FD514D">
              <w:rPr>
                <w:lang w:val="es-ES"/>
              </w:rPr>
              <w:t xml:space="preserve">puede presentar una propuesta. </w:t>
            </w:r>
          </w:p>
          <w:p w14:paraId="1209B9CA" w14:textId="77777777" w:rsidR="00BF047D" w:rsidRPr="00FD514D" w:rsidRDefault="00BF047D" w:rsidP="00BF047D">
            <w:pPr>
              <w:pStyle w:val="NoSpacing"/>
              <w:ind w:left="0" w:firstLine="0"/>
              <w:rPr>
                <w:lang w:val="es-ES"/>
              </w:rPr>
            </w:pPr>
          </w:p>
          <w:p w14:paraId="3A0794A1" w14:textId="6DFC2835" w:rsidR="00BF047D" w:rsidRPr="00FD514D" w:rsidRDefault="00393BF1" w:rsidP="000D3CCB">
            <w:pPr>
              <w:pStyle w:val="NoSpacing"/>
              <w:ind w:left="0" w:firstLine="0"/>
              <w:rPr>
                <w:lang w:val="es-ES"/>
              </w:rPr>
            </w:pPr>
            <w:r w:rsidRPr="00FD514D">
              <w:rPr>
                <w:lang w:val="es-ES"/>
              </w:rPr>
              <w:t xml:space="preserve">Cabe señalar que la </w:t>
            </w:r>
            <w:r w:rsidR="003A0975" w:rsidRPr="00FD514D">
              <w:rPr>
                <w:lang w:val="es-ES"/>
              </w:rPr>
              <w:t>recomendació</w:t>
            </w:r>
            <w:r w:rsidR="00DC75EB" w:rsidRPr="00FD514D">
              <w:rPr>
                <w:lang w:val="es-ES"/>
              </w:rPr>
              <w:t>n</w:t>
            </w:r>
            <w:r w:rsidR="009E3E03" w:rsidRPr="00FD514D">
              <w:rPr>
                <w:lang w:val="es-ES"/>
              </w:rPr>
              <w:t xml:space="preserve"> </w:t>
            </w:r>
            <w:r w:rsidR="004334FD" w:rsidRPr="00FD514D">
              <w:rPr>
                <w:lang w:val="es-ES"/>
              </w:rPr>
              <w:t>(</w:t>
            </w:r>
            <w:r w:rsidR="00182A83" w:rsidRPr="00FD514D">
              <w:rPr>
                <w:lang w:val="es-ES"/>
              </w:rPr>
              <w:t>en el párrafo anterior</w:t>
            </w:r>
            <w:r w:rsidRPr="00FD514D">
              <w:rPr>
                <w:lang w:val="es-ES"/>
              </w:rPr>
              <w:t xml:space="preserve">) </w:t>
            </w:r>
            <w:r w:rsidR="004334FD" w:rsidRPr="00FD514D">
              <w:rPr>
                <w:lang w:val="es-ES"/>
              </w:rPr>
              <w:t>de</w:t>
            </w:r>
            <w:r w:rsidR="003A0975" w:rsidRPr="00FD514D">
              <w:rPr>
                <w:lang w:val="es-ES"/>
              </w:rPr>
              <w:t xml:space="preserve"> incluir</w:t>
            </w:r>
            <w:r w:rsidR="004334FD" w:rsidRPr="00FD514D">
              <w:rPr>
                <w:lang w:val="es-ES"/>
              </w:rPr>
              <w:t xml:space="preserve"> </w:t>
            </w:r>
            <w:r w:rsidR="00980900">
              <w:rPr>
                <w:lang w:val="es-ES"/>
              </w:rPr>
              <w:t>“</w:t>
            </w:r>
            <w:r w:rsidRPr="00FD514D">
              <w:rPr>
                <w:lang w:val="es-ES"/>
              </w:rPr>
              <w:t>cualquier otro órgano subsidiario aprobado por la COP</w:t>
            </w:r>
            <w:r w:rsidR="00980900">
              <w:rPr>
                <w:lang w:val="es-ES"/>
              </w:rPr>
              <w:t>”</w:t>
            </w:r>
            <w:r w:rsidRPr="00FD514D">
              <w:rPr>
                <w:lang w:val="es-ES"/>
              </w:rPr>
              <w:t xml:space="preserve"> en la definición de </w:t>
            </w:r>
            <w:r w:rsidR="00855E6E">
              <w:rPr>
                <w:lang w:val="es-ES"/>
              </w:rPr>
              <w:t>‘</w:t>
            </w:r>
            <w:r w:rsidRPr="00FD514D">
              <w:rPr>
                <w:lang w:val="es-ES"/>
              </w:rPr>
              <w:t>propuesta</w:t>
            </w:r>
            <w:r w:rsidR="00855E6E">
              <w:rPr>
                <w:lang w:val="es-ES"/>
              </w:rPr>
              <w:t>’</w:t>
            </w:r>
            <w:r w:rsidRPr="00FD514D">
              <w:rPr>
                <w:lang w:val="es-ES"/>
              </w:rPr>
              <w:t xml:space="preserve"> </w:t>
            </w:r>
            <w:r w:rsidR="00FF198E" w:rsidRPr="00FD514D">
              <w:rPr>
                <w:lang w:val="es-ES"/>
              </w:rPr>
              <w:t xml:space="preserve">es coherente con la práctica actual, </w:t>
            </w:r>
            <w:r w:rsidR="00A36FF0" w:rsidRPr="00FD514D">
              <w:rPr>
                <w:lang w:val="es-ES"/>
              </w:rPr>
              <w:t>particular</w:t>
            </w:r>
            <w:r w:rsidR="00C8679C" w:rsidRPr="00FD514D">
              <w:rPr>
                <w:lang w:val="es-ES"/>
              </w:rPr>
              <w:t xml:space="preserve">mente en lo que se refiere al Grupo de Examen Científico y Técnico </w:t>
            </w:r>
            <w:r w:rsidR="00A36FF0" w:rsidRPr="00FD514D">
              <w:rPr>
                <w:lang w:val="es-ES"/>
              </w:rPr>
              <w:t>(</w:t>
            </w:r>
            <w:r w:rsidR="00C8679C" w:rsidRPr="00FD514D">
              <w:rPr>
                <w:b/>
                <w:lang w:val="es-ES"/>
              </w:rPr>
              <w:t>GECT</w:t>
            </w:r>
            <w:r w:rsidR="00A36FF0" w:rsidRPr="00FD514D">
              <w:rPr>
                <w:lang w:val="es-ES"/>
              </w:rPr>
              <w:t>)</w:t>
            </w:r>
            <w:r w:rsidR="007B7F83" w:rsidRPr="00FD514D">
              <w:rPr>
                <w:lang w:val="es-ES"/>
              </w:rPr>
              <w:t xml:space="preserve">; a saber, </w:t>
            </w:r>
            <w:r w:rsidR="00C8679C" w:rsidRPr="00FD514D">
              <w:rPr>
                <w:lang w:val="es-ES"/>
              </w:rPr>
              <w:t xml:space="preserve">otros órganos han </w:t>
            </w:r>
            <w:r w:rsidR="00C8679C" w:rsidRPr="00FD514D">
              <w:rPr>
                <w:lang w:val="es-ES"/>
              </w:rPr>
              <w:lastRenderedPageBreak/>
              <w:t>patrocinado propuestas en el pasado</w:t>
            </w:r>
            <w:r w:rsidR="003F6564" w:rsidRPr="00FD514D">
              <w:rPr>
                <w:lang w:val="es-ES"/>
              </w:rPr>
              <w:t>,</w:t>
            </w:r>
            <w:r w:rsidR="00C8679C" w:rsidRPr="00FD514D">
              <w:rPr>
                <w:lang w:val="es-ES"/>
              </w:rPr>
              <w:t xml:space="preserve"> pero esto no está reflejado en la definición. </w:t>
            </w:r>
          </w:p>
          <w:p w14:paraId="14816385" w14:textId="77777777" w:rsidR="00B57F6D" w:rsidRPr="00FD514D" w:rsidRDefault="00B57F6D" w:rsidP="000D3CCB">
            <w:pPr>
              <w:pStyle w:val="NoSpacing"/>
              <w:ind w:left="0" w:firstLine="0"/>
              <w:rPr>
                <w:lang w:val="es-ES"/>
              </w:rPr>
            </w:pPr>
          </w:p>
          <w:p w14:paraId="4FDDA6CD" w14:textId="72F61A24" w:rsidR="00BF047D" w:rsidRPr="00FD514D" w:rsidRDefault="00FF198E" w:rsidP="00872B4C">
            <w:pPr>
              <w:pStyle w:val="NoSpacing"/>
              <w:ind w:left="0" w:firstLine="0"/>
              <w:rPr>
                <w:lang w:val="es-ES"/>
              </w:rPr>
            </w:pPr>
            <w:r w:rsidRPr="00FD514D">
              <w:rPr>
                <w:lang w:val="es-ES"/>
              </w:rPr>
              <w:t xml:space="preserve">También se debería definir el término </w:t>
            </w:r>
            <w:r w:rsidR="00855E6E">
              <w:rPr>
                <w:lang w:val="es-ES"/>
              </w:rPr>
              <w:t>‘</w:t>
            </w:r>
            <w:r w:rsidRPr="00FD514D">
              <w:rPr>
                <w:lang w:val="es-ES"/>
              </w:rPr>
              <w:t>patrocinar</w:t>
            </w:r>
            <w:r w:rsidR="00855E6E">
              <w:rPr>
                <w:lang w:val="es-ES"/>
              </w:rPr>
              <w:t>’</w:t>
            </w:r>
            <w:r w:rsidR="006F41CB" w:rsidRPr="00FD514D">
              <w:rPr>
                <w:lang w:val="es-ES"/>
              </w:rPr>
              <w:t xml:space="preserve"> a fin de aclarar que significa </w:t>
            </w:r>
            <w:r w:rsidR="00855E6E">
              <w:rPr>
                <w:lang w:val="es-ES"/>
              </w:rPr>
              <w:t>‘</w:t>
            </w:r>
            <w:r w:rsidR="006F41CB" w:rsidRPr="00FD514D">
              <w:rPr>
                <w:lang w:val="es-ES"/>
              </w:rPr>
              <w:t>presentar</w:t>
            </w:r>
            <w:r w:rsidR="00855E6E">
              <w:rPr>
                <w:lang w:val="es-ES"/>
              </w:rPr>
              <w:t>’</w:t>
            </w:r>
            <w:r w:rsidR="006F41CB" w:rsidRPr="00FD514D">
              <w:rPr>
                <w:lang w:val="es-ES"/>
              </w:rPr>
              <w:t xml:space="preserve"> </w:t>
            </w:r>
            <w:r w:rsidR="009B0A10" w:rsidRPr="00FD514D">
              <w:rPr>
                <w:lang w:val="es-ES"/>
              </w:rPr>
              <w:t xml:space="preserve">(una propuesta) </w:t>
            </w:r>
            <w:r w:rsidR="006F41CB" w:rsidRPr="00FD514D">
              <w:rPr>
                <w:lang w:val="es-ES"/>
              </w:rPr>
              <w:t>a la COP para que sea examinada.</w:t>
            </w:r>
            <w:r w:rsidR="00502459" w:rsidRPr="00FD514D">
              <w:rPr>
                <w:lang w:val="es-ES"/>
              </w:rPr>
              <w:t xml:space="preserve"> </w:t>
            </w:r>
            <w:r w:rsidR="006F41CB" w:rsidRPr="00FD514D">
              <w:rPr>
                <w:lang w:val="es-ES"/>
              </w:rPr>
              <w:t xml:space="preserve">Está recomendación </w:t>
            </w:r>
            <w:r w:rsidR="00516584" w:rsidRPr="00FD514D">
              <w:rPr>
                <w:lang w:val="es-ES"/>
              </w:rPr>
              <w:t>está basada en e</w:t>
            </w:r>
            <w:r w:rsidR="00EC2DE8" w:rsidRPr="00FD514D">
              <w:rPr>
                <w:lang w:val="es-ES"/>
              </w:rPr>
              <w:t>l</w:t>
            </w:r>
            <w:r w:rsidR="006F41CB" w:rsidRPr="00FD514D">
              <w:rPr>
                <w:lang w:val="es-ES"/>
              </w:rPr>
              <w:t xml:space="preserve"> </w:t>
            </w:r>
            <w:r w:rsidR="00EC2DE8" w:rsidRPr="00FD514D">
              <w:rPr>
                <w:lang w:val="es-ES"/>
              </w:rPr>
              <w:t xml:space="preserve">hecho de que el </w:t>
            </w:r>
            <w:r w:rsidR="006F41CB" w:rsidRPr="00FD514D">
              <w:rPr>
                <w:lang w:val="es-ES"/>
              </w:rPr>
              <w:t xml:space="preserve">término </w:t>
            </w:r>
            <w:r w:rsidR="00855E6E">
              <w:rPr>
                <w:lang w:val="es-ES"/>
              </w:rPr>
              <w:t>‘</w:t>
            </w:r>
            <w:r w:rsidR="009656A6" w:rsidRPr="00FD514D">
              <w:rPr>
                <w:lang w:val="es-ES"/>
              </w:rPr>
              <w:t>patrocinar</w:t>
            </w:r>
            <w:r w:rsidR="00855E6E">
              <w:rPr>
                <w:lang w:val="es-ES"/>
              </w:rPr>
              <w:t>’</w:t>
            </w:r>
            <w:r w:rsidR="009656A6" w:rsidRPr="00FD514D">
              <w:rPr>
                <w:lang w:val="es-ES"/>
              </w:rPr>
              <w:t xml:space="preserve"> </w:t>
            </w:r>
            <w:r w:rsidR="00EC2DE8" w:rsidRPr="00FD514D">
              <w:rPr>
                <w:lang w:val="es-ES"/>
              </w:rPr>
              <w:t xml:space="preserve">se emplea </w:t>
            </w:r>
            <w:r w:rsidR="009656A6" w:rsidRPr="00FD514D">
              <w:rPr>
                <w:lang w:val="es-ES"/>
              </w:rPr>
              <w:t xml:space="preserve">en el </w:t>
            </w:r>
            <w:r w:rsidR="00EC2DE8" w:rsidRPr="00FD514D">
              <w:rPr>
                <w:lang w:val="es-ES"/>
              </w:rPr>
              <w:t>a</w:t>
            </w:r>
            <w:r w:rsidR="00242B0A" w:rsidRPr="00FD514D">
              <w:rPr>
                <w:lang w:val="es-ES"/>
              </w:rPr>
              <w:t>rtículo</w:t>
            </w:r>
            <w:r w:rsidR="00BF047D" w:rsidRPr="00FD514D">
              <w:rPr>
                <w:lang w:val="es-ES"/>
              </w:rPr>
              <w:t xml:space="preserve"> 7.5</w:t>
            </w:r>
            <w:r w:rsidR="00AD1642" w:rsidRPr="00FD514D">
              <w:rPr>
                <w:lang w:val="es-ES"/>
              </w:rPr>
              <w:t>,</w:t>
            </w:r>
            <w:r w:rsidR="009656A6" w:rsidRPr="00FD514D">
              <w:rPr>
                <w:lang w:val="es-ES"/>
              </w:rPr>
              <w:t xml:space="preserve"> y el </w:t>
            </w:r>
            <w:r w:rsidR="00AD1642" w:rsidRPr="00FD514D">
              <w:rPr>
                <w:lang w:val="es-ES"/>
              </w:rPr>
              <w:t>uso</w:t>
            </w:r>
            <w:r w:rsidR="009656A6" w:rsidRPr="00FD514D">
              <w:rPr>
                <w:lang w:val="es-ES"/>
              </w:rPr>
              <w:t xml:space="preserve"> del término </w:t>
            </w:r>
            <w:r w:rsidR="00855E6E">
              <w:rPr>
                <w:lang w:val="es-ES"/>
              </w:rPr>
              <w:t>‘</w:t>
            </w:r>
            <w:r w:rsidR="009656A6" w:rsidRPr="00FD514D">
              <w:rPr>
                <w:lang w:val="es-ES"/>
              </w:rPr>
              <w:t>presentar</w:t>
            </w:r>
            <w:r w:rsidR="00855E6E">
              <w:rPr>
                <w:lang w:val="es-ES"/>
              </w:rPr>
              <w:t>’</w:t>
            </w:r>
            <w:r w:rsidR="009656A6" w:rsidRPr="00FD514D">
              <w:rPr>
                <w:lang w:val="es-ES"/>
              </w:rPr>
              <w:t xml:space="preserve"> puede suscitar confusión, tal y como se señala en </w:t>
            </w:r>
            <w:r w:rsidR="00DC3500" w:rsidRPr="00FD514D">
              <w:rPr>
                <w:lang w:val="es-ES"/>
              </w:rPr>
              <w:t xml:space="preserve">la fila 13 del </w:t>
            </w:r>
            <w:r w:rsidR="00C24302">
              <w:rPr>
                <w:lang w:val="es-ES"/>
              </w:rPr>
              <w:t>cuadro</w:t>
            </w:r>
            <w:r w:rsidR="00BF047D" w:rsidRPr="00FD514D">
              <w:rPr>
                <w:lang w:val="es-ES"/>
              </w:rPr>
              <w:t xml:space="preserve"> 1. </w:t>
            </w:r>
          </w:p>
        </w:tc>
      </w:tr>
      <w:tr w:rsidR="00D50999" w:rsidRPr="00070719" w14:paraId="084DCE5D" w14:textId="77777777" w:rsidTr="00980900">
        <w:tc>
          <w:tcPr>
            <w:tcW w:w="578" w:type="dxa"/>
          </w:tcPr>
          <w:p w14:paraId="22C11F29" w14:textId="77777777" w:rsidR="00A36FF0" w:rsidRPr="00FD514D" w:rsidRDefault="00A36FF0" w:rsidP="0078688F">
            <w:pPr>
              <w:pStyle w:val="NoSpacing"/>
              <w:ind w:left="0" w:firstLine="0"/>
              <w:rPr>
                <w:lang w:val="es-ES"/>
              </w:rPr>
            </w:pPr>
            <w:r w:rsidRPr="00FD514D">
              <w:rPr>
                <w:lang w:val="es-ES"/>
              </w:rPr>
              <w:lastRenderedPageBreak/>
              <w:t>3</w:t>
            </w:r>
          </w:p>
        </w:tc>
        <w:tc>
          <w:tcPr>
            <w:tcW w:w="1939" w:type="dxa"/>
          </w:tcPr>
          <w:p w14:paraId="65D53392" w14:textId="77777777" w:rsidR="00A36FF0" w:rsidRPr="00FD514D" w:rsidRDefault="00D5434A" w:rsidP="0078688F">
            <w:pPr>
              <w:pStyle w:val="NoSpacing"/>
              <w:ind w:left="0" w:firstLine="0"/>
              <w:rPr>
                <w:lang w:val="es-ES"/>
              </w:rPr>
            </w:pPr>
            <w:r w:rsidRPr="00FD514D">
              <w:rPr>
                <w:lang w:val="es-ES"/>
              </w:rPr>
              <w:t>Artículo</w:t>
            </w:r>
            <w:r w:rsidR="000C061B" w:rsidRPr="00FD514D">
              <w:rPr>
                <w:lang w:val="es-ES"/>
              </w:rPr>
              <w:t xml:space="preserve"> </w:t>
            </w:r>
            <w:r w:rsidR="00A36FF0" w:rsidRPr="00FD514D">
              <w:rPr>
                <w:lang w:val="es-ES"/>
              </w:rPr>
              <w:t>5</w:t>
            </w:r>
            <w:r w:rsidR="00A6098C" w:rsidRPr="00FD514D">
              <w:rPr>
                <w:lang w:val="es-ES"/>
              </w:rPr>
              <w:t>:</w:t>
            </w:r>
            <w:r w:rsidR="00A36FF0" w:rsidRPr="00FD514D">
              <w:rPr>
                <w:lang w:val="es-ES"/>
              </w:rPr>
              <w:t xml:space="preserve"> Notifica</w:t>
            </w:r>
            <w:r w:rsidRPr="00FD514D">
              <w:rPr>
                <w:lang w:val="es-ES"/>
              </w:rPr>
              <w:t>ción</w:t>
            </w:r>
          </w:p>
        </w:tc>
        <w:tc>
          <w:tcPr>
            <w:tcW w:w="3331" w:type="dxa"/>
          </w:tcPr>
          <w:p w14:paraId="3F285369" w14:textId="00418D24" w:rsidR="00A36FF0" w:rsidRPr="00FD514D" w:rsidRDefault="00A05F92" w:rsidP="00354A53">
            <w:pPr>
              <w:pStyle w:val="Listamulticolor-nfasis11"/>
              <w:autoSpaceDE w:val="0"/>
              <w:autoSpaceDN w:val="0"/>
              <w:adjustRightInd w:val="0"/>
              <w:ind w:left="0"/>
              <w:jc w:val="left"/>
              <w:rPr>
                <w:lang w:val="es-ES"/>
              </w:rPr>
            </w:pPr>
            <w:r w:rsidRPr="00FD514D">
              <w:rPr>
                <w:rFonts w:asciiTheme="minorHAnsi" w:hAnsiTheme="minorHAnsi"/>
                <w:lang w:val="es-ES"/>
              </w:rPr>
              <w:t>E</w:t>
            </w:r>
            <w:r w:rsidR="00AA7261" w:rsidRPr="00FD514D">
              <w:rPr>
                <w:rFonts w:asciiTheme="minorHAnsi" w:hAnsiTheme="minorHAnsi"/>
                <w:lang w:val="es-ES"/>
              </w:rPr>
              <w:t xml:space="preserve">n </w:t>
            </w:r>
            <w:r w:rsidR="00D72675" w:rsidRPr="00FD514D">
              <w:rPr>
                <w:rFonts w:asciiTheme="minorHAnsi" w:hAnsiTheme="minorHAnsi"/>
                <w:lang w:val="es-ES"/>
              </w:rPr>
              <w:t>el a</w:t>
            </w:r>
            <w:r w:rsidR="00D5434A" w:rsidRPr="00FD514D">
              <w:rPr>
                <w:rFonts w:asciiTheme="minorHAnsi" w:hAnsiTheme="minorHAnsi"/>
                <w:lang w:val="es-ES"/>
              </w:rPr>
              <w:t>rtículo</w:t>
            </w:r>
            <w:r w:rsidR="00A36FF0" w:rsidRPr="00FD514D">
              <w:rPr>
                <w:rFonts w:asciiTheme="minorHAnsi" w:hAnsiTheme="minorHAnsi"/>
                <w:lang w:val="es-ES"/>
              </w:rPr>
              <w:t xml:space="preserve"> 5.1</w:t>
            </w:r>
            <w:r w:rsidRPr="00FD514D">
              <w:rPr>
                <w:rFonts w:asciiTheme="minorHAnsi" w:hAnsiTheme="minorHAnsi"/>
                <w:lang w:val="es-ES"/>
              </w:rPr>
              <w:t xml:space="preserve"> </w:t>
            </w:r>
            <w:r w:rsidR="00AA7261" w:rsidRPr="00FD514D">
              <w:rPr>
                <w:rFonts w:asciiTheme="minorHAnsi" w:hAnsiTheme="minorHAnsi"/>
                <w:lang w:val="es-ES"/>
              </w:rPr>
              <w:t xml:space="preserve">se </w:t>
            </w:r>
            <w:r w:rsidRPr="00FD514D">
              <w:rPr>
                <w:rFonts w:asciiTheme="minorHAnsi" w:hAnsiTheme="minorHAnsi"/>
                <w:lang w:val="es-ES"/>
              </w:rPr>
              <w:t>afirma que</w:t>
            </w:r>
            <w:r w:rsidR="000A04CE" w:rsidRPr="00FD514D">
              <w:rPr>
                <w:rFonts w:asciiTheme="minorHAnsi" w:hAnsiTheme="minorHAnsi"/>
                <w:lang w:val="es-ES"/>
              </w:rPr>
              <w:t xml:space="preserve"> </w:t>
            </w:r>
            <w:r w:rsidR="00980900">
              <w:rPr>
                <w:rFonts w:asciiTheme="minorHAnsi" w:hAnsiTheme="minorHAnsi"/>
                <w:lang w:val="es-ES"/>
              </w:rPr>
              <w:t>“</w:t>
            </w:r>
            <w:r w:rsidR="004F063A" w:rsidRPr="00FD514D">
              <w:rPr>
                <w:rFonts w:asciiTheme="minorHAnsi" w:hAnsiTheme="minorHAnsi"/>
                <w:lang w:val="es-ES"/>
              </w:rPr>
              <w:t>solamente las Partes, el Comité Permanente y la Mesa de la Conferencia podrán presentar propuestas</w:t>
            </w:r>
            <w:r w:rsidR="00980900">
              <w:rPr>
                <w:lang w:val="es-ES"/>
              </w:rPr>
              <w:t>”</w:t>
            </w:r>
            <w:r w:rsidR="00A36FF0" w:rsidRPr="00FD514D">
              <w:rPr>
                <w:lang w:val="es-ES"/>
              </w:rPr>
              <w:t xml:space="preserve">. </w:t>
            </w:r>
            <w:r w:rsidR="004F063A" w:rsidRPr="00FD514D">
              <w:rPr>
                <w:rFonts w:asciiTheme="minorHAnsi" w:hAnsiTheme="minorHAnsi"/>
                <w:lang w:val="es-ES"/>
              </w:rPr>
              <w:t xml:space="preserve">Es una práctica </w:t>
            </w:r>
            <w:r w:rsidR="00554F81" w:rsidRPr="00FD514D">
              <w:rPr>
                <w:rFonts w:asciiTheme="minorHAnsi" w:hAnsiTheme="minorHAnsi"/>
                <w:lang w:val="es-ES"/>
              </w:rPr>
              <w:t>habitual</w:t>
            </w:r>
            <w:r w:rsidR="004F063A" w:rsidRPr="00FD514D">
              <w:rPr>
                <w:rFonts w:asciiTheme="minorHAnsi" w:hAnsiTheme="minorHAnsi"/>
                <w:lang w:val="es-ES"/>
              </w:rPr>
              <w:t xml:space="preserve"> que los órganos subsidiarios o la Secretaría, o ambos, </w:t>
            </w:r>
            <w:r w:rsidR="00554F81" w:rsidRPr="00FD514D">
              <w:rPr>
                <w:rFonts w:asciiTheme="minorHAnsi" w:hAnsiTheme="minorHAnsi"/>
                <w:lang w:val="es-ES"/>
              </w:rPr>
              <w:t xml:space="preserve">contribuyan </w:t>
            </w:r>
            <w:r w:rsidR="00242B0A" w:rsidRPr="00FD514D">
              <w:rPr>
                <w:rFonts w:asciiTheme="minorHAnsi" w:hAnsiTheme="minorHAnsi"/>
                <w:lang w:val="es-ES"/>
              </w:rPr>
              <w:t xml:space="preserve">a la redacción de propuestas. Esta práctica queda autorizada implícitamente en el </w:t>
            </w:r>
            <w:r w:rsidR="00D72675" w:rsidRPr="00FD514D">
              <w:rPr>
                <w:rFonts w:asciiTheme="minorHAnsi" w:hAnsiTheme="minorHAnsi"/>
                <w:lang w:val="es-ES"/>
              </w:rPr>
              <w:t>a</w:t>
            </w:r>
            <w:r w:rsidR="00242B0A" w:rsidRPr="00FD514D">
              <w:rPr>
                <w:rFonts w:asciiTheme="minorHAnsi" w:hAnsiTheme="minorHAnsi"/>
                <w:lang w:val="es-ES"/>
              </w:rPr>
              <w:t xml:space="preserve">rtículo </w:t>
            </w:r>
            <w:r w:rsidR="00A36FF0" w:rsidRPr="00FD514D">
              <w:rPr>
                <w:rFonts w:asciiTheme="minorHAnsi" w:hAnsiTheme="minorHAnsi"/>
                <w:lang w:val="es-ES"/>
              </w:rPr>
              <w:t>34.2</w:t>
            </w:r>
            <w:r w:rsidR="00A36FF0" w:rsidRPr="00FD514D">
              <w:rPr>
                <w:rFonts w:asciiTheme="minorHAnsi" w:eastAsia="Times New Roman" w:hAnsiTheme="minorHAnsi" w:cs="Arial"/>
                <w:color w:val="222222"/>
                <w:lang w:val="es-ES" w:eastAsia="fr-FR"/>
              </w:rPr>
              <w:t xml:space="preserve"> </w:t>
            </w:r>
            <w:r w:rsidR="00DF77CA" w:rsidRPr="00FD514D">
              <w:rPr>
                <w:rFonts w:asciiTheme="minorHAnsi" w:eastAsia="Times New Roman" w:hAnsiTheme="minorHAnsi" w:cs="Arial"/>
                <w:color w:val="222222"/>
                <w:lang w:val="es-ES" w:eastAsia="fr-FR"/>
              </w:rPr>
              <w:t xml:space="preserve">que dispone que </w:t>
            </w:r>
            <w:r w:rsidR="00980900">
              <w:rPr>
                <w:rFonts w:asciiTheme="minorHAnsi" w:eastAsia="Times New Roman" w:hAnsiTheme="minorHAnsi" w:cs="Arial"/>
                <w:color w:val="222222"/>
                <w:lang w:val="es-ES" w:eastAsia="fr-FR"/>
              </w:rPr>
              <w:t>“</w:t>
            </w:r>
            <w:r w:rsidR="00AA7261" w:rsidRPr="00FD514D">
              <w:rPr>
                <w:rFonts w:asciiTheme="minorHAnsi" w:hAnsiTheme="minorHAnsi" w:cs="Arial"/>
                <w:color w:val="222222"/>
                <w:lang w:val="es-ES" w:eastAsia="fr-FR"/>
              </w:rPr>
              <w:t>e</w:t>
            </w:r>
            <w:r w:rsidR="00DF77CA" w:rsidRPr="00FD514D">
              <w:rPr>
                <w:rFonts w:ascii="Calibri" w:hAnsi="Calibri" w:cs="Calibri"/>
                <w:lang w:val="es-ES"/>
              </w:rPr>
              <w:t xml:space="preserve">l Comité Permanente también podrá decidir que las diferencias de opinión sobre una propuesta </w:t>
            </w:r>
            <w:r w:rsidR="00DF77CA" w:rsidRPr="00FD514D">
              <w:rPr>
                <w:rFonts w:ascii="Calibri" w:hAnsi="Calibri" w:cs="Calibri"/>
                <w:b/>
                <w:lang w:val="es-ES"/>
              </w:rPr>
              <w:t>redactada por un órgano subsidiario o la Secretaría</w:t>
            </w:r>
            <w:r w:rsidR="00DF77CA" w:rsidRPr="00FD514D">
              <w:rPr>
                <w:rFonts w:ascii="Calibri" w:hAnsi="Calibri" w:cs="Calibri"/>
                <w:lang w:val="es-ES"/>
              </w:rPr>
              <w:t xml:space="preserve"> se muestren entre corchetes y, si procede, con comentarios explicativos</w:t>
            </w:r>
            <w:r w:rsidR="00980900">
              <w:rPr>
                <w:rFonts w:ascii="Calibri" w:hAnsi="Calibri" w:cs="Calibri"/>
                <w:lang w:val="es-ES"/>
              </w:rPr>
              <w:t>”</w:t>
            </w:r>
            <w:r w:rsidR="00DF77CA" w:rsidRPr="00FD514D">
              <w:rPr>
                <w:rFonts w:ascii="Calibri" w:hAnsi="Calibri" w:cs="Calibri"/>
                <w:lang w:val="es-ES"/>
              </w:rPr>
              <w:t>.</w:t>
            </w:r>
          </w:p>
          <w:p w14:paraId="0914C827" w14:textId="77777777" w:rsidR="00A36FF0" w:rsidRPr="00FD514D" w:rsidRDefault="00A36FF0" w:rsidP="00BB5177">
            <w:pPr>
              <w:pStyle w:val="NoSpacing"/>
              <w:ind w:left="0" w:firstLine="0"/>
              <w:rPr>
                <w:lang w:val="es-ES"/>
              </w:rPr>
            </w:pPr>
          </w:p>
          <w:p w14:paraId="7D4F2DF2" w14:textId="1663D18D" w:rsidR="00A36FF0" w:rsidRPr="00FD514D" w:rsidRDefault="00AF63F6" w:rsidP="000D3CCB">
            <w:pPr>
              <w:pStyle w:val="NoSpacing"/>
              <w:ind w:left="0" w:firstLine="0"/>
              <w:rPr>
                <w:lang w:val="es-ES"/>
              </w:rPr>
            </w:pPr>
            <w:r w:rsidRPr="00FD514D">
              <w:rPr>
                <w:lang w:val="es-ES"/>
              </w:rPr>
              <w:t>En el</w:t>
            </w:r>
            <w:r w:rsidR="00A2738F" w:rsidRPr="00FD514D">
              <w:rPr>
                <w:lang w:val="es-ES"/>
              </w:rPr>
              <w:t xml:space="preserve"> </w:t>
            </w:r>
            <w:r w:rsidR="00CD1526" w:rsidRPr="00FD514D">
              <w:rPr>
                <w:lang w:val="es-ES"/>
              </w:rPr>
              <w:t>a</w:t>
            </w:r>
            <w:r w:rsidR="00242B0A" w:rsidRPr="00FD514D">
              <w:rPr>
                <w:lang w:val="es-ES"/>
              </w:rPr>
              <w:t>rtículo</w:t>
            </w:r>
            <w:r w:rsidR="00A36FF0" w:rsidRPr="00FD514D">
              <w:rPr>
                <w:lang w:val="es-ES"/>
              </w:rPr>
              <w:t xml:space="preserve"> 5.</w:t>
            </w:r>
            <w:r w:rsidR="009951D3">
              <w:rPr>
                <w:lang w:val="es-ES"/>
              </w:rPr>
              <w:t>1</w:t>
            </w:r>
            <w:r w:rsidRPr="00FD514D">
              <w:rPr>
                <w:lang w:val="es-ES"/>
              </w:rPr>
              <w:t xml:space="preserve"> se dispone que</w:t>
            </w:r>
            <w:r w:rsidR="00502459" w:rsidRPr="00FD514D">
              <w:rPr>
                <w:lang w:val="es-ES"/>
              </w:rPr>
              <w:t xml:space="preserve"> </w:t>
            </w:r>
            <w:r w:rsidR="003F4562" w:rsidRPr="00FD514D">
              <w:rPr>
                <w:lang w:val="es-ES"/>
              </w:rPr>
              <w:t xml:space="preserve">el plazo para la presentación de propuestas </w:t>
            </w:r>
            <w:r w:rsidR="00980900">
              <w:rPr>
                <w:lang w:val="es-ES"/>
              </w:rPr>
              <w:t>“</w:t>
            </w:r>
            <w:r w:rsidR="00755CF3" w:rsidRPr="00FD514D">
              <w:rPr>
                <w:lang w:val="es-ES"/>
              </w:rPr>
              <w:t xml:space="preserve">como norma, </w:t>
            </w:r>
            <w:r w:rsidR="003F4562" w:rsidRPr="00FD514D">
              <w:rPr>
                <w:rFonts w:asciiTheme="minorHAnsi" w:hAnsiTheme="minorHAnsi"/>
                <w:lang w:val="es-ES"/>
              </w:rPr>
              <w:t>será de 60 días naturales antes de la apertura de la reunión del Comité Permanente en la que esté previsto formular recomendaciones sobre los documentos</w:t>
            </w:r>
            <w:r w:rsidR="00A36FF0" w:rsidRPr="00FD514D">
              <w:rPr>
                <w:lang w:val="es-ES"/>
              </w:rPr>
              <w:t>…</w:t>
            </w:r>
            <w:r w:rsidR="00980900">
              <w:rPr>
                <w:lang w:val="es-ES"/>
              </w:rPr>
              <w:t>”</w:t>
            </w:r>
            <w:r w:rsidR="00A36FF0" w:rsidRPr="00FD514D">
              <w:rPr>
                <w:lang w:val="es-ES"/>
              </w:rPr>
              <w:t xml:space="preserve">. </w:t>
            </w:r>
            <w:r w:rsidR="00755CF3" w:rsidRPr="00FD514D">
              <w:rPr>
                <w:lang w:val="es-ES"/>
              </w:rPr>
              <w:t>Lógicamente</w:t>
            </w:r>
            <w:r w:rsidR="00CD1526" w:rsidRPr="00FD514D">
              <w:rPr>
                <w:lang w:val="es-ES"/>
              </w:rPr>
              <w:t>,</w:t>
            </w:r>
            <w:r w:rsidR="00755CF3" w:rsidRPr="00FD514D">
              <w:rPr>
                <w:lang w:val="es-ES"/>
              </w:rPr>
              <w:t xml:space="preserve"> esto no es aplicable a la presentación de los documentos para las reuniones de la COP (es decir, solo </w:t>
            </w:r>
            <w:r w:rsidR="00755CF3" w:rsidRPr="00FD514D">
              <w:rPr>
                <w:lang w:val="es-ES"/>
              </w:rPr>
              <w:lastRenderedPageBreak/>
              <w:t xml:space="preserve">es aplicable a la reunión del CP en la que </w:t>
            </w:r>
            <w:r w:rsidR="00D448EA" w:rsidRPr="00FD514D">
              <w:rPr>
                <w:lang w:val="es-ES"/>
              </w:rPr>
              <w:t xml:space="preserve">se debaten las propuestas para la siguiente reunión de la COP). </w:t>
            </w:r>
          </w:p>
        </w:tc>
        <w:tc>
          <w:tcPr>
            <w:tcW w:w="3332" w:type="dxa"/>
          </w:tcPr>
          <w:p w14:paraId="61A29C71" w14:textId="77777777" w:rsidR="00A20531" w:rsidRPr="00FD514D" w:rsidRDefault="00DC3500" w:rsidP="00541CB6">
            <w:pPr>
              <w:pStyle w:val="NoSpacing"/>
              <w:ind w:left="0" w:firstLine="0"/>
              <w:rPr>
                <w:lang w:val="es-ES"/>
              </w:rPr>
            </w:pPr>
            <w:r w:rsidRPr="00FD514D">
              <w:rPr>
                <w:lang w:val="es-ES"/>
              </w:rPr>
              <w:lastRenderedPageBreak/>
              <w:t xml:space="preserve">Artículos </w:t>
            </w:r>
            <w:r w:rsidR="00A36FF0" w:rsidRPr="00FD514D">
              <w:rPr>
                <w:lang w:val="es-ES"/>
              </w:rPr>
              <w:t>5.1/34.2</w:t>
            </w:r>
            <w:r w:rsidR="00A20531" w:rsidRPr="00FD514D">
              <w:rPr>
                <w:lang w:val="es-ES"/>
              </w:rPr>
              <w:t>:</w:t>
            </w:r>
          </w:p>
          <w:p w14:paraId="36587AE3" w14:textId="3EF6D525" w:rsidR="00A36FF0" w:rsidRPr="00FD514D" w:rsidRDefault="002C0097" w:rsidP="00541CB6">
            <w:pPr>
              <w:pStyle w:val="NoSpacing"/>
              <w:ind w:left="0" w:firstLine="0"/>
              <w:rPr>
                <w:lang w:val="es-ES"/>
              </w:rPr>
            </w:pPr>
            <w:r w:rsidRPr="00FD514D">
              <w:rPr>
                <w:lang w:val="es-ES"/>
              </w:rPr>
              <w:t>El</w:t>
            </w:r>
            <w:r w:rsidR="00A20531" w:rsidRPr="00FD514D">
              <w:rPr>
                <w:lang w:val="es-ES"/>
              </w:rPr>
              <w:t xml:space="preserve"> </w:t>
            </w:r>
            <w:r w:rsidRPr="00FD514D">
              <w:rPr>
                <w:lang w:val="es-ES"/>
              </w:rPr>
              <w:t xml:space="preserve">reglamento </w:t>
            </w:r>
            <w:r w:rsidR="00A20531" w:rsidRPr="00FD514D">
              <w:rPr>
                <w:lang w:val="es-ES"/>
              </w:rPr>
              <w:t xml:space="preserve">debería incluir </w:t>
            </w:r>
            <w:r w:rsidR="00257B3E" w:rsidRPr="00FD514D">
              <w:rPr>
                <w:lang w:val="es-ES"/>
              </w:rPr>
              <w:t xml:space="preserve">unos </w:t>
            </w:r>
            <w:r w:rsidR="00DC3500" w:rsidRPr="00FD514D">
              <w:rPr>
                <w:lang w:val="es-ES"/>
              </w:rPr>
              <w:t>artículos bien definidos</w:t>
            </w:r>
            <w:r w:rsidR="00A20531" w:rsidRPr="00FD514D">
              <w:rPr>
                <w:lang w:val="es-ES"/>
              </w:rPr>
              <w:t xml:space="preserve">, titulados (por ejemplo) </w:t>
            </w:r>
            <w:r w:rsidR="00980900">
              <w:rPr>
                <w:lang w:val="es-ES"/>
              </w:rPr>
              <w:t>“</w:t>
            </w:r>
            <w:r w:rsidR="005943A7" w:rsidRPr="00FD514D">
              <w:rPr>
                <w:lang w:val="es-ES"/>
              </w:rPr>
              <w:t>Presentación de propuestas</w:t>
            </w:r>
            <w:r w:rsidR="00980900">
              <w:rPr>
                <w:lang w:val="es-ES"/>
              </w:rPr>
              <w:t>”</w:t>
            </w:r>
            <w:r w:rsidR="005943A7" w:rsidRPr="00FD514D">
              <w:rPr>
                <w:lang w:val="es-ES"/>
              </w:rPr>
              <w:t xml:space="preserve"> y </w:t>
            </w:r>
            <w:r w:rsidR="00980900">
              <w:rPr>
                <w:lang w:val="es-ES"/>
              </w:rPr>
              <w:t>“</w:t>
            </w:r>
            <w:r w:rsidR="00257B3E" w:rsidRPr="00FD514D">
              <w:rPr>
                <w:lang w:val="es-ES"/>
              </w:rPr>
              <w:t>Redacción de propuestas</w:t>
            </w:r>
            <w:r w:rsidR="00980900">
              <w:rPr>
                <w:lang w:val="es-ES"/>
              </w:rPr>
              <w:t>”</w:t>
            </w:r>
            <w:r w:rsidR="00257B3E" w:rsidRPr="00FD514D">
              <w:rPr>
                <w:lang w:val="es-ES"/>
              </w:rPr>
              <w:t xml:space="preserve">, </w:t>
            </w:r>
            <w:r w:rsidRPr="00FD514D">
              <w:rPr>
                <w:lang w:val="es-ES"/>
              </w:rPr>
              <w:t>r</w:t>
            </w:r>
            <w:r w:rsidR="00257B3E" w:rsidRPr="00FD514D">
              <w:rPr>
                <w:lang w:val="es-ES"/>
              </w:rPr>
              <w:t>espectivamente.</w:t>
            </w:r>
            <w:r w:rsidR="00DC3500" w:rsidRPr="00FD514D">
              <w:rPr>
                <w:lang w:val="es-ES"/>
              </w:rPr>
              <w:t xml:space="preserve"> </w:t>
            </w:r>
            <w:r w:rsidR="00257B3E" w:rsidRPr="00FD514D">
              <w:rPr>
                <w:lang w:val="es-ES"/>
              </w:rPr>
              <w:t xml:space="preserve">Cabe señalar que esto no modificaría el contenido del </w:t>
            </w:r>
            <w:r w:rsidR="001901F3" w:rsidRPr="00FD514D">
              <w:rPr>
                <w:lang w:val="es-ES"/>
              </w:rPr>
              <w:t>r</w:t>
            </w:r>
            <w:r w:rsidR="00257B3E" w:rsidRPr="00FD514D">
              <w:rPr>
                <w:lang w:val="es-ES"/>
              </w:rPr>
              <w:t>eglamento actual</w:t>
            </w:r>
            <w:r w:rsidR="00660FB9" w:rsidRPr="00FD514D">
              <w:rPr>
                <w:lang w:val="es-ES"/>
              </w:rPr>
              <w:t>; más bien serviría para aclarar su significado y evitar confusi</w:t>
            </w:r>
            <w:r w:rsidR="00884931" w:rsidRPr="00FD514D">
              <w:rPr>
                <w:lang w:val="es-ES"/>
              </w:rPr>
              <w:t>o</w:t>
            </w:r>
            <w:r w:rsidR="00660FB9" w:rsidRPr="00FD514D">
              <w:rPr>
                <w:lang w:val="es-ES"/>
              </w:rPr>
              <w:t>n</w:t>
            </w:r>
            <w:r w:rsidR="00884931" w:rsidRPr="00FD514D">
              <w:rPr>
                <w:lang w:val="es-ES"/>
              </w:rPr>
              <w:t>es</w:t>
            </w:r>
            <w:r w:rsidR="00660FB9" w:rsidRPr="00FD514D">
              <w:rPr>
                <w:lang w:val="es-ES"/>
              </w:rPr>
              <w:t>.</w:t>
            </w:r>
            <w:r w:rsidR="00502459" w:rsidRPr="00FD514D">
              <w:rPr>
                <w:lang w:val="es-ES"/>
              </w:rPr>
              <w:t xml:space="preserve"> </w:t>
            </w:r>
            <w:r w:rsidR="00884931" w:rsidRPr="00FD514D">
              <w:rPr>
                <w:lang w:val="es-ES"/>
              </w:rPr>
              <w:t>En el mejor de los casos,</w:t>
            </w:r>
            <w:r w:rsidR="00707EC2" w:rsidRPr="00FD514D">
              <w:rPr>
                <w:lang w:val="es-ES"/>
              </w:rPr>
              <w:t xml:space="preserve"> esto</w:t>
            </w:r>
            <w:r w:rsidR="00884931" w:rsidRPr="00FD514D">
              <w:rPr>
                <w:lang w:val="es-ES"/>
              </w:rPr>
              <w:t xml:space="preserve"> </w:t>
            </w:r>
            <w:r w:rsidR="00707EC2" w:rsidRPr="00FD514D">
              <w:rPr>
                <w:lang w:val="es-ES"/>
              </w:rPr>
              <w:t xml:space="preserve">ayudaría a diferenciar </w:t>
            </w:r>
            <w:r w:rsidR="00245219" w:rsidRPr="00FD514D">
              <w:rPr>
                <w:lang w:val="es-ES"/>
              </w:rPr>
              <w:t xml:space="preserve">entre </w:t>
            </w:r>
            <w:r w:rsidR="007C75D0" w:rsidRPr="00FD514D">
              <w:rPr>
                <w:lang w:val="es-ES"/>
              </w:rPr>
              <w:t xml:space="preserve">las dos acepciones del término </w:t>
            </w:r>
            <w:r w:rsidR="00855E6E">
              <w:rPr>
                <w:lang w:val="es-ES"/>
              </w:rPr>
              <w:t>‘</w:t>
            </w:r>
            <w:r w:rsidR="007C75D0" w:rsidRPr="00FD514D">
              <w:rPr>
                <w:lang w:val="es-ES"/>
              </w:rPr>
              <w:t>presentar</w:t>
            </w:r>
            <w:r w:rsidR="00855E6E">
              <w:rPr>
                <w:lang w:val="es-ES"/>
              </w:rPr>
              <w:t>’</w:t>
            </w:r>
            <w:r w:rsidR="00F830D0" w:rsidRPr="00FD514D">
              <w:rPr>
                <w:lang w:val="es-ES"/>
              </w:rPr>
              <w:t xml:space="preserve"> una propuesta</w:t>
            </w:r>
            <w:r w:rsidR="005728F3" w:rsidRPr="00FD514D">
              <w:rPr>
                <w:lang w:val="es-ES"/>
              </w:rPr>
              <w:t>,</w:t>
            </w:r>
            <w:r w:rsidR="00F830D0" w:rsidRPr="00FD514D">
              <w:rPr>
                <w:lang w:val="es-ES"/>
              </w:rPr>
              <w:t xml:space="preserve"> al </w:t>
            </w:r>
            <w:r w:rsidR="005728F3" w:rsidRPr="00FD514D">
              <w:rPr>
                <w:lang w:val="es-ES"/>
              </w:rPr>
              <w:t xml:space="preserve">distinguir </w:t>
            </w:r>
            <w:r w:rsidR="00D658A6" w:rsidRPr="00FD514D">
              <w:rPr>
                <w:lang w:val="es-ES"/>
              </w:rPr>
              <w:t xml:space="preserve">entre </w:t>
            </w:r>
            <w:r w:rsidR="001901F3" w:rsidRPr="00FD514D">
              <w:rPr>
                <w:lang w:val="es-ES"/>
              </w:rPr>
              <w:t>la</w:t>
            </w:r>
            <w:r w:rsidR="00F14AD9" w:rsidRPr="00FD514D">
              <w:rPr>
                <w:lang w:val="es-ES"/>
              </w:rPr>
              <w:t xml:space="preserve"> acepción</w:t>
            </w:r>
            <w:r w:rsidR="00C8682F" w:rsidRPr="00FD514D">
              <w:rPr>
                <w:lang w:val="es-ES"/>
              </w:rPr>
              <w:t>,</w:t>
            </w:r>
            <w:r w:rsidR="006A2828" w:rsidRPr="00FD514D">
              <w:rPr>
                <w:lang w:val="es-ES"/>
              </w:rPr>
              <w:t xml:space="preserve"> en</w:t>
            </w:r>
            <w:r w:rsidR="005728F3" w:rsidRPr="00FD514D">
              <w:rPr>
                <w:lang w:val="es-ES"/>
              </w:rPr>
              <w:t xml:space="preserve"> sentido administrativo</w:t>
            </w:r>
            <w:r w:rsidR="00F14AD9" w:rsidRPr="00FD514D">
              <w:rPr>
                <w:lang w:val="es-ES"/>
              </w:rPr>
              <w:t>,</w:t>
            </w:r>
            <w:r w:rsidR="005728F3" w:rsidRPr="00FD514D">
              <w:rPr>
                <w:lang w:val="es-ES"/>
              </w:rPr>
              <w:t xml:space="preserve"> </w:t>
            </w:r>
            <w:r w:rsidR="00D658A6" w:rsidRPr="00FD514D">
              <w:rPr>
                <w:lang w:val="es-ES"/>
              </w:rPr>
              <w:t xml:space="preserve">de hacer llegar </w:t>
            </w:r>
            <w:r w:rsidR="00F14AD9" w:rsidRPr="00FD514D">
              <w:rPr>
                <w:lang w:val="es-ES"/>
              </w:rPr>
              <w:t>una</w:t>
            </w:r>
            <w:r w:rsidR="00D658A6" w:rsidRPr="00FD514D">
              <w:rPr>
                <w:lang w:val="es-ES"/>
              </w:rPr>
              <w:t xml:space="preserve"> propuesta al CP</w:t>
            </w:r>
            <w:r w:rsidR="00C8682F" w:rsidRPr="00FD514D">
              <w:rPr>
                <w:lang w:val="es-ES"/>
              </w:rPr>
              <w:t>,</w:t>
            </w:r>
            <w:r w:rsidR="006A2828" w:rsidRPr="00FD514D">
              <w:rPr>
                <w:lang w:val="es-ES"/>
              </w:rPr>
              <w:t xml:space="preserve"> y </w:t>
            </w:r>
            <w:r w:rsidR="00F14AD9" w:rsidRPr="00FD514D">
              <w:rPr>
                <w:lang w:val="es-ES"/>
              </w:rPr>
              <w:t>la de patrocinar una propuesta.</w:t>
            </w:r>
            <w:r w:rsidR="00502459" w:rsidRPr="00FD514D">
              <w:rPr>
                <w:lang w:val="es-ES"/>
              </w:rPr>
              <w:t xml:space="preserve"> </w:t>
            </w:r>
          </w:p>
          <w:p w14:paraId="7B6F1627" w14:textId="77777777" w:rsidR="00A36FF0" w:rsidRPr="00FD514D" w:rsidRDefault="00A36FF0" w:rsidP="00541CB6">
            <w:pPr>
              <w:pStyle w:val="NoSpacing"/>
              <w:ind w:left="0" w:firstLine="0"/>
              <w:rPr>
                <w:lang w:val="es-ES"/>
              </w:rPr>
            </w:pPr>
          </w:p>
          <w:p w14:paraId="6FB1BF24" w14:textId="0FC29263" w:rsidR="00A36FF0" w:rsidRPr="00FD514D" w:rsidRDefault="00242B0A" w:rsidP="005318EA">
            <w:pPr>
              <w:pStyle w:val="NoSpacing"/>
              <w:ind w:left="0" w:firstLine="0"/>
              <w:rPr>
                <w:lang w:val="es-ES"/>
              </w:rPr>
            </w:pPr>
            <w:r w:rsidRPr="00FD514D">
              <w:rPr>
                <w:lang w:val="es-ES"/>
              </w:rPr>
              <w:t>Artículo</w:t>
            </w:r>
            <w:r w:rsidR="00A36FF0" w:rsidRPr="00FD514D">
              <w:rPr>
                <w:lang w:val="es-ES"/>
              </w:rPr>
              <w:t xml:space="preserve"> 5.2: </w:t>
            </w:r>
            <w:r w:rsidR="00C8682F" w:rsidRPr="00FD514D">
              <w:rPr>
                <w:lang w:val="es-ES"/>
              </w:rPr>
              <w:t>Se debe s</w:t>
            </w:r>
            <w:r w:rsidR="00512036" w:rsidRPr="00FD514D">
              <w:rPr>
                <w:lang w:val="es-ES"/>
              </w:rPr>
              <w:t>uprimir</w:t>
            </w:r>
            <w:r w:rsidR="00C8682F" w:rsidRPr="00FD514D">
              <w:rPr>
                <w:lang w:val="es-ES"/>
              </w:rPr>
              <w:t xml:space="preserve"> este artículo</w:t>
            </w:r>
            <w:r w:rsidR="00245219" w:rsidRPr="00FD514D">
              <w:rPr>
                <w:lang w:val="es-ES"/>
              </w:rPr>
              <w:t>,</w:t>
            </w:r>
            <w:r w:rsidR="00793A21" w:rsidRPr="00FD514D">
              <w:rPr>
                <w:lang w:val="es-ES"/>
              </w:rPr>
              <w:t xml:space="preserve"> </w:t>
            </w:r>
            <w:r w:rsidR="00E267C9" w:rsidRPr="00FD514D">
              <w:rPr>
                <w:lang w:val="es-ES"/>
              </w:rPr>
              <w:t>e incluir</w:t>
            </w:r>
            <w:r w:rsidR="00C8682F" w:rsidRPr="00FD514D">
              <w:rPr>
                <w:lang w:val="es-ES"/>
              </w:rPr>
              <w:t>lo</w:t>
            </w:r>
            <w:r w:rsidR="00E267C9" w:rsidRPr="00FD514D">
              <w:rPr>
                <w:lang w:val="es-ES"/>
              </w:rPr>
              <w:t xml:space="preserve"> en el</w:t>
            </w:r>
            <w:r w:rsidR="00793A21" w:rsidRPr="00FD514D">
              <w:rPr>
                <w:lang w:val="es-ES"/>
              </w:rPr>
              <w:t xml:space="preserve"> </w:t>
            </w:r>
            <w:r w:rsidR="00C8682F" w:rsidRPr="00FD514D">
              <w:rPr>
                <w:lang w:val="es-ES"/>
              </w:rPr>
              <w:t>r</w:t>
            </w:r>
            <w:r w:rsidR="00793A21" w:rsidRPr="00FD514D">
              <w:rPr>
                <w:lang w:val="es-ES"/>
              </w:rPr>
              <w:t xml:space="preserve">eglamento </w:t>
            </w:r>
            <w:r w:rsidR="00E267C9" w:rsidRPr="00FD514D">
              <w:rPr>
                <w:lang w:val="es-ES"/>
              </w:rPr>
              <w:t xml:space="preserve">aplicable a </w:t>
            </w:r>
            <w:r w:rsidR="00793A21" w:rsidRPr="00FD514D">
              <w:rPr>
                <w:lang w:val="es-ES"/>
              </w:rPr>
              <w:t>los órganos subsidiarios.</w:t>
            </w:r>
            <w:r w:rsidR="00502459" w:rsidRPr="00FD514D">
              <w:rPr>
                <w:lang w:val="es-ES"/>
              </w:rPr>
              <w:t xml:space="preserve"> </w:t>
            </w:r>
            <w:r w:rsidR="00E267C9" w:rsidRPr="00FD514D">
              <w:rPr>
                <w:lang w:val="es-ES"/>
              </w:rPr>
              <w:t>Si las Partes efectivamente desea</w:t>
            </w:r>
            <w:r w:rsidR="00D37033" w:rsidRPr="00FD514D">
              <w:rPr>
                <w:lang w:val="es-ES"/>
              </w:rPr>
              <w:t>se</w:t>
            </w:r>
            <w:r w:rsidR="00E267C9" w:rsidRPr="00FD514D">
              <w:rPr>
                <w:lang w:val="es-ES"/>
              </w:rPr>
              <w:t>n que todas las propuestas sean examin</w:t>
            </w:r>
            <w:r w:rsidR="005F134D" w:rsidRPr="00FD514D">
              <w:rPr>
                <w:lang w:val="es-ES"/>
              </w:rPr>
              <w:t xml:space="preserve">adas por el CP antes de ser examinadas por la COP, esto se debería estipular claramente en el </w:t>
            </w:r>
            <w:r w:rsidR="00C8682F" w:rsidRPr="00FD514D">
              <w:rPr>
                <w:lang w:val="es-ES"/>
              </w:rPr>
              <w:t>r</w:t>
            </w:r>
            <w:r w:rsidR="005F134D" w:rsidRPr="00FD514D">
              <w:rPr>
                <w:lang w:val="es-ES"/>
              </w:rPr>
              <w:t xml:space="preserve">eglamento. </w:t>
            </w:r>
          </w:p>
          <w:p w14:paraId="10FEB45A" w14:textId="77777777" w:rsidR="008E2738" w:rsidRPr="00FD514D" w:rsidRDefault="008E2738" w:rsidP="005318EA">
            <w:pPr>
              <w:pStyle w:val="NoSpacing"/>
              <w:ind w:left="0" w:firstLine="0"/>
              <w:rPr>
                <w:lang w:val="es-ES"/>
              </w:rPr>
            </w:pPr>
          </w:p>
          <w:p w14:paraId="1659A64E" w14:textId="77777777" w:rsidR="008E2738" w:rsidRPr="00FD514D" w:rsidRDefault="005F134D" w:rsidP="005316BF">
            <w:pPr>
              <w:pStyle w:val="NoSpacing"/>
              <w:ind w:left="0" w:firstLine="0"/>
              <w:rPr>
                <w:lang w:val="es-ES"/>
              </w:rPr>
            </w:pPr>
            <w:r w:rsidRPr="00FD514D">
              <w:rPr>
                <w:lang w:val="es-ES"/>
              </w:rPr>
              <w:t xml:space="preserve">Como alternativa, se podría </w:t>
            </w:r>
            <w:r w:rsidR="003B0A7C" w:rsidRPr="00FD514D">
              <w:rPr>
                <w:lang w:val="es-ES"/>
              </w:rPr>
              <w:lastRenderedPageBreak/>
              <w:t>plantear</w:t>
            </w:r>
            <w:r w:rsidRPr="00FD514D">
              <w:rPr>
                <w:lang w:val="es-ES"/>
              </w:rPr>
              <w:t xml:space="preserve"> </w:t>
            </w:r>
            <w:r w:rsidR="003B0A7C" w:rsidRPr="00FD514D">
              <w:rPr>
                <w:lang w:val="es-ES"/>
              </w:rPr>
              <w:t xml:space="preserve">si es necesario que todas las propuestas sean revisadas por el CP antes de ser presentadas a la Secretaría para </w:t>
            </w:r>
            <w:r w:rsidR="00C8682F" w:rsidRPr="00FD514D">
              <w:rPr>
                <w:lang w:val="es-ES"/>
              </w:rPr>
              <w:t xml:space="preserve">que </w:t>
            </w:r>
            <w:r w:rsidR="00310E2B" w:rsidRPr="00FD514D">
              <w:rPr>
                <w:lang w:val="es-ES"/>
              </w:rPr>
              <w:t>sean</w:t>
            </w:r>
            <w:r w:rsidR="003B0A7C" w:rsidRPr="00FD514D">
              <w:rPr>
                <w:lang w:val="es-ES"/>
              </w:rPr>
              <w:t xml:space="preserve"> examinadas por la COP.</w:t>
            </w:r>
          </w:p>
        </w:tc>
      </w:tr>
      <w:tr w:rsidR="00F322DF" w:rsidRPr="00070719" w14:paraId="0D7E6A54" w14:textId="77777777" w:rsidTr="00980900">
        <w:tc>
          <w:tcPr>
            <w:tcW w:w="578" w:type="dxa"/>
          </w:tcPr>
          <w:p w14:paraId="2BF278F6" w14:textId="77777777" w:rsidR="00F322DF" w:rsidRPr="00FD514D" w:rsidRDefault="00F322DF" w:rsidP="0078688F">
            <w:pPr>
              <w:pStyle w:val="NoSpacing"/>
              <w:ind w:left="0" w:firstLine="0"/>
              <w:rPr>
                <w:lang w:val="es-ES"/>
              </w:rPr>
            </w:pPr>
            <w:r w:rsidRPr="00FD514D">
              <w:rPr>
                <w:lang w:val="es-ES"/>
              </w:rPr>
              <w:lastRenderedPageBreak/>
              <w:t>4</w:t>
            </w:r>
          </w:p>
        </w:tc>
        <w:tc>
          <w:tcPr>
            <w:tcW w:w="1939" w:type="dxa"/>
          </w:tcPr>
          <w:p w14:paraId="10175188" w14:textId="77777777" w:rsidR="00F322DF" w:rsidRPr="00FD514D" w:rsidRDefault="00242B0A" w:rsidP="0078688F">
            <w:pPr>
              <w:pStyle w:val="NoSpacing"/>
              <w:ind w:left="0" w:firstLine="0"/>
              <w:rPr>
                <w:lang w:val="es-ES"/>
              </w:rPr>
            </w:pPr>
            <w:r w:rsidRPr="00FD514D">
              <w:rPr>
                <w:lang w:val="es-ES"/>
              </w:rPr>
              <w:t>Artículo</w:t>
            </w:r>
            <w:r w:rsidR="000C061B" w:rsidRPr="00FD514D">
              <w:rPr>
                <w:lang w:val="es-ES"/>
              </w:rPr>
              <w:t xml:space="preserve"> </w:t>
            </w:r>
            <w:r w:rsidR="00F322DF" w:rsidRPr="00FD514D">
              <w:rPr>
                <w:lang w:val="es-ES"/>
              </w:rPr>
              <w:t>4</w:t>
            </w:r>
            <w:r w:rsidR="00F035C5" w:rsidRPr="00FD514D">
              <w:rPr>
                <w:lang w:val="es-ES"/>
              </w:rPr>
              <w:t>:</w:t>
            </w:r>
            <w:r w:rsidR="00F322DF" w:rsidRPr="00FD514D">
              <w:rPr>
                <w:lang w:val="es-ES"/>
              </w:rPr>
              <w:t xml:space="preserve"> </w:t>
            </w:r>
            <w:r w:rsidR="00C50C31" w:rsidRPr="00FD514D">
              <w:rPr>
                <w:lang w:val="es-ES"/>
              </w:rPr>
              <w:t>Fechas de las reuniones</w:t>
            </w:r>
            <w:r w:rsidR="00502459" w:rsidRPr="00FD514D">
              <w:rPr>
                <w:lang w:val="es-ES"/>
              </w:rPr>
              <w:t xml:space="preserve"> </w:t>
            </w:r>
          </w:p>
        </w:tc>
        <w:tc>
          <w:tcPr>
            <w:tcW w:w="3331" w:type="dxa"/>
          </w:tcPr>
          <w:p w14:paraId="699F91EA" w14:textId="166F395B" w:rsidR="00F322DF" w:rsidRPr="00FD514D" w:rsidRDefault="00C50C31" w:rsidP="0091627B">
            <w:pPr>
              <w:pStyle w:val="NoSpacing"/>
              <w:ind w:left="0" w:firstLine="0"/>
              <w:rPr>
                <w:lang w:val="es-ES"/>
              </w:rPr>
            </w:pPr>
            <w:r w:rsidRPr="00FD514D">
              <w:rPr>
                <w:lang w:val="es-ES"/>
              </w:rPr>
              <w:t>E</w:t>
            </w:r>
            <w:r w:rsidR="003142C3" w:rsidRPr="00FD514D">
              <w:rPr>
                <w:lang w:val="es-ES"/>
              </w:rPr>
              <w:t>n e</w:t>
            </w:r>
            <w:r w:rsidRPr="00FD514D">
              <w:rPr>
                <w:lang w:val="es-ES"/>
              </w:rPr>
              <w:t>l</w:t>
            </w:r>
            <w:r w:rsidR="00660EE9" w:rsidRPr="00FD514D">
              <w:rPr>
                <w:lang w:val="es-ES"/>
              </w:rPr>
              <w:t xml:space="preserve"> </w:t>
            </w:r>
            <w:r w:rsidR="00C27B30">
              <w:rPr>
                <w:lang w:val="es-ES"/>
              </w:rPr>
              <w:t>artículo</w:t>
            </w:r>
            <w:r w:rsidR="00F322DF" w:rsidRPr="00FD514D">
              <w:rPr>
                <w:lang w:val="es-ES"/>
              </w:rPr>
              <w:t xml:space="preserve"> 4.3, </w:t>
            </w:r>
            <w:r w:rsidRPr="00FD514D">
              <w:rPr>
                <w:lang w:val="es-ES"/>
              </w:rPr>
              <w:t xml:space="preserve">que incluye disposiciones sobre la celebración de las reuniones extraordinarias, </w:t>
            </w:r>
            <w:r w:rsidR="003142C3" w:rsidRPr="00FD514D">
              <w:rPr>
                <w:lang w:val="es-ES"/>
              </w:rPr>
              <w:t>se prevé</w:t>
            </w:r>
            <w:r w:rsidR="0097078C" w:rsidRPr="00FD514D">
              <w:rPr>
                <w:lang w:val="es-ES"/>
              </w:rPr>
              <w:t>n</w:t>
            </w:r>
            <w:r w:rsidR="003142C3" w:rsidRPr="00FD514D">
              <w:rPr>
                <w:lang w:val="es-ES"/>
              </w:rPr>
              <w:t xml:space="preserve"> dos situaciones en las que se puede convocar una reunión extraordinaria</w:t>
            </w:r>
            <w:r w:rsidR="00B323AB" w:rsidRPr="00FD514D">
              <w:rPr>
                <w:lang w:val="es-ES"/>
              </w:rPr>
              <w:t>. La primera</w:t>
            </w:r>
            <w:r w:rsidR="00235B0F" w:rsidRPr="00FD514D">
              <w:rPr>
                <w:lang w:val="es-ES"/>
              </w:rPr>
              <w:t>,</w:t>
            </w:r>
            <w:r w:rsidR="003142C3" w:rsidRPr="00FD514D">
              <w:rPr>
                <w:lang w:val="es-ES"/>
              </w:rPr>
              <w:t xml:space="preserve"> a petición </w:t>
            </w:r>
            <w:r w:rsidR="00EC374D" w:rsidRPr="00FD514D">
              <w:rPr>
                <w:lang w:val="es-ES"/>
              </w:rPr>
              <w:t>de cualquier Parte Contratante,</w:t>
            </w:r>
            <w:r w:rsidR="00B40163" w:rsidRPr="00FD514D">
              <w:rPr>
                <w:lang w:val="es-ES"/>
              </w:rPr>
              <w:t xml:space="preserve"> siempre que, dentro de los seis meses siguientes a la fecha de dicha comunicación, la solicitud reciba el apoyo de por lo menos un tercio de las Partes en una </w:t>
            </w:r>
            <w:r w:rsidR="00DC75EB" w:rsidRPr="00FD514D">
              <w:rPr>
                <w:lang w:val="es-ES"/>
              </w:rPr>
              <w:t>votación</w:t>
            </w:r>
            <w:r w:rsidR="00B40163" w:rsidRPr="00FD514D">
              <w:rPr>
                <w:lang w:val="es-ES"/>
              </w:rPr>
              <w:t xml:space="preserve"> organizada por la </w:t>
            </w:r>
            <w:r w:rsidR="00DC75EB" w:rsidRPr="00FD514D">
              <w:rPr>
                <w:lang w:val="es-ES"/>
              </w:rPr>
              <w:t>Secretaría</w:t>
            </w:r>
            <w:r w:rsidR="00062097" w:rsidRPr="00FD514D">
              <w:rPr>
                <w:lang w:val="es-ES"/>
              </w:rPr>
              <w:t>;</w:t>
            </w:r>
            <w:r w:rsidR="00502459" w:rsidRPr="00FD514D">
              <w:rPr>
                <w:lang w:val="es-ES"/>
              </w:rPr>
              <w:t xml:space="preserve"> </w:t>
            </w:r>
            <w:r w:rsidR="007A18F7" w:rsidRPr="00FD514D">
              <w:rPr>
                <w:lang w:val="es-ES"/>
              </w:rPr>
              <w:t xml:space="preserve">y la segunda, </w:t>
            </w:r>
            <w:r w:rsidR="000C029E" w:rsidRPr="00FD514D">
              <w:rPr>
                <w:lang w:val="es-ES"/>
              </w:rPr>
              <w:t>cuando la Conferencia de las Partes lo considere necesario</w:t>
            </w:r>
            <w:r w:rsidR="00062097" w:rsidRPr="00FD514D">
              <w:rPr>
                <w:lang w:val="es-ES"/>
              </w:rPr>
              <w:t>.</w:t>
            </w:r>
            <w:r w:rsidR="000C029E" w:rsidRPr="00FD514D" w:rsidDel="00B40163">
              <w:rPr>
                <w:lang w:val="es-ES"/>
              </w:rPr>
              <w:t xml:space="preserve"> </w:t>
            </w:r>
            <w:r w:rsidR="002618FD" w:rsidRPr="00FD514D">
              <w:rPr>
                <w:lang w:val="es-ES"/>
              </w:rPr>
              <w:t xml:space="preserve">No obstante, esta segunda opción </w:t>
            </w:r>
            <w:r w:rsidR="00CF27E3" w:rsidRPr="00FD514D">
              <w:rPr>
                <w:lang w:val="es-ES"/>
              </w:rPr>
              <w:t xml:space="preserve">no es compatible con el </w:t>
            </w:r>
            <w:r w:rsidR="00422501" w:rsidRPr="00FD514D">
              <w:rPr>
                <w:lang w:val="es-ES"/>
              </w:rPr>
              <w:t>A</w:t>
            </w:r>
            <w:r w:rsidR="002618FD" w:rsidRPr="00FD514D">
              <w:rPr>
                <w:lang w:val="es-ES"/>
              </w:rPr>
              <w:t xml:space="preserve">rtículo </w:t>
            </w:r>
            <w:r w:rsidR="00F322DF" w:rsidRPr="00FD514D">
              <w:rPr>
                <w:lang w:val="es-ES"/>
              </w:rPr>
              <w:t xml:space="preserve">6 </w:t>
            </w:r>
            <w:r w:rsidR="002618FD" w:rsidRPr="00FD514D">
              <w:rPr>
                <w:lang w:val="es-ES"/>
              </w:rPr>
              <w:t>de la Convención que dispone que las reuniones extraordinarias</w:t>
            </w:r>
            <w:r w:rsidR="00502459" w:rsidRPr="00FD514D">
              <w:rPr>
                <w:lang w:val="es-ES"/>
              </w:rPr>
              <w:t xml:space="preserve"> </w:t>
            </w:r>
            <w:r w:rsidR="00C86DF6" w:rsidRPr="00FD514D">
              <w:rPr>
                <w:lang w:val="es-ES"/>
              </w:rPr>
              <w:t xml:space="preserve">se convocarán </w:t>
            </w:r>
            <w:r w:rsidR="00980900">
              <w:rPr>
                <w:lang w:val="es-ES"/>
              </w:rPr>
              <w:t>“</w:t>
            </w:r>
            <w:r w:rsidR="00EF1301" w:rsidRPr="00FD514D">
              <w:rPr>
                <w:lang w:val="es-ES"/>
              </w:rPr>
              <w:t>a petición por escrito de por los menos un tercio de las Partes Contratantes</w:t>
            </w:r>
            <w:r w:rsidR="00980900">
              <w:rPr>
                <w:rFonts w:cs="Arial"/>
                <w:lang w:val="es-ES"/>
              </w:rPr>
              <w:t>”</w:t>
            </w:r>
            <w:r w:rsidR="00C86DF6" w:rsidRPr="00FD514D">
              <w:rPr>
                <w:lang w:val="es-ES"/>
              </w:rPr>
              <w:t xml:space="preserve">. </w:t>
            </w:r>
          </w:p>
        </w:tc>
        <w:tc>
          <w:tcPr>
            <w:tcW w:w="3332" w:type="dxa"/>
          </w:tcPr>
          <w:p w14:paraId="29ADB119" w14:textId="30BB3A0D" w:rsidR="00F322DF" w:rsidRPr="00FD514D" w:rsidRDefault="003B0A7C" w:rsidP="0001341E">
            <w:pPr>
              <w:pStyle w:val="NormalWeb"/>
              <w:spacing w:before="100" w:beforeAutospacing="1" w:after="100" w:afterAutospacing="1"/>
              <w:ind w:left="0" w:firstLine="0"/>
              <w:rPr>
                <w:rFonts w:asciiTheme="minorHAnsi" w:eastAsiaTheme="minorHAnsi" w:hAnsiTheme="minorHAnsi"/>
                <w:sz w:val="22"/>
                <w:szCs w:val="22"/>
                <w:lang w:val="es-ES" w:eastAsia="fr-FR"/>
              </w:rPr>
            </w:pPr>
            <w:r w:rsidRPr="00FD514D">
              <w:rPr>
                <w:rFonts w:asciiTheme="minorHAnsi" w:hAnsiTheme="minorHAnsi"/>
                <w:sz w:val="22"/>
                <w:szCs w:val="22"/>
                <w:lang w:val="es-ES"/>
              </w:rPr>
              <w:t>Modificar el</w:t>
            </w:r>
            <w:r w:rsidR="00DA2149" w:rsidRPr="00FD514D">
              <w:rPr>
                <w:rFonts w:asciiTheme="minorHAnsi" w:hAnsiTheme="minorHAnsi"/>
                <w:sz w:val="22"/>
                <w:szCs w:val="22"/>
                <w:lang w:val="es-ES"/>
              </w:rPr>
              <w:t xml:space="preserve"> </w:t>
            </w:r>
            <w:r w:rsidR="00DC75EB" w:rsidRPr="00FD514D">
              <w:rPr>
                <w:rFonts w:asciiTheme="minorHAnsi" w:hAnsiTheme="minorHAnsi"/>
                <w:sz w:val="22"/>
                <w:szCs w:val="22"/>
                <w:lang w:val="es-ES"/>
              </w:rPr>
              <w:t>a</w:t>
            </w:r>
            <w:r w:rsidR="00242B0A" w:rsidRPr="00FD514D">
              <w:rPr>
                <w:rFonts w:asciiTheme="minorHAnsi" w:hAnsiTheme="minorHAnsi"/>
                <w:sz w:val="22"/>
                <w:szCs w:val="22"/>
                <w:lang w:val="es-ES"/>
              </w:rPr>
              <w:t>rtículo</w:t>
            </w:r>
            <w:r w:rsidR="00DA2149" w:rsidRPr="00FD514D">
              <w:rPr>
                <w:rFonts w:asciiTheme="minorHAnsi" w:hAnsiTheme="minorHAnsi"/>
                <w:sz w:val="22"/>
                <w:szCs w:val="22"/>
                <w:lang w:val="es-ES"/>
              </w:rPr>
              <w:t xml:space="preserve"> 4.3 </w:t>
            </w:r>
            <w:r w:rsidRPr="00FD514D">
              <w:rPr>
                <w:rFonts w:asciiTheme="minorHAnsi" w:hAnsiTheme="minorHAnsi"/>
                <w:sz w:val="22"/>
                <w:szCs w:val="22"/>
                <w:lang w:val="es-ES"/>
              </w:rPr>
              <w:t xml:space="preserve">para que </w:t>
            </w:r>
            <w:r w:rsidR="008176DE" w:rsidRPr="00FD514D">
              <w:rPr>
                <w:rFonts w:asciiTheme="minorHAnsi" w:hAnsiTheme="minorHAnsi"/>
                <w:sz w:val="22"/>
                <w:szCs w:val="22"/>
                <w:lang w:val="es-ES"/>
              </w:rPr>
              <w:t xml:space="preserve">sea </w:t>
            </w:r>
            <w:r w:rsidR="00310E2B" w:rsidRPr="00FD514D">
              <w:rPr>
                <w:rFonts w:asciiTheme="minorHAnsi" w:hAnsiTheme="minorHAnsi"/>
                <w:sz w:val="22"/>
                <w:szCs w:val="22"/>
                <w:lang w:val="es-ES"/>
              </w:rPr>
              <w:t>coherente</w:t>
            </w:r>
            <w:r w:rsidR="008176DE" w:rsidRPr="00FD514D">
              <w:rPr>
                <w:rFonts w:asciiTheme="minorHAnsi" w:hAnsiTheme="minorHAnsi"/>
                <w:sz w:val="22"/>
                <w:szCs w:val="22"/>
                <w:lang w:val="es-ES"/>
              </w:rPr>
              <w:t xml:space="preserve"> con el </w:t>
            </w:r>
            <w:r w:rsidR="00342D4E" w:rsidRPr="00FD514D">
              <w:rPr>
                <w:rFonts w:asciiTheme="minorHAnsi" w:hAnsiTheme="minorHAnsi"/>
                <w:sz w:val="22"/>
                <w:szCs w:val="22"/>
                <w:lang w:val="es-ES"/>
              </w:rPr>
              <w:t>Artículo</w:t>
            </w:r>
            <w:r w:rsidR="00DA2149" w:rsidRPr="00FD514D">
              <w:rPr>
                <w:rFonts w:asciiTheme="minorHAnsi" w:hAnsiTheme="minorHAnsi"/>
                <w:sz w:val="22"/>
                <w:szCs w:val="22"/>
                <w:lang w:val="es-ES"/>
              </w:rPr>
              <w:t xml:space="preserve"> 6 </w:t>
            </w:r>
            <w:r w:rsidR="00342D4E" w:rsidRPr="00FD514D">
              <w:rPr>
                <w:rFonts w:asciiTheme="minorHAnsi" w:hAnsiTheme="minorHAnsi"/>
                <w:sz w:val="22"/>
                <w:szCs w:val="22"/>
                <w:lang w:val="es-ES"/>
              </w:rPr>
              <w:t xml:space="preserve">de la Convención (es decir, suprimir </w:t>
            </w:r>
            <w:r w:rsidR="00980900">
              <w:rPr>
                <w:rFonts w:asciiTheme="minorHAnsi" w:hAnsiTheme="minorHAnsi"/>
                <w:sz w:val="22"/>
                <w:szCs w:val="22"/>
                <w:lang w:val="es-ES"/>
              </w:rPr>
              <w:t>“</w:t>
            </w:r>
            <w:r w:rsidR="00F20D35" w:rsidRPr="00FD514D">
              <w:rPr>
                <w:rFonts w:asciiTheme="minorHAnsi" w:hAnsiTheme="minorHAnsi"/>
                <w:sz w:val="22"/>
                <w:szCs w:val="22"/>
                <w:lang w:val="es-ES"/>
              </w:rPr>
              <w:t xml:space="preserve">cuando </w:t>
            </w:r>
            <w:r w:rsidR="00342D4E" w:rsidRPr="00FD514D">
              <w:rPr>
                <w:rFonts w:asciiTheme="minorHAnsi" w:hAnsiTheme="minorHAnsi"/>
                <w:sz w:val="22"/>
                <w:szCs w:val="22"/>
                <w:lang w:val="es-ES"/>
              </w:rPr>
              <w:t>la Conferencia de las Partes lo considere necesario o</w:t>
            </w:r>
            <w:r w:rsidR="00980900">
              <w:rPr>
                <w:rFonts w:asciiTheme="minorHAnsi" w:hAnsiTheme="minorHAnsi"/>
                <w:sz w:val="22"/>
                <w:szCs w:val="22"/>
                <w:lang w:val="es-ES"/>
              </w:rPr>
              <w:t>”</w:t>
            </w:r>
            <w:r w:rsidR="00F20D35" w:rsidRPr="00FD514D">
              <w:rPr>
                <w:rFonts w:asciiTheme="minorHAnsi" w:hAnsiTheme="minorHAnsi"/>
                <w:sz w:val="22"/>
                <w:szCs w:val="22"/>
                <w:lang w:val="es-ES"/>
              </w:rPr>
              <w:t>).</w:t>
            </w:r>
          </w:p>
          <w:p w14:paraId="076FE5ED" w14:textId="77777777" w:rsidR="00EC374D" w:rsidRPr="00FD514D" w:rsidRDefault="00EC374D" w:rsidP="0001341E">
            <w:pPr>
              <w:pStyle w:val="NormalWeb"/>
              <w:spacing w:before="100" w:beforeAutospacing="1" w:after="100" w:afterAutospacing="1"/>
              <w:ind w:left="0" w:firstLine="0"/>
              <w:rPr>
                <w:rFonts w:asciiTheme="minorHAnsi" w:eastAsiaTheme="minorHAnsi" w:hAnsiTheme="minorHAnsi"/>
                <w:sz w:val="22"/>
                <w:szCs w:val="22"/>
                <w:lang w:val="es-ES" w:eastAsia="fr-FR"/>
              </w:rPr>
            </w:pPr>
          </w:p>
          <w:p w14:paraId="6AD46067" w14:textId="77777777" w:rsidR="00EC374D" w:rsidRPr="00FD514D" w:rsidRDefault="00EC374D" w:rsidP="00B40163">
            <w:pPr>
              <w:pStyle w:val="NormalWeb"/>
              <w:rPr>
                <w:rFonts w:asciiTheme="minorHAnsi" w:eastAsiaTheme="minorHAnsi" w:hAnsiTheme="minorHAnsi"/>
                <w:sz w:val="22"/>
                <w:szCs w:val="22"/>
                <w:lang w:val="es-ES" w:eastAsia="fr-FR"/>
              </w:rPr>
            </w:pPr>
          </w:p>
          <w:p w14:paraId="70834F2B" w14:textId="77777777" w:rsidR="000C029E" w:rsidRPr="00FD514D" w:rsidRDefault="000C029E" w:rsidP="00B40163">
            <w:pPr>
              <w:pStyle w:val="NormalWeb"/>
              <w:rPr>
                <w:rFonts w:asciiTheme="minorHAnsi" w:eastAsiaTheme="minorHAnsi" w:hAnsiTheme="minorHAnsi"/>
                <w:sz w:val="22"/>
                <w:szCs w:val="22"/>
                <w:lang w:val="es-ES" w:eastAsia="fr-FR"/>
              </w:rPr>
            </w:pPr>
          </w:p>
          <w:p w14:paraId="78811948" w14:textId="77777777" w:rsidR="00EF1301" w:rsidRPr="00FD514D" w:rsidRDefault="00EF1301" w:rsidP="00B40163">
            <w:pPr>
              <w:pStyle w:val="NormalWeb"/>
              <w:rPr>
                <w:rFonts w:asciiTheme="minorHAnsi" w:eastAsiaTheme="minorHAnsi" w:hAnsiTheme="minorHAnsi"/>
                <w:sz w:val="22"/>
                <w:szCs w:val="22"/>
                <w:lang w:val="es-ES" w:eastAsia="fr-FR"/>
              </w:rPr>
            </w:pPr>
          </w:p>
          <w:p w14:paraId="0BB3D852" w14:textId="77777777" w:rsidR="00EF1301" w:rsidRPr="00FD514D" w:rsidRDefault="00EF1301" w:rsidP="00354A53">
            <w:pPr>
              <w:pStyle w:val="NormalWeb"/>
              <w:rPr>
                <w:rFonts w:asciiTheme="minorHAnsi" w:eastAsiaTheme="minorHAnsi" w:hAnsiTheme="minorHAnsi"/>
                <w:sz w:val="22"/>
                <w:szCs w:val="22"/>
                <w:lang w:val="es-ES" w:eastAsia="fr-FR"/>
              </w:rPr>
            </w:pPr>
          </w:p>
        </w:tc>
      </w:tr>
      <w:tr w:rsidR="00D50999" w:rsidRPr="00070719" w14:paraId="7E3C6206" w14:textId="77777777" w:rsidTr="00980900">
        <w:tc>
          <w:tcPr>
            <w:tcW w:w="578" w:type="dxa"/>
          </w:tcPr>
          <w:p w14:paraId="45C1D642" w14:textId="77777777" w:rsidR="00A36FF0" w:rsidRPr="00FD514D" w:rsidRDefault="00F322DF" w:rsidP="0078688F">
            <w:pPr>
              <w:pStyle w:val="NoSpacing"/>
              <w:ind w:left="0" w:firstLine="0"/>
              <w:rPr>
                <w:lang w:val="es-ES"/>
              </w:rPr>
            </w:pPr>
            <w:r w:rsidRPr="00FD514D">
              <w:rPr>
                <w:lang w:val="es-ES"/>
              </w:rPr>
              <w:t>5</w:t>
            </w:r>
          </w:p>
        </w:tc>
        <w:tc>
          <w:tcPr>
            <w:tcW w:w="1939" w:type="dxa"/>
          </w:tcPr>
          <w:p w14:paraId="38456F3A" w14:textId="77777777" w:rsidR="00A36FF0" w:rsidRPr="00FD514D" w:rsidRDefault="0082315A" w:rsidP="0078688F">
            <w:pPr>
              <w:pStyle w:val="NoSpacing"/>
              <w:ind w:left="0" w:firstLine="0"/>
              <w:rPr>
                <w:lang w:val="es-ES"/>
              </w:rPr>
            </w:pPr>
            <w:r w:rsidRPr="00FD514D">
              <w:rPr>
                <w:lang w:val="es-ES"/>
              </w:rPr>
              <w:t>Artículos</w:t>
            </w:r>
            <w:r w:rsidR="00502459" w:rsidRPr="00FD514D">
              <w:rPr>
                <w:lang w:val="es-ES"/>
              </w:rPr>
              <w:t xml:space="preserve"> </w:t>
            </w:r>
            <w:r w:rsidR="00A36FF0" w:rsidRPr="00FD514D">
              <w:rPr>
                <w:lang w:val="es-ES"/>
              </w:rPr>
              <w:t xml:space="preserve">6 </w:t>
            </w:r>
            <w:r w:rsidRPr="00FD514D">
              <w:rPr>
                <w:lang w:val="es-ES"/>
              </w:rPr>
              <w:t>y</w:t>
            </w:r>
            <w:r w:rsidR="00A36FF0" w:rsidRPr="00FD514D">
              <w:rPr>
                <w:lang w:val="es-ES"/>
              </w:rPr>
              <w:t xml:space="preserve"> 7</w:t>
            </w:r>
            <w:r w:rsidR="00B46BFD" w:rsidRPr="00FD514D">
              <w:rPr>
                <w:lang w:val="es-ES"/>
              </w:rPr>
              <w:t>:</w:t>
            </w:r>
            <w:r w:rsidR="00A36FF0" w:rsidRPr="00FD514D">
              <w:rPr>
                <w:lang w:val="es-ES"/>
              </w:rPr>
              <w:t xml:space="preserve"> Observ</w:t>
            </w:r>
            <w:r w:rsidRPr="00FD514D">
              <w:rPr>
                <w:lang w:val="es-ES"/>
              </w:rPr>
              <w:t>adores</w:t>
            </w:r>
            <w:r w:rsidR="00A36FF0" w:rsidRPr="00FD514D">
              <w:rPr>
                <w:lang w:val="es-ES"/>
              </w:rPr>
              <w:t xml:space="preserve"> </w:t>
            </w:r>
          </w:p>
        </w:tc>
        <w:tc>
          <w:tcPr>
            <w:tcW w:w="3331" w:type="dxa"/>
          </w:tcPr>
          <w:p w14:paraId="5AC8E853" w14:textId="303FDC24" w:rsidR="00A36FF0" w:rsidRPr="00FD514D" w:rsidRDefault="00520074" w:rsidP="00313DE3">
            <w:pPr>
              <w:ind w:left="0" w:firstLine="0"/>
              <w:rPr>
                <w:rFonts w:cs="Arial"/>
                <w:lang w:val="es-ES"/>
              </w:rPr>
            </w:pPr>
            <w:r w:rsidRPr="00FD514D">
              <w:rPr>
                <w:rFonts w:cs="Arial"/>
                <w:lang w:val="es-ES"/>
              </w:rPr>
              <w:t xml:space="preserve">El </w:t>
            </w:r>
            <w:r w:rsidR="00C27B30">
              <w:rPr>
                <w:rFonts w:cs="Arial"/>
                <w:lang w:val="es-ES"/>
              </w:rPr>
              <w:t>artículo</w:t>
            </w:r>
            <w:r w:rsidR="00A36FF0" w:rsidRPr="00FD514D">
              <w:rPr>
                <w:rFonts w:cs="Arial"/>
                <w:lang w:val="es-ES"/>
              </w:rPr>
              <w:t xml:space="preserve"> 7</w:t>
            </w:r>
            <w:r w:rsidRPr="00FD514D">
              <w:rPr>
                <w:rFonts w:cs="Arial"/>
                <w:lang w:val="es-ES"/>
              </w:rPr>
              <w:t xml:space="preserve"> se titula</w:t>
            </w:r>
            <w:r w:rsidR="00A36FF0" w:rsidRPr="00FD514D">
              <w:rPr>
                <w:rFonts w:cs="Arial"/>
                <w:lang w:val="es-ES"/>
              </w:rPr>
              <w:t xml:space="preserve"> </w:t>
            </w:r>
            <w:r w:rsidR="00980900">
              <w:rPr>
                <w:rFonts w:cs="Arial"/>
                <w:lang w:val="es-ES"/>
              </w:rPr>
              <w:t>“</w:t>
            </w:r>
            <w:r w:rsidR="00A36FF0" w:rsidRPr="00FD514D">
              <w:rPr>
                <w:rFonts w:cs="Arial"/>
                <w:lang w:val="es-ES"/>
              </w:rPr>
              <w:t>Participa</w:t>
            </w:r>
            <w:r w:rsidR="00CF2967" w:rsidRPr="00FD514D">
              <w:rPr>
                <w:rFonts w:cs="Arial"/>
                <w:lang w:val="es-ES"/>
              </w:rPr>
              <w:t>ción de otras entidades o agencias</w:t>
            </w:r>
            <w:r w:rsidR="00980900">
              <w:rPr>
                <w:rFonts w:cs="Arial"/>
                <w:lang w:val="es-ES"/>
              </w:rPr>
              <w:t>”</w:t>
            </w:r>
            <w:r w:rsidR="00A36FF0" w:rsidRPr="00FD514D">
              <w:rPr>
                <w:rFonts w:cs="Arial"/>
                <w:lang w:val="es-ES"/>
              </w:rPr>
              <w:t xml:space="preserve">. </w:t>
            </w:r>
            <w:r w:rsidR="00CF2967" w:rsidRPr="00FD514D">
              <w:rPr>
                <w:rFonts w:cs="Arial"/>
                <w:lang w:val="es-ES"/>
              </w:rPr>
              <w:t>El término</w:t>
            </w:r>
            <w:r w:rsidR="00700F21" w:rsidRPr="00FD514D">
              <w:rPr>
                <w:rFonts w:cs="Arial"/>
                <w:lang w:val="es-ES"/>
              </w:rPr>
              <w:t xml:space="preserve"> </w:t>
            </w:r>
            <w:r w:rsidR="00980900">
              <w:rPr>
                <w:rFonts w:cs="Arial"/>
                <w:lang w:val="es-ES"/>
              </w:rPr>
              <w:t>“</w:t>
            </w:r>
            <w:r w:rsidR="00A36FF0" w:rsidRPr="00FD514D">
              <w:rPr>
                <w:rFonts w:cs="Arial"/>
                <w:lang w:val="es-ES"/>
              </w:rPr>
              <w:t>ot</w:t>
            </w:r>
            <w:r w:rsidR="00CF2967" w:rsidRPr="00FD514D">
              <w:rPr>
                <w:rFonts w:cs="Arial"/>
                <w:lang w:val="es-ES"/>
              </w:rPr>
              <w:t>ras</w:t>
            </w:r>
            <w:r w:rsidR="00980900">
              <w:rPr>
                <w:rFonts w:cs="Arial"/>
                <w:lang w:val="es-ES"/>
              </w:rPr>
              <w:t>”</w:t>
            </w:r>
            <w:r w:rsidR="00A36FF0" w:rsidRPr="00FD514D">
              <w:rPr>
                <w:rFonts w:cs="Arial"/>
                <w:lang w:val="es-ES"/>
              </w:rPr>
              <w:t xml:space="preserve"> </w:t>
            </w:r>
            <w:r w:rsidR="00CF2967" w:rsidRPr="00FD514D">
              <w:rPr>
                <w:rFonts w:cs="Arial"/>
                <w:lang w:val="es-ES"/>
              </w:rPr>
              <w:t xml:space="preserve">se refiere a </w:t>
            </w:r>
            <w:r w:rsidR="00052246" w:rsidRPr="00FD514D">
              <w:rPr>
                <w:rFonts w:cs="Arial"/>
                <w:lang w:val="es-ES"/>
              </w:rPr>
              <w:t>entidades o agencias que no sean de las Naciones Unidas y sus organismos especializados</w:t>
            </w:r>
            <w:r w:rsidR="00310E2B" w:rsidRPr="00FD514D">
              <w:rPr>
                <w:rFonts w:cs="Arial"/>
                <w:lang w:val="es-ES"/>
              </w:rPr>
              <w:t>,</w:t>
            </w:r>
            <w:r w:rsidR="00E8772D" w:rsidRPr="00FD514D">
              <w:rPr>
                <w:rFonts w:cs="Arial"/>
                <w:lang w:val="es-ES"/>
              </w:rPr>
              <w:t xml:space="preserve"> </w:t>
            </w:r>
            <w:r w:rsidR="00700F21" w:rsidRPr="00FD514D">
              <w:rPr>
                <w:rFonts w:cs="Arial"/>
                <w:lang w:val="es-ES"/>
              </w:rPr>
              <w:t xml:space="preserve">mencionados </w:t>
            </w:r>
            <w:r w:rsidR="00310E2B" w:rsidRPr="00FD514D">
              <w:rPr>
                <w:rFonts w:cs="Arial"/>
                <w:lang w:val="es-ES"/>
              </w:rPr>
              <w:t xml:space="preserve">en </w:t>
            </w:r>
            <w:r w:rsidR="0075352B" w:rsidRPr="00FD514D">
              <w:rPr>
                <w:rFonts w:cs="Arial"/>
                <w:lang w:val="es-ES"/>
              </w:rPr>
              <w:t>el</w:t>
            </w:r>
            <w:r w:rsidR="00502459" w:rsidRPr="00FD514D">
              <w:rPr>
                <w:rFonts w:cs="Arial"/>
                <w:lang w:val="es-ES"/>
              </w:rPr>
              <w:t xml:space="preserve"> </w:t>
            </w:r>
            <w:r w:rsidR="00310E2B" w:rsidRPr="00FD514D">
              <w:rPr>
                <w:rFonts w:cs="Arial"/>
                <w:lang w:val="es-ES"/>
              </w:rPr>
              <w:t>a</w:t>
            </w:r>
            <w:r w:rsidR="00242B0A" w:rsidRPr="00FD514D">
              <w:rPr>
                <w:rFonts w:cs="Arial"/>
                <w:lang w:val="es-ES"/>
              </w:rPr>
              <w:t>rtículo</w:t>
            </w:r>
            <w:r w:rsidR="00A36FF0" w:rsidRPr="00FD514D">
              <w:rPr>
                <w:rFonts w:cs="Arial"/>
                <w:lang w:val="es-ES"/>
              </w:rPr>
              <w:t xml:space="preserve"> 6. </w:t>
            </w:r>
            <w:r w:rsidR="006D7E04" w:rsidRPr="00FD514D">
              <w:rPr>
                <w:rFonts w:cs="Arial"/>
                <w:lang w:val="es-ES"/>
              </w:rPr>
              <w:t xml:space="preserve">No obstante, hay algunos aspectos del </w:t>
            </w:r>
            <w:r w:rsidR="00EF6C12" w:rsidRPr="00FD514D">
              <w:rPr>
                <w:rFonts w:cs="Arial"/>
                <w:lang w:val="es-ES"/>
              </w:rPr>
              <w:t>a</w:t>
            </w:r>
            <w:r w:rsidR="00242B0A" w:rsidRPr="00FD514D">
              <w:rPr>
                <w:rFonts w:cs="Arial"/>
                <w:lang w:val="es-ES"/>
              </w:rPr>
              <w:t>rtículo</w:t>
            </w:r>
            <w:r w:rsidR="00A36FF0" w:rsidRPr="00FD514D">
              <w:rPr>
                <w:rFonts w:cs="Arial"/>
                <w:lang w:val="es-ES"/>
              </w:rPr>
              <w:t xml:space="preserve"> 7 </w:t>
            </w:r>
            <w:r w:rsidR="006D7E04" w:rsidRPr="00FD514D">
              <w:rPr>
                <w:rFonts w:cs="Arial"/>
                <w:lang w:val="es-ES"/>
              </w:rPr>
              <w:t xml:space="preserve">que podrían ser aplicables </w:t>
            </w:r>
            <w:r w:rsidR="00390A8A" w:rsidRPr="00FD514D">
              <w:rPr>
                <w:rFonts w:cs="Arial"/>
                <w:lang w:val="es-ES"/>
              </w:rPr>
              <w:t xml:space="preserve">también </w:t>
            </w:r>
            <w:r w:rsidR="006D7E04" w:rsidRPr="00FD514D">
              <w:rPr>
                <w:rFonts w:cs="Arial"/>
                <w:lang w:val="es-ES"/>
              </w:rPr>
              <w:t xml:space="preserve">a los observadores </w:t>
            </w:r>
            <w:r w:rsidR="0013594B" w:rsidRPr="00FD514D">
              <w:rPr>
                <w:rFonts w:cs="Arial"/>
                <w:lang w:val="es-ES"/>
              </w:rPr>
              <w:t xml:space="preserve">pertenecientes a los organismos indicados en el </w:t>
            </w:r>
            <w:r w:rsidR="00390A8A" w:rsidRPr="00FD514D">
              <w:rPr>
                <w:rFonts w:cs="Arial"/>
                <w:lang w:val="es-ES"/>
              </w:rPr>
              <w:t>a</w:t>
            </w:r>
            <w:r w:rsidR="00242B0A" w:rsidRPr="00FD514D">
              <w:rPr>
                <w:rFonts w:cs="Arial"/>
                <w:lang w:val="es-ES"/>
              </w:rPr>
              <w:t>rtículo</w:t>
            </w:r>
            <w:r w:rsidR="00A36FF0" w:rsidRPr="00FD514D">
              <w:rPr>
                <w:rFonts w:cs="Arial"/>
                <w:lang w:val="es-ES"/>
              </w:rPr>
              <w:t xml:space="preserve"> 6, </w:t>
            </w:r>
            <w:r w:rsidR="0013594B" w:rsidRPr="00FD514D">
              <w:rPr>
                <w:rFonts w:cs="Arial"/>
                <w:lang w:val="es-ES"/>
              </w:rPr>
              <w:t xml:space="preserve">como sería el caso de la </w:t>
            </w:r>
            <w:r w:rsidR="00C111BD" w:rsidRPr="00FD514D">
              <w:rPr>
                <w:rFonts w:cs="Arial"/>
                <w:lang w:val="es-ES"/>
              </w:rPr>
              <w:t>limitación</w:t>
            </w:r>
            <w:r w:rsidR="0013594B" w:rsidRPr="00FD514D">
              <w:rPr>
                <w:rFonts w:cs="Arial"/>
                <w:lang w:val="es-ES"/>
              </w:rPr>
              <w:t xml:space="preserve"> relativa</w:t>
            </w:r>
            <w:r w:rsidR="00C111BD" w:rsidRPr="00FD514D">
              <w:rPr>
                <w:rFonts w:cs="Arial"/>
                <w:lang w:val="es-ES"/>
              </w:rPr>
              <w:t xml:space="preserve"> a</w:t>
            </w:r>
            <w:r w:rsidR="003E475C" w:rsidRPr="00FD514D">
              <w:rPr>
                <w:rFonts w:cs="Arial"/>
                <w:lang w:val="es-ES"/>
              </w:rPr>
              <w:t xml:space="preserve">l número de asientos disponibles que figura en el </w:t>
            </w:r>
            <w:r w:rsidR="00390A8A" w:rsidRPr="00FD514D">
              <w:rPr>
                <w:rFonts w:cs="Arial"/>
                <w:lang w:val="es-ES"/>
              </w:rPr>
              <w:t>a</w:t>
            </w:r>
            <w:r w:rsidR="00242B0A" w:rsidRPr="00FD514D">
              <w:rPr>
                <w:rFonts w:cs="Arial"/>
                <w:lang w:val="es-ES"/>
              </w:rPr>
              <w:t>rtículo</w:t>
            </w:r>
            <w:r w:rsidR="00A36FF0" w:rsidRPr="00FD514D">
              <w:rPr>
                <w:rFonts w:cs="Arial"/>
                <w:lang w:val="es-ES"/>
              </w:rPr>
              <w:t xml:space="preserve"> 7.6. </w:t>
            </w:r>
            <w:r w:rsidR="003E475C" w:rsidRPr="00FD514D">
              <w:rPr>
                <w:rFonts w:cs="Arial"/>
                <w:lang w:val="es-ES"/>
              </w:rPr>
              <w:t xml:space="preserve">Esta falta de claridad podría </w:t>
            </w:r>
            <w:r w:rsidR="00275585" w:rsidRPr="00FD514D">
              <w:rPr>
                <w:rFonts w:cs="Arial"/>
                <w:lang w:val="es-ES"/>
              </w:rPr>
              <w:t xml:space="preserve">dar lugar a una interpretación errónea y se </w:t>
            </w:r>
            <w:r w:rsidR="00275585" w:rsidRPr="00FD514D">
              <w:rPr>
                <w:rFonts w:cs="Arial"/>
                <w:lang w:val="es-ES"/>
              </w:rPr>
              <w:lastRenderedPageBreak/>
              <w:t>debe</w:t>
            </w:r>
            <w:r w:rsidR="0075352B" w:rsidRPr="00FD514D">
              <w:rPr>
                <w:rFonts w:cs="Arial"/>
                <w:lang w:val="es-ES"/>
              </w:rPr>
              <w:t>ría</w:t>
            </w:r>
            <w:r w:rsidR="00275585" w:rsidRPr="00FD514D">
              <w:rPr>
                <w:rFonts w:cs="Arial"/>
                <w:lang w:val="es-ES"/>
              </w:rPr>
              <w:t xml:space="preserve"> evitar.</w:t>
            </w:r>
          </w:p>
          <w:p w14:paraId="68859357" w14:textId="77777777" w:rsidR="00A36FF0" w:rsidRPr="00FD514D" w:rsidRDefault="00A36FF0" w:rsidP="00313DE3">
            <w:pPr>
              <w:ind w:left="0" w:firstLine="0"/>
              <w:rPr>
                <w:rFonts w:cs="Arial"/>
                <w:lang w:val="es-ES"/>
              </w:rPr>
            </w:pPr>
          </w:p>
          <w:p w14:paraId="67724C9E" w14:textId="73D7F8BB" w:rsidR="00A36FF0" w:rsidRPr="00FD514D" w:rsidRDefault="0075352B" w:rsidP="00313DE3">
            <w:pPr>
              <w:ind w:left="0" w:firstLine="0"/>
              <w:rPr>
                <w:rFonts w:cs="Arial"/>
                <w:lang w:val="es-ES"/>
              </w:rPr>
            </w:pPr>
            <w:r w:rsidRPr="00FD514D">
              <w:rPr>
                <w:rFonts w:cs="Arial"/>
                <w:lang w:val="es-ES"/>
              </w:rPr>
              <w:t>E</w:t>
            </w:r>
            <w:r w:rsidR="00390A8A" w:rsidRPr="00FD514D">
              <w:rPr>
                <w:rFonts w:cs="Arial"/>
                <w:lang w:val="es-ES"/>
              </w:rPr>
              <w:t>n e</w:t>
            </w:r>
            <w:r w:rsidRPr="00FD514D">
              <w:rPr>
                <w:rFonts w:cs="Arial"/>
                <w:lang w:val="es-ES"/>
              </w:rPr>
              <w:t xml:space="preserve">l </w:t>
            </w:r>
            <w:r w:rsidR="00390A8A" w:rsidRPr="00FD514D">
              <w:rPr>
                <w:rFonts w:cs="Arial"/>
                <w:lang w:val="es-ES"/>
              </w:rPr>
              <w:t>a</w:t>
            </w:r>
            <w:r w:rsidR="00242B0A" w:rsidRPr="00FD514D">
              <w:rPr>
                <w:rFonts w:cs="Arial"/>
                <w:lang w:val="es-ES"/>
              </w:rPr>
              <w:t>rtículo</w:t>
            </w:r>
            <w:r w:rsidR="00A36FF0" w:rsidRPr="00FD514D">
              <w:rPr>
                <w:rFonts w:cs="Arial"/>
                <w:lang w:val="es-ES"/>
              </w:rPr>
              <w:t xml:space="preserve"> 7.5 </w:t>
            </w:r>
            <w:r w:rsidR="00390A8A" w:rsidRPr="00FD514D">
              <w:rPr>
                <w:rFonts w:cs="Arial"/>
                <w:lang w:val="es-ES"/>
              </w:rPr>
              <w:t xml:space="preserve">se </w:t>
            </w:r>
            <w:r w:rsidRPr="00FD514D">
              <w:rPr>
                <w:rFonts w:cs="Arial"/>
                <w:lang w:val="es-ES"/>
              </w:rPr>
              <w:t xml:space="preserve">dispone que </w:t>
            </w:r>
            <w:r w:rsidR="00980900">
              <w:rPr>
                <w:rFonts w:cs="Arial"/>
                <w:lang w:val="es-ES"/>
              </w:rPr>
              <w:t>“</w:t>
            </w:r>
            <w:r w:rsidR="00390A8A" w:rsidRPr="00FD514D">
              <w:rPr>
                <w:rFonts w:cs="Arial"/>
                <w:lang w:val="es-ES"/>
              </w:rPr>
              <w:t>l</w:t>
            </w:r>
            <w:r w:rsidR="00DF7DB1" w:rsidRPr="00FD514D">
              <w:rPr>
                <w:rFonts w:cs="Arial"/>
                <w:lang w:val="es-ES"/>
              </w:rPr>
              <w:t>as propuestas hechas por observadores</w:t>
            </w:r>
            <w:r w:rsidR="00980900">
              <w:rPr>
                <w:rFonts w:cs="Arial"/>
                <w:lang w:val="es-ES"/>
              </w:rPr>
              <w:t>”</w:t>
            </w:r>
            <w:r w:rsidR="00DF7DB1" w:rsidRPr="00FD514D">
              <w:rPr>
                <w:rFonts w:cs="Arial"/>
                <w:lang w:val="es-ES"/>
              </w:rPr>
              <w:t xml:space="preserve"> se podrán someter a votación solamente si una de las Partes Contratantes las patrocina. Esto no se ajusta a la definición de </w:t>
            </w:r>
            <w:r w:rsidR="00855E6E">
              <w:rPr>
                <w:rFonts w:cs="Arial"/>
                <w:lang w:val="es-ES"/>
              </w:rPr>
              <w:t>‘</w:t>
            </w:r>
            <w:r w:rsidR="00390A8A" w:rsidRPr="00FD514D">
              <w:rPr>
                <w:rFonts w:cs="Arial"/>
                <w:lang w:val="es-ES"/>
              </w:rPr>
              <w:t>p</w:t>
            </w:r>
            <w:r w:rsidR="008E2738" w:rsidRPr="00FD514D">
              <w:rPr>
                <w:rFonts w:cs="Arial"/>
                <w:lang w:val="es-ES"/>
              </w:rPr>
              <w:t>rop</w:t>
            </w:r>
            <w:r w:rsidR="00CA34FD" w:rsidRPr="00FD514D">
              <w:rPr>
                <w:rFonts w:cs="Arial"/>
                <w:lang w:val="es-ES"/>
              </w:rPr>
              <w:t>uesta</w:t>
            </w:r>
            <w:r w:rsidR="00855E6E">
              <w:rPr>
                <w:rFonts w:cs="Arial"/>
                <w:lang w:val="es-ES"/>
              </w:rPr>
              <w:t>’</w:t>
            </w:r>
            <w:r w:rsidR="008E2738" w:rsidRPr="00FD514D">
              <w:rPr>
                <w:rFonts w:cs="Arial"/>
                <w:lang w:val="es-ES"/>
              </w:rPr>
              <w:t xml:space="preserve"> </w:t>
            </w:r>
            <w:r w:rsidR="004D61D9" w:rsidRPr="00FD514D">
              <w:rPr>
                <w:rFonts w:cs="Arial"/>
                <w:lang w:val="es-ES"/>
              </w:rPr>
              <w:t xml:space="preserve">que figura en el </w:t>
            </w:r>
            <w:r w:rsidR="00B523D4" w:rsidRPr="00FD514D">
              <w:rPr>
                <w:rFonts w:cs="Arial"/>
                <w:lang w:val="es-ES"/>
              </w:rPr>
              <w:t>a</w:t>
            </w:r>
            <w:r w:rsidR="00242B0A" w:rsidRPr="00FD514D">
              <w:rPr>
                <w:rFonts w:cs="Arial"/>
                <w:lang w:val="es-ES"/>
              </w:rPr>
              <w:t>rtículo</w:t>
            </w:r>
            <w:r w:rsidR="008E2738" w:rsidRPr="00FD514D">
              <w:rPr>
                <w:rFonts w:cs="Arial"/>
                <w:lang w:val="es-ES"/>
              </w:rPr>
              <w:t xml:space="preserve"> 2. </w:t>
            </w:r>
            <w:r w:rsidR="004D61D9" w:rsidRPr="00FD514D">
              <w:rPr>
                <w:rFonts w:cs="Arial"/>
                <w:lang w:val="es-ES"/>
              </w:rPr>
              <w:t>Además</w:t>
            </w:r>
            <w:r w:rsidR="00A36FF0" w:rsidRPr="00FD514D">
              <w:rPr>
                <w:rFonts w:cs="Arial"/>
                <w:lang w:val="es-ES"/>
              </w:rPr>
              <w:t>,</w:t>
            </w:r>
            <w:r w:rsidR="004D61D9" w:rsidRPr="00FD514D">
              <w:rPr>
                <w:rFonts w:cs="Arial"/>
                <w:lang w:val="es-ES"/>
              </w:rPr>
              <w:t xml:space="preserve"> </w:t>
            </w:r>
            <w:r w:rsidR="00F9447D" w:rsidRPr="00FD514D">
              <w:rPr>
                <w:rFonts w:cs="Arial"/>
                <w:lang w:val="es-ES"/>
              </w:rPr>
              <w:t xml:space="preserve">en </w:t>
            </w:r>
            <w:r w:rsidR="004D61D9" w:rsidRPr="00FD514D">
              <w:rPr>
                <w:rFonts w:cs="Arial"/>
                <w:lang w:val="es-ES"/>
              </w:rPr>
              <w:t>el</w:t>
            </w:r>
            <w:r w:rsidR="00A36FF0" w:rsidRPr="00FD514D">
              <w:rPr>
                <w:rFonts w:cs="Arial"/>
                <w:lang w:val="es-ES"/>
              </w:rPr>
              <w:t xml:space="preserve"> </w:t>
            </w:r>
            <w:r w:rsidR="00B523D4" w:rsidRPr="00FD514D">
              <w:rPr>
                <w:rFonts w:cs="Arial"/>
                <w:lang w:val="es-ES"/>
              </w:rPr>
              <w:t>a</w:t>
            </w:r>
            <w:r w:rsidR="00242B0A" w:rsidRPr="00FD514D">
              <w:rPr>
                <w:rFonts w:cs="Arial"/>
                <w:lang w:val="es-ES"/>
              </w:rPr>
              <w:t>rtículo</w:t>
            </w:r>
            <w:r w:rsidR="00A36FF0" w:rsidRPr="00FD514D">
              <w:rPr>
                <w:rFonts w:cs="Arial"/>
                <w:lang w:val="es-ES"/>
              </w:rPr>
              <w:t xml:space="preserve"> 5.1 </w:t>
            </w:r>
            <w:r w:rsidR="00F9447D" w:rsidRPr="00FD514D">
              <w:rPr>
                <w:rFonts w:cs="Arial"/>
                <w:lang w:val="es-ES"/>
              </w:rPr>
              <w:t xml:space="preserve">se </w:t>
            </w:r>
            <w:r w:rsidR="004D61D9" w:rsidRPr="00FD514D">
              <w:rPr>
                <w:rFonts w:cs="Arial"/>
                <w:lang w:val="es-ES"/>
              </w:rPr>
              <w:t xml:space="preserve">dispone que </w:t>
            </w:r>
            <w:r w:rsidR="00F9447D" w:rsidRPr="00FD514D">
              <w:rPr>
                <w:rFonts w:cs="Arial"/>
                <w:lang w:val="es-ES"/>
              </w:rPr>
              <w:t xml:space="preserve">solamente las Partes, el Comité Permanente y la Mesa de la Conferencia </w:t>
            </w:r>
            <w:r w:rsidR="007B4AFA" w:rsidRPr="00FD514D">
              <w:rPr>
                <w:rFonts w:cs="Arial"/>
                <w:lang w:val="es-ES"/>
              </w:rPr>
              <w:t xml:space="preserve">podrán presentar propuestas. Parece que los términos </w:t>
            </w:r>
            <w:r w:rsidR="00855E6E">
              <w:rPr>
                <w:rFonts w:cs="Arial"/>
                <w:lang w:val="es-ES"/>
              </w:rPr>
              <w:t>‘</w:t>
            </w:r>
            <w:r w:rsidR="007B4AFA" w:rsidRPr="00FD514D">
              <w:rPr>
                <w:rFonts w:cs="Arial"/>
                <w:lang w:val="es-ES"/>
              </w:rPr>
              <w:t>presentar</w:t>
            </w:r>
            <w:r w:rsidR="00855E6E">
              <w:rPr>
                <w:rFonts w:cs="Arial"/>
                <w:lang w:val="es-ES"/>
              </w:rPr>
              <w:t>’</w:t>
            </w:r>
            <w:r w:rsidR="007B4AFA" w:rsidRPr="00FD514D">
              <w:rPr>
                <w:rFonts w:cs="Arial"/>
                <w:lang w:val="es-ES"/>
              </w:rPr>
              <w:t xml:space="preserve"> y </w:t>
            </w:r>
            <w:r w:rsidR="00855E6E">
              <w:rPr>
                <w:rFonts w:cs="Arial"/>
                <w:lang w:val="es-ES"/>
              </w:rPr>
              <w:t>‘</w:t>
            </w:r>
            <w:r w:rsidR="007B4AFA" w:rsidRPr="00FD514D">
              <w:rPr>
                <w:rFonts w:cs="Arial"/>
                <w:lang w:val="es-ES"/>
              </w:rPr>
              <w:t>patrocinar</w:t>
            </w:r>
            <w:r w:rsidR="00855E6E">
              <w:rPr>
                <w:rFonts w:cs="Arial"/>
                <w:lang w:val="es-ES"/>
              </w:rPr>
              <w:t>’</w:t>
            </w:r>
            <w:r w:rsidR="007B4AFA" w:rsidRPr="00FD514D">
              <w:rPr>
                <w:rFonts w:cs="Arial"/>
                <w:lang w:val="es-ES"/>
              </w:rPr>
              <w:t xml:space="preserve"> se emplean indistintamente en el </w:t>
            </w:r>
            <w:r w:rsidR="00B523D4" w:rsidRPr="00FD514D">
              <w:rPr>
                <w:rFonts w:cs="Arial"/>
                <w:lang w:val="es-ES"/>
              </w:rPr>
              <w:t>a</w:t>
            </w:r>
            <w:r w:rsidR="00242B0A" w:rsidRPr="00FD514D">
              <w:rPr>
                <w:rFonts w:cs="Arial"/>
                <w:lang w:val="es-ES"/>
              </w:rPr>
              <w:t>rtículo</w:t>
            </w:r>
            <w:r w:rsidR="00A36FF0" w:rsidRPr="00FD514D">
              <w:rPr>
                <w:rFonts w:cs="Arial"/>
                <w:lang w:val="es-ES"/>
              </w:rPr>
              <w:t xml:space="preserve"> 5.1. </w:t>
            </w:r>
            <w:r w:rsidR="008133BF" w:rsidRPr="00FD514D">
              <w:rPr>
                <w:rFonts w:cs="Arial"/>
                <w:lang w:val="es-ES"/>
              </w:rPr>
              <w:t xml:space="preserve">Si este fuese el caso, un observador podría redactar una </w:t>
            </w:r>
            <w:r w:rsidR="00E4159F" w:rsidRPr="00FD514D">
              <w:rPr>
                <w:rFonts w:cs="Arial"/>
                <w:lang w:val="es-ES"/>
              </w:rPr>
              <w:t>propuesta,</w:t>
            </w:r>
            <w:r w:rsidR="008133BF" w:rsidRPr="00FD514D">
              <w:rPr>
                <w:rFonts w:cs="Arial"/>
                <w:lang w:val="es-ES"/>
              </w:rPr>
              <w:t xml:space="preserve"> pero, según lo </w:t>
            </w:r>
            <w:r w:rsidR="00477321" w:rsidRPr="00FD514D">
              <w:rPr>
                <w:rFonts w:cs="Arial"/>
                <w:lang w:val="es-ES"/>
              </w:rPr>
              <w:t xml:space="preserve">previsto en el </w:t>
            </w:r>
            <w:r w:rsidR="00B523D4" w:rsidRPr="00FD514D">
              <w:rPr>
                <w:rFonts w:cs="Arial"/>
                <w:lang w:val="es-ES"/>
              </w:rPr>
              <w:t>a</w:t>
            </w:r>
            <w:r w:rsidR="00242B0A" w:rsidRPr="00FD514D">
              <w:rPr>
                <w:rFonts w:cs="Arial"/>
                <w:lang w:val="es-ES"/>
              </w:rPr>
              <w:t>rtículo</w:t>
            </w:r>
            <w:r w:rsidR="00A36FF0" w:rsidRPr="00FD514D">
              <w:rPr>
                <w:rFonts w:cs="Arial"/>
                <w:lang w:val="es-ES"/>
              </w:rPr>
              <w:t xml:space="preserve"> 5.1, </w:t>
            </w:r>
            <w:r w:rsidR="00477321" w:rsidRPr="00FD514D">
              <w:rPr>
                <w:rFonts w:cs="Arial"/>
                <w:lang w:val="es-ES"/>
              </w:rPr>
              <w:t xml:space="preserve">la propuesta tendría que ser patrocinada (es decir, presentada) por una Parte Contratante. No obstante, esto no está </w:t>
            </w:r>
            <w:r w:rsidR="00477E67" w:rsidRPr="00FD514D">
              <w:rPr>
                <w:rFonts w:cs="Arial"/>
                <w:lang w:val="es-ES"/>
              </w:rPr>
              <w:t>del todo claro</w:t>
            </w:r>
            <w:r w:rsidR="00477321" w:rsidRPr="00FD514D">
              <w:rPr>
                <w:rFonts w:cs="Arial"/>
                <w:lang w:val="es-ES"/>
              </w:rPr>
              <w:t xml:space="preserve"> y debe ser </w:t>
            </w:r>
            <w:r w:rsidR="00E4159F" w:rsidRPr="00FD514D">
              <w:rPr>
                <w:rFonts w:cs="Arial"/>
                <w:lang w:val="es-ES"/>
              </w:rPr>
              <w:t>aclarado</w:t>
            </w:r>
            <w:r w:rsidR="00477321" w:rsidRPr="00FD514D">
              <w:rPr>
                <w:rFonts w:cs="Arial"/>
                <w:lang w:val="es-ES"/>
              </w:rPr>
              <w:t>.</w:t>
            </w:r>
            <w:r w:rsidR="00A36FF0" w:rsidRPr="00FD514D">
              <w:rPr>
                <w:rFonts w:cs="Arial"/>
                <w:lang w:val="es-ES"/>
              </w:rPr>
              <w:t xml:space="preserve"> </w:t>
            </w:r>
          </w:p>
          <w:p w14:paraId="26F22556" w14:textId="77777777" w:rsidR="00A36FF0" w:rsidRPr="00FD514D" w:rsidRDefault="00A36FF0" w:rsidP="00313DE3">
            <w:pPr>
              <w:ind w:left="0" w:firstLine="0"/>
              <w:rPr>
                <w:rFonts w:cs="Arial"/>
                <w:lang w:val="es-ES"/>
              </w:rPr>
            </w:pPr>
          </w:p>
          <w:p w14:paraId="392CD5B5" w14:textId="6AF3A026" w:rsidR="00A36FF0" w:rsidRPr="00855E6E" w:rsidRDefault="00741FE4" w:rsidP="00855E6E">
            <w:pPr>
              <w:ind w:left="0" w:firstLine="0"/>
              <w:rPr>
                <w:rFonts w:cs="Arial"/>
                <w:lang w:val="es-ES"/>
              </w:rPr>
            </w:pPr>
            <w:r w:rsidRPr="00FD514D">
              <w:rPr>
                <w:rFonts w:cs="Arial"/>
                <w:lang w:val="es-ES"/>
              </w:rPr>
              <w:t>E</w:t>
            </w:r>
            <w:r w:rsidR="00B523D4" w:rsidRPr="00FD514D">
              <w:rPr>
                <w:rFonts w:cs="Arial"/>
                <w:lang w:val="es-ES"/>
              </w:rPr>
              <w:t>n e</w:t>
            </w:r>
            <w:r w:rsidRPr="00FD514D">
              <w:rPr>
                <w:rFonts w:cs="Arial"/>
                <w:lang w:val="es-ES"/>
              </w:rPr>
              <w:t xml:space="preserve">l </w:t>
            </w:r>
            <w:r w:rsidR="00B523D4" w:rsidRPr="00FD514D">
              <w:rPr>
                <w:rFonts w:cs="Arial"/>
                <w:lang w:val="es-ES"/>
              </w:rPr>
              <w:t>a</w:t>
            </w:r>
            <w:r w:rsidR="00242B0A" w:rsidRPr="00FD514D">
              <w:rPr>
                <w:rFonts w:cs="Arial"/>
                <w:lang w:val="es-ES"/>
              </w:rPr>
              <w:t>rtículo</w:t>
            </w:r>
            <w:r w:rsidR="00A36FF0" w:rsidRPr="00FD514D">
              <w:rPr>
                <w:rFonts w:cs="Arial"/>
                <w:lang w:val="es-ES"/>
              </w:rPr>
              <w:t xml:space="preserve"> 7.3 </w:t>
            </w:r>
            <w:r w:rsidR="00B523D4" w:rsidRPr="00FD514D">
              <w:rPr>
                <w:rFonts w:cs="Arial"/>
                <w:lang w:val="es-ES"/>
              </w:rPr>
              <w:t xml:space="preserve">se </w:t>
            </w:r>
            <w:r w:rsidRPr="00FD514D">
              <w:rPr>
                <w:rFonts w:cs="Arial"/>
                <w:lang w:val="es-ES"/>
              </w:rPr>
              <w:t>hace referencia a</w:t>
            </w:r>
            <w:r w:rsidR="00A36FF0" w:rsidRPr="00FD514D">
              <w:rPr>
                <w:rFonts w:cs="Arial"/>
                <w:lang w:val="es-ES"/>
              </w:rPr>
              <w:t xml:space="preserve"> </w:t>
            </w:r>
            <w:r w:rsidR="00980900">
              <w:rPr>
                <w:rFonts w:cs="Arial"/>
                <w:lang w:val="es-ES"/>
              </w:rPr>
              <w:t>“</w:t>
            </w:r>
            <w:r w:rsidR="00B523D4" w:rsidRPr="00FD514D">
              <w:rPr>
                <w:rFonts w:cs="Arial"/>
                <w:lang w:val="es-ES"/>
              </w:rPr>
              <w:t>l</w:t>
            </w:r>
            <w:r w:rsidRPr="00FD514D">
              <w:rPr>
                <w:rFonts w:cs="Arial"/>
                <w:lang w:val="es-ES"/>
              </w:rPr>
              <w:t>as entidades o agencias reconocidas como observadores</w:t>
            </w:r>
            <w:r w:rsidR="00A36FF0" w:rsidRPr="00FD514D">
              <w:rPr>
                <w:rFonts w:cs="Arial"/>
                <w:lang w:val="es-ES"/>
              </w:rPr>
              <w:t>…</w:t>
            </w:r>
            <w:r w:rsidR="00980900">
              <w:rPr>
                <w:rFonts w:cs="Arial"/>
                <w:lang w:val="es-ES"/>
              </w:rPr>
              <w:t>”</w:t>
            </w:r>
            <w:r w:rsidRPr="00FD514D">
              <w:rPr>
                <w:rFonts w:cs="Arial"/>
                <w:lang w:val="es-ES"/>
              </w:rPr>
              <w:t xml:space="preserve">. Por otra parte, </w:t>
            </w:r>
            <w:r w:rsidR="00B523D4" w:rsidRPr="00FD514D">
              <w:rPr>
                <w:rFonts w:cs="Arial"/>
                <w:lang w:val="es-ES"/>
              </w:rPr>
              <w:t xml:space="preserve">en </w:t>
            </w:r>
            <w:r w:rsidRPr="00FD514D">
              <w:rPr>
                <w:rFonts w:cs="Arial"/>
                <w:lang w:val="es-ES"/>
              </w:rPr>
              <w:t>el</w:t>
            </w:r>
            <w:r w:rsidR="00A36FF0" w:rsidRPr="00FD514D">
              <w:rPr>
                <w:rFonts w:cs="Arial"/>
                <w:lang w:val="es-ES"/>
              </w:rPr>
              <w:t xml:space="preserve"> </w:t>
            </w:r>
            <w:r w:rsidR="00B523D4" w:rsidRPr="00FD514D">
              <w:rPr>
                <w:rFonts w:cs="Arial"/>
                <w:lang w:val="es-ES"/>
              </w:rPr>
              <w:t>a</w:t>
            </w:r>
            <w:r w:rsidR="00242B0A" w:rsidRPr="00FD514D">
              <w:rPr>
                <w:rFonts w:cs="Arial"/>
                <w:lang w:val="es-ES"/>
              </w:rPr>
              <w:t>rtículo</w:t>
            </w:r>
            <w:r w:rsidR="00A36FF0" w:rsidRPr="00FD514D">
              <w:rPr>
                <w:rFonts w:cs="Arial"/>
                <w:lang w:val="es-ES"/>
              </w:rPr>
              <w:t xml:space="preserve"> 7.7 </w:t>
            </w:r>
            <w:r w:rsidRPr="00FD514D">
              <w:rPr>
                <w:rFonts w:cs="Arial"/>
                <w:lang w:val="es-ES"/>
              </w:rPr>
              <w:t>se refiere a entidades o agencias</w:t>
            </w:r>
            <w:r w:rsidR="00A36FF0" w:rsidRPr="00FD514D">
              <w:rPr>
                <w:rFonts w:cs="Arial"/>
                <w:lang w:val="es-ES"/>
              </w:rPr>
              <w:t xml:space="preserve"> </w:t>
            </w:r>
            <w:r w:rsidR="00980900">
              <w:rPr>
                <w:rFonts w:cs="Arial"/>
                <w:lang w:val="es-ES"/>
              </w:rPr>
              <w:t>“</w:t>
            </w:r>
            <w:r w:rsidR="00A36FF0" w:rsidRPr="00FD514D">
              <w:rPr>
                <w:rFonts w:cs="Arial"/>
                <w:lang w:val="es-ES"/>
              </w:rPr>
              <w:t>prev</w:t>
            </w:r>
            <w:r w:rsidR="00FF660B" w:rsidRPr="00FD514D">
              <w:rPr>
                <w:rFonts w:cs="Arial"/>
                <w:lang w:val="es-ES"/>
              </w:rPr>
              <w:t>iamente admitidas para participar en calidad de observadores</w:t>
            </w:r>
            <w:r w:rsidR="00980900">
              <w:rPr>
                <w:rFonts w:cs="Arial"/>
                <w:lang w:val="es-ES"/>
              </w:rPr>
              <w:t>”</w:t>
            </w:r>
            <w:r w:rsidR="00A36FF0" w:rsidRPr="00FD514D">
              <w:rPr>
                <w:rFonts w:cs="Arial"/>
                <w:lang w:val="es-ES"/>
              </w:rPr>
              <w:t xml:space="preserve">. </w:t>
            </w:r>
            <w:r w:rsidR="001A551A" w:rsidRPr="00FD514D">
              <w:rPr>
                <w:rFonts w:cs="Arial"/>
                <w:lang w:val="es-ES"/>
              </w:rPr>
              <w:t xml:space="preserve">Sin embargo, el </w:t>
            </w:r>
            <w:r w:rsidR="00762688" w:rsidRPr="00FD514D">
              <w:rPr>
                <w:rFonts w:cs="Arial"/>
                <w:lang w:val="es-ES"/>
              </w:rPr>
              <w:t>reglamento</w:t>
            </w:r>
            <w:r w:rsidR="00502459" w:rsidRPr="00FD514D">
              <w:rPr>
                <w:rFonts w:cs="Arial"/>
                <w:lang w:val="es-ES"/>
              </w:rPr>
              <w:t xml:space="preserve"> </w:t>
            </w:r>
            <w:r w:rsidR="001A551A" w:rsidRPr="00FD514D">
              <w:rPr>
                <w:rFonts w:cs="Arial"/>
                <w:lang w:val="es-ES"/>
              </w:rPr>
              <w:t>no define claramente el proceso de reconocimiento o</w:t>
            </w:r>
            <w:r w:rsidR="00DD2169" w:rsidRPr="00FD514D">
              <w:rPr>
                <w:rFonts w:cs="Arial"/>
                <w:lang w:val="es-ES"/>
              </w:rPr>
              <w:t xml:space="preserve"> de</w:t>
            </w:r>
            <w:r w:rsidR="001A551A" w:rsidRPr="00FD514D">
              <w:rPr>
                <w:rFonts w:cs="Arial"/>
                <w:lang w:val="es-ES"/>
              </w:rPr>
              <w:t xml:space="preserve"> admisión. En la práctica, los </w:t>
            </w:r>
            <w:r w:rsidR="00374880" w:rsidRPr="00FD514D">
              <w:rPr>
                <w:rFonts w:cs="Arial"/>
                <w:lang w:val="es-ES"/>
              </w:rPr>
              <w:t xml:space="preserve">observadores son admitidos/reconocidos por la </w:t>
            </w:r>
            <w:r w:rsidR="00A36FF0" w:rsidRPr="00FD514D">
              <w:rPr>
                <w:rFonts w:cs="Arial"/>
                <w:lang w:val="es-ES"/>
              </w:rPr>
              <w:t xml:space="preserve">COP. </w:t>
            </w:r>
            <w:r w:rsidR="00374880" w:rsidRPr="00FD514D">
              <w:rPr>
                <w:rFonts w:cs="Arial"/>
                <w:lang w:val="es-ES"/>
              </w:rPr>
              <w:t xml:space="preserve">Véase, por ejemplo, el </w:t>
            </w:r>
            <w:r w:rsidR="00B523D4" w:rsidRPr="00FD514D">
              <w:rPr>
                <w:rFonts w:cs="Arial"/>
                <w:lang w:val="es-ES"/>
              </w:rPr>
              <w:t>p</w:t>
            </w:r>
            <w:r w:rsidR="00374880" w:rsidRPr="00FD514D">
              <w:rPr>
                <w:rFonts w:cs="Arial"/>
                <w:lang w:val="es-ES"/>
              </w:rPr>
              <w:t xml:space="preserve">unto 7 del </w:t>
            </w:r>
            <w:r w:rsidR="00DD2169" w:rsidRPr="00FD514D">
              <w:rPr>
                <w:rFonts w:cs="Arial"/>
                <w:lang w:val="es-ES"/>
              </w:rPr>
              <w:t>o</w:t>
            </w:r>
            <w:r w:rsidR="00374880" w:rsidRPr="00FD514D">
              <w:rPr>
                <w:rFonts w:cs="Arial"/>
                <w:lang w:val="es-ES"/>
              </w:rPr>
              <w:t>rden del día para la</w:t>
            </w:r>
            <w:r w:rsidR="00502459" w:rsidRPr="00FD514D">
              <w:rPr>
                <w:rFonts w:cs="Arial"/>
                <w:lang w:val="es-ES"/>
              </w:rPr>
              <w:t xml:space="preserve"> </w:t>
            </w:r>
            <w:r w:rsidR="00A36FF0" w:rsidRPr="00FD514D">
              <w:rPr>
                <w:rFonts w:cs="Arial"/>
                <w:lang w:val="es-ES"/>
              </w:rPr>
              <w:t xml:space="preserve">COP 13 </w:t>
            </w:r>
            <w:r w:rsidR="001E6A93" w:rsidRPr="00FD514D">
              <w:rPr>
                <w:rFonts w:cs="Arial"/>
                <w:lang w:val="es-ES"/>
              </w:rPr>
              <w:t>titula</w:t>
            </w:r>
            <w:r w:rsidR="00DD2169" w:rsidRPr="00FD514D">
              <w:rPr>
                <w:rFonts w:cs="Arial"/>
                <w:lang w:val="es-ES"/>
              </w:rPr>
              <w:t>do</w:t>
            </w:r>
            <w:r w:rsidR="001E6A93" w:rsidRPr="00FD514D">
              <w:rPr>
                <w:rFonts w:cs="Arial"/>
                <w:lang w:val="es-ES"/>
              </w:rPr>
              <w:t xml:space="preserve"> </w:t>
            </w:r>
            <w:r w:rsidR="00980900">
              <w:rPr>
                <w:rFonts w:cs="Arial"/>
                <w:lang w:val="es-ES"/>
              </w:rPr>
              <w:t>“</w:t>
            </w:r>
            <w:r w:rsidR="001E6A93" w:rsidRPr="00FD514D">
              <w:rPr>
                <w:rFonts w:cs="Arial"/>
                <w:lang w:val="es-ES"/>
              </w:rPr>
              <w:t>Admisión de observadores</w:t>
            </w:r>
            <w:r w:rsidR="00980900">
              <w:rPr>
                <w:rFonts w:cs="Arial"/>
                <w:lang w:val="es-ES"/>
              </w:rPr>
              <w:t>”</w:t>
            </w:r>
            <w:r w:rsidR="001E6A93" w:rsidRPr="00FD514D">
              <w:rPr>
                <w:rFonts w:cs="Arial"/>
                <w:lang w:val="es-ES"/>
              </w:rPr>
              <w:t xml:space="preserve">. </w:t>
            </w:r>
          </w:p>
        </w:tc>
        <w:tc>
          <w:tcPr>
            <w:tcW w:w="3332" w:type="dxa"/>
          </w:tcPr>
          <w:p w14:paraId="080F5979" w14:textId="77777777" w:rsidR="00A36FF0" w:rsidRPr="00FD514D" w:rsidRDefault="00F20D35" w:rsidP="005D3354">
            <w:pPr>
              <w:pStyle w:val="NoSpacing"/>
              <w:ind w:left="0" w:firstLine="0"/>
              <w:rPr>
                <w:lang w:val="es-ES"/>
              </w:rPr>
            </w:pPr>
            <w:r w:rsidRPr="00FD514D">
              <w:rPr>
                <w:lang w:val="es-ES"/>
              </w:rPr>
              <w:lastRenderedPageBreak/>
              <w:t xml:space="preserve">Los </w:t>
            </w:r>
            <w:r w:rsidR="00C45197" w:rsidRPr="00FD514D">
              <w:rPr>
                <w:lang w:val="es-ES"/>
              </w:rPr>
              <w:t>a</w:t>
            </w:r>
            <w:r w:rsidR="00762688" w:rsidRPr="00FD514D">
              <w:rPr>
                <w:lang w:val="es-ES"/>
              </w:rPr>
              <w:t>rtículo</w:t>
            </w:r>
            <w:r w:rsidRPr="00FD514D">
              <w:rPr>
                <w:lang w:val="es-ES"/>
              </w:rPr>
              <w:t>s</w:t>
            </w:r>
            <w:r w:rsidR="00A36FF0" w:rsidRPr="00FD514D">
              <w:rPr>
                <w:lang w:val="es-ES"/>
              </w:rPr>
              <w:t xml:space="preserve"> 6 </w:t>
            </w:r>
            <w:r w:rsidRPr="00FD514D">
              <w:rPr>
                <w:lang w:val="es-ES"/>
              </w:rPr>
              <w:t xml:space="preserve">y </w:t>
            </w:r>
            <w:r w:rsidR="00A36FF0" w:rsidRPr="00FD514D">
              <w:rPr>
                <w:lang w:val="es-ES"/>
              </w:rPr>
              <w:t xml:space="preserve">7 </w:t>
            </w:r>
            <w:r w:rsidRPr="00FD514D">
              <w:rPr>
                <w:lang w:val="es-ES"/>
              </w:rPr>
              <w:t xml:space="preserve">deberían </w:t>
            </w:r>
            <w:r w:rsidR="00B357A8" w:rsidRPr="00FD514D">
              <w:rPr>
                <w:lang w:val="es-ES"/>
              </w:rPr>
              <w:t xml:space="preserve">ser </w:t>
            </w:r>
            <w:r w:rsidR="00471F48" w:rsidRPr="00FD514D">
              <w:rPr>
                <w:lang w:val="es-ES"/>
              </w:rPr>
              <w:t>unific</w:t>
            </w:r>
            <w:r w:rsidR="00B357A8" w:rsidRPr="00FD514D">
              <w:rPr>
                <w:lang w:val="es-ES"/>
              </w:rPr>
              <w:t xml:space="preserve">ados en un solo </w:t>
            </w:r>
            <w:r w:rsidR="00C45197" w:rsidRPr="00FD514D">
              <w:rPr>
                <w:lang w:val="es-ES"/>
              </w:rPr>
              <w:t>a</w:t>
            </w:r>
            <w:r w:rsidR="00762688" w:rsidRPr="00FD514D">
              <w:rPr>
                <w:lang w:val="es-ES"/>
              </w:rPr>
              <w:t>rtículo</w:t>
            </w:r>
            <w:r w:rsidR="00A36FF0" w:rsidRPr="00FD514D">
              <w:rPr>
                <w:lang w:val="es-ES"/>
              </w:rPr>
              <w:t xml:space="preserve"> </w:t>
            </w:r>
            <w:r w:rsidR="00E4673D" w:rsidRPr="00FD514D">
              <w:rPr>
                <w:lang w:val="es-ES"/>
              </w:rPr>
              <w:t xml:space="preserve">cuya aplicación </w:t>
            </w:r>
            <w:r w:rsidR="008802FD" w:rsidRPr="00FD514D">
              <w:rPr>
                <w:lang w:val="es-ES"/>
              </w:rPr>
              <w:t xml:space="preserve">en lo concerniente a los observadores </w:t>
            </w:r>
            <w:r w:rsidR="00E4673D" w:rsidRPr="00FD514D">
              <w:rPr>
                <w:lang w:val="es-ES"/>
              </w:rPr>
              <w:t>sea clara y coherente</w:t>
            </w:r>
            <w:r w:rsidR="008802FD" w:rsidRPr="00FD514D">
              <w:rPr>
                <w:lang w:val="es-ES"/>
              </w:rPr>
              <w:t>.</w:t>
            </w:r>
            <w:r w:rsidR="00502459" w:rsidRPr="00FD514D">
              <w:rPr>
                <w:lang w:val="es-ES"/>
              </w:rPr>
              <w:t xml:space="preserve"> </w:t>
            </w:r>
          </w:p>
          <w:p w14:paraId="4FE82CD4" w14:textId="77777777" w:rsidR="00A36FF0" w:rsidRPr="00FD514D" w:rsidRDefault="00A36FF0" w:rsidP="005D3354">
            <w:pPr>
              <w:pStyle w:val="NoSpacing"/>
              <w:ind w:left="0" w:firstLine="0"/>
              <w:rPr>
                <w:lang w:val="es-ES"/>
              </w:rPr>
            </w:pPr>
          </w:p>
          <w:p w14:paraId="190CB1DC" w14:textId="4B2EB2A3" w:rsidR="00A36FF0" w:rsidRPr="00FD514D" w:rsidRDefault="00762688" w:rsidP="005940BF">
            <w:pPr>
              <w:pStyle w:val="NoSpacing"/>
              <w:ind w:left="0" w:firstLine="0"/>
              <w:rPr>
                <w:lang w:val="es-ES"/>
              </w:rPr>
            </w:pPr>
            <w:r w:rsidRPr="00FD514D">
              <w:rPr>
                <w:lang w:val="es-ES"/>
              </w:rPr>
              <w:t>Artículo</w:t>
            </w:r>
            <w:r w:rsidR="00A36FF0" w:rsidRPr="00FD514D">
              <w:rPr>
                <w:lang w:val="es-ES"/>
              </w:rPr>
              <w:t xml:space="preserve"> 7.5: </w:t>
            </w:r>
            <w:r w:rsidR="00C45197" w:rsidRPr="00FD514D">
              <w:rPr>
                <w:lang w:val="es-ES"/>
              </w:rPr>
              <w:t>S</w:t>
            </w:r>
            <w:r w:rsidR="008802FD" w:rsidRPr="00FD514D">
              <w:rPr>
                <w:lang w:val="es-ES"/>
              </w:rPr>
              <w:t xml:space="preserve">i la intención de las Partes es que </w:t>
            </w:r>
            <w:r w:rsidR="006A44F7" w:rsidRPr="00FD514D">
              <w:rPr>
                <w:lang w:val="es-ES"/>
              </w:rPr>
              <w:t>un observador pueda redactar (o anunciar) una propuesta que, a su vez, será presentada por una Parte Contratante, esto se debería indicar claramente. Esta aclaración</w:t>
            </w:r>
            <w:r w:rsidR="005501A0" w:rsidRPr="00FD514D">
              <w:rPr>
                <w:lang w:val="es-ES"/>
              </w:rPr>
              <w:t xml:space="preserve"> podría consistir en </w:t>
            </w:r>
            <w:r w:rsidR="00C45197" w:rsidRPr="00FD514D">
              <w:rPr>
                <w:lang w:val="es-ES"/>
              </w:rPr>
              <w:t>a</w:t>
            </w:r>
            <w:r w:rsidRPr="00FD514D">
              <w:rPr>
                <w:lang w:val="es-ES"/>
              </w:rPr>
              <w:t>rtículo</w:t>
            </w:r>
            <w:r w:rsidR="005501A0" w:rsidRPr="00FD514D">
              <w:rPr>
                <w:lang w:val="es-ES"/>
              </w:rPr>
              <w:t>s titulados</w:t>
            </w:r>
            <w:r w:rsidR="00C45197" w:rsidRPr="00FD514D">
              <w:rPr>
                <w:lang w:val="es-ES"/>
              </w:rPr>
              <w:t>,</w:t>
            </w:r>
            <w:r w:rsidR="005501A0" w:rsidRPr="00FD514D">
              <w:rPr>
                <w:lang w:val="es-ES"/>
              </w:rPr>
              <w:t xml:space="preserve"> </w:t>
            </w:r>
            <w:r w:rsidR="00C45197" w:rsidRPr="00FD514D">
              <w:rPr>
                <w:lang w:val="es-ES"/>
              </w:rPr>
              <w:t xml:space="preserve">por ejemplo, </w:t>
            </w:r>
            <w:r w:rsidR="00980900">
              <w:rPr>
                <w:lang w:val="es-ES"/>
              </w:rPr>
              <w:t>“</w:t>
            </w:r>
            <w:r w:rsidR="005501A0" w:rsidRPr="00FD514D">
              <w:rPr>
                <w:lang w:val="es-ES"/>
              </w:rPr>
              <w:t>Redacción de propuestas</w:t>
            </w:r>
            <w:r w:rsidR="00980900">
              <w:rPr>
                <w:lang w:val="es-ES"/>
              </w:rPr>
              <w:t>”</w:t>
            </w:r>
            <w:r w:rsidR="005501A0" w:rsidRPr="00FD514D">
              <w:rPr>
                <w:lang w:val="es-ES"/>
              </w:rPr>
              <w:t xml:space="preserve"> y </w:t>
            </w:r>
            <w:r w:rsidR="00980900">
              <w:rPr>
                <w:lang w:val="es-ES"/>
              </w:rPr>
              <w:t>“</w:t>
            </w:r>
            <w:r w:rsidR="005501A0" w:rsidRPr="00FD514D">
              <w:rPr>
                <w:lang w:val="es-ES"/>
              </w:rPr>
              <w:t>Presentación de propuestas</w:t>
            </w:r>
            <w:r w:rsidR="00980900">
              <w:rPr>
                <w:lang w:val="es-ES"/>
              </w:rPr>
              <w:t>”</w:t>
            </w:r>
            <w:r w:rsidR="005501A0" w:rsidRPr="00FD514D">
              <w:rPr>
                <w:lang w:val="es-ES"/>
              </w:rPr>
              <w:t xml:space="preserve">, </w:t>
            </w:r>
            <w:r w:rsidR="001757F9" w:rsidRPr="00FD514D">
              <w:rPr>
                <w:lang w:val="es-ES"/>
              </w:rPr>
              <w:t xml:space="preserve">(tal y como se ha recomendado antes con respecto </w:t>
            </w:r>
            <w:r w:rsidR="001757F9" w:rsidRPr="00FD514D">
              <w:rPr>
                <w:lang w:val="es-ES"/>
              </w:rPr>
              <w:lastRenderedPageBreak/>
              <w:t xml:space="preserve">al </w:t>
            </w:r>
            <w:r w:rsidR="00980900">
              <w:rPr>
                <w:lang w:val="es-ES"/>
              </w:rPr>
              <w:t>“</w:t>
            </w:r>
            <w:r w:rsidR="00C45197" w:rsidRPr="00FD514D">
              <w:rPr>
                <w:lang w:val="es-ES"/>
              </w:rPr>
              <w:t>A</w:t>
            </w:r>
            <w:r w:rsidRPr="00FD514D">
              <w:rPr>
                <w:lang w:val="es-ES"/>
              </w:rPr>
              <w:t>rtículo</w:t>
            </w:r>
            <w:r w:rsidR="00A36FF0" w:rsidRPr="00FD514D">
              <w:rPr>
                <w:lang w:val="es-ES"/>
              </w:rPr>
              <w:t xml:space="preserve"> 5: Notifica</w:t>
            </w:r>
            <w:r w:rsidR="001757F9" w:rsidRPr="00FD514D">
              <w:rPr>
                <w:lang w:val="es-ES"/>
              </w:rPr>
              <w:t>ción</w:t>
            </w:r>
            <w:r w:rsidR="00980900">
              <w:rPr>
                <w:lang w:val="es-ES"/>
              </w:rPr>
              <w:t>”</w:t>
            </w:r>
            <w:r w:rsidR="00A36FF0" w:rsidRPr="00FD514D">
              <w:rPr>
                <w:lang w:val="es-ES"/>
              </w:rPr>
              <w:t>).</w:t>
            </w:r>
          </w:p>
          <w:p w14:paraId="17100D88" w14:textId="77777777" w:rsidR="00A36FF0" w:rsidRPr="00FD514D" w:rsidRDefault="00A36FF0" w:rsidP="005940BF">
            <w:pPr>
              <w:pStyle w:val="NoSpacing"/>
              <w:ind w:left="0" w:firstLine="0"/>
              <w:rPr>
                <w:lang w:val="es-ES"/>
              </w:rPr>
            </w:pPr>
          </w:p>
          <w:p w14:paraId="5DE3CE41" w14:textId="1C01093E" w:rsidR="00A36FF0" w:rsidRPr="00FD514D" w:rsidRDefault="00762688" w:rsidP="005940BF">
            <w:pPr>
              <w:pStyle w:val="NoSpacing"/>
              <w:ind w:left="0" w:firstLine="0"/>
              <w:rPr>
                <w:lang w:val="es-ES"/>
              </w:rPr>
            </w:pPr>
            <w:r w:rsidRPr="00FD514D">
              <w:rPr>
                <w:lang w:val="es-ES"/>
              </w:rPr>
              <w:t>Artículo</w:t>
            </w:r>
            <w:r w:rsidR="00A36FF0" w:rsidRPr="00FD514D">
              <w:rPr>
                <w:lang w:val="es-ES"/>
              </w:rPr>
              <w:t xml:space="preserve"> 7.7: </w:t>
            </w:r>
            <w:r w:rsidR="001757F9" w:rsidRPr="00FD514D">
              <w:rPr>
                <w:lang w:val="es-ES"/>
              </w:rPr>
              <w:t xml:space="preserve">Aclarar </w:t>
            </w:r>
            <w:r w:rsidR="00107989" w:rsidRPr="00FD514D">
              <w:rPr>
                <w:lang w:val="es-ES"/>
              </w:rPr>
              <w:t xml:space="preserve">que la lista de observadores que la Secretaría ha de facilitar a la COP debe ser </w:t>
            </w:r>
            <w:r w:rsidR="00F806ED" w:rsidRPr="00FD514D">
              <w:rPr>
                <w:lang w:val="es-ES"/>
              </w:rPr>
              <w:t xml:space="preserve">aprobada por la COP, de acuerdo con los </w:t>
            </w:r>
            <w:r w:rsidR="00113B3E" w:rsidRPr="00FD514D">
              <w:rPr>
                <w:lang w:val="es-ES"/>
              </w:rPr>
              <w:t>a</w:t>
            </w:r>
            <w:r w:rsidRPr="00FD514D">
              <w:rPr>
                <w:lang w:val="es-ES"/>
              </w:rPr>
              <w:t>rtículo</w:t>
            </w:r>
            <w:r w:rsidR="00F806ED" w:rsidRPr="00FD514D">
              <w:rPr>
                <w:lang w:val="es-ES"/>
              </w:rPr>
              <w:t>s</w:t>
            </w:r>
            <w:r w:rsidR="00502459" w:rsidRPr="00FD514D">
              <w:rPr>
                <w:lang w:val="es-ES"/>
              </w:rPr>
              <w:t xml:space="preserve"> </w:t>
            </w:r>
            <w:r w:rsidR="00A36FF0" w:rsidRPr="00FD514D">
              <w:rPr>
                <w:lang w:val="es-ES"/>
              </w:rPr>
              <w:t xml:space="preserve">7.1, 7.2 </w:t>
            </w:r>
            <w:r w:rsidR="00F806ED" w:rsidRPr="00FD514D">
              <w:rPr>
                <w:lang w:val="es-ES"/>
              </w:rPr>
              <w:t>y</w:t>
            </w:r>
            <w:r w:rsidR="00502459" w:rsidRPr="00FD514D">
              <w:rPr>
                <w:lang w:val="es-ES"/>
              </w:rPr>
              <w:t xml:space="preserve"> </w:t>
            </w:r>
            <w:r w:rsidR="00A36FF0" w:rsidRPr="00FD514D">
              <w:rPr>
                <w:lang w:val="es-ES"/>
              </w:rPr>
              <w:t>7.3.</w:t>
            </w:r>
            <w:r w:rsidR="00502459" w:rsidRPr="00FD514D">
              <w:rPr>
                <w:lang w:val="es-ES"/>
              </w:rPr>
              <w:t xml:space="preserve"> </w:t>
            </w:r>
            <w:r w:rsidR="008E2A54" w:rsidRPr="00FD514D">
              <w:rPr>
                <w:lang w:val="es-ES"/>
              </w:rPr>
              <w:t xml:space="preserve">Evitar </w:t>
            </w:r>
            <w:r w:rsidR="00152AA2" w:rsidRPr="00FD514D">
              <w:rPr>
                <w:lang w:val="es-ES"/>
              </w:rPr>
              <w:t xml:space="preserve">emplear los términos </w:t>
            </w:r>
            <w:r w:rsidR="00855E6E">
              <w:rPr>
                <w:lang w:val="es-ES"/>
              </w:rPr>
              <w:t>‘</w:t>
            </w:r>
            <w:r w:rsidR="00152AA2" w:rsidRPr="00FD514D">
              <w:rPr>
                <w:lang w:val="es-ES"/>
              </w:rPr>
              <w:t>reconocido</w:t>
            </w:r>
            <w:r w:rsidR="00855E6E">
              <w:rPr>
                <w:lang w:val="es-ES"/>
              </w:rPr>
              <w:t>’</w:t>
            </w:r>
            <w:r w:rsidR="00152AA2" w:rsidRPr="00FD514D">
              <w:rPr>
                <w:lang w:val="es-ES"/>
              </w:rPr>
              <w:t xml:space="preserve"> y </w:t>
            </w:r>
            <w:r w:rsidR="00855E6E">
              <w:rPr>
                <w:lang w:val="es-ES"/>
              </w:rPr>
              <w:t>‘</w:t>
            </w:r>
            <w:r w:rsidR="00152AA2" w:rsidRPr="00FD514D">
              <w:rPr>
                <w:lang w:val="es-ES"/>
              </w:rPr>
              <w:t>aprobado</w:t>
            </w:r>
            <w:r w:rsidR="00855E6E">
              <w:rPr>
                <w:lang w:val="es-ES"/>
              </w:rPr>
              <w:t>’</w:t>
            </w:r>
            <w:r w:rsidR="00152AA2" w:rsidRPr="00FD514D">
              <w:rPr>
                <w:lang w:val="es-ES"/>
              </w:rPr>
              <w:t xml:space="preserve"> indistintamente; </w:t>
            </w:r>
            <w:r w:rsidR="003D3092" w:rsidRPr="00FD514D">
              <w:rPr>
                <w:lang w:val="es-ES"/>
              </w:rPr>
              <w:t xml:space="preserve">y </w:t>
            </w:r>
            <w:r w:rsidR="00113B3E" w:rsidRPr="00FD514D">
              <w:rPr>
                <w:lang w:val="es-ES"/>
              </w:rPr>
              <w:t xml:space="preserve">elegir </w:t>
            </w:r>
            <w:r w:rsidR="003D3092" w:rsidRPr="00FD514D">
              <w:rPr>
                <w:lang w:val="es-ES"/>
              </w:rPr>
              <w:t xml:space="preserve">uno de estos términos y emplearlo de forma sistemática. </w:t>
            </w:r>
          </w:p>
          <w:p w14:paraId="076C8821" w14:textId="77777777" w:rsidR="00A36FF0" w:rsidRPr="00FD514D" w:rsidRDefault="00A36FF0" w:rsidP="005940BF">
            <w:pPr>
              <w:pStyle w:val="NoSpacing"/>
              <w:ind w:left="0" w:firstLine="0"/>
              <w:rPr>
                <w:lang w:val="es-ES"/>
              </w:rPr>
            </w:pPr>
          </w:p>
          <w:p w14:paraId="69AF1EC5" w14:textId="511E6120" w:rsidR="00A36FF0" w:rsidRPr="00FD514D" w:rsidRDefault="00152AA2" w:rsidP="008676A6">
            <w:pPr>
              <w:pStyle w:val="NoSpacing"/>
              <w:ind w:left="0" w:firstLine="0"/>
              <w:rPr>
                <w:lang w:val="es-ES"/>
              </w:rPr>
            </w:pPr>
            <w:r w:rsidRPr="00FD514D">
              <w:rPr>
                <w:lang w:val="es-ES"/>
              </w:rPr>
              <w:t>Véase</w:t>
            </w:r>
            <w:r w:rsidR="00502459" w:rsidRPr="00FD514D">
              <w:rPr>
                <w:lang w:val="es-ES"/>
              </w:rPr>
              <w:t xml:space="preserve"> </w:t>
            </w:r>
            <w:r w:rsidRPr="00FD514D">
              <w:rPr>
                <w:lang w:val="es-ES"/>
              </w:rPr>
              <w:t xml:space="preserve">también la recomendación sobre la definición de </w:t>
            </w:r>
            <w:r w:rsidR="00855E6E">
              <w:rPr>
                <w:lang w:val="es-ES"/>
              </w:rPr>
              <w:t>‘</w:t>
            </w:r>
            <w:r w:rsidRPr="00FD514D">
              <w:rPr>
                <w:lang w:val="es-ES"/>
              </w:rPr>
              <w:t>propuesta</w:t>
            </w:r>
            <w:r w:rsidR="00855E6E">
              <w:rPr>
                <w:lang w:val="es-ES"/>
              </w:rPr>
              <w:t>’</w:t>
            </w:r>
            <w:r w:rsidRPr="00FD514D">
              <w:rPr>
                <w:lang w:val="es-ES"/>
              </w:rPr>
              <w:t xml:space="preserve"> en el</w:t>
            </w:r>
            <w:r w:rsidR="002376B7" w:rsidRPr="00FD514D">
              <w:rPr>
                <w:lang w:val="es-ES"/>
              </w:rPr>
              <w:t xml:space="preserve"> a</w:t>
            </w:r>
            <w:r w:rsidR="00762688" w:rsidRPr="00FD514D">
              <w:rPr>
                <w:lang w:val="es-ES"/>
              </w:rPr>
              <w:t>rtículo</w:t>
            </w:r>
            <w:r w:rsidR="00A36FF0" w:rsidRPr="00FD514D">
              <w:rPr>
                <w:lang w:val="es-ES"/>
              </w:rPr>
              <w:t xml:space="preserve"> 2(g). </w:t>
            </w:r>
          </w:p>
        </w:tc>
      </w:tr>
      <w:tr w:rsidR="00D50999" w:rsidRPr="00070719" w14:paraId="76F5BE65" w14:textId="77777777" w:rsidTr="00980900">
        <w:tc>
          <w:tcPr>
            <w:tcW w:w="578" w:type="dxa"/>
          </w:tcPr>
          <w:p w14:paraId="6D89870C" w14:textId="77777777" w:rsidR="00A36FF0" w:rsidRPr="00FD514D" w:rsidRDefault="00B46BFD" w:rsidP="00B46BFD">
            <w:pPr>
              <w:pStyle w:val="NoSpacing"/>
              <w:ind w:left="0" w:firstLine="0"/>
              <w:rPr>
                <w:lang w:val="es-ES"/>
              </w:rPr>
            </w:pPr>
            <w:r w:rsidRPr="00FD514D">
              <w:rPr>
                <w:lang w:val="es-ES"/>
              </w:rPr>
              <w:lastRenderedPageBreak/>
              <w:t>6</w:t>
            </w:r>
          </w:p>
        </w:tc>
        <w:tc>
          <w:tcPr>
            <w:tcW w:w="1939" w:type="dxa"/>
          </w:tcPr>
          <w:p w14:paraId="500ED5C3" w14:textId="77777777" w:rsidR="00A36FF0" w:rsidRPr="00FD514D" w:rsidRDefault="00762688" w:rsidP="0078688F">
            <w:pPr>
              <w:pStyle w:val="NoSpacing"/>
              <w:ind w:left="0" w:firstLine="0"/>
              <w:rPr>
                <w:lang w:val="es-ES"/>
              </w:rPr>
            </w:pPr>
            <w:r w:rsidRPr="00FD514D">
              <w:rPr>
                <w:lang w:val="es-ES"/>
              </w:rPr>
              <w:t>Artículo</w:t>
            </w:r>
            <w:r w:rsidR="000C061B" w:rsidRPr="00FD514D">
              <w:rPr>
                <w:lang w:val="es-ES"/>
              </w:rPr>
              <w:t xml:space="preserve"> </w:t>
            </w:r>
            <w:r w:rsidR="00A36FF0" w:rsidRPr="00FD514D">
              <w:rPr>
                <w:lang w:val="es-ES"/>
              </w:rPr>
              <w:t>8</w:t>
            </w:r>
            <w:r w:rsidR="00B46BFD" w:rsidRPr="00FD514D">
              <w:rPr>
                <w:lang w:val="es-ES"/>
              </w:rPr>
              <w:t>:</w:t>
            </w:r>
            <w:r w:rsidR="00A36FF0" w:rsidRPr="00FD514D">
              <w:rPr>
                <w:lang w:val="es-ES"/>
              </w:rPr>
              <w:t xml:space="preserve"> Prepara</w:t>
            </w:r>
            <w:r w:rsidR="00374880" w:rsidRPr="00FD514D">
              <w:rPr>
                <w:lang w:val="es-ES"/>
              </w:rPr>
              <w:t xml:space="preserve">ción del orden del día </w:t>
            </w:r>
            <w:r w:rsidR="00374880" w:rsidRPr="00FD514D">
              <w:rPr>
                <w:lang w:val="es-ES"/>
              </w:rPr>
              <w:lastRenderedPageBreak/>
              <w:t>provision</w:t>
            </w:r>
            <w:r w:rsidR="00422501" w:rsidRPr="00FD514D">
              <w:rPr>
                <w:lang w:val="es-ES"/>
              </w:rPr>
              <w:t>al</w:t>
            </w:r>
            <w:r w:rsidR="00374880" w:rsidRPr="00FD514D">
              <w:rPr>
                <w:lang w:val="es-ES"/>
              </w:rPr>
              <w:t xml:space="preserve"> </w:t>
            </w:r>
          </w:p>
        </w:tc>
        <w:tc>
          <w:tcPr>
            <w:tcW w:w="3331" w:type="dxa"/>
          </w:tcPr>
          <w:p w14:paraId="642B8429" w14:textId="77777777" w:rsidR="00A36FF0" w:rsidRPr="00FD514D" w:rsidRDefault="005B63F5" w:rsidP="00537612">
            <w:pPr>
              <w:pStyle w:val="NoSpacing"/>
              <w:ind w:left="0" w:firstLine="0"/>
              <w:rPr>
                <w:lang w:val="es-ES"/>
              </w:rPr>
            </w:pPr>
            <w:r w:rsidRPr="00FD514D">
              <w:rPr>
                <w:lang w:val="es-ES"/>
              </w:rPr>
              <w:lastRenderedPageBreak/>
              <w:t xml:space="preserve">La Secretaría preparará el orden del día provisional </w:t>
            </w:r>
            <w:r w:rsidR="00D6497E" w:rsidRPr="00FD514D">
              <w:rPr>
                <w:lang w:val="es-ES"/>
              </w:rPr>
              <w:t>para la</w:t>
            </w:r>
            <w:r w:rsidRPr="00FD514D">
              <w:rPr>
                <w:lang w:val="es-ES"/>
              </w:rPr>
              <w:t xml:space="preserve"> reunión </w:t>
            </w:r>
            <w:r w:rsidR="00D6497E" w:rsidRPr="00FD514D">
              <w:rPr>
                <w:lang w:val="es-ES"/>
              </w:rPr>
              <w:t xml:space="preserve">de la COP </w:t>
            </w:r>
            <w:r w:rsidRPr="00FD514D">
              <w:rPr>
                <w:lang w:val="es-ES"/>
              </w:rPr>
              <w:t xml:space="preserve">para que </w:t>
            </w:r>
            <w:r w:rsidR="00D6497E" w:rsidRPr="00FD514D">
              <w:rPr>
                <w:lang w:val="es-ES"/>
              </w:rPr>
              <w:t xml:space="preserve">sea examinado </w:t>
            </w:r>
            <w:r w:rsidR="00D6497E" w:rsidRPr="00FD514D">
              <w:rPr>
                <w:lang w:val="es-ES"/>
              </w:rPr>
              <w:lastRenderedPageBreak/>
              <w:t xml:space="preserve">por </w:t>
            </w:r>
            <w:r w:rsidRPr="00FD514D">
              <w:rPr>
                <w:lang w:val="es-ES"/>
              </w:rPr>
              <w:t>el Comité Permanente en su reunión anual del año siguiente a la reunión</w:t>
            </w:r>
            <w:r w:rsidR="00537612" w:rsidRPr="00FD514D">
              <w:rPr>
                <w:lang w:val="es-ES"/>
              </w:rPr>
              <w:t xml:space="preserve"> anterior</w:t>
            </w:r>
            <w:r w:rsidRPr="00FD514D">
              <w:rPr>
                <w:lang w:val="es-ES"/>
              </w:rPr>
              <w:t xml:space="preserve"> de la C</w:t>
            </w:r>
            <w:r w:rsidR="00537612" w:rsidRPr="00FD514D">
              <w:rPr>
                <w:lang w:val="es-ES"/>
              </w:rPr>
              <w:t>OP. Esto significa que el orden del día provisional debe ser preparado dos años antes de la reunión de la COP.</w:t>
            </w:r>
            <w:r w:rsidR="00502459" w:rsidRPr="00FD514D">
              <w:rPr>
                <w:lang w:val="es-ES"/>
              </w:rPr>
              <w:t xml:space="preserve"> </w:t>
            </w:r>
            <w:r w:rsidR="004509C3" w:rsidRPr="00FD514D">
              <w:rPr>
                <w:lang w:val="es-ES"/>
              </w:rPr>
              <w:t>Cab</w:t>
            </w:r>
            <w:r w:rsidR="005E274E" w:rsidRPr="00FD514D">
              <w:rPr>
                <w:lang w:val="es-ES"/>
              </w:rPr>
              <w:t>e</w:t>
            </w:r>
            <w:r w:rsidR="004509C3" w:rsidRPr="00FD514D">
              <w:rPr>
                <w:lang w:val="es-ES"/>
              </w:rPr>
              <w:t xml:space="preserve"> preguntarse si esto es eficiente y necesario, sobre todo </w:t>
            </w:r>
            <w:r w:rsidR="007C593D" w:rsidRPr="00FD514D">
              <w:rPr>
                <w:lang w:val="es-ES"/>
              </w:rPr>
              <w:t>si se tienen en cuenta los</w:t>
            </w:r>
            <w:r w:rsidR="00CD4730" w:rsidRPr="00FD514D">
              <w:rPr>
                <w:lang w:val="es-ES"/>
              </w:rPr>
              <w:t xml:space="preserve"> acontecimientos probables que puedan acaecer a lo largo de los dos años</w:t>
            </w:r>
            <w:r w:rsidR="005E274E" w:rsidRPr="00FD514D">
              <w:rPr>
                <w:lang w:val="es-ES"/>
              </w:rPr>
              <w:t xml:space="preserve"> subsiguientes</w:t>
            </w:r>
            <w:r w:rsidR="00CD4730" w:rsidRPr="00FD514D">
              <w:rPr>
                <w:lang w:val="es-ES"/>
              </w:rPr>
              <w:t xml:space="preserve">. </w:t>
            </w:r>
          </w:p>
        </w:tc>
        <w:tc>
          <w:tcPr>
            <w:tcW w:w="3332" w:type="dxa"/>
          </w:tcPr>
          <w:p w14:paraId="747A0F6E" w14:textId="77777777" w:rsidR="00A36FF0" w:rsidRPr="00FD514D" w:rsidRDefault="00EE32B9" w:rsidP="0078688F">
            <w:pPr>
              <w:pStyle w:val="NoSpacing"/>
              <w:ind w:left="0" w:firstLine="0"/>
              <w:rPr>
                <w:lang w:val="es-ES"/>
              </w:rPr>
            </w:pPr>
            <w:r w:rsidRPr="00FD514D">
              <w:rPr>
                <w:lang w:val="es-ES"/>
              </w:rPr>
              <w:lastRenderedPageBreak/>
              <w:t xml:space="preserve">Plantear la modificación de este </w:t>
            </w:r>
            <w:r w:rsidR="005E274E" w:rsidRPr="00FD514D">
              <w:rPr>
                <w:lang w:val="es-ES"/>
              </w:rPr>
              <w:t>a</w:t>
            </w:r>
            <w:r w:rsidR="00762688" w:rsidRPr="00FD514D">
              <w:rPr>
                <w:lang w:val="es-ES"/>
              </w:rPr>
              <w:t>rtículo</w:t>
            </w:r>
            <w:r w:rsidR="00A36FF0" w:rsidRPr="00FD514D">
              <w:rPr>
                <w:lang w:val="es-ES"/>
              </w:rPr>
              <w:t xml:space="preserve"> </w:t>
            </w:r>
            <w:r w:rsidRPr="00FD514D">
              <w:rPr>
                <w:lang w:val="es-ES"/>
              </w:rPr>
              <w:t xml:space="preserve">para exigir que el orden del día provisional esté disponible </w:t>
            </w:r>
            <w:r w:rsidR="00FB4EA0" w:rsidRPr="00FD514D">
              <w:rPr>
                <w:lang w:val="es-ES"/>
              </w:rPr>
              <w:lastRenderedPageBreak/>
              <w:t>con un año de antelación a la COP (por ejemplo)</w:t>
            </w:r>
            <w:r w:rsidR="00A36FF0" w:rsidRPr="00FD514D">
              <w:rPr>
                <w:lang w:val="es-ES"/>
              </w:rPr>
              <w:t>.</w:t>
            </w:r>
            <w:r w:rsidR="00523DF8" w:rsidRPr="00FD514D">
              <w:rPr>
                <w:rStyle w:val="FootnoteReference"/>
                <w:lang w:val="es-ES"/>
              </w:rPr>
              <w:footnoteReference w:id="8"/>
            </w:r>
          </w:p>
          <w:p w14:paraId="09AED671" w14:textId="77777777" w:rsidR="002A3125" w:rsidRPr="00FD514D" w:rsidRDefault="002A3125" w:rsidP="0078688F">
            <w:pPr>
              <w:pStyle w:val="NoSpacing"/>
              <w:ind w:left="0" w:firstLine="0"/>
              <w:rPr>
                <w:lang w:val="es-ES"/>
              </w:rPr>
            </w:pPr>
          </w:p>
          <w:p w14:paraId="13655AAF" w14:textId="77777777" w:rsidR="002A3125" w:rsidRPr="00FD514D" w:rsidRDefault="002A3125" w:rsidP="0078688F">
            <w:pPr>
              <w:pStyle w:val="NoSpacing"/>
              <w:ind w:left="0" w:firstLine="0"/>
              <w:rPr>
                <w:lang w:val="es-ES"/>
              </w:rPr>
            </w:pPr>
          </w:p>
          <w:p w14:paraId="3254B6CE" w14:textId="77777777" w:rsidR="002A3125" w:rsidRPr="00FD514D" w:rsidRDefault="002A3125" w:rsidP="005B63F5">
            <w:pPr>
              <w:pStyle w:val="NoSpacing"/>
              <w:ind w:left="0" w:firstLine="0"/>
              <w:rPr>
                <w:lang w:val="es-ES"/>
              </w:rPr>
            </w:pPr>
          </w:p>
        </w:tc>
      </w:tr>
      <w:tr w:rsidR="00D50999" w:rsidRPr="00070719" w14:paraId="1A25CD65" w14:textId="77777777" w:rsidTr="00980900">
        <w:tc>
          <w:tcPr>
            <w:tcW w:w="578" w:type="dxa"/>
          </w:tcPr>
          <w:p w14:paraId="4C96266C" w14:textId="77777777" w:rsidR="00A36FF0" w:rsidRPr="00FD514D" w:rsidRDefault="00F322DF" w:rsidP="0078688F">
            <w:pPr>
              <w:pStyle w:val="NoSpacing"/>
              <w:ind w:left="0" w:firstLine="0"/>
              <w:rPr>
                <w:lang w:val="es-ES"/>
              </w:rPr>
            </w:pPr>
            <w:r w:rsidRPr="00FD514D">
              <w:rPr>
                <w:lang w:val="es-ES"/>
              </w:rPr>
              <w:lastRenderedPageBreak/>
              <w:t>7</w:t>
            </w:r>
          </w:p>
        </w:tc>
        <w:tc>
          <w:tcPr>
            <w:tcW w:w="1939" w:type="dxa"/>
          </w:tcPr>
          <w:p w14:paraId="374CCF48" w14:textId="77777777" w:rsidR="00A36FF0" w:rsidRPr="00FD514D" w:rsidRDefault="00762688" w:rsidP="007729C9">
            <w:pPr>
              <w:pStyle w:val="NoSpacing"/>
              <w:ind w:left="0" w:firstLine="0"/>
              <w:rPr>
                <w:lang w:val="es-ES"/>
              </w:rPr>
            </w:pPr>
            <w:r w:rsidRPr="00FD514D">
              <w:rPr>
                <w:lang w:val="es-ES"/>
              </w:rPr>
              <w:t>Artículo</w:t>
            </w:r>
            <w:r w:rsidR="00B945BF" w:rsidRPr="00FD514D">
              <w:rPr>
                <w:lang w:val="es-ES"/>
              </w:rPr>
              <w:t>s</w:t>
            </w:r>
            <w:r w:rsidR="000C061B" w:rsidRPr="00FD514D">
              <w:rPr>
                <w:lang w:val="es-ES"/>
              </w:rPr>
              <w:t xml:space="preserve"> </w:t>
            </w:r>
            <w:r w:rsidR="00A36FF0" w:rsidRPr="00FD514D">
              <w:rPr>
                <w:lang w:val="es-ES"/>
              </w:rPr>
              <w:t>11</w:t>
            </w:r>
            <w:r w:rsidR="00B945BF" w:rsidRPr="00FD514D">
              <w:rPr>
                <w:lang w:val="es-ES"/>
              </w:rPr>
              <w:t xml:space="preserve"> </w:t>
            </w:r>
            <w:r w:rsidR="007729C9" w:rsidRPr="00FD514D">
              <w:rPr>
                <w:lang w:val="es-ES"/>
              </w:rPr>
              <w:t xml:space="preserve">- </w:t>
            </w:r>
            <w:r w:rsidR="00B945BF" w:rsidRPr="00FD514D">
              <w:rPr>
                <w:lang w:val="es-ES"/>
              </w:rPr>
              <w:t>12</w:t>
            </w:r>
            <w:r w:rsidR="0033575D" w:rsidRPr="00FD514D">
              <w:rPr>
                <w:lang w:val="es-ES"/>
              </w:rPr>
              <w:t>:</w:t>
            </w:r>
            <w:r w:rsidR="00A36FF0" w:rsidRPr="00FD514D">
              <w:rPr>
                <w:lang w:val="es-ES"/>
              </w:rPr>
              <w:t xml:space="preserve"> </w:t>
            </w:r>
            <w:r w:rsidR="005B62EB" w:rsidRPr="00FD514D">
              <w:rPr>
                <w:lang w:val="es-ES"/>
              </w:rPr>
              <w:t xml:space="preserve">Orden del día provisional </w:t>
            </w:r>
          </w:p>
        </w:tc>
        <w:tc>
          <w:tcPr>
            <w:tcW w:w="3331" w:type="dxa"/>
          </w:tcPr>
          <w:p w14:paraId="18B8D307" w14:textId="54BC9DC3" w:rsidR="00A36FF0" w:rsidRPr="00FD514D" w:rsidRDefault="008A23B6" w:rsidP="00EA45C0">
            <w:pPr>
              <w:pStyle w:val="NoSpacing"/>
              <w:ind w:left="0" w:firstLine="0"/>
              <w:rPr>
                <w:lang w:val="es-ES"/>
              </w:rPr>
            </w:pPr>
            <w:r w:rsidRPr="00FD514D">
              <w:rPr>
                <w:lang w:val="es-ES"/>
              </w:rPr>
              <w:t>Según el</w:t>
            </w:r>
            <w:r w:rsidR="00502459" w:rsidRPr="00FD514D">
              <w:rPr>
                <w:lang w:val="es-ES"/>
              </w:rPr>
              <w:t xml:space="preserve"> </w:t>
            </w:r>
            <w:r w:rsidR="001E0FD6" w:rsidRPr="00FD514D">
              <w:rPr>
                <w:lang w:val="es-ES"/>
              </w:rPr>
              <w:t>a</w:t>
            </w:r>
            <w:r w:rsidR="00762688" w:rsidRPr="00FD514D">
              <w:rPr>
                <w:lang w:val="es-ES"/>
              </w:rPr>
              <w:t>rtículo</w:t>
            </w:r>
            <w:r w:rsidR="00670B26" w:rsidRPr="00FD514D">
              <w:rPr>
                <w:lang w:val="es-ES"/>
              </w:rPr>
              <w:t xml:space="preserve"> 11, </w:t>
            </w:r>
            <w:r w:rsidR="00A471F8" w:rsidRPr="00FD514D">
              <w:rPr>
                <w:lang w:val="es-ES"/>
              </w:rPr>
              <w:t>la Secretaría</w:t>
            </w:r>
            <w:r w:rsidR="00C11344" w:rsidRPr="00FD514D">
              <w:rPr>
                <w:lang w:val="es-ES"/>
              </w:rPr>
              <w:t xml:space="preserve">, de acuerdo con la Presidencia, </w:t>
            </w:r>
            <w:r w:rsidR="00A471F8" w:rsidRPr="00FD514D">
              <w:rPr>
                <w:lang w:val="es-ES"/>
              </w:rPr>
              <w:t xml:space="preserve">puede incluir en un orden del día provisional suplementario </w:t>
            </w:r>
            <w:r w:rsidR="00072910" w:rsidRPr="00FD514D">
              <w:rPr>
                <w:lang w:val="es-ES"/>
              </w:rPr>
              <w:t>una propuesta recibida de una Parte después de la publicación del orden del día provisional</w:t>
            </w:r>
            <w:r w:rsidR="00502459" w:rsidRPr="00FD514D">
              <w:rPr>
                <w:lang w:val="es-ES"/>
              </w:rPr>
              <w:t xml:space="preserve"> </w:t>
            </w:r>
            <w:r w:rsidR="00A36FF0" w:rsidRPr="00FD514D">
              <w:rPr>
                <w:lang w:val="es-ES"/>
              </w:rPr>
              <w:t>(</w:t>
            </w:r>
            <w:r w:rsidR="006F761D" w:rsidRPr="00FD514D">
              <w:rPr>
                <w:lang w:val="es-ES"/>
              </w:rPr>
              <w:t xml:space="preserve">que se publica tres meses antes de una reunión de la </w:t>
            </w:r>
            <w:r w:rsidR="00A36FF0" w:rsidRPr="00FD514D">
              <w:rPr>
                <w:lang w:val="es-ES"/>
              </w:rPr>
              <w:t xml:space="preserve">COP). </w:t>
            </w:r>
          </w:p>
          <w:p w14:paraId="05846D2B" w14:textId="77777777" w:rsidR="00A36FF0" w:rsidRPr="00FD514D" w:rsidRDefault="00A36FF0" w:rsidP="00EA45C0">
            <w:pPr>
              <w:pStyle w:val="NoSpacing"/>
              <w:ind w:left="0" w:firstLine="0"/>
              <w:rPr>
                <w:lang w:val="es-ES"/>
              </w:rPr>
            </w:pPr>
          </w:p>
          <w:p w14:paraId="445CB1E2" w14:textId="1BF9E832" w:rsidR="00670B26" w:rsidRPr="00FD514D" w:rsidRDefault="006F761D" w:rsidP="00EA45C0">
            <w:pPr>
              <w:pStyle w:val="NoSpacing"/>
              <w:ind w:left="0" w:firstLine="0"/>
              <w:rPr>
                <w:lang w:val="es-ES"/>
              </w:rPr>
            </w:pPr>
            <w:r w:rsidRPr="00FD514D">
              <w:rPr>
                <w:lang w:val="es-ES"/>
              </w:rPr>
              <w:t xml:space="preserve">No obstante, </w:t>
            </w:r>
            <w:r w:rsidR="00276837" w:rsidRPr="00FD514D">
              <w:rPr>
                <w:lang w:val="es-ES"/>
              </w:rPr>
              <w:t>al no indicar</w:t>
            </w:r>
            <w:r w:rsidRPr="00FD514D">
              <w:rPr>
                <w:lang w:val="es-ES"/>
              </w:rPr>
              <w:t xml:space="preserve"> </w:t>
            </w:r>
            <w:r w:rsidR="00EB496B" w:rsidRPr="00FD514D">
              <w:rPr>
                <w:lang w:val="es-ES"/>
              </w:rPr>
              <w:t>un plazo</w:t>
            </w:r>
            <w:r w:rsidR="00502459" w:rsidRPr="00FD514D">
              <w:rPr>
                <w:lang w:val="es-ES"/>
              </w:rPr>
              <w:t xml:space="preserve"> </w:t>
            </w:r>
            <w:r w:rsidR="00EB496B" w:rsidRPr="00FD514D">
              <w:rPr>
                <w:lang w:val="es-ES"/>
              </w:rPr>
              <w:t>específico</w:t>
            </w:r>
            <w:r w:rsidR="00523DF8" w:rsidRPr="00FD514D">
              <w:rPr>
                <w:lang w:val="es-ES"/>
              </w:rPr>
              <w:t xml:space="preserve"> (</w:t>
            </w:r>
            <w:r w:rsidR="00980900">
              <w:rPr>
                <w:lang w:val="es-ES"/>
              </w:rPr>
              <w:t>“</w:t>
            </w:r>
            <w:r w:rsidR="00523DF8" w:rsidRPr="00FD514D">
              <w:rPr>
                <w:lang w:val="es-ES"/>
              </w:rPr>
              <w:t>…</w:t>
            </w:r>
            <w:r w:rsidR="000E364E" w:rsidRPr="00FD514D">
              <w:rPr>
                <w:lang w:val="es-ES"/>
              </w:rPr>
              <w:t>antes de la apertura de la reunión</w:t>
            </w:r>
            <w:r w:rsidR="00980900">
              <w:rPr>
                <w:lang w:val="es-ES"/>
              </w:rPr>
              <w:t>”</w:t>
            </w:r>
            <w:r w:rsidR="00523DF8" w:rsidRPr="00FD514D">
              <w:rPr>
                <w:lang w:val="es-ES"/>
              </w:rPr>
              <w:t>)</w:t>
            </w:r>
            <w:r w:rsidR="000E364E" w:rsidRPr="00FD514D">
              <w:rPr>
                <w:lang w:val="es-ES"/>
              </w:rPr>
              <w:t xml:space="preserve">, </w:t>
            </w:r>
            <w:r w:rsidR="00BE61B0" w:rsidRPr="00FD514D">
              <w:rPr>
                <w:lang w:val="es-ES"/>
              </w:rPr>
              <w:t xml:space="preserve">se </w:t>
            </w:r>
            <w:r w:rsidR="00B32786" w:rsidRPr="00FD514D">
              <w:rPr>
                <w:lang w:val="es-ES"/>
              </w:rPr>
              <w:t xml:space="preserve">podría </w:t>
            </w:r>
            <w:r w:rsidR="00BE61B0" w:rsidRPr="00FD514D">
              <w:rPr>
                <w:lang w:val="es-ES"/>
              </w:rPr>
              <w:t xml:space="preserve">encontrar con </w:t>
            </w:r>
            <w:r w:rsidR="00B32786" w:rsidRPr="00FD514D">
              <w:rPr>
                <w:lang w:val="es-ES"/>
              </w:rPr>
              <w:t xml:space="preserve">tiempo </w:t>
            </w:r>
            <w:r w:rsidR="00BE61B0" w:rsidRPr="00FD514D">
              <w:rPr>
                <w:lang w:val="es-ES"/>
              </w:rPr>
              <w:t>in</w:t>
            </w:r>
            <w:r w:rsidR="00B32786" w:rsidRPr="00FD514D">
              <w:rPr>
                <w:lang w:val="es-ES"/>
              </w:rPr>
              <w:t xml:space="preserve">suficiente </w:t>
            </w:r>
            <w:r w:rsidR="000E364E" w:rsidRPr="00FD514D">
              <w:rPr>
                <w:lang w:val="es-ES"/>
              </w:rPr>
              <w:t xml:space="preserve">para que </w:t>
            </w:r>
            <w:r w:rsidR="004E63BF" w:rsidRPr="00FD514D">
              <w:rPr>
                <w:lang w:val="es-ES"/>
              </w:rPr>
              <w:t>los documentos sean traducidos y examinados por las Partes antes de la reunión.</w:t>
            </w:r>
            <w:r w:rsidR="00502459" w:rsidRPr="00FD514D">
              <w:rPr>
                <w:lang w:val="es-ES"/>
              </w:rPr>
              <w:t xml:space="preserve"> </w:t>
            </w:r>
            <w:r w:rsidR="004E63BF" w:rsidRPr="00FD514D">
              <w:rPr>
                <w:lang w:val="es-ES"/>
              </w:rPr>
              <w:t xml:space="preserve">Esto </w:t>
            </w:r>
            <w:r w:rsidR="00A60522" w:rsidRPr="00FD514D">
              <w:rPr>
                <w:lang w:val="es-ES"/>
              </w:rPr>
              <w:t>no es compatible con el</w:t>
            </w:r>
            <w:r w:rsidR="004E63BF" w:rsidRPr="00FD514D">
              <w:rPr>
                <w:lang w:val="es-ES"/>
              </w:rPr>
              <w:t xml:space="preserve"> </w:t>
            </w:r>
            <w:r w:rsidR="00262770" w:rsidRPr="00FD514D">
              <w:rPr>
                <w:lang w:val="es-ES"/>
              </w:rPr>
              <w:t>a</w:t>
            </w:r>
            <w:r w:rsidR="00762688" w:rsidRPr="00FD514D">
              <w:rPr>
                <w:lang w:val="es-ES"/>
              </w:rPr>
              <w:t>rtículo</w:t>
            </w:r>
            <w:r w:rsidR="00A36FF0" w:rsidRPr="00FD514D">
              <w:rPr>
                <w:lang w:val="es-ES"/>
              </w:rPr>
              <w:t xml:space="preserve"> 50.1</w:t>
            </w:r>
            <w:r w:rsidR="004E63BF" w:rsidRPr="00FD514D">
              <w:rPr>
                <w:lang w:val="es-ES"/>
              </w:rPr>
              <w:t xml:space="preserve"> que requiere que todos los documentos oficiales de las reuniones </w:t>
            </w:r>
            <w:r w:rsidR="00471681" w:rsidRPr="00FD514D">
              <w:rPr>
                <w:lang w:val="es-ES"/>
              </w:rPr>
              <w:t>sean traducidos a los demás idiomas oficiales.</w:t>
            </w:r>
            <w:r w:rsidR="00502459" w:rsidRPr="00FD514D">
              <w:rPr>
                <w:lang w:val="es-ES"/>
              </w:rPr>
              <w:t xml:space="preserve"> </w:t>
            </w:r>
            <w:r w:rsidR="00471681" w:rsidRPr="00FD514D">
              <w:rPr>
                <w:lang w:val="es-ES"/>
              </w:rPr>
              <w:t xml:space="preserve">También </w:t>
            </w:r>
            <w:r w:rsidR="00C97E32" w:rsidRPr="00FD514D">
              <w:rPr>
                <w:lang w:val="es-ES"/>
              </w:rPr>
              <w:t xml:space="preserve">puede ser perjudicial si las Partes no pueden examinar los documentos debidamente. </w:t>
            </w:r>
          </w:p>
          <w:p w14:paraId="33210BD6" w14:textId="77777777" w:rsidR="00670B26" w:rsidRPr="00FD514D" w:rsidRDefault="00670B26" w:rsidP="00EA45C0">
            <w:pPr>
              <w:pStyle w:val="NoSpacing"/>
              <w:ind w:left="0" w:firstLine="0"/>
              <w:rPr>
                <w:lang w:val="es-ES"/>
              </w:rPr>
            </w:pPr>
          </w:p>
          <w:p w14:paraId="15CFD754" w14:textId="2284F3B7" w:rsidR="00A36FF0" w:rsidRPr="00FD514D" w:rsidRDefault="00C97E32" w:rsidP="00670B26">
            <w:pPr>
              <w:pStyle w:val="NoSpacing"/>
              <w:ind w:left="0" w:firstLine="0"/>
              <w:rPr>
                <w:lang w:val="es-ES"/>
              </w:rPr>
            </w:pPr>
            <w:r w:rsidRPr="00FD514D">
              <w:rPr>
                <w:lang w:val="es-ES"/>
              </w:rPr>
              <w:t>De acuerdo con el</w:t>
            </w:r>
            <w:r w:rsidR="00502459" w:rsidRPr="00FD514D">
              <w:rPr>
                <w:lang w:val="es-ES"/>
              </w:rPr>
              <w:t xml:space="preserve"> </w:t>
            </w:r>
            <w:r w:rsidR="00A60522" w:rsidRPr="00FD514D">
              <w:rPr>
                <w:lang w:val="es-ES"/>
              </w:rPr>
              <w:t>a</w:t>
            </w:r>
            <w:r w:rsidR="00762688" w:rsidRPr="00FD514D">
              <w:rPr>
                <w:lang w:val="es-ES"/>
              </w:rPr>
              <w:t>rtículo</w:t>
            </w:r>
            <w:r w:rsidR="00670B26" w:rsidRPr="00FD514D">
              <w:rPr>
                <w:lang w:val="es-ES"/>
              </w:rPr>
              <w:t xml:space="preserve"> 12, </w:t>
            </w:r>
            <w:r w:rsidRPr="00FD514D">
              <w:rPr>
                <w:lang w:val="es-ES"/>
              </w:rPr>
              <w:t xml:space="preserve">la </w:t>
            </w:r>
            <w:r w:rsidR="00670B26" w:rsidRPr="00FD514D">
              <w:rPr>
                <w:lang w:val="es-ES"/>
              </w:rPr>
              <w:t xml:space="preserve">COP </w:t>
            </w:r>
            <w:r w:rsidRPr="00FD514D">
              <w:rPr>
                <w:lang w:val="es-ES"/>
              </w:rPr>
              <w:t xml:space="preserve">examinará el </w:t>
            </w:r>
            <w:r w:rsidR="00A60522" w:rsidRPr="00FD514D">
              <w:rPr>
                <w:lang w:val="es-ES"/>
              </w:rPr>
              <w:t>o</w:t>
            </w:r>
            <w:r w:rsidR="00D5323C" w:rsidRPr="00FD514D">
              <w:rPr>
                <w:lang w:val="es-ES"/>
              </w:rPr>
              <w:t xml:space="preserve">rden del día y </w:t>
            </w:r>
            <w:r w:rsidR="00B24348" w:rsidRPr="00FD514D">
              <w:rPr>
                <w:lang w:val="es-ES"/>
              </w:rPr>
              <w:t>el</w:t>
            </w:r>
            <w:r w:rsidR="00D5323C" w:rsidRPr="00FD514D">
              <w:rPr>
                <w:lang w:val="es-ES"/>
              </w:rPr>
              <w:t xml:space="preserve"> orden del día provisional suplementario</w:t>
            </w:r>
            <w:r w:rsidR="00B24348" w:rsidRPr="00FD514D">
              <w:rPr>
                <w:lang w:val="es-ES"/>
              </w:rPr>
              <w:t>,</w:t>
            </w:r>
            <w:r w:rsidR="00D5323C" w:rsidRPr="00FD514D">
              <w:rPr>
                <w:lang w:val="es-ES"/>
              </w:rPr>
              <w:t xml:space="preserve"> y solo podrá añadir al orden del día aquellos </w:t>
            </w:r>
            <w:r w:rsidR="00D5323C" w:rsidRPr="00FD514D">
              <w:rPr>
                <w:lang w:val="es-ES"/>
              </w:rPr>
              <w:lastRenderedPageBreak/>
              <w:t xml:space="preserve">asuntos que considere </w:t>
            </w:r>
            <w:r w:rsidR="00980900">
              <w:rPr>
                <w:lang w:val="es-ES"/>
              </w:rPr>
              <w:t>“</w:t>
            </w:r>
            <w:r w:rsidR="00D5323C" w:rsidRPr="00FD514D">
              <w:rPr>
                <w:lang w:val="es-ES"/>
              </w:rPr>
              <w:t>urgentes e importantes</w:t>
            </w:r>
            <w:r w:rsidR="00980900">
              <w:rPr>
                <w:lang w:val="es-ES"/>
              </w:rPr>
              <w:t>”</w:t>
            </w:r>
            <w:r w:rsidR="00D5323C" w:rsidRPr="00FD514D">
              <w:rPr>
                <w:lang w:val="es-ES"/>
              </w:rPr>
              <w:t xml:space="preserve">. No obstante, </w:t>
            </w:r>
            <w:r w:rsidR="00BD5F4A" w:rsidRPr="00FD514D">
              <w:rPr>
                <w:lang w:val="es-ES"/>
              </w:rPr>
              <w:t>el texto es ambiguo en lo que se refiere a si los puntos indicados en el orden del día provisional</w:t>
            </w:r>
            <w:r w:rsidR="00B24348" w:rsidRPr="00FD514D">
              <w:rPr>
                <w:lang w:val="es-ES"/>
              </w:rPr>
              <w:t xml:space="preserve"> suplementario</w:t>
            </w:r>
            <w:r w:rsidR="00BD5F4A" w:rsidRPr="00FD514D">
              <w:rPr>
                <w:lang w:val="es-ES"/>
              </w:rPr>
              <w:t xml:space="preserve"> </w:t>
            </w:r>
            <w:r w:rsidR="00C91428" w:rsidRPr="00FD514D">
              <w:rPr>
                <w:lang w:val="es-ES"/>
              </w:rPr>
              <w:t xml:space="preserve">ya </w:t>
            </w:r>
            <w:r w:rsidR="00BD5F4A" w:rsidRPr="00FD514D">
              <w:rPr>
                <w:lang w:val="es-ES"/>
              </w:rPr>
              <w:t>se consideran</w:t>
            </w:r>
            <w:r w:rsidR="00C91428" w:rsidRPr="00FD514D">
              <w:rPr>
                <w:lang w:val="es-ES"/>
              </w:rPr>
              <w:t xml:space="preserve"> incluidos en el orden del día provisional.</w:t>
            </w:r>
            <w:r w:rsidR="00502459" w:rsidRPr="00FD514D">
              <w:rPr>
                <w:lang w:val="es-ES"/>
              </w:rPr>
              <w:t xml:space="preserve"> </w:t>
            </w:r>
          </w:p>
        </w:tc>
        <w:tc>
          <w:tcPr>
            <w:tcW w:w="3332" w:type="dxa"/>
          </w:tcPr>
          <w:p w14:paraId="61846909" w14:textId="77777777" w:rsidR="00A36FF0" w:rsidRPr="00FD514D" w:rsidRDefault="00A36FF0" w:rsidP="0078688F">
            <w:pPr>
              <w:pStyle w:val="NoSpacing"/>
              <w:ind w:left="0" w:firstLine="0"/>
              <w:rPr>
                <w:lang w:val="es-ES"/>
              </w:rPr>
            </w:pPr>
            <w:r w:rsidRPr="00FD514D">
              <w:rPr>
                <w:lang w:val="es-ES"/>
              </w:rPr>
              <w:lastRenderedPageBreak/>
              <w:t>Pos</w:t>
            </w:r>
            <w:r w:rsidR="00FB4EA0" w:rsidRPr="00FD514D">
              <w:rPr>
                <w:lang w:val="es-ES"/>
              </w:rPr>
              <w:t>ibles enmiendas:</w:t>
            </w:r>
            <w:r w:rsidRPr="00FD514D">
              <w:rPr>
                <w:lang w:val="es-ES"/>
              </w:rPr>
              <w:t xml:space="preserve"> </w:t>
            </w:r>
          </w:p>
          <w:p w14:paraId="2FBE6EF7" w14:textId="77777777" w:rsidR="00A36FF0" w:rsidRPr="00FD514D" w:rsidRDefault="00A36FF0" w:rsidP="0078688F">
            <w:pPr>
              <w:pStyle w:val="NoSpacing"/>
              <w:ind w:left="0" w:firstLine="0"/>
              <w:rPr>
                <w:lang w:val="es-ES"/>
              </w:rPr>
            </w:pPr>
          </w:p>
          <w:p w14:paraId="37B3B466" w14:textId="297BA312" w:rsidR="00233FB5" w:rsidRPr="00FD514D" w:rsidRDefault="00FB4EA0" w:rsidP="0078688F">
            <w:pPr>
              <w:pStyle w:val="NoSpacing"/>
              <w:ind w:left="0" w:firstLine="0"/>
              <w:rPr>
                <w:lang w:val="es-ES"/>
              </w:rPr>
            </w:pPr>
            <w:r w:rsidRPr="00FD514D">
              <w:rPr>
                <w:lang w:val="es-ES"/>
              </w:rPr>
              <w:t xml:space="preserve">Se debe aclarar que </w:t>
            </w:r>
            <w:r w:rsidR="008C6FEC" w:rsidRPr="00FD514D">
              <w:rPr>
                <w:lang w:val="es-ES"/>
              </w:rPr>
              <w:t>aquel</w:t>
            </w:r>
            <w:r w:rsidRPr="00FD514D">
              <w:rPr>
                <w:lang w:val="es-ES"/>
              </w:rPr>
              <w:t xml:space="preserve">los asuntos que figuran en el orden del día </w:t>
            </w:r>
            <w:r w:rsidR="00E639A0" w:rsidRPr="00FD514D">
              <w:rPr>
                <w:lang w:val="es-ES"/>
              </w:rPr>
              <w:t xml:space="preserve">provisional </w:t>
            </w:r>
            <w:r w:rsidR="00872439" w:rsidRPr="00FD514D">
              <w:rPr>
                <w:lang w:val="es-ES"/>
              </w:rPr>
              <w:t>suplementario,</w:t>
            </w:r>
            <w:r w:rsidR="00D0492C" w:rsidRPr="00FD514D">
              <w:rPr>
                <w:lang w:val="es-ES"/>
              </w:rPr>
              <w:t xml:space="preserve"> </w:t>
            </w:r>
            <w:r w:rsidR="008C6FEC" w:rsidRPr="00FD514D">
              <w:rPr>
                <w:lang w:val="es-ES"/>
              </w:rPr>
              <w:t xml:space="preserve">pero no estaban incluidos </w:t>
            </w:r>
            <w:r w:rsidR="003B588B" w:rsidRPr="00FD514D">
              <w:rPr>
                <w:lang w:val="es-ES"/>
              </w:rPr>
              <w:t>en el orden del día</w:t>
            </w:r>
            <w:r w:rsidR="00502459" w:rsidRPr="00FD514D">
              <w:rPr>
                <w:lang w:val="es-ES"/>
              </w:rPr>
              <w:t xml:space="preserve"> </w:t>
            </w:r>
            <w:r w:rsidR="003B588B" w:rsidRPr="00FD514D">
              <w:rPr>
                <w:lang w:val="es-ES"/>
              </w:rPr>
              <w:t xml:space="preserve">provisional </w:t>
            </w:r>
            <w:r w:rsidR="00233FB5" w:rsidRPr="00FD514D">
              <w:rPr>
                <w:lang w:val="es-ES"/>
              </w:rPr>
              <w:t>publi</w:t>
            </w:r>
            <w:r w:rsidR="003B588B" w:rsidRPr="00FD514D">
              <w:rPr>
                <w:lang w:val="es-ES"/>
              </w:rPr>
              <w:t>cado tres meses antes de la reunión, solo se incluirán en el orden del día</w:t>
            </w:r>
            <w:r w:rsidR="00502459" w:rsidRPr="00FD514D">
              <w:rPr>
                <w:lang w:val="es-ES"/>
              </w:rPr>
              <w:t xml:space="preserve"> </w:t>
            </w:r>
            <w:r w:rsidR="003B588B" w:rsidRPr="00FD514D">
              <w:rPr>
                <w:lang w:val="es-ES"/>
              </w:rPr>
              <w:t xml:space="preserve">definitivo si la </w:t>
            </w:r>
            <w:r w:rsidR="00233FB5" w:rsidRPr="00FD514D">
              <w:rPr>
                <w:lang w:val="es-ES"/>
              </w:rPr>
              <w:t xml:space="preserve">COP </w:t>
            </w:r>
            <w:r w:rsidR="003B588B" w:rsidRPr="00FD514D">
              <w:rPr>
                <w:lang w:val="es-ES"/>
              </w:rPr>
              <w:t xml:space="preserve">los considera </w:t>
            </w:r>
            <w:r w:rsidR="00980900">
              <w:rPr>
                <w:lang w:val="es-ES"/>
              </w:rPr>
              <w:t>“</w:t>
            </w:r>
            <w:r w:rsidR="003B588B" w:rsidRPr="00FD514D">
              <w:rPr>
                <w:lang w:val="es-ES"/>
              </w:rPr>
              <w:t>urgentes e importantes</w:t>
            </w:r>
            <w:r w:rsidR="00980900">
              <w:rPr>
                <w:lang w:val="es-ES"/>
              </w:rPr>
              <w:t>”</w:t>
            </w:r>
            <w:r w:rsidR="003B588B" w:rsidRPr="00FD514D">
              <w:rPr>
                <w:lang w:val="es-ES"/>
              </w:rPr>
              <w:t xml:space="preserve">. </w:t>
            </w:r>
          </w:p>
          <w:p w14:paraId="041C8F84" w14:textId="77777777" w:rsidR="00233FB5" w:rsidRPr="00FD514D" w:rsidRDefault="00233FB5" w:rsidP="0078688F">
            <w:pPr>
              <w:pStyle w:val="NoSpacing"/>
              <w:ind w:left="0" w:firstLine="0"/>
              <w:rPr>
                <w:lang w:val="es-ES"/>
              </w:rPr>
            </w:pPr>
          </w:p>
          <w:p w14:paraId="56BA61FD" w14:textId="30DCF980" w:rsidR="00A36FF0" w:rsidRPr="00FD514D" w:rsidRDefault="00112AB3" w:rsidP="0078688F">
            <w:pPr>
              <w:pStyle w:val="NoSpacing"/>
              <w:ind w:left="0" w:firstLine="0"/>
              <w:rPr>
                <w:lang w:val="es-ES"/>
              </w:rPr>
            </w:pPr>
            <w:r w:rsidRPr="00FD514D">
              <w:rPr>
                <w:lang w:val="es-ES"/>
              </w:rPr>
              <w:t xml:space="preserve">Sería conveniente </w:t>
            </w:r>
            <w:r w:rsidR="00861EF5" w:rsidRPr="00FD514D">
              <w:rPr>
                <w:lang w:val="es-ES"/>
              </w:rPr>
              <w:t>aplicar esta misma condición con respecto a la elaboración del orden del día</w:t>
            </w:r>
            <w:r w:rsidR="00502459" w:rsidRPr="00FD514D">
              <w:rPr>
                <w:lang w:val="es-ES"/>
              </w:rPr>
              <w:t xml:space="preserve"> </w:t>
            </w:r>
            <w:r w:rsidR="00861EF5" w:rsidRPr="00FD514D">
              <w:rPr>
                <w:lang w:val="es-ES"/>
              </w:rPr>
              <w:t>provisional suplementario,</w:t>
            </w:r>
            <w:r w:rsidR="002F14F2" w:rsidRPr="00FD514D">
              <w:rPr>
                <w:lang w:val="es-ES"/>
              </w:rPr>
              <w:t xml:space="preserve"> si fuese necesario que siga existiendo</w:t>
            </w:r>
            <w:r w:rsidR="002B2B3C" w:rsidRPr="00FD514D">
              <w:rPr>
                <w:lang w:val="es-ES"/>
              </w:rPr>
              <w:t xml:space="preserve">, en cuyo caso </w:t>
            </w:r>
            <w:r w:rsidR="006D387C" w:rsidRPr="00FD514D">
              <w:rPr>
                <w:lang w:val="es-ES"/>
              </w:rPr>
              <w:t xml:space="preserve">se debería </w:t>
            </w:r>
            <w:r w:rsidR="00DF3C0A" w:rsidRPr="00FD514D">
              <w:rPr>
                <w:lang w:val="es-ES"/>
              </w:rPr>
              <w:t xml:space="preserve">tener en cuenta la necesidad de preparar y distribuir la documentación pertinente en los idiomas oficiales. </w:t>
            </w:r>
          </w:p>
          <w:p w14:paraId="474E191A" w14:textId="77777777" w:rsidR="00A36FF0" w:rsidRPr="00FD514D" w:rsidRDefault="00A36FF0" w:rsidP="00795DEF">
            <w:pPr>
              <w:pStyle w:val="NoSpacing"/>
              <w:ind w:left="0" w:firstLine="0"/>
              <w:rPr>
                <w:lang w:val="es-ES"/>
              </w:rPr>
            </w:pPr>
          </w:p>
        </w:tc>
      </w:tr>
      <w:tr w:rsidR="00D50999" w:rsidRPr="00070719" w14:paraId="280FCDB8" w14:textId="77777777" w:rsidTr="00980900">
        <w:tc>
          <w:tcPr>
            <w:tcW w:w="578" w:type="dxa"/>
          </w:tcPr>
          <w:p w14:paraId="37455217" w14:textId="77777777" w:rsidR="00A36FF0" w:rsidRPr="00FD514D" w:rsidRDefault="00A05E17" w:rsidP="0078688F">
            <w:pPr>
              <w:pStyle w:val="NoSpacing"/>
              <w:ind w:left="0" w:firstLine="0"/>
              <w:rPr>
                <w:lang w:val="es-ES"/>
              </w:rPr>
            </w:pPr>
            <w:r w:rsidRPr="00FD514D">
              <w:rPr>
                <w:lang w:val="es-ES"/>
              </w:rPr>
              <w:t>8</w:t>
            </w:r>
          </w:p>
        </w:tc>
        <w:tc>
          <w:tcPr>
            <w:tcW w:w="1939" w:type="dxa"/>
          </w:tcPr>
          <w:p w14:paraId="796B113F" w14:textId="77777777" w:rsidR="00A36FF0" w:rsidRPr="00FD514D" w:rsidRDefault="00762688" w:rsidP="0078688F">
            <w:pPr>
              <w:pStyle w:val="NoSpacing"/>
              <w:ind w:left="0" w:firstLine="0"/>
              <w:rPr>
                <w:lang w:val="es-ES"/>
              </w:rPr>
            </w:pPr>
            <w:r w:rsidRPr="00FD514D">
              <w:rPr>
                <w:lang w:val="es-ES"/>
              </w:rPr>
              <w:t>Artículo</w:t>
            </w:r>
            <w:r w:rsidR="00A36FF0" w:rsidRPr="00FD514D">
              <w:rPr>
                <w:lang w:val="es-ES"/>
              </w:rPr>
              <w:t>s 16 – 20</w:t>
            </w:r>
            <w:r w:rsidR="007729C9" w:rsidRPr="00FD514D">
              <w:rPr>
                <w:lang w:val="es-ES"/>
              </w:rPr>
              <w:t>:</w:t>
            </w:r>
            <w:r w:rsidR="00A36FF0" w:rsidRPr="00FD514D">
              <w:rPr>
                <w:lang w:val="es-ES"/>
              </w:rPr>
              <w:t xml:space="preserve"> Representa</w:t>
            </w:r>
            <w:r w:rsidR="00C91428" w:rsidRPr="00FD514D">
              <w:rPr>
                <w:lang w:val="es-ES"/>
              </w:rPr>
              <w:t>ntes y credenciales</w:t>
            </w:r>
            <w:r w:rsidR="00A36FF0" w:rsidRPr="00FD514D">
              <w:rPr>
                <w:lang w:val="es-ES"/>
              </w:rPr>
              <w:t xml:space="preserve"> </w:t>
            </w:r>
          </w:p>
        </w:tc>
        <w:tc>
          <w:tcPr>
            <w:tcW w:w="3331" w:type="dxa"/>
          </w:tcPr>
          <w:p w14:paraId="1B819660" w14:textId="77777777" w:rsidR="00A36FF0" w:rsidRPr="00FD514D" w:rsidRDefault="00C91428" w:rsidP="0078688F">
            <w:pPr>
              <w:pStyle w:val="NoSpacing"/>
              <w:ind w:left="0" w:firstLine="0"/>
              <w:rPr>
                <w:lang w:val="es-ES"/>
              </w:rPr>
            </w:pPr>
            <w:r w:rsidRPr="00FD514D">
              <w:rPr>
                <w:lang w:val="es-ES"/>
              </w:rPr>
              <w:t xml:space="preserve">No se indica claramente que el representante de una Parte Contratante </w:t>
            </w:r>
            <w:r w:rsidR="00C17C1B" w:rsidRPr="00FD514D">
              <w:rPr>
                <w:lang w:val="es-ES"/>
              </w:rPr>
              <w:t xml:space="preserve">no puede participar </w:t>
            </w:r>
            <w:r w:rsidR="00AE6B06" w:rsidRPr="00FD514D">
              <w:rPr>
                <w:lang w:val="es-ES"/>
              </w:rPr>
              <w:t>ni</w:t>
            </w:r>
            <w:r w:rsidR="00C17C1B" w:rsidRPr="00FD514D">
              <w:rPr>
                <w:lang w:val="es-ES"/>
              </w:rPr>
              <w:t xml:space="preserve"> votar sin tener </w:t>
            </w:r>
            <w:r w:rsidR="00D302DA" w:rsidRPr="00FD514D">
              <w:rPr>
                <w:lang w:val="es-ES"/>
              </w:rPr>
              <w:t>las credenciales</w:t>
            </w:r>
            <w:r w:rsidR="00BA17E1" w:rsidRPr="00FD514D">
              <w:rPr>
                <w:lang w:val="es-ES"/>
              </w:rPr>
              <w:t xml:space="preserve"> pertinentes aprobadas</w:t>
            </w:r>
            <w:r w:rsidR="00D302DA" w:rsidRPr="00FD514D">
              <w:rPr>
                <w:lang w:val="es-ES"/>
              </w:rPr>
              <w:t>. Específicamente:</w:t>
            </w:r>
            <w:r w:rsidR="00502459" w:rsidRPr="00FD514D">
              <w:rPr>
                <w:lang w:val="es-ES"/>
              </w:rPr>
              <w:t xml:space="preserve"> </w:t>
            </w:r>
          </w:p>
          <w:p w14:paraId="55729759" w14:textId="77777777" w:rsidR="00A36FF0" w:rsidRPr="00FD514D" w:rsidRDefault="00A36FF0" w:rsidP="0078688F">
            <w:pPr>
              <w:pStyle w:val="NoSpacing"/>
              <w:ind w:left="0" w:firstLine="0"/>
              <w:rPr>
                <w:lang w:val="es-ES"/>
              </w:rPr>
            </w:pPr>
          </w:p>
          <w:p w14:paraId="28250D32" w14:textId="04B0A590" w:rsidR="00A36FF0" w:rsidRDefault="00D302DA" w:rsidP="00E77CE1">
            <w:pPr>
              <w:pStyle w:val="NoSpacing"/>
              <w:numPr>
                <w:ilvl w:val="0"/>
                <w:numId w:val="38"/>
              </w:numPr>
              <w:rPr>
                <w:lang w:val="es-ES"/>
              </w:rPr>
            </w:pPr>
            <w:r w:rsidRPr="00FD514D">
              <w:rPr>
                <w:lang w:val="es-ES"/>
              </w:rPr>
              <w:t>E</w:t>
            </w:r>
            <w:r w:rsidR="0078020B" w:rsidRPr="00FD514D">
              <w:rPr>
                <w:lang w:val="es-ES"/>
              </w:rPr>
              <w:t>n el</w:t>
            </w:r>
            <w:r w:rsidRPr="00FD514D">
              <w:rPr>
                <w:lang w:val="es-ES"/>
              </w:rPr>
              <w:t xml:space="preserve"> </w:t>
            </w:r>
            <w:r w:rsidR="0078020B" w:rsidRPr="00FD514D">
              <w:rPr>
                <w:lang w:val="es-ES"/>
              </w:rPr>
              <w:t>a</w:t>
            </w:r>
            <w:r w:rsidR="00762688" w:rsidRPr="00FD514D">
              <w:rPr>
                <w:lang w:val="es-ES"/>
              </w:rPr>
              <w:t>rtículo</w:t>
            </w:r>
            <w:r w:rsidR="00A36FF0" w:rsidRPr="00FD514D">
              <w:rPr>
                <w:lang w:val="es-ES"/>
              </w:rPr>
              <w:t xml:space="preserve"> 18.5 </w:t>
            </w:r>
            <w:r w:rsidR="0078020B" w:rsidRPr="00FD514D">
              <w:rPr>
                <w:lang w:val="es-ES"/>
              </w:rPr>
              <w:t xml:space="preserve">se </w:t>
            </w:r>
            <w:r w:rsidRPr="00FD514D">
              <w:rPr>
                <w:lang w:val="es-ES"/>
              </w:rPr>
              <w:t xml:space="preserve">dispone que ningún representante puede ejercer el derecho a voto a menos que su nombre figure de forma clara e inequívoca en las credenciales. Sin embargo, no hay ningún </w:t>
            </w:r>
            <w:r w:rsidR="0078020B" w:rsidRPr="00FD514D">
              <w:rPr>
                <w:lang w:val="es-ES"/>
              </w:rPr>
              <w:t>a</w:t>
            </w:r>
            <w:r w:rsidR="00762688" w:rsidRPr="00FD514D">
              <w:rPr>
                <w:lang w:val="es-ES"/>
              </w:rPr>
              <w:t>rtículo</w:t>
            </w:r>
            <w:r w:rsidR="00A36FF0" w:rsidRPr="00FD514D">
              <w:rPr>
                <w:lang w:val="es-ES"/>
              </w:rPr>
              <w:t xml:space="preserve"> </w:t>
            </w:r>
            <w:r w:rsidR="0078020B" w:rsidRPr="00FD514D">
              <w:rPr>
                <w:lang w:val="es-ES"/>
              </w:rPr>
              <w:t xml:space="preserve">en el </w:t>
            </w:r>
            <w:r w:rsidRPr="00FD514D">
              <w:rPr>
                <w:lang w:val="es-ES"/>
              </w:rPr>
              <w:t xml:space="preserve">que </w:t>
            </w:r>
            <w:r w:rsidR="0078020B" w:rsidRPr="00FD514D">
              <w:rPr>
                <w:lang w:val="es-ES"/>
              </w:rPr>
              <w:t xml:space="preserve">se </w:t>
            </w:r>
            <w:r w:rsidRPr="00FD514D">
              <w:rPr>
                <w:lang w:val="es-ES"/>
              </w:rPr>
              <w:t>dispon</w:t>
            </w:r>
            <w:r w:rsidR="0078020B" w:rsidRPr="00FD514D">
              <w:rPr>
                <w:lang w:val="es-ES"/>
              </w:rPr>
              <w:t>ga</w:t>
            </w:r>
            <w:r w:rsidRPr="00FD514D">
              <w:rPr>
                <w:lang w:val="es-ES"/>
              </w:rPr>
              <w:t xml:space="preserve"> explícitamente que </w:t>
            </w:r>
            <w:r w:rsidR="004D3024" w:rsidRPr="00FD514D">
              <w:rPr>
                <w:lang w:val="es-ES"/>
              </w:rPr>
              <w:t xml:space="preserve">una </w:t>
            </w:r>
            <w:r w:rsidR="000F2D57" w:rsidRPr="00FD514D">
              <w:rPr>
                <w:lang w:val="es-ES"/>
              </w:rPr>
              <w:t>persona</w:t>
            </w:r>
            <w:r w:rsidR="004D3024" w:rsidRPr="00FD514D">
              <w:rPr>
                <w:lang w:val="es-ES"/>
              </w:rPr>
              <w:t>,</w:t>
            </w:r>
            <w:r w:rsidR="000F2D57" w:rsidRPr="00FD514D">
              <w:rPr>
                <w:lang w:val="es-ES"/>
              </w:rPr>
              <w:t xml:space="preserve"> cuyo nombre figura en las credenciales</w:t>
            </w:r>
            <w:r w:rsidR="004D3024" w:rsidRPr="00FD514D">
              <w:rPr>
                <w:lang w:val="es-ES"/>
              </w:rPr>
              <w:t>,</w:t>
            </w:r>
            <w:r w:rsidR="000F2D57" w:rsidRPr="00FD514D">
              <w:rPr>
                <w:lang w:val="es-ES"/>
              </w:rPr>
              <w:t xml:space="preserve"> no puede ejercer el derecho a voto debido a que las credencia</w:t>
            </w:r>
            <w:r w:rsidR="0078020B" w:rsidRPr="00FD514D">
              <w:rPr>
                <w:lang w:val="es-ES"/>
              </w:rPr>
              <w:t>le</w:t>
            </w:r>
            <w:r w:rsidR="000F2D57" w:rsidRPr="00FD514D">
              <w:rPr>
                <w:lang w:val="es-ES"/>
              </w:rPr>
              <w:t>s no h</w:t>
            </w:r>
            <w:r w:rsidR="002673DA" w:rsidRPr="00FD514D">
              <w:rPr>
                <w:lang w:val="es-ES"/>
              </w:rPr>
              <w:t>ubiesen</w:t>
            </w:r>
            <w:r w:rsidR="000F2D57" w:rsidRPr="00FD514D">
              <w:rPr>
                <w:lang w:val="es-ES"/>
              </w:rPr>
              <w:t xml:space="preserve"> sido aceptadas por la COP </w:t>
            </w:r>
            <w:r w:rsidR="001F2863" w:rsidRPr="00FD514D">
              <w:rPr>
                <w:lang w:val="es-ES"/>
              </w:rPr>
              <w:t>por no cumplir los criterios establecidos</w:t>
            </w:r>
            <w:r w:rsidR="00502459" w:rsidRPr="00FD514D">
              <w:rPr>
                <w:lang w:val="es-ES"/>
              </w:rPr>
              <w:t xml:space="preserve"> </w:t>
            </w:r>
            <w:r w:rsidR="001F2863" w:rsidRPr="00FD514D">
              <w:rPr>
                <w:lang w:val="es-ES"/>
              </w:rPr>
              <w:t>en el</w:t>
            </w:r>
            <w:r w:rsidR="00502459" w:rsidRPr="00FD514D">
              <w:rPr>
                <w:lang w:val="es-ES"/>
              </w:rPr>
              <w:t xml:space="preserve"> </w:t>
            </w:r>
            <w:r w:rsidR="004D3024" w:rsidRPr="00FD514D">
              <w:rPr>
                <w:lang w:val="es-ES"/>
              </w:rPr>
              <w:t>a</w:t>
            </w:r>
            <w:r w:rsidR="00762688" w:rsidRPr="00FD514D">
              <w:rPr>
                <w:lang w:val="es-ES"/>
              </w:rPr>
              <w:t>rtículo</w:t>
            </w:r>
            <w:r w:rsidR="005E51E5" w:rsidRPr="00FD514D">
              <w:rPr>
                <w:lang w:val="es-ES"/>
              </w:rPr>
              <w:t xml:space="preserve"> 18</w:t>
            </w:r>
            <w:r w:rsidR="0002469F" w:rsidRPr="00FD514D">
              <w:rPr>
                <w:lang w:val="es-ES"/>
              </w:rPr>
              <w:t>.</w:t>
            </w:r>
          </w:p>
          <w:p w14:paraId="07CC4920" w14:textId="77777777" w:rsidR="00855E6E" w:rsidRPr="00FD514D" w:rsidRDefault="00855E6E" w:rsidP="00855E6E">
            <w:pPr>
              <w:pStyle w:val="NoSpacing"/>
              <w:ind w:left="0" w:firstLine="0"/>
              <w:rPr>
                <w:lang w:val="es-ES"/>
              </w:rPr>
            </w:pPr>
          </w:p>
          <w:p w14:paraId="3078052A" w14:textId="6C8AC784" w:rsidR="00543027" w:rsidRPr="00FD514D" w:rsidRDefault="001F2863" w:rsidP="002673DA">
            <w:pPr>
              <w:pStyle w:val="NoSpacing"/>
              <w:numPr>
                <w:ilvl w:val="0"/>
                <w:numId w:val="38"/>
              </w:numPr>
              <w:rPr>
                <w:lang w:val="es-ES"/>
              </w:rPr>
            </w:pPr>
            <w:r w:rsidRPr="00FD514D">
              <w:rPr>
                <w:lang w:val="es-ES"/>
              </w:rPr>
              <w:t>E</w:t>
            </w:r>
            <w:r w:rsidR="004D3024" w:rsidRPr="00FD514D">
              <w:rPr>
                <w:lang w:val="es-ES"/>
              </w:rPr>
              <w:t>n e</w:t>
            </w:r>
            <w:r w:rsidRPr="00FD514D">
              <w:rPr>
                <w:lang w:val="es-ES"/>
              </w:rPr>
              <w:t xml:space="preserve">l </w:t>
            </w:r>
            <w:r w:rsidR="004D3024" w:rsidRPr="00FD514D">
              <w:rPr>
                <w:lang w:val="es-ES"/>
              </w:rPr>
              <w:t>a</w:t>
            </w:r>
            <w:r w:rsidR="00762688" w:rsidRPr="00FD514D">
              <w:rPr>
                <w:lang w:val="es-ES"/>
              </w:rPr>
              <w:t>rtículo</w:t>
            </w:r>
            <w:r w:rsidR="00A36FF0" w:rsidRPr="00FD514D">
              <w:rPr>
                <w:lang w:val="es-ES"/>
              </w:rPr>
              <w:t xml:space="preserve"> 20 </w:t>
            </w:r>
            <w:r w:rsidR="004D3024" w:rsidRPr="00FD514D">
              <w:rPr>
                <w:lang w:val="es-ES"/>
              </w:rPr>
              <w:t>se afirma</w:t>
            </w:r>
            <w:r w:rsidRPr="00FD514D">
              <w:rPr>
                <w:lang w:val="es-ES"/>
              </w:rPr>
              <w:t xml:space="preserve"> que los representantes tendrán derecho a participar en la reunión de forma provisional hasta que la COP adopte </w:t>
            </w:r>
            <w:r w:rsidR="001C40FE" w:rsidRPr="00FD514D">
              <w:rPr>
                <w:lang w:val="es-ES"/>
              </w:rPr>
              <w:t>una decisión sobre sus credenciales. Esto significa que la participación es posible</w:t>
            </w:r>
            <w:r w:rsidR="002673DA" w:rsidRPr="00FD514D">
              <w:rPr>
                <w:lang w:val="es-ES"/>
              </w:rPr>
              <w:t>,</w:t>
            </w:r>
            <w:r w:rsidR="001C40FE" w:rsidRPr="00FD514D">
              <w:rPr>
                <w:lang w:val="es-ES"/>
              </w:rPr>
              <w:t xml:space="preserve"> </w:t>
            </w:r>
            <w:r w:rsidR="002D6E05" w:rsidRPr="00FD514D">
              <w:rPr>
                <w:lang w:val="es-ES"/>
              </w:rPr>
              <w:t>incluso</w:t>
            </w:r>
            <w:r w:rsidR="001C40FE" w:rsidRPr="00FD514D">
              <w:rPr>
                <w:lang w:val="es-ES"/>
              </w:rPr>
              <w:t xml:space="preserve"> cuando no se hubieran presentado las credenciales</w:t>
            </w:r>
            <w:r w:rsidR="002D6E05" w:rsidRPr="00FD514D">
              <w:rPr>
                <w:lang w:val="es-ES"/>
              </w:rPr>
              <w:t>; no obstante, esto</w:t>
            </w:r>
            <w:r w:rsidR="001C40FE" w:rsidRPr="00FD514D">
              <w:rPr>
                <w:lang w:val="es-ES"/>
              </w:rPr>
              <w:t xml:space="preserve"> no está </w:t>
            </w:r>
            <w:r w:rsidR="00B54E48" w:rsidRPr="00FD514D">
              <w:rPr>
                <w:lang w:val="es-ES"/>
              </w:rPr>
              <w:t>indicado explícitamente</w:t>
            </w:r>
            <w:r w:rsidR="002D6E05" w:rsidRPr="00FD514D">
              <w:rPr>
                <w:lang w:val="es-ES"/>
              </w:rPr>
              <w:t xml:space="preserve"> y, en </w:t>
            </w:r>
            <w:r w:rsidR="00675869" w:rsidRPr="00FD514D">
              <w:rPr>
                <w:lang w:val="es-ES"/>
              </w:rPr>
              <w:t>este respecto,</w:t>
            </w:r>
            <w:r w:rsidR="00502459" w:rsidRPr="00FD514D">
              <w:rPr>
                <w:lang w:val="es-ES"/>
              </w:rPr>
              <w:t xml:space="preserve"> </w:t>
            </w:r>
            <w:r w:rsidR="005B28A2" w:rsidRPr="00FD514D">
              <w:rPr>
                <w:lang w:val="es-ES"/>
              </w:rPr>
              <w:t>el texto no queda</w:t>
            </w:r>
            <w:r w:rsidR="00B54E48" w:rsidRPr="00FD514D">
              <w:rPr>
                <w:lang w:val="es-ES"/>
              </w:rPr>
              <w:t xml:space="preserve"> clar</w:t>
            </w:r>
            <w:r w:rsidR="005B28A2" w:rsidRPr="00FD514D">
              <w:rPr>
                <w:lang w:val="es-ES"/>
              </w:rPr>
              <w:t>o</w:t>
            </w:r>
            <w:r w:rsidR="00B54E48" w:rsidRPr="00FD514D">
              <w:rPr>
                <w:lang w:val="es-ES"/>
              </w:rPr>
              <w:t>.</w:t>
            </w:r>
            <w:r w:rsidR="001C40FE" w:rsidRPr="00FD514D">
              <w:rPr>
                <w:lang w:val="es-ES"/>
              </w:rPr>
              <w:t xml:space="preserve"> </w:t>
            </w:r>
            <w:r w:rsidR="00AA725B" w:rsidRPr="00FD514D">
              <w:rPr>
                <w:lang w:val="es-ES"/>
              </w:rPr>
              <w:t>(</w:t>
            </w:r>
            <w:r w:rsidR="00B54E48" w:rsidRPr="00FD514D">
              <w:rPr>
                <w:lang w:val="es-ES"/>
              </w:rPr>
              <w:t xml:space="preserve">El </w:t>
            </w:r>
            <w:r w:rsidR="00675869" w:rsidRPr="00FD514D">
              <w:rPr>
                <w:lang w:val="es-ES"/>
              </w:rPr>
              <w:t>a</w:t>
            </w:r>
            <w:r w:rsidR="00762688" w:rsidRPr="00FD514D">
              <w:rPr>
                <w:lang w:val="es-ES"/>
              </w:rPr>
              <w:t>rtículo</w:t>
            </w:r>
            <w:r w:rsidR="00AA725B" w:rsidRPr="00FD514D">
              <w:rPr>
                <w:lang w:val="es-ES"/>
              </w:rPr>
              <w:t xml:space="preserve"> </w:t>
            </w:r>
            <w:r w:rsidR="00B54E48" w:rsidRPr="00FD514D">
              <w:rPr>
                <w:lang w:val="es-ES"/>
              </w:rPr>
              <w:lastRenderedPageBreak/>
              <w:t xml:space="preserve">equivalente en el </w:t>
            </w:r>
            <w:r w:rsidR="005B28A2" w:rsidRPr="00FD514D">
              <w:rPr>
                <w:lang w:val="es-ES"/>
              </w:rPr>
              <w:t>r</w:t>
            </w:r>
            <w:r w:rsidR="00762688" w:rsidRPr="00FD514D">
              <w:rPr>
                <w:lang w:val="es-ES"/>
              </w:rPr>
              <w:t>eglamento</w:t>
            </w:r>
            <w:r w:rsidR="00B54E48" w:rsidRPr="00FD514D">
              <w:rPr>
                <w:lang w:val="es-ES"/>
              </w:rPr>
              <w:t xml:space="preserve"> de la </w:t>
            </w:r>
            <w:r w:rsidR="00AA725B" w:rsidRPr="00FD514D">
              <w:rPr>
                <w:lang w:val="es-ES"/>
              </w:rPr>
              <w:t xml:space="preserve">CITES </w:t>
            </w:r>
            <w:r w:rsidR="00C31B98" w:rsidRPr="00FD514D">
              <w:rPr>
                <w:lang w:val="es-ES"/>
              </w:rPr>
              <w:t>dice</w:t>
            </w:r>
            <w:r w:rsidR="004443BB" w:rsidRPr="00FD514D">
              <w:rPr>
                <w:lang w:val="es-ES"/>
              </w:rPr>
              <w:t xml:space="preserve"> lo siguiente</w:t>
            </w:r>
            <w:r w:rsidR="00A545A4" w:rsidRPr="00FD514D">
              <w:rPr>
                <w:lang w:val="es-ES"/>
              </w:rPr>
              <w:t>:</w:t>
            </w:r>
            <w:r w:rsidR="00502459" w:rsidRPr="00FD514D">
              <w:rPr>
                <w:lang w:val="es-ES"/>
              </w:rPr>
              <w:t xml:space="preserve"> </w:t>
            </w:r>
            <w:r w:rsidR="00980900">
              <w:rPr>
                <w:lang w:val="es-ES"/>
              </w:rPr>
              <w:t>“</w:t>
            </w:r>
            <w:r w:rsidR="00543027" w:rsidRPr="00FD514D">
              <w:rPr>
                <w:lang w:val="es-ES"/>
              </w:rPr>
              <w:t>En espera de una decisión relativa a sus credenciales, los delegados podrán participar provisionalmente en la reunión, pero sin derecho a voto</w:t>
            </w:r>
            <w:r w:rsidR="00980900">
              <w:rPr>
                <w:lang w:val="es-ES"/>
              </w:rPr>
              <w:t>”</w:t>
            </w:r>
            <w:r w:rsidR="00543027" w:rsidRPr="00FD514D">
              <w:rPr>
                <w:lang w:val="es-ES"/>
              </w:rPr>
              <w:t xml:space="preserve">.) </w:t>
            </w:r>
          </w:p>
          <w:p w14:paraId="076AF979" w14:textId="77777777" w:rsidR="00A36FF0" w:rsidRPr="00FD514D" w:rsidRDefault="00A36FF0" w:rsidP="00AA725B">
            <w:pPr>
              <w:pStyle w:val="NoSpacing"/>
              <w:rPr>
                <w:lang w:val="es-ES"/>
              </w:rPr>
            </w:pPr>
          </w:p>
          <w:p w14:paraId="2DF148F0" w14:textId="0EF8EDB7" w:rsidR="00A36FF0" w:rsidRPr="00FD514D" w:rsidRDefault="00730E71" w:rsidP="0078688F">
            <w:pPr>
              <w:pStyle w:val="NoSpacing"/>
              <w:ind w:left="0" w:firstLine="0"/>
              <w:rPr>
                <w:lang w:val="es-ES"/>
              </w:rPr>
            </w:pPr>
            <w:r w:rsidRPr="00FD514D">
              <w:rPr>
                <w:lang w:val="es-ES"/>
              </w:rPr>
              <w:t xml:space="preserve">El </w:t>
            </w:r>
            <w:r w:rsidR="00C27B30">
              <w:rPr>
                <w:lang w:val="es-ES"/>
              </w:rPr>
              <w:t>artículo</w:t>
            </w:r>
            <w:r w:rsidR="00A36FF0" w:rsidRPr="00FD514D">
              <w:rPr>
                <w:lang w:val="es-ES"/>
              </w:rPr>
              <w:t xml:space="preserve"> 18.4 </w:t>
            </w:r>
            <w:r w:rsidRPr="00FD514D">
              <w:rPr>
                <w:lang w:val="es-ES"/>
              </w:rPr>
              <w:t xml:space="preserve">se refiere al formato </w:t>
            </w:r>
            <w:r w:rsidR="00D31CAD" w:rsidRPr="00FD514D">
              <w:rPr>
                <w:lang w:val="es-ES"/>
              </w:rPr>
              <w:t xml:space="preserve">de las credenciales. Teniendo en cuenta que se permiten diversas combinaciones de sello, firma y membrete, esto puede </w:t>
            </w:r>
            <w:r w:rsidR="00104ED2" w:rsidRPr="00FD514D">
              <w:rPr>
                <w:lang w:val="es-ES"/>
              </w:rPr>
              <w:t>generar</w:t>
            </w:r>
            <w:r w:rsidR="00D31CAD" w:rsidRPr="00FD514D">
              <w:rPr>
                <w:lang w:val="es-ES"/>
              </w:rPr>
              <w:t xml:space="preserve"> cierta confusión. </w:t>
            </w:r>
            <w:r w:rsidR="008F5C9D" w:rsidRPr="00FD514D">
              <w:rPr>
                <w:lang w:val="es-ES"/>
              </w:rPr>
              <w:t xml:space="preserve">Además, la persona </w:t>
            </w:r>
            <w:r w:rsidR="00B47D9F" w:rsidRPr="00FD514D">
              <w:rPr>
                <w:lang w:val="es-ES"/>
              </w:rPr>
              <w:t xml:space="preserve">que está autorizada a firmar las credenciales </w:t>
            </w:r>
            <w:r w:rsidR="00A36FF0" w:rsidRPr="00FD514D">
              <w:rPr>
                <w:lang w:val="es-ES"/>
              </w:rPr>
              <w:t>(</w:t>
            </w:r>
            <w:r w:rsidR="00D31CAD" w:rsidRPr="00FD514D">
              <w:rPr>
                <w:lang w:val="es-ES"/>
              </w:rPr>
              <w:t>Jefe de Estado, Ministro de Asuntos Exteriores, etc.</w:t>
            </w:r>
            <w:r w:rsidR="008F5C9D" w:rsidRPr="00FD514D">
              <w:rPr>
                <w:lang w:val="es-ES"/>
              </w:rPr>
              <w:t xml:space="preserve">, tal y como se indica en el </w:t>
            </w:r>
            <w:r w:rsidR="005F434A" w:rsidRPr="00FD514D">
              <w:rPr>
                <w:lang w:val="es-ES"/>
              </w:rPr>
              <w:t>a</w:t>
            </w:r>
            <w:r w:rsidR="00762688" w:rsidRPr="00FD514D">
              <w:rPr>
                <w:lang w:val="es-ES"/>
              </w:rPr>
              <w:t>rtículo</w:t>
            </w:r>
            <w:r w:rsidR="00CD01AA" w:rsidRPr="00FD514D">
              <w:rPr>
                <w:lang w:val="es-ES"/>
              </w:rPr>
              <w:t xml:space="preserve"> 18.3)</w:t>
            </w:r>
            <w:r w:rsidR="00DE123D" w:rsidRPr="00FD514D">
              <w:rPr>
                <w:lang w:val="es-ES"/>
              </w:rPr>
              <w:t>,</w:t>
            </w:r>
            <w:r w:rsidR="00CD01AA" w:rsidRPr="00FD514D">
              <w:rPr>
                <w:lang w:val="es-ES"/>
              </w:rPr>
              <w:t xml:space="preserve"> </w:t>
            </w:r>
            <w:r w:rsidR="00B47D9F" w:rsidRPr="00FD514D">
              <w:rPr>
                <w:lang w:val="es-ES"/>
              </w:rPr>
              <w:t>y el término</w:t>
            </w:r>
            <w:r w:rsidR="00CD01AA" w:rsidRPr="00FD514D">
              <w:rPr>
                <w:lang w:val="es-ES"/>
              </w:rPr>
              <w:t xml:space="preserve"> </w:t>
            </w:r>
            <w:r w:rsidR="00855E6E">
              <w:rPr>
                <w:lang w:val="es-ES"/>
              </w:rPr>
              <w:t>‘</w:t>
            </w:r>
            <w:r w:rsidR="008F5C9D" w:rsidRPr="00FD514D">
              <w:rPr>
                <w:lang w:val="es-ES"/>
              </w:rPr>
              <w:t>autoridad competente</w:t>
            </w:r>
            <w:r w:rsidR="00855E6E">
              <w:rPr>
                <w:lang w:val="es-ES"/>
              </w:rPr>
              <w:t>’</w:t>
            </w:r>
            <w:r w:rsidR="00A36FF0" w:rsidRPr="00FD514D">
              <w:rPr>
                <w:lang w:val="es-ES"/>
              </w:rPr>
              <w:t xml:space="preserve"> </w:t>
            </w:r>
            <w:r w:rsidR="00B47D9F" w:rsidRPr="00FD514D">
              <w:rPr>
                <w:lang w:val="es-ES"/>
              </w:rPr>
              <w:t xml:space="preserve">parecen emplearse indistintamente, pero </w:t>
            </w:r>
            <w:r w:rsidR="00DE123D" w:rsidRPr="00FD514D">
              <w:rPr>
                <w:lang w:val="es-ES"/>
              </w:rPr>
              <w:t xml:space="preserve">esto </w:t>
            </w:r>
            <w:r w:rsidR="00B47D9F" w:rsidRPr="00FD514D">
              <w:rPr>
                <w:lang w:val="es-ES"/>
              </w:rPr>
              <w:t xml:space="preserve">no está del todo claro. </w:t>
            </w:r>
          </w:p>
          <w:p w14:paraId="1C87D896" w14:textId="77777777" w:rsidR="00A36FF0" w:rsidRPr="00FD514D" w:rsidRDefault="00A36FF0" w:rsidP="00676C61">
            <w:pPr>
              <w:pStyle w:val="NoSpacing"/>
              <w:ind w:left="0" w:firstLine="0"/>
              <w:rPr>
                <w:lang w:val="es-ES"/>
              </w:rPr>
            </w:pPr>
          </w:p>
          <w:p w14:paraId="228CAB37" w14:textId="77777777" w:rsidR="00A36FF0" w:rsidRPr="00FD514D" w:rsidRDefault="00B47D9F" w:rsidP="00AB1A06">
            <w:pPr>
              <w:pStyle w:val="NoSpacing"/>
              <w:ind w:left="0" w:firstLine="0"/>
              <w:rPr>
                <w:lang w:val="es-ES"/>
              </w:rPr>
            </w:pPr>
            <w:r w:rsidRPr="00FD514D">
              <w:rPr>
                <w:lang w:val="es-ES"/>
              </w:rPr>
              <w:t xml:space="preserve">Las especificaciones </w:t>
            </w:r>
            <w:r w:rsidR="005F434A" w:rsidRPr="00FD514D">
              <w:rPr>
                <w:lang w:val="es-ES"/>
              </w:rPr>
              <w:t>relativas al</w:t>
            </w:r>
            <w:r w:rsidR="00BF5B6E" w:rsidRPr="00FD514D">
              <w:rPr>
                <w:lang w:val="es-ES"/>
              </w:rPr>
              <w:t xml:space="preserve"> contenido de las credenciales están repartidas en varios sub</w:t>
            </w:r>
            <w:r w:rsidR="00762688" w:rsidRPr="00FD514D">
              <w:rPr>
                <w:lang w:val="es-ES"/>
              </w:rPr>
              <w:t>artículo</w:t>
            </w:r>
            <w:r w:rsidR="00BF5B6E" w:rsidRPr="00FD514D">
              <w:rPr>
                <w:lang w:val="es-ES"/>
              </w:rPr>
              <w:t xml:space="preserve">s del </w:t>
            </w:r>
            <w:r w:rsidR="005F434A" w:rsidRPr="00FD514D">
              <w:rPr>
                <w:lang w:val="es-ES"/>
              </w:rPr>
              <w:t>a</w:t>
            </w:r>
            <w:r w:rsidR="00762688" w:rsidRPr="00FD514D">
              <w:rPr>
                <w:lang w:val="es-ES"/>
              </w:rPr>
              <w:t>rtículo</w:t>
            </w:r>
            <w:r w:rsidR="00A36FF0" w:rsidRPr="00FD514D">
              <w:rPr>
                <w:lang w:val="es-ES"/>
              </w:rPr>
              <w:t xml:space="preserve"> 18. </w:t>
            </w:r>
            <w:r w:rsidR="00BF5B6E" w:rsidRPr="00FD514D">
              <w:rPr>
                <w:lang w:val="es-ES"/>
              </w:rPr>
              <w:t xml:space="preserve">Por consiguiente, es </w:t>
            </w:r>
            <w:r w:rsidR="005F434A" w:rsidRPr="00FD514D">
              <w:rPr>
                <w:lang w:val="es-ES"/>
              </w:rPr>
              <w:t>necesario</w:t>
            </w:r>
            <w:r w:rsidR="00BF5B6E" w:rsidRPr="00FD514D">
              <w:rPr>
                <w:lang w:val="es-ES"/>
              </w:rPr>
              <w:t xml:space="preserve"> leer </w:t>
            </w:r>
            <w:r w:rsidR="005F434A" w:rsidRPr="00FD514D">
              <w:rPr>
                <w:lang w:val="es-ES"/>
              </w:rPr>
              <w:t xml:space="preserve">las </w:t>
            </w:r>
            <w:r w:rsidR="00BF5B6E" w:rsidRPr="00FD514D">
              <w:rPr>
                <w:lang w:val="es-ES"/>
              </w:rPr>
              <w:t>distintas partes de varios sub</w:t>
            </w:r>
            <w:r w:rsidR="00762688" w:rsidRPr="00FD514D">
              <w:rPr>
                <w:lang w:val="es-ES"/>
              </w:rPr>
              <w:t>artículo</w:t>
            </w:r>
            <w:r w:rsidR="00BF5B6E" w:rsidRPr="00FD514D">
              <w:rPr>
                <w:lang w:val="es-ES"/>
              </w:rPr>
              <w:t xml:space="preserve">s para comprender lo que </w:t>
            </w:r>
            <w:r w:rsidR="004658B9" w:rsidRPr="00FD514D">
              <w:rPr>
                <w:lang w:val="es-ES"/>
              </w:rPr>
              <w:t>deberían incluir las credenciales y resulta innecesariamente complejo.</w:t>
            </w:r>
            <w:r w:rsidR="00A36FF0" w:rsidRPr="00FD514D">
              <w:rPr>
                <w:lang w:val="es-ES"/>
              </w:rPr>
              <w:t xml:space="preserve"> </w:t>
            </w:r>
          </w:p>
          <w:p w14:paraId="099123B7" w14:textId="77777777" w:rsidR="00A36FF0" w:rsidRPr="00FD514D" w:rsidRDefault="00A36FF0" w:rsidP="00AB1A06">
            <w:pPr>
              <w:pStyle w:val="NoSpacing"/>
              <w:ind w:left="0" w:firstLine="0"/>
              <w:rPr>
                <w:lang w:val="es-ES"/>
              </w:rPr>
            </w:pPr>
          </w:p>
          <w:p w14:paraId="2013E8F1" w14:textId="2E4C182D" w:rsidR="007A6234" w:rsidRPr="00FD514D" w:rsidRDefault="004658B9" w:rsidP="00AB1A06">
            <w:pPr>
              <w:pStyle w:val="NoSpacing"/>
              <w:ind w:left="0" w:firstLine="0"/>
              <w:rPr>
                <w:lang w:val="es-ES"/>
              </w:rPr>
            </w:pPr>
            <w:r w:rsidRPr="00FD514D">
              <w:rPr>
                <w:lang w:val="es-ES"/>
              </w:rPr>
              <w:t>E</w:t>
            </w:r>
            <w:r w:rsidR="00303EBC" w:rsidRPr="00FD514D">
              <w:rPr>
                <w:lang w:val="es-ES"/>
              </w:rPr>
              <w:t>n e</w:t>
            </w:r>
            <w:r w:rsidRPr="00FD514D">
              <w:rPr>
                <w:lang w:val="es-ES"/>
              </w:rPr>
              <w:t xml:space="preserve">l </w:t>
            </w:r>
            <w:r w:rsidR="00303EBC" w:rsidRPr="00FD514D">
              <w:rPr>
                <w:lang w:val="es-ES"/>
              </w:rPr>
              <w:t>a</w:t>
            </w:r>
            <w:r w:rsidR="00762688" w:rsidRPr="00FD514D">
              <w:rPr>
                <w:lang w:val="es-ES"/>
              </w:rPr>
              <w:t>rtículo</w:t>
            </w:r>
            <w:r w:rsidR="00A36FF0" w:rsidRPr="00FD514D">
              <w:rPr>
                <w:lang w:val="es-ES"/>
              </w:rPr>
              <w:t xml:space="preserve"> 19.3 </w:t>
            </w:r>
            <w:r w:rsidR="00303EBC" w:rsidRPr="00FD514D">
              <w:rPr>
                <w:lang w:val="es-ES"/>
              </w:rPr>
              <w:t xml:space="preserve">se </w:t>
            </w:r>
            <w:r w:rsidRPr="00FD514D">
              <w:rPr>
                <w:lang w:val="es-ES"/>
              </w:rPr>
              <w:t xml:space="preserve">dispone que el Comité de Credenciales </w:t>
            </w:r>
            <w:r w:rsidR="00882506" w:rsidRPr="00FD514D">
              <w:rPr>
                <w:lang w:val="es-ES"/>
              </w:rPr>
              <w:t xml:space="preserve">examinará todas las credenciales y presentará sus recomendaciones a la COP. </w:t>
            </w:r>
            <w:r w:rsidR="00303EBC" w:rsidRPr="00FD514D">
              <w:rPr>
                <w:lang w:val="es-ES"/>
              </w:rPr>
              <w:t>Sin embargo</w:t>
            </w:r>
            <w:r w:rsidR="00882506" w:rsidRPr="00FD514D">
              <w:rPr>
                <w:lang w:val="es-ES"/>
              </w:rPr>
              <w:t xml:space="preserve">, no </w:t>
            </w:r>
            <w:r w:rsidR="00303EBC" w:rsidRPr="00FD514D">
              <w:rPr>
                <w:lang w:val="es-ES"/>
              </w:rPr>
              <w:t>se indica</w:t>
            </w:r>
            <w:r w:rsidR="00882506" w:rsidRPr="00FD514D">
              <w:rPr>
                <w:lang w:val="es-ES"/>
              </w:rPr>
              <w:t xml:space="preserve"> </w:t>
            </w:r>
            <w:r w:rsidR="00303EBC" w:rsidRPr="00FD514D">
              <w:rPr>
                <w:lang w:val="es-ES"/>
              </w:rPr>
              <w:t xml:space="preserve">el </w:t>
            </w:r>
            <w:r w:rsidR="00882506" w:rsidRPr="00FD514D">
              <w:rPr>
                <w:lang w:val="es-ES"/>
              </w:rPr>
              <w:t xml:space="preserve">plazo </w:t>
            </w:r>
            <w:r w:rsidR="005C2C19" w:rsidRPr="00FD514D">
              <w:rPr>
                <w:lang w:val="es-ES"/>
              </w:rPr>
              <w:t xml:space="preserve">para </w:t>
            </w:r>
            <w:r w:rsidR="00F01C0E" w:rsidRPr="00FD514D">
              <w:rPr>
                <w:lang w:val="es-ES"/>
              </w:rPr>
              <w:t xml:space="preserve">la presentación de </w:t>
            </w:r>
            <w:r w:rsidR="005C2C19" w:rsidRPr="00FD514D">
              <w:rPr>
                <w:lang w:val="es-ES"/>
              </w:rPr>
              <w:t>estas recomendaciones</w:t>
            </w:r>
            <w:r w:rsidR="00131DE0" w:rsidRPr="00FD514D">
              <w:rPr>
                <w:lang w:val="es-ES"/>
              </w:rPr>
              <w:t>,</w:t>
            </w:r>
            <w:r w:rsidR="00882506" w:rsidRPr="00FD514D">
              <w:rPr>
                <w:lang w:val="es-ES"/>
              </w:rPr>
              <w:t xml:space="preserve"> ni tampoco para que la COP adopte </w:t>
            </w:r>
            <w:r w:rsidR="005C2C19" w:rsidRPr="00FD514D">
              <w:rPr>
                <w:lang w:val="es-ES"/>
              </w:rPr>
              <w:t>una</w:t>
            </w:r>
            <w:r w:rsidR="00882506" w:rsidRPr="00FD514D">
              <w:rPr>
                <w:lang w:val="es-ES"/>
              </w:rPr>
              <w:t xml:space="preserve"> decisión</w:t>
            </w:r>
            <w:r w:rsidR="005C2C19" w:rsidRPr="00FD514D">
              <w:rPr>
                <w:lang w:val="es-ES"/>
              </w:rPr>
              <w:t xml:space="preserve"> al respecto</w:t>
            </w:r>
            <w:r w:rsidR="00882506" w:rsidRPr="00FD514D">
              <w:rPr>
                <w:lang w:val="es-ES"/>
              </w:rPr>
              <w:t xml:space="preserve">. Esto podría </w:t>
            </w:r>
            <w:r w:rsidR="00562844" w:rsidRPr="00FD514D">
              <w:rPr>
                <w:lang w:val="es-ES"/>
              </w:rPr>
              <w:t xml:space="preserve">ser problemático si fuese necesario hacer una votación antes de que las credenciales </w:t>
            </w:r>
            <w:r w:rsidR="002D11F2" w:rsidRPr="00FD514D">
              <w:rPr>
                <w:lang w:val="es-ES"/>
              </w:rPr>
              <w:lastRenderedPageBreak/>
              <w:t>estuvies</w:t>
            </w:r>
            <w:r w:rsidR="00562844" w:rsidRPr="00FD514D">
              <w:rPr>
                <w:lang w:val="es-ES"/>
              </w:rPr>
              <w:t xml:space="preserve">en aprobadas por la COP. </w:t>
            </w:r>
          </w:p>
          <w:p w14:paraId="36E979FF" w14:textId="115A00B5" w:rsidR="00A36FF0" w:rsidRPr="00FD514D" w:rsidRDefault="00A9529A" w:rsidP="00FD514D">
            <w:pPr>
              <w:pStyle w:val="NoSpacing"/>
              <w:ind w:left="0" w:firstLine="0"/>
              <w:rPr>
                <w:lang w:val="es-ES"/>
              </w:rPr>
            </w:pPr>
            <w:r w:rsidRPr="00FD514D">
              <w:rPr>
                <w:lang w:val="es-ES"/>
              </w:rPr>
              <w:t xml:space="preserve">Aquí se </w:t>
            </w:r>
            <w:r w:rsidR="00131DE0" w:rsidRPr="00FD514D">
              <w:rPr>
                <w:lang w:val="es-ES"/>
              </w:rPr>
              <w:t xml:space="preserve">está </w:t>
            </w:r>
            <w:r w:rsidRPr="00FD514D">
              <w:rPr>
                <w:lang w:val="es-ES"/>
              </w:rPr>
              <w:t>da</w:t>
            </w:r>
            <w:r w:rsidR="00131DE0" w:rsidRPr="00FD514D">
              <w:rPr>
                <w:lang w:val="es-ES"/>
              </w:rPr>
              <w:t>ndo</w:t>
            </w:r>
            <w:r w:rsidRPr="00FD514D">
              <w:rPr>
                <w:lang w:val="es-ES"/>
              </w:rPr>
              <w:t xml:space="preserve"> por sentado </w:t>
            </w:r>
            <w:r w:rsidR="00CE1098" w:rsidRPr="00FD514D">
              <w:rPr>
                <w:lang w:val="es-ES"/>
              </w:rPr>
              <w:t xml:space="preserve">que </w:t>
            </w:r>
            <w:r w:rsidR="006B764F" w:rsidRPr="00FD514D">
              <w:rPr>
                <w:lang w:val="es-ES"/>
              </w:rPr>
              <w:t>las credenciales d</w:t>
            </w:r>
            <w:r w:rsidRPr="00FD514D">
              <w:rPr>
                <w:lang w:val="es-ES"/>
              </w:rPr>
              <w:t>el</w:t>
            </w:r>
            <w:r w:rsidR="00CE1098" w:rsidRPr="00FD514D">
              <w:rPr>
                <w:lang w:val="es-ES"/>
              </w:rPr>
              <w:t xml:space="preserve"> delegado</w:t>
            </w:r>
            <w:r w:rsidR="00502459" w:rsidRPr="00FD514D">
              <w:rPr>
                <w:lang w:val="es-ES"/>
              </w:rPr>
              <w:t xml:space="preserve"> </w:t>
            </w:r>
            <w:r w:rsidR="00131DE0" w:rsidRPr="00FD514D">
              <w:rPr>
                <w:lang w:val="es-ES"/>
              </w:rPr>
              <w:t xml:space="preserve">han sido </w:t>
            </w:r>
            <w:r w:rsidR="00CE1098" w:rsidRPr="00FD514D">
              <w:rPr>
                <w:lang w:val="es-ES"/>
              </w:rPr>
              <w:t xml:space="preserve">aceptadas antes de </w:t>
            </w:r>
            <w:r w:rsidR="00131DE0" w:rsidRPr="00FD514D">
              <w:rPr>
                <w:lang w:val="es-ES"/>
              </w:rPr>
              <w:t xml:space="preserve">la </w:t>
            </w:r>
            <w:r w:rsidR="00F01C0E" w:rsidRPr="00FD514D">
              <w:rPr>
                <w:lang w:val="es-ES"/>
              </w:rPr>
              <w:t>votación,</w:t>
            </w:r>
            <w:r w:rsidR="00131DE0" w:rsidRPr="00FD514D">
              <w:rPr>
                <w:lang w:val="es-ES"/>
              </w:rPr>
              <w:t xml:space="preserve"> pero </w:t>
            </w:r>
            <w:r w:rsidR="00CE1098" w:rsidRPr="00FD514D">
              <w:rPr>
                <w:lang w:val="es-ES"/>
              </w:rPr>
              <w:t xml:space="preserve">esto no está especificado claramente. </w:t>
            </w:r>
          </w:p>
        </w:tc>
        <w:tc>
          <w:tcPr>
            <w:tcW w:w="3332" w:type="dxa"/>
          </w:tcPr>
          <w:p w14:paraId="35FA070D" w14:textId="7CA870D2" w:rsidR="00A36FF0" w:rsidRPr="00FD514D" w:rsidRDefault="00F42C36" w:rsidP="00584154">
            <w:pPr>
              <w:pStyle w:val="NoSpacing"/>
              <w:ind w:left="0" w:firstLine="0"/>
              <w:rPr>
                <w:lang w:val="es-ES"/>
              </w:rPr>
            </w:pPr>
            <w:r w:rsidRPr="00FD514D">
              <w:rPr>
                <w:lang w:val="es-ES"/>
              </w:rPr>
              <w:lastRenderedPageBreak/>
              <w:t>El</w:t>
            </w:r>
            <w:r w:rsidR="00A36FF0" w:rsidRPr="00FD514D">
              <w:rPr>
                <w:lang w:val="es-ES"/>
              </w:rPr>
              <w:t xml:space="preserve"> </w:t>
            </w:r>
            <w:r w:rsidR="00E1661A" w:rsidRPr="00FD514D">
              <w:rPr>
                <w:lang w:val="es-ES"/>
              </w:rPr>
              <w:t>r</w:t>
            </w:r>
            <w:r w:rsidR="00762688" w:rsidRPr="00FD514D">
              <w:rPr>
                <w:lang w:val="es-ES"/>
              </w:rPr>
              <w:t>eglamento</w:t>
            </w:r>
            <w:r w:rsidRPr="00FD514D">
              <w:rPr>
                <w:lang w:val="es-ES"/>
              </w:rPr>
              <w:t xml:space="preserve"> </w:t>
            </w:r>
            <w:r w:rsidR="004C725B" w:rsidRPr="00FD514D">
              <w:rPr>
                <w:lang w:val="es-ES"/>
              </w:rPr>
              <w:t xml:space="preserve">debe </w:t>
            </w:r>
            <w:r w:rsidR="004717AC" w:rsidRPr="00FD514D">
              <w:rPr>
                <w:lang w:val="es-ES"/>
              </w:rPr>
              <w:t>indicar</w:t>
            </w:r>
            <w:r w:rsidR="004C725B" w:rsidRPr="00FD514D">
              <w:rPr>
                <w:lang w:val="es-ES"/>
              </w:rPr>
              <w:t xml:space="preserve"> claramente las circunstancias en que un representante pued</w:t>
            </w:r>
            <w:r w:rsidR="004717AC" w:rsidRPr="00FD514D">
              <w:rPr>
                <w:lang w:val="es-ES"/>
              </w:rPr>
              <w:t>e</w:t>
            </w:r>
            <w:r w:rsidR="004C725B" w:rsidRPr="00FD514D">
              <w:rPr>
                <w:lang w:val="es-ES"/>
              </w:rPr>
              <w:t xml:space="preserve"> participar y </w:t>
            </w:r>
            <w:r w:rsidR="00DD5895" w:rsidRPr="00FD514D">
              <w:rPr>
                <w:lang w:val="es-ES"/>
              </w:rPr>
              <w:t>ejercer el voto</w:t>
            </w:r>
            <w:r w:rsidR="004C725B" w:rsidRPr="00FD514D">
              <w:rPr>
                <w:lang w:val="es-ES"/>
              </w:rPr>
              <w:t>. Si</w:t>
            </w:r>
            <w:r w:rsidR="00F00690" w:rsidRPr="00FD514D">
              <w:rPr>
                <w:lang w:val="es-ES"/>
              </w:rPr>
              <w:t xml:space="preserve"> fuese </w:t>
            </w:r>
            <w:r w:rsidR="00035A6E" w:rsidRPr="00FD514D">
              <w:rPr>
                <w:lang w:val="es-ES"/>
              </w:rPr>
              <w:t>requisito</w:t>
            </w:r>
            <w:r w:rsidR="00F00690" w:rsidRPr="00FD514D">
              <w:rPr>
                <w:lang w:val="es-ES"/>
              </w:rPr>
              <w:t xml:space="preserve"> </w:t>
            </w:r>
            <w:r w:rsidR="00C32C41" w:rsidRPr="00FD514D">
              <w:rPr>
                <w:lang w:val="es-ES"/>
              </w:rPr>
              <w:t xml:space="preserve">tener </w:t>
            </w:r>
            <w:r w:rsidR="00F44990" w:rsidRPr="00FD514D">
              <w:rPr>
                <w:lang w:val="es-ES"/>
              </w:rPr>
              <w:t xml:space="preserve">las </w:t>
            </w:r>
            <w:r w:rsidR="00F00690" w:rsidRPr="00FD514D">
              <w:rPr>
                <w:lang w:val="es-ES"/>
              </w:rPr>
              <w:t>credenciales</w:t>
            </w:r>
            <w:r w:rsidR="00C32C41" w:rsidRPr="00FD514D">
              <w:rPr>
                <w:lang w:val="es-ES"/>
              </w:rPr>
              <w:t xml:space="preserve"> aceptadas para participar o votar </w:t>
            </w:r>
            <w:r w:rsidR="004C725B" w:rsidRPr="00FD514D">
              <w:rPr>
                <w:lang w:val="es-ES"/>
              </w:rPr>
              <w:t xml:space="preserve">(o </w:t>
            </w:r>
            <w:r w:rsidR="004717AC" w:rsidRPr="00FD514D">
              <w:rPr>
                <w:lang w:val="es-ES"/>
              </w:rPr>
              <w:t xml:space="preserve">para </w:t>
            </w:r>
            <w:r w:rsidR="004C725B" w:rsidRPr="00FD514D">
              <w:rPr>
                <w:lang w:val="es-ES"/>
              </w:rPr>
              <w:t>ambos)</w:t>
            </w:r>
            <w:r w:rsidR="00C32C41" w:rsidRPr="00FD514D">
              <w:rPr>
                <w:lang w:val="es-ES"/>
              </w:rPr>
              <w:t>, esto se debería</w:t>
            </w:r>
            <w:r w:rsidR="00502459" w:rsidRPr="00FD514D">
              <w:rPr>
                <w:lang w:val="es-ES"/>
              </w:rPr>
              <w:t xml:space="preserve"> </w:t>
            </w:r>
            <w:r w:rsidR="00C32C41" w:rsidRPr="00FD514D">
              <w:rPr>
                <w:lang w:val="es-ES"/>
              </w:rPr>
              <w:t xml:space="preserve">indicar </w:t>
            </w:r>
            <w:r w:rsidR="008C743F" w:rsidRPr="00FD514D">
              <w:rPr>
                <w:lang w:val="es-ES"/>
              </w:rPr>
              <w:t xml:space="preserve">claramente en el </w:t>
            </w:r>
            <w:r w:rsidR="004717AC" w:rsidRPr="00FD514D">
              <w:rPr>
                <w:lang w:val="es-ES"/>
              </w:rPr>
              <w:t>r</w:t>
            </w:r>
            <w:r w:rsidR="00762688" w:rsidRPr="00FD514D">
              <w:rPr>
                <w:lang w:val="es-ES"/>
              </w:rPr>
              <w:t>eglamento</w:t>
            </w:r>
            <w:r w:rsidR="008C743F" w:rsidRPr="00FD514D">
              <w:rPr>
                <w:lang w:val="es-ES"/>
              </w:rPr>
              <w:t xml:space="preserve"> (incluyendo en el</w:t>
            </w:r>
            <w:r w:rsidR="00502459" w:rsidRPr="00FD514D">
              <w:rPr>
                <w:lang w:val="es-ES"/>
              </w:rPr>
              <w:t xml:space="preserve"> </w:t>
            </w:r>
            <w:r w:rsidR="004717AC" w:rsidRPr="00FD514D">
              <w:rPr>
                <w:lang w:val="es-ES"/>
              </w:rPr>
              <w:t>a</w:t>
            </w:r>
            <w:r w:rsidR="00762688" w:rsidRPr="00FD514D">
              <w:rPr>
                <w:lang w:val="es-ES"/>
              </w:rPr>
              <w:t>rtículo</w:t>
            </w:r>
            <w:r w:rsidR="00DE70EE" w:rsidRPr="00FD514D">
              <w:rPr>
                <w:lang w:val="es-ES"/>
              </w:rPr>
              <w:t> </w:t>
            </w:r>
            <w:r w:rsidR="00A36FF0" w:rsidRPr="00FD514D">
              <w:rPr>
                <w:lang w:val="es-ES"/>
              </w:rPr>
              <w:t>39.5</w:t>
            </w:r>
            <w:r w:rsidR="008C743F" w:rsidRPr="00FD514D">
              <w:rPr>
                <w:lang w:val="es-ES"/>
              </w:rPr>
              <w:t xml:space="preserve"> en el que se afirma que</w:t>
            </w:r>
            <w:r w:rsidR="00A36FF0" w:rsidRPr="00FD514D">
              <w:rPr>
                <w:lang w:val="es-ES"/>
              </w:rPr>
              <w:t xml:space="preserve"> </w:t>
            </w:r>
            <w:r w:rsidR="00980900">
              <w:rPr>
                <w:lang w:val="es-ES"/>
              </w:rPr>
              <w:t>“</w:t>
            </w:r>
            <w:r w:rsidR="00F44990" w:rsidRPr="00FD514D">
              <w:rPr>
                <w:lang w:val="es-ES"/>
              </w:rPr>
              <w:t xml:space="preserve">Se considerará que </w:t>
            </w:r>
            <w:r w:rsidR="00035A6E" w:rsidRPr="00FD514D">
              <w:rPr>
                <w:rFonts w:asciiTheme="minorHAnsi" w:hAnsiTheme="minorHAnsi"/>
                <w:lang w:val="es-ES"/>
              </w:rPr>
              <w:t>las Partes que</w:t>
            </w:r>
            <w:r w:rsidR="00F44990" w:rsidRPr="00FD514D">
              <w:rPr>
                <w:rFonts w:asciiTheme="minorHAnsi" w:hAnsiTheme="minorHAnsi"/>
                <w:lang w:val="es-ES"/>
              </w:rPr>
              <w:t>…</w:t>
            </w:r>
            <w:r w:rsidR="00035A6E" w:rsidRPr="00FD514D">
              <w:rPr>
                <w:rFonts w:asciiTheme="minorHAnsi" w:hAnsiTheme="minorHAnsi"/>
                <w:lang w:val="es-ES"/>
              </w:rPr>
              <w:t xml:space="preserve"> no dispongan de las credenciales apropiadas no han votado</w:t>
            </w:r>
            <w:r w:rsidR="00980900">
              <w:rPr>
                <w:rFonts w:asciiTheme="minorHAnsi" w:hAnsiTheme="minorHAnsi"/>
                <w:lang w:val="es-ES"/>
              </w:rPr>
              <w:t>”</w:t>
            </w:r>
            <w:r w:rsidR="00F44990" w:rsidRPr="00FD514D">
              <w:rPr>
                <w:rFonts w:asciiTheme="minorHAnsi" w:hAnsiTheme="minorHAnsi"/>
                <w:lang w:val="es-ES"/>
              </w:rPr>
              <w:t>.</w:t>
            </w:r>
            <w:r w:rsidR="00035A6E" w:rsidRPr="00FD514D">
              <w:rPr>
                <w:lang w:val="es-ES"/>
              </w:rPr>
              <w:t xml:space="preserve"> </w:t>
            </w:r>
            <w:r w:rsidR="008C743F" w:rsidRPr="00FD514D">
              <w:rPr>
                <w:lang w:val="es-ES"/>
              </w:rPr>
              <w:t xml:space="preserve">No queda claro si el término </w:t>
            </w:r>
            <w:r w:rsidR="00980900">
              <w:rPr>
                <w:lang w:val="es-ES"/>
              </w:rPr>
              <w:t>“</w:t>
            </w:r>
            <w:r w:rsidR="008C743F" w:rsidRPr="00FD514D">
              <w:rPr>
                <w:lang w:val="es-ES"/>
              </w:rPr>
              <w:t>apropiadas</w:t>
            </w:r>
            <w:r w:rsidR="00855E6E">
              <w:rPr>
                <w:lang w:val="es-ES"/>
              </w:rPr>
              <w:t>’</w:t>
            </w:r>
            <w:r w:rsidR="008C743F" w:rsidRPr="00FD514D">
              <w:rPr>
                <w:lang w:val="es-ES"/>
              </w:rPr>
              <w:t xml:space="preserve"> se ha de entender </w:t>
            </w:r>
            <w:r w:rsidR="00930E9A" w:rsidRPr="00FD514D">
              <w:rPr>
                <w:lang w:val="es-ES"/>
              </w:rPr>
              <w:t xml:space="preserve">como sinónimo de </w:t>
            </w:r>
            <w:r w:rsidR="00980900">
              <w:rPr>
                <w:lang w:val="es-ES"/>
              </w:rPr>
              <w:t>“</w:t>
            </w:r>
            <w:r w:rsidR="00930E9A" w:rsidRPr="00FD514D">
              <w:rPr>
                <w:lang w:val="es-ES"/>
              </w:rPr>
              <w:t>aceptadas</w:t>
            </w:r>
            <w:r w:rsidR="00980900">
              <w:rPr>
                <w:lang w:val="es-ES"/>
              </w:rPr>
              <w:t>”</w:t>
            </w:r>
            <w:r w:rsidR="00930E9A" w:rsidRPr="00FD514D">
              <w:rPr>
                <w:lang w:val="es-ES"/>
              </w:rPr>
              <w:t xml:space="preserve"> por la</w:t>
            </w:r>
            <w:r w:rsidR="00502459" w:rsidRPr="00FD514D">
              <w:rPr>
                <w:lang w:val="es-ES"/>
              </w:rPr>
              <w:t xml:space="preserve"> </w:t>
            </w:r>
            <w:r w:rsidR="00A36FF0" w:rsidRPr="00FD514D">
              <w:rPr>
                <w:lang w:val="es-ES"/>
              </w:rPr>
              <w:t>COP).</w:t>
            </w:r>
          </w:p>
          <w:p w14:paraId="53ED4847" w14:textId="77777777" w:rsidR="00A36FF0" w:rsidRPr="00FD514D" w:rsidRDefault="00A36FF0" w:rsidP="00584154">
            <w:pPr>
              <w:pStyle w:val="NoSpacing"/>
              <w:ind w:left="0" w:firstLine="0"/>
              <w:rPr>
                <w:lang w:val="es-ES"/>
              </w:rPr>
            </w:pPr>
          </w:p>
          <w:p w14:paraId="50FA9B5E" w14:textId="0692D19D" w:rsidR="00A36FF0" w:rsidRPr="00FD514D" w:rsidRDefault="00943836" w:rsidP="00584154">
            <w:pPr>
              <w:pStyle w:val="NoSpacing"/>
              <w:ind w:left="0" w:firstLine="0"/>
              <w:rPr>
                <w:lang w:val="es-ES"/>
              </w:rPr>
            </w:pPr>
            <w:r w:rsidRPr="00FD514D">
              <w:rPr>
                <w:lang w:val="es-ES"/>
              </w:rPr>
              <w:t xml:space="preserve">El </w:t>
            </w:r>
            <w:r w:rsidR="00213523" w:rsidRPr="00FD514D">
              <w:rPr>
                <w:lang w:val="es-ES"/>
              </w:rPr>
              <w:t>r</w:t>
            </w:r>
            <w:r w:rsidR="00762688" w:rsidRPr="00FD514D">
              <w:rPr>
                <w:lang w:val="es-ES"/>
              </w:rPr>
              <w:t>eglamento</w:t>
            </w:r>
            <w:r w:rsidR="00502459" w:rsidRPr="00FD514D">
              <w:rPr>
                <w:lang w:val="es-ES"/>
              </w:rPr>
              <w:t xml:space="preserve"> </w:t>
            </w:r>
            <w:r w:rsidR="00C20850" w:rsidRPr="00FD514D">
              <w:rPr>
                <w:lang w:val="es-ES"/>
              </w:rPr>
              <w:t xml:space="preserve">debería estar estructurado de manera que todos </w:t>
            </w:r>
            <w:r w:rsidRPr="00FD514D">
              <w:rPr>
                <w:lang w:val="es-ES"/>
              </w:rPr>
              <w:t>los</w:t>
            </w:r>
            <w:r w:rsidR="00502459" w:rsidRPr="00FD514D">
              <w:rPr>
                <w:lang w:val="es-ES"/>
              </w:rPr>
              <w:t xml:space="preserve"> </w:t>
            </w:r>
            <w:r w:rsidR="00C20850" w:rsidRPr="00FD514D">
              <w:rPr>
                <w:lang w:val="es-ES"/>
              </w:rPr>
              <w:t>requisitos técnicos</w:t>
            </w:r>
            <w:r w:rsidR="00502459" w:rsidRPr="00FD514D">
              <w:rPr>
                <w:lang w:val="es-ES"/>
              </w:rPr>
              <w:t xml:space="preserve"> </w:t>
            </w:r>
            <w:r w:rsidR="00D241FA" w:rsidRPr="00FD514D">
              <w:rPr>
                <w:lang w:val="es-ES"/>
              </w:rPr>
              <w:t>relativos a</w:t>
            </w:r>
            <w:r w:rsidR="00C20850" w:rsidRPr="00FD514D">
              <w:rPr>
                <w:lang w:val="es-ES"/>
              </w:rPr>
              <w:t xml:space="preserve">l formato de las credenciales estén indicados claramente en un solo </w:t>
            </w:r>
            <w:r w:rsidR="00A36FF0" w:rsidRPr="00FD514D">
              <w:rPr>
                <w:lang w:val="es-ES"/>
              </w:rPr>
              <w:t>sub</w:t>
            </w:r>
            <w:r w:rsidR="00762688" w:rsidRPr="00FD514D">
              <w:rPr>
                <w:lang w:val="es-ES"/>
              </w:rPr>
              <w:t>artículo</w:t>
            </w:r>
            <w:r w:rsidR="00A36FF0" w:rsidRPr="00FD514D">
              <w:rPr>
                <w:lang w:val="es-ES"/>
              </w:rPr>
              <w:t xml:space="preserve">. </w:t>
            </w:r>
          </w:p>
          <w:p w14:paraId="39273B3E" w14:textId="77777777" w:rsidR="00A36FF0" w:rsidRPr="00FD514D" w:rsidRDefault="00A36FF0" w:rsidP="00584154">
            <w:pPr>
              <w:pStyle w:val="NoSpacing"/>
              <w:ind w:left="0" w:firstLine="0"/>
              <w:rPr>
                <w:lang w:val="es-ES"/>
              </w:rPr>
            </w:pPr>
          </w:p>
          <w:p w14:paraId="3118880D" w14:textId="1E066A2A" w:rsidR="00A36FF0" w:rsidRPr="00FD514D" w:rsidRDefault="009A0E2F" w:rsidP="00584154">
            <w:pPr>
              <w:pStyle w:val="NoSpacing"/>
              <w:ind w:left="0" w:firstLine="0"/>
              <w:rPr>
                <w:lang w:val="es-ES"/>
              </w:rPr>
            </w:pPr>
            <w:r w:rsidRPr="00FD514D">
              <w:rPr>
                <w:lang w:val="es-ES"/>
              </w:rPr>
              <w:t>No se deben emplear</w:t>
            </w:r>
            <w:r w:rsidR="00D241FA" w:rsidRPr="00FD514D">
              <w:rPr>
                <w:lang w:val="es-ES"/>
              </w:rPr>
              <w:t xml:space="preserve"> los</w:t>
            </w:r>
            <w:r w:rsidRPr="00FD514D">
              <w:rPr>
                <w:lang w:val="es-ES"/>
              </w:rPr>
              <w:t xml:space="preserve"> términos indistintamente. Es decir, </w:t>
            </w:r>
            <w:r w:rsidR="00AD0C4A" w:rsidRPr="00FD514D">
              <w:rPr>
                <w:lang w:val="es-ES"/>
              </w:rPr>
              <w:t xml:space="preserve">cada término </w:t>
            </w:r>
            <w:r w:rsidRPr="00FD514D">
              <w:rPr>
                <w:lang w:val="es-ES"/>
              </w:rPr>
              <w:t xml:space="preserve">se debería </w:t>
            </w:r>
            <w:r w:rsidR="00C12D97" w:rsidRPr="00FD514D">
              <w:rPr>
                <w:lang w:val="es-ES"/>
              </w:rPr>
              <w:t xml:space="preserve">usar </w:t>
            </w:r>
            <w:r w:rsidRPr="00FD514D">
              <w:rPr>
                <w:lang w:val="es-ES"/>
              </w:rPr>
              <w:t>de manera</w:t>
            </w:r>
            <w:r w:rsidR="00C12D97" w:rsidRPr="00FD514D">
              <w:rPr>
                <w:lang w:val="es-ES"/>
              </w:rPr>
              <w:t xml:space="preserve"> sistemática en todo el </w:t>
            </w:r>
            <w:r w:rsidR="00AD0C4A" w:rsidRPr="00FD514D">
              <w:rPr>
                <w:lang w:val="es-ES"/>
              </w:rPr>
              <w:t>r</w:t>
            </w:r>
            <w:r w:rsidR="00762688" w:rsidRPr="00FD514D">
              <w:rPr>
                <w:lang w:val="es-ES"/>
              </w:rPr>
              <w:t>eglamento</w:t>
            </w:r>
            <w:r w:rsidR="00C12D97" w:rsidRPr="00FD514D">
              <w:rPr>
                <w:lang w:val="es-ES"/>
              </w:rPr>
              <w:t xml:space="preserve"> a fin de evitar confusiones.</w:t>
            </w:r>
            <w:r w:rsidR="00502459" w:rsidRPr="00FD514D">
              <w:rPr>
                <w:lang w:val="es-ES"/>
              </w:rPr>
              <w:t xml:space="preserve"> </w:t>
            </w:r>
          </w:p>
          <w:p w14:paraId="15281BFD" w14:textId="77777777" w:rsidR="007A6234" w:rsidRPr="00FD514D" w:rsidRDefault="007A6234" w:rsidP="00584154">
            <w:pPr>
              <w:pStyle w:val="NoSpacing"/>
              <w:ind w:left="0" w:firstLine="0"/>
              <w:rPr>
                <w:lang w:val="es-ES"/>
              </w:rPr>
            </w:pPr>
          </w:p>
          <w:p w14:paraId="3EC67467" w14:textId="771281A6" w:rsidR="007A6234" w:rsidRPr="00FD514D" w:rsidRDefault="0058523C" w:rsidP="00584154">
            <w:pPr>
              <w:pStyle w:val="NoSpacing"/>
              <w:ind w:left="0" w:firstLine="0"/>
              <w:rPr>
                <w:lang w:val="es-ES"/>
              </w:rPr>
            </w:pPr>
            <w:r w:rsidRPr="00FD514D">
              <w:rPr>
                <w:lang w:val="es-ES"/>
              </w:rPr>
              <w:t xml:space="preserve">Las especificaciones </w:t>
            </w:r>
            <w:r w:rsidR="00B110A1" w:rsidRPr="00FD514D">
              <w:rPr>
                <w:lang w:val="es-ES"/>
              </w:rPr>
              <w:t>relativas a</w:t>
            </w:r>
            <w:r w:rsidRPr="00FD514D">
              <w:rPr>
                <w:lang w:val="es-ES"/>
              </w:rPr>
              <w:t xml:space="preserve"> las credenciales deberían estar explicadas claramente en un solo </w:t>
            </w:r>
            <w:r w:rsidR="008C616F" w:rsidRPr="00FD514D">
              <w:rPr>
                <w:lang w:val="es-ES"/>
              </w:rPr>
              <w:t>a</w:t>
            </w:r>
            <w:r w:rsidR="00762688" w:rsidRPr="00FD514D">
              <w:rPr>
                <w:lang w:val="es-ES"/>
              </w:rPr>
              <w:t>rtículo</w:t>
            </w:r>
            <w:r w:rsidR="007A6234" w:rsidRPr="00FD514D">
              <w:rPr>
                <w:lang w:val="es-ES"/>
              </w:rPr>
              <w:t>.</w:t>
            </w:r>
          </w:p>
          <w:p w14:paraId="5E6C75CC" w14:textId="77777777" w:rsidR="007A6234" w:rsidRPr="00FD514D" w:rsidRDefault="007A6234" w:rsidP="00584154">
            <w:pPr>
              <w:pStyle w:val="NoSpacing"/>
              <w:ind w:left="0" w:firstLine="0"/>
              <w:rPr>
                <w:lang w:val="es-ES"/>
              </w:rPr>
            </w:pPr>
          </w:p>
          <w:p w14:paraId="01EFFFE9" w14:textId="1C04A469" w:rsidR="008E5BB9" w:rsidRPr="00FD514D" w:rsidRDefault="00A53F78" w:rsidP="00C3227F">
            <w:pPr>
              <w:pStyle w:val="NoSpacing"/>
              <w:ind w:left="0" w:firstLine="0"/>
              <w:rPr>
                <w:lang w:val="es-ES"/>
              </w:rPr>
            </w:pPr>
            <w:r w:rsidRPr="00FD514D">
              <w:rPr>
                <w:lang w:val="es-ES"/>
              </w:rPr>
              <w:t>El</w:t>
            </w:r>
            <w:r w:rsidR="007A6234" w:rsidRPr="00FD514D">
              <w:rPr>
                <w:lang w:val="es-ES"/>
              </w:rPr>
              <w:t xml:space="preserve"> </w:t>
            </w:r>
            <w:r w:rsidR="001E38DA" w:rsidRPr="00FD514D">
              <w:rPr>
                <w:lang w:val="es-ES"/>
              </w:rPr>
              <w:t>r</w:t>
            </w:r>
            <w:r w:rsidR="00762688" w:rsidRPr="00FD514D">
              <w:rPr>
                <w:lang w:val="es-ES"/>
              </w:rPr>
              <w:t>eglamento</w:t>
            </w:r>
            <w:r w:rsidRPr="00FD514D">
              <w:rPr>
                <w:lang w:val="es-ES"/>
              </w:rPr>
              <w:t xml:space="preserve"> debería indicar claramente que</w:t>
            </w:r>
            <w:r w:rsidR="00286F1E" w:rsidRPr="00FD514D">
              <w:rPr>
                <w:lang w:val="es-ES"/>
              </w:rPr>
              <w:t xml:space="preserve"> la COP tendrá que examinar </w:t>
            </w:r>
            <w:r w:rsidRPr="00FD514D">
              <w:rPr>
                <w:lang w:val="es-ES"/>
              </w:rPr>
              <w:t xml:space="preserve">el informe del Comité de </w:t>
            </w:r>
            <w:r w:rsidRPr="00FD514D">
              <w:rPr>
                <w:lang w:val="es-ES"/>
              </w:rPr>
              <w:lastRenderedPageBreak/>
              <w:t>Credenciales</w:t>
            </w:r>
            <w:r w:rsidR="00286F1E" w:rsidRPr="00FD514D">
              <w:rPr>
                <w:lang w:val="es-ES"/>
              </w:rPr>
              <w:t xml:space="preserve"> y adoptar una decisión al respecto </w:t>
            </w:r>
            <w:r w:rsidR="001E38DA" w:rsidRPr="00FD514D">
              <w:rPr>
                <w:lang w:val="es-ES"/>
              </w:rPr>
              <w:t>antes de que se proceda a una votación.</w:t>
            </w:r>
            <w:r w:rsidR="00502459" w:rsidRPr="00FD514D">
              <w:rPr>
                <w:lang w:val="es-ES"/>
              </w:rPr>
              <w:t xml:space="preserve"> </w:t>
            </w:r>
          </w:p>
          <w:p w14:paraId="6F39373A" w14:textId="77777777" w:rsidR="00C3227F" w:rsidRPr="00FD514D" w:rsidRDefault="00C3227F" w:rsidP="00C3227F">
            <w:pPr>
              <w:pStyle w:val="NoSpacing"/>
              <w:ind w:left="0" w:firstLine="0"/>
              <w:rPr>
                <w:lang w:val="es-ES"/>
              </w:rPr>
            </w:pPr>
          </w:p>
          <w:p w14:paraId="0108A503" w14:textId="77777777" w:rsidR="007A6234" w:rsidRPr="00FD514D" w:rsidRDefault="00C905D1" w:rsidP="008E5BB9">
            <w:pPr>
              <w:pStyle w:val="NoSpacing"/>
              <w:ind w:left="0" w:firstLine="0"/>
              <w:rPr>
                <w:lang w:val="es-ES"/>
              </w:rPr>
            </w:pPr>
            <w:r w:rsidRPr="00FD514D">
              <w:rPr>
                <w:lang w:val="es-ES"/>
              </w:rPr>
              <w:t xml:space="preserve">Posiblemente sea conveniente plantear la inclusión de un </w:t>
            </w:r>
            <w:r w:rsidR="001E38DA" w:rsidRPr="00FD514D">
              <w:rPr>
                <w:lang w:val="es-ES"/>
              </w:rPr>
              <w:t>a</w:t>
            </w:r>
            <w:r w:rsidR="00762688" w:rsidRPr="00FD514D">
              <w:rPr>
                <w:lang w:val="es-ES"/>
              </w:rPr>
              <w:t>rtículo</w:t>
            </w:r>
            <w:r w:rsidR="00C3227F" w:rsidRPr="00FD514D">
              <w:rPr>
                <w:lang w:val="es-ES"/>
              </w:rPr>
              <w:t xml:space="preserve"> </w:t>
            </w:r>
            <w:r w:rsidRPr="00FD514D">
              <w:rPr>
                <w:lang w:val="es-ES"/>
              </w:rPr>
              <w:t xml:space="preserve">referente a la presentación </w:t>
            </w:r>
            <w:r w:rsidR="00EF53D8" w:rsidRPr="00FD514D">
              <w:rPr>
                <w:lang w:val="es-ES"/>
              </w:rPr>
              <w:t>de un</w:t>
            </w:r>
            <w:r w:rsidR="003E0814" w:rsidRPr="00FD514D">
              <w:rPr>
                <w:lang w:val="es-ES"/>
              </w:rPr>
              <w:t xml:space="preserve"> documento equivalente a las credenciales</w:t>
            </w:r>
            <w:r w:rsidR="00EF53D8" w:rsidRPr="00FD514D">
              <w:rPr>
                <w:lang w:val="es-ES"/>
              </w:rPr>
              <w:t xml:space="preserve"> </w:t>
            </w:r>
            <w:r w:rsidR="00E96510" w:rsidRPr="00FD514D">
              <w:rPr>
                <w:lang w:val="es-ES"/>
              </w:rPr>
              <w:t xml:space="preserve">también para los observadores, en forma de una </w:t>
            </w:r>
            <w:r w:rsidR="00B45E43" w:rsidRPr="00FD514D">
              <w:rPr>
                <w:lang w:val="es-ES"/>
              </w:rPr>
              <w:t xml:space="preserve">simple </w:t>
            </w:r>
            <w:r w:rsidR="00900283" w:rsidRPr="00FD514D">
              <w:rPr>
                <w:lang w:val="es-ES"/>
              </w:rPr>
              <w:t>carta</w:t>
            </w:r>
            <w:r w:rsidR="00B45E43" w:rsidRPr="00FD514D">
              <w:rPr>
                <w:lang w:val="es-ES"/>
              </w:rPr>
              <w:t>,</w:t>
            </w:r>
            <w:r w:rsidR="00900283" w:rsidRPr="00FD514D">
              <w:rPr>
                <w:lang w:val="es-ES"/>
              </w:rPr>
              <w:t xml:space="preserve"> de una persona apropiada</w:t>
            </w:r>
            <w:r w:rsidR="00B45E43" w:rsidRPr="00FD514D">
              <w:rPr>
                <w:lang w:val="es-ES"/>
              </w:rPr>
              <w:t>,</w:t>
            </w:r>
            <w:r w:rsidR="00900283" w:rsidRPr="00FD514D">
              <w:rPr>
                <w:lang w:val="es-ES"/>
              </w:rPr>
              <w:t xml:space="preserve"> en la que se indica que el observador está autorizado a representar a la organización concernida y puede hablar en su nombre y representación. </w:t>
            </w:r>
          </w:p>
          <w:p w14:paraId="43AF0EB9" w14:textId="77777777" w:rsidR="00543027" w:rsidRPr="00FD514D" w:rsidRDefault="00543027" w:rsidP="008E5BB9">
            <w:pPr>
              <w:pStyle w:val="NoSpacing"/>
              <w:ind w:left="0" w:firstLine="0"/>
              <w:rPr>
                <w:lang w:val="es-ES"/>
              </w:rPr>
            </w:pPr>
          </w:p>
          <w:p w14:paraId="2DD4B69C" w14:textId="77777777" w:rsidR="00543027" w:rsidRPr="00FD514D" w:rsidRDefault="00543027" w:rsidP="008E5BB9">
            <w:pPr>
              <w:pStyle w:val="NoSpacing"/>
              <w:ind w:left="0" w:firstLine="0"/>
              <w:rPr>
                <w:lang w:val="es-ES"/>
              </w:rPr>
            </w:pPr>
          </w:p>
          <w:p w14:paraId="546E5716" w14:textId="77777777" w:rsidR="00543027" w:rsidRPr="00FD514D" w:rsidRDefault="00543027" w:rsidP="00354A53">
            <w:pPr>
              <w:rPr>
                <w:lang w:val="es-ES"/>
              </w:rPr>
            </w:pPr>
          </w:p>
        </w:tc>
      </w:tr>
      <w:tr w:rsidR="00D50999" w:rsidRPr="00070719" w14:paraId="2656A989" w14:textId="77777777" w:rsidTr="00980900">
        <w:tc>
          <w:tcPr>
            <w:tcW w:w="578" w:type="dxa"/>
          </w:tcPr>
          <w:p w14:paraId="0153E6D0" w14:textId="77777777" w:rsidR="00A36FF0" w:rsidRPr="00FD514D" w:rsidRDefault="00A05E17" w:rsidP="0078688F">
            <w:pPr>
              <w:pStyle w:val="NoSpacing"/>
              <w:ind w:left="0" w:firstLine="0"/>
              <w:rPr>
                <w:lang w:val="es-ES"/>
              </w:rPr>
            </w:pPr>
            <w:r w:rsidRPr="00FD514D">
              <w:rPr>
                <w:lang w:val="es-ES"/>
              </w:rPr>
              <w:lastRenderedPageBreak/>
              <w:t>9</w:t>
            </w:r>
          </w:p>
        </w:tc>
        <w:tc>
          <w:tcPr>
            <w:tcW w:w="1939" w:type="dxa"/>
          </w:tcPr>
          <w:p w14:paraId="0ACA5A4F" w14:textId="77777777" w:rsidR="00A36FF0" w:rsidRPr="00FD514D" w:rsidRDefault="00762688" w:rsidP="0078688F">
            <w:pPr>
              <w:pStyle w:val="NoSpacing"/>
              <w:ind w:left="0" w:firstLine="0"/>
              <w:rPr>
                <w:lang w:val="es-ES"/>
              </w:rPr>
            </w:pPr>
            <w:r w:rsidRPr="00FD514D">
              <w:rPr>
                <w:lang w:val="es-ES"/>
              </w:rPr>
              <w:t>Artículo</w:t>
            </w:r>
            <w:r w:rsidR="00A36FF0" w:rsidRPr="00FD514D">
              <w:rPr>
                <w:lang w:val="es-ES"/>
              </w:rPr>
              <w:t xml:space="preserve"> 21</w:t>
            </w:r>
            <w:r w:rsidR="00F10AAE" w:rsidRPr="00FD514D">
              <w:rPr>
                <w:lang w:val="es-ES"/>
              </w:rPr>
              <w:t>:</w:t>
            </w:r>
            <w:r w:rsidR="00A36FF0" w:rsidRPr="00FD514D">
              <w:rPr>
                <w:lang w:val="es-ES"/>
              </w:rPr>
              <w:t xml:space="preserve"> </w:t>
            </w:r>
            <w:r w:rsidR="00806000" w:rsidRPr="00FD514D">
              <w:rPr>
                <w:lang w:val="es-ES"/>
              </w:rPr>
              <w:t xml:space="preserve">Mesa de la </w:t>
            </w:r>
            <w:r w:rsidR="00A36FF0" w:rsidRPr="00FD514D">
              <w:rPr>
                <w:lang w:val="es-ES"/>
              </w:rPr>
              <w:t>Conferenc</w:t>
            </w:r>
            <w:r w:rsidR="00806000" w:rsidRPr="00FD514D">
              <w:rPr>
                <w:lang w:val="es-ES"/>
              </w:rPr>
              <w:t>ia</w:t>
            </w:r>
          </w:p>
        </w:tc>
        <w:tc>
          <w:tcPr>
            <w:tcW w:w="3331" w:type="dxa"/>
          </w:tcPr>
          <w:p w14:paraId="0FF74AA4" w14:textId="3096A6CC" w:rsidR="00A36FF0" w:rsidRPr="00FD514D" w:rsidRDefault="00CE1098" w:rsidP="0078688F">
            <w:pPr>
              <w:pStyle w:val="NoSpacing"/>
              <w:ind w:left="0" w:firstLine="0"/>
              <w:rPr>
                <w:lang w:val="es-ES"/>
              </w:rPr>
            </w:pPr>
            <w:r w:rsidRPr="00FD514D">
              <w:rPr>
                <w:lang w:val="es-ES"/>
              </w:rPr>
              <w:t>El</w:t>
            </w:r>
            <w:r w:rsidR="00F01C0E" w:rsidRPr="00FD514D">
              <w:rPr>
                <w:lang w:val="es-ES"/>
              </w:rPr>
              <w:t xml:space="preserve"> </w:t>
            </w:r>
            <w:r w:rsidR="00B45E43" w:rsidRPr="00FD514D">
              <w:rPr>
                <w:lang w:val="es-ES"/>
              </w:rPr>
              <w:t>a</w:t>
            </w:r>
            <w:r w:rsidR="00762688" w:rsidRPr="00FD514D">
              <w:rPr>
                <w:lang w:val="es-ES"/>
              </w:rPr>
              <w:t>rtículo</w:t>
            </w:r>
            <w:r w:rsidR="00A36FF0" w:rsidRPr="00FD514D">
              <w:rPr>
                <w:lang w:val="es-ES"/>
              </w:rPr>
              <w:t xml:space="preserve"> 21.1 </w:t>
            </w:r>
            <w:r w:rsidR="00B45E43" w:rsidRPr="00FD514D">
              <w:rPr>
                <w:lang w:val="es-ES"/>
              </w:rPr>
              <w:t>se refiere</w:t>
            </w:r>
            <w:r w:rsidRPr="00FD514D">
              <w:rPr>
                <w:lang w:val="es-ES"/>
              </w:rPr>
              <w:t xml:space="preserve">, entre otras cuestiones, a la elección de los </w:t>
            </w:r>
            <w:r w:rsidR="00560273" w:rsidRPr="00FD514D">
              <w:rPr>
                <w:lang w:val="es-ES"/>
              </w:rPr>
              <w:t>miembr</w:t>
            </w:r>
            <w:r w:rsidR="006B764F" w:rsidRPr="00FD514D">
              <w:rPr>
                <w:lang w:val="es-ES"/>
              </w:rPr>
              <w:t>os</w:t>
            </w:r>
            <w:r w:rsidR="00CB7BFB" w:rsidRPr="00FD514D">
              <w:rPr>
                <w:lang w:val="es-ES"/>
              </w:rPr>
              <w:t xml:space="preserve"> de la Me</w:t>
            </w:r>
            <w:r w:rsidR="00560273" w:rsidRPr="00FD514D">
              <w:rPr>
                <w:lang w:val="es-ES"/>
              </w:rPr>
              <w:t>s</w:t>
            </w:r>
            <w:r w:rsidR="00CB7BFB" w:rsidRPr="00FD514D">
              <w:rPr>
                <w:lang w:val="es-ES"/>
              </w:rPr>
              <w:t>a de la Conferencia. Un</w:t>
            </w:r>
            <w:r w:rsidR="00992005" w:rsidRPr="00FD514D">
              <w:rPr>
                <w:lang w:val="es-ES"/>
              </w:rPr>
              <w:t>a</w:t>
            </w:r>
            <w:r w:rsidR="00CB7BFB" w:rsidRPr="00FD514D">
              <w:rPr>
                <w:lang w:val="es-ES"/>
              </w:rPr>
              <w:t xml:space="preserve"> de las dos Vicepresidencias desempeñará las funciones de </w:t>
            </w:r>
            <w:r w:rsidR="00705ED1" w:rsidRPr="00FD514D">
              <w:rPr>
                <w:lang w:val="es-ES"/>
              </w:rPr>
              <w:t>r</w:t>
            </w:r>
            <w:r w:rsidR="00CB7BFB" w:rsidRPr="00FD514D">
              <w:rPr>
                <w:lang w:val="es-ES"/>
              </w:rPr>
              <w:t>elator.</w:t>
            </w:r>
            <w:r w:rsidR="00A36FF0" w:rsidRPr="00FD514D">
              <w:rPr>
                <w:lang w:val="es-ES"/>
              </w:rPr>
              <w:t xml:space="preserve"> </w:t>
            </w:r>
            <w:r w:rsidR="00CB7BFB" w:rsidRPr="00FD514D">
              <w:rPr>
                <w:lang w:val="es-ES"/>
              </w:rPr>
              <w:t xml:space="preserve">Habida cuenta de que </w:t>
            </w:r>
            <w:r w:rsidR="00D569F5" w:rsidRPr="00FD514D">
              <w:rPr>
                <w:lang w:val="es-ES"/>
              </w:rPr>
              <w:t xml:space="preserve">en </w:t>
            </w:r>
            <w:r w:rsidR="00CB7BFB" w:rsidRPr="00FD514D">
              <w:rPr>
                <w:lang w:val="es-ES"/>
              </w:rPr>
              <w:t xml:space="preserve">cada reunión de la COP </w:t>
            </w:r>
            <w:r w:rsidR="00D569F5" w:rsidRPr="00FD514D">
              <w:rPr>
                <w:lang w:val="es-ES"/>
              </w:rPr>
              <w:t xml:space="preserve">se </w:t>
            </w:r>
            <w:r w:rsidR="00CB7BFB" w:rsidRPr="00FD514D">
              <w:rPr>
                <w:lang w:val="es-ES"/>
              </w:rPr>
              <w:t xml:space="preserve">dispone de uno o varios relatores profesionales, </w:t>
            </w:r>
            <w:r w:rsidR="00D569F5" w:rsidRPr="00FD514D">
              <w:rPr>
                <w:lang w:val="es-ES"/>
              </w:rPr>
              <w:t xml:space="preserve">las funciones de la Vicepresidencia designada no </w:t>
            </w:r>
            <w:r w:rsidR="00044DFD" w:rsidRPr="00FD514D">
              <w:rPr>
                <w:lang w:val="es-ES"/>
              </w:rPr>
              <w:t>quedan</w:t>
            </w:r>
            <w:r w:rsidR="00D569F5" w:rsidRPr="00FD514D">
              <w:rPr>
                <w:lang w:val="es-ES"/>
              </w:rPr>
              <w:t xml:space="preserve"> claras en este </w:t>
            </w:r>
            <w:r w:rsidR="001814D4" w:rsidRPr="00FD514D">
              <w:rPr>
                <w:lang w:val="es-ES"/>
              </w:rPr>
              <w:t>context</w:t>
            </w:r>
            <w:r w:rsidR="00D569F5" w:rsidRPr="00FD514D">
              <w:rPr>
                <w:lang w:val="es-ES"/>
              </w:rPr>
              <w:t xml:space="preserve">o. </w:t>
            </w:r>
            <w:r w:rsidR="00044DFD" w:rsidRPr="00FD514D">
              <w:rPr>
                <w:lang w:val="es-ES"/>
              </w:rPr>
              <w:t>¿L</w:t>
            </w:r>
            <w:r w:rsidR="00D569F5" w:rsidRPr="00FD514D">
              <w:rPr>
                <w:lang w:val="es-ES"/>
              </w:rPr>
              <w:t xml:space="preserve">a Vicepresidencia debe </w:t>
            </w:r>
            <w:r w:rsidR="00CE153A" w:rsidRPr="00FD514D">
              <w:rPr>
                <w:lang w:val="es-ES"/>
              </w:rPr>
              <w:t xml:space="preserve">preparar un informe </w:t>
            </w:r>
            <w:r w:rsidR="001814D4" w:rsidRPr="00FD514D">
              <w:rPr>
                <w:lang w:val="es-ES"/>
              </w:rPr>
              <w:t>oficial</w:t>
            </w:r>
            <w:r w:rsidR="00CE153A" w:rsidRPr="00FD514D">
              <w:rPr>
                <w:lang w:val="es-ES"/>
              </w:rPr>
              <w:t xml:space="preserve"> después de cada sesión de la COP</w:t>
            </w:r>
            <w:r w:rsidR="00044DFD" w:rsidRPr="00FD514D">
              <w:rPr>
                <w:lang w:val="es-ES"/>
              </w:rPr>
              <w:t>, por ejemplo</w:t>
            </w:r>
            <w:r w:rsidR="00CE153A" w:rsidRPr="00FD514D">
              <w:rPr>
                <w:lang w:val="es-ES"/>
              </w:rPr>
              <w:t>?</w:t>
            </w:r>
            <w:r w:rsidR="00502459" w:rsidRPr="00FD514D">
              <w:rPr>
                <w:lang w:val="es-ES"/>
              </w:rPr>
              <w:t xml:space="preserve"> </w:t>
            </w:r>
          </w:p>
          <w:p w14:paraId="1CF72E90" w14:textId="77777777" w:rsidR="00A36FF0" w:rsidRPr="00FD514D" w:rsidRDefault="00A36FF0" w:rsidP="0078688F">
            <w:pPr>
              <w:pStyle w:val="NoSpacing"/>
              <w:ind w:left="0" w:firstLine="0"/>
              <w:rPr>
                <w:lang w:val="es-ES"/>
              </w:rPr>
            </w:pPr>
          </w:p>
          <w:p w14:paraId="51C21640" w14:textId="4591B67B" w:rsidR="00A36FF0" w:rsidRPr="00FD514D" w:rsidRDefault="00600921" w:rsidP="003443CF">
            <w:pPr>
              <w:pStyle w:val="NoSpacing"/>
              <w:ind w:left="0" w:firstLine="0"/>
              <w:rPr>
                <w:lang w:val="es-ES"/>
              </w:rPr>
            </w:pPr>
            <w:r w:rsidRPr="00FD514D">
              <w:rPr>
                <w:lang w:val="es-ES"/>
              </w:rPr>
              <w:t>Hay otros artículos del reglamento que incluyen</w:t>
            </w:r>
            <w:r w:rsidR="00CE153A" w:rsidRPr="00FD514D">
              <w:rPr>
                <w:lang w:val="es-ES"/>
              </w:rPr>
              <w:t xml:space="preserve"> normas sobre el funcionamiento de la Mesa de la Conferencia</w:t>
            </w:r>
            <w:r w:rsidR="00517DE2" w:rsidRPr="00FD514D">
              <w:rPr>
                <w:lang w:val="es-ES"/>
              </w:rPr>
              <w:t xml:space="preserve"> </w:t>
            </w:r>
            <w:r w:rsidR="00A36FF0" w:rsidRPr="00FD514D">
              <w:rPr>
                <w:lang w:val="es-ES"/>
              </w:rPr>
              <w:t>(</w:t>
            </w:r>
            <w:r w:rsidR="00517DE2" w:rsidRPr="00FD514D">
              <w:rPr>
                <w:lang w:val="es-ES"/>
              </w:rPr>
              <w:t xml:space="preserve">por ejemplo, el </w:t>
            </w:r>
            <w:r w:rsidR="00FC39BF" w:rsidRPr="00FD514D">
              <w:rPr>
                <w:lang w:val="es-ES"/>
              </w:rPr>
              <w:t>a</w:t>
            </w:r>
            <w:r w:rsidR="00762688" w:rsidRPr="00FD514D">
              <w:rPr>
                <w:lang w:val="es-ES"/>
              </w:rPr>
              <w:t>rtículo</w:t>
            </w:r>
            <w:r w:rsidR="00A36FF0" w:rsidRPr="00FD514D">
              <w:rPr>
                <w:lang w:val="es-ES"/>
              </w:rPr>
              <w:t xml:space="preserve"> 25.1(a)). </w:t>
            </w:r>
            <w:r w:rsidR="00FC39BF" w:rsidRPr="00FD514D">
              <w:rPr>
                <w:lang w:val="es-ES"/>
              </w:rPr>
              <w:t xml:space="preserve">Por </w:t>
            </w:r>
            <w:r w:rsidRPr="00FD514D">
              <w:rPr>
                <w:lang w:val="es-ES"/>
              </w:rPr>
              <w:t>consiguiente</w:t>
            </w:r>
            <w:r w:rsidR="00FC39BF" w:rsidRPr="00FD514D">
              <w:rPr>
                <w:lang w:val="es-ES"/>
              </w:rPr>
              <w:t>, resulta</w:t>
            </w:r>
            <w:r w:rsidR="00454D3D" w:rsidRPr="00FD514D">
              <w:rPr>
                <w:lang w:val="es-ES"/>
              </w:rPr>
              <w:t xml:space="preserve"> difícil conocer claramente las funciones y </w:t>
            </w:r>
            <w:r w:rsidR="008B1528" w:rsidRPr="00FD514D">
              <w:rPr>
                <w:lang w:val="es-ES"/>
              </w:rPr>
              <w:t xml:space="preserve">responsabilidades de </w:t>
            </w:r>
            <w:r w:rsidR="008B1528" w:rsidRPr="00287F31">
              <w:rPr>
                <w:lang w:val="es-ES"/>
              </w:rPr>
              <w:t xml:space="preserve">la </w:t>
            </w:r>
            <w:r w:rsidR="009E68D2">
              <w:rPr>
                <w:lang w:val="es-ES"/>
              </w:rPr>
              <w:t>Mesa de la Conferencia</w:t>
            </w:r>
            <w:r w:rsidR="008B1528" w:rsidRPr="00287F31">
              <w:rPr>
                <w:lang w:val="es-ES"/>
              </w:rPr>
              <w:t xml:space="preserve">. </w:t>
            </w:r>
          </w:p>
        </w:tc>
        <w:tc>
          <w:tcPr>
            <w:tcW w:w="3332" w:type="dxa"/>
          </w:tcPr>
          <w:p w14:paraId="1DDC85D5" w14:textId="77777777" w:rsidR="00A36FF0" w:rsidRPr="00FD514D" w:rsidRDefault="003E0814" w:rsidP="00584154">
            <w:pPr>
              <w:pStyle w:val="NoSpacing"/>
              <w:ind w:left="0" w:firstLine="0"/>
              <w:rPr>
                <w:lang w:val="es-ES"/>
              </w:rPr>
            </w:pPr>
            <w:r w:rsidRPr="00FD514D">
              <w:rPr>
                <w:lang w:val="es-ES"/>
              </w:rPr>
              <w:t xml:space="preserve">Se debería aclarar la función de la Vicepresidencia cuando </w:t>
            </w:r>
            <w:r w:rsidR="00FC39BF" w:rsidRPr="00FD514D">
              <w:rPr>
                <w:lang w:val="es-ES"/>
              </w:rPr>
              <w:t xml:space="preserve">actúa como </w:t>
            </w:r>
            <w:r w:rsidR="00705ED1" w:rsidRPr="00FD514D">
              <w:rPr>
                <w:lang w:val="es-ES"/>
              </w:rPr>
              <w:t xml:space="preserve">relator. </w:t>
            </w:r>
          </w:p>
          <w:p w14:paraId="3006FFD1" w14:textId="77777777" w:rsidR="00A36FF0" w:rsidRPr="00FD514D" w:rsidRDefault="00A36FF0" w:rsidP="00584154">
            <w:pPr>
              <w:pStyle w:val="NoSpacing"/>
              <w:ind w:left="0" w:firstLine="0"/>
              <w:rPr>
                <w:lang w:val="es-ES"/>
              </w:rPr>
            </w:pPr>
          </w:p>
          <w:p w14:paraId="1790BAB0" w14:textId="77777777" w:rsidR="00A36FF0" w:rsidRPr="00FD514D" w:rsidRDefault="00705ED1" w:rsidP="009C7A96">
            <w:pPr>
              <w:pStyle w:val="NoSpacing"/>
              <w:ind w:left="0" w:firstLine="0"/>
              <w:rPr>
                <w:lang w:val="es-ES"/>
              </w:rPr>
            </w:pPr>
            <w:r w:rsidRPr="00FD514D">
              <w:rPr>
                <w:lang w:val="es-ES"/>
              </w:rPr>
              <w:t xml:space="preserve">Se deberían agrupar todos los </w:t>
            </w:r>
            <w:r w:rsidR="00FC39BF" w:rsidRPr="00FD514D">
              <w:rPr>
                <w:lang w:val="es-ES"/>
              </w:rPr>
              <w:t>a</w:t>
            </w:r>
            <w:r w:rsidR="00762688" w:rsidRPr="00FD514D">
              <w:rPr>
                <w:lang w:val="es-ES"/>
              </w:rPr>
              <w:t>rtículo</w:t>
            </w:r>
            <w:r w:rsidRPr="00FD514D">
              <w:rPr>
                <w:lang w:val="es-ES"/>
              </w:rPr>
              <w:t xml:space="preserve">s </w:t>
            </w:r>
            <w:r w:rsidR="0087214E" w:rsidRPr="00FD514D">
              <w:rPr>
                <w:lang w:val="es-ES"/>
              </w:rPr>
              <w:t xml:space="preserve">que versan </w:t>
            </w:r>
            <w:r w:rsidRPr="00FD514D">
              <w:rPr>
                <w:lang w:val="es-ES"/>
              </w:rPr>
              <w:t xml:space="preserve">específicamente </w:t>
            </w:r>
            <w:r w:rsidR="0087214E" w:rsidRPr="00FD514D">
              <w:rPr>
                <w:lang w:val="es-ES"/>
              </w:rPr>
              <w:t>sobre</w:t>
            </w:r>
            <w:r w:rsidRPr="00FD514D">
              <w:rPr>
                <w:lang w:val="es-ES"/>
              </w:rPr>
              <w:t xml:space="preserve"> la Mesa de la Conferencia.</w:t>
            </w:r>
            <w:r w:rsidR="00502459" w:rsidRPr="00FD514D">
              <w:rPr>
                <w:lang w:val="es-ES"/>
              </w:rPr>
              <w:t xml:space="preserve"> </w:t>
            </w:r>
          </w:p>
        </w:tc>
      </w:tr>
      <w:tr w:rsidR="00D50999" w:rsidRPr="00070719" w14:paraId="2A369818" w14:textId="77777777" w:rsidTr="00980900">
        <w:trPr>
          <w:cantSplit/>
        </w:trPr>
        <w:tc>
          <w:tcPr>
            <w:tcW w:w="578" w:type="dxa"/>
          </w:tcPr>
          <w:p w14:paraId="65B2BE11" w14:textId="77777777" w:rsidR="00A36FF0" w:rsidRPr="00FD514D" w:rsidRDefault="00A36FF0" w:rsidP="0078688F">
            <w:pPr>
              <w:pStyle w:val="NoSpacing"/>
              <w:ind w:left="0" w:firstLine="0"/>
              <w:rPr>
                <w:lang w:val="es-ES"/>
              </w:rPr>
            </w:pPr>
            <w:r w:rsidRPr="00FD514D">
              <w:rPr>
                <w:lang w:val="es-ES"/>
              </w:rPr>
              <w:t>1</w:t>
            </w:r>
            <w:r w:rsidR="00A05E17" w:rsidRPr="00FD514D">
              <w:rPr>
                <w:lang w:val="es-ES"/>
              </w:rPr>
              <w:t>0</w:t>
            </w:r>
          </w:p>
        </w:tc>
        <w:tc>
          <w:tcPr>
            <w:tcW w:w="1939" w:type="dxa"/>
          </w:tcPr>
          <w:p w14:paraId="15326F17" w14:textId="77777777" w:rsidR="00A36FF0" w:rsidRPr="00FD514D" w:rsidRDefault="00762688" w:rsidP="0078688F">
            <w:pPr>
              <w:pStyle w:val="NoSpacing"/>
              <w:ind w:left="0" w:firstLine="0"/>
              <w:rPr>
                <w:lang w:val="es-ES"/>
              </w:rPr>
            </w:pPr>
            <w:r w:rsidRPr="00FD514D">
              <w:rPr>
                <w:lang w:val="es-ES"/>
              </w:rPr>
              <w:t>Artículo</w:t>
            </w:r>
            <w:r w:rsidR="00A36FF0" w:rsidRPr="00FD514D">
              <w:rPr>
                <w:lang w:val="es-ES"/>
              </w:rPr>
              <w:t xml:space="preserve"> 22</w:t>
            </w:r>
            <w:r w:rsidR="00857483" w:rsidRPr="00FD514D">
              <w:rPr>
                <w:lang w:val="es-ES"/>
              </w:rPr>
              <w:t>:</w:t>
            </w:r>
            <w:r w:rsidR="00A36FF0" w:rsidRPr="00FD514D">
              <w:rPr>
                <w:lang w:val="es-ES"/>
              </w:rPr>
              <w:t xml:space="preserve"> </w:t>
            </w:r>
            <w:r w:rsidR="008B1528" w:rsidRPr="00FD514D">
              <w:rPr>
                <w:lang w:val="es-ES"/>
              </w:rPr>
              <w:t xml:space="preserve">Función del Presidente </w:t>
            </w:r>
          </w:p>
        </w:tc>
        <w:tc>
          <w:tcPr>
            <w:tcW w:w="3331" w:type="dxa"/>
          </w:tcPr>
          <w:p w14:paraId="4ADC81D3" w14:textId="77777777" w:rsidR="00A36FF0" w:rsidRPr="00FD514D" w:rsidRDefault="008B1528" w:rsidP="0078688F">
            <w:pPr>
              <w:pStyle w:val="NoSpacing"/>
              <w:ind w:left="0" w:firstLine="0"/>
              <w:rPr>
                <w:lang w:val="es-ES"/>
              </w:rPr>
            </w:pPr>
            <w:r w:rsidRPr="00FD514D">
              <w:rPr>
                <w:lang w:val="es-ES"/>
              </w:rPr>
              <w:t>E</w:t>
            </w:r>
            <w:r w:rsidR="00FF108D" w:rsidRPr="00FD514D">
              <w:rPr>
                <w:lang w:val="es-ES"/>
              </w:rPr>
              <w:t>n e</w:t>
            </w:r>
            <w:r w:rsidRPr="00FD514D">
              <w:rPr>
                <w:lang w:val="es-ES"/>
              </w:rPr>
              <w:t xml:space="preserve">l </w:t>
            </w:r>
            <w:r w:rsidR="00FF108D" w:rsidRPr="00FD514D">
              <w:rPr>
                <w:lang w:val="es-ES"/>
              </w:rPr>
              <w:t>a</w:t>
            </w:r>
            <w:r w:rsidR="00762688" w:rsidRPr="00FD514D">
              <w:rPr>
                <w:lang w:val="es-ES"/>
              </w:rPr>
              <w:t>rtículo</w:t>
            </w:r>
            <w:r w:rsidR="00A36FF0" w:rsidRPr="00FD514D">
              <w:rPr>
                <w:lang w:val="es-ES"/>
              </w:rPr>
              <w:t xml:space="preserve"> 22.3 </w:t>
            </w:r>
            <w:r w:rsidR="00FF108D" w:rsidRPr="00FD514D">
              <w:rPr>
                <w:lang w:val="es-ES"/>
              </w:rPr>
              <w:t xml:space="preserve">se </w:t>
            </w:r>
            <w:r w:rsidRPr="00FD514D">
              <w:rPr>
                <w:lang w:val="es-ES"/>
              </w:rPr>
              <w:t xml:space="preserve">dispone que el </w:t>
            </w:r>
            <w:r w:rsidR="009F69B2" w:rsidRPr="00FD514D">
              <w:rPr>
                <w:lang w:val="es-ES"/>
              </w:rPr>
              <w:t xml:space="preserve">Presidente, </w:t>
            </w:r>
            <w:r w:rsidR="009F69B2" w:rsidRPr="00FD514D">
              <w:rPr>
                <w:rFonts w:asciiTheme="minorHAnsi" w:hAnsiTheme="minorHAnsi"/>
                <w:color w:val="000000"/>
                <w:lang w:val="es-ES"/>
              </w:rPr>
              <w:t>en el ejercicio de las funciones del cargo, queda supeditado a la autoridad de la Conferencia de las Partes</w:t>
            </w:r>
            <w:r w:rsidR="009F69B2" w:rsidRPr="00FD514D">
              <w:rPr>
                <w:rFonts w:asciiTheme="minorHAnsi" w:eastAsiaTheme="minorHAnsi" w:hAnsiTheme="minorHAnsi" w:cstheme="minorHAnsi"/>
                <w:color w:val="000000"/>
                <w:lang w:val="es-ES"/>
              </w:rPr>
              <w:t xml:space="preserve">. </w:t>
            </w:r>
          </w:p>
          <w:p w14:paraId="086D4589" w14:textId="77777777" w:rsidR="00A36FF0" w:rsidRPr="00FD514D" w:rsidRDefault="00A36FF0" w:rsidP="0078688F">
            <w:pPr>
              <w:pStyle w:val="NoSpacing"/>
              <w:ind w:left="0" w:firstLine="0"/>
              <w:rPr>
                <w:lang w:val="es-ES"/>
              </w:rPr>
            </w:pPr>
          </w:p>
        </w:tc>
        <w:tc>
          <w:tcPr>
            <w:tcW w:w="3332" w:type="dxa"/>
          </w:tcPr>
          <w:p w14:paraId="63114FFD" w14:textId="5CEF9E76" w:rsidR="00A36FF0" w:rsidRPr="00FD514D" w:rsidRDefault="00900283" w:rsidP="000850CD">
            <w:pPr>
              <w:pStyle w:val="NoSpacing"/>
              <w:ind w:left="0" w:firstLine="0"/>
              <w:rPr>
                <w:lang w:val="es-ES"/>
              </w:rPr>
            </w:pPr>
            <w:r w:rsidRPr="00FD514D">
              <w:rPr>
                <w:lang w:val="es-ES"/>
              </w:rPr>
              <w:t xml:space="preserve">El </w:t>
            </w:r>
            <w:r w:rsidR="00FF108D" w:rsidRPr="00FD514D">
              <w:rPr>
                <w:lang w:val="es-ES"/>
              </w:rPr>
              <w:t>a</w:t>
            </w:r>
            <w:r w:rsidR="00762688" w:rsidRPr="00FD514D">
              <w:rPr>
                <w:lang w:val="es-ES"/>
              </w:rPr>
              <w:t>rtículo</w:t>
            </w:r>
            <w:r w:rsidR="00A36FF0" w:rsidRPr="00FD514D">
              <w:rPr>
                <w:lang w:val="es-ES"/>
              </w:rPr>
              <w:t xml:space="preserve"> </w:t>
            </w:r>
            <w:r w:rsidRPr="00FD514D">
              <w:rPr>
                <w:lang w:val="es-ES"/>
              </w:rPr>
              <w:t xml:space="preserve">debería ser modificado a fin de vincularlo </w:t>
            </w:r>
            <w:r w:rsidR="00CF6EA4" w:rsidRPr="00FD514D">
              <w:rPr>
                <w:lang w:val="es-ES"/>
              </w:rPr>
              <w:t>con</w:t>
            </w:r>
            <w:r w:rsidR="00BC63D2" w:rsidRPr="00FD514D">
              <w:rPr>
                <w:lang w:val="es-ES"/>
              </w:rPr>
              <w:t xml:space="preserve"> el</w:t>
            </w:r>
            <w:r w:rsidRPr="00FD514D">
              <w:rPr>
                <w:lang w:val="es-ES"/>
              </w:rPr>
              <w:t xml:space="preserve"> </w:t>
            </w:r>
            <w:r w:rsidR="00FF108D" w:rsidRPr="00FD514D">
              <w:rPr>
                <w:lang w:val="es-ES"/>
              </w:rPr>
              <w:t>a</w:t>
            </w:r>
            <w:r w:rsidR="00762688" w:rsidRPr="00FD514D">
              <w:rPr>
                <w:lang w:val="es-ES"/>
              </w:rPr>
              <w:t>rtículo</w:t>
            </w:r>
            <w:r w:rsidR="000850CD" w:rsidRPr="00FD514D">
              <w:rPr>
                <w:lang w:val="es-ES"/>
              </w:rPr>
              <w:t xml:space="preserve"> 32 (</w:t>
            </w:r>
            <w:r w:rsidR="003F2E20" w:rsidRPr="00FD514D">
              <w:rPr>
                <w:lang w:val="es-ES"/>
              </w:rPr>
              <w:t xml:space="preserve">que define el proceso previsto </w:t>
            </w:r>
            <w:r w:rsidR="005730AC" w:rsidRPr="00FD514D">
              <w:rPr>
                <w:lang w:val="es-ES"/>
              </w:rPr>
              <w:t xml:space="preserve">para garantizar que la </w:t>
            </w:r>
            <w:r w:rsidR="00B600E8" w:rsidRPr="00FD514D">
              <w:rPr>
                <w:lang w:val="es-ES"/>
              </w:rPr>
              <w:t>Presidencia quede supeditad</w:t>
            </w:r>
            <w:r w:rsidR="00FF108D" w:rsidRPr="00FD514D">
              <w:rPr>
                <w:lang w:val="es-ES"/>
              </w:rPr>
              <w:t>a</w:t>
            </w:r>
            <w:r w:rsidR="00B600E8" w:rsidRPr="00FD514D">
              <w:rPr>
                <w:lang w:val="es-ES"/>
              </w:rPr>
              <w:t xml:space="preserve"> a la autoridad de la COP).</w:t>
            </w:r>
            <w:r w:rsidR="00502459" w:rsidRPr="00FD514D">
              <w:rPr>
                <w:lang w:val="es-ES"/>
              </w:rPr>
              <w:t xml:space="preserve"> </w:t>
            </w:r>
          </w:p>
        </w:tc>
      </w:tr>
      <w:tr w:rsidR="00D50999" w:rsidRPr="00070719" w14:paraId="61911414" w14:textId="77777777" w:rsidTr="00980900">
        <w:tc>
          <w:tcPr>
            <w:tcW w:w="578" w:type="dxa"/>
          </w:tcPr>
          <w:p w14:paraId="0B759BE0" w14:textId="77777777" w:rsidR="00A36FF0" w:rsidRPr="00FD514D" w:rsidRDefault="00A36FF0" w:rsidP="0078688F">
            <w:pPr>
              <w:pStyle w:val="NoSpacing"/>
              <w:ind w:left="0" w:firstLine="0"/>
              <w:rPr>
                <w:lang w:val="es-ES"/>
              </w:rPr>
            </w:pPr>
            <w:r w:rsidRPr="00FD514D">
              <w:rPr>
                <w:lang w:val="es-ES"/>
              </w:rPr>
              <w:t>1</w:t>
            </w:r>
            <w:r w:rsidR="00A05E17" w:rsidRPr="00FD514D">
              <w:rPr>
                <w:lang w:val="es-ES"/>
              </w:rPr>
              <w:t>1</w:t>
            </w:r>
          </w:p>
        </w:tc>
        <w:tc>
          <w:tcPr>
            <w:tcW w:w="1939" w:type="dxa"/>
          </w:tcPr>
          <w:p w14:paraId="39E99AF8" w14:textId="77777777" w:rsidR="00A36FF0" w:rsidRPr="00FD514D" w:rsidRDefault="00762688" w:rsidP="0078688F">
            <w:pPr>
              <w:pStyle w:val="NoSpacing"/>
              <w:ind w:left="0" w:firstLine="0"/>
              <w:rPr>
                <w:lang w:val="es-ES"/>
              </w:rPr>
            </w:pPr>
            <w:r w:rsidRPr="00FD514D">
              <w:rPr>
                <w:lang w:val="es-ES"/>
              </w:rPr>
              <w:t>Artículo</w:t>
            </w:r>
            <w:r w:rsidR="00A36FF0" w:rsidRPr="00FD514D">
              <w:rPr>
                <w:lang w:val="es-ES"/>
              </w:rPr>
              <w:t xml:space="preserve"> 25</w:t>
            </w:r>
            <w:r w:rsidR="00AB7211" w:rsidRPr="00FD514D">
              <w:rPr>
                <w:lang w:val="es-ES"/>
              </w:rPr>
              <w:t>:</w:t>
            </w:r>
            <w:r w:rsidR="00A36FF0" w:rsidRPr="00FD514D">
              <w:rPr>
                <w:lang w:val="es-ES"/>
              </w:rPr>
              <w:t xml:space="preserve"> </w:t>
            </w:r>
            <w:r w:rsidR="003A6437" w:rsidRPr="00FD514D">
              <w:rPr>
                <w:lang w:val="es-ES"/>
              </w:rPr>
              <w:t xml:space="preserve">Establecimiento de los órganos subsidiarios </w:t>
            </w:r>
          </w:p>
        </w:tc>
        <w:tc>
          <w:tcPr>
            <w:tcW w:w="3331" w:type="dxa"/>
          </w:tcPr>
          <w:p w14:paraId="51EAF795" w14:textId="6F9EF346" w:rsidR="00A36FF0" w:rsidRPr="00FD514D" w:rsidRDefault="0009465B" w:rsidP="004E4E27">
            <w:pPr>
              <w:pStyle w:val="NoSpacing"/>
              <w:ind w:left="0" w:firstLine="0"/>
              <w:rPr>
                <w:lang w:val="es-ES"/>
              </w:rPr>
            </w:pPr>
            <w:r w:rsidRPr="00FD514D">
              <w:rPr>
                <w:lang w:val="es-ES"/>
              </w:rPr>
              <w:t xml:space="preserve">Los </w:t>
            </w:r>
            <w:r w:rsidR="008F17FC" w:rsidRPr="00FD514D">
              <w:rPr>
                <w:lang w:val="es-ES"/>
              </w:rPr>
              <w:t>a</w:t>
            </w:r>
            <w:r w:rsidR="00762688" w:rsidRPr="00FD514D">
              <w:rPr>
                <w:lang w:val="es-ES"/>
              </w:rPr>
              <w:t>rtículo</w:t>
            </w:r>
            <w:r w:rsidR="00A36FF0" w:rsidRPr="00FD514D">
              <w:rPr>
                <w:lang w:val="es-ES"/>
              </w:rPr>
              <w:t xml:space="preserve">s 25.1 </w:t>
            </w:r>
            <w:r w:rsidRPr="00FD514D">
              <w:rPr>
                <w:lang w:val="es-ES"/>
              </w:rPr>
              <w:t>y</w:t>
            </w:r>
            <w:r w:rsidR="00A36FF0" w:rsidRPr="00FD514D">
              <w:rPr>
                <w:lang w:val="es-ES"/>
              </w:rPr>
              <w:t xml:space="preserve"> 25.4 </w:t>
            </w:r>
            <w:r w:rsidR="00BF3605" w:rsidRPr="00FD514D">
              <w:rPr>
                <w:lang w:val="es-ES"/>
              </w:rPr>
              <w:t>no aclaran explícitamente si un</w:t>
            </w:r>
            <w:r w:rsidR="00BC63D2" w:rsidRPr="00FD514D">
              <w:rPr>
                <w:lang w:val="es-ES"/>
              </w:rPr>
              <w:t xml:space="preserve"> </w:t>
            </w:r>
            <w:r w:rsidR="00DC3DFA" w:rsidRPr="00FD514D">
              <w:rPr>
                <w:lang w:val="es-ES"/>
              </w:rPr>
              <w:t xml:space="preserve">miembro del Comité Permanente </w:t>
            </w:r>
            <w:r w:rsidR="00C32D03" w:rsidRPr="00FD514D">
              <w:rPr>
                <w:lang w:val="es-ES"/>
              </w:rPr>
              <w:t xml:space="preserve">sin derecho </w:t>
            </w:r>
            <w:r w:rsidR="008F17FC" w:rsidRPr="00FD514D">
              <w:rPr>
                <w:lang w:val="es-ES"/>
              </w:rPr>
              <w:t>a</w:t>
            </w:r>
            <w:r w:rsidR="00C32D03" w:rsidRPr="00FD514D">
              <w:rPr>
                <w:lang w:val="es-ES"/>
              </w:rPr>
              <w:t xml:space="preserve"> voto puede ser miembro</w:t>
            </w:r>
            <w:r w:rsidR="00707A81" w:rsidRPr="00FD514D">
              <w:rPr>
                <w:lang w:val="es-ES"/>
              </w:rPr>
              <w:t xml:space="preserve"> de un subgrupo o </w:t>
            </w:r>
            <w:r w:rsidR="008F17FC" w:rsidRPr="00FD514D">
              <w:rPr>
                <w:lang w:val="es-ES"/>
              </w:rPr>
              <w:t xml:space="preserve">de </w:t>
            </w:r>
            <w:r w:rsidR="00707A81" w:rsidRPr="00FD514D">
              <w:rPr>
                <w:lang w:val="es-ES"/>
              </w:rPr>
              <w:t xml:space="preserve">un grupo de trabajo del </w:t>
            </w:r>
            <w:r w:rsidR="00B45893" w:rsidRPr="00FD514D">
              <w:rPr>
                <w:lang w:val="es-ES"/>
              </w:rPr>
              <w:t>Comité Permanente, o votar o ejercer un cargo en tal</w:t>
            </w:r>
            <w:r w:rsidR="004F11EB" w:rsidRPr="00FD514D">
              <w:rPr>
                <w:lang w:val="es-ES"/>
              </w:rPr>
              <w:t>es</w:t>
            </w:r>
            <w:r w:rsidR="00B45893" w:rsidRPr="00FD514D">
              <w:rPr>
                <w:lang w:val="es-ES"/>
              </w:rPr>
              <w:t xml:space="preserve"> grupo</w:t>
            </w:r>
            <w:r w:rsidR="004F11EB" w:rsidRPr="00FD514D">
              <w:rPr>
                <w:lang w:val="es-ES"/>
              </w:rPr>
              <w:t>s</w:t>
            </w:r>
            <w:r w:rsidR="00B45893" w:rsidRPr="00FD514D">
              <w:rPr>
                <w:lang w:val="es-ES"/>
              </w:rPr>
              <w:t xml:space="preserve"> o subgrupo</w:t>
            </w:r>
            <w:r w:rsidR="004F11EB" w:rsidRPr="00FD514D">
              <w:rPr>
                <w:lang w:val="es-ES"/>
              </w:rPr>
              <w:t>s</w:t>
            </w:r>
            <w:r w:rsidR="00B45893" w:rsidRPr="00FD514D">
              <w:rPr>
                <w:lang w:val="es-ES"/>
              </w:rPr>
              <w:t>.</w:t>
            </w:r>
            <w:r w:rsidR="004F11EB" w:rsidRPr="00FD514D">
              <w:rPr>
                <w:lang w:val="es-ES"/>
              </w:rPr>
              <w:t xml:space="preserve"> </w:t>
            </w:r>
          </w:p>
          <w:p w14:paraId="3E28E0A7" w14:textId="77777777" w:rsidR="00A36FF0" w:rsidRPr="00FD514D" w:rsidRDefault="00A36FF0" w:rsidP="004E4E27">
            <w:pPr>
              <w:pStyle w:val="NoSpacing"/>
              <w:ind w:left="0" w:firstLine="0"/>
              <w:rPr>
                <w:lang w:val="es-ES"/>
              </w:rPr>
            </w:pPr>
          </w:p>
          <w:p w14:paraId="413F321F" w14:textId="1AF42DAB" w:rsidR="00A36FF0" w:rsidRPr="00FD514D" w:rsidRDefault="00A05D74" w:rsidP="00941D67">
            <w:pPr>
              <w:pStyle w:val="NoSpacing"/>
              <w:ind w:left="0" w:firstLine="0"/>
              <w:rPr>
                <w:lang w:val="es-ES"/>
              </w:rPr>
            </w:pPr>
            <w:r w:rsidRPr="00FD514D">
              <w:rPr>
                <w:lang w:val="es-ES"/>
              </w:rPr>
              <w:t>El</w:t>
            </w:r>
            <w:r w:rsidR="00BF3605" w:rsidRPr="00FD514D">
              <w:rPr>
                <w:lang w:val="es-ES"/>
              </w:rPr>
              <w:t xml:space="preserve"> </w:t>
            </w:r>
            <w:r w:rsidR="008F17FC" w:rsidRPr="00FD514D">
              <w:rPr>
                <w:lang w:val="es-ES"/>
              </w:rPr>
              <w:t>a</w:t>
            </w:r>
            <w:r w:rsidR="00762688" w:rsidRPr="00FD514D">
              <w:rPr>
                <w:lang w:val="es-ES"/>
              </w:rPr>
              <w:t>rtículo</w:t>
            </w:r>
            <w:r w:rsidR="00A36FF0" w:rsidRPr="00FD514D">
              <w:rPr>
                <w:lang w:val="es-ES"/>
              </w:rPr>
              <w:t xml:space="preserve"> 25.4 </w:t>
            </w:r>
            <w:r w:rsidR="002F4924" w:rsidRPr="00FD514D">
              <w:rPr>
                <w:lang w:val="es-ES"/>
              </w:rPr>
              <w:t xml:space="preserve">empieza con la </w:t>
            </w:r>
            <w:r w:rsidR="002F4924" w:rsidRPr="00FD514D">
              <w:rPr>
                <w:lang w:val="es-ES"/>
              </w:rPr>
              <w:lastRenderedPageBreak/>
              <w:t xml:space="preserve">frase </w:t>
            </w:r>
            <w:r w:rsidR="00980900">
              <w:rPr>
                <w:lang w:val="es-ES"/>
              </w:rPr>
              <w:t>“</w:t>
            </w:r>
            <w:r w:rsidR="002F4924" w:rsidRPr="00FD514D">
              <w:rPr>
                <w:lang w:val="es-ES"/>
              </w:rPr>
              <w:t>A reserva de lo dispuesto en el párrafo</w:t>
            </w:r>
            <w:r w:rsidR="00A36FF0" w:rsidRPr="00FD514D">
              <w:rPr>
                <w:lang w:val="es-ES"/>
              </w:rPr>
              <w:t xml:space="preserve"> 4</w:t>
            </w:r>
            <w:r w:rsidR="00980900">
              <w:rPr>
                <w:lang w:val="es-ES"/>
              </w:rPr>
              <w:t>”</w:t>
            </w:r>
            <w:r w:rsidR="00A36FF0" w:rsidRPr="00FD514D">
              <w:rPr>
                <w:lang w:val="es-ES"/>
              </w:rPr>
              <w:t xml:space="preserve">. </w:t>
            </w:r>
            <w:r w:rsidR="002F4924" w:rsidRPr="00FD514D">
              <w:rPr>
                <w:lang w:val="es-ES"/>
              </w:rPr>
              <w:t xml:space="preserve">Aquí se trata de un error, habida cuenta que la frase </w:t>
            </w:r>
            <w:r w:rsidR="00844AE0" w:rsidRPr="00FD514D">
              <w:rPr>
                <w:lang w:val="es-ES"/>
              </w:rPr>
              <w:t xml:space="preserve">está incluida </w:t>
            </w:r>
            <w:r w:rsidR="002F4924" w:rsidRPr="00FD514D">
              <w:rPr>
                <w:lang w:val="es-ES"/>
              </w:rPr>
              <w:t xml:space="preserve">en el </w:t>
            </w:r>
            <w:r w:rsidR="00CF31E4" w:rsidRPr="00FD514D">
              <w:rPr>
                <w:lang w:val="es-ES"/>
              </w:rPr>
              <w:t xml:space="preserve">propio </w:t>
            </w:r>
            <w:r w:rsidR="002F4924" w:rsidRPr="00FD514D">
              <w:rPr>
                <w:lang w:val="es-ES"/>
              </w:rPr>
              <w:t xml:space="preserve">párrafo 4. </w:t>
            </w:r>
            <w:r w:rsidR="001C3209" w:rsidRPr="00FD514D">
              <w:rPr>
                <w:lang w:val="es-ES"/>
              </w:rPr>
              <w:t xml:space="preserve">Por consiguiente, no </w:t>
            </w:r>
            <w:r w:rsidR="00CF31E4" w:rsidRPr="00FD514D">
              <w:rPr>
                <w:lang w:val="es-ES"/>
              </w:rPr>
              <w:t xml:space="preserve">queda </w:t>
            </w:r>
            <w:r w:rsidR="001C3209" w:rsidRPr="00FD514D">
              <w:rPr>
                <w:lang w:val="es-ES"/>
              </w:rPr>
              <w:t>claro a qu</w:t>
            </w:r>
            <w:r w:rsidR="00844AE0" w:rsidRPr="00FD514D">
              <w:rPr>
                <w:lang w:val="es-ES"/>
              </w:rPr>
              <w:t>é</w:t>
            </w:r>
            <w:r w:rsidR="001C3209" w:rsidRPr="00FD514D">
              <w:rPr>
                <w:lang w:val="es-ES"/>
              </w:rPr>
              <w:t xml:space="preserve"> se refiere</w:t>
            </w:r>
            <w:r w:rsidR="008A234A" w:rsidRPr="00FD514D">
              <w:rPr>
                <w:lang w:val="es-ES"/>
              </w:rPr>
              <w:t>.</w:t>
            </w:r>
          </w:p>
          <w:p w14:paraId="3072A5BB" w14:textId="77777777" w:rsidR="00A36FF0" w:rsidRPr="00FD514D" w:rsidRDefault="00A36FF0" w:rsidP="00941D67">
            <w:pPr>
              <w:pStyle w:val="NoSpacing"/>
              <w:ind w:left="0" w:firstLine="0"/>
              <w:rPr>
                <w:lang w:val="es-ES"/>
              </w:rPr>
            </w:pPr>
          </w:p>
          <w:p w14:paraId="394CC1F0" w14:textId="73189CF7" w:rsidR="00A36FF0" w:rsidRPr="00FD514D" w:rsidRDefault="004B465A" w:rsidP="00941D67">
            <w:pPr>
              <w:pStyle w:val="NoSpacing"/>
              <w:ind w:left="0" w:firstLine="0"/>
              <w:rPr>
                <w:lang w:val="es-ES"/>
              </w:rPr>
            </w:pPr>
            <w:r w:rsidRPr="00FD514D">
              <w:rPr>
                <w:lang w:val="es-ES"/>
              </w:rPr>
              <w:t xml:space="preserve">El </w:t>
            </w:r>
            <w:r w:rsidR="00CF31E4" w:rsidRPr="00FD514D">
              <w:rPr>
                <w:lang w:val="es-ES"/>
              </w:rPr>
              <w:t>a</w:t>
            </w:r>
            <w:r w:rsidR="00762688" w:rsidRPr="00FD514D">
              <w:rPr>
                <w:lang w:val="es-ES"/>
              </w:rPr>
              <w:t>rtículo</w:t>
            </w:r>
            <w:r w:rsidR="00A36FF0" w:rsidRPr="00FD514D">
              <w:rPr>
                <w:lang w:val="es-ES"/>
              </w:rPr>
              <w:t xml:space="preserve"> 25.5</w:t>
            </w:r>
            <w:r w:rsidR="000F5169" w:rsidRPr="00FD514D">
              <w:rPr>
                <w:lang w:val="es-ES"/>
              </w:rPr>
              <w:t>.</w:t>
            </w:r>
            <w:r w:rsidR="00A36FF0" w:rsidRPr="00FD514D">
              <w:rPr>
                <w:lang w:val="es-ES"/>
              </w:rPr>
              <w:t xml:space="preserve">e) </w:t>
            </w:r>
            <w:r w:rsidR="00B244AB" w:rsidRPr="00FD514D">
              <w:rPr>
                <w:lang w:val="es-ES"/>
              </w:rPr>
              <w:t>hace referencia</w:t>
            </w:r>
            <w:r w:rsidRPr="00FD514D">
              <w:rPr>
                <w:lang w:val="es-ES"/>
              </w:rPr>
              <w:t xml:space="preserve"> a </w:t>
            </w:r>
            <w:r w:rsidR="00DF5399" w:rsidRPr="00FD514D">
              <w:rPr>
                <w:lang w:val="es-ES"/>
              </w:rPr>
              <w:t xml:space="preserve">grupos de trabajo </w:t>
            </w:r>
            <w:r w:rsidR="00BB502A" w:rsidRPr="00FD514D">
              <w:rPr>
                <w:lang w:val="es-ES"/>
              </w:rPr>
              <w:t>oficiosos</w:t>
            </w:r>
            <w:r w:rsidR="00DF5399" w:rsidRPr="00FD514D">
              <w:rPr>
                <w:lang w:val="es-ES"/>
              </w:rPr>
              <w:t xml:space="preserve"> </w:t>
            </w:r>
            <w:r w:rsidR="00980900">
              <w:rPr>
                <w:lang w:val="es-ES"/>
              </w:rPr>
              <w:t>“</w:t>
            </w:r>
            <w:r w:rsidR="00BB502A" w:rsidRPr="00FD514D">
              <w:rPr>
                <w:lang w:val="es-ES"/>
              </w:rPr>
              <w:t>además de los órganos subsidiarios</w:t>
            </w:r>
            <w:r w:rsidR="00980900">
              <w:rPr>
                <w:lang w:val="es-ES"/>
              </w:rPr>
              <w:t>”</w:t>
            </w:r>
            <w:r w:rsidR="00BB502A" w:rsidRPr="00FD514D">
              <w:rPr>
                <w:lang w:val="es-ES"/>
              </w:rPr>
              <w:t>. No obstante, el hecho de que estos grupos</w:t>
            </w:r>
            <w:r w:rsidR="0071286C" w:rsidRPr="00FD514D">
              <w:rPr>
                <w:lang w:val="es-ES"/>
              </w:rPr>
              <w:t xml:space="preserve"> </w:t>
            </w:r>
            <w:r w:rsidR="007515C1" w:rsidRPr="00FD514D">
              <w:rPr>
                <w:lang w:val="es-ES"/>
              </w:rPr>
              <w:t xml:space="preserve">estén incluidos </w:t>
            </w:r>
            <w:r w:rsidR="0071286C" w:rsidRPr="00FD514D">
              <w:rPr>
                <w:lang w:val="es-ES"/>
              </w:rPr>
              <w:t xml:space="preserve">en </w:t>
            </w:r>
            <w:r w:rsidR="0090617A" w:rsidRPr="00FD514D">
              <w:rPr>
                <w:lang w:val="es-ES"/>
              </w:rPr>
              <w:t xml:space="preserve">un </w:t>
            </w:r>
            <w:r w:rsidR="00762688" w:rsidRPr="00FD514D">
              <w:rPr>
                <w:lang w:val="es-ES"/>
              </w:rPr>
              <w:t>artículo</w:t>
            </w:r>
            <w:r w:rsidR="0071286C" w:rsidRPr="00FD514D">
              <w:rPr>
                <w:lang w:val="es-ES"/>
              </w:rPr>
              <w:t xml:space="preserve"> relativo a órganos subsidiarios suscita confusión, particularmente con respecto a la aplicación del </w:t>
            </w:r>
            <w:r w:rsidR="00F740DD" w:rsidRPr="00FD514D">
              <w:rPr>
                <w:lang w:val="es-ES"/>
              </w:rPr>
              <w:t>a</w:t>
            </w:r>
            <w:r w:rsidR="00762688" w:rsidRPr="00FD514D">
              <w:rPr>
                <w:lang w:val="es-ES"/>
              </w:rPr>
              <w:t>rtículo</w:t>
            </w:r>
            <w:r w:rsidR="00A36FF0" w:rsidRPr="00FD514D">
              <w:rPr>
                <w:lang w:val="es-ES"/>
              </w:rPr>
              <w:t xml:space="preserve"> 25 </w:t>
            </w:r>
            <w:r w:rsidR="000B7AAC" w:rsidRPr="00FD514D">
              <w:rPr>
                <w:lang w:val="es-ES"/>
              </w:rPr>
              <w:t xml:space="preserve">sobre su </w:t>
            </w:r>
            <w:r w:rsidR="00F71FEB" w:rsidRPr="00FD514D">
              <w:rPr>
                <w:lang w:val="es-ES"/>
              </w:rPr>
              <w:t>establecimiento</w:t>
            </w:r>
            <w:r w:rsidR="007515C1" w:rsidRPr="00FD514D">
              <w:rPr>
                <w:lang w:val="es-ES"/>
              </w:rPr>
              <w:t xml:space="preserve"> y </w:t>
            </w:r>
            <w:r w:rsidR="00F71FEB" w:rsidRPr="00FD514D">
              <w:rPr>
                <w:lang w:val="es-ES"/>
              </w:rPr>
              <w:t>f</w:t>
            </w:r>
            <w:r w:rsidR="007515C1" w:rsidRPr="00FD514D">
              <w:rPr>
                <w:lang w:val="es-ES"/>
              </w:rPr>
              <w:t xml:space="preserve">uncionamiento. </w:t>
            </w:r>
          </w:p>
          <w:p w14:paraId="50B8E735" w14:textId="77777777" w:rsidR="00A36FF0" w:rsidRPr="00FD514D" w:rsidRDefault="00A36FF0" w:rsidP="00941D67">
            <w:pPr>
              <w:pStyle w:val="NoSpacing"/>
              <w:ind w:left="0" w:firstLine="0"/>
              <w:rPr>
                <w:lang w:val="es-ES"/>
              </w:rPr>
            </w:pPr>
          </w:p>
          <w:p w14:paraId="45F3F752" w14:textId="1BB5B9E3" w:rsidR="00A36FF0" w:rsidRPr="00FD514D" w:rsidRDefault="007515C1" w:rsidP="004E4E27">
            <w:pPr>
              <w:pStyle w:val="NoSpacing"/>
              <w:ind w:left="0" w:firstLine="0"/>
              <w:rPr>
                <w:lang w:val="es-ES"/>
              </w:rPr>
            </w:pPr>
            <w:r w:rsidRPr="00FD514D">
              <w:rPr>
                <w:lang w:val="es-ES"/>
              </w:rPr>
              <w:t xml:space="preserve">Además, </w:t>
            </w:r>
            <w:r w:rsidR="001C5F2F" w:rsidRPr="00FD514D">
              <w:rPr>
                <w:lang w:val="es-ES"/>
              </w:rPr>
              <w:t xml:space="preserve">desde una perspectiva técnica, </w:t>
            </w:r>
            <w:r w:rsidRPr="00FD514D">
              <w:rPr>
                <w:lang w:val="es-ES"/>
              </w:rPr>
              <w:t xml:space="preserve">el </w:t>
            </w:r>
            <w:r w:rsidR="00F740DD" w:rsidRPr="00FD514D">
              <w:rPr>
                <w:lang w:val="es-ES"/>
              </w:rPr>
              <w:t>a</w:t>
            </w:r>
            <w:r w:rsidR="00762688" w:rsidRPr="00FD514D">
              <w:rPr>
                <w:lang w:val="es-ES"/>
              </w:rPr>
              <w:t>rtículo</w:t>
            </w:r>
            <w:r w:rsidR="00A36FF0" w:rsidRPr="00FD514D">
              <w:rPr>
                <w:lang w:val="es-ES"/>
              </w:rPr>
              <w:t xml:space="preserve"> 25.5</w:t>
            </w:r>
            <w:r w:rsidR="000F5169" w:rsidRPr="00FD514D">
              <w:rPr>
                <w:lang w:val="es-ES"/>
              </w:rPr>
              <w:t>.</w:t>
            </w:r>
            <w:r w:rsidR="00A36FF0" w:rsidRPr="00FD514D">
              <w:rPr>
                <w:lang w:val="es-ES"/>
              </w:rPr>
              <w:t xml:space="preserve">e) </w:t>
            </w:r>
            <w:r w:rsidR="001C5F2F" w:rsidRPr="00FD514D">
              <w:rPr>
                <w:lang w:val="es-ES"/>
              </w:rPr>
              <w:t xml:space="preserve">no se ajusta a la definición de </w:t>
            </w:r>
            <w:r w:rsidR="00855E6E">
              <w:rPr>
                <w:lang w:val="es-ES"/>
              </w:rPr>
              <w:t>‘</w:t>
            </w:r>
            <w:r w:rsidR="001C5F2F" w:rsidRPr="00FD514D">
              <w:rPr>
                <w:lang w:val="es-ES"/>
              </w:rPr>
              <w:t>órgano subsidiario</w:t>
            </w:r>
            <w:r w:rsidR="00855E6E">
              <w:rPr>
                <w:lang w:val="es-ES"/>
              </w:rPr>
              <w:t>’</w:t>
            </w:r>
            <w:r w:rsidR="00A36FF0" w:rsidRPr="00FD514D">
              <w:rPr>
                <w:lang w:val="es-ES"/>
              </w:rPr>
              <w:t xml:space="preserve"> </w:t>
            </w:r>
            <w:r w:rsidR="001C5F2F" w:rsidRPr="00FD514D">
              <w:rPr>
                <w:lang w:val="es-ES"/>
              </w:rPr>
              <w:t>establecid</w:t>
            </w:r>
            <w:r w:rsidR="00F740DD" w:rsidRPr="00FD514D">
              <w:rPr>
                <w:lang w:val="es-ES"/>
              </w:rPr>
              <w:t>o</w:t>
            </w:r>
            <w:r w:rsidR="001C5F2F" w:rsidRPr="00FD514D">
              <w:rPr>
                <w:lang w:val="es-ES"/>
              </w:rPr>
              <w:t xml:space="preserve"> en el </w:t>
            </w:r>
            <w:r w:rsidR="00470074">
              <w:rPr>
                <w:lang w:val="es-ES"/>
              </w:rPr>
              <w:t>artículo</w:t>
            </w:r>
            <w:r w:rsidR="00A36FF0" w:rsidRPr="00FD514D">
              <w:rPr>
                <w:lang w:val="es-ES"/>
              </w:rPr>
              <w:t xml:space="preserve"> 2</w:t>
            </w:r>
            <w:r w:rsidR="00AC37DE" w:rsidRPr="00FD514D">
              <w:rPr>
                <w:lang w:val="es-ES"/>
              </w:rPr>
              <w:t>.</w:t>
            </w:r>
            <w:r w:rsidR="00A36FF0" w:rsidRPr="00FD514D">
              <w:rPr>
                <w:lang w:val="es-ES"/>
              </w:rPr>
              <w:t>k)</w:t>
            </w:r>
            <w:r w:rsidR="001C5F2F" w:rsidRPr="00FD514D">
              <w:rPr>
                <w:lang w:val="es-ES"/>
              </w:rPr>
              <w:t xml:space="preserve">, según el cual, </w:t>
            </w:r>
            <w:r w:rsidR="00980900">
              <w:rPr>
                <w:lang w:val="es-ES"/>
              </w:rPr>
              <w:t>“</w:t>
            </w:r>
            <w:r w:rsidR="001C5F2F" w:rsidRPr="00FD514D">
              <w:rPr>
                <w:lang w:val="es-ES"/>
              </w:rPr>
              <w:t xml:space="preserve">por </w:t>
            </w:r>
            <w:r w:rsidR="00855E6E">
              <w:rPr>
                <w:lang w:val="es-ES"/>
              </w:rPr>
              <w:t>‘</w:t>
            </w:r>
            <w:r w:rsidR="001C5F2F" w:rsidRPr="00FD514D">
              <w:rPr>
                <w:lang w:val="es-ES"/>
              </w:rPr>
              <w:t>órgano subsi</w:t>
            </w:r>
            <w:r w:rsidR="00DC3FBF" w:rsidRPr="00FD514D">
              <w:rPr>
                <w:lang w:val="es-ES"/>
              </w:rPr>
              <w:t>diario</w:t>
            </w:r>
            <w:r w:rsidR="00855E6E">
              <w:rPr>
                <w:lang w:val="es-ES"/>
              </w:rPr>
              <w:t>’</w:t>
            </w:r>
            <w:r w:rsidR="00DC3FBF" w:rsidRPr="00FD514D">
              <w:rPr>
                <w:lang w:val="es-ES"/>
              </w:rPr>
              <w:t xml:space="preserve"> </w:t>
            </w:r>
            <w:r w:rsidR="002763A2" w:rsidRPr="00FD514D">
              <w:rPr>
                <w:lang w:val="es-ES"/>
              </w:rPr>
              <w:t>se entiende</w:t>
            </w:r>
            <w:r w:rsidR="002C59AF" w:rsidRPr="00FD514D">
              <w:rPr>
                <w:lang w:val="es-ES"/>
              </w:rPr>
              <w:t xml:space="preserve"> todos los comités o grupos de trabajo establecidos</w:t>
            </w:r>
            <w:r w:rsidR="008B15A3" w:rsidRPr="00FD514D">
              <w:rPr>
                <w:lang w:val="es-ES"/>
              </w:rPr>
              <w:t xml:space="preserve"> por la Conferencia de las Partes</w:t>
            </w:r>
            <w:r w:rsidR="00A36FF0" w:rsidRPr="00FD514D">
              <w:rPr>
                <w:lang w:val="es-ES"/>
              </w:rPr>
              <w:t>…</w:t>
            </w:r>
            <w:r w:rsidR="00980900">
              <w:rPr>
                <w:lang w:val="es-ES"/>
              </w:rPr>
              <w:t>”</w:t>
            </w:r>
            <w:r w:rsidR="00A36FF0" w:rsidRPr="00FD514D">
              <w:rPr>
                <w:lang w:val="es-ES"/>
              </w:rPr>
              <w:t xml:space="preserve">. </w:t>
            </w:r>
          </w:p>
        </w:tc>
        <w:tc>
          <w:tcPr>
            <w:tcW w:w="3332" w:type="dxa"/>
          </w:tcPr>
          <w:p w14:paraId="3B63D749" w14:textId="77777777" w:rsidR="00A36FF0" w:rsidRPr="00FD514D" w:rsidRDefault="00E860B0" w:rsidP="00584154">
            <w:pPr>
              <w:pStyle w:val="NoSpacing"/>
              <w:ind w:left="0" w:firstLine="0"/>
              <w:rPr>
                <w:lang w:val="es-ES"/>
              </w:rPr>
            </w:pPr>
            <w:r w:rsidRPr="00FD514D">
              <w:rPr>
                <w:lang w:val="es-ES"/>
              </w:rPr>
              <w:lastRenderedPageBreak/>
              <w:t xml:space="preserve">A fin de eliminar </w:t>
            </w:r>
            <w:r w:rsidR="00CD4420" w:rsidRPr="00FD514D">
              <w:rPr>
                <w:lang w:val="es-ES"/>
              </w:rPr>
              <w:t xml:space="preserve">toda </w:t>
            </w:r>
            <w:r w:rsidRPr="00FD514D">
              <w:rPr>
                <w:lang w:val="es-ES"/>
              </w:rPr>
              <w:t>ambigüedad</w:t>
            </w:r>
            <w:r w:rsidR="00623DA6" w:rsidRPr="00FD514D">
              <w:rPr>
                <w:lang w:val="es-ES"/>
              </w:rPr>
              <w:t>, se debería aclarar</w:t>
            </w:r>
            <w:r w:rsidRPr="00FD514D">
              <w:rPr>
                <w:lang w:val="es-ES"/>
              </w:rPr>
              <w:t xml:space="preserve"> </w:t>
            </w:r>
            <w:r w:rsidR="00623DA6" w:rsidRPr="00FD514D">
              <w:rPr>
                <w:lang w:val="es-ES"/>
              </w:rPr>
              <w:t>l</w:t>
            </w:r>
            <w:r w:rsidR="00B600E8" w:rsidRPr="00FD514D">
              <w:rPr>
                <w:lang w:val="es-ES"/>
              </w:rPr>
              <w:t xml:space="preserve">a capacidad de </w:t>
            </w:r>
            <w:r w:rsidR="002877EA" w:rsidRPr="00FD514D">
              <w:rPr>
                <w:lang w:val="es-ES"/>
              </w:rPr>
              <w:t>los miembros del CP</w:t>
            </w:r>
            <w:r w:rsidR="00623DA6" w:rsidRPr="00FD514D">
              <w:rPr>
                <w:lang w:val="es-ES"/>
              </w:rPr>
              <w:t>,</w:t>
            </w:r>
            <w:r w:rsidR="002877EA" w:rsidRPr="00FD514D">
              <w:rPr>
                <w:lang w:val="es-ES"/>
              </w:rPr>
              <w:t xml:space="preserve"> sin derecho a voto</w:t>
            </w:r>
            <w:r w:rsidR="00623DA6" w:rsidRPr="00FD514D">
              <w:rPr>
                <w:lang w:val="es-ES"/>
              </w:rPr>
              <w:t>,</w:t>
            </w:r>
            <w:r w:rsidR="002877EA" w:rsidRPr="00FD514D">
              <w:rPr>
                <w:lang w:val="es-ES"/>
              </w:rPr>
              <w:t xml:space="preserve"> de parti</w:t>
            </w:r>
            <w:r w:rsidR="006D24D5" w:rsidRPr="00FD514D">
              <w:rPr>
                <w:lang w:val="es-ES"/>
              </w:rPr>
              <w:t>cip</w:t>
            </w:r>
            <w:r w:rsidR="002877EA" w:rsidRPr="00FD514D">
              <w:rPr>
                <w:lang w:val="es-ES"/>
              </w:rPr>
              <w:t xml:space="preserve">ar, votar </w:t>
            </w:r>
            <w:r w:rsidRPr="00FD514D">
              <w:rPr>
                <w:lang w:val="es-ES"/>
              </w:rPr>
              <w:t>u ocupar un cargo en alguno de sus subgrupos o grupos de trabajo</w:t>
            </w:r>
            <w:r w:rsidR="00A36FF0" w:rsidRPr="00FD514D">
              <w:rPr>
                <w:lang w:val="es-ES"/>
              </w:rPr>
              <w:t>.</w:t>
            </w:r>
            <w:r w:rsidR="00502459" w:rsidRPr="00FD514D">
              <w:rPr>
                <w:lang w:val="es-ES"/>
              </w:rPr>
              <w:t xml:space="preserve"> </w:t>
            </w:r>
          </w:p>
          <w:p w14:paraId="0046E4D7" w14:textId="77777777" w:rsidR="00A36FF0" w:rsidRPr="00FD514D" w:rsidRDefault="00A36FF0" w:rsidP="00584154">
            <w:pPr>
              <w:pStyle w:val="NoSpacing"/>
              <w:ind w:left="0" w:firstLine="0"/>
              <w:rPr>
                <w:lang w:val="es-ES"/>
              </w:rPr>
            </w:pPr>
          </w:p>
          <w:p w14:paraId="3AC5AD00" w14:textId="77777777" w:rsidR="00A36FF0" w:rsidRPr="00FD514D" w:rsidRDefault="00623DA6" w:rsidP="00584154">
            <w:pPr>
              <w:pStyle w:val="NoSpacing"/>
              <w:ind w:left="0" w:firstLine="0"/>
              <w:rPr>
                <w:lang w:val="es-ES"/>
              </w:rPr>
            </w:pPr>
            <w:r w:rsidRPr="00FD514D">
              <w:rPr>
                <w:lang w:val="es-ES"/>
              </w:rPr>
              <w:t xml:space="preserve">Se debería subsanar el error de referencia del </w:t>
            </w:r>
            <w:r w:rsidR="001616D4" w:rsidRPr="00FD514D">
              <w:rPr>
                <w:lang w:val="es-ES"/>
              </w:rPr>
              <w:t>a</w:t>
            </w:r>
            <w:r w:rsidR="00762688" w:rsidRPr="00FD514D">
              <w:rPr>
                <w:lang w:val="es-ES"/>
              </w:rPr>
              <w:t>rtículo</w:t>
            </w:r>
            <w:r w:rsidR="007F09F5" w:rsidRPr="00FD514D">
              <w:rPr>
                <w:lang w:val="es-ES"/>
              </w:rPr>
              <w:t> </w:t>
            </w:r>
            <w:r w:rsidR="00A36FF0" w:rsidRPr="00FD514D">
              <w:rPr>
                <w:lang w:val="es-ES"/>
              </w:rPr>
              <w:t>25.4</w:t>
            </w:r>
            <w:r w:rsidRPr="00FD514D">
              <w:rPr>
                <w:lang w:val="es-ES"/>
              </w:rPr>
              <w:t>.</w:t>
            </w:r>
            <w:r w:rsidR="00A36FF0" w:rsidRPr="00FD514D">
              <w:rPr>
                <w:lang w:val="es-ES"/>
              </w:rPr>
              <w:t xml:space="preserve"> </w:t>
            </w:r>
          </w:p>
          <w:p w14:paraId="4C8AA8E0" w14:textId="77777777" w:rsidR="00A36FF0" w:rsidRPr="00FD514D" w:rsidRDefault="00A36FF0" w:rsidP="00584154">
            <w:pPr>
              <w:pStyle w:val="NoSpacing"/>
              <w:ind w:left="0" w:firstLine="0"/>
              <w:rPr>
                <w:lang w:val="es-ES"/>
              </w:rPr>
            </w:pPr>
          </w:p>
          <w:p w14:paraId="7E7D735C" w14:textId="77777777" w:rsidR="00A36FF0" w:rsidRPr="00FD514D" w:rsidRDefault="00D35440" w:rsidP="00BC6243">
            <w:pPr>
              <w:pStyle w:val="NoSpacing"/>
              <w:ind w:left="0" w:firstLine="0"/>
              <w:rPr>
                <w:lang w:val="es-ES"/>
              </w:rPr>
            </w:pPr>
            <w:r w:rsidRPr="00FD514D">
              <w:rPr>
                <w:lang w:val="es-ES"/>
              </w:rPr>
              <w:t>A fin de evitar confusiones,</w:t>
            </w:r>
            <w:r w:rsidR="00667101" w:rsidRPr="00FD514D">
              <w:rPr>
                <w:lang w:val="es-ES"/>
              </w:rPr>
              <w:t xml:space="preserve"> </w:t>
            </w:r>
            <w:r w:rsidR="001852E8" w:rsidRPr="00FD514D">
              <w:rPr>
                <w:lang w:val="es-ES"/>
              </w:rPr>
              <w:t xml:space="preserve">los grupos de trabajo oficiosos deberían ser objeto de un </w:t>
            </w:r>
            <w:r w:rsidR="001616D4" w:rsidRPr="00FD514D">
              <w:rPr>
                <w:lang w:val="es-ES"/>
              </w:rPr>
              <w:t>a</w:t>
            </w:r>
            <w:r w:rsidR="00762688" w:rsidRPr="00FD514D">
              <w:rPr>
                <w:lang w:val="es-ES"/>
              </w:rPr>
              <w:t>rtículo</w:t>
            </w:r>
            <w:r w:rsidR="00A36FF0" w:rsidRPr="00FD514D">
              <w:rPr>
                <w:lang w:val="es-ES"/>
              </w:rPr>
              <w:t xml:space="preserve"> </w:t>
            </w:r>
            <w:r w:rsidR="001852E8" w:rsidRPr="00FD514D">
              <w:rPr>
                <w:lang w:val="es-ES"/>
              </w:rPr>
              <w:t>aparte</w:t>
            </w:r>
            <w:r w:rsidR="004B683C" w:rsidRPr="00FD514D">
              <w:rPr>
                <w:lang w:val="es-ES"/>
              </w:rPr>
              <w:t xml:space="preserve"> en el que se señala claramente que no son órganos subsidiarios. </w:t>
            </w:r>
          </w:p>
          <w:p w14:paraId="2DBF9665" w14:textId="77777777" w:rsidR="00A36FF0" w:rsidRPr="00FD514D" w:rsidRDefault="00A36FF0" w:rsidP="00BC6243">
            <w:pPr>
              <w:pStyle w:val="NoSpacing"/>
              <w:ind w:left="0" w:firstLine="0"/>
              <w:rPr>
                <w:lang w:val="es-ES"/>
              </w:rPr>
            </w:pPr>
          </w:p>
          <w:p w14:paraId="29F971D7" w14:textId="2A8733C6" w:rsidR="00A36FF0" w:rsidRPr="00FD514D" w:rsidRDefault="004B683C" w:rsidP="00C6467E">
            <w:pPr>
              <w:pStyle w:val="NoSpacing"/>
              <w:ind w:left="0" w:firstLine="0"/>
              <w:rPr>
                <w:lang w:val="es-ES"/>
              </w:rPr>
            </w:pPr>
            <w:r w:rsidRPr="00FD514D">
              <w:rPr>
                <w:lang w:val="es-ES"/>
              </w:rPr>
              <w:t xml:space="preserve">Además, la definición de </w:t>
            </w:r>
            <w:r w:rsidR="00855E6E">
              <w:rPr>
                <w:lang w:val="es-ES"/>
              </w:rPr>
              <w:t>‘</w:t>
            </w:r>
            <w:r w:rsidRPr="00FD514D">
              <w:rPr>
                <w:lang w:val="es-ES"/>
              </w:rPr>
              <w:t>órgano subsidiario</w:t>
            </w:r>
            <w:r w:rsidR="00855E6E">
              <w:rPr>
                <w:lang w:val="es-ES"/>
              </w:rPr>
              <w:t>’</w:t>
            </w:r>
            <w:r w:rsidR="00155693" w:rsidRPr="00FD514D">
              <w:rPr>
                <w:lang w:val="es-ES"/>
              </w:rPr>
              <w:t xml:space="preserve"> que figura en el</w:t>
            </w:r>
            <w:r w:rsidR="00502459" w:rsidRPr="00FD514D">
              <w:rPr>
                <w:lang w:val="es-ES"/>
              </w:rPr>
              <w:t xml:space="preserve"> </w:t>
            </w:r>
            <w:r w:rsidR="001616D4" w:rsidRPr="00FD514D">
              <w:rPr>
                <w:lang w:val="es-ES"/>
              </w:rPr>
              <w:t>a</w:t>
            </w:r>
            <w:r w:rsidR="00762688" w:rsidRPr="00FD514D">
              <w:rPr>
                <w:lang w:val="es-ES"/>
              </w:rPr>
              <w:t>rtículo</w:t>
            </w:r>
            <w:r w:rsidR="00A36FF0" w:rsidRPr="00FD514D">
              <w:rPr>
                <w:lang w:val="es-ES"/>
              </w:rPr>
              <w:t xml:space="preserve"> 2</w:t>
            </w:r>
            <w:r w:rsidR="00F721AE" w:rsidRPr="00FD514D">
              <w:rPr>
                <w:lang w:val="es-ES"/>
              </w:rPr>
              <w:t>.</w:t>
            </w:r>
            <w:r w:rsidR="00A36FF0" w:rsidRPr="00FD514D">
              <w:rPr>
                <w:lang w:val="es-ES"/>
              </w:rPr>
              <w:t xml:space="preserve">k) </w:t>
            </w:r>
            <w:r w:rsidR="00155693" w:rsidRPr="00FD514D">
              <w:rPr>
                <w:lang w:val="es-ES"/>
              </w:rPr>
              <w:t xml:space="preserve">debería ser modificada para referirse a </w:t>
            </w:r>
            <w:r w:rsidR="00980900">
              <w:rPr>
                <w:lang w:val="es-ES"/>
              </w:rPr>
              <w:t>“</w:t>
            </w:r>
            <w:r w:rsidR="00155693" w:rsidRPr="00FD514D">
              <w:rPr>
                <w:lang w:val="es-ES"/>
              </w:rPr>
              <w:t xml:space="preserve">…todos los comités o grupos de trabajo </w:t>
            </w:r>
            <w:r w:rsidR="00161087" w:rsidRPr="00FD514D">
              <w:rPr>
                <w:i/>
                <w:lang w:val="es-ES"/>
              </w:rPr>
              <w:t>ofici</w:t>
            </w:r>
            <w:r w:rsidR="00155693" w:rsidRPr="00FD514D">
              <w:rPr>
                <w:i/>
                <w:lang w:val="es-ES"/>
              </w:rPr>
              <w:t>ales</w:t>
            </w:r>
            <w:r w:rsidR="00980900">
              <w:rPr>
                <w:lang w:val="es-ES"/>
              </w:rPr>
              <w:t>”</w:t>
            </w:r>
            <w:r w:rsidR="00161087" w:rsidRPr="00FD514D">
              <w:rPr>
                <w:lang w:val="es-ES"/>
              </w:rPr>
              <w:t xml:space="preserve"> y excluir explícitamente los grupos oficiosos</w:t>
            </w:r>
            <w:r w:rsidR="00402D75" w:rsidRPr="00FD514D">
              <w:rPr>
                <w:lang w:val="es-ES"/>
              </w:rPr>
              <w:t xml:space="preserve"> previstos en el</w:t>
            </w:r>
            <w:r w:rsidR="00502459" w:rsidRPr="00FD514D">
              <w:rPr>
                <w:lang w:val="es-ES"/>
              </w:rPr>
              <w:t xml:space="preserve"> </w:t>
            </w:r>
            <w:r w:rsidR="001616D4" w:rsidRPr="00FD514D">
              <w:rPr>
                <w:lang w:val="es-ES"/>
              </w:rPr>
              <w:t>a</w:t>
            </w:r>
            <w:r w:rsidR="00762688" w:rsidRPr="00FD514D">
              <w:rPr>
                <w:lang w:val="es-ES"/>
              </w:rPr>
              <w:t>rtículo</w:t>
            </w:r>
            <w:r w:rsidR="00A36FF0" w:rsidRPr="00FD514D">
              <w:rPr>
                <w:lang w:val="es-ES"/>
              </w:rPr>
              <w:t xml:space="preserve"> 25.5</w:t>
            </w:r>
            <w:r w:rsidR="00C6467E" w:rsidRPr="00FD514D">
              <w:rPr>
                <w:lang w:val="es-ES"/>
              </w:rPr>
              <w:t>.</w:t>
            </w:r>
            <w:r w:rsidR="00A36FF0" w:rsidRPr="00FD514D">
              <w:rPr>
                <w:lang w:val="es-ES"/>
              </w:rPr>
              <w:t>e).</w:t>
            </w:r>
          </w:p>
        </w:tc>
      </w:tr>
      <w:tr w:rsidR="00D50999" w:rsidRPr="00070719" w14:paraId="5379B718" w14:textId="77777777" w:rsidTr="00980900">
        <w:tc>
          <w:tcPr>
            <w:tcW w:w="578" w:type="dxa"/>
          </w:tcPr>
          <w:p w14:paraId="15BC2E57" w14:textId="77777777" w:rsidR="00A36FF0" w:rsidRPr="00FD514D" w:rsidRDefault="00A36FF0" w:rsidP="0078688F">
            <w:pPr>
              <w:pStyle w:val="NoSpacing"/>
              <w:ind w:left="0" w:firstLine="0"/>
              <w:rPr>
                <w:lang w:val="es-ES"/>
              </w:rPr>
            </w:pPr>
            <w:r w:rsidRPr="00FD514D">
              <w:rPr>
                <w:lang w:val="es-ES"/>
              </w:rPr>
              <w:lastRenderedPageBreak/>
              <w:t>1</w:t>
            </w:r>
            <w:r w:rsidR="00A05E17" w:rsidRPr="00FD514D">
              <w:rPr>
                <w:lang w:val="es-ES"/>
              </w:rPr>
              <w:t>2</w:t>
            </w:r>
          </w:p>
        </w:tc>
        <w:tc>
          <w:tcPr>
            <w:tcW w:w="1939" w:type="dxa"/>
          </w:tcPr>
          <w:p w14:paraId="6F4A88BC" w14:textId="77777777" w:rsidR="00A36FF0" w:rsidRPr="00FD514D" w:rsidRDefault="00762688" w:rsidP="0078688F">
            <w:pPr>
              <w:pStyle w:val="NoSpacing"/>
              <w:ind w:left="0" w:firstLine="0"/>
              <w:rPr>
                <w:lang w:val="es-ES"/>
              </w:rPr>
            </w:pPr>
            <w:r w:rsidRPr="00FD514D">
              <w:rPr>
                <w:lang w:val="es-ES"/>
              </w:rPr>
              <w:t>Artículo</w:t>
            </w:r>
            <w:r w:rsidR="00A36FF0" w:rsidRPr="00FD514D">
              <w:rPr>
                <w:lang w:val="es-ES"/>
              </w:rPr>
              <w:t xml:space="preserve"> 27</w:t>
            </w:r>
            <w:r w:rsidR="00BB5BA0" w:rsidRPr="00FD514D">
              <w:rPr>
                <w:lang w:val="es-ES"/>
              </w:rPr>
              <w:t>:</w:t>
            </w:r>
            <w:r w:rsidR="00A36FF0" w:rsidRPr="00FD514D">
              <w:rPr>
                <w:lang w:val="es-ES"/>
              </w:rPr>
              <w:t xml:space="preserve"> Func</w:t>
            </w:r>
            <w:r w:rsidR="008B15A3" w:rsidRPr="00FD514D">
              <w:rPr>
                <w:lang w:val="es-ES"/>
              </w:rPr>
              <w:t>iones de la Secretaría</w:t>
            </w:r>
          </w:p>
        </w:tc>
        <w:tc>
          <w:tcPr>
            <w:tcW w:w="3331" w:type="dxa"/>
          </w:tcPr>
          <w:p w14:paraId="196C78EE" w14:textId="0FE9249E" w:rsidR="00A36FF0" w:rsidRPr="00FD514D" w:rsidRDefault="00224410" w:rsidP="004E4E27">
            <w:pPr>
              <w:pStyle w:val="NoSpacing"/>
              <w:ind w:left="0" w:firstLine="0"/>
              <w:rPr>
                <w:lang w:val="es-ES"/>
              </w:rPr>
            </w:pPr>
            <w:r w:rsidRPr="00FD514D">
              <w:rPr>
                <w:lang w:val="es-ES"/>
              </w:rPr>
              <w:t>Según e</w:t>
            </w:r>
            <w:r w:rsidR="008B15A3" w:rsidRPr="00FD514D">
              <w:rPr>
                <w:lang w:val="es-ES"/>
              </w:rPr>
              <w:t xml:space="preserve">l </w:t>
            </w:r>
            <w:r w:rsidR="001616D4" w:rsidRPr="00FD514D">
              <w:rPr>
                <w:lang w:val="es-ES"/>
              </w:rPr>
              <w:t>a</w:t>
            </w:r>
            <w:r w:rsidR="00762688" w:rsidRPr="00FD514D">
              <w:rPr>
                <w:lang w:val="es-ES"/>
              </w:rPr>
              <w:t>rtículo</w:t>
            </w:r>
            <w:r w:rsidR="00BB5BA0" w:rsidRPr="00FD514D">
              <w:rPr>
                <w:lang w:val="es-ES"/>
              </w:rPr>
              <w:t xml:space="preserve"> 27.</w:t>
            </w:r>
            <w:r w:rsidR="00A36FF0" w:rsidRPr="00FD514D">
              <w:rPr>
                <w:lang w:val="es-ES"/>
              </w:rPr>
              <w:t>f)</w:t>
            </w:r>
            <w:r w:rsidRPr="00FD514D">
              <w:rPr>
                <w:lang w:val="es-ES"/>
              </w:rPr>
              <w:t>, la</w:t>
            </w:r>
            <w:r w:rsidR="00A36FF0" w:rsidRPr="00FD514D">
              <w:rPr>
                <w:lang w:val="es-ES"/>
              </w:rPr>
              <w:t xml:space="preserve"> Secretar</w:t>
            </w:r>
            <w:r w:rsidR="00996619" w:rsidRPr="00FD514D">
              <w:rPr>
                <w:lang w:val="es-ES"/>
              </w:rPr>
              <w:t>ía</w:t>
            </w:r>
            <w:r w:rsidR="00A36FF0" w:rsidRPr="00FD514D">
              <w:rPr>
                <w:lang w:val="es-ES"/>
              </w:rPr>
              <w:t xml:space="preserve"> </w:t>
            </w:r>
            <w:r w:rsidR="001270D0" w:rsidRPr="00FD514D">
              <w:rPr>
                <w:lang w:val="es-ES"/>
              </w:rPr>
              <w:t xml:space="preserve">redactará </w:t>
            </w:r>
            <w:r w:rsidR="006D7068" w:rsidRPr="00FD514D">
              <w:rPr>
                <w:lang w:val="es-ES"/>
              </w:rPr>
              <w:t>un proyecto de informe para que sea examinado</w:t>
            </w:r>
            <w:r w:rsidR="00F9773B" w:rsidRPr="00FD514D">
              <w:rPr>
                <w:lang w:val="es-ES"/>
              </w:rPr>
              <w:t xml:space="preserve"> </w:t>
            </w:r>
            <w:r w:rsidR="006D7068" w:rsidRPr="00FD514D">
              <w:rPr>
                <w:lang w:val="es-ES"/>
              </w:rPr>
              <w:t xml:space="preserve">por la </w:t>
            </w:r>
            <w:r w:rsidR="001270D0" w:rsidRPr="00FD514D">
              <w:rPr>
                <w:lang w:val="es-ES"/>
              </w:rPr>
              <w:t>Mesa de la Conferencia</w:t>
            </w:r>
            <w:r w:rsidR="00502459" w:rsidRPr="00FD514D">
              <w:rPr>
                <w:lang w:val="es-ES"/>
              </w:rPr>
              <w:t xml:space="preserve"> </w:t>
            </w:r>
            <w:r w:rsidR="00AE2D13" w:rsidRPr="00FD514D">
              <w:rPr>
                <w:lang w:val="es-ES"/>
              </w:rPr>
              <w:t xml:space="preserve">y </w:t>
            </w:r>
            <w:r w:rsidR="009F5884" w:rsidRPr="00FD514D">
              <w:rPr>
                <w:lang w:val="es-ES"/>
              </w:rPr>
              <w:t xml:space="preserve">aprobado </w:t>
            </w:r>
            <w:r w:rsidR="00F9773B" w:rsidRPr="00FD514D">
              <w:rPr>
                <w:lang w:val="es-ES"/>
              </w:rPr>
              <w:t xml:space="preserve">posteriormente en forma definitiva por la </w:t>
            </w:r>
            <w:r w:rsidR="00A36FF0" w:rsidRPr="00FD514D">
              <w:rPr>
                <w:lang w:val="es-ES"/>
              </w:rPr>
              <w:t xml:space="preserve">COP. </w:t>
            </w:r>
            <w:r w:rsidR="006D7068" w:rsidRPr="00FD514D">
              <w:rPr>
                <w:lang w:val="es-ES"/>
              </w:rPr>
              <w:t xml:space="preserve">Esto </w:t>
            </w:r>
            <w:r w:rsidR="00213613" w:rsidRPr="00FD514D">
              <w:rPr>
                <w:lang w:val="es-ES"/>
              </w:rPr>
              <w:t>hace suponer</w:t>
            </w:r>
            <w:r w:rsidR="006D7068" w:rsidRPr="00FD514D">
              <w:rPr>
                <w:lang w:val="es-ES"/>
              </w:rPr>
              <w:t xml:space="preserve"> que la Secretaría </w:t>
            </w:r>
            <w:r w:rsidR="008D7FE7" w:rsidRPr="00FD514D">
              <w:rPr>
                <w:lang w:val="es-ES"/>
              </w:rPr>
              <w:t xml:space="preserve">solo necesita elaborar un proyecto de informe para cubrir toda la reunión de la COP </w:t>
            </w:r>
            <w:r w:rsidR="00A36FF0" w:rsidRPr="00FD514D">
              <w:rPr>
                <w:lang w:val="es-ES"/>
              </w:rPr>
              <w:t>(</w:t>
            </w:r>
            <w:r w:rsidR="002519D9" w:rsidRPr="00FD514D">
              <w:rPr>
                <w:lang w:val="es-ES"/>
              </w:rPr>
              <w:t xml:space="preserve">se señalan las observaciones anteriores sobre la diferencia entre una </w:t>
            </w:r>
            <w:r w:rsidR="00855E6E">
              <w:rPr>
                <w:lang w:val="es-ES"/>
              </w:rPr>
              <w:t>‘</w:t>
            </w:r>
            <w:r w:rsidR="002519D9" w:rsidRPr="00FD514D">
              <w:rPr>
                <w:lang w:val="es-ES"/>
              </w:rPr>
              <w:t>sesión</w:t>
            </w:r>
            <w:r w:rsidR="00855E6E">
              <w:rPr>
                <w:lang w:val="es-ES"/>
              </w:rPr>
              <w:t>’</w:t>
            </w:r>
            <w:r w:rsidR="002519D9" w:rsidRPr="00FD514D">
              <w:rPr>
                <w:lang w:val="es-ES"/>
              </w:rPr>
              <w:t xml:space="preserve"> y una </w:t>
            </w:r>
            <w:r w:rsidR="00855E6E">
              <w:rPr>
                <w:lang w:val="es-ES"/>
              </w:rPr>
              <w:t>‘</w:t>
            </w:r>
            <w:r w:rsidR="002519D9" w:rsidRPr="00FD514D">
              <w:rPr>
                <w:lang w:val="es-ES"/>
              </w:rPr>
              <w:t>reunión</w:t>
            </w:r>
            <w:r w:rsidR="00855E6E">
              <w:rPr>
                <w:lang w:val="es-ES"/>
              </w:rPr>
              <w:t>’</w:t>
            </w:r>
            <w:r w:rsidR="002519D9" w:rsidRPr="00FD514D">
              <w:rPr>
                <w:lang w:val="es-ES"/>
              </w:rPr>
              <w:t xml:space="preserve">). </w:t>
            </w:r>
          </w:p>
          <w:p w14:paraId="7167F3D6" w14:textId="77777777" w:rsidR="00A36FF0" w:rsidRPr="00FD514D" w:rsidRDefault="00A36FF0" w:rsidP="004E4E27">
            <w:pPr>
              <w:pStyle w:val="NoSpacing"/>
              <w:ind w:left="0" w:firstLine="0"/>
              <w:rPr>
                <w:lang w:val="es-ES"/>
              </w:rPr>
            </w:pPr>
          </w:p>
          <w:p w14:paraId="3F634186" w14:textId="248FE6D6" w:rsidR="00A36FF0" w:rsidRPr="00FD514D" w:rsidRDefault="008D7FE7" w:rsidP="004E4E27">
            <w:pPr>
              <w:pStyle w:val="NoSpacing"/>
              <w:ind w:left="0" w:firstLine="0"/>
              <w:rPr>
                <w:lang w:val="es-ES"/>
              </w:rPr>
            </w:pPr>
            <w:r w:rsidRPr="00FD514D">
              <w:rPr>
                <w:lang w:val="es-ES"/>
              </w:rPr>
              <w:t>Sin embargo</w:t>
            </w:r>
            <w:r w:rsidR="00BB5BA0" w:rsidRPr="00FD514D">
              <w:rPr>
                <w:lang w:val="es-ES"/>
              </w:rPr>
              <w:t xml:space="preserve">, </w:t>
            </w:r>
            <w:r w:rsidR="002519D9" w:rsidRPr="00FD514D">
              <w:rPr>
                <w:lang w:val="es-ES"/>
              </w:rPr>
              <w:t xml:space="preserve">según </w:t>
            </w:r>
            <w:r w:rsidRPr="00FD514D">
              <w:rPr>
                <w:lang w:val="es-ES"/>
              </w:rPr>
              <w:t xml:space="preserve">el </w:t>
            </w:r>
            <w:r w:rsidR="000C337A" w:rsidRPr="00FD514D">
              <w:rPr>
                <w:lang w:val="es-ES"/>
              </w:rPr>
              <w:t>a</w:t>
            </w:r>
            <w:r w:rsidR="00762688" w:rsidRPr="00FD514D">
              <w:rPr>
                <w:lang w:val="es-ES"/>
              </w:rPr>
              <w:t>rtículo</w:t>
            </w:r>
            <w:r w:rsidR="00BB5BA0" w:rsidRPr="00FD514D">
              <w:rPr>
                <w:lang w:val="es-ES"/>
              </w:rPr>
              <w:t xml:space="preserve"> 25.1.</w:t>
            </w:r>
            <w:r w:rsidR="00A36FF0" w:rsidRPr="00FD514D">
              <w:rPr>
                <w:lang w:val="es-ES"/>
              </w:rPr>
              <w:t>a)</w:t>
            </w:r>
            <w:r w:rsidR="002519D9" w:rsidRPr="00FD514D">
              <w:rPr>
                <w:lang w:val="es-ES"/>
              </w:rPr>
              <w:t>, la Secretaría deber</w:t>
            </w:r>
            <w:r w:rsidR="00377145" w:rsidRPr="00FD514D">
              <w:rPr>
                <w:lang w:val="es-ES"/>
              </w:rPr>
              <w:t>á</w:t>
            </w:r>
            <w:r w:rsidR="002519D9" w:rsidRPr="00FD514D">
              <w:rPr>
                <w:lang w:val="es-ES"/>
              </w:rPr>
              <w:t xml:space="preserve"> </w:t>
            </w:r>
            <w:r w:rsidR="00B97145" w:rsidRPr="00FD514D">
              <w:rPr>
                <w:lang w:val="es-ES"/>
              </w:rPr>
              <w:t xml:space="preserve">elaborar un proyecto de informe cada día para que sea examinado por la Mesa de la Conferencia al </w:t>
            </w:r>
            <w:r w:rsidR="00B97145" w:rsidRPr="00FD514D">
              <w:rPr>
                <w:lang w:val="es-ES"/>
              </w:rPr>
              <w:lastRenderedPageBreak/>
              <w:t>día siguiente</w:t>
            </w:r>
            <w:r w:rsidR="004C10AA" w:rsidRPr="00FD514D">
              <w:rPr>
                <w:lang w:val="es-ES"/>
              </w:rPr>
              <w:t>.</w:t>
            </w:r>
            <w:r w:rsidR="00B97145" w:rsidRPr="00FD514D">
              <w:rPr>
                <w:lang w:val="es-ES"/>
              </w:rPr>
              <w:t xml:space="preserve"> Además, no </w:t>
            </w:r>
            <w:r w:rsidR="00F14E58" w:rsidRPr="00FD514D">
              <w:rPr>
                <w:lang w:val="es-ES"/>
              </w:rPr>
              <w:t>hay ningún requisito explícito de que estos proyectos de informe diario</w:t>
            </w:r>
            <w:r w:rsidR="00FC69E1" w:rsidRPr="00FD514D">
              <w:rPr>
                <w:lang w:val="es-ES"/>
              </w:rPr>
              <w:t xml:space="preserve"> sean aprobados posteriormente por la COP.</w:t>
            </w:r>
            <w:r w:rsidR="00502459" w:rsidRPr="00FD514D">
              <w:rPr>
                <w:lang w:val="es-ES"/>
              </w:rPr>
              <w:t xml:space="preserve"> </w:t>
            </w:r>
          </w:p>
        </w:tc>
        <w:tc>
          <w:tcPr>
            <w:tcW w:w="3332" w:type="dxa"/>
          </w:tcPr>
          <w:p w14:paraId="5DD5835A" w14:textId="77777777" w:rsidR="00A36FF0" w:rsidRPr="00FD514D" w:rsidRDefault="00402D75" w:rsidP="00A16348">
            <w:pPr>
              <w:pStyle w:val="NoSpacing"/>
              <w:ind w:left="0" w:firstLine="0"/>
              <w:rPr>
                <w:lang w:val="es-ES"/>
              </w:rPr>
            </w:pPr>
            <w:r w:rsidRPr="00FD514D">
              <w:rPr>
                <w:lang w:val="es-ES"/>
              </w:rPr>
              <w:lastRenderedPageBreak/>
              <w:t>Se deberían hacer los cambios necesarios para</w:t>
            </w:r>
            <w:r w:rsidR="00502459" w:rsidRPr="00FD514D">
              <w:rPr>
                <w:lang w:val="es-ES"/>
              </w:rPr>
              <w:t xml:space="preserve"> </w:t>
            </w:r>
            <w:r w:rsidRPr="00FD514D">
              <w:rPr>
                <w:lang w:val="es-ES"/>
              </w:rPr>
              <w:t>procurar</w:t>
            </w:r>
            <w:r w:rsidR="00132FC5" w:rsidRPr="00FD514D">
              <w:rPr>
                <w:lang w:val="es-ES"/>
              </w:rPr>
              <w:t xml:space="preserve"> que estos </w:t>
            </w:r>
            <w:r w:rsidR="00762688" w:rsidRPr="00FD514D">
              <w:rPr>
                <w:lang w:val="es-ES"/>
              </w:rPr>
              <w:t>Artículo</w:t>
            </w:r>
            <w:r w:rsidR="002A6FAA" w:rsidRPr="00FD514D">
              <w:rPr>
                <w:lang w:val="es-ES"/>
              </w:rPr>
              <w:t>s guarden coherencia entre sí.</w:t>
            </w:r>
            <w:r w:rsidR="00502459" w:rsidRPr="00FD514D">
              <w:rPr>
                <w:lang w:val="es-ES"/>
              </w:rPr>
              <w:t xml:space="preserve"> </w:t>
            </w:r>
          </w:p>
          <w:p w14:paraId="631CED15" w14:textId="77777777" w:rsidR="002C7AB0" w:rsidRPr="00FD514D" w:rsidRDefault="002C7AB0" w:rsidP="00A16348">
            <w:pPr>
              <w:pStyle w:val="NoSpacing"/>
              <w:ind w:left="0" w:firstLine="0"/>
              <w:rPr>
                <w:lang w:val="es-ES"/>
              </w:rPr>
            </w:pPr>
          </w:p>
          <w:p w14:paraId="67C03337" w14:textId="77777777" w:rsidR="002C7AB0" w:rsidRPr="00FD514D" w:rsidRDefault="002A6FAA" w:rsidP="00A16348">
            <w:pPr>
              <w:pStyle w:val="NoSpacing"/>
              <w:ind w:left="0" w:firstLine="0"/>
              <w:rPr>
                <w:lang w:val="es-ES"/>
              </w:rPr>
            </w:pPr>
            <w:r w:rsidRPr="00FD514D">
              <w:rPr>
                <w:lang w:val="es-ES"/>
              </w:rPr>
              <w:t>Como alternativa, se podría plantear si es necesario que la Mesa de la Conferencia asuma esta función.</w:t>
            </w:r>
            <w:r w:rsidR="00502459" w:rsidRPr="00FD514D">
              <w:rPr>
                <w:lang w:val="es-ES"/>
              </w:rPr>
              <w:t xml:space="preserve"> </w:t>
            </w:r>
          </w:p>
        </w:tc>
      </w:tr>
      <w:tr w:rsidR="00D50999" w:rsidRPr="00980900" w14:paraId="7BE5267B" w14:textId="77777777" w:rsidTr="00980900">
        <w:tc>
          <w:tcPr>
            <w:tcW w:w="578" w:type="dxa"/>
          </w:tcPr>
          <w:p w14:paraId="7F72060E" w14:textId="77777777" w:rsidR="00A36FF0" w:rsidRPr="00FD514D" w:rsidRDefault="00A36FF0" w:rsidP="0078688F">
            <w:pPr>
              <w:pStyle w:val="NoSpacing"/>
              <w:ind w:left="0" w:firstLine="0"/>
              <w:rPr>
                <w:lang w:val="es-ES"/>
              </w:rPr>
            </w:pPr>
            <w:r w:rsidRPr="00FD514D">
              <w:rPr>
                <w:lang w:val="es-ES"/>
              </w:rPr>
              <w:t>1</w:t>
            </w:r>
            <w:r w:rsidR="00A05E17" w:rsidRPr="00FD514D">
              <w:rPr>
                <w:lang w:val="es-ES"/>
              </w:rPr>
              <w:t>3</w:t>
            </w:r>
          </w:p>
        </w:tc>
        <w:tc>
          <w:tcPr>
            <w:tcW w:w="1939" w:type="dxa"/>
          </w:tcPr>
          <w:p w14:paraId="545F4E55" w14:textId="77777777" w:rsidR="00A36FF0" w:rsidRPr="00FD514D" w:rsidRDefault="00762688" w:rsidP="0078688F">
            <w:pPr>
              <w:pStyle w:val="NoSpacing"/>
              <w:ind w:left="0" w:firstLine="0"/>
              <w:rPr>
                <w:lang w:val="es-ES"/>
              </w:rPr>
            </w:pPr>
            <w:r w:rsidRPr="00FD514D">
              <w:rPr>
                <w:lang w:val="es-ES"/>
              </w:rPr>
              <w:t>Artículo</w:t>
            </w:r>
            <w:r w:rsidR="00A36FF0" w:rsidRPr="00FD514D">
              <w:rPr>
                <w:lang w:val="es-ES"/>
              </w:rPr>
              <w:t xml:space="preserve"> 34</w:t>
            </w:r>
            <w:r w:rsidR="00F119EA" w:rsidRPr="00FD514D">
              <w:rPr>
                <w:lang w:val="es-ES"/>
              </w:rPr>
              <w:t>:</w:t>
            </w:r>
            <w:r w:rsidR="00A36FF0" w:rsidRPr="00FD514D">
              <w:rPr>
                <w:lang w:val="es-ES"/>
              </w:rPr>
              <w:t xml:space="preserve"> Prop</w:t>
            </w:r>
            <w:r w:rsidR="00031580" w:rsidRPr="00FD514D">
              <w:rPr>
                <w:lang w:val="es-ES"/>
              </w:rPr>
              <w:t xml:space="preserve">uestas y enmiendas a las propuestas </w:t>
            </w:r>
          </w:p>
        </w:tc>
        <w:tc>
          <w:tcPr>
            <w:tcW w:w="3331" w:type="dxa"/>
          </w:tcPr>
          <w:p w14:paraId="674CE779" w14:textId="757AA84C" w:rsidR="00A36FF0" w:rsidRPr="00FD514D" w:rsidRDefault="00FC69E1" w:rsidP="0015639E">
            <w:pPr>
              <w:ind w:left="0" w:firstLine="0"/>
              <w:rPr>
                <w:rFonts w:cs="Arial"/>
                <w:lang w:val="es-ES"/>
              </w:rPr>
            </w:pPr>
            <w:r w:rsidRPr="00FD514D">
              <w:rPr>
                <w:rFonts w:cs="Arial"/>
                <w:lang w:val="es-ES"/>
              </w:rPr>
              <w:t xml:space="preserve">Se desprende del </w:t>
            </w:r>
            <w:r w:rsidR="00377145" w:rsidRPr="00FD514D">
              <w:rPr>
                <w:rFonts w:cs="Arial"/>
                <w:lang w:val="es-ES"/>
              </w:rPr>
              <w:t>a</w:t>
            </w:r>
            <w:r w:rsidR="00762688" w:rsidRPr="00FD514D">
              <w:rPr>
                <w:rFonts w:cs="Arial"/>
                <w:lang w:val="es-ES"/>
              </w:rPr>
              <w:t>rtículo</w:t>
            </w:r>
            <w:r w:rsidR="00A36FF0" w:rsidRPr="00FD514D">
              <w:rPr>
                <w:rFonts w:cs="Arial"/>
                <w:lang w:val="es-ES"/>
              </w:rPr>
              <w:t xml:space="preserve"> 34.1 </w:t>
            </w:r>
            <w:r w:rsidRPr="00FD514D">
              <w:rPr>
                <w:rFonts w:cs="Arial"/>
                <w:lang w:val="es-ES"/>
              </w:rPr>
              <w:t xml:space="preserve">que las propuestas </w:t>
            </w:r>
            <w:r w:rsidR="00B31AFC" w:rsidRPr="00FD514D">
              <w:rPr>
                <w:rFonts w:cs="Arial"/>
                <w:lang w:val="es-ES"/>
              </w:rPr>
              <w:t>a ser examinad</w:t>
            </w:r>
            <w:r w:rsidR="000D49A3" w:rsidRPr="00FD514D">
              <w:rPr>
                <w:rFonts w:cs="Arial"/>
                <w:lang w:val="es-ES"/>
              </w:rPr>
              <w:t>a</w:t>
            </w:r>
            <w:r w:rsidR="00B31AFC" w:rsidRPr="00FD514D">
              <w:rPr>
                <w:rFonts w:cs="Arial"/>
                <w:lang w:val="es-ES"/>
              </w:rPr>
              <w:t>s por la COP deben haber sido aprobad</w:t>
            </w:r>
            <w:r w:rsidR="000D49A3" w:rsidRPr="00FD514D">
              <w:rPr>
                <w:rFonts w:cs="Arial"/>
                <w:lang w:val="es-ES"/>
              </w:rPr>
              <w:t>a</w:t>
            </w:r>
            <w:r w:rsidR="00B31AFC" w:rsidRPr="00FD514D">
              <w:rPr>
                <w:rFonts w:cs="Arial"/>
                <w:lang w:val="es-ES"/>
              </w:rPr>
              <w:t xml:space="preserve">s previamente por el Comité Permanente </w:t>
            </w:r>
            <w:r w:rsidR="00A36FF0" w:rsidRPr="00FD514D">
              <w:rPr>
                <w:rFonts w:cs="Arial"/>
                <w:lang w:val="es-ES"/>
              </w:rPr>
              <w:t>(</w:t>
            </w:r>
            <w:r w:rsidR="00A4646A" w:rsidRPr="00FD514D">
              <w:rPr>
                <w:rFonts w:cs="Arial"/>
                <w:lang w:val="es-ES"/>
              </w:rPr>
              <w:t>véase</w:t>
            </w:r>
            <w:r w:rsidR="00A36FF0" w:rsidRPr="00FD514D">
              <w:rPr>
                <w:rFonts w:cs="Arial"/>
                <w:lang w:val="es-ES"/>
              </w:rPr>
              <w:t xml:space="preserve"> </w:t>
            </w:r>
            <w:r w:rsidR="00980900">
              <w:rPr>
                <w:rFonts w:cs="Arial"/>
                <w:lang w:val="es-ES"/>
              </w:rPr>
              <w:t>“</w:t>
            </w:r>
            <w:r w:rsidR="00A36FF0" w:rsidRPr="00FD514D">
              <w:rPr>
                <w:rFonts w:cs="Arial"/>
                <w:lang w:val="es-ES"/>
              </w:rPr>
              <w:t>…</w:t>
            </w:r>
            <w:r w:rsidR="00BC5AA4" w:rsidRPr="00FD514D">
              <w:rPr>
                <w:rFonts w:cs="Arial"/>
                <w:lang w:val="es-ES"/>
              </w:rPr>
              <w:t xml:space="preserve"> </w:t>
            </w:r>
            <w:r w:rsidR="006F014F" w:rsidRPr="00FD514D">
              <w:rPr>
                <w:rFonts w:cs="Arial"/>
                <w:lang w:val="es-ES"/>
              </w:rPr>
              <w:t>la reunión (del Comité Permanente</w:t>
            </w:r>
            <w:r w:rsidR="00FE4091" w:rsidRPr="00FD514D">
              <w:rPr>
                <w:rFonts w:cs="Arial"/>
                <w:lang w:val="es-ES"/>
              </w:rPr>
              <w:t>)</w:t>
            </w:r>
            <w:r w:rsidR="006F014F" w:rsidRPr="00FD514D">
              <w:rPr>
                <w:rFonts w:cs="Arial"/>
                <w:lang w:val="es-ES"/>
              </w:rPr>
              <w:t xml:space="preserve"> en la que se aprobarán</w:t>
            </w:r>
            <w:r w:rsidR="00FE4091" w:rsidRPr="00FD514D" w:rsidDel="00FE4091">
              <w:rPr>
                <w:rFonts w:cs="Arial"/>
                <w:lang w:val="es-ES"/>
              </w:rPr>
              <w:t xml:space="preserve"> </w:t>
            </w:r>
            <w:r w:rsidR="00A36FF0" w:rsidRPr="00FD514D">
              <w:rPr>
                <w:rFonts w:cs="Arial"/>
                <w:lang w:val="es-ES"/>
              </w:rPr>
              <w:t>…</w:t>
            </w:r>
            <w:r w:rsidR="00980900">
              <w:rPr>
                <w:rFonts w:cs="Arial"/>
                <w:lang w:val="es-ES"/>
              </w:rPr>
              <w:t>”</w:t>
            </w:r>
            <w:r w:rsidR="00A36FF0" w:rsidRPr="00FD514D">
              <w:rPr>
                <w:rFonts w:cs="Arial"/>
                <w:lang w:val="es-ES"/>
              </w:rPr>
              <w:t xml:space="preserve">). </w:t>
            </w:r>
            <w:r w:rsidR="00A4646A" w:rsidRPr="00FD514D">
              <w:rPr>
                <w:rFonts w:cs="Arial"/>
                <w:lang w:val="es-ES"/>
              </w:rPr>
              <w:t xml:space="preserve">Se indica que </w:t>
            </w:r>
            <w:r w:rsidR="00A97463" w:rsidRPr="00FD514D">
              <w:rPr>
                <w:rFonts w:cs="Arial"/>
                <w:lang w:val="es-ES"/>
              </w:rPr>
              <w:t xml:space="preserve">así está previsto en el </w:t>
            </w:r>
            <w:r w:rsidR="00D77280" w:rsidRPr="00FD514D">
              <w:rPr>
                <w:rFonts w:cs="Arial"/>
                <w:lang w:val="es-ES"/>
              </w:rPr>
              <w:t>a</w:t>
            </w:r>
            <w:r w:rsidR="00762688" w:rsidRPr="00FD514D">
              <w:rPr>
                <w:rFonts w:cs="Arial"/>
                <w:lang w:val="es-ES"/>
              </w:rPr>
              <w:t>rtículo</w:t>
            </w:r>
            <w:r w:rsidR="007B2E15" w:rsidRPr="00FD514D">
              <w:rPr>
                <w:rFonts w:cs="Arial"/>
                <w:lang w:val="es-ES"/>
              </w:rPr>
              <w:t> </w:t>
            </w:r>
            <w:r w:rsidR="00A36FF0" w:rsidRPr="00FD514D">
              <w:rPr>
                <w:rFonts w:cs="Arial"/>
                <w:lang w:val="es-ES"/>
              </w:rPr>
              <w:t xml:space="preserve">5. </w:t>
            </w:r>
            <w:r w:rsidR="00A97463" w:rsidRPr="00FD514D">
              <w:rPr>
                <w:rFonts w:cs="Arial"/>
                <w:lang w:val="es-ES"/>
              </w:rPr>
              <w:t xml:space="preserve">Sin embargo, el </w:t>
            </w:r>
            <w:r w:rsidR="00D77280" w:rsidRPr="00FD514D">
              <w:rPr>
                <w:rFonts w:cs="Arial"/>
                <w:lang w:val="es-ES"/>
              </w:rPr>
              <w:t>a</w:t>
            </w:r>
            <w:r w:rsidR="00762688" w:rsidRPr="00FD514D">
              <w:rPr>
                <w:rFonts w:cs="Arial"/>
                <w:lang w:val="es-ES"/>
              </w:rPr>
              <w:t>rtículo</w:t>
            </w:r>
            <w:r w:rsidR="00A36FF0" w:rsidRPr="00FD514D">
              <w:rPr>
                <w:rFonts w:cs="Arial"/>
                <w:lang w:val="es-ES"/>
              </w:rPr>
              <w:t xml:space="preserve"> 5 </w:t>
            </w:r>
            <w:r w:rsidR="00A97463" w:rsidRPr="00FD514D">
              <w:rPr>
                <w:rFonts w:cs="Arial"/>
                <w:lang w:val="es-ES"/>
              </w:rPr>
              <w:t xml:space="preserve">se refiere a </w:t>
            </w:r>
            <w:r w:rsidR="003E3DA6" w:rsidRPr="00FD514D">
              <w:rPr>
                <w:rFonts w:cs="Arial"/>
                <w:lang w:val="es-ES"/>
              </w:rPr>
              <w:t xml:space="preserve">la </w:t>
            </w:r>
            <w:r w:rsidR="00980900">
              <w:rPr>
                <w:rFonts w:cs="Arial"/>
                <w:lang w:val="es-ES"/>
              </w:rPr>
              <w:t>“</w:t>
            </w:r>
            <w:r w:rsidR="003E3DA6" w:rsidRPr="00FD514D">
              <w:rPr>
                <w:rFonts w:cs="Arial"/>
                <w:lang w:val="es-ES"/>
              </w:rPr>
              <w:t xml:space="preserve">reunión del Comité Permanente en la que esté previsto </w:t>
            </w:r>
            <w:r w:rsidR="00E305F0" w:rsidRPr="00FD514D">
              <w:rPr>
                <w:rFonts w:cs="Arial"/>
                <w:lang w:val="es-ES"/>
              </w:rPr>
              <w:t>formular recomendaciones</w:t>
            </w:r>
            <w:r w:rsidR="00980900">
              <w:rPr>
                <w:rFonts w:cs="Arial"/>
                <w:lang w:val="es-ES"/>
              </w:rPr>
              <w:t>”</w:t>
            </w:r>
            <w:r w:rsidR="00E305F0" w:rsidRPr="00FD514D">
              <w:rPr>
                <w:rFonts w:cs="Arial"/>
                <w:lang w:val="es-ES"/>
              </w:rPr>
              <w:t xml:space="preserve">. No queda claro si el término </w:t>
            </w:r>
            <w:r w:rsidR="00855E6E">
              <w:rPr>
                <w:rFonts w:cs="Arial"/>
                <w:lang w:val="es-ES"/>
              </w:rPr>
              <w:t>‘</w:t>
            </w:r>
            <w:r w:rsidR="00E305F0" w:rsidRPr="00FD514D">
              <w:rPr>
                <w:rFonts w:cs="Arial"/>
                <w:lang w:val="es-ES"/>
              </w:rPr>
              <w:t>recomendación</w:t>
            </w:r>
            <w:r w:rsidR="00855E6E">
              <w:rPr>
                <w:rFonts w:cs="Arial"/>
                <w:lang w:val="es-ES"/>
              </w:rPr>
              <w:t>’</w:t>
            </w:r>
            <w:r w:rsidR="00E305F0" w:rsidRPr="00FD514D">
              <w:rPr>
                <w:rFonts w:cs="Arial"/>
                <w:lang w:val="es-ES"/>
              </w:rPr>
              <w:t xml:space="preserve"> se emplea en este contexto </w:t>
            </w:r>
            <w:r w:rsidR="00A03194" w:rsidRPr="00FD514D">
              <w:rPr>
                <w:rFonts w:cs="Arial"/>
                <w:lang w:val="es-ES"/>
              </w:rPr>
              <w:t>como</w:t>
            </w:r>
            <w:r w:rsidR="00E305F0" w:rsidRPr="00FD514D">
              <w:rPr>
                <w:rFonts w:cs="Arial"/>
                <w:lang w:val="es-ES"/>
              </w:rPr>
              <w:t xml:space="preserve"> sinónimo de</w:t>
            </w:r>
            <w:r w:rsidR="00A03194" w:rsidRPr="00FD514D">
              <w:rPr>
                <w:rFonts w:cs="Arial"/>
                <w:lang w:val="es-ES"/>
              </w:rPr>
              <w:t xml:space="preserve"> </w:t>
            </w:r>
            <w:r w:rsidR="00855E6E">
              <w:rPr>
                <w:rFonts w:cs="Arial"/>
                <w:lang w:val="es-ES"/>
              </w:rPr>
              <w:t>‘</w:t>
            </w:r>
            <w:r w:rsidR="00A03194" w:rsidRPr="00FD514D">
              <w:rPr>
                <w:rFonts w:cs="Arial"/>
                <w:lang w:val="es-ES"/>
              </w:rPr>
              <w:t>aprobación</w:t>
            </w:r>
            <w:r w:rsidR="00855E6E">
              <w:rPr>
                <w:rFonts w:cs="Arial"/>
                <w:lang w:val="es-ES"/>
              </w:rPr>
              <w:t>’</w:t>
            </w:r>
            <w:r w:rsidR="00A03194" w:rsidRPr="00FD514D">
              <w:rPr>
                <w:rFonts w:cs="Arial"/>
                <w:lang w:val="es-ES"/>
              </w:rPr>
              <w:t>. Esto se debería aclarar.</w:t>
            </w:r>
            <w:r w:rsidR="00A36FF0" w:rsidRPr="00FD514D">
              <w:rPr>
                <w:rFonts w:cs="Arial"/>
                <w:lang w:val="es-ES"/>
              </w:rPr>
              <w:t xml:space="preserve"> </w:t>
            </w:r>
          </w:p>
          <w:p w14:paraId="0C58E992" w14:textId="77777777" w:rsidR="00A36FF0" w:rsidRPr="00FD514D" w:rsidRDefault="00A36FF0" w:rsidP="004E4E27">
            <w:pPr>
              <w:pStyle w:val="NoSpacing"/>
              <w:ind w:left="0" w:firstLine="0"/>
              <w:rPr>
                <w:lang w:val="es-ES"/>
              </w:rPr>
            </w:pPr>
          </w:p>
          <w:p w14:paraId="4A054CFF" w14:textId="77777777" w:rsidR="00A36FF0" w:rsidRPr="00FD514D" w:rsidRDefault="00652896" w:rsidP="00F90623">
            <w:pPr>
              <w:pStyle w:val="NoSpacing"/>
              <w:ind w:left="0" w:firstLine="0"/>
              <w:rPr>
                <w:lang w:val="es-ES"/>
              </w:rPr>
            </w:pPr>
            <w:r w:rsidRPr="00FD514D">
              <w:rPr>
                <w:lang w:val="es-ES"/>
              </w:rPr>
              <w:t xml:space="preserve">En el </w:t>
            </w:r>
            <w:r w:rsidR="00D77280" w:rsidRPr="00FD514D">
              <w:rPr>
                <w:lang w:val="es-ES"/>
              </w:rPr>
              <w:t>a</w:t>
            </w:r>
            <w:r w:rsidR="00762688" w:rsidRPr="00FD514D">
              <w:rPr>
                <w:lang w:val="es-ES"/>
              </w:rPr>
              <w:t>rtículo</w:t>
            </w:r>
            <w:r w:rsidR="00A36FF0" w:rsidRPr="00FD514D">
              <w:rPr>
                <w:lang w:val="es-ES"/>
              </w:rPr>
              <w:t xml:space="preserve"> 34.2 </w:t>
            </w:r>
            <w:r w:rsidR="007C0D44" w:rsidRPr="00FD514D">
              <w:rPr>
                <w:lang w:val="es-ES"/>
              </w:rPr>
              <w:t>se indica</w:t>
            </w:r>
            <w:r w:rsidR="008D7FE7" w:rsidRPr="00FD514D">
              <w:rPr>
                <w:lang w:val="es-ES"/>
              </w:rPr>
              <w:t xml:space="preserve"> que </w:t>
            </w:r>
            <w:r w:rsidR="007C0D44" w:rsidRPr="00FD514D">
              <w:rPr>
                <w:lang w:val="es-ES"/>
              </w:rPr>
              <w:t xml:space="preserve">las propuestas pueden ser redactadas por </w:t>
            </w:r>
            <w:r w:rsidR="008D7FE7" w:rsidRPr="00FD514D">
              <w:rPr>
                <w:lang w:val="es-ES"/>
              </w:rPr>
              <w:t xml:space="preserve">la Secretaría o </w:t>
            </w:r>
            <w:r w:rsidR="00D77280" w:rsidRPr="00FD514D">
              <w:rPr>
                <w:lang w:val="es-ES"/>
              </w:rPr>
              <w:t xml:space="preserve">por </w:t>
            </w:r>
            <w:r w:rsidRPr="00FD514D">
              <w:rPr>
                <w:lang w:val="es-ES"/>
              </w:rPr>
              <w:t xml:space="preserve">un </w:t>
            </w:r>
            <w:r w:rsidR="008D7FE7" w:rsidRPr="00FD514D">
              <w:rPr>
                <w:lang w:val="es-ES"/>
              </w:rPr>
              <w:t>órgano</w:t>
            </w:r>
            <w:r w:rsidRPr="00FD514D">
              <w:rPr>
                <w:lang w:val="es-ES"/>
              </w:rPr>
              <w:t xml:space="preserve"> subsidiario.</w:t>
            </w:r>
            <w:r w:rsidR="00A36FF0" w:rsidRPr="00FD514D">
              <w:rPr>
                <w:lang w:val="es-ES"/>
              </w:rPr>
              <w:t xml:space="preserve"> </w:t>
            </w:r>
          </w:p>
          <w:p w14:paraId="4867AD00" w14:textId="77777777" w:rsidR="00A36FF0" w:rsidRPr="00FD514D" w:rsidRDefault="00A36FF0" w:rsidP="00F90623">
            <w:pPr>
              <w:pStyle w:val="NoSpacing"/>
              <w:ind w:left="0" w:firstLine="0"/>
              <w:rPr>
                <w:lang w:val="es-ES"/>
              </w:rPr>
            </w:pPr>
          </w:p>
          <w:p w14:paraId="4C64B516" w14:textId="77777777" w:rsidR="00AC5D7C" w:rsidRPr="00FD514D" w:rsidRDefault="00583F6A" w:rsidP="00FE030C">
            <w:pPr>
              <w:pStyle w:val="NoSpacing"/>
              <w:ind w:left="0" w:firstLine="0"/>
              <w:rPr>
                <w:lang w:val="es-ES"/>
              </w:rPr>
            </w:pPr>
            <w:r w:rsidRPr="00FD514D">
              <w:rPr>
                <w:lang w:val="es-ES"/>
              </w:rPr>
              <w:t xml:space="preserve">Se señala que es una práctica habitual </w:t>
            </w:r>
            <w:r w:rsidR="00AE0E1B" w:rsidRPr="00FD514D">
              <w:rPr>
                <w:lang w:val="es-ES"/>
              </w:rPr>
              <w:t>que la Secretaría redacte propuestas</w:t>
            </w:r>
            <w:r w:rsidR="00186614" w:rsidRPr="00FD514D">
              <w:rPr>
                <w:lang w:val="es-ES"/>
              </w:rPr>
              <w:t>,</w:t>
            </w:r>
            <w:r w:rsidR="00AE0E1B" w:rsidRPr="00FD514D">
              <w:rPr>
                <w:lang w:val="es-ES"/>
              </w:rPr>
              <w:t xml:space="preserve"> según instrucciones de una </w:t>
            </w:r>
            <w:r w:rsidR="0041603F" w:rsidRPr="00FD514D">
              <w:rPr>
                <w:lang w:val="es-ES"/>
              </w:rPr>
              <w:t>Parte Contratante o de un órgano subsidiario</w:t>
            </w:r>
            <w:r w:rsidR="00186614" w:rsidRPr="00FD514D">
              <w:rPr>
                <w:lang w:val="es-ES"/>
              </w:rPr>
              <w:t>,</w:t>
            </w:r>
            <w:r w:rsidR="001C3B32" w:rsidRPr="00FD514D">
              <w:rPr>
                <w:lang w:val="es-ES"/>
              </w:rPr>
              <w:t xml:space="preserve"> y </w:t>
            </w:r>
            <w:r w:rsidR="00AC5D7C" w:rsidRPr="00FD514D">
              <w:rPr>
                <w:lang w:val="es-ES"/>
              </w:rPr>
              <w:t>las transmit</w:t>
            </w:r>
            <w:r w:rsidR="00186614" w:rsidRPr="00FD514D">
              <w:rPr>
                <w:lang w:val="es-ES"/>
              </w:rPr>
              <w:t>a</w:t>
            </w:r>
            <w:r w:rsidR="00AC5D7C" w:rsidRPr="00FD514D">
              <w:rPr>
                <w:lang w:val="es-ES"/>
              </w:rPr>
              <w:t xml:space="preserve"> </w:t>
            </w:r>
            <w:r w:rsidR="00186614" w:rsidRPr="00FD514D">
              <w:rPr>
                <w:lang w:val="es-ES"/>
              </w:rPr>
              <w:t xml:space="preserve">posteriormente </w:t>
            </w:r>
            <w:r w:rsidR="00AC5D7C" w:rsidRPr="00FD514D">
              <w:rPr>
                <w:lang w:val="es-ES"/>
              </w:rPr>
              <w:t>al Comité Permanente/ la COP/ las Partes Contratantes.</w:t>
            </w:r>
          </w:p>
          <w:p w14:paraId="4E83EFE6" w14:textId="3071D898" w:rsidR="00A36FF0" w:rsidRPr="00FD514D" w:rsidRDefault="00341D1A" w:rsidP="00FE030C">
            <w:pPr>
              <w:pStyle w:val="NoSpacing"/>
              <w:ind w:left="0" w:firstLine="0"/>
              <w:rPr>
                <w:lang w:val="es-ES"/>
              </w:rPr>
            </w:pPr>
            <w:r w:rsidRPr="00FD514D">
              <w:rPr>
                <w:lang w:val="es-ES"/>
              </w:rPr>
              <w:t xml:space="preserve">Se debe tener en cuenta </w:t>
            </w:r>
            <w:r w:rsidR="00AC5D7C" w:rsidRPr="00FD514D">
              <w:rPr>
                <w:lang w:val="es-ES"/>
              </w:rPr>
              <w:t>que</w:t>
            </w:r>
            <w:r w:rsidR="00CA434F" w:rsidRPr="00FD514D">
              <w:rPr>
                <w:lang w:val="es-ES"/>
              </w:rPr>
              <w:t xml:space="preserve"> poner</w:t>
            </w:r>
            <w:r w:rsidR="00D72163" w:rsidRPr="00FD514D">
              <w:rPr>
                <w:lang w:val="es-ES"/>
              </w:rPr>
              <w:t xml:space="preserve"> </w:t>
            </w:r>
            <w:r w:rsidR="00CA434F" w:rsidRPr="00FD514D">
              <w:rPr>
                <w:lang w:val="es-ES"/>
              </w:rPr>
              <w:t>las</w:t>
            </w:r>
            <w:r w:rsidR="00D72163" w:rsidRPr="00FD514D">
              <w:rPr>
                <w:lang w:val="es-ES"/>
              </w:rPr>
              <w:t xml:space="preserve"> propuestas</w:t>
            </w:r>
            <w:r w:rsidR="00CA434F" w:rsidRPr="00FD514D">
              <w:rPr>
                <w:lang w:val="es-ES"/>
              </w:rPr>
              <w:t xml:space="preserve"> a disposición de estas entidades </w:t>
            </w:r>
            <w:r w:rsidR="00CC47CF" w:rsidRPr="00FD514D">
              <w:rPr>
                <w:lang w:val="es-ES"/>
              </w:rPr>
              <w:t>es</w:t>
            </w:r>
            <w:r w:rsidR="00CA434F" w:rsidRPr="00FD514D">
              <w:rPr>
                <w:lang w:val="es-ES"/>
              </w:rPr>
              <w:t xml:space="preserve"> un acto </w:t>
            </w:r>
            <w:r w:rsidR="00CC47CF" w:rsidRPr="00FD514D">
              <w:rPr>
                <w:lang w:val="es-ES"/>
              </w:rPr>
              <w:t xml:space="preserve">de </w:t>
            </w:r>
            <w:r w:rsidR="00AD05E1" w:rsidRPr="00FD514D">
              <w:rPr>
                <w:lang w:val="es-ES"/>
              </w:rPr>
              <w:t>carácter</w:t>
            </w:r>
            <w:r w:rsidR="00377512" w:rsidRPr="00FD514D">
              <w:rPr>
                <w:lang w:val="es-ES"/>
              </w:rPr>
              <w:t xml:space="preserve"> </w:t>
            </w:r>
            <w:r w:rsidR="00CA434F" w:rsidRPr="00FD514D">
              <w:rPr>
                <w:lang w:val="es-ES"/>
              </w:rPr>
              <w:t xml:space="preserve">administrativo </w:t>
            </w:r>
            <w:r w:rsidR="00277CEA" w:rsidRPr="00FD514D">
              <w:rPr>
                <w:lang w:val="es-ES"/>
              </w:rPr>
              <w:t xml:space="preserve">y no </w:t>
            </w:r>
            <w:r w:rsidR="00CC47CF" w:rsidRPr="00FD514D">
              <w:rPr>
                <w:lang w:val="es-ES"/>
              </w:rPr>
              <w:t>equivale</w:t>
            </w:r>
            <w:r w:rsidRPr="00FD514D">
              <w:rPr>
                <w:lang w:val="es-ES"/>
              </w:rPr>
              <w:t xml:space="preserve"> a</w:t>
            </w:r>
            <w:r w:rsidR="00CC47CF" w:rsidRPr="00FD514D">
              <w:rPr>
                <w:lang w:val="es-ES"/>
              </w:rPr>
              <w:t xml:space="preserve"> </w:t>
            </w:r>
            <w:r w:rsidR="00855E6E">
              <w:rPr>
                <w:lang w:val="es-ES"/>
              </w:rPr>
              <w:t>‘</w:t>
            </w:r>
            <w:r w:rsidR="00CC47CF" w:rsidRPr="00FD514D">
              <w:rPr>
                <w:lang w:val="es-ES"/>
              </w:rPr>
              <w:t>presentar</w:t>
            </w:r>
            <w:r w:rsidR="00855E6E">
              <w:rPr>
                <w:lang w:val="es-ES"/>
              </w:rPr>
              <w:t>’</w:t>
            </w:r>
            <w:r w:rsidR="00CC47CF" w:rsidRPr="00FD514D">
              <w:rPr>
                <w:lang w:val="es-ES"/>
              </w:rPr>
              <w:t xml:space="preserve"> una propuesta (en los casos en que </w:t>
            </w:r>
            <w:r w:rsidR="00855E6E">
              <w:rPr>
                <w:lang w:val="es-ES"/>
              </w:rPr>
              <w:t>‘</w:t>
            </w:r>
            <w:r w:rsidR="00CC47CF" w:rsidRPr="00FD514D">
              <w:rPr>
                <w:lang w:val="es-ES"/>
              </w:rPr>
              <w:t>presentar</w:t>
            </w:r>
            <w:r w:rsidR="00855E6E">
              <w:rPr>
                <w:lang w:val="es-ES"/>
              </w:rPr>
              <w:t>’</w:t>
            </w:r>
            <w:r w:rsidR="00CC47CF" w:rsidRPr="00FD514D">
              <w:rPr>
                <w:lang w:val="es-ES"/>
              </w:rPr>
              <w:t xml:space="preserve"> se</w:t>
            </w:r>
            <w:r w:rsidR="000E4A7E" w:rsidRPr="00FD514D">
              <w:rPr>
                <w:lang w:val="es-ES"/>
              </w:rPr>
              <w:t xml:space="preserve"> emplea como</w:t>
            </w:r>
            <w:r w:rsidR="00CC47CF" w:rsidRPr="00FD514D">
              <w:rPr>
                <w:lang w:val="es-ES"/>
              </w:rPr>
              <w:t xml:space="preserve"> sinónimo de </w:t>
            </w:r>
            <w:r w:rsidR="00855E6E">
              <w:rPr>
                <w:lang w:val="es-ES"/>
              </w:rPr>
              <w:t>‘</w:t>
            </w:r>
            <w:r w:rsidR="00CC47CF" w:rsidRPr="00FD514D">
              <w:rPr>
                <w:lang w:val="es-ES"/>
              </w:rPr>
              <w:t>patrocinar</w:t>
            </w:r>
            <w:r w:rsidR="00855E6E">
              <w:rPr>
                <w:lang w:val="es-ES"/>
              </w:rPr>
              <w:t>’</w:t>
            </w:r>
            <w:r w:rsidR="00EA1F86" w:rsidRPr="00FD514D">
              <w:rPr>
                <w:lang w:val="es-ES"/>
              </w:rPr>
              <w:t>).</w:t>
            </w:r>
            <w:r w:rsidR="00502459" w:rsidRPr="00FD514D">
              <w:rPr>
                <w:lang w:val="es-ES"/>
              </w:rPr>
              <w:t xml:space="preserve"> </w:t>
            </w:r>
            <w:r w:rsidR="00EA1F86" w:rsidRPr="00FD514D">
              <w:rPr>
                <w:lang w:val="es-ES"/>
              </w:rPr>
              <w:t xml:space="preserve">No obstante, este proceso ha </w:t>
            </w:r>
            <w:r w:rsidR="000E4A7E" w:rsidRPr="00FD514D">
              <w:rPr>
                <w:lang w:val="es-ES"/>
              </w:rPr>
              <w:t>generado</w:t>
            </w:r>
            <w:r w:rsidR="00EA1F86" w:rsidRPr="00FD514D">
              <w:rPr>
                <w:lang w:val="es-ES"/>
              </w:rPr>
              <w:t xml:space="preserve"> cierta confusión. </w:t>
            </w:r>
          </w:p>
          <w:p w14:paraId="36971B67" w14:textId="77777777" w:rsidR="00A36FF0" w:rsidRPr="00FD514D" w:rsidRDefault="00A36FF0" w:rsidP="00FE030C">
            <w:pPr>
              <w:pStyle w:val="NoSpacing"/>
              <w:ind w:left="0" w:firstLine="0"/>
              <w:rPr>
                <w:lang w:val="es-ES"/>
              </w:rPr>
            </w:pPr>
          </w:p>
          <w:p w14:paraId="5E0317E1" w14:textId="77777777" w:rsidR="00A36FF0" w:rsidRPr="00FD514D" w:rsidRDefault="00077829" w:rsidP="00FE030C">
            <w:pPr>
              <w:pStyle w:val="NoSpacing"/>
              <w:ind w:left="0" w:firstLine="0"/>
              <w:rPr>
                <w:lang w:val="es-ES"/>
              </w:rPr>
            </w:pPr>
            <w:r w:rsidRPr="00FD514D">
              <w:rPr>
                <w:lang w:val="es-ES"/>
              </w:rPr>
              <w:lastRenderedPageBreak/>
              <w:t xml:space="preserve">Los </w:t>
            </w:r>
            <w:r w:rsidR="000E4A7E" w:rsidRPr="00FD514D">
              <w:rPr>
                <w:lang w:val="es-ES"/>
              </w:rPr>
              <w:t>a</w:t>
            </w:r>
            <w:r w:rsidR="00762688" w:rsidRPr="00FD514D">
              <w:rPr>
                <w:lang w:val="es-ES"/>
              </w:rPr>
              <w:t>rtículo</w:t>
            </w:r>
            <w:r w:rsidR="00A36FF0" w:rsidRPr="00FD514D">
              <w:rPr>
                <w:lang w:val="es-ES"/>
              </w:rPr>
              <w:t xml:space="preserve">s 34.4 </w:t>
            </w:r>
            <w:r w:rsidRPr="00FD514D">
              <w:rPr>
                <w:lang w:val="es-ES"/>
              </w:rPr>
              <w:t>y</w:t>
            </w:r>
            <w:r w:rsidR="00502459" w:rsidRPr="00FD514D">
              <w:rPr>
                <w:lang w:val="es-ES"/>
              </w:rPr>
              <w:t xml:space="preserve"> </w:t>
            </w:r>
            <w:r w:rsidR="00A36FF0" w:rsidRPr="00FD514D">
              <w:rPr>
                <w:lang w:val="es-ES"/>
              </w:rPr>
              <w:t xml:space="preserve">34.6 </w:t>
            </w:r>
            <w:r w:rsidR="008455F4" w:rsidRPr="00FD514D">
              <w:rPr>
                <w:lang w:val="es-ES"/>
              </w:rPr>
              <w:t xml:space="preserve">se refieren a propuestas nuevas. No queda claro por qué los requisitos </w:t>
            </w:r>
            <w:r w:rsidR="002A534B" w:rsidRPr="00FD514D">
              <w:rPr>
                <w:lang w:val="es-ES"/>
              </w:rPr>
              <w:t>estén repartidos en</w:t>
            </w:r>
            <w:r w:rsidR="007E22D5" w:rsidRPr="00FD514D">
              <w:rPr>
                <w:lang w:val="es-ES"/>
              </w:rPr>
              <w:t>tre</w:t>
            </w:r>
            <w:r w:rsidR="008455F4" w:rsidRPr="00FD514D">
              <w:rPr>
                <w:lang w:val="es-ES"/>
              </w:rPr>
              <w:t xml:space="preserve"> dos sub</w:t>
            </w:r>
            <w:r w:rsidR="00762688" w:rsidRPr="00FD514D">
              <w:rPr>
                <w:lang w:val="es-ES"/>
              </w:rPr>
              <w:t>artículo</w:t>
            </w:r>
            <w:r w:rsidR="008455F4" w:rsidRPr="00FD514D">
              <w:rPr>
                <w:lang w:val="es-ES"/>
              </w:rPr>
              <w:t xml:space="preserve">s. </w:t>
            </w:r>
          </w:p>
        </w:tc>
        <w:tc>
          <w:tcPr>
            <w:tcW w:w="3332" w:type="dxa"/>
          </w:tcPr>
          <w:p w14:paraId="37B80E4C" w14:textId="283CC396" w:rsidR="00A36FF0" w:rsidRPr="00FD514D" w:rsidRDefault="00762688" w:rsidP="00D50720">
            <w:pPr>
              <w:ind w:left="0" w:firstLine="0"/>
              <w:rPr>
                <w:rFonts w:cs="Arial"/>
                <w:lang w:val="es-ES"/>
              </w:rPr>
            </w:pPr>
            <w:r w:rsidRPr="00FD514D">
              <w:rPr>
                <w:rFonts w:cs="Arial"/>
                <w:lang w:val="es-ES"/>
              </w:rPr>
              <w:lastRenderedPageBreak/>
              <w:t>Artículo</w:t>
            </w:r>
            <w:r w:rsidR="00A36FF0" w:rsidRPr="00FD514D">
              <w:rPr>
                <w:rFonts w:cs="Arial"/>
                <w:lang w:val="es-ES"/>
              </w:rPr>
              <w:t xml:space="preserve"> 34.1: </w:t>
            </w:r>
            <w:r w:rsidR="00EF6799" w:rsidRPr="00FD514D">
              <w:rPr>
                <w:rFonts w:cs="Arial"/>
                <w:lang w:val="es-ES"/>
              </w:rPr>
              <w:t xml:space="preserve">Si las propuestas deben ser aprobadas por el Comité Permanente </w:t>
            </w:r>
            <w:r w:rsidR="00957E13" w:rsidRPr="00FD514D">
              <w:rPr>
                <w:rFonts w:cs="Arial"/>
                <w:lang w:val="es-ES"/>
              </w:rPr>
              <w:t xml:space="preserve">antes de ser presentadas a la COP, esto se debería indicar explícitamente en el texto de </w:t>
            </w:r>
            <w:r w:rsidR="00377512" w:rsidRPr="00FD514D">
              <w:rPr>
                <w:rFonts w:cs="Arial"/>
                <w:lang w:val="es-ES"/>
              </w:rPr>
              <w:t>est</w:t>
            </w:r>
            <w:r w:rsidR="00957E13" w:rsidRPr="00FD514D">
              <w:rPr>
                <w:rFonts w:cs="Arial"/>
                <w:lang w:val="es-ES"/>
              </w:rPr>
              <w:t xml:space="preserve">os </w:t>
            </w:r>
            <w:r w:rsidRPr="00FD514D">
              <w:rPr>
                <w:rFonts w:cs="Arial"/>
                <w:lang w:val="es-ES"/>
              </w:rPr>
              <w:t>artículo</w:t>
            </w:r>
            <w:r w:rsidR="00957E13" w:rsidRPr="00FD514D">
              <w:rPr>
                <w:rFonts w:cs="Arial"/>
                <w:lang w:val="es-ES"/>
              </w:rPr>
              <w:t xml:space="preserve">s. No obstante, posiblemente sea conveniente </w:t>
            </w:r>
            <w:r w:rsidR="00BA48C9" w:rsidRPr="00FD514D">
              <w:rPr>
                <w:rFonts w:cs="Arial"/>
                <w:lang w:val="es-ES"/>
              </w:rPr>
              <w:t xml:space="preserve">plantear la eficiencia de exigir que las propuestas sean </w:t>
            </w:r>
            <w:r w:rsidR="00855E6E">
              <w:rPr>
                <w:rFonts w:cs="Arial"/>
                <w:lang w:val="es-ES"/>
              </w:rPr>
              <w:t>‘</w:t>
            </w:r>
            <w:r w:rsidR="00BA48C9" w:rsidRPr="00FD514D">
              <w:rPr>
                <w:rFonts w:cs="Arial"/>
                <w:lang w:val="es-ES"/>
              </w:rPr>
              <w:t>aprobadas</w:t>
            </w:r>
            <w:r w:rsidR="00855E6E">
              <w:rPr>
                <w:rFonts w:cs="Arial"/>
                <w:lang w:val="es-ES"/>
              </w:rPr>
              <w:t>’</w:t>
            </w:r>
            <w:r w:rsidR="00BA48C9" w:rsidRPr="00FD514D">
              <w:rPr>
                <w:rFonts w:cs="Arial"/>
                <w:lang w:val="es-ES"/>
              </w:rPr>
              <w:t xml:space="preserve"> </w:t>
            </w:r>
            <w:r w:rsidR="001E2D88" w:rsidRPr="00FD514D">
              <w:rPr>
                <w:rFonts w:cs="Arial"/>
                <w:lang w:val="es-ES"/>
              </w:rPr>
              <w:t xml:space="preserve">previamente </w:t>
            </w:r>
            <w:r w:rsidR="00BA48C9" w:rsidRPr="00FD514D">
              <w:rPr>
                <w:rFonts w:cs="Arial"/>
                <w:lang w:val="es-ES"/>
              </w:rPr>
              <w:t>por el Comité Permanente antes de ser examinadas por la COP, sobre todo porque es posible que</w:t>
            </w:r>
            <w:r w:rsidR="00E50EFF" w:rsidRPr="00FD514D">
              <w:rPr>
                <w:rFonts w:cs="Arial"/>
                <w:lang w:val="es-ES"/>
              </w:rPr>
              <w:t xml:space="preserve"> </w:t>
            </w:r>
            <w:r w:rsidR="0083307C" w:rsidRPr="00FD514D">
              <w:rPr>
                <w:rFonts w:cs="Arial"/>
                <w:lang w:val="es-ES"/>
              </w:rPr>
              <w:t xml:space="preserve">antes de ser examinadas por el Comité Permanente, </w:t>
            </w:r>
            <w:r w:rsidR="00E50EFF" w:rsidRPr="00FD514D">
              <w:rPr>
                <w:rFonts w:cs="Arial"/>
                <w:lang w:val="es-ES"/>
              </w:rPr>
              <w:t>también se</w:t>
            </w:r>
            <w:r w:rsidR="001E2D88" w:rsidRPr="00FD514D">
              <w:rPr>
                <w:rFonts w:cs="Arial"/>
                <w:lang w:val="es-ES"/>
              </w:rPr>
              <w:t xml:space="preserve">an </w:t>
            </w:r>
            <w:r w:rsidR="00E50EFF" w:rsidRPr="00FD514D">
              <w:rPr>
                <w:rFonts w:cs="Arial"/>
                <w:lang w:val="es-ES"/>
              </w:rPr>
              <w:t>examinadas por el GECT</w:t>
            </w:r>
            <w:r w:rsidR="0078717A" w:rsidRPr="00FD514D">
              <w:rPr>
                <w:rFonts w:cs="Arial"/>
                <w:lang w:val="es-ES"/>
              </w:rPr>
              <w:t>,</w:t>
            </w:r>
            <w:r w:rsidR="00E50EFF" w:rsidRPr="00FD514D">
              <w:rPr>
                <w:rFonts w:cs="Arial"/>
                <w:lang w:val="es-ES"/>
              </w:rPr>
              <w:t xml:space="preserve"> y </w:t>
            </w:r>
            <w:r w:rsidR="0083307C" w:rsidRPr="00FD514D">
              <w:rPr>
                <w:rFonts w:cs="Arial"/>
                <w:lang w:val="es-ES"/>
              </w:rPr>
              <w:t>en</w:t>
            </w:r>
            <w:r w:rsidR="00E50EFF" w:rsidRPr="00FD514D">
              <w:rPr>
                <w:rFonts w:cs="Arial"/>
                <w:lang w:val="es-ES"/>
              </w:rPr>
              <w:t xml:space="preserve"> cada una de las cinco reuniones regionales. Est</w:t>
            </w:r>
            <w:r w:rsidR="00D62BDC" w:rsidRPr="00FD514D">
              <w:rPr>
                <w:rFonts w:cs="Arial"/>
                <w:lang w:val="es-ES"/>
              </w:rPr>
              <w:t xml:space="preserve">as capas </w:t>
            </w:r>
            <w:r w:rsidR="009A2E4C" w:rsidRPr="00FD514D">
              <w:rPr>
                <w:rFonts w:cs="Arial"/>
                <w:lang w:val="es-ES"/>
              </w:rPr>
              <w:t>procedim</w:t>
            </w:r>
            <w:r w:rsidR="00D62BDC" w:rsidRPr="00FD514D">
              <w:rPr>
                <w:rFonts w:cs="Arial"/>
                <w:lang w:val="es-ES"/>
              </w:rPr>
              <w:t>entales no son</w:t>
            </w:r>
            <w:r w:rsidR="00644259" w:rsidRPr="00FD514D">
              <w:rPr>
                <w:rFonts w:cs="Arial"/>
                <w:lang w:val="es-ES"/>
              </w:rPr>
              <w:t xml:space="preserve"> compatibles con </w:t>
            </w:r>
            <w:r w:rsidR="00A36FF0" w:rsidRPr="00FD514D">
              <w:rPr>
                <w:rFonts w:cs="Arial"/>
                <w:lang w:val="es-ES"/>
              </w:rPr>
              <w:t>ot</w:t>
            </w:r>
            <w:r w:rsidR="00F90D85" w:rsidRPr="00FD514D">
              <w:rPr>
                <w:rFonts w:cs="Arial"/>
                <w:lang w:val="es-ES"/>
              </w:rPr>
              <w:t>ras Convenciones</w:t>
            </w:r>
            <w:r w:rsidR="00A7236D" w:rsidRPr="00FD514D">
              <w:rPr>
                <w:rFonts w:cs="Arial"/>
                <w:lang w:val="es-ES"/>
              </w:rPr>
              <w:t xml:space="preserve"> que solo examinan las propuestas una vez</w:t>
            </w:r>
            <w:r w:rsidR="005553F4" w:rsidRPr="00FD514D">
              <w:rPr>
                <w:rFonts w:cs="Arial"/>
                <w:lang w:val="es-ES"/>
              </w:rPr>
              <w:t>,</w:t>
            </w:r>
            <w:r w:rsidR="00A7236D" w:rsidRPr="00FD514D">
              <w:rPr>
                <w:rFonts w:cs="Arial"/>
                <w:lang w:val="es-ES"/>
              </w:rPr>
              <w:t xml:space="preserve"> en la COP. (Cabe señalar </w:t>
            </w:r>
            <w:r w:rsidR="0078717A" w:rsidRPr="00FD514D">
              <w:rPr>
                <w:rFonts w:cs="Arial"/>
                <w:lang w:val="es-ES"/>
              </w:rPr>
              <w:t>que,</w:t>
            </w:r>
            <w:r w:rsidR="00A7236D" w:rsidRPr="00FD514D">
              <w:rPr>
                <w:rFonts w:cs="Arial"/>
                <w:lang w:val="es-ES"/>
              </w:rPr>
              <w:t xml:space="preserve"> si el CP no va a estar implicado, </w:t>
            </w:r>
            <w:r w:rsidR="009A2E4C" w:rsidRPr="00FD514D">
              <w:rPr>
                <w:rFonts w:cs="Arial"/>
                <w:lang w:val="es-ES"/>
              </w:rPr>
              <w:t>se tendrá que hacer una enmienda para suprimir la referencia al CP.)</w:t>
            </w:r>
            <w:r w:rsidR="00502459" w:rsidRPr="00FD514D">
              <w:rPr>
                <w:rFonts w:cs="Arial"/>
                <w:lang w:val="es-ES"/>
              </w:rPr>
              <w:t xml:space="preserve"> </w:t>
            </w:r>
          </w:p>
          <w:p w14:paraId="2B09413E" w14:textId="77777777" w:rsidR="00A36FF0" w:rsidRPr="00FD514D" w:rsidRDefault="00A36FF0" w:rsidP="00D50720">
            <w:pPr>
              <w:ind w:left="0" w:firstLine="0"/>
              <w:rPr>
                <w:rFonts w:cs="Arial"/>
                <w:lang w:val="es-ES"/>
              </w:rPr>
            </w:pPr>
          </w:p>
          <w:p w14:paraId="1D18B3E1" w14:textId="77777777" w:rsidR="00485415" w:rsidRPr="00FD514D" w:rsidRDefault="00516948" w:rsidP="00D50720">
            <w:pPr>
              <w:ind w:left="0" w:firstLine="0"/>
              <w:rPr>
                <w:rFonts w:cs="Arial"/>
                <w:lang w:val="es-ES"/>
              </w:rPr>
            </w:pPr>
            <w:r w:rsidRPr="00FD514D">
              <w:rPr>
                <w:rFonts w:cs="Arial"/>
                <w:lang w:val="es-ES"/>
              </w:rPr>
              <w:t xml:space="preserve">Con respecto al </w:t>
            </w:r>
            <w:r w:rsidR="005553F4" w:rsidRPr="00FD514D">
              <w:rPr>
                <w:rFonts w:cs="Arial"/>
                <w:lang w:val="es-ES"/>
              </w:rPr>
              <w:t>a</w:t>
            </w:r>
            <w:r w:rsidR="00762688" w:rsidRPr="00FD514D">
              <w:rPr>
                <w:rFonts w:cs="Arial"/>
                <w:lang w:val="es-ES"/>
              </w:rPr>
              <w:t>rtículo</w:t>
            </w:r>
            <w:r w:rsidRPr="00FD514D">
              <w:rPr>
                <w:rFonts w:cs="Arial"/>
                <w:lang w:val="es-ES"/>
              </w:rPr>
              <w:t xml:space="preserve"> 34.2 y a las propuestas en general:</w:t>
            </w:r>
            <w:r w:rsidR="00502459" w:rsidRPr="00FD514D">
              <w:rPr>
                <w:rFonts w:cs="Arial"/>
                <w:lang w:val="es-ES"/>
              </w:rPr>
              <w:t xml:space="preserve"> </w:t>
            </w:r>
            <w:r w:rsidRPr="00FD514D">
              <w:rPr>
                <w:rFonts w:cs="Arial"/>
                <w:lang w:val="es-ES"/>
              </w:rPr>
              <w:t xml:space="preserve">véase la recomendación </w:t>
            </w:r>
            <w:r w:rsidR="00A10FBE" w:rsidRPr="00FD514D">
              <w:rPr>
                <w:rFonts w:cs="Arial"/>
                <w:lang w:val="es-ES"/>
              </w:rPr>
              <w:t>indicada en la fila 3 relativa a la redacción y presentación de propuestas.</w:t>
            </w:r>
            <w:r w:rsidR="00502459" w:rsidRPr="00FD514D">
              <w:rPr>
                <w:rFonts w:cs="Arial"/>
                <w:lang w:val="es-ES"/>
              </w:rPr>
              <w:t xml:space="preserve"> </w:t>
            </w:r>
          </w:p>
          <w:p w14:paraId="57B975BC" w14:textId="77777777" w:rsidR="00A36FF0" w:rsidRPr="00FD514D" w:rsidRDefault="00A36FF0" w:rsidP="00D50720">
            <w:pPr>
              <w:ind w:left="0" w:firstLine="0"/>
              <w:rPr>
                <w:rFonts w:cs="Arial"/>
                <w:lang w:val="es-ES"/>
              </w:rPr>
            </w:pPr>
          </w:p>
          <w:p w14:paraId="00E69394" w14:textId="11200E61" w:rsidR="00A36FF0" w:rsidRPr="00FD514D" w:rsidRDefault="00A10FBE" w:rsidP="00D50720">
            <w:pPr>
              <w:ind w:left="0" w:firstLine="0"/>
              <w:rPr>
                <w:rFonts w:cs="Arial"/>
                <w:lang w:val="es-ES"/>
              </w:rPr>
            </w:pPr>
            <w:r w:rsidRPr="00FD514D">
              <w:rPr>
                <w:lang w:val="es-ES"/>
              </w:rPr>
              <w:t xml:space="preserve">Véase también la recomendación relativa a la definición de </w:t>
            </w:r>
            <w:r w:rsidR="00855E6E">
              <w:rPr>
                <w:lang w:val="es-ES"/>
              </w:rPr>
              <w:t>‘</w:t>
            </w:r>
            <w:r w:rsidRPr="00FD514D">
              <w:rPr>
                <w:lang w:val="es-ES"/>
              </w:rPr>
              <w:t>propuesta</w:t>
            </w:r>
            <w:r w:rsidR="00855E6E">
              <w:rPr>
                <w:lang w:val="es-ES"/>
              </w:rPr>
              <w:t>’</w:t>
            </w:r>
            <w:r w:rsidRPr="00FD514D">
              <w:rPr>
                <w:lang w:val="es-ES"/>
              </w:rPr>
              <w:t xml:space="preserve"> en el </w:t>
            </w:r>
            <w:r w:rsidR="005553F4" w:rsidRPr="00FD514D">
              <w:rPr>
                <w:lang w:val="es-ES"/>
              </w:rPr>
              <w:t>a</w:t>
            </w:r>
            <w:r w:rsidR="00762688" w:rsidRPr="00FD514D">
              <w:rPr>
                <w:lang w:val="es-ES"/>
              </w:rPr>
              <w:t>rtículo</w:t>
            </w:r>
            <w:r w:rsidR="0070088C" w:rsidRPr="00FD514D">
              <w:rPr>
                <w:lang w:val="es-ES"/>
              </w:rPr>
              <w:t> </w:t>
            </w:r>
            <w:r w:rsidR="00A36FF0" w:rsidRPr="00FD514D">
              <w:rPr>
                <w:lang w:val="es-ES"/>
              </w:rPr>
              <w:t>2</w:t>
            </w:r>
            <w:r w:rsidR="0070088C" w:rsidRPr="00FD514D">
              <w:rPr>
                <w:lang w:val="es-ES"/>
              </w:rPr>
              <w:t>.</w:t>
            </w:r>
            <w:r w:rsidR="00A36FF0" w:rsidRPr="00FD514D">
              <w:rPr>
                <w:lang w:val="es-ES"/>
              </w:rPr>
              <w:t>g)</w:t>
            </w:r>
            <w:r w:rsidR="00BD4A0D" w:rsidRPr="00FD514D">
              <w:rPr>
                <w:lang w:val="es-ES"/>
              </w:rPr>
              <w:t xml:space="preserve">, </w:t>
            </w:r>
            <w:r w:rsidRPr="00FD514D">
              <w:rPr>
                <w:lang w:val="es-ES"/>
              </w:rPr>
              <w:t xml:space="preserve">así como la recomendación </w:t>
            </w:r>
            <w:r w:rsidR="00440C32" w:rsidRPr="00FD514D">
              <w:rPr>
                <w:lang w:val="es-ES"/>
              </w:rPr>
              <w:t xml:space="preserve">referente a la inclusión de una definición del término </w:t>
            </w:r>
            <w:r w:rsidR="00855E6E">
              <w:rPr>
                <w:lang w:val="es-ES"/>
              </w:rPr>
              <w:t>‘</w:t>
            </w:r>
            <w:r w:rsidR="00440C32" w:rsidRPr="00FD514D">
              <w:rPr>
                <w:lang w:val="es-ES"/>
              </w:rPr>
              <w:t>patrocinar</w:t>
            </w:r>
            <w:r w:rsidR="00855E6E">
              <w:rPr>
                <w:lang w:val="es-ES"/>
              </w:rPr>
              <w:t>’</w:t>
            </w:r>
            <w:r w:rsidR="00440C32" w:rsidRPr="00FD514D">
              <w:rPr>
                <w:lang w:val="es-ES"/>
              </w:rPr>
              <w:t>.</w:t>
            </w:r>
            <w:r w:rsidR="00A36FF0" w:rsidRPr="00FD514D">
              <w:rPr>
                <w:lang w:val="es-ES"/>
              </w:rPr>
              <w:t xml:space="preserve"> </w:t>
            </w:r>
          </w:p>
          <w:p w14:paraId="28B845EC" w14:textId="77777777" w:rsidR="00A36FF0" w:rsidRPr="00FD514D" w:rsidRDefault="00A36FF0" w:rsidP="00D50720">
            <w:pPr>
              <w:ind w:left="0" w:firstLine="0"/>
              <w:rPr>
                <w:rFonts w:cs="Arial"/>
                <w:lang w:val="es-ES"/>
              </w:rPr>
            </w:pPr>
          </w:p>
          <w:p w14:paraId="405F2835" w14:textId="77777777" w:rsidR="00A36FF0" w:rsidRPr="00FD514D" w:rsidRDefault="00207E62" w:rsidP="00D50720">
            <w:pPr>
              <w:ind w:left="0" w:firstLine="0"/>
              <w:rPr>
                <w:rFonts w:cs="Arial"/>
                <w:lang w:val="es-ES"/>
              </w:rPr>
            </w:pPr>
            <w:r w:rsidRPr="00FD514D">
              <w:rPr>
                <w:rFonts w:cs="Arial"/>
                <w:lang w:val="es-ES"/>
              </w:rPr>
              <w:t xml:space="preserve">Los </w:t>
            </w:r>
            <w:r w:rsidR="005553F4" w:rsidRPr="00FD514D">
              <w:rPr>
                <w:rFonts w:cs="Arial"/>
                <w:lang w:val="es-ES"/>
              </w:rPr>
              <w:t>a</w:t>
            </w:r>
            <w:r w:rsidR="00762688" w:rsidRPr="00FD514D">
              <w:rPr>
                <w:rFonts w:cs="Arial"/>
                <w:lang w:val="es-ES"/>
              </w:rPr>
              <w:t>rtículo</w:t>
            </w:r>
            <w:r w:rsidRPr="00FD514D">
              <w:rPr>
                <w:rFonts w:cs="Arial"/>
                <w:lang w:val="es-ES"/>
              </w:rPr>
              <w:t xml:space="preserve">s </w:t>
            </w:r>
            <w:r w:rsidR="00A36FF0" w:rsidRPr="00FD514D">
              <w:rPr>
                <w:rFonts w:cs="Arial"/>
                <w:lang w:val="es-ES"/>
              </w:rPr>
              <w:t xml:space="preserve">34.4 </w:t>
            </w:r>
            <w:r w:rsidRPr="00FD514D">
              <w:rPr>
                <w:rFonts w:cs="Arial"/>
                <w:lang w:val="es-ES"/>
              </w:rPr>
              <w:t>y</w:t>
            </w:r>
            <w:r w:rsidR="00A36FF0" w:rsidRPr="00FD514D">
              <w:rPr>
                <w:rFonts w:cs="Arial"/>
                <w:lang w:val="es-ES"/>
              </w:rPr>
              <w:t xml:space="preserve"> 34.6 </w:t>
            </w:r>
            <w:r w:rsidR="00567A5B" w:rsidRPr="00FD514D">
              <w:rPr>
                <w:rFonts w:cs="Arial"/>
                <w:lang w:val="es-ES"/>
              </w:rPr>
              <w:t xml:space="preserve">deberían ser unificados de manera que los requisitos relativos a propuestas </w:t>
            </w:r>
            <w:r w:rsidR="00567A5B" w:rsidRPr="00FD514D">
              <w:rPr>
                <w:rFonts w:cs="Arial"/>
                <w:lang w:val="es-ES"/>
              </w:rPr>
              <w:lastRenderedPageBreak/>
              <w:t xml:space="preserve">nuevas estén </w:t>
            </w:r>
            <w:r w:rsidR="00A369DD" w:rsidRPr="00FD514D">
              <w:rPr>
                <w:rFonts w:cs="Arial"/>
                <w:lang w:val="es-ES"/>
              </w:rPr>
              <w:t>definidos claramente en un solo</w:t>
            </w:r>
            <w:r w:rsidR="00502459" w:rsidRPr="00FD514D">
              <w:rPr>
                <w:rFonts w:cs="Arial"/>
                <w:lang w:val="es-ES"/>
              </w:rPr>
              <w:t xml:space="preserve"> </w:t>
            </w:r>
            <w:r w:rsidR="00A36FF0" w:rsidRPr="00FD514D">
              <w:rPr>
                <w:rFonts w:cs="Arial"/>
                <w:lang w:val="es-ES"/>
              </w:rPr>
              <w:t>su</w:t>
            </w:r>
            <w:r w:rsidR="00A369DD" w:rsidRPr="00FD514D">
              <w:rPr>
                <w:rFonts w:cs="Arial"/>
                <w:lang w:val="es-ES"/>
              </w:rPr>
              <w:t>ba</w:t>
            </w:r>
            <w:r w:rsidR="00242B0A" w:rsidRPr="00FD514D">
              <w:rPr>
                <w:rFonts w:cs="Arial"/>
                <w:lang w:val="es-ES"/>
              </w:rPr>
              <w:t>rtículo</w:t>
            </w:r>
            <w:r w:rsidR="00A36FF0" w:rsidRPr="00FD514D">
              <w:rPr>
                <w:rFonts w:cs="Arial"/>
                <w:lang w:val="es-ES"/>
              </w:rPr>
              <w:t xml:space="preserve">. </w:t>
            </w:r>
          </w:p>
          <w:p w14:paraId="4C553528" w14:textId="0D5C1118" w:rsidR="00A36FF0" w:rsidRPr="00C0067B" w:rsidRDefault="00A369DD" w:rsidP="00C0067B">
            <w:pPr>
              <w:ind w:left="0" w:firstLine="0"/>
              <w:rPr>
                <w:rFonts w:cs="Arial"/>
                <w:lang w:val="es-ES"/>
              </w:rPr>
            </w:pPr>
            <w:r w:rsidRPr="00FD514D">
              <w:rPr>
                <w:rFonts w:cs="Arial"/>
                <w:lang w:val="es-ES"/>
              </w:rPr>
              <w:t xml:space="preserve">Cabe señalar la definición de </w:t>
            </w:r>
            <w:r w:rsidR="00980900">
              <w:rPr>
                <w:rFonts w:cs="Arial"/>
                <w:lang w:val="es-ES"/>
              </w:rPr>
              <w:t>“</w:t>
            </w:r>
            <w:r w:rsidRPr="00FD514D">
              <w:rPr>
                <w:rFonts w:cs="Arial"/>
                <w:lang w:val="es-ES"/>
              </w:rPr>
              <w:t>enmienda a una propuesta</w:t>
            </w:r>
            <w:r w:rsidR="00980900">
              <w:rPr>
                <w:rFonts w:cs="Arial"/>
                <w:lang w:val="es-ES"/>
              </w:rPr>
              <w:t>”</w:t>
            </w:r>
            <w:r w:rsidRPr="00FD514D">
              <w:rPr>
                <w:rFonts w:cs="Arial"/>
                <w:lang w:val="es-ES"/>
              </w:rPr>
              <w:t xml:space="preserve"> que figura en el </w:t>
            </w:r>
            <w:r w:rsidR="006470AB" w:rsidRPr="00FD514D">
              <w:rPr>
                <w:rFonts w:cs="Arial"/>
                <w:lang w:val="es-ES"/>
              </w:rPr>
              <w:t>a</w:t>
            </w:r>
            <w:r w:rsidR="00762688" w:rsidRPr="00FD514D">
              <w:rPr>
                <w:rFonts w:cs="Arial"/>
                <w:lang w:val="es-ES"/>
              </w:rPr>
              <w:t>rtículo</w:t>
            </w:r>
            <w:r w:rsidR="00A36FF0" w:rsidRPr="00FD514D">
              <w:rPr>
                <w:rFonts w:cs="Arial"/>
                <w:lang w:val="es-ES"/>
              </w:rPr>
              <w:t xml:space="preserve"> 42 (</w:t>
            </w:r>
            <w:r w:rsidRPr="00FD514D">
              <w:rPr>
                <w:rFonts w:cs="Arial"/>
                <w:lang w:val="es-ES"/>
              </w:rPr>
              <w:t xml:space="preserve">que corresponde a un </w:t>
            </w:r>
            <w:r w:rsidR="00A36FF0" w:rsidRPr="00FD514D">
              <w:rPr>
                <w:rFonts w:cs="Arial"/>
                <w:lang w:val="es-ES"/>
              </w:rPr>
              <w:t>sub</w:t>
            </w:r>
            <w:r w:rsidRPr="00FD514D">
              <w:rPr>
                <w:rFonts w:cs="Arial"/>
                <w:lang w:val="es-ES"/>
              </w:rPr>
              <w:t>a</w:t>
            </w:r>
            <w:r w:rsidR="00242B0A" w:rsidRPr="00FD514D">
              <w:rPr>
                <w:rFonts w:cs="Arial"/>
                <w:lang w:val="es-ES"/>
              </w:rPr>
              <w:t>rtículo</w:t>
            </w:r>
            <w:r w:rsidR="00A36FF0" w:rsidRPr="00FD514D">
              <w:rPr>
                <w:rFonts w:cs="Arial"/>
                <w:lang w:val="es-ES"/>
              </w:rPr>
              <w:t xml:space="preserve"> </w:t>
            </w:r>
            <w:r w:rsidR="008C624D" w:rsidRPr="00FD514D">
              <w:rPr>
                <w:rFonts w:cs="Arial"/>
                <w:lang w:val="es-ES"/>
              </w:rPr>
              <w:t xml:space="preserve">del epígrafe </w:t>
            </w:r>
            <w:r w:rsidR="00980900">
              <w:rPr>
                <w:rFonts w:cs="Arial"/>
                <w:lang w:val="es-ES"/>
              </w:rPr>
              <w:t>“</w:t>
            </w:r>
            <w:r w:rsidR="008C624D" w:rsidRPr="00FD514D">
              <w:rPr>
                <w:rFonts w:cs="Arial"/>
                <w:lang w:val="es-ES"/>
              </w:rPr>
              <w:t>Votaciones</w:t>
            </w:r>
            <w:r w:rsidR="00980900">
              <w:rPr>
                <w:rFonts w:cs="Arial"/>
                <w:lang w:val="es-ES"/>
              </w:rPr>
              <w:t>”</w:t>
            </w:r>
            <w:r w:rsidR="00D622A1" w:rsidRPr="00FD514D">
              <w:rPr>
                <w:rFonts w:cs="Arial"/>
                <w:lang w:val="es-ES"/>
              </w:rPr>
              <w:t xml:space="preserve">). Esta definición debería </w:t>
            </w:r>
            <w:r w:rsidR="00C17E06" w:rsidRPr="00FD514D">
              <w:rPr>
                <w:rFonts w:cs="Arial"/>
                <w:lang w:val="es-ES"/>
              </w:rPr>
              <w:t>estar</w:t>
            </w:r>
            <w:r w:rsidR="00D622A1" w:rsidRPr="00FD514D">
              <w:rPr>
                <w:rFonts w:cs="Arial"/>
                <w:lang w:val="es-ES"/>
              </w:rPr>
              <w:t xml:space="preserve"> incluid</w:t>
            </w:r>
            <w:r w:rsidR="005715F9">
              <w:rPr>
                <w:rFonts w:cs="Arial"/>
                <w:lang w:val="es-ES"/>
              </w:rPr>
              <w:t>a</w:t>
            </w:r>
            <w:r w:rsidR="00D622A1" w:rsidRPr="00FD514D">
              <w:rPr>
                <w:rFonts w:cs="Arial"/>
                <w:lang w:val="es-ES"/>
              </w:rPr>
              <w:t xml:space="preserve"> en el</w:t>
            </w:r>
            <w:r w:rsidR="00502459" w:rsidRPr="00FD514D">
              <w:rPr>
                <w:rFonts w:cs="Arial"/>
                <w:lang w:val="es-ES"/>
              </w:rPr>
              <w:t xml:space="preserve"> </w:t>
            </w:r>
            <w:r w:rsidR="006470AB" w:rsidRPr="00FD514D">
              <w:rPr>
                <w:rFonts w:cs="Arial"/>
                <w:lang w:val="es-ES"/>
              </w:rPr>
              <w:t>a</w:t>
            </w:r>
            <w:r w:rsidR="00762688" w:rsidRPr="00FD514D">
              <w:rPr>
                <w:rFonts w:cs="Arial"/>
                <w:lang w:val="es-ES"/>
              </w:rPr>
              <w:t>rtículo</w:t>
            </w:r>
            <w:r w:rsidR="0008321E" w:rsidRPr="00FD514D">
              <w:rPr>
                <w:rFonts w:cs="Arial"/>
                <w:lang w:val="es-ES"/>
              </w:rPr>
              <w:t> </w:t>
            </w:r>
            <w:r w:rsidR="00A36FF0" w:rsidRPr="00FD514D">
              <w:rPr>
                <w:rFonts w:cs="Arial"/>
                <w:lang w:val="es-ES"/>
              </w:rPr>
              <w:t xml:space="preserve">2. </w:t>
            </w:r>
          </w:p>
        </w:tc>
      </w:tr>
      <w:tr w:rsidR="00D50999" w:rsidRPr="00070719" w14:paraId="2DDC42C9" w14:textId="77777777" w:rsidTr="00980900">
        <w:tc>
          <w:tcPr>
            <w:tcW w:w="578" w:type="dxa"/>
          </w:tcPr>
          <w:p w14:paraId="21022C8E" w14:textId="77777777" w:rsidR="00A36FF0" w:rsidRPr="00FD514D" w:rsidRDefault="00A36FF0" w:rsidP="0078688F">
            <w:pPr>
              <w:pStyle w:val="NoSpacing"/>
              <w:ind w:left="0" w:firstLine="0"/>
              <w:rPr>
                <w:lang w:val="es-ES"/>
              </w:rPr>
            </w:pPr>
            <w:r w:rsidRPr="00FD514D">
              <w:rPr>
                <w:lang w:val="es-ES"/>
              </w:rPr>
              <w:lastRenderedPageBreak/>
              <w:t>1</w:t>
            </w:r>
            <w:r w:rsidR="00A05E17" w:rsidRPr="00FD514D">
              <w:rPr>
                <w:lang w:val="es-ES"/>
              </w:rPr>
              <w:t>4</w:t>
            </w:r>
          </w:p>
        </w:tc>
        <w:tc>
          <w:tcPr>
            <w:tcW w:w="1939" w:type="dxa"/>
          </w:tcPr>
          <w:p w14:paraId="6B73FE67" w14:textId="77777777" w:rsidR="00A36FF0" w:rsidRPr="00FD514D" w:rsidRDefault="00762688" w:rsidP="0078688F">
            <w:pPr>
              <w:pStyle w:val="NoSpacing"/>
              <w:ind w:left="0" w:firstLine="0"/>
              <w:rPr>
                <w:lang w:val="es-ES"/>
              </w:rPr>
            </w:pPr>
            <w:r w:rsidRPr="00FD514D">
              <w:rPr>
                <w:lang w:val="es-ES"/>
              </w:rPr>
              <w:t>Artículo</w:t>
            </w:r>
            <w:r w:rsidR="00A36FF0" w:rsidRPr="00FD514D">
              <w:rPr>
                <w:lang w:val="es-ES"/>
              </w:rPr>
              <w:t xml:space="preserve"> 48</w:t>
            </w:r>
            <w:r w:rsidR="004F508D" w:rsidRPr="00FD514D">
              <w:rPr>
                <w:lang w:val="es-ES"/>
              </w:rPr>
              <w:t>:</w:t>
            </w:r>
            <w:r w:rsidR="00A36FF0" w:rsidRPr="00FD514D">
              <w:rPr>
                <w:lang w:val="es-ES"/>
              </w:rPr>
              <w:t xml:space="preserve"> </w:t>
            </w:r>
            <w:r w:rsidR="00031580" w:rsidRPr="00FD514D">
              <w:rPr>
                <w:lang w:val="es-ES"/>
              </w:rPr>
              <w:t>Idiomas oficiales</w:t>
            </w:r>
          </w:p>
        </w:tc>
        <w:tc>
          <w:tcPr>
            <w:tcW w:w="3331" w:type="dxa"/>
          </w:tcPr>
          <w:p w14:paraId="5BF3A5CF" w14:textId="51D33B56" w:rsidR="00A36FF0" w:rsidRPr="00FD514D" w:rsidRDefault="00583F6A" w:rsidP="003B01C9">
            <w:pPr>
              <w:ind w:left="0" w:firstLine="0"/>
              <w:rPr>
                <w:rFonts w:cs="Arial"/>
                <w:lang w:val="es-ES"/>
              </w:rPr>
            </w:pPr>
            <w:r w:rsidRPr="00FD514D">
              <w:rPr>
                <w:rFonts w:cs="Arial"/>
                <w:lang w:val="es-ES"/>
              </w:rPr>
              <w:t xml:space="preserve">Este </w:t>
            </w:r>
            <w:r w:rsidR="006470AB" w:rsidRPr="00FD514D">
              <w:rPr>
                <w:rFonts w:cs="Arial"/>
                <w:lang w:val="es-ES"/>
              </w:rPr>
              <w:t>a</w:t>
            </w:r>
            <w:r w:rsidR="00762688" w:rsidRPr="00FD514D">
              <w:rPr>
                <w:rFonts w:cs="Arial"/>
                <w:lang w:val="es-ES"/>
              </w:rPr>
              <w:t>rtículo</w:t>
            </w:r>
            <w:r w:rsidR="004F508D" w:rsidRPr="00FD514D">
              <w:rPr>
                <w:rFonts w:cs="Arial"/>
                <w:lang w:val="es-ES"/>
              </w:rPr>
              <w:t xml:space="preserve"> </w:t>
            </w:r>
            <w:r w:rsidR="00447DCC" w:rsidRPr="00FD514D">
              <w:rPr>
                <w:rFonts w:cs="Arial"/>
                <w:lang w:val="es-ES"/>
              </w:rPr>
              <w:t xml:space="preserve">especifica los idiomas </w:t>
            </w:r>
            <w:r w:rsidR="00855E6E">
              <w:rPr>
                <w:rFonts w:cs="Arial"/>
                <w:lang w:val="es-ES"/>
              </w:rPr>
              <w:t>‘</w:t>
            </w:r>
            <w:r w:rsidR="00447DCC" w:rsidRPr="00FD514D">
              <w:rPr>
                <w:rFonts w:cs="Arial"/>
                <w:lang w:val="es-ES"/>
              </w:rPr>
              <w:t>oficiales</w:t>
            </w:r>
            <w:r w:rsidR="00855E6E">
              <w:rPr>
                <w:rFonts w:cs="Arial"/>
                <w:lang w:val="es-ES"/>
              </w:rPr>
              <w:t>’</w:t>
            </w:r>
            <w:r w:rsidR="00447DCC" w:rsidRPr="00FD514D">
              <w:rPr>
                <w:rFonts w:cs="Arial"/>
                <w:lang w:val="es-ES"/>
              </w:rPr>
              <w:t xml:space="preserve"> y </w:t>
            </w:r>
            <w:r w:rsidR="00855E6E">
              <w:rPr>
                <w:rFonts w:cs="Arial"/>
                <w:lang w:val="es-ES"/>
              </w:rPr>
              <w:t>‘</w:t>
            </w:r>
            <w:r w:rsidR="00447DCC" w:rsidRPr="00FD514D">
              <w:rPr>
                <w:rFonts w:cs="Arial"/>
                <w:lang w:val="es-ES"/>
              </w:rPr>
              <w:t>de trabajo</w:t>
            </w:r>
            <w:r w:rsidR="00855E6E">
              <w:rPr>
                <w:rFonts w:cs="Arial"/>
                <w:lang w:val="es-ES"/>
              </w:rPr>
              <w:t>’</w:t>
            </w:r>
            <w:r w:rsidR="00447DCC" w:rsidRPr="00FD514D">
              <w:rPr>
                <w:rFonts w:cs="Arial"/>
                <w:lang w:val="es-ES"/>
              </w:rPr>
              <w:t xml:space="preserve"> de la Convención. </w:t>
            </w:r>
            <w:r w:rsidRPr="00FD514D">
              <w:rPr>
                <w:rFonts w:cs="Arial"/>
                <w:lang w:val="es-ES"/>
              </w:rPr>
              <w:t xml:space="preserve">No está claro </w:t>
            </w:r>
            <w:r w:rsidR="00447DCC" w:rsidRPr="00FD514D">
              <w:rPr>
                <w:rFonts w:cs="Arial"/>
                <w:lang w:val="es-ES"/>
              </w:rPr>
              <w:t xml:space="preserve">lo que se entiende por </w:t>
            </w:r>
            <w:r w:rsidR="00855E6E">
              <w:rPr>
                <w:rFonts w:cs="Arial"/>
                <w:lang w:val="es-ES"/>
              </w:rPr>
              <w:t>‘</w:t>
            </w:r>
            <w:r w:rsidR="00447DCC" w:rsidRPr="00FD514D">
              <w:rPr>
                <w:rFonts w:cs="Arial"/>
                <w:lang w:val="es-ES"/>
              </w:rPr>
              <w:t>idioma de trabajo</w:t>
            </w:r>
            <w:r w:rsidR="00855E6E">
              <w:rPr>
                <w:rFonts w:cs="Arial"/>
                <w:lang w:val="es-ES"/>
              </w:rPr>
              <w:t>’</w:t>
            </w:r>
            <w:r w:rsidR="00447DCC" w:rsidRPr="00FD514D">
              <w:rPr>
                <w:rFonts w:cs="Arial"/>
                <w:lang w:val="es-ES"/>
              </w:rPr>
              <w:t xml:space="preserve">. </w:t>
            </w:r>
          </w:p>
        </w:tc>
        <w:tc>
          <w:tcPr>
            <w:tcW w:w="3332" w:type="dxa"/>
          </w:tcPr>
          <w:p w14:paraId="2D2CE1B9" w14:textId="41899BB3" w:rsidR="00A36FF0" w:rsidRPr="00FD514D" w:rsidRDefault="00D622A1" w:rsidP="003F799C">
            <w:pPr>
              <w:ind w:left="0" w:firstLine="0"/>
              <w:rPr>
                <w:rFonts w:cs="Arial"/>
                <w:lang w:val="es-ES"/>
              </w:rPr>
            </w:pPr>
            <w:r w:rsidRPr="00FD514D">
              <w:rPr>
                <w:rFonts w:cs="Arial"/>
                <w:lang w:val="es-ES"/>
              </w:rPr>
              <w:t xml:space="preserve">Esto debería ser aclarado. </w:t>
            </w:r>
            <w:r w:rsidR="002118BC" w:rsidRPr="00FD514D">
              <w:rPr>
                <w:rFonts w:cs="Arial"/>
                <w:lang w:val="es-ES"/>
              </w:rPr>
              <w:t xml:space="preserve">Posiblemente no sea necesario incluir el término </w:t>
            </w:r>
            <w:r w:rsidR="00855E6E">
              <w:rPr>
                <w:rFonts w:cs="Arial"/>
                <w:lang w:val="es-ES"/>
              </w:rPr>
              <w:t>‘</w:t>
            </w:r>
            <w:r w:rsidR="002118BC" w:rsidRPr="00FD514D">
              <w:rPr>
                <w:rFonts w:cs="Arial"/>
                <w:lang w:val="es-ES"/>
              </w:rPr>
              <w:t>idioma de trabajo</w:t>
            </w:r>
            <w:r w:rsidR="00855E6E">
              <w:rPr>
                <w:rFonts w:cs="Arial"/>
                <w:lang w:val="es-ES"/>
              </w:rPr>
              <w:t>’</w:t>
            </w:r>
            <w:r w:rsidR="002118BC" w:rsidRPr="00FD514D">
              <w:rPr>
                <w:rFonts w:cs="Arial"/>
                <w:lang w:val="es-ES"/>
              </w:rPr>
              <w:t xml:space="preserve">, habida cuenta que no </w:t>
            </w:r>
            <w:r w:rsidR="00BF7EFB" w:rsidRPr="00FD514D">
              <w:rPr>
                <w:rFonts w:cs="Arial"/>
                <w:lang w:val="es-ES"/>
              </w:rPr>
              <w:t>aparece</w:t>
            </w:r>
            <w:r w:rsidR="002118BC" w:rsidRPr="00FD514D">
              <w:rPr>
                <w:rFonts w:cs="Arial"/>
                <w:lang w:val="es-ES"/>
              </w:rPr>
              <w:t xml:space="preserve"> en ninguno de los demás </w:t>
            </w:r>
            <w:r w:rsidR="00BF7EFB" w:rsidRPr="00FD514D">
              <w:rPr>
                <w:rFonts w:cs="Arial"/>
                <w:lang w:val="es-ES"/>
              </w:rPr>
              <w:t>a</w:t>
            </w:r>
            <w:r w:rsidR="00762688" w:rsidRPr="00FD514D">
              <w:rPr>
                <w:rFonts w:cs="Arial"/>
                <w:lang w:val="es-ES"/>
              </w:rPr>
              <w:t>rtículo</w:t>
            </w:r>
            <w:r w:rsidR="002118BC" w:rsidRPr="00FD514D">
              <w:rPr>
                <w:rFonts w:cs="Arial"/>
                <w:lang w:val="es-ES"/>
              </w:rPr>
              <w:t>s</w:t>
            </w:r>
            <w:r w:rsidR="00A36FF0" w:rsidRPr="00FD514D">
              <w:rPr>
                <w:rFonts w:cs="Arial"/>
                <w:lang w:val="es-ES"/>
              </w:rPr>
              <w:t xml:space="preserve">. </w:t>
            </w:r>
          </w:p>
        </w:tc>
      </w:tr>
      <w:tr w:rsidR="00D50999" w:rsidRPr="00070719" w14:paraId="3443BE14" w14:textId="77777777" w:rsidTr="00980900">
        <w:tc>
          <w:tcPr>
            <w:tcW w:w="578" w:type="dxa"/>
          </w:tcPr>
          <w:p w14:paraId="75FAE4EB" w14:textId="77777777" w:rsidR="00A36FF0" w:rsidRPr="00FD514D" w:rsidRDefault="00A36FF0" w:rsidP="0078688F">
            <w:pPr>
              <w:pStyle w:val="NoSpacing"/>
              <w:ind w:left="0" w:firstLine="0"/>
              <w:rPr>
                <w:lang w:val="es-ES"/>
              </w:rPr>
            </w:pPr>
            <w:r w:rsidRPr="00FD514D">
              <w:rPr>
                <w:lang w:val="es-ES"/>
              </w:rPr>
              <w:t>1</w:t>
            </w:r>
            <w:r w:rsidR="00A05E17" w:rsidRPr="00FD514D">
              <w:rPr>
                <w:lang w:val="es-ES"/>
              </w:rPr>
              <w:t>5</w:t>
            </w:r>
          </w:p>
        </w:tc>
        <w:tc>
          <w:tcPr>
            <w:tcW w:w="1939" w:type="dxa"/>
          </w:tcPr>
          <w:p w14:paraId="352D0BA6" w14:textId="233D137B" w:rsidR="00A36FF0" w:rsidRPr="00FD514D" w:rsidRDefault="00F72210" w:rsidP="0078688F">
            <w:pPr>
              <w:pStyle w:val="NoSpacing"/>
              <w:ind w:left="0" w:firstLine="0"/>
              <w:rPr>
                <w:lang w:val="es-ES"/>
              </w:rPr>
            </w:pPr>
            <w:r w:rsidRPr="00FD514D">
              <w:rPr>
                <w:lang w:val="es-ES"/>
              </w:rPr>
              <w:t xml:space="preserve">Artículo </w:t>
            </w:r>
            <w:r w:rsidR="00A36FF0" w:rsidRPr="00FD514D">
              <w:rPr>
                <w:lang w:val="es-ES"/>
              </w:rPr>
              <w:t>49</w:t>
            </w:r>
            <w:r w:rsidR="003B01C9" w:rsidRPr="00FD514D">
              <w:rPr>
                <w:lang w:val="es-ES"/>
              </w:rPr>
              <w:t>:</w:t>
            </w:r>
            <w:r w:rsidR="00A36FF0" w:rsidRPr="00FD514D">
              <w:rPr>
                <w:lang w:val="es-ES"/>
              </w:rPr>
              <w:t xml:space="preserve"> Interpreta</w:t>
            </w:r>
            <w:r w:rsidR="00031580" w:rsidRPr="00FD514D">
              <w:rPr>
                <w:lang w:val="es-ES"/>
              </w:rPr>
              <w:t>ción</w:t>
            </w:r>
          </w:p>
        </w:tc>
        <w:tc>
          <w:tcPr>
            <w:tcW w:w="3331" w:type="dxa"/>
          </w:tcPr>
          <w:p w14:paraId="1C24B7F3" w14:textId="2B13C090" w:rsidR="00A36FF0" w:rsidRPr="00FD514D" w:rsidRDefault="00583F6A" w:rsidP="001C25AA">
            <w:pPr>
              <w:ind w:left="0" w:firstLine="0"/>
              <w:rPr>
                <w:rFonts w:cs="Arial"/>
                <w:lang w:val="es-ES"/>
              </w:rPr>
            </w:pPr>
            <w:r w:rsidRPr="00FD514D">
              <w:rPr>
                <w:rFonts w:cs="Arial"/>
                <w:lang w:val="es-ES"/>
              </w:rPr>
              <w:t xml:space="preserve">De acuerdo con este </w:t>
            </w:r>
            <w:r w:rsidR="00767A6B" w:rsidRPr="00FD514D">
              <w:rPr>
                <w:rFonts w:cs="Arial"/>
                <w:lang w:val="es-ES"/>
              </w:rPr>
              <w:t>a</w:t>
            </w:r>
            <w:r w:rsidR="00762688" w:rsidRPr="00FD514D">
              <w:rPr>
                <w:rFonts w:cs="Arial"/>
                <w:lang w:val="es-ES"/>
              </w:rPr>
              <w:t>rtículo</w:t>
            </w:r>
            <w:r w:rsidRPr="00FD514D">
              <w:rPr>
                <w:rFonts w:cs="Arial"/>
                <w:lang w:val="es-ES"/>
              </w:rPr>
              <w:t xml:space="preserve">, se permite </w:t>
            </w:r>
            <w:r w:rsidR="00B07974" w:rsidRPr="00FD514D">
              <w:rPr>
                <w:rFonts w:cs="Arial"/>
                <w:lang w:val="es-ES"/>
              </w:rPr>
              <w:t xml:space="preserve">a las Partes Contratantes hablar en </w:t>
            </w:r>
            <w:r w:rsidR="00C17E06" w:rsidRPr="00FD514D">
              <w:rPr>
                <w:rFonts w:cs="Arial"/>
                <w:lang w:val="es-ES"/>
              </w:rPr>
              <w:t>un idioma</w:t>
            </w:r>
            <w:r w:rsidR="00B07974" w:rsidRPr="00FD514D">
              <w:rPr>
                <w:rFonts w:cs="Arial"/>
                <w:lang w:val="es-ES"/>
              </w:rPr>
              <w:t xml:space="preserve"> que no sea </w:t>
            </w:r>
            <w:r w:rsidR="00C17E06" w:rsidRPr="00FD514D">
              <w:rPr>
                <w:rFonts w:cs="Arial"/>
                <w:lang w:val="es-ES"/>
              </w:rPr>
              <w:t xml:space="preserve">idioma </w:t>
            </w:r>
            <w:r w:rsidR="00B07974" w:rsidRPr="00FD514D">
              <w:rPr>
                <w:rFonts w:cs="Arial"/>
                <w:lang w:val="es-ES"/>
              </w:rPr>
              <w:t xml:space="preserve">oficial, siempre que la Parte correspondiente </w:t>
            </w:r>
            <w:r w:rsidR="00767A6B" w:rsidRPr="00FD514D">
              <w:rPr>
                <w:rFonts w:cs="Arial"/>
                <w:lang w:val="es-ES"/>
              </w:rPr>
              <w:t>proporcione su</w:t>
            </w:r>
            <w:r w:rsidR="00B07974" w:rsidRPr="00FD514D">
              <w:rPr>
                <w:rFonts w:cs="Arial"/>
                <w:lang w:val="es-ES"/>
              </w:rPr>
              <w:t xml:space="preserve"> interpretación a </w:t>
            </w:r>
            <w:r w:rsidR="00C17E06" w:rsidRPr="00FD514D">
              <w:rPr>
                <w:rFonts w:cs="Arial"/>
                <w:lang w:val="es-ES"/>
              </w:rPr>
              <w:t>un idioma</w:t>
            </w:r>
            <w:r w:rsidR="00B07974" w:rsidRPr="00FD514D">
              <w:rPr>
                <w:rFonts w:cs="Arial"/>
                <w:lang w:val="es-ES"/>
              </w:rPr>
              <w:t xml:space="preserve"> oficial. No obstante, no </w:t>
            </w:r>
            <w:r w:rsidR="007B127E" w:rsidRPr="00FD514D">
              <w:rPr>
                <w:rFonts w:cs="Arial"/>
                <w:lang w:val="es-ES"/>
              </w:rPr>
              <w:t xml:space="preserve">queda </w:t>
            </w:r>
            <w:r w:rsidR="00B07974" w:rsidRPr="00FD514D">
              <w:rPr>
                <w:rFonts w:cs="Arial"/>
                <w:lang w:val="es-ES"/>
              </w:rPr>
              <w:t xml:space="preserve">claro si </w:t>
            </w:r>
            <w:r w:rsidR="00BB47D4" w:rsidRPr="00FD514D">
              <w:rPr>
                <w:rFonts w:cs="Arial"/>
                <w:lang w:val="es-ES"/>
              </w:rPr>
              <w:t xml:space="preserve">se </w:t>
            </w:r>
            <w:r w:rsidR="00B07974" w:rsidRPr="00FD514D">
              <w:rPr>
                <w:rFonts w:cs="Arial"/>
                <w:lang w:val="es-ES"/>
              </w:rPr>
              <w:t xml:space="preserve">debe </w:t>
            </w:r>
            <w:r w:rsidR="007B127E" w:rsidRPr="00FD514D">
              <w:rPr>
                <w:rFonts w:cs="Arial"/>
                <w:lang w:val="es-ES"/>
              </w:rPr>
              <w:t xml:space="preserve">proporcionar </w:t>
            </w:r>
            <w:r w:rsidR="00B07974" w:rsidRPr="00FD514D">
              <w:rPr>
                <w:rFonts w:cs="Arial"/>
                <w:lang w:val="es-ES"/>
              </w:rPr>
              <w:t>un intérprete</w:t>
            </w:r>
            <w:r w:rsidR="008F0F83" w:rsidRPr="00FD514D">
              <w:rPr>
                <w:rFonts w:cs="Arial"/>
                <w:lang w:val="es-ES"/>
              </w:rPr>
              <w:t xml:space="preserve"> oficial acreditado</w:t>
            </w:r>
            <w:r w:rsidR="00BB47D4" w:rsidRPr="00FD514D">
              <w:rPr>
                <w:rFonts w:cs="Arial"/>
                <w:lang w:val="es-ES"/>
              </w:rPr>
              <w:t>,</w:t>
            </w:r>
            <w:r w:rsidR="008F0F83" w:rsidRPr="00FD514D">
              <w:rPr>
                <w:rFonts w:cs="Arial"/>
                <w:lang w:val="es-ES"/>
              </w:rPr>
              <w:t xml:space="preserve"> y si</w:t>
            </w:r>
            <w:r w:rsidR="00502459" w:rsidRPr="00FD514D">
              <w:rPr>
                <w:rFonts w:cs="Arial"/>
                <w:lang w:val="es-ES"/>
              </w:rPr>
              <w:t xml:space="preserve"> </w:t>
            </w:r>
            <w:r w:rsidR="00447DCC" w:rsidRPr="00FD514D">
              <w:rPr>
                <w:rFonts w:cs="Arial"/>
                <w:lang w:val="es-ES"/>
              </w:rPr>
              <w:t xml:space="preserve">tal </w:t>
            </w:r>
            <w:r w:rsidR="007B127E" w:rsidRPr="00FD514D">
              <w:rPr>
                <w:rFonts w:cs="Arial"/>
                <w:lang w:val="es-ES"/>
              </w:rPr>
              <w:t xml:space="preserve">arreglo </w:t>
            </w:r>
            <w:r w:rsidR="003E1B50" w:rsidRPr="00FD514D">
              <w:rPr>
                <w:rFonts w:cs="Arial"/>
                <w:lang w:val="es-ES"/>
              </w:rPr>
              <w:t>debe ser acordado</w:t>
            </w:r>
            <w:r w:rsidR="00447DCC" w:rsidRPr="00FD514D">
              <w:rPr>
                <w:rFonts w:cs="Arial"/>
                <w:lang w:val="es-ES"/>
              </w:rPr>
              <w:t xml:space="preserve"> </w:t>
            </w:r>
            <w:r w:rsidR="003E1B50" w:rsidRPr="00FD514D">
              <w:rPr>
                <w:rFonts w:cs="Arial"/>
                <w:lang w:val="es-ES"/>
              </w:rPr>
              <w:t>de antemano</w:t>
            </w:r>
            <w:r w:rsidR="00AE3551" w:rsidRPr="00FD514D">
              <w:rPr>
                <w:rFonts w:cs="Arial"/>
                <w:lang w:val="es-ES"/>
              </w:rPr>
              <w:t xml:space="preserve"> con la Secretaría. </w:t>
            </w:r>
          </w:p>
        </w:tc>
        <w:tc>
          <w:tcPr>
            <w:tcW w:w="3332" w:type="dxa"/>
          </w:tcPr>
          <w:p w14:paraId="028E9DAE" w14:textId="4076DD8C" w:rsidR="00A36FF0" w:rsidRPr="00FD514D" w:rsidRDefault="00C2227C" w:rsidP="00D50720">
            <w:pPr>
              <w:ind w:left="0" w:firstLine="0"/>
              <w:rPr>
                <w:rFonts w:cs="Arial"/>
                <w:lang w:val="es-ES"/>
              </w:rPr>
            </w:pPr>
            <w:r w:rsidRPr="00FD514D">
              <w:rPr>
                <w:rFonts w:cs="Arial"/>
                <w:lang w:val="es-ES"/>
              </w:rPr>
              <w:t>En case de que alguna Parte quisiese utilizar sus propios intérpretes</w:t>
            </w:r>
            <w:r w:rsidR="00DB5187" w:rsidRPr="00FD514D">
              <w:rPr>
                <w:rFonts w:cs="Arial"/>
                <w:lang w:val="es-ES"/>
              </w:rPr>
              <w:t xml:space="preserve"> de un idioma no oficial, </w:t>
            </w:r>
            <w:r w:rsidR="00EA0F33" w:rsidRPr="00FD514D">
              <w:rPr>
                <w:rFonts w:cs="Arial"/>
                <w:lang w:val="es-ES"/>
              </w:rPr>
              <w:t>tal arreglo</w:t>
            </w:r>
            <w:r w:rsidR="00D355DF" w:rsidRPr="00FD514D">
              <w:rPr>
                <w:rFonts w:cs="Arial"/>
                <w:lang w:val="es-ES"/>
              </w:rPr>
              <w:t xml:space="preserve"> debe ser acordado con la Secretaría</w:t>
            </w:r>
            <w:r w:rsidR="00EA0F33" w:rsidRPr="00FD514D">
              <w:rPr>
                <w:rFonts w:cs="Arial"/>
                <w:lang w:val="es-ES"/>
              </w:rPr>
              <w:t xml:space="preserve"> de antemano.</w:t>
            </w:r>
            <w:r w:rsidR="00502459" w:rsidRPr="00FD514D">
              <w:rPr>
                <w:rFonts w:cs="Arial"/>
                <w:lang w:val="es-ES"/>
              </w:rPr>
              <w:t xml:space="preserve"> </w:t>
            </w:r>
            <w:r w:rsidR="00962B36" w:rsidRPr="00FD514D">
              <w:rPr>
                <w:rFonts w:cs="Arial"/>
                <w:lang w:val="es-ES"/>
              </w:rPr>
              <w:t>No</w:t>
            </w:r>
            <w:r w:rsidR="00D355DF" w:rsidRPr="00FD514D">
              <w:rPr>
                <w:rFonts w:cs="Arial"/>
                <w:lang w:val="es-ES"/>
              </w:rPr>
              <w:t xml:space="preserve"> </w:t>
            </w:r>
            <w:r w:rsidR="001310CC" w:rsidRPr="00FD514D">
              <w:rPr>
                <w:rFonts w:cs="Arial"/>
                <w:lang w:val="es-ES"/>
              </w:rPr>
              <w:t xml:space="preserve">haría falta hacer referencia a </w:t>
            </w:r>
            <w:r w:rsidR="002336A2" w:rsidRPr="00FD514D">
              <w:rPr>
                <w:rFonts w:cs="Arial"/>
                <w:lang w:val="es-ES"/>
              </w:rPr>
              <w:t xml:space="preserve">la </w:t>
            </w:r>
            <w:r w:rsidR="00A7762E" w:rsidRPr="00FD514D">
              <w:rPr>
                <w:rFonts w:cs="Arial"/>
                <w:lang w:val="es-ES"/>
              </w:rPr>
              <w:t>acreditación del intérprete, siempre que se h</w:t>
            </w:r>
            <w:r w:rsidR="001310CC" w:rsidRPr="00FD514D">
              <w:rPr>
                <w:rFonts w:cs="Arial"/>
                <w:lang w:val="es-ES"/>
              </w:rPr>
              <w:t>ubiese</w:t>
            </w:r>
            <w:r w:rsidR="00A7762E" w:rsidRPr="00FD514D">
              <w:rPr>
                <w:rFonts w:cs="Arial"/>
                <w:lang w:val="es-ES"/>
              </w:rPr>
              <w:t xml:space="preserve"> dejado claro </w:t>
            </w:r>
            <w:r w:rsidR="00EA0F33" w:rsidRPr="00FD514D">
              <w:rPr>
                <w:rFonts w:cs="Arial"/>
                <w:lang w:val="es-ES"/>
              </w:rPr>
              <w:t>que la Parte pertinente</w:t>
            </w:r>
            <w:r w:rsidR="00DE1E1D" w:rsidRPr="00FD514D">
              <w:rPr>
                <w:rFonts w:cs="Arial"/>
                <w:lang w:val="es-ES"/>
              </w:rPr>
              <w:t xml:space="preserve"> </w:t>
            </w:r>
            <w:r w:rsidR="00EA0F33" w:rsidRPr="00FD514D">
              <w:rPr>
                <w:rFonts w:cs="Arial"/>
                <w:lang w:val="es-ES"/>
              </w:rPr>
              <w:t xml:space="preserve">es responsable de lo </w:t>
            </w:r>
            <w:r w:rsidR="00F131F9" w:rsidRPr="00FD514D">
              <w:rPr>
                <w:rFonts w:cs="Arial"/>
                <w:lang w:val="es-ES"/>
              </w:rPr>
              <w:t xml:space="preserve">que el intérprete </w:t>
            </w:r>
            <w:r w:rsidR="00EA0F33" w:rsidRPr="00FD514D">
              <w:rPr>
                <w:rFonts w:cs="Arial"/>
                <w:lang w:val="es-ES"/>
              </w:rPr>
              <w:t xml:space="preserve">pueda decir. </w:t>
            </w:r>
          </w:p>
        </w:tc>
      </w:tr>
      <w:tr w:rsidR="00D50999" w:rsidRPr="00070719" w14:paraId="03D60632" w14:textId="77777777" w:rsidTr="00980900">
        <w:tc>
          <w:tcPr>
            <w:tcW w:w="578" w:type="dxa"/>
          </w:tcPr>
          <w:p w14:paraId="25DFE301" w14:textId="77777777" w:rsidR="00C6086A" w:rsidRPr="00FD514D" w:rsidRDefault="00C6086A" w:rsidP="0078688F">
            <w:pPr>
              <w:pStyle w:val="NoSpacing"/>
              <w:ind w:left="0" w:firstLine="0"/>
              <w:rPr>
                <w:lang w:val="es-ES"/>
              </w:rPr>
            </w:pPr>
            <w:r w:rsidRPr="00FD514D">
              <w:rPr>
                <w:lang w:val="es-ES"/>
              </w:rPr>
              <w:t>1</w:t>
            </w:r>
            <w:r w:rsidR="00A05E17" w:rsidRPr="00FD514D">
              <w:rPr>
                <w:lang w:val="es-ES"/>
              </w:rPr>
              <w:t>6</w:t>
            </w:r>
          </w:p>
        </w:tc>
        <w:tc>
          <w:tcPr>
            <w:tcW w:w="1939" w:type="dxa"/>
          </w:tcPr>
          <w:p w14:paraId="191470C3" w14:textId="604B18C7" w:rsidR="00C6086A" w:rsidRPr="00FD514D" w:rsidRDefault="00F72210" w:rsidP="0078688F">
            <w:pPr>
              <w:pStyle w:val="NoSpacing"/>
              <w:ind w:left="0" w:firstLine="0"/>
              <w:rPr>
                <w:lang w:val="es-ES"/>
              </w:rPr>
            </w:pPr>
            <w:r w:rsidRPr="00FD514D">
              <w:rPr>
                <w:lang w:val="es-ES"/>
              </w:rPr>
              <w:t xml:space="preserve">Artículo </w:t>
            </w:r>
            <w:r w:rsidR="00C6086A" w:rsidRPr="00FD514D">
              <w:rPr>
                <w:lang w:val="es-ES"/>
              </w:rPr>
              <w:t>50</w:t>
            </w:r>
            <w:r w:rsidR="007023EB" w:rsidRPr="00FD514D">
              <w:rPr>
                <w:lang w:val="es-ES"/>
              </w:rPr>
              <w:t>:</w:t>
            </w:r>
            <w:r w:rsidR="00C6086A" w:rsidRPr="00FD514D">
              <w:rPr>
                <w:lang w:val="es-ES"/>
              </w:rPr>
              <w:t xml:space="preserve"> </w:t>
            </w:r>
            <w:r w:rsidR="00031580" w:rsidRPr="00FD514D">
              <w:rPr>
                <w:lang w:val="es-ES"/>
              </w:rPr>
              <w:t xml:space="preserve">Idiomas de los documentos oficiales </w:t>
            </w:r>
          </w:p>
        </w:tc>
        <w:tc>
          <w:tcPr>
            <w:tcW w:w="3331" w:type="dxa"/>
          </w:tcPr>
          <w:p w14:paraId="4036A2AF" w14:textId="4E65589F" w:rsidR="00C6086A" w:rsidRPr="00FD514D" w:rsidRDefault="004D1D37" w:rsidP="00516503">
            <w:pPr>
              <w:ind w:left="0" w:firstLine="0"/>
              <w:rPr>
                <w:rFonts w:cs="Arial"/>
                <w:lang w:val="es-ES"/>
              </w:rPr>
            </w:pPr>
            <w:r w:rsidRPr="00FD514D">
              <w:rPr>
                <w:rFonts w:cs="Arial"/>
                <w:lang w:val="es-ES"/>
              </w:rPr>
              <w:t>Si bien l</w:t>
            </w:r>
            <w:r w:rsidR="00077829" w:rsidRPr="00FD514D">
              <w:rPr>
                <w:rFonts w:cs="Arial"/>
                <w:lang w:val="es-ES"/>
              </w:rPr>
              <w:t xml:space="preserve">os </w:t>
            </w:r>
            <w:r w:rsidR="00BF7EFB" w:rsidRPr="00FD514D">
              <w:rPr>
                <w:rFonts w:cs="Arial"/>
                <w:lang w:val="es-ES"/>
              </w:rPr>
              <w:t>a</w:t>
            </w:r>
            <w:r w:rsidR="00762688" w:rsidRPr="00FD514D">
              <w:rPr>
                <w:rFonts w:cs="Arial"/>
                <w:lang w:val="es-ES"/>
              </w:rPr>
              <w:t>rtículo</w:t>
            </w:r>
            <w:r w:rsidR="00923E70" w:rsidRPr="00FD514D">
              <w:rPr>
                <w:rFonts w:cs="Arial"/>
                <w:lang w:val="es-ES"/>
              </w:rPr>
              <w:t>s</w:t>
            </w:r>
            <w:r w:rsidR="00F00955" w:rsidRPr="00FD514D">
              <w:rPr>
                <w:rFonts w:cs="Arial"/>
                <w:lang w:val="es-ES"/>
              </w:rPr>
              <w:t xml:space="preserve"> 50.1 </w:t>
            </w:r>
            <w:r w:rsidR="00077829" w:rsidRPr="00FD514D">
              <w:rPr>
                <w:rFonts w:cs="Arial"/>
                <w:lang w:val="es-ES"/>
              </w:rPr>
              <w:t>y</w:t>
            </w:r>
            <w:r w:rsidR="00F00955" w:rsidRPr="00FD514D">
              <w:rPr>
                <w:rFonts w:cs="Arial"/>
                <w:lang w:val="es-ES"/>
              </w:rPr>
              <w:t xml:space="preserve"> </w:t>
            </w:r>
            <w:r w:rsidR="00923E70" w:rsidRPr="00FD514D">
              <w:rPr>
                <w:rFonts w:cs="Arial"/>
                <w:lang w:val="es-ES"/>
              </w:rPr>
              <w:t>5</w:t>
            </w:r>
            <w:r w:rsidR="00516503" w:rsidRPr="00FD514D">
              <w:rPr>
                <w:rFonts w:cs="Arial"/>
                <w:lang w:val="es-ES"/>
              </w:rPr>
              <w:t xml:space="preserve">0.4 </w:t>
            </w:r>
            <w:r w:rsidR="0096180F" w:rsidRPr="00FD514D">
              <w:rPr>
                <w:rFonts w:cs="Arial"/>
                <w:lang w:val="es-ES"/>
              </w:rPr>
              <w:t xml:space="preserve">versan sobre el concepto de </w:t>
            </w:r>
            <w:r w:rsidR="00855E6E">
              <w:rPr>
                <w:rFonts w:cs="Arial"/>
                <w:lang w:val="es-ES"/>
              </w:rPr>
              <w:t>‘</w:t>
            </w:r>
            <w:r w:rsidR="003A7C85" w:rsidRPr="00FD514D">
              <w:rPr>
                <w:rFonts w:cs="Arial"/>
                <w:lang w:val="es-ES"/>
              </w:rPr>
              <w:t>documento oficial</w:t>
            </w:r>
            <w:r w:rsidR="00855E6E">
              <w:rPr>
                <w:rFonts w:cs="Arial"/>
                <w:lang w:val="es-ES"/>
              </w:rPr>
              <w:t>’</w:t>
            </w:r>
            <w:r w:rsidRPr="00FD514D">
              <w:rPr>
                <w:rFonts w:cs="Arial"/>
                <w:lang w:val="es-ES"/>
              </w:rPr>
              <w:t>, el</w:t>
            </w:r>
            <w:r w:rsidR="00F00955" w:rsidRPr="00FD514D">
              <w:rPr>
                <w:rFonts w:cs="Arial"/>
                <w:lang w:val="es-ES"/>
              </w:rPr>
              <w:t xml:space="preserve"> </w:t>
            </w:r>
            <w:r w:rsidR="00BF7EFB" w:rsidRPr="00FD514D">
              <w:rPr>
                <w:rFonts w:cs="Arial"/>
                <w:lang w:val="es-ES"/>
              </w:rPr>
              <w:t>a</w:t>
            </w:r>
            <w:r w:rsidR="00762688" w:rsidRPr="00FD514D">
              <w:rPr>
                <w:rFonts w:cs="Arial"/>
                <w:lang w:val="es-ES"/>
              </w:rPr>
              <w:t>rtículo</w:t>
            </w:r>
            <w:r w:rsidR="00F00955" w:rsidRPr="00FD514D">
              <w:rPr>
                <w:rFonts w:cs="Arial"/>
                <w:lang w:val="es-ES"/>
              </w:rPr>
              <w:t xml:space="preserve"> 50.5 </w:t>
            </w:r>
            <w:r w:rsidRPr="00FD514D">
              <w:rPr>
                <w:rFonts w:cs="Arial"/>
                <w:lang w:val="es-ES"/>
              </w:rPr>
              <w:t xml:space="preserve">se refiere a </w:t>
            </w:r>
            <w:r w:rsidR="00980900">
              <w:rPr>
                <w:rFonts w:cs="Arial"/>
                <w:lang w:val="es-ES"/>
              </w:rPr>
              <w:t>“</w:t>
            </w:r>
            <w:r w:rsidR="00923E70" w:rsidRPr="00FD514D">
              <w:rPr>
                <w:rFonts w:cs="Arial"/>
                <w:lang w:val="es-ES"/>
              </w:rPr>
              <w:t>document</w:t>
            </w:r>
            <w:r w:rsidR="003A7C85" w:rsidRPr="00FD514D">
              <w:rPr>
                <w:rFonts w:cs="Arial"/>
                <w:lang w:val="es-ES"/>
              </w:rPr>
              <w:t>o</w:t>
            </w:r>
            <w:r w:rsidR="00923E70" w:rsidRPr="00FD514D">
              <w:rPr>
                <w:rFonts w:cs="Arial"/>
                <w:lang w:val="es-ES"/>
              </w:rPr>
              <w:t xml:space="preserve">s </w:t>
            </w:r>
            <w:r w:rsidR="003A7C85" w:rsidRPr="00FD514D">
              <w:rPr>
                <w:rFonts w:cs="Arial"/>
                <w:lang w:val="es-ES"/>
              </w:rPr>
              <w:t>que no hayan sido admitidos como documentos oficiales</w:t>
            </w:r>
            <w:r w:rsidR="00980900">
              <w:rPr>
                <w:rFonts w:cs="Arial"/>
                <w:lang w:val="es-ES"/>
              </w:rPr>
              <w:t>”</w:t>
            </w:r>
            <w:r w:rsidR="00923E70" w:rsidRPr="00FD514D">
              <w:rPr>
                <w:rFonts w:cs="Arial"/>
                <w:lang w:val="es-ES"/>
              </w:rPr>
              <w:t xml:space="preserve">. </w:t>
            </w:r>
            <w:r w:rsidRPr="00FD514D">
              <w:rPr>
                <w:rFonts w:cs="Arial"/>
                <w:lang w:val="es-ES"/>
              </w:rPr>
              <w:t xml:space="preserve">Sin embargo, </w:t>
            </w:r>
            <w:r w:rsidR="00053A4A" w:rsidRPr="00FD514D">
              <w:rPr>
                <w:rFonts w:cs="Arial"/>
                <w:lang w:val="es-ES"/>
              </w:rPr>
              <w:t xml:space="preserve">se proporciona escasa orientación sobre la diferencia entre ambos. </w:t>
            </w:r>
          </w:p>
        </w:tc>
        <w:tc>
          <w:tcPr>
            <w:tcW w:w="3332" w:type="dxa"/>
          </w:tcPr>
          <w:p w14:paraId="0B0BF61C" w14:textId="3542E085" w:rsidR="00C6086A" w:rsidRPr="00FD514D" w:rsidRDefault="00F131F9" w:rsidP="00F00955">
            <w:pPr>
              <w:ind w:left="0" w:firstLine="0"/>
              <w:rPr>
                <w:rFonts w:cs="Arial"/>
                <w:lang w:val="es-ES"/>
              </w:rPr>
            </w:pPr>
            <w:r w:rsidRPr="00FD514D">
              <w:rPr>
                <w:rFonts w:cs="Arial"/>
                <w:lang w:val="es-ES"/>
              </w:rPr>
              <w:t xml:space="preserve">Plantear </w:t>
            </w:r>
            <w:r w:rsidR="0089404E" w:rsidRPr="00FD514D">
              <w:rPr>
                <w:rFonts w:cs="Arial"/>
                <w:lang w:val="es-ES"/>
              </w:rPr>
              <w:t xml:space="preserve">la </w:t>
            </w:r>
            <w:r w:rsidR="001A6331" w:rsidRPr="00FD514D">
              <w:rPr>
                <w:rFonts w:cs="Arial"/>
                <w:lang w:val="es-ES"/>
              </w:rPr>
              <w:t>posible</w:t>
            </w:r>
            <w:r w:rsidRPr="00FD514D">
              <w:rPr>
                <w:rFonts w:cs="Arial"/>
                <w:lang w:val="es-ES"/>
              </w:rPr>
              <w:t xml:space="preserve"> </w:t>
            </w:r>
            <w:r w:rsidR="0089404E" w:rsidRPr="00FD514D">
              <w:rPr>
                <w:rFonts w:cs="Arial"/>
                <w:lang w:val="es-ES"/>
              </w:rPr>
              <w:t>modifica</w:t>
            </w:r>
            <w:r w:rsidR="001A6331" w:rsidRPr="00FD514D">
              <w:rPr>
                <w:rFonts w:cs="Arial"/>
                <w:lang w:val="es-ES"/>
              </w:rPr>
              <w:t>ción</w:t>
            </w:r>
            <w:r w:rsidRPr="00FD514D">
              <w:rPr>
                <w:rFonts w:cs="Arial"/>
                <w:lang w:val="es-ES"/>
              </w:rPr>
              <w:t xml:space="preserve"> </w:t>
            </w:r>
            <w:r w:rsidR="001A6331" w:rsidRPr="00FD514D">
              <w:rPr>
                <w:rFonts w:cs="Arial"/>
                <w:lang w:val="es-ES"/>
              </w:rPr>
              <w:t>d</w:t>
            </w:r>
            <w:r w:rsidR="0089404E" w:rsidRPr="00FD514D">
              <w:rPr>
                <w:rFonts w:cs="Arial"/>
                <w:lang w:val="es-ES"/>
              </w:rPr>
              <w:t xml:space="preserve">el artículo </w:t>
            </w:r>
            <w:r w:rsidRPr="00FD514D">
              <w:rPr>
                <w:rFonts w:cs="Arial"/>
                <w:lang w:val="es-ES"/>
              </w:rPr>
              <w:t xml:space="preserve">a fin de aportar mayor claridad a la definición de </w:t>
            </w:r>
            <w:r w:rsidR="00855E6E">
              <w:rPr>
                <w:rFonts w:cs="Arial"/>
                <w:lang w:val="es-ES"/>
              </w:rPr>
              <w:t>‘</w:t>
            </w:r>
            <w:r w:rsidRPr="00FD514D">
              <w:rPr>
                <w:rFonts w:cs="Arial"/>
                <w:lang w:val="es-ES"/>
              </w:rPr>
              <w:t xml:space="preserve">documento </w:t>
            </w:r>
            <w:r w:rsidR="00F00955" w:rsidRPr="00FD514D">
              <w:rPr>
                <w:rFonts w:cs="Arial"/>
                <w:lang w:val="es-ES"/>
              </w:rPr>
              <w:t>oficial</w:t>
            </w:r>
            <w:r w:rsidR="00855E6E">
              <w:rPr>
                <w:rFonts w:cs="Arial"/>
                <w:lang w:val="es-ES"/>
              </w:rPr>
              <w:t>’</w:t>
            </w:r>
            <w:r w:rsidR="00F00955" w:rsidRPr="00FD514D">
              <w:rPr>
                <w:rFonts w:cs="Arial"/>
                <w:lang w:val="es-ES"/>
              </w:rPr>
              <w:t xml:space="preserve"> </w:t>
            </w:r>
            <w:r w:rsidR="006C14EC" w:rsidRPr="00FD514D">
              <w:rPr>
                <w:rFonts w:cs="Arial"/>
                <w:lang w:val="es-ES"/>
              </w:rPr>
              <w:t>y</w:t>
            </w:r>
            <w:r w:rsidR="008E6617" w:rsidRPr="00FD514D">
              <w:rPr>
                <w:rFonts w:cs="Arial"/>
                <w:lang w:val="es-ES"/>
              </w:rPr>
              <w:t xml:space="preserve">, </w:t>
            </w:r>
            <w:r w:rsidR="001A6331" w:rsidRPr="00FD514D">
              <w:rPr>
                <w:rFonts w:cs="Arial"/>
                <w:lang w:val="es-ES"/>
              </w:rPr>
              <w:t>as</w:t>
            </w:r>
            <w:r w:rsidR="00AE3DF6" w:rsidRPr="00FD514D">
              <w:rPr>
                <w:rFonts w:cs="Arial"/>
                <w:lang w:val="es-ES"/>
              </w:rPr>
              <w:t>i</w:t>
            </w:r>
            <w:r w:rsidR="001A6331" w:rsidRPr="00FD514D">
              <w:rPr>
                <w:rFonts w:cs="Arial"/>
                <w:lang w:val="es-ES"/>
              </w:rPr>
              <w:t>mismo</w:t>
            </w:r>
            <w:r w:rsidR="008E6617" w:rsidRPr="00FD514D">
              <w:rPr>
                <w:rFonts w:cs="Arial"/>
                <w:lang w:val="es-ES"/>
              </w:rPr>
              <w:t xml:space="preserve">, </w:t>
            </w:r>
            <w:r w:rsidR="003F0583" w:rsidRPr="00FD514D">
              <w:rPr>
                <w:rFonts w:cs="Arial"/>
                <w:lang w:val="es-ES"/>
              </w:rPr>
              <w:t>de</w:t>
            </w:r>
            <w:r w:rsidR="00502459" w:rsidRPr="00FD514D">
              <w:rPr>
                <w:rFonts w:cs="Arial"/>
                <w:lang w:val="es-ES"/>
              </w:rPr>
              <w:t xml:space="preserve"> </w:t>
            </w:r>
            <w:r w:rsidR="00855E6E">
              <w:rPr>
                <w:rFonts w:cs="Arial"/>
                <w:lang w:val="es-ES"/>
              </w:rPr>
              <w:t>‘</w:t>
            </w:r>
            <w:r w:rsidR="00C63874" w:rsidRPr="00FD514D">
              <w:rPr>
                <w:rFonts w:cs="Arial"/>
                <w:lang w:val="es-ES"/>
              </w:rPr>
              <w:t>documento oficioso</w:t>
            </w:r>
            <w:r w:rsidR="00855E6E">
              <w:rPr>
                <w:rFonts w:cs="Arial"/>
                <w:lang w:val="es-ES"/>
              </w:rPr>
              <w:t>’</w:t>
            </w:r>
            <w:r w:rsidR="008E6617" w:rsidRPr="00FD514D">
              <w:rPr>
                <w:rFonts w:cs="Arial"/>
                <w:lang w:val="es-ES"/>
              </w:rPr>
              <w:t xml:space="preserve"> y </w:t>
            </w:r>
            <w:r w:rsidR="003E337B" w:rsidRPr="00FD514D">
              <w:rPr>
                <w:rFonts w:cs="Arial"/>
                <w:lang w:val="es-ES"/>
              </w:rPr>
              <w:t xml:space="preserve">de las circunstancias en que </w:t>
            </w:r>
            <w:r w:rsidR="001A6331" w:rsidRPr="00FD514D">
              <w:rPr>
                <w:rFonts w:cs="Arial"/>
                <w:lang w:val="es-ES"/>
              </w:rPr>
              <w:t>un documento oficioso</w:t>
            </w:r>
            <w:r w:rsidR="003E337B" w:rsidRPr="00FD514D">
              <w:rPr>
                <w:rFonts w:cs="Arial"/>
                <w:lang w:val="es-ES"/>
              </w:rPr>
              <w:t xml:space="preserve"> puede ser distribuido en una reunión.</w:t>
            </w:r>
            <w:r w:rsidR="00F00955" w:rsidRPr="00FD514D">
              <w:rPr>
                <w:rFonts w:cs="Arial"/>
                <w:lang w:val="es-ES"/>
              </w:rPr>
              <w:t xml:space="preserve"> </w:t>
            </w:r>
          </w:p>
          <w:p w14:paraId="64ED3E2D" w14:textId="77777777" w:rsidR="00F00955" w:rsidRPr="00FD514D" w:rsidRDefault="00F00955" w:rsidP="00F00955">
            <w:pPr>
              <w:ind w:left="0" w:firstLine="0"/>
              <w:rPr>
                <w:rFonts w:cs="Arial"/>
                <w:lang w:val="es-ES"/>
              </w:rPr>
            </w:pPr>
          </w:p>
          <w:p w14:paraId="7C77326A" w14:textId="77777777" w:rsidR="00F00955" w:rsidRPr="00FD514D" w:rsidRDefault="006E40C1" w:rsidP="00F00955">
            <w:pPr>
              <w:ind w:left="0" w:firstLine="0"/>
              <w:rPr>
                <w:rFonts w:cs="Arial"/>
                <w:lang w:val="es-ES"/>
              </w:rPr>
            </w:pPr>
            <w:r w:rsidRPr="00FD514D">
              <w:rPr>
                <w:rFonts w:cs="Arial"/>
                <w:lang w:val="es-ES"/>
              </w:rPr>
              <w:t>Esto</w:t>
            </w:r>
            <w:r w:rsidR="00F3435F" w:rsidRPr="00FD514D">
              <w:rPr>
                <w:rFonts w:cs="Arial"/>
                <w:lang w:val="es-ES"/>
              </w:rPr>
              <w:t xml:space="preserve"> también debe ser incluido en un </w:t>
            </w:r>
            <w:r w:rsidRPr="00FD514D">
              <w:rPr>
                <w:rFonts w:cs="Arial"/>
                <w:lang w:val="es-ES"/>
              </w:rPr>
              <w:t>a</w:t>
            </w:r>
            <w:r w:rsidR="00762688" w:rsidRPr="00FD514D">
              <w:rPr>
                <w:rFonts w:cs="Arial"/>
                <w:lang w:val="es-ES"/>
              </w:rPr>
              <w:t>rtículo</w:t>
            </w:r>
            <w:r w:rsidR="00F3435F" w:rsidRPr="00FD514D">
              <w:rPr>
                <w:rFonts w:cs="Arial"/>
                <w:lang w:val="es-ES"/>
              </w:rPr>
              <w:t xml:space="preserve"> aparte</w:t>
            </w:r>
            <w:r w:rsidR="00F00955" w:rsidRPr="00FD514D">
              <w:rPr>
                <w:rFonts w:cs="Arial"/>
                <w:lang w:val="es-ES"/>
              </w:rPr>
              <w:t xml:space="preserve"> (</w:t>
            </w:r>
            <w:r w:rsidR="00736C22" w:rsidRPr="00FD514D">
              <w:rPr>
                <w:rFonts w:cs="Arial"/>
                <w:lang w:val="es-ES"/>
              </w:rPr>
              <w:t xml:space="preserve">en lugar de estar incluido en </w:t>
            </w:r>
            <w:r w:rsidR="00077829" w:rsidRPr="00FD514D">
              <w:rPr>
                <w:rFonts w:cs="Arial"/>
                <w:lang w:val="es-ES"/>
              </w:rPr>
              <w:t xml:space="preserve">un </w:t>
            </w:r>
            <w:r w:rsidRPr="00FD514D">
              <w:rPr>
                <w:rFonts w:cs="Arial"/>
                <w:lang w:val="es-ES"/>
              </w:rPr>
              <w:t>a</w:t>
            </w:r>
            <w:r w:rsidR="00762688" w:rsidRPr="00FD514D">
              <w:rPr>
                <w:rFonts w:cs="Arial"/>
                <w:lang w:val="es-ES"/>
              </w:rPr>
              <w:t>rtículo</w:t>
            </w:r>
            <w:r w:rsidR="00F00955" w:rsidRPr="00FD514D">
              <w:rPr>
                <w:rFonts w:cs="Arial"/>
                <w:lang w:val="es-ES"/>
              </w:rPr>
              <w:t xml:space="preserve"> </w:t>
            </w:r>
            <w:r w:rsidR="00F3435F" w:rsidRPr="00FD514D">
              <w:rPr>
                <w:rFonts w:cs="Arial"/>
                <w:lang w:val="es-ES"/>
              </w:rPr>
              <w:t>referente a idiomas</w:t>
            </w:r>
            <w:r w:rsidR="00F00955" w:rsidRPr="00FD514D">
              <w:rPr>
                <w:rFonts w:cs="Arial"/>
                <w:lang w:val="es-ES"/>
              </w:rPr>
              <w:t xml:space="preserve">). </w:t>
            </w:r>
          </w:p>
        </w:tc>
      </w:tr>
    </w:tbl>
    <w:p w14:paraId="44B85F0A" w14:textId="77777777" w:rsidR="00D00100" w:rsidRPr="00FD514D" w:rsidRDefault="00D00100" w:rsidP="00275F13">
      <w:pPr>
        <w:pStyle w:val="NoSpacing"/>
        <w:rPr>
          <w:lang w:val="es-ES"/>
        </w:rPr>
      </w:pPr>
    </w:p>
    <w:p w14:paraId="7022E948" w14:textId="77777777" w:rsidR="00A340E6" w:rsidRPr="00FD514D" w:rsidRDefault="00A340E6" w:rsidP="00D00100">
      <w:pPr>
        <w:pStyle w:val="NoSpacing"/>
        <w:ind w:left="0" w:firstLine="0"/>
        <w:rPr>
          <w:lang w:val="es-ES"/>
        </w:rPr>
      </w:pPr>
    </w:p>
    <w:p w14:paraId="065C6985" w14:textId="77777777" w:rsidR="00D00100" w:rsidRPr="00FD514D" w:rsidRDefault="00D00100" w:rsidP="00D00100">
      <w:pPr>
        <w:pStyle w:val="NoSpacing"/>
        <w:ind w:left="0" w:firstLine="0"/>
        <w:rPr>
          <w:lang w:val="es-ES"/>
        </w:rPr>
      </w:pPr>
    </w:p>
    <w:p w14:paraId="2248B842" w14:textId="3BFFC726" w:rsidR="00D00100" w:rsidRPr="00FD514D" w:rsidRDefault="00D93EA0" w:rsidP="00980900">
      <w:pPr>
        <w:pStyle w:val="NoSpacing"/>
        <w:keepNext/>
        <w:ind w:left="0" w:firstLine="0"/>
        <w:rPr>
          <w:b/>
          <w:lang w:val="es-ES"/>
        </w:rPr>
      </w:pPr>
      <w:r w:rsidRPr="00FD514D">
        <w:rPr>
          <w:b/>
          <w:lang w:val="es-ES"/>
        </w:rPr>
        <w:lastRenderedPageBreak/>
        <w:t xml:space="preserve">Sección </w:t>
      </w:r>
      <w:r w:rsidR="003131FF" w:rsidRPr="00FD514D">
        <w:rPr>
          <w:b/>
          <w:lang w:val="es-ES"/>
        </w:rPr>
        <w:t>3:</w:t>
      </w:r>
      <w:r w:rsidR="00FA1101" w:rsidRPr="00FD514D">
        <w:rPr>
          <w:b/>
          <w:lang w:val="es-ES"/>
        </w:rPr>
        <w:t xml:space="preserve">  </w:t>
      </w:r>
      <w:bookmarkStart w:id="0" w:name="_GoBack"/>
      <w:bookmarkEnd w:id="0"/>
      <w:r w:rsidR="00305358" w:rsidRPr="00FD514D">
        <w:rPr>
          <w:b/>
          <w:lang w:val="es-ES"/>
        </w:rPr>
        <w:t>A</w:t>
      </w:r>
      <w:r w:rsidR="00A85AC1" w:rsidRPr="00FD514D">
        <w:rPr>
          <w:b/>
          <w:lang w:val="es-ES"/>
        </w:rPr>
        <w:t>plicabili</w:t>
      </w:r>
      <w:r w:rsidR="00F3435F" w:rsidRPr="00FD514D">
        <w:rPr>
          <w:b/>
          <w:lang w:val="es-ES"/>
        </w:rPr>
        <w:t xml:space="preserve">dad del </w:t>
      </w:r>
      <w:r w:rsidR="006E40C1" w:rsidRPr="00FD514D">
        <w:rPr>
          <w:b/>
          <w:lang w:val="es-ES"/>
        </w:rPr>
        <w:t>r</w:t>
      </w:r>
      <w:r w:rsidR="00762688" w:rsidRPr="00FD514D">
        <w:rPr>
          <w:b/>
          <w:lang w:val="es-ES"/>
        </w:rPr>
        <w:t>eglamento</w:t>
      </w:r>
      <w:r w:rsidR="00305358" w:rsidRPr="00FD514D">
        <w:rPr>
          <w:b/>
          <w:lang w:val="es-ES"/>
        </w:rPr>
        <w:t xml:space="preserve"> </w:t>
      </w:r>
      <w:r w:rsidR="00F3435F" w:rsidRPr="00FD514D">
        <w:rPr>
          <w:b/>
          <w:lang w:val="es-ES"/>
        </w:rPr>
        <w:t xml:space="preserve">a </w:t>
      </w:r>
      <w:r w:rsidR="00B442AD" w:rsidRPr="00FD514D">
        <w:rPr>
          <w:b/>
          <w:lang w:val="es-ES"/>
        </w:rPr>
        <w:t xml:space="preserve">los órganos subsidiarios, incluyendo el CP, los grupos de trabajo y los grupos de Amigos de la Presidencia </w:t>
      </w:r>
      <w:r w:rsidR="001E0DB7" w:rsidRPr="00FD514D">
        <w:rPr>
          <w:b/>
          <w:lang w:val="es-ES"/>
        </w:rPr>
        <w:t>(</w:t>
      </w:r>
      <w:r w:rsidR="00B442AD" w:rsidRPr="00FD514D">
        <w:rPr>
          <w:b/>
          <w:lang w:val="es-ES"/>
        </w:rPr>
        <w:t>y enmiendas pertinentes</w:t>
      </w:r>
      <w:r w:rsidR="001E0DB7" w:rsidRPr="00FD514D">
        <w:rPr>
          <w:b/>
          <w:lang w:val="es-ES"/>
        </w:rPr>
        <w:t>)</w:t>
      </w:r>
      <w:r w:rsidR="00C060AB" w:rsidRPr="00FD514D">
        <w:rPr>
          <w:rStyle w:val="FootnoteReference"/>
          <w:lang w:val="es-ES"/>
        </w:rPr>
        <w:footnoteReference w:id="9"/>
      </w:r>
    </w:p>
    <w:p w14:paraId="5AD18481" w14:textId="77777777" w:rsidR="0017358B" w:rsidRPr="00FD514D" w:rsidRDefault="0017358B" w:rsidP="00980900">
      <w:pPr>
        <w:pStyle w:val="NoSpacing"/>
        <w:keepNext/>
        <w:ind w:left="0" w:firstLine="0"/>
        <w:rPr>
          <w:lang w:val="es-ES"/>
        </w:rPr>
      </w:pPr>
    </w:p>
    <w:p w14:paraId="32D54279" w14:textId="77777777" w:rsidR="004C4168" w:rsidRPr="00FD514D" w:rsidRDefault="00031580" w:rsidP="00980900">
      <w:pPr>
        <w:pStyle w:val="NoSpacing"/>
        <w:keepNext/>
        <w:ind w:left="0" w:firstLine="0"/>
        <w:jc w:val="center"/>
        <w:rPr>
          <w:b/>
          <w:i/>
          <w:u w:val="single"/>
          <w:lang w:val="es-ES"/>
        </w:rPr>
      </w:pPr>
      <w:r w:rsidRPr="00FD514D">
        <w:rPr>
          <w:b/>
          <w:i/>
          <w:u w:val="single"/>
          <w:lang w:val="es-ES"/>
        </w:rPr>
        <w:t xml:space="preserve">Cuadro </w:t>
      </w:r>
      <w:r w:rsidR="004C4168" w:rsidRPr="00FD514D">
        <w:rPr>
          <w:b/>
          <w:i/>
          <w:u w:val="single"/>
          <w:lang w:val="es-ES"/>
        </w:rPr>
        <w:t>2</w:t>
      </w:r>
    </w:p>
    <w:p w14:paraId="3A63EE3B" w14:textId="77777777" w:rsidR="00D00100" w:rsidRPr="00FD514D" w:rsidRDefault="00D00100" w:rsidP="00980900">
      <w:pPr>
        <w:pStyle w:val="NoSpacing"/>
        <w:keepNext/>
        <w:rPr>
          <w:lang w:val="es-ES"/>
        </w:rPr>
      </w:pPr>
    </w:p>
    <w:tbl>
      <w:tblPr>
        <w:tblStyle w:val="TableGrid"/>
        <w:tblW w:w="0" w:type="auto"/>
        <w:tblCellMar>
          <w:top w:w="85" w:type="dxa"/>
          <w:bottom w:w="85" w:type="dxa"/>
        </w:tblCellMar>
        <w:tblLook w:val="04A0" w:firstRow="1" w:lastRow="0" w:firstColumn="1" w:lastColumn="0" w:noHBand="0" w:noVBand="1"/>
      </w:tblPr>
      <w:tblGrid>
        <w:gridCol w:w="580"/>
        <w:gridCol w:w="1984"/>
        <w:gridCol w:w="3308"/>
        <w:gridCol w:w="3308"/>
      </w:tblGrid>
      <w:tr w:rsidR="00D50999" w:rsidRPr="00FD514D" w14:paraId="4B1DB94F" w14:textId="77777777" w:rsidTr="00980900">
        <w:trPr>
          <w:tblHeader/>
        </w:trPr>
        <w:tc>
          <w:tcPr>
            <w:tcW w:w="580" w:type="dxa"/>
            <w:shd w:val="clear" w:color="auto" w:fill="F2F2F2" w:themeFill="background1" w:themeFillShade="F2"/>
          </w:tcPr>
          <w:p w14:paraId="26B711D8" w14:textId="77777777" w:rsidR="00A36FF0" w:rsidRPr="00FD514D" w:rsidRDefault="00A36FF0" w:rsidP="0078688F">
            <w:pPr>
              <w:pStyle w:val="NoSpacing"/>
              <w:ind w:left="0" w:firstLine="0"/>
              <w:rPr>
                <w:b/>
                <w:lang w:val="es-ES"/>
              </w:rPr>
            </w:pPr>
          </w:p>
        </w:tc>
        <w:tc>
          <w:tcPr>
            <w:tcW w:w="1984" w:type="dxa"/>
            <w:shd w:val="clear" w:color="auto" w:fill="F2F2F2" w:themeFill="background1" w:themeFillShade="F2"/>
          </w:tcPr>
          <w:p w14:paraId="58345F16" w14:textId="77777777" w:rsidR="00A36FF0" w:rsidRPr="00FD514D" w:rsidRDefault="00762688" w:rsidP="0078688F">
            <w:pPr>
              <w:pStyle w:val="NoSpacing"/>
              <w:ind w:left="0" w:firstLine="0"/>
              <w:rPr>
                <w:b/>
                <w:lang w:val="es-ES"/>
              </w:rPr>
            </w:pPr>
            <w:r w:rsidRPr="00FD514D">
              <w:rPr>
                <w:b/>
                <w:lang w:val="es-ES"/>
              </w:rPr>
              <w:t>Artículo</w:t>
            </w:r>
          </w:p>
        </w:tc>
        <w:tc>
          <w:tcPr>
            <w:tcW w:w="3308" w:type="dxa"/>
            <w:shd w:val="clear" w:color="auto" w:fill="F2F2F2" w:themeFill="background1" w:themeFillShade="F2"/>
          </w:tcPr>
          <w:p w14:paraId="25E015FA" w14:textId="4328BCAA" w:rsidR="00A36FF0" w:rsidRPr="00980900" w:rsidRDefault="00DF547D" w:rsidP="00135896">
            <w:pPr>
              <w:pStyle w:val="NoSpacing"/>
              <w:ind w:left="47" w:firstLine="1"/>
              <w:rPr>
                <w:b/>
                <w:spacing w:val="-2"/>
                <w:lang w:val="es-ES"/>
              </w:rPr>
            </w:pPr>
            <w:r w:rsidRPr="00980900">
              <w:rPr>
                <w:b/>
                <w:spacing w:val="-2"/>
                <w:lang w:val="es-ES"/>
              </w:rPr>
              <w:t xml:space="preserve">Aplicación al Comité Permanente, </w:t>
            </w:r>
            <w:r w:rsidR="00CC4508" w:rsidRPr="00980900">
              <w:rPr>
                <w:b/>
                <w:spacing w:val="-2"/>
                <w:lang w:val="es-ES"/>
              </w:rPr>
              <w:t>grupos de trabajo y grupos de Amigos de la Presidencia</w:t>
            </w:r>
          </w:p>
        </w:tc>
        <w:tc>
          <w:tcPr>
            <w:tcW w:w="3308" w:type="dxa"/>
            <w:shd w:val="clear" w:color="auto" w:fill="F2F2F2" w:themeFill="background1" w:themeFillShade="F2"/>
          </w:tcPr>
          <w:p w14:paraId="20B7ED77" w14:textId="77777777" w:rsidR="00A36FF0" w:rsidRPr="00FD514D" w:rsidRDefault="00A36FF0" w:rsidP="0078688F">
            <w:pPr>
              <w:pStyle w:val="NoSpacing"/>
              <w:ind w:left="0" w:firstLine="0"/>
              <w:rPr>
                <w:b/>
                <w:lang w:val="es-ES"/>
              </w:rPr>
            </w:pPr>
            <w:r w:rsidRPr="00FD514D">
              <w:rPr>
                <w:b/>
                <w:lang w:val="es-ES"/>
              </w:rPr>
              <w:t>Recom</w:t>
            </w:r>
            <w:r w:rsidR="00CC4508" w:rsidRPr="00FD514D">
              <w:rPr>
                <w:b/>
                <w:lang w:val="es-ES"/>
              </w:rPr>
              <w:t>endación sobre</w:t>
            </w:r>
            <w:r w:rsidR="00502459" w:rsidRPr="00FD514D">
              <w:rPr>
                <w:b/>
                <w:lang w:val="es-ES"/>
              </w:rPr>
              <w:t xml:space="preserve"> </w:t>
            </w:r>
            <w:r w:rsidR="00CC4508" w:rsidRPr="00FD514D">
              <w:rPr>
                <w:b/>
                <w:lang w:val="es-ES"/>
              </w:rPr>
              <w:t>enmiendas</w:t>
            </w:r>
            <w:r w:rsidR="00DC7352" w:rsidRPr="00FD514D">
              <w:rPr>
                <w:b/>
                <w:lang w:val="es-ES"/>
              </w:rPr>
              <w:t xml:space="preserve"> </w:t>
            </w:r>
          </w:p>
        </w:tc>
      </w:tr>
      <w:tr w:rsidR="00D50999" w:rsidRPr="00070719" w14:paraId="1A955BD0" w14:textId="77777777" w:rsidTr="00980900">
        <w:tc>
          <w:tcPr>
            <w:tcW w:w="580" w:type="dxa"/>
          </w:tcPr>
          <w:p w14:paraId="4E5AE5B0" w14:textId="77777777" w:rsidR="00A36FF0" w:rsidRPr="00FD514D" w:rsidRDefault="00A36FF0" w:rsidP="0078688F">
            <w:pPr>
              <w:pStyle w:val="NoSpacing"/>
              <w:ind w:left="0" w:firstLine="0"/>
              <w:rPr>
                <w:lang w:val="es-ES"/>
              </w:rPr>
            </w:pPr>
            <w:r w:rsidRPr="00FD514D">
              <w:rPr>
                <w:lang w:val="es-ES"/>
              </w:rPr>
              <w:t>1</w:t>
            </w:r>
          </w:p>
        </w:tc>
        <w:tc>
          <w:tcPr>
            <w:tcW w:w="1984" w:type="dxa"/>
          </w:tcPr>
          <w:p w14:paraId="102A708D" w14:textId="77777777" w:rsidR="00A36FF0" w:rsidRPr="00FD514D" w:rsidRDefault="00762688" w:rsidP="0078688F">
            <w:pPr>
              <w:pStyle w:val="NoSpacing"/>
              <w:ind w:left="0" w:firstLine="0"/>
              <w:rPr>
                <w:lang w:val="es-ES"/>
              </w:rPr>
            </w:pPr>
            <w:r w:rsidRPr="00FD514D">
              <w:rPr>
                <w:lang w:val="es-ES"/>
              </w:rPr>
              <w:t>Artículo</w:t>
            </w:r>
            <w:r w:rsidR="000C061B" w:rsidRPr="00FD514D">
              <w:rPr>
                <w:lang w:val="es-ES"/>
              </w:rPr>
              <w:t xml:space="preserve"> </w:t>
            </w:r>
            <w:r w:rsidR="00A36FF0" w:rsidRPr="00FD514D">
              <w:rPr>
                <w:lang w:val="es-ES"/>
              </w:rPr>
              <w:t>3</w:t>
            </w:r>
            <w:r w:rsidR="00305358" w:rsidRPr="00FD514D">
              <w:rPr>
                <w:lang w:val="es-ES"/>
              </w:rPr>
              <w:t>:</w:t>
            </w:r>
            <w:r w:rsidR="00A36FF0" w:rsidRPr="00FD514D">
              <w:rPr>
                <w:lang w:val="es-ES"/>
              </w:rPr>
              <w:t xml:space="preserve"> </w:t>
            </w:r>
            <w:r w:rsidR="00806000" w:rsidRPr="00FD514D">
              <w:rPr>
                <w:lang w:val="es-ES"/>
              </w:rPr>
              <w:t>Lugar de las reuniones</w:t>
            </w:r>
            <w:r w:rsidR="00A36FF0" w:rsidRPr="00FD514D">
              <w:rPr>
                <w:lang w:val="es-ES"/>
              </w:rPr>
              <w:t xml:space="preserve"> </w:t>
            </w:r>
          </w:p>
        </w:tc>
        <w:tc>
          <w:tcPr>
            <w:tcW w:w="3308" w:type="dxa"/>
          </w:tcPr>
          <w:p w14:paraId="472C7C02" w14:textId="599F962C" w:rsidR="00A36FF0" w:rsidRPr="00FD514D" w:rsidRDefault="00050DBF" w:rsidP="00B13EDF">
            <w:pPr>
              <w:pStyle w:val="NoSpacing"/>
              <w:ind w:left="0" w:firstLine="0"/>
              <w:rPr>
                <w:lang w:val="es-ES"/>
              </w:rPr>
            </w:pPr>
            <w:r w:rsidRPr="00FD514D">
              <w:rPr>
                <w:lang w:val="es-ES"/>
              </w:rPr>
              <w:t>Teniendo en</w:t>
            </w:r>
            <w:r w:rsidR="008F0F83" w:rsidRPr="00FD514D">
              <w:rPr>
                <w:lang w:val="es-ES"/>
              </w:rPr>
              <w:t xml:space="preserve"> cuenta que las reuniones del CP tradicionalmente se celebran en </w:t>
            </w:r>
            <w:r w:rsidR="00A36FF0" w:rsidRPr="00FD514D">
              <w:rPr>
                <w:lang w:val="es-ES"/>
              </w:rPr>
              <w:t>Gland,</w:t>
            </w:r>
            <w:r w:rsidR="00A36FF0" w:rsidRPr="00FD514D">
              <w:rPr>
                <w:rStyle w:val="FootnoteReference"/>
                <w:lang w:val="es-ES"/>
              </w:rPr>
              <w:footnoteReference w:id="10"/>
            </w:r>
            <w:r w:rsidR="00A36FF0" w:rsidRPr="00FD514D">
              <w:rPr>
                <w:lang w:val="es-ES"/>
              </w:rPr>
              <w:t xml:space="preserve"> </w:t>
            </w:r>
            <w:r w:rsidR="008F0F83" w:rsidRPr="00FD514D">
              <w:rPr>
                <w:lang w:val="es-ES"/>
              </w:rPr>
              <w:t>este</w:t>
            </w:r>
            <w:r w:rsidR="00502459" w:rsidRPr="00FD514D">
              <w:rPr>
                <w:lang w:val="es-ES"/>
              </w:rPr>
              <w:t xml:space="preserve"> </w:t>
            </w:r>
            <w:r w:rsidR="00762688" w:rsidRPr="00FD514D">
              <w:rPr>
                <w:lang w:val="es-ES"/>
              </w:rPr>
              <w:t>artículo</w:t>
            </w:r>
            <w:r w:rsidR="00A36FF0" w:rsidRPr="00FD514D">
              <w:rPr>
                <w:lang w:val="es-ES"/>
              </w:rPr>
              <w:t xml:space="preserve"> </w:t>
            </w:r>
            <w:r w:rsidR="00D50E0F" w:rsidRPr="00FD514D">
              <w:rPr>
                <w:lang w:val="es-ES"/>
              </w:rPr>
              <w:t xml:space="preserve">no se ajusta a la práctica actual de </w:t>
            </w:r>
            <w:r w:rsidR="00A36FF0" w:rsidRPr="00FD514D">
              <w:rPr>
                <w:lang w:val="es-ES"/>
              </w:rPr>
              <w:t>Ramsar</w:t>
            </w:r>
            <w:r w:rsidR="00C97136" w:rsidRPr="00FD514D">
              <w:rPr>
                <w:lang w:val="es-ES"/>
              </w:rPr>
              <w:t>, por lo que,</w:t>
            </w:r>
            <w:r w:rsidR="00D50E0F" w:rsidRPr="00FD514D">
              <w:rPr>
                <w:lang w:val="es-ES"/>
              </w:rPr>
              <w:t xml:space="preserve"> </w:t>
            </w:r>
            <w:r w:rsidR="00C97136" w:rsidRPr="00FD514D">
              <w:rPr>
                <w:lang w:val="es-ES"/>
              </w:rPr>
              <w:t xml:space="preserve">en este sentido, </w:t>
            </w:r>
            <w:r w:rsidR="00440972" w:rsidRPr="00FD514D">
              <w:rPr>
                <w:lang w:val="es-ES"/>
              </w:rPr>
              <w:t>no es aplicable</w:t>
            </w:r>
            <w:r w:rsidR="00A36FF0" w:rsidRPr="00FD514D">
              <w:rPr>
                <w:lang w:val="es-ES"/>
              </w:rPr>
              <w:t xml:space="preserve">. </w:t>
            </w:r>
            <w:r w:rsidR="00C97136" w:rsidRPr="00FD514D">
              <w:rPr>
                <w:lang w:val="es-ES"/>
              </w:rPr>
              <w:t xml:space="preserve">Asimismo, </w:t>
            </w:r>
            <w:r w:rsidRPr="00FD514D">
              <w:rPr>
                <w:lang w:val="es-ES"/>
              </w:rPr>
              <w:t xml:space="preserve">en la práctica </w:t>
            </w:r>
            <w:r w:rsidR="00C97136" w:rsidRPr="00FD514D">
              <w:rPr>
                <w:lang w:val="es-ES"/>
              </w:rPr>
              <w:t>l</w:t>
            </w:r>
            <w:r w:rsidR="005234D8" w:rsidRPr="00FD514D">
              <w:rPr>
                <w:lang w:val="es-ES"/>
              </w:rPr>
              <w:t>as reuniones del GECT y de otros órganos subsidiarios no están sujetas a este a</w:t>
            </w:r>
            <w:r w:rsidR="00762688" w:rsidRPr="00FD514D">
              <w:rPr>
                <w:lang w:val="es-ES"/>
              </w:rPr>
              <w:t>rtículo</w:t>
            </w:r>
            <w:r w:rsidR="00A36FF0" w:rsidRPr="00FD514D">
              <w:rPr>
                <w:lang w:val="es-ES"/>
              </w:rPr>
              <w:t xml:space="preserve">. </w:t>
            </w:r>
          </w:p>
        </w:tc>
        <w:tc>
          <w:tcPr>
            <w:tcW w:w="3308" w:type="dxa"/>
          </w:tcPr>
          <w:p w14:paraId="109E27B4" w14:textId="77777777" w:rsidR="00A36FF0" w:rsidRPr="00FD514D" w:rsidRDefault="001C72AA" w:rsidP="00D444A0">
            <w:pPr>
              <w:pStyle w:val="NoSpacing"/>
              <w:ind w:left="0" w:firstLine="0"/>
              <w:rPr>
                <w:lang w:val="es-ES"/>
              </w:rPr>
            </w:pPr>
            <w:r w:rsidRPr="00FD514D">
              <w:rPr>
                <w:lang w:val="es-ES"/>
              </w:rPr>
              <w:t xml:space="preserve">Se podría establecer un </w:t>
            </w:r>
            <w:r w:rsidR="00762688" w:rsidRPr="00FD514D">
              <w:rPr>
                <w:lang w:val="es-ES"/>
              </w:rPr>
              <w:t>reglamento</w:t>
            </w:r>
            <w:r w:rsidRPr="00FD514D">
              <w:rPr>
                <w:lang w:val="es-ES"/>
              </w:rPr>
              <w:t xml:space="preserve"> propio para el CP</w:t>
            </w:r>
            <w:r w:rsidR="00C84A87" w:rsidRPr="00FD514D">
              <w:rPr>
                <w:rStyle w:val="FootnoteReference"/>
                <w:lang w:val="es-ES"/>
              </w:rPr>
              <w:footnoteReference w:id="11"/>
            </w:r>
            <w:r w:rsidR="00AD4147" w:rsidRPr="00FD514D">
              <w:rPr>
                <w:lang w:val="es-ES"/>
              </w:rPr>
              <w:t xml:space="preserve">, y posiblemente </w:t>
            </w:r>
            <w:r w:rsidR="008A0566" w:rsidRPr="00FD514D">
              <w:rPr>
                <w:lang w:val="es-ES"/>
              </w:rPr>
              <w:t>el GECT,</w:t>
            </w:r>
            <w:r w:rsidR="002C39E3" w:rsidRPr="00FD514D">
              <w:rPr>
                <w:lang w:val="es-ES"/>
              </w:rPr>
              <w:t xml:space="preserve"> </w:t>
            </w:r>
            <w:r w:rsidR="00F765DF" w:rsidRPr="00FD514D">
              <w:rPr>
                <w:lang w:val="es-ES"/>
              </w:rPr>
              <w:t>que incluy</w:t>
            </w:r>
            <w:r w:rsidR="00476893" w:rsidRPr="00FD514D">
              <w:rPr>
                <w:lang w:val="es-ES"/>
              </w:rPr>
              <w:t>a</w:t>
            </w:r>
            <w:r w:rsidR="00F765DF" w:rsidRPr="00FD514D">
              <w:rPr>
                <w:lang w:val="es-ES"/>
              </w:rPr>
              <w:t xml:space="preserve"> </w:t>
            </w:r>
            <w:r w:rsidR="00282320" w:rsidRPr="00FD514D">
              <w:rPr>
                <w:lang w:val="es-ES"/>
              </w:rPr>
              <w:t>cualquier norma procedimental prevista en la Resolución</w:t>
            </w:r>
            <w:r w:rsidR="005D64E0" w:rsidRPr="00FD514D">
              <w:rPr>
                <w:lang w:val="es-ES"/>
              </w:rPr>
              <w:t xml:space="preserve"> XIII.4.</w:t>
            </w:r>
            <w:r w:rsidR="005D64E0" w:rsidRPr="00FD514D">
              <w:rPr>
                <w:rStyle w:val="FootnoteReference"/>
                <w:lang w:val="es-ES"/>
              </w:rPr>
              <w:footnoteReference w:id="12"/>
            </w:r>
          </w:p>
          <w:p w14:paraId="1E65E91A" w14:textId="77777777" w:rsidR="00A36FF0" w:rsidRPr="00FD514D" w:rsidRDefault="00A36FF0" w:rsidP="00D444A0">
            <w:pPr>
              <w:pStyle w:val="NoSpacing"/>
              <w:ind w:left="0" w:firstLine="0"/>
              <w:rPr>
                <w:lang w:val="es-ES"/>
              </w:rPr>
            </w:pPr>
          </w:p>
          <w:p w14:paraId="46AC5393" w14:textId="22884268" w:rsidR="00A36FF0" w:rsidRPr="00FD514D" w:rsidRDefault="00AE28C2" w:rsidP="00D444A0">
            <w:pPr>
              <w:pStyle w:val="NoSpacing"/>
              <w:ind w:left="0" w:firstLine="0"/>
              <w:rPr>
                <w:lang w:val="es-ES"/>
              </w:rPr>
            </w:pPr>
            <w:r w:rsidRPr="00FD514D">
              <w:rPr>
                <w:lang w:val="es-ES"/>
              </w:rPr>
              <w:t xml:space="preserve">Tal </w:t>
            </w:r>
            <w:r w:rsidR="00762688" w:rsidRPr="00FD514D">
              <w:rPr>
                <w:lang w:val="es-ES"/>
              </w:rPr>
              <w:t>reglamento</w:t>
            </w:r>
            <w:r w:rsidRPr="00FD514D">
              <w:rPr>
                <w:lang w:val="es-ES"/>
              </w:rPr>
              <w:t xml:space="preserve"> </w:t>
            </w:r>
            <w:r w:rsidR="0066064C" w:rsidRPr="00FD514D">
              <w:rPr>
                <w:lang w:val="es-ES"/>
              </w:rPr>
              <w:t>podría incluir</w:t>
            </w:r>
            <w:r w:rsidR="00326123" w:rsidRPr="00FD514D">
              <w:rPr>
                <w:lang w:val="es-ES"/>
              </w:rPr>
              <w:t xml:space="preserve">, </w:t>
            </w:r>
            <w:r w:rsidR="00C35915" w:rsidRPr="00FD514D">
              <w:rPr>
                <w:lang w:val="es-ES"/>
              </w:rPr>
              <w:t xml:space="preserve">por ejemplo, </w:t>
            </w:r>
            <w:r w:rsidR="00326123" w:rsidRPr="00FD514D">
              <w:rPr>
                <w:lang w:val="es-ES"/>
              </w:rPr>
              <w:t>en un anexo que se actualizaría después de cada COP</w:t>
            </w:r>
            <w:r w:rsidR="00C35915" w:rsidRPr="00FD514D">
              <w:rPr>
                <w:lang w:val="es-ES"/>
              </w:rPr>
              <w:t xml:space="preserve">, </w:t>
            </w:r>
            <w:r w:rsidR="0066064C" w:rsidRPr="00FD514D">
              <w:rPr>
                <w:lang w:val="es-ES"/>
              </w:rPr>
              <w:t>todo</w:t>
            </w:r>
            <w:r w:rsidR="002361F3" w:rsidRPr="00FD514D">
              <w:rPr>
                <w:lang w:val="es-ES"/>
              </w:rPr>
              <w:t>s</w:t>
            </w:r>
            <w:r w:rsidR="0066064C" w:rsidRPr="00FD514D">
              <w:rPr>
                <w:lang w:val="es-ES"/>
              </w:rPr>
              <w:t xml:space="preserve"> </w:t>
            </w:r>
            <w:r w:rsidR="002361F3" w:rsidRPr="00FD514D">
              <w:rPr>
                <w:lang w:val="es-ES"/>
              </w:rPr>
              <w:t xml:space="preserve">los </w:t>
            </w:r>
            <w:r w:rsidR="0066064C" w:rsidRPr="00FD514D">
              <w:rPr>
                <w:lang w:val="es-ES"/>
              </w:rPr>
              <w:t>requisito</w:t>
            </w:r>
            <w:r w:rsidR="002361F3" w:rsidRPr="00FD514D">
              <w:rPr>
                <w:lang w:val="es-ES"/>
              </w:rPr>
              <w:t>s</w:t>
            </w:r>
            <w:r w:rsidR="0066064C" w:rsidRPr="00FD514D">
              <w:rPr>
                <w:lang w:val="es-ES"/>
              </w:rPr>
              <w:t xml:space="preserve"> procedimental</w:t>
            </w:r>
            <w:r w:rsidR="002361F3" w:rsidRPr="00FD514D">
              <w:rPr>
                <w:lang w:val="es-ES"/>
              </w:rPr>
              <w:t>es</w:t>
            </w:r>
            <w:r w:rsidR="0066064C" w:rsidRPr="00FD514D">
              <w:rPr>
                <w:lang w:val="es-ES"/>
              </w:rPr>
              <w:t xml:space="preserve"> pertinente</w:t>
            </w:r>
            <w:r w:rsidR="002361F3" w:rsidRPr="00FD514D">
              <w:rPr>
                <w:lang w:val="es-ES"/>
              </w:rPr>
              <w:t>s</w:t>
            </w:r>
            <w:r w:rsidR="00C35915" w:rsidRPr="00FD514D">
              <w:rPr>
                <w:lang w:val="es-ES"/>
              </w:rPr>
              <w:t>,</w:t>
            </w:r>
            <w:r w:rsidR="0066064C" w:rsidRPr="00FD514D">
              <w:rPr>
                <w:lang w:val="es-ES"/>
              </w:rPr>
              <w:t xml:space="preserve"> establecido</w:t>
            </w:r>
            <w:r w:rsidR="002361F3" w:rsidRPr="00FD514D">
              <w:rPr>
                <w:lang w:val="es-ES"/>
              </w:rPr>
              <w:t>s</w:t>
            </w:r>
            <w:r w:rsidR="0066064C" w:rsidRPr="00FD514D">
              <w:rPr>
                <w:lang w:val="es-ES"/>
              </w:rPr>
              <w:t xml:space="preserve"> en las resoluciones de la COP relativas al GECT y </w:t>
            </w:r>
            <w:r w:rsidR="004A2893" w:rsidRPr="00FD514D">
              <w:rPr>
                <w:lang w:val="es-ES"/>
              </w:rPr>
              <w:t xml:space="preserve">a </w:t>
            </w:r>
            <w:r w:rsidR="0066064C" w:rsidRPr="00FD514D">
              <w:rPr>
                <w:lang w:val="es-ES"/>
              </w:rPr>
              <w:t>otros órganos subsidiarios oficiales</w:t>
            </w:r>
            <w:r w:rsidR="00BC40DD" w:rsidRPr="00FD514D">
              <w:rPr>
                <w:lang w:val="es-ES"/>
              </w:rPr>
              <w:t xml:space="preserve">; </w:t>
            </w:r>
          </w:p>
          <w:p w14:paraId="5C0F1308" w14:textId="77777777" w:rsidR="00A36FF0" w:rsidRPr="00FD514D" w:rsidRDefault="00A36FF0" w:rsidP="00D444A0">
            <w:pPr>
              <w:pStyle w:val="NoSpacing"/>
              <w:ind w:left="0" w:firstLine="0"/>
              <w:rPr>
                <w:lang w:val="es-ES"/>
              </w:rPr>
            </w:pPr>
          </w:p>
          <w:p w14:paraId="4959F192" w14:textId="77777777" w:rsidR="00A36FF0" w:rsidRPr="00FD514D" w:rsidRDefault="001D5477" w:rsidP="002C7AB0">
            <w:pPr>
              <w:pStyle w:val="NoSpacing"/>
              <w:ind w:left="0" w:firstLine="0"/>
              <w:rPr>
                <w:lang w:val="es-ES"/>
              </w:rPr>
            </w:pPr>
            <w:r w:rsidRPr="00FD514D">
              <w:rPr>
                <w:lang w:val="es-ES"/>
              </w:rPr>
              <w:t xml:space="preserve">El </w:t>
            </w:r>
            <w:r w:rsidR="00762688" w:rsidRPr="00FD514D">
              <w:rPr>
                <w:lang w:val="es-ES"/>
              </w:rPr>
              <w:t>reglamento</w:t>
            </w:r>
            <w:r w:rsidRPr="00FD514D">
              <w:rPr>
                <w:lang w:val="es-ES"/>
              </w:rPr>
              <w:t xml:space="preserve"> podría ser aplicable </w:t>
            </w:r>
            <w:r w:rsidR="00A36FF0" w:rsidRPr="00FD514D">
              <w:rPr>
                <w:i/>
                <w:lang w:val="es-ES"/>
              </w:rPr>
              <w:t>mutatis mutandis</w:t>
            </w:r>
            <w:r w:rsidR="00A36FF0" w:rsidRPr="00FD514D">
              <w:rPr>
                <w:rStyle w:val="FootnoteReference"/>
                <w:i/>
                <w:lang w:val="es-ES"/>
              </w:rPr>
              <w:footnoteReference w:id="13"/>
            </w:r>
            <w:r w:rsidR="00A36FF0" w:rsidRPr="00FD514D">
              <w:rPr>
                <w:i/>
                <w:lang w:val="es-ES"/>
              </w:rPr>
              <w:t xml:space="preserve"> </w:t>
            </w:r>
            <w:r w:rsidRPr="00FD514D">
              <w:rPr>
                <w:lang w:val="es-ES"/>
              </w:rPr>
              <w:t xml:space="preserve">a otros órganos subsidiarios, sujeto a los requisitos </w:t>
            </w:r>
            <w:r w:rsidR="00C51264" w:rsidRPr="00FD514D">
              <w:rPr>
                <w:lang w:val="es-ES"/>
              </w:rPr>
              <w:t xml:space="preserve">que figuran en el anexo antes indicado. </w:t>
            </w:r>
            <w:r w:rsidR="00765280" w:rsidRPr="00FD514D">
              <w:rPr>
                <w:lang w:val="es-ES"/>
              </w:rPr>
              <w:t>Sería</w:t>
            </w:r>
            <w:r w:rsidR="006B0CAF" w:rsidRPr="00FD514D">
              <w:rPr>
                <w:lang w:val="es-ES"/>
              </w:rPr>
              <w:t xml:space="preserve"> necesario que</w:t>
            </w:r>
            <w:r w:rsidR="00765280" w:rsidRPr="00FD514D">
              <w:rPr>
                <w:lang w:val="es-ES"/>
              </w:rPr>
              <w:t xml:space="preserve"> l</w:t>
            </w:r>
            <w:r w:rsidR="006B0CAF" w:rsidRPr="00FD514D">
              <w:rPr>
                <w:lang w:val="es-ES"/>
              </w:rPr>
              <w:t>a</w:t>
            </w:r>
            <w:r w:rsidR="00C51264" w:rsidRPr="00FD514D">
              <w:rPr>
                <w:lang w:val="es-ES"/>
              </w:rPr>
              <w:t xml:space="preserve"> redacción </w:t>
            </w:r>
            <w:r w:rsidR="006B0CAF" w:rsidRPr="00FD514D">
              <w:rPr>
                <w:lang w:val="es-ES"/>
              </w:rPr>
              <w:t xml:space="preserve">del </w:t>
            </w:r>
            <w:r w:rsidR="00762688" w:rsidRPr="00FD514D">
              <w:rPr>
                <w:lang w:val="es-ES"/>
              </w:rPr>
              <w:t>reglamento</w:t>
            </w:r>
            <w:r w:rsidR="006B0CAF" w:rsidRPr="00FD514D">
              <w:rPr>
                <w:lang w:val="es-ES"/>
              </w:rPr>
              <w:t xml:space="preserve"> </w:t>
            </w:r>
            <w:r w:rsidR="00765280" w:rsidRPr="00FD514D">
              <w:rPr>
                <w:lang w:val="es-ES"/>
              </w:rPr>
              <w:t>fuera</w:t>
            </w:r>
            <w:r w:rsidR="006B0CAF" w:rsidRPr="00FD514D">
              <w:rPr>
                <w:lang w:val="es-ES"/>
              </w:rPr>
              <w:t xml:space="preserve"> precisa a fin de evitar confusión con respecto a </w:t>
            </w:r>
            <w:r w:rsidR="00765280" w:rsidRPr="00FD514D">
              <w:rPr>
                <w:lang w:val="es-ES"/>
              </w:rPr>
              <w:t>su</w:t>
            </w:r>
            <w:r w:rsidR="006B0CAF" w:rsidRPr="00FD514D">
              <w:rPr>
                <w:lang w:val="es-ES"/>
              </w:rPr>
              <w:t xml:space="preserve"> aplicación </w:t>
            </w:r>
            <w:r w:rsidR="00D67DC4" w:rsidRPr="00FD514D">
              <w:rPr>
                <w:i/>
                <w:lang w:val="es-ES"/>
              </w:rPr>
              <w:t xml:space="preserve">mutatis mutandis </w:t>
            </w:r>
            <w:r w:rsidR="00765280" w:rsidRPr="00FD514D">
              <w:rPr>
                <w:lang w:val="es-ES"/>
              </w:rPr>
              <w:t>a esos otros órganos.</w:t>
            </w:r>
            <w:r w:rsidR="00502459" w:rsidRPr="00FD514D">
              <w:rPr>
                <w:lang w:val="es-ES"/>
              </w:rPr>
              <w:t xml:space="preserve"> </w:t>
            </w:r>
          </w:p>
        </w:tc>
      </w:tr>
      <w:tr w:rsidR="00D50999" w:rsidRPr="00070719" w14:paraId="17C806C8" w14:textId="77777777" w:rsidTr="00980900">
        <w:trPr>
          <w:trHeight w:val="3245"/>
        </w:trPr>
        <w:tc>
          <w:tcPr>
            <w:tcW w:w="580" w:type="dxa"/>
          </w:tcPr>
          <w:p w14:paraId="6EEFF202" w14:textId="77777777" w:rsidR="00A36FF0" w:rsidRPr="00FD514D" w:rsidRDefault="00A36FF0" w:rsidP="0078688F">
            <w:pPr>
              <w:pStyle w:val="NoSpacing"/>
              <w:ind w:left="0" w:firstLine="0"/>
              <w:rPr>
                <w:lang w:val="es-ES"/>
              </w:rPr>
            </w:pPr>
            <w:r w:rsidRPr="00FD514D">
              <w:rPr>
                <w:lang w:val="es-ES"/>
              </w:rPr>
              <w:lastRenderedPageBreak/>
              <w:t>2</w:t>
            </w:r>
          </w:p>
        </w:tc>
        <w:tc>
          <w:tcPr>
            <w:tcW w:w="1984" w:type="dxa"/>
          </w:tcPr>
          <w:p w14:paraId="06242074" w14:textId="77777777" w:rsidR="00A36FF0" w:rsidRPr="00FD514D" w:rsidRDefault="00762688" w:rsidP="0078688F">
            <w:pPr>
              <w:pStyle w:val="NoSpacing"/>
              <w:ind w:left="0" w:firstLine="0"/>
              <w:rPr>
                <w:lang w:val="es-ES"/>
              </w:rPr>
            </w:pPr>
            <w:r w:rsidRPr="00FD514D">
              <w:rPr>
                <w:lang w:val="es-ES"/>
              </w:rPr>
              <w:t>Artículo</w:t>
            </w:r>
            <w:r w:rsidR="000C061B" w:rsidRPr="00FD514D">
              <w:rPr>
                <w:lang w:val="es-ES"/>
              </w:rPr>
              <w:t xml:space="preserve"> </w:t>
            </w:r>
            <w:r w:rsidR="00A36FF0" w:rsidRPr="00FD514D">
              <w:rPr>
                <w:lang w:val="es-ES"/>
              </w:rPr>
              <w:t>4</w:t>
            </w:r>
            <w:r w:rsidR="00347755" w:rsidRPr="00FD514D">
              <w:rPr>
                <w:lang w:val="es-ES"/>
              </w:rPr>
              <w:t>:</w:t>
            </w:r>
            <w:r w:rsidR="00A36FF0" w:rsidRPr="00FD514D">
              <w:rPr>
                <w:lang w:val="es-ES"/>
              </w:rPr>
              <w:t xml:space="preserve"> </w:t>
            </w:r>
            <w:r w:rsidR="00806000" w:rsidRPr="00FD514D">
              <w:rPr>
                <w:lang w:val="es-ES"/>
              </w:rPr>
              <w:t xml:space="preserve">Fechas de las reuniones </w:t>
            </w:r>
          </w:p>
        </w:tc>
        <w:tc>
          <w:tcPr>
            <w:tcW w:w="3308" w:type="dxa"/>
          </w:tcPr>
          <w:p w14:paraId="32FDC102" w14:textId="147984C3" w:rsidR="00A36FF0" w:rsidRPr="00FD514D" w:rsidRDefault="00762688" w:rsidP="0078688F">
            <w:pPr>
              <w:pStyle w:val="NoSpacing"/>
              <w:ind w:left="0" w:firstLine="0"/>
              <w:rPr>
                <w:lang w:val="es-ES"/>
              </w:rPr>
            </w:pPr>
            <w:r w:rsidRPr="00FD514D">
              <w:rPr>
                <w:lang w:val="es-ES"/>
              </w:rPr>
              <w:t>Artículo</w:t>
            </w:r>
            <w:r w:rsidR="00A36FF0" w:rsidRPr="00FD514D">
              <w:rPr>
                <w:lang w:val="es-ES"/>
              </w:rPr>
              <w:t xml:space="preserve"> 4.1: </w:t>
            </w:r>
            <w:r w:rsidR="00D50E0F" w:rsidRPr="00FD514D">
              <w:rPr>
                <w:lang w:val="es-ES"/>
              </w:rPr>
              <w:t xml:space="preserve">Teniendo en cuenta que las reuniones del CP se celebran anualmente </w:t>
            </w:r>
            <w:r w:rsidR="005B4F41" w:rsidRPr="00FD514D">
              <w:rPr>
                <w:lang w:val="es-ES"/>
              </w:rPr>
              <w:t>(</w:t>
            </w:r>
            <w:r w:rsidR="00D50E0F" w:rsidRPr="00FD514D">
              <w:rPr>
                <w:lang w:val="es-ES"/>
              </w:rPr>
              <w:t xml:space="preserve">y tres veces al año </w:t>
            </w:r>
            <w:r w:rsidR="00D46357" w:rsidRPr="00FD514D">
              <w:rPr>
                <w:lang w:val="es-ES"/>
              </w:rPr>
              <w:t>en los años en que se reún</w:t>
            </w:r>
            <w:r w:rsidR="004D4BBB" w:rsidRPr="00FD514D">
              <w:rPr>
                <w:lang w:val="es-ES"/>
              </w:rPr>
              <w:t>e</w:t>
            </w:r>
            <w:r w:rsidR="00D46357" w:rsidRPr="00FD514D">
              <w:rPr>
                <w:lang w:val="es-ES"/>
              </w:rPr>
              <w:t xml:space="preserve"> la COP</w:t>
            </w:r>
            <w:r w:rsidR="005B4F41" w:rsidRPr="00FD514D">
              <w:rPr>
                <w:lang w:val="es-ES"/>
              </w:rPr>
              <w:t>)</w:t>
            </w:r>
            <w:r w:rsidR="00D46357" w:rsidRPr="00FD514D">
              <w:rPr>
                <w:lang w:val="es-ES"/>
              </w:rPr>
              <w:t xml:space="preserve">, </w:t>
            </w:r>
            <w:r w:rsidR="00111BC5" w:rsidRPr="00FD514D">
              <w:rPr>
                <w:lang w:val="es-ES"/>
              </w:rPr>
              <w:t xml:space="preserve">esta disposición no </w:t>
            </w:r>
            <w:r w:rsidR="005B4F41" w:rsidRPr="00FD514D">
              <w:rPr>
                <w:lang w:val="es-ES"/>
              </w:rPr>
              <w:t>es</w:t>
            </w:r>
            <w:r w:rsidR="00480A55" w:rsidRPr="00FD514D">
              <w:rPr>
                <w:lang w:val="es-ES"/>
              </w:rPr>
              <w:t xml:space="preserve"> aplicable.</w:t>
            </w:r>
            <w:r w:rsidR="00A36FF0" w:rsidRPr="00FD514D">
              <w:rPr>
                <w:lang w:val="es-ES"/>
              </w:rPr>
              <w:t xml:space="preserve"> </w:t>
            </w:r>
          </w:p>
          <w:p w14:paraId="4BE22C6A" w14:textId="77777777" w:rsidR="00A36FF0" w:rsidRPr="00FD514D" w:rsidRDefault="00A36FF0" w:rsidP="0078688F">
            <w:pPr>
              <w:pStyle w:val="NoSpacing"/>
              <w:ind w:left="0" w:firstLine="0"/>
              <w:rPr>
                <w:lang w:val="es-ES"/>
              </w:rPr>
            </w:pPr>
          </w:p>
          <w:p w14:paraId="3ECEAB4F" w14:textId="77777777" w:rsidR="00A36FF0" w:rsidRPr="00FD514D" w:rsidRDefault="00762688" w:rsidP="00347755">
            <w:pPr>
              <w:pStyle w:val="NoSpacing"/>
              <w:ind w:left="0" w:firstLine="0"/>
              <w:rPr>
                <w:lang w:val="es-ES"/>
              </w:rPr>
            </w:pPr>
            <w:r w:rsidRPr="00FD514D">
              <w:rPr>
                <w:lang w:val="es-ES"/>
              </w:rPr>
              <w:t>Artículo</w:t>
            </w:r>
            <w:r w:rsidR="00A36FF0" w:rsidRPr="00FD514D">
              <w:rPr>
                <w:lang w:val="es-ES"/>
              </w:rPr>
              <w:t xml:space="preserve"> 4.2: </w:t>
            </w:r>
            <w:r w:rsidR="00480A55" w:rsidRPr="00FD514D">
              <w:rPr>
                <w:lang w:val="es-ES"/>
              </w:rPr>
              <w:t>Asimismo, las fechas y la duración de las reuniones del CP</w:t>
            </w:r>
            <w:r w:rsidR="00A36FF0" w:rsidRPr="00FD514D">
              <w:rPr>
                <w:rStyle w:val="FootnoteReference"/>
                <w:lang w:val="es-ES"/>
              </w:rPr>
              <w:footnoteReference w:id="14"/>
            </w:r>
            <w:r w:rsidR="00347755" w:rsidRPr="00FD514D">
              <w:rPr>
                <w:lang w:val="es-ES"/>
              </w:rPr>
              <w:t xml:space="preserve">, </w:t>
            </w:r>
            <w:r w:rsidR="00480A55" w:rsidRPr="00FD514D">
              <w:rPr>
                <w:lang w:val="es-ES"/>
              </w:rPr>
              <w:t>y de las reuniones de los demás órganos subsidiarios</w:t>
            </w:r>
            <w:r w:rsidR="00A36FF0" w:rsidRPr="00FD514D">
              <w:rPr>
                <w:rStyle w:val="FootnoteReference"/>
                <w:lang w:val="es-ES"/>
              </w:rPr>
              <w:footnoteReference w:id="15"/>
            </w:r>
            <w:r w:rsidR="00347755" w:rsidRPr="00FD514D">
              <w:rPr>
                <w:lang w:val="es-ES"/>
              </w:rPr>
              <w:t xml:space="preserve">, </w:t>
            </w:r>
            <w:r w:rsidR="006E2906" w:rsidRPr="00FD514D">
              <w:rPr>
                <w:lang w:val="es-ES"/>
              </w:rPr>
              <w:t xml:space="preserve">no se establecen </w:t>
            </w:r>
            <w:r w:rsidR="00D952BE" w:rsidRPr="00FD514D">
              <w:rPr>
                <w:lang w:val="es-ES"/>
              </w:rPr>
              <w:t>en la primera reunión sustantiva del CP después de la COP.</w:t>
            </w:r>
          </w:p>
        </w:tc>
        <w:tc>
          <w:tcPr>
            <w:tcW w:w="3308" w:type="dxa"/>
          </w:tcPr>
          <w:p w14:paraId="198ED682" w14:textId="67BC5E03" w:rsidR="00A36FF0" w:rsidRPr="00FD514D" w:rsidRDefault="00765280" w:rsidP="0078688F">
            <w:pPr>
              <w:pStyle w:val="NoSpacing"/>
              <w:ind w:left="0" w:firstLine="0"/>
              <w:rPr>
                <w:lang w:val="es-ES"/>
              </w:rPr>
            </w:pPr>
            <w:r w:rsidRPr="00FD514D">
              <w:rPr>
                <w:lang w:val="es-ES"/>
              </w:rPr>
              <w:t>Véase la recomendación que figura en la fila 1 del</w:t>
            </w:r>
            <w:r w:rsidR="00502459" w:rsidRPr="00FD514D">
              <w:rPr>
                <w:lang w:val="es-ES"/>
              </w:rPr>
              <w:t xml:space="preserve"> </w:t>
            </w:r>
            <w:r w:rsidR="00C24302">
              <w:rPr>
                <w:lang w:val="es-ES"/>
              </w:rPr>
              <w:t>cuadro</w:t>
            </w:r>
            <w:r w:rsidRPr="00FD514D">
              <w:rPr>
                <w:lang w:val="es-ES"/>
              </w:rPr>
              <w:t xml:space="preserve"> 2.</w:t>
            </w:r>
            <w:r w:rsidR="00502459" w:rsidRPr="00FD514D">
              <w:rPr>
                <w:lang w:val="es-ES"/>
              </w:rPr>
              <w:t xml:space="preserve"> </w:t>
            </w:r>
          </w:p>
        </w:tc>
      </w:tr>
      <w:tr w:rsidR="00D50999" w:rsidRPr="00070719" w14:paraId="40C48514" w14:textId="77777777" w:rsidTr="00980900">
        <w:tc>
          <w:tcPr>
            <w:tcW w:w="580" w:type="dxa"/>
          </w:tcPr>
          <w:p w14:paraId="6FB8DA0E" w14:textId="77777777" w:rsidR="00A36FF0" w:rsidRPr="00FD514D" w:rsidRDefault="00A36FF0" w:rsidP="0078688F">
            <w:pPr>
              <w:pStyle w:val="NoSpacing"/>
              <w:ind w:left="0" w:firstLine="0"/>
              <w:rPr>
                <w:lang w:val="es-ES"/>
              </w:rPr>
            </w:pPr>
            <w:r w:rsidRPr="00FD514D">
              <w:rPr>
                <w:lang w:val="es-ES"/>
              </w:rPr>
              <w:t>3</w:t>
            </w:r>
          </w:p>
        </w:tc>
        <w:tc>
          <w:tcPr>
            <w:tcW w:w="1984" w:type="dxa"/>
          </w:tcPr>
          <w:p w14:paraId="21923C28" w14:textId="77777777" w:rsidR="00A36FF0" w:rsidRPr="00FD514D" w:rsidRDefault="00762688" w:rsidP="0078688F">
            <w:pPr>
              <w:pStyle w:val="NoSpacing"/>
              <w:ind w:left="0" w:firstLine="0"/>
              <w:rPr>
                <w:lang w:val="es-ES"/>
              </w:rPr>
            </w:pPr>
            <w:r w:rsidRPr="00FD514D">
              <w:rPr>
                <w:lang w:val="es-ES"/>
              </w:rPr>
              <w:t>Artículo</w:t>
            </w:r>
            <w:r w:rsidR="000C061B" w:rsidRPr="00FD514D">
              <w:rPr>
                <w:lang w:val="es-ES"/>
              </w:rPr>
              <w:t xml:space="preserve"> </w:t>
            </w:r>
            <w:r w:rsidR="00A36FF0" w:rsidRPr="00FD514D">
              <w:rPr>
                <w:lang w:val="es-ES"/>
              </w:rPr>
              <w:t>5</w:t>
            </w:r>
            <w:r w:rsidR="00AB25D4" w:rsidRPr="00FD514D">
              <w:rPr>
                <w:lang w:val="es-ES"/>
              </w:rPr>
              <w:t>:</w:t>
            </w:r>
            <w:r w:rsidR="00A36FF0" w:rsidRPr="00FD514D">
              <w:rPr>
                <w:lang w:val="es-ES"/>
              </w:rPr>
              <w:t xml:space="preserve"> </w:t>
            </w:r>
            <w:r w:rsidR="002C1920" w:rsidRPr="00FD514D">
              <w:rPr>
                <w:lang w:val="es-ES"/>
              </w:rPr>
              <w:t xml:space="preserve">Notificación </w:t>
            </w:r>
          </w:p>
        </w:tc>
        <w:tc>
          <w:tcPr>
            <w:tcW w:w="3308" w:type="dxa"/>
          </w:tcPr>
          <w:p w14:paraId="22E7A4FB" w14:textId="745566EC" w:rsidR="00A36FF0" w:rsidRPr="00FD514D" w:rsidRDefault="00762688" w:rsidP="00FD514D">
            <w:pPr>
              <w:pStyle w:val="NoSpacing"/>
              <w:ind w:left="0" w:firstLine="0"/>
              <w:rPr>
                <w:lang w:val="es-ES"/>
              </w:rPr>
            </w:pPr>
            <w:r w:rsidRPr="00FD514D">
              <w:rPr>
                <w:lang w:val="es-ES"/>
              </w:rPr>
              <w:t>Artículo</w:t>
            </w:r>
            <w:r w:rsidR="00A36FF0" w:rsidRPr="00FD514D">
              <w:rPr>
                <w:lang w:val="es-ES"/>
              </w:rPr>
              <w:t xml:space="preserve"> 5.1: </w:t>
            </w:r>
            <w:r w:rsidR="00D46357" w:rsidRPr="00FD514D">
              <w:rPr>
                <w:lang w:val="es-ES"/>
              </w:rPr>
              <w:t>El requisito de notificar a todas las</w:t>
            </w:r>
            <w:r w:rsidR="00597CEF" w:rsidRPr="00FD514D">
              <w:rPr>
                <w:lang w:val="es-ES"/>
              </w:rPr>
              <w:t xml:space="preserve"> Partes Contratantes de las fechas, </w:t>
            </w:r>
            <w:r w:rsidR="008C0F3D" w:rsidRPr="00FD514D">
              <w:rPr>
                <w:lang w:val="es-ES"/>
              </w:rPr>
              <w:t xml:space="preserve">el lugar de celebración </w:t>
            </w:r>
            <w:r w:rsidR="00597CEF" w:rsidRPr="00FD514D">
              <w:rPr>
                <w:lang w:val="es-ES"/>
              </w:rPr>
              <w:t>y el orden del día provisional de una reunión ordinaria al menos 12 meses antes de la fecha</w:t>
            </w:r>
            <w:r w:rsidR="00E177B4" w:rsidRPr="00FD514D">
              <w:rPr>
                <w:lang w:val="es-ES"/>
              </w:rPr>
              <w:t xml:space="preserve"> en que la reunión deba comenzar</w:t>
            </w:r>
            <w:r w:rsidR="00B108A1" w:rsidRPr="00FD514D">
              <w:rPr>
                <w:lang w:val="es-ES"/>
              </w:rPr>
              <w:t xml:space="preserve"> </w:t>
            </w:r>
            <w:r w:rsidR="00E177B4" w:rsidRPr="00FD514D">
              <w:rPr>
                <w:lang w:val="es-ES"/>
              </w:rPr>
              <w:t>no es aplicable al CP</w:t>
            </w:r>
            <w:r w:rsidR="00A36FF0" w:rsidRPr="00FD514D">
              <w:rPr>
                <w:rStyle w:val="FootnoteReference"/>
                <w:lang w:val="es-ES"/>
              </w:rPr>
              <w:footnoteReference w:id="16"/>
            </w:r>
            <w:r w:rsidR="003D15C2" w:rsidRPr="00FD514D">
              <w:rPr>
                <w:lang w:val="es-ES"/>
              </w:rPr>
              <w:t>.</w:t>
            </w:r>
            <w:r w:rsidR="00CB31D9" w:rsidRPr="00FD514D">
              <w:rPr>
                <w:lang w:val="es-ES"/>
              </w:rPr>
              <w:t xml:space="preserve"> </w:t>
            </w:r>
            <w:r w:rsidR="00E177B4" w:rsidRPr="00FD514D">
              <w:rPr>
                <w:lang w:val="es-ES"/>
              </w:rPr>
              <w:t>Tampoco sería práctico aplicarlo a los demás órganos subsidiarios.</w:t>
            </w:r>
            <w:r w:rsidR="00CB31D9" w:rsidRPr="00FD514D">
              <w:rPr>
                <w:lang w:val="es-ES"/>
              </w:rPr>
              <w:t xml:space="preserve"> </w:t>
            </w:r>
          </w:p>
        </w:tc>
        <w:tc>
          <w:tcPr>
            <w:tcW w:w="3308" w:type="dxa"/>
          </w:tcPr>
          <w:p w14:paraId="2BB102C8" w14:textId="13924CD8" w:rsidR="00A36FF0" w:rsidRPr="00FD514D" w:rsidRDefault="007019AF" w:rsidP="0078688F">
            <w:pPr>
              <w:pStyle w:val="NoSpacing"/>
              <w:ind w:left="0" w:firstLine="0"/>
              <w:rPr>
                <w:lang w:val="es-ES"/>
              </w:rPr>
            </w:pPr>
            <w:r w:rsidRPr="00FD514D">
              <w:rPr>
                <w:lang w:val="es-ES"/>
              </w:rPr>
              <w:t>Véase la recomendación que figura en la fila 1 del</w:t>
            </w:r>
            <w:r w:rsidR="00502459" w:rsidRPr="00FD514D">
              <w:rPr>
                <w:lang w:val="es-ES"/>
              </w:rPr>
              <w:t xml:space="preserve"> </w:t>
            </w:r>
            <w:r w:rsidR="00C24302">
              <w:rPr>
                <w:lang w:val="es-ES"/>
              </w:rPr>
              <w:t>cuadro</w:t>
            </w:r>
            <w:r w:rsidR="003E7B99" w:rsidRPr="00FD514D">
              <w:rPr>
                <w:lang w:val="es-ES"/>
              </w:rPr>
              <w:t xml:space="preserve"> 2</w:t>
            </w:r>
            <w:r w:rsidR="00374DF6" w:rsidRPr="00FD514D">
              <w:rPr>
                <w:lang w:val="es-ES"/>
              </w:rPr>
              <w:t>.</w:t>
            </w:r>
            <w:r w:rsidR="00502459" w:rsidRPr="00FD514D">
              <w:rPr>
                <w:lang w:val="es-ES"/>
              </w:rPr>
              <w:t xml:space="preserve"> </w:t>
            </w:r>
          </w:p>
        </w:tc>
      </w:tr>
      <w:tr w:rsidR="00D50999" w:rsidRPr="00FD514D" w14:paraId="053ECC7A" w14:textId="77777777" w:rsidTr="00980900">
        <w:tc>
          <w:tcPr>
            <w:tcW w:w="580" w:type="dxa"/>
          </w:tcPr>
          <w:p w14:paraId="4E32229C" w14:textId="77777777" w:rsidR="00A36FF0" w:rsidRPr="00FD514D" w:rsidRDefault="00A36FF0" w:rsidP="0078688F">
            <w:pPr>
              <w:pStyle w:val="NoSpacing"/>
              <w:ind w:left="0" w:firstLine="0"/>
              <w:rPr>
                <w:lang w:val="es-ES"/>
              </w:rPr>
            </w:pPr>
            <w:r w:rsidRPr="00FD514D">
              <w:rPr>
                <w:lang w:val="es-ES"/>
              </w:rPr>
              <w:t>4</w:t>
            </w:r>
          </w:p>
        </w:tc>
        <w:tc>
          <w:tcPr>
            <w:tcW w:w="1984" w:type="dxa"/>
          </w:tcPr>
          <w:p w14:paraId="7466AC69" w14:textId="77777777" w:rsidR="00A36FF0" w:rsidRPr="00FD514D" w:rsidRDefault="00762688" w:rsidP="0078688F">
            <w:pPr>
              <w:pStyle w:val="NoSpacing"/>
              <w:ind w:left="0" w:firstLine="0"/>
              <w:rPr>
                <w:lang w:val="es-ES"/>
              </w:rPr>
            </w:pPr>
            <w:r w:rsidRPr="00FD514D">
              <w:rPr>
                <w:lang w:val="es-ES"/>
              </w:rPr>
              <w:t>Artículo</w:t>
            </w:r>
            <w:r w:rsidR="002C1920" w:rsidRPr="00FD514D">
              <w:rPr>
                <w:lang w:val="es-ES"/>
              </w:rPr>
              <w:t>s</w:t>
            </w:r>
            <w:r w:rsidR="000C061B" w:rsidRPr="00FD514D">
              <w:rPr>
                <w:lang w:val="es-ES"/>
              </w:rPr>
              <w:t xml:space="preserve"> </w:t>
            </w:r>
            <w:r w:rsidR="00A36FF0" w:rsidRPr="00FD514D">
              <w:rPr>
                <w:lang w:val="es-ES"/>
              </w:rPr>
              <w:t xml:space="preserve">6 </w:t>
            </w:r>
            <w:r w:rsidR="002C1920" w:rsidRPr="00FD514D">
              <w:rPr>
                <w:lang w:val="es-ES"/>
              </w:rPr>
              <w:t>y</w:t>
            </w:r>
            <w:r w:rsidR="00A36FF0" w:rsidRPr="00FD514D">
              <w:rPr>
                <w:lang w:val="es-ES"/>
              </w:rPr>
              <w:t xml:space="preserve"> 7</w:t>
            </w:r>
            <w:r w:rsidR="00AB25D4" w:rsidRPr="00FD514D">
              <w:rPr>
                <w:lang w:val="es-ES"/>
              </w:rPr>
              <w:t>:</w:t>
            </w:r>
            <w:r w:rsidR="00A36FF0" w:rsidRPr="00FD514D">
              <w:rPr>
                <w:lang w:val="es-ES"/>
              </w:rPr>
              <w:t xml:space="preserve"> </w:t>
            </w:r>
            <w:r w:rsidR="002C1920" w:rsidRPr="00FD514D">
              <w:rPr>
                <w:lang w:val="es-ES"/>
              </w:rPr>
              <w:t xml:space="preserve">Observadores </w:t>
            </w:r>
          </w:p>
        </w:tc>
        <w:tc>
          <w:tcPr>
            <w:tcW w:w="3308" w:type="dxa"/>
          </w:tcPr>
          <w:p w14:paraId="3C7ED1ED" w14:textId="233FB227" w:rsidR="00A36FF0" w:rsidRDefault="00E177B4" w:rsidP="00F1244A">
            <w:pPr>
              <w:pStyle w:val="NoSpacing"/>
              <w:ind w:left="0" w:firstLine="0"/>
              <w:rPr>
                <w:lang w:val="es-ES"/>
              </w:rPr>
            </w:pPr>
            <w:r w:rsidRPr="00FD514D">
              <w:rPr>
                <w:lang w:val="es-ES"/>
              </w:rPr>
              <w:t>Cabe señalar que en la Resolución</w:t>
            </w:r>
            <w:r w:rsidR="00502459" w:rsidRPr="00FD514D">
              <w:rPr>
                <w:lang w:val="es-ES"/>
              </w:rPr>
              <w:t xml:space="preserve"> </w:t>
            </w:r>
            <w:r w:rsidR="00A36FF0" w:rsidRPr="00FD514D">
              <w:rPr>
                <w:lang w:val="es-ES"/>
              </w:rPr>
              <w:t xml:space="preserve">XIII.4, </w:t>
            </w:r>
            <w:r w:rsidRPr="00FD514D">
              <w:rPr>
                <w:lang w:val="es-ES"/>
              </w:rPr>
              <w:t>Anexo</w:t>
            </w:r>
            <w:r w:rsidR="00502459" w:rsidRPr="00FD514D">
              <w:rPr>
                <w:lang w:val="es-ES"/>
              </w:rPr>
              <w:t xml:space="preserve"> </w:t>
            </w:r>
            <w:r w:rsidR="00A36FF0" w:rsidRPr="00FD514D">
              <w:rPr>
                <w:lang w:val="es-ES"/>
              </w:rPr>
              <w:t xml:space="preserve">1, </w:t>
            </w:r>
            <w:r w:rsidRPr="00FD514D">
              <w:rPr>
                <w:lang w:val="es-ES"/>
              </w:rPr>
              <w:t>párrafo</w:t>
            </w:r>
            <w:r w:rsidR="00A36FF0" w:rsidRPr="00FD514D">
              <w:rPr>
                <w:lang w:val="es-ES"/>
              </w:rPr>
              <w:t>s 10</w:t>
            </w:r>
            <w:r w:rsidR="00523BE3" w:rsidRPr="00FD514D">
              <w:rPr>
                <w:lang w:val="es-ES"/>
              </w:rPr>
              <w:t xml:space="preserve"> </w:t>
            </w:r>
            <w:r w:rsidR="00B22637" w:rsidRPr="00FD514D">
              <w:rPr>
                <w:lang w:val="es-ES"/>
              </w:rPr>
              <w:t>–</w:t>
            </w:r>
            <w:r w:rsidR="00A36FF0" w:rsidRPr="00FD514D">
              <w:rPr>
                <w:lang w:val="es-ES"/>
              </w:rPr>
              <w:t>15 inclusive</w:t>
            </w:r>
            <w:r w:rsidR="00B22637" w:rsidRPr="00FD514D">
              <w:rPr>
                <w:lang w:val="es-ES"/>
              </w:rPr>
              <w:t xml:space="preserve">, se </w:t>
            </w:r>
            <w:r w:rsidR="00523BE3" w:rsidRPr="00FD514D">
              <w:rPr>
                <w:lang w:val="es-ES"/>
              </w:rPr>
              <w:t>indican</w:t>
            </w:r>
            <w:r w:rsidR="00B22637" w:rsidRPr="00FD514D">
              <w:rPr>
                <w:lang w:val="es-ES"/>
              </w:rPr>
              <w:t xml:space="preserve"> los</w:t>
            </w:r>
            <w:r w:rsidR="00A36FF0" w:rsidRPr="00FD514D">
              <w:rPr>
                <w:lang w:val="es-ES"/>
              </w:rPr>
              <w:t xml:space="preserve"> </w:t>
            </w:r>
            <w:r w:rsidR="00B22637" w:rsidRPr="00FD514D">
              <w:rPr>
                <w:lang w:val="es-ES"/>
              </w:rPr>
              <w:t>observadores que pued</w:t>
            </w:r>
            <w:r w:rsidR="007032D9" w:rsidRPr="00FD514D">
              <w:rPr>
                <w:lang w:val="es-ES"/>
              </w:rPr>
              <w:t>e</w:t>
            </w:r>
            <w:r w:rsidR="00B22637" w:rsidRPr="00FD514D">
              <w:rPr>
                <w:lang w:val="es-ES"/>
              </w:rPr>
              <w:t xml:space="preserve">n participar en una reunión del CP. Por consiguiente, no queda claro si </w:t>
            </w:r>
            <w:r w:rsidR="007032D9" w:rsidRPr="00FD514D">
              <w:rPr>
                <w:lang w:val="es-ES"/>
              </w:rPr>
              <w:t>se pueden admitir</w:t>
            </w:r>
            <w:r w:rsidR="00B22637" w:rsidRPr="00FD514D">
              <w:rPr>
                <w:lang w:val="es-ES"/>
              </w:rPr>
              <w:t xml:space="preserve"> otr</w:t>
            </w:r>
            <w:r w:rsidR="007032D9" w:rsidRPr="00FD514D">
              <w:rPr>
                <w:lang w:val="es-ES"/>
              </w:rPr>
              <w:t>os</w:t>
            </w:r>
            <w:r w:rsidR="00502459" w:rsidRPr="00FD514D">
              <w:rPr>
                <w:lang w:val="es-ES"/>
              </w:rPr>
              <w:t xml:space="preserve"> </w:t>
            </w:r>
            <w:r w:rsidR="007032D9" w:rsidRPr="00FD514D">
              <w:rPr>
                <w:lang w:val="es-ES"/>
              </w:rPr>
              <w:t>observadores</w:t>
            </w:r>
            <w:r w:rsidR="00282342" w:rsidRPr="00FD514D">
              <w:rPr>
                <w:lang w:val="es-ES"/>
              </w:rPr>
              <w:t xml:space="preserve"> </w:t>
            </w:r>
            <w:r w:rsidR="00523BE3" w:rsidRPr="00FD514D">
              <w:rPr>
                <w:lang w:val="es-ES"/>
              </w:rPr>
              <w:t>en</w:t>
            </w:r>
            <w:r w:rsidR="00282342" w:rsidRPr="00FD514D">
              <w:rPr>
                <w:lang w:val="es-ES"/>
              </w:rPr>
              <w:t xml:space="preserve"> una reunión del C</w:t>
            </w:r>
            <w:r w:rsidR="00B108A1" w:rsidRPr="00FD514D">
              <w:rPr>
                <w:lang w:val="es-ES"/>
              </w:rPr>
              <w:t>P</w:t>
            </w:r>
            <w:r w:rsidR="00282342" w:rsidRPr="00FD514D">
              <w:rPr>
                <w:lang w:val="es-ES"/>
              </w:rPr>
              <w:t xml:space="preserve"> conforme a los </w:t>
            </w:r>
            <w:r w:rsidR="00762688" w:rsidRPr="00FD514D">
              <w:rPr>
                <w:lang w:val="es-ES"/>
              </w:rPr>
              <w:t>artículo</w:t>
            </w:r>
            <w:r w:rsidR="00282342" w:rsidRPr="00FD514D">
              <w:rPr>
                <w:lang w:val="es-ES"/>
              </w:rPr>
              <w:t>s 6 y</w:t>
            </w:r>
            <w:r w:rsidR="00502459" w:rsidRPr="00FD514D">
              <w:rPr>
                <w:lang w:val="es-ES"/>
              </w:rPr>
              <w:t xml:space="preserve"> </w:t>
            </w:r>
            <w:r w:rsidR="00A36FF0" w:rsidRPr="00FD514D">
              <w:rPr>
                <w:lang w:val="es-ES"/>
              </w:rPr>
              <w:t>7</w:t>
            </w:r>
            <w:r w:rsidR="00374DF6" w:rsidRPr="00FD514D">
              <w:rPr>
                <w:lang w:val="es-ES"/>
              </w:rPr>
              <w:t>,</w:t>
            </w:r>
            <w:r w:rsidR="00A36FF0" w:rsidRPr="00FD514D">
              <w:rPr>
                <w:lang w:val="es-ES"/>
              </w:rPr>
              <w:t xml:space="preserve"> o</w:t>
            </w:r>
            <w:r w:rsidR="00282342" w:rsidRPr="00FD514D">
              <w:rPr>
                <w:lang w:val="es-ES"/>
              </w:rPr>
              <w:t xml:space="preserve"> si el procedimiento indicado en el </w:t>
            </w:r>
            <w:r w:rsidR="00523BE3" w:rsidRPr="00FD514D">
              <w:rPr>
                <w:lang w:val="es-ES"/>
              </w:rPr>
              <w:t>a</w:t>
            </w:r>
            <w:r w:rsidR="00242B0A" w:rsidRPr="00FD514D">
              <w:rPr>
                <w:lang w:val="es-ES"/>
              </w:rPr>
              <w:t>rtículo</w:t>
            </w:r>
            <w:r w:rsidR="005B44F7" w:rsidRPr="00FD514D">
              <w:rPr>
                <w:lang w:val="es-ES"/>
              </w:rPr>
              <w:t> </w:t>
            </w:r>
            <w:r w:rsidR="00A36FF0" w:rsidRPr="00FD514D">
              <w:rPr>
                <w:lang w:val="es-ES"/>
              </w:rPr>
              <w:t xml:space="preserve">7 </w:t>
            </w:r>
            <w:r w:rsidR="00282342" w:rsidRPr="00FD514D">
              <w:rPr>
                <w:lang w:val="es-ES"/>
              </w:rPr>
              <w:t xml:space="preserve">es aplicable a estas </w:t>
            </w:r>
            <w:r w:rsidR="00282342" w:rsidRPr="00FD514D">
              <w:rPr>
                <w:lang w:val="es-ES"/>
              </w:rPr>
              <w:lastRenderedPageBreak/>
              <w:t xml:space="preserve">reuniones. </w:t>
            </w:r>
          </w:p>
          <w:p w14:paraId="5DA23A10" w14:textId="77777777" w:rsidR="00FD514D" w:rsidRPr="00FD514D" w:rsidRDefault="00FD514D" w:rsidP="00F1244A">
            <w:pPr>
              <w:pStyle w:val="NoSpacing"/>
              <w:ind w:left="0" w:firstLine="0"/>
              <w:rPr>
                <w:lang w:val="es-ES"/>
              </w:rPr>
            </w:pPr>
          </w:p>
          <w:p w14:paraId="68484AB6" w14:textId="75CA834C" w:rsidR="00A36FF0" w:rsidRPr="00FD514D" w:rsidRDefault="00282342" w:rsidP="00461991">
            <w:pPr>
              <w:pStyle w:val="NoSpacing"/>
              <w:ind w:left="0" w:firstLine="0"/>
              <w:rPr>
                <w:lang w:val="es-ES"/>
              </w:rPr>
            </w:pPr>
            <w:r w:rsidRPr="00FD514D">
              <w:rPr>
                <w:lang w:val="es-ES"/>
              </w:rPr>
              <w:t xml:space="preserve">Cabe señalar, además, que </w:t>
            </w:r>
            <w:r w:rsidR="00015263" w:rsidRPr="00FD514D">
              <w:rPr>
                <w:lang w:val="es-ES"/>
              </w:rPr>
              <w:t>en la Resolución</w:t>
            </w:r>
            <w:r w:rsidR="00502459" w:rsidRPr="00FD514D">
              <w:rPr>
                <w:lang w:val="es-ES"/>
              </w:rPr>
              <w:t xml:space="preserve"> </w:t>
            </w:r>
            <w:r w:rsidR="00A36FF0" w:rsidRPr="00FD514D">
              <w:rPr>
                <w:lang w:val="es-ES"/>
              </w:rPr>
              <w:t xml:space="preserve">XIII.8, </w:t>
            </w:r>
            <w:r w:rsidR="00015263" w:rsidRPr="00FD514D">
              <w:rPr>
                <w:lang w:val="es-ES"/>
              </w:rPr>
              <w:t>Anexo</w:t>
            </w:r>
            <w:r w:rsidR="00502459" w:rsidRPr="00FD514D">
              <w:rPr>
                <w:lang w:val="es-ES"/>
              </w:rPr>
              <w:t xml:space="preserve"> </w:t>
            </w:r>
            <w:r w:rsidR="00A36FF0" w:rsidRPr="00FD514D">
              <w:rPr>
                <w:lang w:val="es-ES"/>
              </w:rPr>
              <w:t xml:space="preserve">3, </w:t>
            </w:r>
            <w:r w:rsidR="00015263" w:rsidRPr="00FD514D">
              <w:rPr>
                <w:lang w:val="es-ES"/>
              </w:rPr>
              <w:t xml:space="preserve">se </w:t>
            </w:r>
            <w:r w:rsidR="00523BE3" w:rsidRPr="00FD514D">
              <w:rPr>
                <w:lang w:val="es-ES"/>
              </w:rPr>
              <w:t>indican</w:t>
            </w:r>
            <w:r w:rsidR="00015263" w:rsidRPr="00FD514D">
              <w:rPr>
                <w:lang w:val="es-ES"/>
              </w:rPr>
              <w:t xml:space="preserve"> los observadores que pueden participar en una reunión del GECT</w:t>
            </w:r>
            <w:r w:rsidR="00A36FF0" w:rsidRPr="00FD514D">
              <w:rPr>
                <w:lang w:val="es-ES"/>
              </w:rPr>
              <w:t xml:space="preserve">. </w:t>
            </w:r>
            <w:r w:rsidR="0095293B" w:rsidRPr="00FD514D">
              <w:rPr>
                <w:lang w:val="es-ES"/>
              </w:rPr>
              <w:t>El texto deja claro que los observadores no están limitados a la lista proporcionada</w:t>
            </w:r>
            <w:r w:rsidR="008A6BB8" w:rsidRPr="00FD514D">
              <w:rPr>
                <w:lang w:val="es-ES"/>
              </w:rPr>
              <w:t xml:space="preserve"> (</w:t>
            </w:r>
            <w:r w:rsidR="007B7E26" w:rsidRPr="00FD514D">
              <w:rPr>
                <w:lang w:val="es-ES"/>
              </w:rPr>
              <w:t xml:space="preserve">por lo demás, </w:t>
            </w:r>
            <w:r w:rsidR="006E5A2E" w:rsidRPr="00FD514D">
              <w:rPr>
                <w:lang w:val="es-ES"/>
              </w:rPr>
              <w:t>no obstante,</w:t>
            </w:r>
            <w:r w:rsidR="008A6BB8" w:rsidRPr="00FD514D">
              <w:rPr>
                <w:lang w:val="es-ES"/>
              </w:rPr>
              <w:t xml:space="preserve"> para ser admitido como observador, la entidad debe cumplir</w:t>
            </w:r>
            <w:r w:rsidR="006E5A2E" w:rsidRPr="00FD514D">
              <w:rPr>
                <w:lang w:val="es-ES"/>
              </w:rPr>
              <w:t xml:space="preserve"> l</w:t>
            </w:r>
            <w:r w:rsidR="00B1596A" w:rsidRPr="00FD514D">
              <w:rPr>
                <w:lang w:val="es-ES"/>
              </w:rPr>
              <w:t xml:space="preserve">a definición general </w:t>
            </w:r>
            <w:r w:rsidR="007B7E26" w:rsidRPr="00FD514D">
              <w:rPr>
                <w:lang w:val="es-ES"/>
              </w:rPr>
              <w:t xml:space="preserve">que figura </w:t>
            </w:r>
            <w:r w:rsidR="00B07F0F" w:rsidRPr="00FD514D">
              <w:rPr>
                <w:lang w:val="es-ES"/>
              </w:rPr>
              <w:t>inmediatamente antes</w:t>
            </w:r>
            <w:r w:rsidR="007B7E26" w:rsidRPr="00FD514D">
              <w:rPr>
                <w:lang w:val="es-ES"/>
              </w:rPr>
              <w:t xml:space="preserve"> de la l</w:t>
            </w:r>
            <w:r w:rsidR="00B07F0F" w:rsidRPr="00FD514D">
              <w:rPr>
                <w:lang w:val="es-ES"/>
              </w:rPr>
              <w:t>i</w:t>
            </w:r>
            <w:r w:rsidR="007B7E26" w:rsidRPr="00FD514D">
              <w:rPr>
                <w:lang w:val="es-ES"/>
              </w:rPr>
              <w:t>sta).</w:t>
            </w:r>
            <w:r w:rsidR="00502459" w:rsidRPr="00FD514D">
              <w:rPr>
                <w:lang w:val="es-ES"/>
              </w:rPr>
              <w:t xml:space="preserve"> </w:t>
            </w:r>
            <w:r w:rsidR="00B07F0F" w:rsidRPr="00FD514D">
              <w:rPr>
                <w:lang w:val="es-ES"/>
              </w:rPr>
              <w:t>Sin embargo</w:t>
            </w:r>
            <w:r w:rsidR="0095293B" w:rsidRPr="00FD514D">
              <w:rPr>
                <w:lang w:val="es-ES"/>
              </w:rPr>
              <w:t xml:space="preserve">, </w:t>
            </w:r>
            <w:r w:rsidR="00804372" w:rsidRPr="00FD514D">
              <w:rPr>
                <w:lang w:val="es-ES"/>
              </w:rPr>
              <w:t xml:space="preserve">no </w:t>
            </w:r>
            <w:r w:rsidR="00B07F0F" w:rsidRPr="00FD514D">
              <w:rPr>
                <w:lang w:val="es-ES"/>
              </w:rPr>
              <w:t>queda</w:t>
            </w:r>
            <w:r w:rsidR="00804372" w:rsidRPr="00FD514D">
              <w:rPr>
                <w:lang w:val="es-ES"/>
              </w:rPr>
              <w:t xml:space="preserve"> claro si se pueden admitir observadores a</w:t>
            </w:r>
            <w:r w:rsidR="00502459" w:rsidRPr="00FD514D">
              <w:rPr>
                <w:lang w:val="es-ES"/>
              </w:rPr>
              <w:t xml:space="preserve"> </w:t>
            </w:r>
            <w:r w:rsidR="00804372" w:rsidRPr="00FD514D">
              <w:rPr>
                <w:lang w:val="es-ES"/>
              </w:rPr>
              <w:t>asistir a una reunión del GECT y participar en ella</w:t>
            </w:r>
            <w:r w:rsidR="005236A5" w:rsidRPr="00FD514D">
              <w:rPr>
                <w:lang w:val="es-ES"/>
              </w:rPr>
              <w:t xml:space="preserve"> conforme al</w:t>
            </w:r>
            <w:r w:rsidR="00502459" w:rsidRPr="00FD514D">
              <w:rPr>
                <w:lang w:val="es-ES"/>
              </w:rPr>
              <w:t xml:space="preserve"> </w:t>
            </w:r>
            <w:r w:rsidR="00762688" w:rsidRPr="00FD514D">
              <w:rPr>
                <w:lang w:val="es-ES"/>
              </w:rPr>
              <w:t>artículo</w:t>
            </w:r>
            <w:r w:rsidR="00593F65" w:rsidRPr="00FD514D">
              <w:rPr>
                <w:lang w:val="es-ES"/>
              </w:rPr>
              <w:t> </w:t>
            </w:r>
            <w:r w:rsidR="00374DF6" w:rsidRPr="00FD514D">
              <w:rPr>
                <w:lang w:val="es-ES"/>
              </w:rPr>
              <w:t>6</w:t>
            </w:r>
            <w:r w:rsidR="00B07F0F" w:rsidRPr="00FD514D">
              <w:rPr>
                <w:lang w:val="es-ES"/>
              </w:rPr>
              <w:t>,</w:t>
            </w:r>
            <w:r w:rsidR="00374DF6" w:rsidRPr="00FD514D">
              <w:rPr>
                <w:lang w:val="es-ES"/>
              </w:rPr>
              <w:t xml:space="preserve"> o</w:t>
            </w:r>
            <w:r w:rsidR="005236A5" w:rsidRPr="00FD514D">
              <w:rPr>
                <w:lang w:val="es-ES"/>
              </w:rPr>
              <w:t xml:space="preserve"> si el procedimiento establecido en el a</w:t>
            </w:r>
            <w:r w:rsidR="00242B0A" w:rsidRPr="00FD514D">
              <w:rPr>
                <w:lang w:val="es-ES"/>
              </w:rPr>
              <w:t>rtículo</w:t>
            </w:r>
            <w:r w:rsidR="00A36FF0" w:rsidRPr="00FD514D">
              <w:rPr>
                <w:lang w:val="es-ES"/>
              </w:rPr>
              <w:t xml:space="preserve"> 7 </w:t>
            </w:r>
            <w:r w:rsidR="005236A5" w:rsidRPr="00FD514D">
              <w:rPr>
                <w:lang w:val="es-ES"/>
              </w:rPr>
              <w:t>es aplicable a estas reuniones.</w:t>
            </w:r>
            <w:r w:rsidR="00A36FF0" w:rsidRPr="00FD514D">
              <w:rPr>
                <w:lang w:val="es-ES"/>
              </w:rPr>
              <w:t xml:space="preserve"> </w:t>
            </w:r>
          </w:p>
          <w:p w14:paraId="38670B40" w14:textId="77777777" w:rsidR="00A36FF0" w:rsidRPr="00FD514D" w:rsidRDefault="00A36FF0" w:rsidP="00461991">
            <w:pPr>
              <w:pStyle w:val="NoSpacing"/>
              <w:ind w:left="0" w:firstLine="0"/>
              <w:rPr>
                <w:lang w:val="es-ES"/>
              </w:rPr>
            </w:pPr>
          </w:p>
          <w:p w14:paraId="642755A3" w14:textId="0CA69202" w:rsidR="00A36FF0" w:rsidRPr="00FD514D" w:rsidRDefault="00415EF0" w:rsidP="00B27308">
            <w:pPr>
              <w:pStyle w:val="NoSpacing"/>
              <w:ind w:left="0" w:firstLine="0"/>
              <w:rPr>
                <w:lang w:val="es-ES"/>
              </w:rPr>
            </w:pPr>
            <w:r w:rsidRPr="00FD514D">
              <w:rPr>
                <w:lang w:val="es-ES"/>
              </w:rPr>
              <w:t xml:space="preserve">No está claro si los </w:t>
            </w:r>
            <w:r w:rsidR="00762688" w:rsidRPr="00FD514D">
              <w:rPr>
                <w:lang w:val="es-ES"/>
              </w:rPr>
              <w:t>artículo</w:t>
            </w:r>
            <w:r w:rsidRPr="00FD514D">
              <w:rPr>
                <w:lang w:val="es-ES"/>
              </w:rPr>
              <w:t xml:space="preserve">s </w:t>
            </w:r>
            <w:r w:rsidR="00A36FF0" w:rsidRPr="00FD514D">
              <w:rPr>
                <w:lang w:val="es-ES"/>
              </w:rPr>
              <w:t xml:space="preserve">6 </w:t>
            </w:r>
            <w:r w:rsidRPr="00FD514D">
              <w:rPr>
                <w:lang w:val="es-ES"/>
              </w:rPr>
              <w:t>y</w:t>
            </w:r>
            <w:r w:rsidR="00502459" w:rsidRPr="00FD514D">
              <w:rPr>
                <w:lang w:val="es-ES"/>
              </w:rPr>
              <w:t xml:space="preserve"> </w:t>
            </w:r>
            <w:r w:rsidR="00A36FF0" w:rsidRPr="00FD514D">
              <w:rPr>
                <w:lang w:val="es-ES"/>
              </w:rPr>
              <w:t xml:space="preserve">7 </w:t>
            </w:r>
            <w:r w:rsidRPr="00FD514D">
              <w:rPr>
                <w:lang w:val="es-ES"/>
              </w:rPr>
              <w:t>son aplicable</w:t>
            </w:r>
            <w:r w:rsidR="007B7E26" w:rsidRPr="00FD514D">
              <w:rPr>
                <w:lang w:val="es-ES"/>
              </w:rPr>
              <w:t>s</w:t>
            </w:r>
            <w:r w:rsidRPr="00FD514D">
              <w:rPr>
                <w:lang w:val="es-ES"/>
              </w:rPr>
              <w:t xml:space="preserve"> a las reuniones de otros órganos subsidiarios o </w:t>
            </w:r>
            <w:r w:rsidR="00DE3B71" w:rsidRPr="00FD514D">
              <w:rPr>
                <w:lang w:val="es-ES"/>
              </w:rPr>
              <w:t xml:space="preserve">de los </w:t>
            </w:r>
            <w:r w:rsidRPr="00FD514D">
              <w:rPr>
                <w:lang w:val="es-ES"/>
              </w:rPr>
              <w:t>grupos de trabajo oficiosos</w:t>
            </w:r>
            <w:r w:rsidR="00502459" w:rsidRPr="00FD514D">
              <w:rPr>
                <w:lang w:val="es-ES"/>
              </w:rPr>
              <w:t xml:space="preserve"> </w:t>
            </w:r>
            <w:r w:rsidRPr="00FD514D">
              <w:rPr>
                <w:lang w:val="es-ES"/>
              </w:rPr>
              <w:t xml:space="preserve">establecidos conforme al </w:t>
            </w:r>
            <w:r w:rsidR="00762688" w:rsidRPr="00FD514D">
              <w:rPr>
                <w:lang w:val="es-ES"/>
              </w:rPr>
              <w:t>artículo</w:t>
            </w:r>
            <w:r w:rsidR="00593F65" w:rsidRPr="00FD514D">
              <w:rPr>
                <w:lang w:val="es-ES"/>
              </w:rPr>
              <w:t> </w:t>
            </w:r>
            <w:r w:rsidR="00A36FF0" w:rsidRPr="00FD514D">
              <w:rPr>
                <w:lang w:val="es-ES"/>
              </w:rPr>
              <w:t>25.5</w:t>
            </w:r>
            <w:r w:rsidR="000E6513" w:rsidRPr="00FD514D">
              <w:rPr>
                <w:lang w:val="es-ES"/>
              </w:rPr>
              <w:t>.</w:t>
            </w:r>
            <w:r w:rsidR="00A36FF0" w:rsidRPr="00FD514D">
              <w:rPr>
                <w:lang w:val="es-ES"/>
              </w:rPr>
              <w:t>e)</w:t>
            </w:r>
            <w:r w:rsidR="00502459" w:rsidRPr="00FD514D">
              <w:rPr>
                <w:lang w:val="es-ES"/>
              </w:rPr>
              <w:t xml:space="preserve"> </w:t>
            </w:r>
            <w:r w:rsidR="000E6513" w:rsidRPr="00FD514D">
              <w:rPr>
                <w:lang w:val="es-ES"/>
              </w:rPr>
              <w:sym w:font="Symbol" w:char="F05B"/>
            </w:r>
            <w:r w:rsidRPr="00FD514D">
              <w:rPr>
                <w:lang w:val="es-ES"/>
              </w:rPr>
              <w:t xml:space="preserve">se señala </w:t>
            </w:r>
            <w:r w:rsidR="002C1920" w:rsidRPr="00FD514D">
              <w:rPr>
                <w:lang w:val="es-ES"/>
              </w:rPr>
              <w:t>que los grupos de trabajo oficiosos</w:t>
            </w:r>
            <w:r w:rsidR="00502459" w:rsidRPr="00FD514D">
              <w:rPr>
                <w:lang w:val="es-ES"/>
              </w:rPr>
              <w:t xml:space="preserve"> </w:t>
            </w:r>
            <w:r w:rsidR="00FA31FD" w:rsidRPr="00FD514D">
              <w:rPr>
                <w:lang w:val="es-ES"/>
              </w:rPr>
              <w:t xml:space="preserve">establecidos conforme al </w:t>
            </w:r>
            <w:r w:rsidR="00762688" w:rsidRPr="00FD514D">
              <w:rPr>
                <w:lang w:val="es-ES"/>
              </w:rPr>
              <w:t>artículo</w:t>
            </w:r>
            <w:r w:rsidR="00A36FF0" w:rsidRPr="00FD514D">
              <w:rPr>
                <w:lang w:val="es-ES"/>
              </w:rPr>
              <w:t xml:space="preserve"> 25.5</w:t>
            </w:r>
            <w:r w:rsidR="00B27308" w:rsidRPr="00FD514D">
              <w:rPr>
                <w:lang w:val="es-ES"/>
              </w:rPr>
              <w:t>.</w:t>
            </w:r>
            <w:r w:rsidR="00A36FF0" w:rsidRPr="00FD514D">
              <w:rPr>
                <w:lang w:val="es-ES"/>
              </w:rPr>
              <w:t xml:space="preserve">e) </w:t>
            </w:r>
            <w:r w:rsidR="00FA31FD" w:rsidRPr="00FD514D">
              <w:rPr>
                <w:lang w:val="es-ES"/>
              </w:rPr>
              <w:t>no se consideran órganos subsidiarios</w:t>
            </w:r>
            <w:r w:rsidR="00482758" w:rsidRPr="00FD514D">
              <w:rPr>
                <w:rStyle w:val="FootnoteReference"/>
                <w:lang w:val="es-ES"/>
              </w:rPr>
              <w:footnoteReference w:id="17"/>
            </w:r>
            <w:r w:rsidR="000E6513" w:rsidRPr="00FD514D">
              <w:rPr>
                <w:lang w:val="es-ES"/>
              </w:rPr>
              <w:sym w:font="Symbol" w:char="F05D"/>
            </w:r>
            <w:r w:rsidR="00593F65" w:rsidRPr="00FD514D">
              <w:rPr>
                <w:lang w:val="es-ES"/>
              </w:rPr>
              <w:t>.</w:t>
            </w:r>
            <w:r w:rsidR="00A36FF0" w:rsidRPr="00FD514D">
              <w:rPr>
                <w:lang w:val="es-ES"/>
              </w:rPr>
              <w:t xml:space="preserve"> </w:t>
            </w:r>
          </w:p>
        </w:tc>
        <w:tc>
          <w:tcPr>
            <w:tcW w:w="3308" w:type="dxa"/>
          </w:tcPr>
          <w:p w14:paraId="35E14D3A" w14:textId="415D3413" w:rsidR="00DE3B71" w:rsidRPr="00FD514D" w:rsidRDefault="007019AF" w:rsidP="0078688F">
            <w:pPr>
              <w:pStyle w:val="NoSpacing"/>
              <w:ind w:left="0" w:firstLine="0"/>
              <w:rPr>
                <w:lang w:val="es-ES"/>
              </w:rPr>
            </w:pPr>
            <w:r w:rsidRPr="00FD514D">
              <w:rPr>
                <w:lang w:val="es-ES"/>
              </w:rPr>
              <w:lastRenderedPageBreak/>
              <w:t>Véase la recomendación que figura en la fila 1 del</w:t>
            </w:r>
            <w:r w:rsidR="00502459" w:rsidRPr="00FD514D">
              <w:rPr>
                <w:lang w:val="es-ES"/>
              </w:rPr>
              <w:t xml:space="preserve"> </w:t>
            </w:r>
            <w:r w:rsidR="00C24302">
              <w:rPr>
                <w:lang w:val="es-ES"/>
              </w:rPr>
              <w:t>cuadro</w:t>
            </w:r>
            <w:r w:rsidRPr="00FD514D">
              <w:rPr>
                <w:lang w:val="es-ES"/>
              </w:rPr>
              <w:t xml:space="preserve"> 2.</w:t>
            </w:r>
          </w:p>
          <w:p w14:paraId="540D41AE" w14:textId="6D3C1AE9" w:rsidR="007019AF" w:rsidRPr="00FD514D" w:rsidRDefault="00502459" w:rsidP="0078688F">
            <w:pPr>
              <w:pStyle w:val="NoSpacing"/>
              <w:ind w:left="0" w:firstLine="0"/>
              <w:rPr>
                <w:lang w:val="es-ES"/>
              </w:rPr>
            </w:pPr>
            <w:r w:rsidRPr="00FD514D">
              <w:rPr>
                <w:lang w:val="es-ES"/>
              </w:rPr>
              <w:t xml:space="preserve"> </w:t>
            </w:r>
          </w:p>
          <w:p w14:paraId="1B9D8688" w14:textId="77777777" w:rsidR="00C84A87" w:rsidRPr="00FD514D" w:rsidRDefault="007019AF" w:rsidP="0078688F">
            <w:pPr>
              <w:pStyle w:val="NoSpacing"/>
              <w:ind w:left="0" w:firstLine="0"/>
              <w:rPr>
                <w:lang w:val="es-ES"/>
              </w:rPr>
            </w:pPr>
            <w:r w:rsidRPr="00FD514D">
              <w:rPr>
                <w:lang w:val="es-ES"/>
              </w:rPr>
              <w:t xml:space="preserve">Sería necesario aclarar esta cuestión en </w:t>
            </w:r>
            <w:r w:rsidR="00765280" w:rsidRPr="00FD514D">
              <w:rPr>
                <w:lang w:val="es-ES"/>
              </w:rPr>
              <w:t xml:space="preserve">tal </w:t>
            </w:r>
            <w:r w:rsidR="00762688" w:rsidRPr="00FD514D">
              <w:rPr>
                <w:lang w:val="es-ES"/>
              </w:rPr>
              <w:t>reglamento</w:t>
            </w:r>
            <w:r w:rsidR="00765280" w:rsidRPr="00FD514D">
              <w:rPr>
                <w:lang w:val="es-ES"/>
              </w:rPr>
              <w:t xml:space="preserve">. </w:t>
            </w:r>
          </w:p>
        </w:tc>
      </w:tr>
      <w:tr w:rsidR="00D50999" w:rsidRPr="00070719" w14:paraId="017BEF0F" w14:textId="77777777" w:rsidTr="00980900">
        <w:tc>
          <w:tcPr>
            <w:tcW w:w="580" w:type="dxa"/>
          </w:tcPr>
          <w:p w14:paraId="55371938" w14:textId="77777777" w:rsidR="00A36FF0" w:rsidRPr="00FD514D" w:rsidRDefault="00A36FF0" w:rsidP="00C408AD">
            <w:pPr>
              <w:pStyle w:val="NoSpacing"/>
              <w:ind w:left="0" w:firstLine="0"/>
              <w:rPr>
                <w:lang w:val="es-ES"/>
              </w:rPr>
            </w:pPr>
            <w:r w:rsidRPr="00FD514D">
              <w:rPr>
                <w:lang w:val="es-ES"/>
              </w:rPr>
              <w:t>5</w:t>
            </w:r>
          </w:p>
        </w:tc>
        <w:tc>
          <w:tcPr>
            <w:tcW w:w="1984" w:type="dxa"/>
          </w:tcPr>
          <w:p w14:paraId="3DCF5C53" w14:textId="77777777" w:rsidR="00A36FF0" w:rsidRPr="00FD514D" w:rsidRDefault="00762688" w:rsidP="00C408AD">
            <w:pPr>
              <w:pStyle w:val="NoSpacing"/>
              <w:ind w:left="0" w:firstLine="0"/>
              <w:rPr>
                <w:lang w:val="es-ES"/>
              </w:rPr>
            </w:pPr>
            <w:r w:rsidRPr="00FD514D">
              <w:rPr>
                <w:lang w:val="es-ES"/>
              </w:rPr>
              <w:t>Artículo</w:t>
            </w:r>
            <w:r w:rsidR="000C061B" w:rsidRPr="00FD514D">
              <w:rPr>
                <w:lang w:val="es-ES"/>
              </w:rPr>
              <w:t xml:space="preserve"> </w:t>
            </w:r>
            <w:r w:rsidR="00A36FF0" w:rsidRPr="00FD514D">
              <w:rPr>
                <w:lang w:val="es-ES"/>
              </w:rPr>
              <w:t>8</w:t>
            </w:r>
            <w:r w:rsidR="003D00A1" w:rsidRPr="00FD514D">
              <w:rPr>
                <w:lang w:val="es-ES"/>
              </w:rPr>
              <w:t>:</w:t>
            </w:r>
            <w:r w:rsidR="00A36FF0" w:rsidRPr="00FD514D">
              <w:rPr>
                <w:lang w:val="es-ES"/>
              </w:rPr>
              <w:t xml:space="preserve"> Prepara</w:t>
            </w:r>
            <w:r w:rsidR="002C1920" w:rsidRPr="00FD514D">
              <w:rPr>
                <w:lang w:val="es-ES"/>
              </w:rPr>
              <w:t xml:space="preserve">ción del orden del día </w:t>
            </w:r>
            <w:r w:rsidR="00A36FF0" w:rsidRPr="00FD514D">
              <w:rPr>
                <w:lang w:val="es-ES"/>
              </w:rPr>
              <w:t>provisional</w:t>
            </w:r>
          </w:p>
        </w:tc>
        <w:tc>
          <w:tcPr>
            <w:tcW w:w="3308" w:type="dxa"/>
          </w:tcPr>
          <w:p w14:paraId="5715B3F8" w14:textId="250E0098" w:rsidR="00332D72" w:rsidRPr="00980900" w:rsidRDefault="00FA31FD" w:rsidP="00332D72">
            <w:pPr>
              <w:pStyle w:val="NoSpacing"/>
              <w:ind w:left="0" w:firstLine="0"/>
              <w:rPr>
                <w:spacing w:val="-4"/>
                <w:lang w:val="es-ES"/>
              </w:rPr>
            </w:pPr>
            <w:r w:rsidRPr="00980900">
              <w:rPr>
                <w:spacing w:val="-4"/>
                <w:lang w:val="es-ES"/>
              </w:rPr>
              <w:t xml:space="preserve">La Secretaría deberá elaborar el orden del día provisional para que el CP lo examine y </w:t>
            </w:r>
            <w:r w:rsidR="008879F1" w:rsidRPr="00980900">
              <w:rPr>
                <w:spacing w:val="-4"/>
                <w:lang w:val="es-ES"/>
              </w:rPr>
              <w:t xml:space="preserve">lo </w:t>
            </w:r>
            <w:r w:rsidRPr="00980900">
              <w:rPr>
                <w:spacing w:val="-4"/>
                <w:lang w:val="es-ES"/>
              </w:rPr>
              <w:t xml:space="preserve">apruebe en su reunión anual del año siguiente a </w:t>
            </w:r>
            <w:r w:rsidR="003C0ACD" w:rsidRPr="00980900">
              <w:rPr>
                <w:spacing w:val="-4"/>
                <w:lang w:val="es-ES"/>
              </w:rPr>
              <w:t xml:space="preserve">la </w:t>
            </w:r>
            <w:r w:rsidR="00A36FF0" w:rsidRPr="00980900">
              <w:rPr>
                <w:spacing w:val="-4"/>
                <w:lang w:val="es-ES"/>
              </w:rPr>
              <w:t xml:space="preserve">COP. </w:t>
            </w:r>
            <w:r w:rsidR="003C0ACD" w:rsidRPr="00980900">
              <w:rPr>
                <w:spacing w:val="-4"/>
                <w:lang w:val="es-ES"/>
              </w:rPr>
              <w:t xml:space="preserve">Esto significa que el orden del día provisional debe ser elaborado con dos años de antelación </w:t>
            </w:r>
            <w:r w:rsidR="004D264D" w:rsidRPr="00980900">
              <w:rPr>
                <w:spacing w:val="-4"/>
                <w:lang w:val="es-ES"/>
              </w:rPr>
              <w:t>a</w:t>
            </w:r>
            <w:r w:rsidR="003C0ACD" w:rsidRPr="00980900">
              <w:rPr>
                <w:spacing w:val="-4"/>
                <w:lang w:val="es-ES"/>
              </w:rPr>
              <w:t xml:space="preserve"> la </w:t>
            </w:r>
            <w:r w:rsidR="00A36FF0" w:rsidRPr="00980900">
              <w:rPr>
                <w:spacing w:val="-4"/>
                <w:lang w:val="es-ES"/>
              </w:rPr>
              <w:t xml:space="preserve">COP. </w:t>
            </w:r>
            <w:r w:rsidR="00EF777B" w:rsidRPr="00980900">
              <w:rPr>
                <w:spacing w:val="-4"/>
                <w:lang w:val="es-ES"/>
              </w:rPr>
              <w:t>L</w:t>
            </w:r>
            <w:r w:rsidR="004D264D" w:rsidRPr="00980900">
              <w:rPr>
                <w:spacing w:val="-4"/>
                <w:lang w:val="es-ES"/>
              </w:rPr>
              <w:t xml:space="preserve">ógicamente </w:t>
            </w:r>
            <w:r w:rsidR="00EF777B" w:rsidRPr="00980900">
              <w:rPr>
                <w:spacing w:val="-4"/>
                <w:lang w:val="es-ES"/>
              </w:rPr>
              <w:t xml:space="preserve">esto </w:t>
            </w:r>
            <w:r w:rsidR="004D264D" w:rsidRPr="00980900">
              <w:rPr>
                <w:spacing w:val="-4"/>
                <w:lang w:val="es-ES"/>
              </w:rPr>
              <w:t>no es aplicable al CP u otros órganos subsidiarios. Más bien,</w:t>
            </w:r>
            <w:r w:rsidR="00502459" w:rsidRPr="00980900">
              <w:rPr>
                <w:spacing w:val="-4"/>
                <w:lang w:val="es-ES"/>
              </w:rPr>
              <w:t xml:space="preserve"> </w:t>
            </w:r>
            <w:r w:rsidR="004D264D" w:rsidRPr="00980900">
              <w:rPr>
                <w:spacing w:val="-4"/>
                <w:lang w:val="es-ES"/>
              </w:rPr>
              <w:t>el orden del día para el CP</w:t>
            </w:r>
            <w:r w:rsidR="00502459" w:rsidRPr="00980900">
              <w:rPr>
                <w:spacing w:val="-4"/>
                <w:lang w:val="es-ES"/>
              </w:rPr>
              <w:t xml:space="preserve"> </w:t>
            </w:r>
            <w:r w:rsidR="005053BE" w:rsidRPr="00980900">
              <w:rPr>
                <w:spacing w:val="-4"/>
                <w:lang w:val="es-ES"/>
              </w:rPr>
              <w:t xml:space="preserve">está disponible con </w:t>
            </w:r>
            <w:r w:rsidR="005053BE" w:rsidRPr="00980900">
              <w:rPr>
                <w:spacing w:val="-4"/>
                <w:lang w:val="es-ES"/>
              </w:rPr>
              <w:lastRenderedPageBreak/>
              <w:t>tres meses de antelación a la siguiente reunión del CP</w:t>
            </w:r>
            <w:r w:rsidR="00A36FF0" w:rsidRPr="00980900">
              <w:rPr>
                <w:spacing w:val="-4"/>
                <w:lang w:val="es-ES"/>
              </w:rPr>
              <w:t>.</w:t>
            </w:r>
            <w:r w:rsidR="00A36FF0" w:rsidRPr="00980900">
              <w:rPr>
                <w:rStyle w:val="FootnoteReference"/>
                <w:spacing w:val="-4"/>
                <w:lang w:val="es-ES"/>
              </w:rPr>
              <w:footnoteReference w:id="18"/>
            </w:r>
            <w:r w:rsidR="00945328" w:rsidRPr="00980900">
              <w:rPr>
                <w:spacing w:val="-4"/>
                <w:lang w:val="es-ES"/>
              </w:rPr>
              <w:t xml:space="preserve"> </w:t>
            </w:r>
          </w:p>
          <w:p w14:paraId="76A6066F" w14:textId="77777777" w:rsidR="00332D72" w:rsidRPr="00FD514D" w:rsidRDefault="00332D72" w:rsidP="00332D72">
            <w:pPr>
              <w:pStyle w:val="NoSpacing"/>
              <w:ind w:left="0" w:firstLine="0"/>
              <w:rPr>
                <w:lang w:val="es-ES"/>
              </w:rPr>
            </w:pPr>
          </w:p>
          <w:p w14:paraId="5A51CC41" w14:textId="77777777" w:rsidR="00A36FF0" w:rsidRPr="00FD514D" w:rsidRDefault="00270056" w:rsidP="00221AD5">
            <w:pPr>
              <w:pStyle w:val="NoSpacing"/>
              <w:ind w:left="0" w:firstLine="0"/>
              <w:rPr>
                <w:lang w:val="es-ES"/>
              </w:rPr>
            </w:pPr>
            <w:r w:rsidRPr="00FD514D">
              <w:rPr>
                <w:lang w:val="es-ES"/>
              </w:rPr>
              <w:t>En lo que se refiere a los demás órganos subsidiarios, el</w:t>
            </w:r>
            <w:r w:rsidR="00502459" w:rsidRPr="00FD514D">
              <w:rPr>
                <w:lang w:val="es-ES"/>
              </w:rPr>
              <w:t xml:space="preserve"> </w:t>
            </w:r>
            <w:r w:rsidRPr="00FD514D">
              <w:rPr>
                <w:lang w:val="es-ES"/>
              </w:rPr>
              <w:t>orden del día de sus reuniones se establece</w:t>
            </w:r>
            <w:r w:rsidR="00502459" w:rsidRPr="00FD514D">
              <w:rPr>
                <w:lang w:val="es-ES"/>
              </w:rPr>
              <w:t xml:space="preserve"> </w:t>
            </w:r>
            <w:r w:rsidR="00AE11B1" w:rsidRPr="00FD514D">
              <w:rPr>
                <w:lang w:val="es-ES"/>
              </w:rPr>
              <w:t xml:space="preserve">cuando se reciben instrucciones de la COP o del CP, o de ambos, y en colaboración con la Presidencia del órgano pertinente. Sin embargo, este procedimiento no está previsto en el </w:t>
            </w:r>
            <w:r w:rsidR="00762688" w:rsidRPr="00FD514D">
              <w:rPr>
                <w:lang w:val="es-ES"/>
              </w:rPr>
              <w:t>reglamento</w:t>
            </w:r>
            <w:r w:rsidR="00AE11B1" w:rsidRPr="00FD514D">
              <w:rPr>
                <w:lang w:val="es-ES"/>
              </w:rPr>
              <w:t xml:space="preserve">. </w:t>
            </w:r>
          </w:p>
        </w:tc>
        <w:tc>
          <w:tcPr>
            <w:tcW w:w="3308" w:type="dxa"/>
          </w:tcPr>
          <w:p w14:paraId="0F15C43D" w14:textId="31ACCAC4" w:rsidR="0066305A" w:rsidRPr="00FD514D" w:rsidRDefault="004F3634" w:rsidP="0078688F">
            <w:pPr>
              <w:pStyle w:val="NoSpacing"/>
              <w:ind w:left="0" w:firstLine="0"/>
              <w:rPr>
                <w:lang w:val="es-ES"/>
              </w:rPr>
            </w:pPr>
            <w:r w:rsidRPr="00FD514D">
              <w:rPr>
                <w:lang w:val="es-ES"/>
              </w:rPr>
              <w:lastRenderedPageBreak/>
              <w:t>Véase la recomendación que figura en la fila 1 del</w:t>
            </w:r>
            <w:r w:rsidR="00502459" w:rsidRPr="00FD514D">
              <w:rPr>
                <w:lang w:val="es-ES"/>
              </w:rPr>
              <w:t xml:space="preserve"> </w:t>
            </w:r>
            <w:r w:rsidR="00C24302">
              <w:rPr>
                <w:lang w:val="es-ES"/>
              </w:rPr>
              <w:t>cuadro</w:t>
            </w:r>
            <w:r w:rsidRPr="00FD514D">
              <w:rPr>
                <w:lang w:val="es-ES"/>
              </w:rPr>
              <w:t xml:space="preserve"> 2.</w:t>
            </w:r>
            <w:r w:rsidR="00502459" w:rsidRPr="00FD514D">
              <w:rPr>
                <w:lang w:val="es-ES"/>
              </w:rPr>
              <w:t xml:space="preserve"> </w:t>
            </w:r>
          </w:p>
          <w:p w14:paraId="51161DD8" w14:textId="77777777" w:rsidR="004F3634" w:rsidRPr="00FD514D" w:rsidRDefault="004F3634" w:rsidP="0078688F">
            <w:pPr>
              <w:pStyle w:val="NoSpacing"/>
              <w:ind w:left="0" w:firstLine="0"/>
              <w:rPr>
                <w:lang w:val="es-ES"/>
              </w:rPr>
            </w:pPr>
          </w:p>
          <w:p w14:paraId="5883BE76" w14:textId="2A8C202C" w:rsidR="0066305A" w:rsidRPr="00FD514D" w:rsidRDefault="00765280" w:rsidP="0066305A">
            <w:pPr>
              <w:pStyle w:val="NoSpacing"/>
              <w:ind w:left="0" w:firstLine="0"/>
              <w:rPr>
                <w:lang w:val="es-ES"/>
              </w:rPr>
            </w:pPr>
            <w:r w:rsidRPr="00FD514D">
              <w:rPr>
                <w:lang w:val="es-ES"/>
              </w:rPr>
              <w:t xml:space="preserve">El </w:t>
            </w:r>
            <w:r w:rsidR="00762688" w:rsidRPr="00FD514D">
              <w:rPr>
                <w:lang w:val="es-ES"/>
              </w:rPr>
              <w:t>reglamento</w:t>
            </w:r>
            <w:r w:rsidRPr="00FD514D">
              <w:rPr>
                <w:lang w:val="es-ES"/>
              </w:rPr>
              <w:t xml:space="preserve"> podría </w:t>
            </w:r>
            <w:r w:rsidR="004D35AE" w:rsidRPr="00FD514D">
              <w:rPr>
                <w:lang w:val="es-ES"/>
              </w:rPr>
              <w:t xml:space="preserve">incluir disposiciones explícitas sobre el procedimiento actualmente aplicado para determinar los asuntos a incluir en el orden del día provisional </w:t>
            </w:r>
            <w:r w:rsidR="00F265DB" w:rsidRPr="00FD514D">
              <w:rPr>
                <w:lang w:val="es-ES"/>
              </w:rPr>
              <w:t>de las reuniones de los órganos subsidiarios</w:t>
            </w:r>
            <w:r w:rsidR="008A0566" w:rsidRPr="00FD514D">
              <w:rPr>
                <w:lang w:val="es-ES"/>
              </w:rPr>
              <w:t xml:space="preserve">, </w:t>
            </w:r>
            <w:r w:rsidR="00F60470" w:rsidRPr="00FD514D">
              <w:rPr>
                <w:lang w:val="es-ES"/>
              </w:rPr>
              <w:t xml:space="preserve">así como los plazos apropiados al respecto. </w:t>
            </w:r>
          </w:p>
          <w:p w14:paraId="512E8A49" w14:textId="77777777" w:rsidR="0066305A" w:rsidRPr="00FD514D" w:rsidRDefault="0066305A" w:rsidP="0078688F">
            <w:pPr>
              <w:pStyle w:val="NoSpacing"/>
              <w:ind w:left="0" w:firstLine="0"/>
              <w:rPr>
                <w:lang w:val="es-ES"/>
              </w:rPr>
            </w:pPr>
          </w:p>
        </w:tc>
      </w:tr>
      <w:tr w:rsidR="00D50999" w:rsidRPr="00070719" w14:paraId="7995F306" w14:textId="77777777" w:rsidTr="00980900">
        <w:tc>
          <w:tcPr>
            <w:tcW w:w="580" w:type="dxa"/>
          </w:tcPr>
          <w:p w14:paraId="0A8ED271" w14:textId="77777777" w:rsidR="00386FEA" w:rsidRPr="00FD514D" w:rsidRDefault="00386FEA" w:rsidP="00C408AD">
            <w:pPr>
              <w:pStyle w:val="NoSpacing"/>
              <w:ind w:left="0" w:firstLine="0"/>
              <w:rPr>
                <w:lang w:val="es-ES"/>
              </w:rPr>
            </w:pPr>
            <w:r w:rsidRPr="00FD514D">
              <w:rPr>
                <w:lang w:val="es-ES"/>
              </w:rPr>
              <w:lastRenderedPageBreak/>
              <w:t>6</w:t>
            </w:r>
          </w:p>
        </w:tc>
        <w:tc>
          <w:tcPr>
            <w:tcW w:w="1984" w:type="dxa"/>
          </w:tcPr>
          <w:p w14:paraId="242BF12D" w14:textId="77777777" w:rsidR="00386FEA" w:rsidRPr="00FD514D" w:rsidRDefault="00762688" w:rsidP="00C408AD">
            <w:pPr>
              <w:pStyle w:val="NoSpacing"/>
              <w:ind w:left="0" w:firstLine="0"/>
              <w:rPr>
                <w:lang w:val="es-ES"/>
              </w:rPr>
            </w:pPr>
            <w:r w:rsidRPr="00FD514D">
              <w:rPr>
                <w:lang w:val="es-ES"/>
              </w:rPr>
              <w:t>Artículo</w:t>
            </w:r>
            <w:r w:rsidR="00386FEA" w:rsidRPr="00FD514D">
              <w:rPr>
                <w:lang w:val="es-ES"/>
              </w:rPr>
              <w:t xml:space="preserve"> 9</w:t>
            </w:r>
            <w:r w:rsidR="00B27E08" w:rsidRPr="00FD514D">
              <w:rPr>
                <w:lang w:val="es-ES"/>
              </w:rPr>
              <w:t>:</w:t>
            </w:r>
            <w:r w:rsidR="00386FEA" w:rsidRPr="00FD514D">
              <w:rPr>
                <w:lang w:val="es-ES"/>
              </w:rPr>
              <w:t xml:space="preserve"> </w:t>
            </w:r>
            <w:r w:rsidR="002C1920" w:rsidRPr="00FD514D">
              <w:rPr>
                <w:lang w:val="es-ES"/>
              </w:rPr>
              <w:t xml:space="preserve">Asuntos incluidos en el orden del día </w:t>
            </w:r>
            <w:r w:rsidR="00386FEA" w:rsidRPr="00FD514D">
              <w:rPr>
                <w:lang w:val="es-ES"/>
              </w:rPr>
              <w:t>provisional</w:t>
            </w:r>
          </w:p>
        </w:tc>
        <w:tc>
          <w:tcPr>
            <w:tcW w:w="3308" w:type="dxa"/>
          </w:tcPr>
          <w:p w14:paraId="44D00C33" w14:textId="77777777" w:rsidR="00AE11B1" w:rsidRPr="00FD514D" w:rsidRDefault="00AE11B1" w:rsidP="00332D72">
            <w:pPr>
              <w:pStyle w:val="NoSpacing"/>
              <w:ind w:left="0" w:firstLine="0"/>
              <w:rPr>
                <w:lang w:val="es-ES"/>
              </w:rPr>
            </w:pPr>
            <w:r w:rsidRPr="00FD514D">
              <w:rPr>
                <w:lang w:val="es-ES"/>
              </w:rPr>
              <w:t xml:space="preserve">Este </w:t>
            </w:r>
            <w:r w:rsidR="00762688" w:rsidRPr="00FD514D">
              <w:rPr>
                <w:lang w:val="es-ES"/>
              </w:rPr>
              <w:t>artículo</w:t>
            </w:r>
            <w:r w:rsidRPr="00FD514D">
              <w:rPr>
                <w:lang w:val="es-ES"/>
              </w:rPr>
              <w:t xml:space="preserve"> sería aplicable a las reuniones del CP. </w:t>
            </w:r>
          </w:p>
          <w:p w14:paraId="7C70CF3C" w14:textId="77777777" w:rsidR="00AE11B1" w:rsidRPr="00FD514D" w:rsidRDefault="00AE11B1" w:rsidP="00332D72">
            <w:pPr>
              <w:pStyle w:val="NoSpacing"/>
              <w:ind w:left="0" w:firstLine="0"/>
              <w:rPr>
                <w:lang w:val="es-ES"/>
              </w:rPr>
            </w:pPr>
          </w:p>
          <w:p w14:paraId="0ECB3D11" w14:textId="21AE5DE7" w:rsidR="00AD3C5C" w:rsidRPr="00FD514D" w:rsidRDefault="00AE11B1" w:rsidP="00332D72">
            <w:pPr>
              <w:pStyle w:val="NoSpacing"/>
              <w:ind w:left="0" w:firstLine="0"/>
              <w:rPr>
                <w:lang w:val="es-ES"/>
              </w:rPr>
            </w:pPr>
            <w:r w:rsidRPr="00FD514D">
              <w:rPr>
                <w:lang w:val="es-ES"/>
              </w:rPr>
              <w:t xml:space="preserve">Lógicamente no sería aplicable a las </w:t>
            </w:r>
            <w:r w:rsidR="00CE5A20" w:rsidRPr="00FD514D">
              <w:rPr>
                <w:lang w:val="es-ES"/>
              </w:rPr>
              <w:t>reuniones de otros órganos subsidiarios (habida cuenta de la naturaleza de los asunto</w:t>
            </w:r>
            <w:r w:rsidR="004C2493" w:rsidRPr="00FD514D">
              <w:rPr>
                <w:lang w:val="es-ES"/>
              </w:rPr>
              <w:t>s</w:t>
            </w:r>
            <w:r w:rsidR="00CE5A20" w:rsidRPr="00FD514D">
              <w:rPr>
                <w:lang w:val="es-ES"/>
              </w:rPr>
              <w:t xml:space="preserve">). </w:t>
            </w:r>
          </w:p>
          <w:p w14:paraId="25F269DA" w14:textId="77777777" w:rsidR="00AD3C5C" w:rsidRPr="00FD514D" w:rsidRDefault="00AD3C5C" w:rsidP="00332D72">
            <w:pPr>
              <w:pStyle w:val="NoSpacing"/>
              <w:ind w:left="0" w:firstLine="0"/>
              <w:rPr>
                <w:lang w:val="es-ES"/>
              </w:rPr>
            </w:pPr>
          </w:p>
          <w:p w14:paraId="5FD39E45" w14:textId="77777777" w:rsidR="00386FEA" w:rsidRPr="00FD514D" w:rsidRDefault="00CE5A20" w:rsidP="00B27E08">
            <w:pPr>
              <w:pStyle w:val="NoSpacing"/>
              <w:ind w:left="0" w:firstLine="0"/>
              <w:rPr>
                <w:lang w:val="es-ES"/>
              </w:rPr>
            </w:pPr>
            <w:r w:rsidRPr="00FD514D">
              <w:rPr>
                <w:lang w:val="es-ES"/>
              </w:rPr>
              <w:t xml:space="preserve">Los asuntos a incluir en el orden del día provisional de las reuniones de otros órganos subsidiarios se </w:t>
            </w:r>
            <w:r w:rsidR="00F60470" w:rsidRPr="00FD514D">
              <w:rPr>
                <w:lang w:val="es-ES"/>
              </w:rPr>
              <w:t xml:space="preserve">determinan </w:t>
            </w:r>
            <w:r w:rsidR="00FE4192" w:rsidRPr="00FD514D">
              <w:rPr>
                <w:lang w:val="es-ES"/>
              </w:rPr>
              <w:t xml:space="preserve">sobre la base de las instrucciones recibidas de la COP o </w:t>
            </w:r>
            <w:r w:rsidR="00F60470" w:rsidRPr="00FD514D">
              <w:rPr>
                <w:lang w:val="es-ES"/>
              </w:rPr>
              <w:t>d</w:t>
            </w:r>
            <w:r w:rsidR="00FE4192" w:rsidRPr="00FD514D">
              <w:rPr>
                <w:lang w:val="es-ES"/>
              </w:rPr>
              <w:t xml:space="preserve">el CP, o </w:t>
            </w:r>
            <w:r w:rsidR="00F60470" w:rsidRPr="00FD514D">
              <w:rPr>
                <w:lang w:val="es-ES"/>
              </w:rPr>
              <w:t xml:space="preserve">de </w:t>
            </w:r>
            <w:r w:rsidR="00FE4192" w:rsidRPr="00FD514D">
              <w:rPr>
                <w:lang w:val="es-ES"/>
              </w:rPr>
              <w:t xml:space="preserve">ambos, y en colaboración con la Presidencia del órgano pertinente. Sin embargo, este procedimiento no está previsto en el </w:t>
            </w:r>
            <w:r w:rsidR="00762688" w:rsidRPr="00FD514D">
              <w:rPr>
                <w:lang w:val="es-ES"/>
              </w:rPr>
              <w:t>reglamento</w:t>
            </w:r>
            <w:r w:rsidR="00FE4192" w:rsidRPr="00FD514D">
              <w:rPr>
                <w:lang w:val="es-ES"/>
              </w:rPr>
              <w:t xml:space="preserve">. </w:t>
            </w:r>
          </w:p>
        </w:tc>
        <w:tc>
          <w:tcPr>
            <w:tcW w:w="3308" w:type="dxa"/>
          </w:tcPr>
          <w:p w14:paraId="546BA13F" w14:textId="03F89A12" w:rsidR="0066305A" w:rsidRPr="00FD514D" w:rsidRDefault="004F3634" w:rsidP="00D653A5">
            <w:pPr>
              <w:pStyle w:val="NoSpacing"/>
              <w:ind w:left="0" w:firstLine="0"/>
              <w:rPr>
                <w:lang w:val="es-ES"/>
              </w:rPr>
            </w:pPr>
            <w:r w:rsidRPr="00FD514D">
              <w:rPr>
                <w:lang w:val="es-ES"/>
              </w:rPr>
              <w:t>Véase la recomendación que figura en la fila 1 del</w:t>
            </w:r>
            <w:r w:rsidR="00502459" w:rsidRPr="00FD514D">
              <w:rPr>
                <w:lang w:val="es-ES"/>
              </w:rPr>
              <w:t xml:space="preserve"> </w:t>
            </w:r>
            <w:r w:rsidR="00C24302">
              <w:rPr>
                <w:lang w:val="es-ES"/>
              </w:rPr>
              <w:t>cuadro</w:t>
            </w:r>
            <w:r w:rsidRPr="00FD514D">
              <w:rPr>
                <w:lang w:val="es-ES"/>
              </w:rPr>
              <w:t xml:space="preserve"> 2.</w:t>
            </w:r>
            <w:r w:rsidR="00502459" w:rsidRPr="00FD514D">
              <w:rPr>
                <w:lang w:val="es-ES"/>
              </w:rPr>
              <w:t xml:space="preserve"> </w:t>
            </w:r>
          </w:p>
          <w:p w14:paraId="4015C21B" w14:textId="77777777" w:rsidR="0066305A" w:rsidRPr="00FD514D" w:rsidRDefault="0066305A" w:rsidP="00D653A5">
            <w:pPr>
              <w:pStyle w:val="NoSpacing"/>
              <w:ind w:left="0" w:firstLine="0"/>
              <w:rPr>
                <w:lang w:val="es-ES"/>
              </w:rPr>
            </w:pPr>
          </w:p>
          <w:p w14:paraId="1DC465F2" w14:textId="77777777" w:rsidR="00D653A5" w:rsidRPr="00FD514D" w:rsidRDefault="00D653A5" w:rsidP="00D653A5">
            <w:pPr>
              <w:pStyle w:val="NoSpacing"/>
              <w:ind w:left="0" w:firstLine="0"/>
              <w:rPr>
                <w:lang w:val="es-ES"/>
              </w:rPr>
            </w:pPr>
          </w:p>
          <w:p w14:paraId="1287AA1E" w14:textId="77777777" w:rsidR="00386FEA" w:rsidRPr="00FD514D" w:rsidRDefault="00386FEA" w:rsidP="00D653A5">
            <w:pPr>
              <w:pStyle w:val="NoSpacing"/>
              <w:ind w:left="0" w:firstLine="0"/>
              <w:rPr>
                <w:lang w:val="es-ES"/>
              </w:rPr>
            </w:pPr>
          </w:p>
        </w:tc>
      </w:tr>
      <w:tr w:rsidR="00D50999" w:rsidRPr="00070719" w14:paraId="1036E35B" w14:textId="77777777" w:rsidTr="00980900">
        <w:tc>
          <w:tcPr>
            <w:tcW w:w="580" w:type="dxa"/>
          </w:tcPr>
          <w:p w14:paraId="08991AE1" w14:textId="77777777" w:rsidR="00AD3C5C" w:rsidRPr="00FD514D" w:rsidRDefault="00AD3C5C" w:rsidP="00C408AD">
            <w:pPr>
              <w:pStyle w:val="NoSpacing"/>
              <w:ind w:left="0" w:firstLine="0"/>
              <w:rPr>
                <w:lang w:val="es-ES"/>
              </w:rPr>
            </w:pPr>
            <w:r w:rsidRPr="00FD514D">
              <w:rPr>
                <w:lang w:val="es-ES"/>
              </w:rPr>
              <w:t>7</w:t>
            </w:r>
          </w:p>
        </w:tc>
        <w:tc>
          <w:tcPr>
            <w:tcW w:w="1984" w:type="dxa"/>
          </w:tcPr>
          <w:p w14:paraId="74A8DA37" w14:textId="77777777" w:rsidR="00AD3C5C" w:rsidRPr="00FD514D" w:rsidRDefault="00762688" w:rsidP="00C408AD">
            <w:pPr>
              <w:pStyle w:val="NoSpacing"/>
              <w:ind w:left="0" w:firstLine="0"/>
              <w:rPr>
                <w:lang w:val="es-ES"/>
              </w:rPr>
            </w:pPr>
            <w:r w:rsidRPr="00FD514D">
              <w:rPr>
                <w:lang w:val="es-ES"/>
              </w:rPr>
              <w:t>Artículo</w:t>
            </w:r>
            <w:r w:rsidR="00AD3C5C" w:rsidRPr="00FD514D">
              <w:rPr>
                <w:lang w:val="es-ES"/>
              </w:rPr>
              <w:t xml:space="preserve"> 10</w:t>
            </w:r>
            <w:r w:rsidR="0012637B" w:rsidRPr="00FD514D">
              <w:rPr>
                <w:lang w:val="es-ES"/>
              </w:rPr>
              <w:t>:</w:t>
            </w:r>
            <w:r w:rsidR="00AD3C5C" w:rsidRPr="00FD514D">
              <w:rPr>
                <w:lang w:val="es-ES"/>
              </w:rPr>
              <w:t xml:space="preserve"> Distribu</w:t>
            </w:r>
            <w:r w:rsidR="00FC5B6E" w:rsidRPr="00FD514D">
              <w:rPr>
                <w:lang w:val="es-ES"/>
              </w:rPr>
              <w:t>ción de documentos</w:t>
            </w:r>
          </w:p>
        </w:tc>
        <w:tc>
          <w:tcPr>
            <w:tcW w:w="3308" w:type="dxa"/>
          </w:tcPr>
          <w:p w14:paraId="0CC85DD4" w14:textId="1288F35B" w:rsidR="00AD3C5C" w:rsidRPr="00FD514D" w:rsidRDefault="00FE4192" w:rsidP="00332D72">
            <w:pPr>
              <w:pStyle w:val="NoSpacing"/>
              <w:ind w:left="0" w:firstLine="0"/>
              <w:rPr>
                <w:lang w:val="es-ES"/>
              </w:rPr>
            </w:pPr>
            <w:r w:rsidRPr="00FD514D">
              <w:rPr>
                <w:lang w:val="es-ES"/>
              </w:rPr>
              <w:t xml:space="preserve">Este </w:t>
            </w:r>
            <w:r w:rsidR="00762688" w:rsidRPr="00FD514D">
              <w:rPr>
                <w:lang w:val="es-ES"/>
              </w:rPr>
              <w:t>artículo</w:t>
            </w:r>
            <w:r w:rsidR="00AD3C5C" w:rsidRPr="00FD514D">
              <w:rPr>
                <w:lang w:val="es-ES"/>
              </w:rPr>
              <w:t xml:space="preserve"> </w:t>
            </w:r>
            <w:r w:rsidRPr="00FD514D">
              <w:rPr>
                <w:lang w:val="es-ES"/>
              </w:rPr>
              <w:t>sería aplicable a las reuni</w:t>
            </w:r>
            <w:r w:rsidR="004C2493" w:rsidRPr="00FD514D">
              <w:rPr>
                <w:lang w:val="es-ES"/>
              </w:rPr>
              <w:t>o</w:t>
            </w:r>
            <w:r w:rsidRPr="00FD514D">
              <w:rPr>
                <w:lang w:val="es-ES"/>
              </w:rPr>
              <w:t>nes del CP.</w:t>
            </w:r>
            <w:r w:rsidR="00502459" w:rsidRPr="00FD514D">
              <w:rPr>
                <w:lang w:val="es-ES"/>
              </w:rPr>
              <w:t xml:space="preserve"> </w:t>
            </w:r>
          </w:p>
          <w:p w14:paraId="7DC44C94" w14:textId="77777777" w:rsidR="00AD3C5C" w:rsidRPr="00FD514D" w:rsidRDefault="00AD3C5C" w:rsidP="00332D72">
            <w:pPr>
              <w:pStyle w:val="NoSpacing"/>
              <w:ind w:left="0" w:firstLine="0"/>
              <w:rPr>
                <w:lang w:val="es-ES"/>
              </w:rPr>
            </w:pPr>
          </w:p>
          <w:p w14:paraId="6EBABD4D" w14:textId="77777777" w:rsidR="00AD3C5C" w:rsidRPr="00FD514D" w:rsidRDefault="00B13012" w:rsidP="001073D2">
            <w:pPr>
              <w:pStyle w:val="NoSpacing"/>
              <w:ind w:left="0" w:firstLine="0"/>
              <w:rPr>
                <w:lang w:val="es-ES"/>
              </w:rPr>
            </w:pPr>
            <w:r w:rsidRPr="00FD514D">
              <w:rPr>
                <w:lang w:val="es-ES"/>
              </w:rPr>
              <w:t xml:space="preserve">En principio, podría ser aplicable a las reuniones de otros órganos subsidiarios. No obstante, </w:t>
            </w:r>
            <w:r w:rsidR="001B5293" w:rsidRPr="00FD514D">
              <w:rPr>
                <w:lang w:val="es-ES"/>
              </w:rPr>
              <w:t xml:space="preserve">los documentos no se han distribuido en todos los idiomas oficiales para el GECT, debido a </w:t>
            </w:r>
            <w:r w:rsidR="002B644A" w:rsidRPr="00FD514D">
              <w:rPr>
                <w:lang w:val="es-ES"/>
              </w:rPr>
              <w:t>la inexistencia de una previsión presupuestaria para ello. Además, el plazo de tres meses para la distribución de los documentos</w:t>
            </w:r>
            <w:r w:rsidR="00C90796" w:rsidRPr="00FD514D">
              <w:rPr>
                <w:lang w:val="es-ES"/>
              </w:rPr>
              <w:t xml:space="preserve"> no ha sido aplicado al GECT.</w:t>
            </w:r>
            <w:r w:rsidR="00502459" w:rsidRPr="00FD514D">
              <w:rPr>
                <w:lang w:val="es-ES"/>
              </w:rPr>
              <w:t xml:space="preserve"> </w:t>
            </w:r>
          </w:p>
        </w:tc>
        <w:tc>
          <w:tcPr>
            <w:tcW w:w="3308" w:type="dxa"/>
          </w:tcPr>
          <w:p w14:paraId="0CFD36C6" w14:textId="4741DC66" w:rsidR="008A0566" w:rsidRPr="00FD514D" w:rsidRDefault="004F3634" w:rsidP="00D653A5">
            <w:pPr>
              <w:pStyle w:val="NoSpacing"/>
              <w:ind w:left="0" w:firstLine="0"/>
              <w:rPr>
                <w:lang w:val="es-ES"/>
              </w:rPr>
            </w:pPr>
            <w:r w:rsidRPr="00FD514D">
              <w:rPr>
                <w:lang w:val="es-ES"/>
              </w:rPr>
              <w:t>Véase la recomendación que figura en la fila 1 del</w:t>
            </w:r>
            <w:r w:rsidR="00502459" w:rsidRPr="00FD514D">
              <w:rPr>
                <w:lang w:val="es-ES"/>
              </w:rPr>
              <w:t xml:space="preserve"> </w:t>
            </w:r>
            <w:r w:rsidR="00C24302">
              <w:rPr>
                <w:lang w:val="es-ES"/>
              </w:rPr>
              <w:t>cuadro</w:t>
            </w:r>
            <w:r w:rsidRPr="00FD514D">
              <w:rPr>
                <w:lang w:val="es-ES"/>
              </w:rPr>
              <w:t xml:space="preserve"> 2.</w:t>
            </w:r>
            <w:r w:rsidR="00502459" w:rsidRPr="00FD514D">
              <w:rPr>
                <w:lang w:val="es-ES"/>
              </w:rPr>
              <w:t xml:space="preserve"> </w:t>
            </w:r>
          </w:p>
          <w:p w14:paraId="692B10E2" w14:textId="77777777" w:rsidR="008A0566" w:rsidRPr="00FD514D" w:rsidRDefault="008A0566" w:rsidP="00D653A5">
            <w:pPr>
              <w:pStyle w:val="NoSpacing"/>
              <w:ind w:left="0" w:firstLine="0"/>
              <w:rPr>
                <w:lang w:val="es-ES"/>
              </w:rPr>
            </w:pPr>
          </w:p>
          <w:p w14:paraId="3433AED4" w14:textId="77777777" w:rsidR="008A0566" w:rsidRPr="00FD514D" w:rsidRDefault="00405935" w:rsidP="00D653A5">
            <w:pPr>
              <w:pStyle w:val="NoSpacing"/>
              <w:ind w:left="0" w:firstLine="0"/>
              <w:rPr>
                <w:lang w:val="es-ES"/>
              </w:rPr>
            </w:pPr>
            <w:r w:rsidRPr="00FD514D">
              <w:rPr>
                <w:lang w:val="es-ES"/>
              </w:rPr>
              <w:t xml:space="preserve">No obstante, si los documentos para el GECT deben ser distribuidos en los idiomas oficiales, este requisito tendría implicaciones presupuestarias. </w:t>
            </w:r>
          </w:p>
          <w:p w14:paraId="3DC6D71A" w14:textId="77777777" w:rsidR="00AD3C5C" w:rsidRPr="00FD514D" w:rsidRDefault="00AD3C5C" w:rsidP="0078688F">
            <w:pPr>
              <w:pStyle w:val="NoSpacing"/>
              <w:ind w:left="0" w:firstLine="0"/>
              <w:rPr>
                <w:lang w:val="es-ES"/>
              </w:rPr>
            </w:pPr>
          </w:p>
        </w:tc>
      </w:tr>
      <w:tr w:rsidR="00D50999" w:rsidRPr="00070719" w14:paraId="018BE5F5" w14:textId="77777777" w:rsidTr="00980900">
        <w:tc>
          <w:tcPr>
            <w:tcW w:w="580" w:type="dxa"/>
          </w:tcPr>
          <w:p w14:paraId="24BCC48C" w14:textId="77777777" w:rsidR="00B625FB" w:rsidRPr="00FD514D" w:rsidRDefault="007E5E0C" w:rsidP="00C408AD">
            <w:pPr>
              <w:pStyle w:val="NoSpacing"/>
              <w:ind w:left="0" w:firstLine="0"/>
              <w:rPr>
                <w:lang w:val="es-ES"/>
              </w:rPr>
            </w:pPr>
            <w:r w:rsidRPr="00FD514D">
              <w:rPr>
                <w:lang w:val="es-ES"/>
              </w:rPr>
              <w:lastRenderedPageBreak/>
              <w:t>8</w:t>
            </w:r>
          </w:p>
        </w:tc>
        <w:tc>
          <w:tcPr>
            <w:tcW w:w="1984" w:type="dxa"/>
          </w:tcPr>
          <w:p w14:paraId="78CCE1F5" w14:textId="77777777" w:rsidR="00B625FB" w:rsidRPr="00FD514D" w:rsidRDefault="00762688" w:rsidP="00C408AD">
            <w:pPr>
              <w:pStyle w:val="NoSpacing"/>
              <w:ind w:left="0" w:firstLine="0"/>
              <w:rPr>
                <w:lang w:val="es-ES"/>
              </w:rPr>
            </w:pPr>
            <w:r w:rsidRPr="00FD514D">
              <w:rPr>
                <w:lang w:val="es-ES"/>
              </w:rPr>
              <w:t>Artículo</w:t>
            </w:r>
            <w:r w:rsidR="00B625FB" w:rsidRPr="00FD514D">
              <w:rPr>
                <w:lang w:val="es-ES"/>
              </w:rPr>
              <w:t xml:space="preserve"> 11</w:t>
            </w:r>
            <w:r w:rsidR="0012637B" w:rsidRPr="00FD514D">
              <w:rPr>
                <w:lang w:val="es-ES"/>
              </w:rPr>
              <w:t>:</w:t>
            </w:r>
            <w:r w:rsidR="00B625FB" w:rsidRPr="00FD514D">
              <w:rPr>
                <w:lang w:val="es-ES"/>
              </w:rPr>
              <w:t xml:space="preserve"> </w:t>
            </w:r>
            <w:r w:rsidR="00FC5B6E" w:rsidRPr="00FD514D">
              <w:rPr>
                <w:lang w:val="es-ES"/>
              </w:rPr>
              <w:t>Orden del día provisional suplementa</w:t>
            </w:r>
            <w:r w:rsidR="0084595E" w:rsidRPr="00FD514D">
              <w:rPr>
                <w:lang w:val="es-ES"/>
              </w:rPr>
              <w:t xml:space="preserve">rio </w:t>
            </w:r>
          </w:p>
        </w:tc>
        <w:tc>
          <w:tcPr>
            <w:tcW w:w="3308" w:type="dxa"/>
          </w:tcPr>
          <w:p w14:paraId="67056F8F" w14:textId="769EAF4C" w:rsidR="00B625FB" w:rsidRPr="00FD514D" w:rsidRDefault="00FE4192" w:rsidP="00B625FB">
            <w:pPr>
              <w:pStyle w:val="NoSpacing"/>
              <w:ind w:left="0" w:firstLine="0"/>
              <w:rPr>
                <w:lang w:val="es-ES"/>
              </w:rPr>
            </w:pPr>
            <w:r w:rsidRPr="00FD514D">
              <w:rPr>
                <w:lang w:val="es-ES"/>
              </w:rPr>
              <w:t xml:space="preserve">Este </w:t>
            </w:r>
            <w:r w:rsidR="00762688" w:rsidRPr="00FD514D">
              <w:rPr>
                <w:lang w:val="es-ES"/>
              </w:rPr>
              <w:t>artículo</w:t>
            </w:r>
            <w:r w:rsidRPr="00FD514D">
              <w:rPr>
                <w:lang w:val="es-ES"/>
              </w:rPr>
              <w:t xml:space="preserve"> sería aplicable a las reuni</w:t>
            </w:r>
            <w:r w:rsidR="00704169" w:rsidRPr="00FD514D">
              <w:rPr>
                <w:lang w:val="es-ES"/>
              </w:rPr>
              <w:t>o</w:t>
            </w:r>
            <w:r w:rsidRPr="00FD514D">
              <w:rPr>
                <w:lang w:val="es-ES"/>
              </w:rPr>
              <w:t xml:space="preserve">nes del CP. </w:t>
            </w:r>
          </w:p>
          <w:p w14:paraId="40B7DD90" w14:textId="77777777" w:rsidR="00911533" w:rsidRPr="00FD514D" w:rsidRDefault="00911533" w:rsidP="00B625FB">
            <w:pPr>
              <w:pStyle w:val="NoSpacing"/>
              <w:ind w:left="0" w:firstLine="0"/>
              <w:rPr>
                <w:lang w:val="es-ES"/>
              </w:rPr>
            </w:pPr>
          </w:p>
          <w:p w14:paraId="5695AF05" w14:textId="177EDE73" w:rsidR="00B625FB" w:rsidRPr="00FD514D" w:rsidRDefault="00D30A63" w:rsidP="0038230F">
            <w:pPr>
              <w:pStyle w:val="NoSpacing"/>
              <w:ind w:left="0" w:firstLine="0"/>
              <w:rPr>
                <w:lang w:val="es-ES"/>
              </w:rPr>
            </w:pPr>
            <w:r w:rsidRPr="00FD514D">
              <w:rPr>
                <w:lang w:val="es-ES"/>
              </w:rPr>
              <w:t xml:space="preserve">No hay ninguna razón lógica por la que no sería aplicable a las reuniones de otros órganos subsidiarios </w:t>
            </w:r>
            <w:r w:rsidR="00272DA5" w:rsidRPr="00FD514D">
              <w:rPr>
                <w:lang w:val="es-ES"/>
              </w:rPr>
              <w:t>(</w:t>
            </w:r>
            <w:r w:rsidR="00911533" w:rsidRPr="00FD514D">
              <w:rPr>
                <w:lang w:val="es-ES"/>
              </w:rPr>
              <w:t>siempre</w:t>
            </w:r>
            <w:r w:rsidR="00272DA5" w:rsidRPr="00FD514D">
              <w:rPr>
                <w:lang w:val="es-ES"/>
              </w:rPr>
              <w:t xml:space="preserve"> que se reempla</w:t>
            </w:r>
            <w:r w:rsidR="00CC7C2B" w:rsidRPr="00FD514D">
              <w:rPr>
                <w:lang w:val="es-ES"/>
              </w:rPr>
              <w:t>za</w:t>
            </w:r>
            <w:r w:rsidR="00272DA5" w:rsidRPr="00FD514D">
              <w:rPr>
                <w:lang w:val="es-ES"/>
              </w:rPr>
              <w:t>ra</w:t>
            </w:r>
            <w:r w:rsidR="00CC7C2B" w:rsidRPr="00FD514D">
              <w:rPr>
                <w:lang w:val="es-ES"/>
              </w:rPr>
              <w:t xml:space="preserve"> </w:t>
            </w:r>
            <w:r w:rsidR="00980900">
              <w:rPr>
                <w:lang w:val="es-ES"/>
              </w:rPr>
              <w:t>“</w:t>
            </w:r>
            <w:r w:rsidR="00272DA5" w:rsidRPr="00FD514D">
              <w:rPr>
                <w:lang w:val="es-ES"/>
              </w:rPr>
              <w:t>presidente del CP</w:t>
            </w:r>
            <w:r w:rsidR="00980900">
              <w:rPr>
                <w:lang w:val="es-ES"/>
              </w:rPr>
              <w:t>”</w:t>
            </w:r>
            <w:r w:rsidR="00272DA5" w:rsidRPr="00FD514D">
              <w:rPr>
                <w:lang w:val="es-ES"/>
              </w:rPr>
              <w:t xml:space="preserve"> </w:t>
            </w:r>
            <w:r w:rsidR="00CC7C2B" w:rsidRPr="00FD514D">
              <w:rPr>
                <w:lang w:val="es-ES"/>
              </w:rPr>
              <w:t xml:space="preserve">por </w:t>
            </w:r>
            <w:r w:rsidR="00980900">
              <w:rPr>
                <w:lang w:val="es-ES"/>
              </w:rPr>
              <w:t>“</w:t>
            </w:r>
            <w:r w:rsidR="00CC7C2B" w:rsidRPr="00FD514D">
              <w:rPr>
                <w:lang w:val="es-ES"/>
              </w:rPr>
              <w:t>presidente del órgano subsidiario X</w:t>
            </w:r>
            <w:r w:rsidR="00980900">
              <w:rPr>
                <w:lang w:val="es-ES"/>
              </w:rPr>
              <w:t>”</w:t>
            </w:r>
            <w:r w:rsidR="00CC7C2B" w:rsidRPr="00FD514D">
              <w:rPr>
                <w:lang w:val="es-ES"/>
              </w:rPr>
              <w:t>)</w:t>
            </w:r>
            <w:r w:rsidR="00911533" w:rsidRPr="00FD514D">
              <w:rPr>
                <w:lang w:val="es-ES"/>
              </w:rPr>
              <w:t>.</w:t>
            </w:r>
          </w:p>
        </w:tc>
        <w:tc>
          <w:tcPr>
            <w:tcW w:w="3308" w:type="dxa"/>
          </w:tcPr>
          <w:p w14:paraId="47682623" w14:textId="59EB1DF6" w:rsidR="00B625FB" w:rsidRPr="00FD514D" w:rsidRDefault="004F3634" w:rsidP="0078688F">
            <w:pPr>
              <w:pStyle w:val="NoSpacing"/>
              <w:ind w:left="0" w:firstLine="0"/>
              <w:rPr>
                <w:lang w:val="es-ES"/>
              </w:rPr>
            </w:pPr>
            <w:r w:rsidRPr="00FD514D">
              <w:rPr>
                <w:lang w:val="es-ES"/>
              </w:rPr>
              <w:t>Véase la recomendación que figura en la fila 1 del</w:t>
            </w:r>
            <w:r w:rsidR="00502459" w:rsidRPr="00FD514D">
              <w:rPr>
                <w:lang w:val="es-ES"/>
              </w:rPr>
              <w:t xml:space="preserve"> </w:t>
            </w:r>
            <w:r w:rsidR="00C24302">
              <w:rPr>
                <w:lang w:val="es-ES"/>
              </w:rPr>
              <w:t>cuadro</w:t>
            </w:r>
            <w:r w:rsidRPr="00FD514D">
              <w:rPr>
                <w:lang w:val="es-ES"/>
              </w:rPr>
              <w:t xml:space="preserve"> 2.</w:t>
            </w:r>
            <w:r w:rsidR="00502459" w:rsidRPr="00FD514D">
              <w:rPr>
                <w:lang w:val="es-ES"/>
              </w:rPr>
              <w:t xml:space="preserve"> </w:t>
            </w:r>
          </w:p>
        </w:tc>
      </w:tr>
      <w:tr w:rsidR="00D50999" w:rsidRPr="00070719" w14:paraId="5674E7DD" w14:textId="77777777" w:rsidTr="00980900">
        <w:tc>
          <w:tcPr>
            <w:tcW w:w="580" w:type="dxa"/>
          </w:tcPr>
          <w:p w14:paraId="6F01A84A" w14:textId="77777777" w:rsidR="007E5E0C" w:rsidRPr="00FD514D" w:rsidRDefault="007E5E0C" w:rsidP="00C408AD">
            <w:pPr>
              <w:pStyle w:val="NoSpacing"/>
              <w:ind w:left="0" w:firstLine="0"/>
              <w:rPr>
                <w:lang w:val="es-ES"/>
              </w:rPr>
            </w:pPr>
            <w:r w:rsidRPr="00FD514D">
              <w:rPr>
                <w:lang w:val="es-ES"/>
              </w:rPr>
              <w:t>9</w:t>
            </w:r>
          </w:p>
        </w:tc>
        <w:tc>
          <w:tcPr>
            <w:tcW w:w="1984" w:type="dxa"/>
          </w:tcPr>
          <w:p w14:paraId="2DA2193E" w14:textId="77777777" w:rsidR="007E5E0C" w:rsidRPr="00FD514D" w:rsidRDefault="00762688" w:rsidP="00C408AD">
            <w:pPr>
              <w:pStyle w:val="NoSpacing"/>
              <w:ind w:left="0" w:firstLine="0"/>
              <w:rPr>
                <w:lang w:val="es-ES"/>
              </w:rPr>
            </w:pPr>
            <w:r w:rsidRPr="00FD514D">
              <w:rPr>
                <w:lang w:val="es-ES"/>
              </w:rPr>
              <w:t>Artículo</w:t>
            </w:r>
            <w:r w:rsidR="007E5E0C" w:rsidRPr="00FD514D">
              <w:rPr>
                <w:lang w:val="es-ES"/>
              </w:rPr>
              <w:t xml:space="preserve"> 12</w:t>
            </w:r>
            <w:r w:rsidR="0012637B" w:rsidRPr="00FD514D">
              <w:rPr>
                <w:lang w:val="es-ES"/>
              </w:rPr>
              <w:t>:</w:t>
            </w:r>
            <w:r w:rsidR="007E5E0C" w:rsidRPr="00FD514D">
              <w:rPr>
                <w:lang w:val="es-ES"/>
              </w:rPr>
              <w:t xml:space="preserve"> Exam</w:t>
            </w:r>
            <w:r w:rsidR="0084595E" w:rsidRPr="00FD514D">
              <w:rPr>
                <w:lang w:val="es-ES"/>
              </w:rPr>
              <w:t xml:space="preserve">en del orden del día </w:t>
            </w:r>
            <w:r w:rsidR="007E5E0C" w:rsidRPr="00FD514D">
              <w:rPr>
                <w:lang w:val="es-ES"/>
              </w:rPr>
              <w:t xml:space="preserve">provisional </w:t>
            </w:r>
          </w:p>
        </w:tc>
        <w:tc>
          <w:tcPr>
            <w:tcW w:w="3308" w:type="dxa"/>
          </w:tcPr>
          <w:p w14:paraId="3EAF365E" w14:textId="34F6AA5C" w:rsidR="007E5E0C" w:rsidRPr="00FD514D" w:rsidRDefault="007957C3" w:rsidP="007E5E0C">
            <w:pPr>
              <w:pStyle w:val="NoSpacing"/>
              <w:ind w:left="0" w:firstLine="0"/>
              <w:rPr>
                <w:lang w:val="es-ES"/>
              </w:rPr>
            </w:pPr>
            <w:r w:rsidRPr="00FD514D">
              <w:rPr>
                <w:lang w:val="es-ES"/>
              </w:rPr>
              <w:t xml:space="preserve">Este </w:t>
            </w:r>
            <w:r w:rsidR="00762688" w:rsidRPr="00FD514D">
              <w:rPr>
                <w:lang w:val="es-ES"/>
              </w:rPr>
              <w:t>artículo</w:t>
            </w:r>
            <w:r w:rsidRPr="00FD514D">
              <w:rPr>
                <w:lang w:val="es-ES"/>
              </w:rPr>
              <w:t xml:space="preserve"> sería aplicable a las </w:t>
            </w:r>
            <w:r w:rsidR="00F3242C" w:rsidRPr="00FD514D">
              <w:rPr>
                <w:lang w:val="es-ES"/>
              </w:rPr>
              <w:t>reuniones</w:t>
            </w:r>
            <w:r w:rsidRPr="00FD514D">
              <w:rPr>
                <w:lang w:val="es-ES"/>
              </w:rPr>
              <w:t xml:space="preserve"> del CP. </w:t>
            </w:r>
          </w:p>
          <w:p w14:paraId="62C57BA1" w14:textId="77777777" w:rsidR="002B37FB" w:rsidRPr="00FD514D" w:rsidRDefault="002B37FB" w:rsidP="00C54A71">
            <w:pPr>
              <w:pStyle w:val="NoSpacing"/>
              <w:ind w:left="0" w:firstLine="0"/>
              <w:rPr>
                <w:lang w:val="es-ES"/>
              </w:rPr>
            </w:pPr>
          </w:p>
          <w:p w14:paraId="4D24B444" w14:textId="4612C03C" w:rsidR="007E5E0C" w:rsidRPr="00FD514D" w:rsidRDefault="007957C3" w:rsidP="00C54A71">
            <w:pPr>
              <w:pStyle w:val="NoSpacing"/>
              <w:ind w:left="0" w:firstLine="0"/>
              <w:rPr>
                <w:lang w:val="es-ES"/>
              </w:rPr>
            </w:pPr>
            <w:r w:rsidRPr="00FD514D">
              <w:rPr>
                <w:lang w:val="es-ES"/>
              </w:rPr>
              <w:t>No hay ninguna razón lógica por la que no sería aplicable a las reuniones de otros órganos subsidiarios</w:t>
            </w:r>
            <w:r w:rsidR="00F3242C" w:rsidRPr="00FD514D">
              <w:rPr>
                <w:lang w:val="es-ES"/>
              </w:rPr>
              <w:t>.</w:t>
            </w:r>
          </w:p>
        </w:tc>
        <w:tc>
          <w:tcPr>
            <w:tcW w:w="3308" w:type="dxa"/>
          </w:tcPr>
          <w:p w14:paraId="14247A4F" w14:textId="32059840" w:rsidR="007E5E0C" w:rsidRPr="00FD514D" w:rsidRDefault="004F3634" w:rsidP="0078688F">
            <w:pPr>
              <w:pStyle w:val="NoSpacing"/>
              <w:ind w:left="0" w:firstLine="0"/>
              <w:rPr>
                <w:lang w:val="es-ES"/>
              </w:rPr>
            </w:pPr>
            <w:r w:rsidRPr="00FD514D">
              <w:rPr>
                <w:lang w:val="es-ES"/>
              </w:rPr>
              <w:t>Véase la recomendación que figura en la fila 1 del</w:t>
            </w:r>
            <w:r w:rsidR="00502459" w:rsidRPr="00FD514D">
              <w:rPr>
                <w:lang w:val="es-ES"/>
              </w:rPr>
              <w:t xml:space="preserve"> </w:t>
            </w:r>
            <w:r w:rsidR="00C24302">
              <w:rPr>
                <w:lang w:val="es-ES"/>
              </w:rPr>
              <w:t>cuadro</w:t>
            </w:r>
            <w:r w:rsidRPr="00FD514D">
              <w:rPr>
                <w:lang w:val="es-ES"/>
              </w:rPr>
              <w:t xml:space="preserve"> 2.</w:t>
            </w:r>
            <w:r w:rsidR="00502459" w:rsidRPr="00FD514D">
              <w:rPr>
                <w:lang w:val="es-ES"/>
              </w:rPr>
              <w:t xml:space="preserve"> </w:t>
            </w:r>
          </w:p>
        </w:tc>
      </w:tr>
      <w:tr w:rsidR="00D50999" w:rsidRPr="00070719" w14:paraId="5D0C2EF9" w14:textId="77777777" w:rsidTr="00980900">
        <w:tc>
          <w:tcPr>
            <w:tcW w:w="580" w:type="dxa"/>
          </w:tcPr>
          <w:p w14:paraId="5DEFE7D8" w14:textId="77777777" w:rsidR="00A36FF0" w:rsidRPr="00FD514D" w:rsidRDefault="007E5E0C" w:rsidP="0078688F">
            <w:pPr>
              <w:pStyle w:val="NoSpacing"/>
              <w:ind w:left="0" w:firstLine="0"/>
              <w:rPr>
                <w:lang w:val="es-ES"/>
              </w:rPr>
            </w:pPr>
            <w:r w:rsidRPr="00FD514D">
              <w:rPr>
                <w:lang w:val="es-ES"/>
              </w:rPr>
              <w:t>10</w:t>
            </w:r>
          </w:p>
        </w:tc>
        <w:tc>
          <w:tcPr>
            <w:tcW w:w="1984" w:type="dxa"/>
          </w:tcPr>
          <w:p w14:paraId="579E2C26" w14:textId="1D796557" w:rsidR="00A36FF0" w:rsidRPr="00FD514D" w:rsidRDefault="00762688" w:rsidP="0078688F">
            <w:pPr>
              <w:pStyle w:val="NoSpacing"/>
              <w:ind w:left="0" w:firstLine="0"/>
              <w:rPr>
                <w:lang w:val="es-ES"/>
              </w:rPr>
            </w:pPr>
            <w:r w:rsidRPr="00FD514D">
              <w:rPr>
                <w:lang w:val="es-ES"/>
              </w:rPr>
              <w:t>Artículo</w:t>
            </w:r>
            <w:r w:rsidR="0084595E" w:rsidRPr="00FD514D">
              <w:rPr>
                <w:lang w:val="es-ES"/>
              </w:rPr>
              <w:t>s</w:t>
            </w:r>
            <w:r w:rsidR="00911533" w:rsidRPr="00FD514D">
              <w:rPr>
                <w:lang w:val="es-ES"/>
              </w:rPr>
              <w:t xml:space="preserve"> </w:t>
            </w:r>
            <w:r w:rsidR="00A36FF0" w:rsidRPr="00FD514D">
              <w:rPr>
                <w:lang w:val="es-ES"/>
              </w:rPr>
              <w:t>16 – 20</w:t>
            </w:r>
            <w:r w:rsidR="0012637B" w:rsidRPr="00FD514D">
              <w:rPr>
                <w:lang w:val="es-ES"/>
              </w:rPr>
              <w:t>:</w:t>
            </w:r>
            <w:r w:rsidR="00A36FF0" w:rsidRPr="00FD514D">
              <w:rPr>
                <w:lang w:val="es-ES"/>
              </w:rPr>
              <w:t xml:space="preserve"> Representa</w:t>
            </w:r>
            <w:r w:rsidR="0084595E" w:rsidRPr="00FD514D">
              <w:rPr>
                <w:lang w:val="es-ES"/>
              </w:rPr>
              <w:t xml:space="preserve">ntes y credenciales </w:t>
            </w:r>
          </w:p>
          <w:p w14:paraId="6A10901C" w14:textId="77777777" w:rsidR="00A36FF0" w:rsidRPr="00FD514D" w:rsidRDefault="00A36FF0" w:rsidP="0078688F">
            <w:pPr>
              <w:pStyle w:val="NoSpacing"/>
              <w:ind w:left="0" w:firstLine="0"/>
              <w:rPr>
                <w:lang w:val="es-ES"/>
              </w:rPr>
            </w:pPr>
          </w:p>
        </w:tc>
        <w:tc>
          <w:tcPr>
            <w:tcW w:w="3308" w:type="dxa"/>
          </w:tcPr>
          <w:p w14:paraId="18756801" w14:textId="272CD7CA" w:rsidR="00A36FF0" w:rsidRPr="00FD514D" w:rsidRDefault="005A4BBC" w:rsidP="0078688F">
            <w:pPr>
              <w:pStyle w:val="NoSpacing"/>
              <w:ind w:left="0" w:firstLine="0"/>
              <w:rPr>
                <w:lang w:val="es-ES"/>
              </w:rPr>
            </w:pPr>
            <w:r w:rsidRPr="00FD514D">
              <w:rPr>
                <w:lang w:val="es-ES"/>
              </w:rPr>
              <w:t xml:space="preserve">No parece que los </w:t>
            </w:r>
            <w:r w:rsidR="00762688" w:rsidRPr="00FD514D">
              <w:rPr>
                <w:lang w:val="es-ES"/>
              </w:rPr>
              <w:t>artículo</w:t>
            </w:r>
            <w:r w:rsidRPr="00FD514D">
              <w:rPr>
                <w:lang w:val="es-ES"/>
              </w:rPr>
              <w:t>s relativos a las credenciales sean aplicables al CP</w:t>
            </w:r>
            <w:r w:rsidR="00CE2535" w:rsidRPr="00FD514D">
              <w:rPr>
                <w:rStyle w:val="FootnoteReference"/>
                <w:lang w:val="es-ES"/>
              </w:rPr>
              <w:footnoteReference w:id="19"/>
            </w:r>
            <w:r w:rsidR="00B2401B" w:rsidRPr="00FD514D">
              <w:rPr>
                <w:lang w:val="es-ES"/>
              </w:rPr>
              <w:t xml:space="preserve"> </w:t>
            </w:r>
            <w:r w:rsidRPr="00FD514D">
              <w:rPr>
                <w:lang w:val="es-ES"/>
              </w:rPr>
              <w:t>u otros órganos subsidiarios, sobre todo porque el Comité de Credenciales</w:t>
            </w:r>
            <w:r w:rsidR="0028357E" w:rsidRPr="00FD514D">
              <w:rPr>
                <w:lang w:val="es-ES"/>
              </w:rPr>
              <w:t xml:space="preserve"> se establece</w:t>
            </w:r>
            <w:r w:rsidRPr="00FD514D">
              <w:rPr>
                <w:lang w:val="es-ES"/>
              </w:rPr>
              <w:t xml:space="preserve"> </w:t>
            </w:r>
            <w:r w:rsidR="00980900">
              <w:rPr>
                <w:lang w:val="es-ES"/>
              </w:rPr>
              <w:t>“</w:t>
            </w:r>
            <w:r w:rsidR="000E47EE" w:rsidRPr="00FD514D">
              <w:rPr>
                <w:lang w:val="es-ES"/>
              </w:rPr>
              <w:t>teniendo en</w:t>
            </w:r>
            <w:r w:rsidR="0028357E" w:rsidRPr="00FD514D">
              <w:rPr>
                <w:lang w:val="es-ES"/>
              </w:rPr>
              <w:t xml:space="preserve"> cuenta una propuesta de la Mesa de la Conferencia</w:t>
            </w:r>
            <w:r w:rsidR="00980900">
              <w:rPr>
                <w:lang w:val="es-ES"/>
              </w:rPr>
              <w:t>”</w:t>
            </w:r>
            <w:r w:rsidR="0028357E" w:rsidRPr="00FD514D">
              <w:rPr>
                <w:lang w:val="es-ES"/>
              </w:rPr>
              <w:t>.</w:t>
            </w:r>
            <w:r w:rsidR="000E47EE" w:rsidRPr="00FD514D">
              <w:rPr>
                <w:lang w:val="es-ES"/>
              </w:rPr>
              <w:t xml:space="preserve"> </w:t>
            </w:r>
            <w:r w:rsidR="00040DB6" w:rsidRPr="00FD514D">
              <w:rPr>
                <w:lang w:val="es-ES"/>
              </w:rPr>
              <w:t xml:space="preserve">La Mesa de la Conferencia es propia de una reunión de la COP. </w:t>
            </w:r>
          </w:p>
          <w:p w14:paraId="6B239C11" w14:textId="77777777" w:rsidR="00A36FF0" w:rsidRPr="00FD514D" w:rsidRDefault="00A36FF0" w:rsidP="0078688F">
            <w:pPr>
              <w:pStyle w:val="NoSpacing"/>
              <w:ind w:left="0" w:firstLine="0"/>
              <w:rPr>
                <w:lang w:val="es-ES"/>
              </w:rPr>
            </w:pPr>
          </w:p>
          <w:p w14:paraId="0A85802E" w14:textId="5D4EDEC5" w:rsidR="00A36FF0" w:rsidRPr="00FD514D" w:rsidRDefault="00040DB6" w:rsidP="00E906A0">
            <w:pPr>
              <w:pStyle w:val="NoSpacing"/>
              <w:ind w:left="0" w:firstLine="0"/>
              <w:rPr>
                <w:lang w:val="es-ES"/>
              </w:rPr>
            </w:pPr>
            <w:r w:rsidRPr="00FD514D">
              <w:rPr>
                <w:lang w:val="es-ES"/>
              </w:rPr>
              <w:t xml:space="preserve">Además, estos </w:t>
            </w:r>
            <w:r w:rsidR="00762688" w:rsidRPr="00FD514D">
              <w:rPr>
                <w:lang w:val="es-ES"/>
              </w:rPr>
              <w:t>artículo</w:t>
            </w:r>
            <w:r w:rsidRPr="00FD514D">
              <w:rPr>
                <w:lang w:val="es-ES"/>
              </w:rPr>
              <w:t xml:space="preserve">s </w:t>
            </w:r>
            <w:r w:rsidR="00482552" w:rsidRPr="00FD514D">
              <w:rPr>
                <w:lang w:val="es-ES"/>
              </w:rPr>
              <w:t>obviamente</w:t>
            </w:r>
            <w:r w:rsidR="00D433D6" w:rsidRPr="00FD514D">
              <w:rPr>
                <w:lang w:val="es-ES"/>
              </w:rPr>
              <w:t xml:space="preserve"> no son aplicables al GECT</w:t>
            </w:r>
            <w:r w:rsidR="00CD7298" w:rsidRPr="00FD514D">
              <w:rPr>
                <w:lang w:val="es-ES"/>
              </w:rPr>
              <w:t>,</w:t>
            </w:r>
            <w:r w:rsidR="00D22AC0" w:rsidRPr="00FD514D">
              <w:rPr>
                <w:lang w:val="es-ES"/>
              </w:rPr>
              <w:t xml:space="preserve"> al no estar </w:t>
            </w:r>
            <w:r w:rsidR="007276BF" w:rsidRPr="00FD514D">
              <w:rPr>
                <w:lang w:val="es-ES"/>
              </w:rPr>
              <w:t xml:space="preserve">formado por representantes de los países </w:t>
            </w:r>
            <w:r w:rsidR="00FB7BA9" w:rsidRPr="00FD514D">
              <w:rPr>
                <w:lang w:val="es-ES"/>
              </w:rPr>
              <w:t>propiamente dicho</w:t>
            </w:r>
            <w:r w:rsidR="000A5CE0">
              <w:rPr>
                <w:lang w:val="es-ES"/>
              </w:rPr>
              <w:t>s</w:t>
            </w:r>
            <w:r w:rsidR="00CC0CCA" w:rsidRPr="00FD514D">
              <w:rPr>
                <w:lang w:val="es-ES"/>
              </w:rPr>
              <w:t xml:space="preserve"> </w:t>
            </w:r>
            <w:r w:rsidR="00A36FF0" w:rsidRPr="00FD514D">
              <w:rPr>
                <w:lang w:val="es-ES"/>
              </w:rPr>
              <w:t>(</w:t>
            </w:r>
            <w:r w:rsidR="00D433D6" w:rsidRPr="00FD514D">
              <w:rPr>
                <w:lang w:val="es-ES"/>
              </w:rPr>
              <w:t xml:space="preserve">y queda manifiesto que los </w:t>
            </w:r>
            <w:r w:rsidR="00762688" w:rsidRPr="00FD514D">
              <w:rPr>
                <w:lang w:val="es-ES"/>
              </w:rPr>
              <w:t>artículo</w:t>
            </w:r>
            <w:r w:rsidR="00D433D6" w:rsidRPr="00FD514D">
              <w:rPr>
                <w:lang w:val="es-ES"/>
              </w:rPr>
              <w:t xml:space="preserve">s </w:t>
            </w:r>
            <w:r w:rsidR="00EA5C7F" w:rsidRPr="00FD514D">
              <w:rPr>
                <w:lang w:val="es-ES"/>
              </w:rPr>
              <w:t>relativos a credencia</w:t>
            </w:r>
            <w:r w:rsidR="00D22AC0" w:rsidRPr="00FD514D">
              <w:rPr>
                <w:lang w:val="es-ES"/>
              </w:rPr>
              <w:t>le</w:t>
            </w:r>
            <w:r w:rsidR="00EA5C7F" w:rsidRPr="00FD514D">
              <w:rPr>
                <w:lang w:val="es-ES"/>
              </w:rPr>
              <w:t xml:space="preserve">s son aplicables a los delegados representantes de una Parte Contratante). </w:t>
            </w:r>
            <w:r w:rsidR="00CC0CCA" w:rsidRPr="00FD514D">
              <w:rPr>
                <w:lang w:val="es-ES"/>
              </w:rPr>
              <w:t>No obstante, s</w:t>
            </w:r>
            <w:r w:rsidR="00DA226C" w:rsidRPr="00FD514D">
              <w:rPr>
                <w:lang w:val="es-ES"/>
              </w:rPr>
              <w:t>e podrían exigir credenciales a los</w:t>
            </w:r>
            <w:r w:rsidR="00502459" w:rsidRPr="00FD514D">
              <w:rPr>
                <w:lang w:val="es-ES"/>
              </w:rPr>
              <w:t xml:space="preserve"> </w:t>
            </w:r>
            <w:r w:rsidR="00DA226C" w:rsidRPr="00FD514D">
              <w:rPr>
                <w:lang w:val="es-ES"/>
              </w:rPr>
              <w:t>observadores que participen en</w:t>
            </w:r>
            <w:r w:rsidR="00357349" w:rsidRPr="00FD514D">
              <w:rPr>
                <w:lang w:val="es-ES"/>
              </w:rPr>
              <w:t xml:space="preserve"> representación de un Estado</w:t>
            </w:r>
            <w:r w:rsidR="00225EF2" w:rsidRPr="00FD514D">
              <w:rPr>
                <w:lang w:val="es-ES"/>
              </w:rPr>
              <w:t>,</w:t>
            </w:r>
            <w:r w:rsidR="00357349" w:rsidRPr="00FD514D">
              <w:rPr>
                <w:lang w:val="es-ES"/>
              </w:rPr>
              <w:t xml:space="preserve"> y </w:t>
            </w:r>
            <w:r w:rsidR="00357349" w:rsidRPr="00FD514D">
              <w:rPr>
                <w:lang w:val="es-ES"/>
              </w:rPr>
              <w:lastRenderedPageBreak/>
              <w:t>documentos equivalentes a credenciales a aquellos observadores que representen a una organización.</w:t>
            </w:r>
            <w:r w:rsidR="00C54A71" w:rsidRPr="00FD514D">
              <w:rPr>
                <w:lang w:val="es-ES"/>
              </w:rPr>
              <w:t xml:space="preserve"> </w:t>
            </w:r>
          </w:p>
        </w:tc>
        <w:tc>
          <w:tcPr>
            <w:tcW w:w="3308" w:type="dxa"/>
          </w:tcPr>
          <w:p w14:paraId="3E931D0F" w14:textId="13F3478D" w:rsidR="00570141" w:rsidRPr="00FD514D" w:rsidRDefault="004F3634" w:rsidP="0078688F">
            <w:pPr>
              <w:pStyle w:val="NoSpacing"/>
              <w:ind w:left="0" w:firstLine="0"/>
              <w:rPr>
                <w:lang w:val="es-ES"/>
              </w:rPr>
            </w:pPr>
            <w:r w:rsidRPr="00FD514D">
              <w:rPr>
                <w:lang w:val="es-ES"/>
              </w:rPr>
              <w:lastRenderedPageBreak/>
              <w:t>Véase la recomendación que figura en la fila 1 del</w:t>
            </w:r>
            <w:r w:rsidR="00502459" w:rsidRPr="00FD514D">
              <w:rPr>
                <w:lang w:val="es-ES"/>
              </w:rPr>
              <w:t xml:space="preserve"> </w:t>
            </w:r>
            <w:r w:rsidR="00C24302">
              <w:rPr>
                <w:lang w:val="es-ES"/>
              </w:rPr>
              <w:t>cuadro</w:t>
            </w:r>
            <w:r w:rsidRPr="00FD514D">
              <w:rPr>
                <w:lang w:val="es-ES"/>
              </w:rPr>
              <w:t xml:space="preserve"> 2.</w:t>
            </w:r>
            <w:r w:rsidR="00502459" w:rsidRPr="00FD514D">
              <w:rPr>
                <w:lang w:val="es-ES"/>
              </w:rPr>
              <w:t xml:space="preserve"> </w:t>
            </w:r>
          </w:p>
          <w:p w14:paraId="2CCE92B4" w14:textId="77777777" w:rsidR="00F265DB" w:rsidRPr="00FD514D" w:rsidRDefault="00F265DB" w:rsidP="0078688F">
            <w:pPr>
              <w:pStyle w:val="NoSpacing"/>
              <w:ind w:left="0" w:firstLine="0"/>
              <w:rPr>
                <w:lang w:val="es-ES"/>
              </w:rPr>
            </w:pPr>
          </w:p>
          <w:p w14:paraId="0BDEDD75" w14:textId="77777777" w:rsidR="00C54A71" w:rsidRPr="00FD514D" w:rsidRDefault="00F265DB" w:rsidP="0078688F">
            <w:pPr>
              <w:pStyle w:val="NoSpacing"/>
              <w:ind w:left="0" w:firstLine="0"/>
              <w:rPr>
                <w:lang w:val="es-ES"/>
              </w:rPr>
            </w:pPr>
            <w:r w:rsidRPr="00FD514D">
              <w:rPr>
                <w:lang w:val="es-ES"/>
              </w:rPr>
              <w:t xml:space="preserve">Sería necesario especificar en el </w:t>
            </w:r>
            <w:r w:rsidR="00762688" w:rsidRPr="00FD514D">
              <w:rPr>
                <w:lang w:val="es-ES"/>
              </w:rPr>
              <w:t>reglamento</w:t>
            </w:r>
            <w:r w:rsidRPr="00FD514D">
              <w:rPr>
                <w:lang w:val="es-ES"/>
              </w:rPr>
              <w:t xml:space="preserve"> si los requisitos relativos a credenciales son aplicables al CP y otros órganos subsidiarios. </w:t>
            </w:r>
          </w:p>
          <w:p w14:paraId="7FE291B7" w14:textId="77777777" w:rsidR="00961186" w:rsidRPr="00FD514D" w:rsidRDefault="00961186" w:rsidP="0078688F">
            <w:pPr>
              <w:pStyle w:val="NoSpacing"/>
              <w:ind w:left="0" w:firstLine="0"/>
              <w:rPr>
                <w:lang w:val="es-ES"/>
              </w:rPr>
            </w:pPr>
          </w:p>
          <w:p w14:paraId="53E3965C" w14:textId="0FA23F9F" w:rsidR="00A36FF0" w:rsidRPr="00FD514D" w:rsidRDefault="00F265DB" w:rsidP="00E906A0">
            <w:pPr>
              <w:pStyle w:val="NoSpacing"/>
              <w:ind w:left="0" w:firstLine="0"/>
              <w:rPr>
                <w:lang w:val="es-ES"/>
              </w:rPr>
            </w:pPr>
            <w:r w:rsidRPr="00FD514D">
              <w:rPr>
                <w:lang w:val="es-ES"/>
              </w:rPr>
              <w:t>Cabe señalar que</w:t>
            </w:r>
            <w:r w:rsidR="00943F90" w:rsidRPr="00FD514D">
              <w:rPr>
                <w:lang w:val="es-ES"/>
              </w:rPr>
              <w:t>,</w:t>
            </w:r>
            <w:r w:rsidR="00201871" w:rsidRPr="00FD514D">
              <w:rPr>
                <w:lang w:val="es-ES"/>
              </w:rPr>
              <w:t xml:space="preserve"> en el caso de</w:t>
            </w:r>
            <w:r w:rsidR="00502459" w:rsidRPr="00FD514D">
              <w:rPr>
                <w:lang w:val="es-ES"/>
              </w:rPr>
              <w:t xml:space="preserve"> </w:t>
            </w:r>
            <w:r w:rsidR="00201871" w:rsidRPr="00FD514D">
              <w:rPr>
                <w:lang w:val="es-ES"/>
              </w:rPr>
              <w:t xml:space="preserve">la CITES, se exigen credenciales a los representantes </w:t>
            </w:r>
            <w:r w:rsidR="00823C58" w:rsidRPr="00FD514D">
              <w:rPr>
                <w:lang w:val="es-ES"/>
              </w:rPr>
              <w:t>de los Estados en las reuniones del Comité Permanente,</w:t>
            </w:r>
            <w:r w:rsidR="00502459" w:rsidRPr="00FD514D">
              <w:rPr>
                <w:lang w:val="es-ES"/>
              </w:rPr>
              <w:t xml:space="preserve"> </w:t>
            </w:r>
            <w:r w:rsidR="00225EF2" w:rsidRPr="00FD514D">
              <w:rPr>
                <w:lang w:val="es-ES"/>
              </w:rPr>
              <w:t xml:space="preserve">tanto miembros del Comité como observadores. </w:t>
            </w:r>
            <w:r w:rsidR="00823C58" w:rsidRPr="00FD514D">
              <w:rPr>
                <w:lang w:val="es-ES"/>
              </w:rPr>
              <w:t xml:space="preserve">Además, </w:t>
            </w:r>
            <w:r w:rsidR="00D65D6C" w:rsidRPr="00FD514D">
              <w:rPr>
                <w:lang w:val="es-ES"/>
              </w:rPr>
              <w:t>las organizaciones que desean ser representadas debe</w:t>
            </w:r>
            <w:r w:rsidR="00497FF0" w:rsidRPr="00FD514D">
              <w:rPr>
                <w:lang w:val="es-ES"/>
              </w:rPr>
              <w:t>n</w:t>
            </w:r>
            <w:r w:rsidR="00D65D6C" w:rsidRPr="00FD514D">
              <w:rPr>
                <w:lang w:val="es-ES"/>
              </w:rPr>
              <w:t xml:space="preserve"> enviar una notificación forma</w:t>
            </w:r>
            <w:r w:rsidR="00CD7298" w:rsidRPr="00FD514D">
              <w:rPr>
                <w:lang w:val="es-ES"/>
              </w:rPr>
              <w:t>l</w:t>
            </w:r>
            <w:r w:rsidR="00D65D6C" w:rsidRPr="00FD514D">
              <w:rPr>
                <w:lang w:val="es-ES"/>
              </w:rPr>
              <w:t xml:space="preserve"> a la Secretaría indicando</w:t>
            </w:r>
            <w:r w:rsidR="0099513C" w:rsidRPr="00FD514D">
              <w:rPr>
                <w:lang w:val="es-ES"/>
              </w:rPr>
              <w:t xml:space="preserve"> los nombres de sus observadores antes de la reunión. Se podría plantear un </w:t>
            </w:r>
            <w:r w:rsidR="00762688" w:rsidRPr="00FD514D">
              <w:rPr>
                <w:lang w:val="es-ES"/>
              </w:rPr>
              <w:t>artículo</w:t>
            </w:r>
            <w:r w:rsidR="0099513C" w:rsidRPr="00FD514D">
              <w:rPr>
                <w:lang w:val="es-ES"/>
              </w:rPr>
              <w:t xml:space="preserve"> similar en el caso del CP de Ramsar. </w:t>
            </w:r>
          </w:p>
        </w:tc>
      </w:tr>
      <w:tr w:rsidR="00A404E8" w:rsidRPr="00070719" w14:paraId="3EE731D5" w14:textId="77777777" w:rsidTr="00980900">
        <w:tc>
          <w:tcPr>
            <w:tcW w:w="580" w:type="dxa"/>
          </w:tcPr>
          <w:p w14:paraId="3772E159" w14:textId="77777777" w:rsidR="00A36FF0" w:rsidRPr="00FD514D" w:rsidRDefault="007014F2" w:rsidP="0078688F">
            <w:pPr>
              <w:pStyle w:val="NoSpacing"/>
              <w:ind w:left="0" w:firstLine="0"/>
              <w:rPr>
                <w:lang w:val="es-ES"/>
              </w:rPr>
            </w:pPr>
            <w:r w:rsidRPr="00FD514D">
              <w:rPr>
                <w:lang w:val="es-ES"/>
              </w:rPr>
              <w:t>11</w:t>
            </w:r>
          </w:p>
        </w:tc>
        <w:tc>
          <w:tcPr>
            <w:tcW w:w="1984" w:type="dxa"/>
          </w:tcPr>
          <w:p w14:paraId="4D3BD378" w14:textId="77777777" w:rsidR="00A36FF0" w:rsidRPr="00FD514D" w:rsidRDefault="00762688" w:rsidP="0078688F">
            <w:pPr>
              <w:pStyle w:val="NoSpacing"/>
              <w:ind w:left="0" w:firstLine="0"/>
              <w:rPr>
                <w:lang w:val="es-ES"/>
              </w:rPr>
            </w:pPr>
            <w:r w:rsidRPr="00FD514D">
              <w:rPr>
                <w:lang w:val="es-ES"/>
              </w:rPr>
              <w:t>Artículo</w:t>
            </w:r>
            <w:r w:rsidR="00A36FF0" w:rsidRPr="00FD514D">
              <w:rPr>
                <w:lang w:val="es-ES"/>
              </w:rPr>
              <w:t xml:space="preserve"> 21</w:t>
            </w:r>
            <w:r w:rsidR="00007392" w:rsidRPr="00FD514D">
              <w:rPr>
                <w:lang w:val="es-ES"/>
              </w:rPr>
              <w:t>:</w:t>
            </w:r>
            <w:r w:rsidR="00A36FF0" w:rsidRPr="00FD514D">
              <w:rPr>
                <w:lang w:val="es-ES"/>
              </w:rPr>
              <w:t xml:space="preserve"> </w:t>
            </w:r>
            <w:r w:rsidR="0084595E" w:rsidRPr="00FD514D">
              <w:rPr>
                <w:lang w:val="es-ES"/>
              </w:rPr>
              <w:t xml:space="preserve">Mesa de la </w:t>
            </w:r>
            <w:r w:rsidR="00A36FF0" w:rsidRPr="00FD514D">
              <w:rPr>
                <w:lang w:val="es-ES"/>
              </w:rPr>
              <w:t>Conferenc</w:t>
            </w:r>
            <w:r w:rsidR="0084595E" w:rsidRPr="00FD514D">
              <w:rPr>
                <w:lang w:val="es-ES"/>
              </w:rPr>
              <w:t>ia</w:t>
            </w:r>
          </w:p>
        </w:tc>
        <w:tc>
          <w:tcPr>
            <w:tcW w:w="3308" w:type="dxa"/>
          </w:tcPr>
          <w:p w14:paraId="0B2C8F05" w14:textId="77777777" w:rsidR="00A36FF0" w:rsidRPr="00FD514D" w:rsidRDefault="00357349" w:rsidP="0078688F">
            <w:pPr>
              <w:pStyle w:val="NoSpacing"/>
              <w:ind w:left="0" w:firstLine="0"/>
              <w:rPr>
                <w:lang w:val="es-ES"/>
              </w:rPr>
            </w:pPr>
            <w:r w:rsidRPr="00FD514D">
              <w:rPr>
                <w:lang w:val="es-ES"/>
              </w:rPr>
              <w:t xml:space="preserve">El concepto de </w:t>
            </w:r>
            <w:r w:rsidR="0078372A" w:rsidRPr="00FD514D">
              <w:rPr>
                <w:lang w:val="es-ES"/>
              </w:rPr>
              <w:t>M</w:t>
            </w:r>
            <w:r w:rsidRPr="00FD514D">
              <w:rPr>
                <w:lang w:val="es-ES"/>
              </w:rPr>
              <w:t xml:space="preserve">esa de la Conferencia no </w:t>
            </w:r>
            <w:r w:rsidR="0078372A" w:rsidRPr="00FD514D">
              <w:rPr>
                <w:lang w:val="es-ES"/>
              </w:rPr>
              <w:t xml:space="preserve">es aplicable al CP </w:t>
            </w:r>
            <w:r w:rsidR="00A36FF0" w:rsidRPr="00FD514D">
              <w:rPr>
                <w:lang w:val="es-ES"/>
              </w:rPr>
              <w:t>(</w:t>
            </w:r>
            <w:r w:rsidR="00AC55F6" w:rsidRPr="00FD514D">
              <w:rPr>
                <w:lang w:val="es-ES"/>
              </w:rPr>
              <w:t xml:space="preserve">aunque el CP forma parte de </w:t>
            </w:r>
            <w:r w:rsidR="003834AD" w:rsidRPr="00FD514D">
              <w:rPr>
                <w:lang w:val="es-ES"/>
              </w:rPr>
              <w:t>la Mesa de la Conferencia</w:t>
            </w:r>
            <w:r w:rsidR="00A36FF0" w:rsidRPr="00FD514D">
              <w:rPr>
                <w:lang w:val="es-ES"/>
              </w:rPr>
              <w:t xml:space="preserve">, </w:t>
            </w:r>
            <w:r w:rsidR="00AC55F6" w:rsidRPr="00FD514D">
              <w:rPr>
                <w:lang w:val="es-ES"/>
              </w:rPr>
              <w:t>de acuerdo con el</w:t>
            </w:r>
            <w:r w:rsidR="00A36FF0" w:rsidRPr="00FD514D">
              <w:rPr>
                <w:lang w:val="es-ES"/>
              </w:rPr>
              <w:t xml:space="preserve"> </w:t>
            </w:r>
            <w:r w:rsidR="00762688" w:rsidRPr="00FD514D">
              <w:rPr>
                <w:lang w:val="es-ES"/>
              </w:rPr>
              <w:t>artículo</w:t>
            </w:r>
            <w:r w:rsidR="00007392" w:rsidRPr="00FD514D">
              <w:rPr>
                <w:lang w:val="es-ES"/>
              </w:rPr>
              <w:t> </w:t>
            </w:r>
            <w:r w:rsidR="00A36FF0" w:rsidRPr="00FD514D">
              <w:rPr>
                <w:lang w:val="es-ES"/>
              </w:rPr>
              <w:t>21.1).</w:t>
            </w:r>
          </w:p>
          <w:p w14:paraId="47775FEC" w14:textId="77777777" w:rsidR="00A36FF0" w:rsidRPr="00FD514D" w:rsidRDefault="00A36FF0" w:rsidP="0078688F">
            <w:pPr>
              <w:pStyle w:val="NoSpacing"/>
              <w:ind w:left="0" w:firstLine="0"/>
              <w:rPr>
                <w:lang w:val="es-ES"/>
              </w:rPr>
            </w:pPr>
          </w:p>
          <w:p w14:paraId="49A7C7E9" w14:textId="734A5C59" w:rsidR="00A36FF0" w:rsidRPr="00FD514D" w:rsidRDefault="00AC55F6" w:rsidP="00B13EDF">
            <w:pPr>
              <w:pStyle w:val="NoSpacing"/>
              <w:ind w:left="0" w:firstLine="0"/>
              <w:rPr>
                <w:lang w:val="es-ES"/>
              </w:rPr>
            </w:pPr>
            <w:r w:rsidRPr="00FD514D">
              <w:rPr>
                <w:lang w:val="es-ES"/>
              </w:rPr>
              <w:t xml:space="preserve">El </w:t>
            </w:r>
            <w:r w:rsidR="00762688" w:rsidRPr="00FD514D">
              <w:rPr>
                <w:lang w:val="es-ES"/>
              </w:rPr>
              <w:t>artículo</w:t>
            </w:r>
            <w:r w:rsidR="00A36FF0" w:rsidRPr="00FD514D">
              <w:rPr>
                <w:lang w:val="es-ES"/>
              </w:rPr>
              <w:t xml:space="preserve"> 21.1</w:t>
            </w:r>
            <w:r w:rsidR="005E4C83" w:rsidRPr="00FD514D">
              <w:rPr>
                <w:lang w:val="es-ES"/>
              </w:rPr>
              <w:t>, en el que se de</w:t>
            </w:r>
            <w:r w:rsidR="00774345" w:rsidRPr="00FD514D">
              <w:rPr>
                <w:lang w:val="es-ES"/>
              </w:rPr>
              <w:t>fine</w:t>
            </w:r>
            <w:r w:rsidR="005E4C83" w:rsidRPr="00FD514D">
              <w:rPr>
                <w:lang w:val="es-ES"/>
              </w:rPr>
              <w:t xml:space="preserve"> la elección de los miembros de la Mesa de la Conferencia, no es aplicable al CP.</w:t>
            </w:r>
            <w:r w:rsidR="00502459" w:rsidRPr="00FD514D">
              <w:rPr>
                <w:lang w:val="es-ES"/>
              </w:rPr>
              <w:t xml:space="preserve"> </w:t>
            </w:r>
          </w:p>
        </w:tc>
        <w:tc>
          <w:tcPr>
            <w:tcW w:w="3308" w:type="dxa"/>
          </w:tcPr>
          <w:p w14:paraId="44AD140E" w14:textId="3C4B9132" w:rsidR="00A36FF0" w:rsidRPr="00FD514D" w:rsidRDefault="004F3634" w:rsidP="0078688F">
            <w:pPr>
              <w:pStyle w:val="NoSpacing"/>
              <w:ind w:left="0" w:firstLine="0"/>
              <w:rPr>
                <w:lang w:val="es-ES"/>
              </w:rPr>
            </w:pPr>
            <w:r w:rsidRPr="00FD514D">
              <w:rPr>
                <w:lang w:val="es-ES"/>
              </w:rPr>
              <w:t>Véase la recomendación que figura en la fila 1 del</w:t>
            </w:r>
            <w:r w:rsidR="00502459" w:rsidRPr="00FD514D">
              <w:rPr>
                <w:lang w:val="es-ES"/>
              </w:rPr>
              <w:t xml:space="preserve"> </w:t>
            </w:r>
            <w:r w:rsidR="00C24302">
              <w:rPr>
                <w:lang w:val="es-ES"/>
              </w:rPr>
              <w:t>cuadro</w:t>
            </w:r>
            <w:r w:rsidRPr="00FD514D">
              <w:rPr>
                <w:lang w:val="es-ES"/>
              </w:rPr>
              <w:t xml:space="preserve"> 2.</w:t>
            </w:r>
            <w:r w:rsidR="00502459" w:rsidRPr="00FD514D">
              <w:rPr>
                <w:lang w:val="es-ES"/>
              </w:rPr>
              <w:t xml:space="preserve"> </w:t>
            </w:r>
          </w:p>
        </w:tc>
      </w:tr>
      <w:tr w:rsidR="00D50999" w:rsidRPr="00070719" w14:paraId="5830E313" w14:textId="77777777" w:rsidTr="00980900">
        <w:tc>
          <w:tcPr>
            <w:tcW w:w="580" w:type="dxa"/>
          </w:tcPr>
          <w:p w14:paraId="466F7C90" w14:textId="77777777" w:rsidR="00A36FF0" w:rsidRPr="00FD514D" w:rsidRDefault="007014F2" w:rsidP="0078688F">
            <w:pPr>
              <w:pStyle w:val="NoSpacing"/>
              <w:ind w:left="0" w:firstLine="0"/>
              <w:rPr>
                <w:lang w:val="es-ES"/>
              </w:rPr>
            </w:pPr>
            <w:r w:rsidRPr="00FD514D">
              <w:rPr>
                <w:lang w:val="es-ES"/>
              </w:rPr>
              <w:t>12</w:t>
            </w:r>
          </w:p>
        </w:tc>
        <w:tc>
          <w:tcPr>
            <w:tcW w:w="1984" w:type="dxa"/>
          </w:tcPr>
          <w:p w14:paraId="3E0A8564" w14:textId="77777777" w:rsidR="00A36FF0" w:rsidRPr="00FD514D" w:rsidRDefault="00762688" w:rsidP="0078688F">
            <w:pPr>
              <w:pStyle w:val="NoSpacing"/>
              <w:ind w:left="0" w:firstLine="0"/>
              <w:rPr>
                <w:lang w:val="es-ES"/>
              </w:rPr>
            </w:pPr>
            <w:r w:rsidRPr="00FD514D">
              <w:rPr>
                <w:lang w:val="es-ES"/>
              </w:rPr>
              <w:t>Artículo</w:t>
            </w:r>
            <w:r w:rsidR="00A36FF0" w:rsidRPr="00FD514D">
              <w:rPr>
                <w:lang w:val="es-ES"/>
              </w:rPr>
              <w:t xml:space="preserve"> 22</w:t>
            </w:r>
            <w:r w:rsidR="00007392" w:rsidRPr="00FD514D">
              <w:rPr>
                <w:lang w:val="es-ES"/>
              </w:rPr>
              <w:t>:</w:t>
            </w:r>
            <w:r w:rsidR="00A36FF0" w:rsidRPr="00FD514D">
              <w:rPr>
                <w:lang w:val="es-ES"/>
              </w:rPr>
              <w:t xml:space="preserve"> </w:t>
            </w:r>
            <w:r w:rsidR="00FB0398" w:rsidRPr="00FD514D">
              <w:rPr>
                <w:lang w:val="es-ES"/>
              </w:rPr>
              <w:t xml:space="preserve">Función del Presidente </w:t>
            </w:r>
          </w:p>
        </w:tc>
        <w:tc>
          <w:tcPr>
            <w:tcW w:w="3308" w:type="dxa"/>
          </w:tcPr>
          <w:p w14:paraId="34AC2871" w14:textId="021258AA" w:rsidR="00A36FF0" w:rsidRPr="00FD514D" w:rsidRDefault="001857A9" w:rsidP="00007392">
            <w:pPr>
              <w:pStyle w:val="NoSpacing"/>
              <w:ind w:left="0" w:firstLine="0"/>
              <w:rPr>
                <w:lang w:val="es-ES"/>
              </w:rPr>
            </w:pPr>
            <w:r w:rsidRPr="00FD514D">
              <w:rPr>
                <w:lang w:val="es-ES"/>
              </w:rPr>
              <w:t xml:space="preserve">No está claro si esto es aplicable a la Presidencia del CP (o </w:t>
            </w:r>
            <w:r w:rsidR="00584F90" w:rsidRPr="00FD514D">
              <w:rPr>
                <w:lang w:val="es-ES"/>
              </w:rPr>
              <w:t>cargo electivo</w:t>
            </w:r>
            <w:r w:rsidRPr="00FD514D">
              <w:rPr>
                <w:lang w:val="es-ES"/>
              </w:rPr>
              <w:t xml:space="preserve"> equivalente de un órgano subsidiario</w:t>
            </w:r>
            <w:r w:rsidR="00701024" w:rsidRPr="00FD514D">
              <w:rPr>
                <w:lang w:val="es-ES"/>
              </w:rPr>
              <w:t>).</w:t>
            </w:r>
            <w:r w:rsidR="00502459" w:rsidRPr="00FD514D">
              <w:rPr>
                <w:lang w:val="es-ES"/>
              </w:rPr>
              <w:t xml:space="preserve"> </w:t>
            </w:r>
          </w:p>
        </w:tc>
        <w:tc>
          <w:tcPr>
            <w:tcW w:w="3308" w:type="dxa"/>
          </w:tcPr>
          <w:p w14:paraId="4B984C18" w14:textId="4897B561" w:rsidR="00570141" w:rsidRPr="00FD514D" w:rsidRDefault="004F3634" w:rsidP="0078688F">
            <w:pPr>
              <w:pStyle w:val="NoSpacing"/>
              <w:ind w:left="0" w:firstLine="0"/>
              <w:rPr>
                <w:lang w:val="es-ES"/>
              </w:rPr>
            </w:pPr>
            <w:r w:rsidRPr="00FD514D">
              <w:rPr>
                <w:lang w:val="es-ES"/>
              </w:rPr>
              <w:t>Véase la recomendación que figura en la fila 1 del</w:t>
            </w:r>
            <w:r w:rsidR="00502459" w:rsidRPr="00FD514D">
              <w:rPr>
                <w:lang w:val="es-ES"/>
              </w:rPr>
              <w:t xml:space="preserve"> </w:t>
            </w:r>
            <w:r w:rsidR="00C24302">
              <w:rPr>
                <w:lang w:val="es-ES"/>
              </w:rPr>
              <w:t>cuadro</w:t>
            </w:r>
            <w:r w:rsidRPr="00FD514D">
              <w:rPr>
                <w:lang w:val="es-ES"/>
              </w:rPr>
              <w:t xml:space="preserve"> 2.</w:t>
            </w:r>
            <w:r w:rsidR="00502459" w:rsidRPr="00FD514D">
              <w:rPr>
                <w:lang w:val="es-ES"/>
              </w:rPr>
              <w:t xml:space="preserve"> </w:t>
            </w:r>
          </w:p>
          <w:p w14:paraId="2CAC14C7" w14:textId="77777777" w:rsidR="0099513C" w:rsidRPr="00FD514D" w:rsidRDefault="0099513C" w:rsidP="00570141">
            <w:pPr>
              <w:pStyle w:val="NoSpacing"/>
              <w:ind w:left="0" w:firstLine="0"/>
              <w:rPr>
                <w:lang w:val="es-ES"/>
              </w:rPr>
            </w:pPr>
          </w:p>
          <w:p w14:paraId="60A5EAE3" w14:textId="58924E64" w:rsidR="00A36FF0" w:rsidRPr="00FD514D" w:rsidRDefault="00BE5285" w:rsidP="00570141">
            <w:pPr>
              <w:pStyle w:val="NoSpacing"/>
              <w:ind w:left="0" w:firstLine="0"/>
              <w:rPr>
                <w:lang w:val="es-ES"/>
              </w:rPr>
            </w:pPr>
            <w:r w:rsidRPr="00FD514D">
              <w:rPr>
                <w:lang w:val="es-ES"/>
              </w:rPr>
              <w:t>Sería necesario que e</w:t>
            </w:r>
            <w:r w:rsidR="0099513C" w:rsidRPr="00FD514D">
              <w:rPr>
                <w:lang w:val="es-ES"/>
              </w:rPr>
              <w:t xml:space="preserve">ste </w:t>
            </w:r>
            <w:r w:rsidR="00762688" w:rsidRPr="00FD514D">
              <w:rPr>
                <w:lang w:val="es-ES"/>
              </w:rPr>
              <w:t>reglamento</w:t>
            </w:r>
            <w:r w:rsidR="0099513C" w:rsidRPr="00FD514D">
              <w:rPr>
                <w:lang w:val="es-ES"/>
              </w:rPr>
              <w:t xml:space="preserve"> </w:t>
            </w:r>
            <w:r w:rsidR="002523C1" w:rsidRPr="00FD514D">
              <w:rPr>
                <w:lang w:val="es-ES"/>
              </w:rPr>
              <w:t>de</w:t>
            </w:r>
            <w:r w:rsidRPr="00FD514D">
              <w:rPr>
                <w:lang w:val="es-ES"/>
              </w:rPr>
              <w:t>finiese</w:t>
            </w:r>
            <w:r w:rsidR="002523C1" w:rsidRPr="00FD514D">
              <w:rPr>
                <w:lang w:val="es-ES"/>
              </w:rPr>
              <w:t xml:space="preserve"> </w:t>
            </w:r>
            <w:r w:rsidRPr="00FD514D">
              <w:rPr>
                <w:lang w:val="es-ES"/>
              </w:rPr>
              <w:t xml:space="preserve">claramente </w:t>
            </w:r>
            <w:r w:rsidR="002523C1" w:rsidRPr="00FD514D">
              <w:rPr>
                <w:lang w:val="es-ES"/>
              </w:rPr>
              <w:t xml:space="preserve">la función y las facultades de los cargos electivos de todos los órganos subsidiarios. </w:t>
            </w:r>
          </w:p>
        </w:tc>
      </w:tr>
      <w:tr w:rsidR="00D50999" w:rsidRPr="00070719" w14:paraId="67A47F77" w14:textId="77777777" w:rsidTr="00980900">
        <w:tc>
          <w:tcPr>
            <w:tcW w:w="580" w:type="dxa"/>
          </w:tcPr>
          <w:p w14:paraId="66843D38" w14:textId="77777777" w:rsidR="00A36FF0" w:rsidRPr="00FD514D" w:rsidRDefault="007014F2" w:rsidP="0078688F">
            <w:pPr>
              <w:pStyle w:val="NoSpacing"/>
              <w:ind w:left="0" w:firstLine="0"/>
              <w:rPr>
                <w:lang w:val="es-ES"/>
              </w:rPr>
            </w:pPr>
            <w:r w:rsidRPr="00FD514D">
              <w:rPr>
                <w:lang w:val="es-ES"/>
              </w:rPr>
              <w:t>13</w:t>
            </w:r>
          </w:p>
        </w:tc>
        <w:tc>
          <w:tcPr>
            <w:tcW w:w="1984" w:type="dxa"/>
          </w:tcPr>
          <w:p w14:paraId="7A2D8E11" w14:textId="77777777" w:rsidR="00A36FF0" w:rsidRPr="00FD514D" w:rsidRDefault="00762688" w:rsidP="0078688F">
            <w:pPr>
              <w:pStyle w:val="NoSpacing"/>
              <w:ind w:left="0" w:firstLine="0"/>
              <w:rPr>
                <w:lang w:val="es-ES"/>
              </w:rPr>
            </w:pPr>
            <w:r w:rsidRPr="00FD514D">
              <w:rPr>
                <w:lang w:val="es-ES"/>
              </w:rPr>
              <w:t>Artículo</w:t>
            </w:r>
            <w:r w:rsidR="00A36FF0" w:rsidRPr="00FD514D">
              <w:rPr>
                <w:lang w:val="es-ES"/>
              </w:rPr>
              <w:t xml:space="preserve"> 23</w:t>
            </w:r>
            <w:r w:rsidR="00151628" w:rsidRPr="00FD514D">
              <w:rPr>
                <w:lang w:val="es-ES"/>
              </w:rPr>
              <w:t>:</w:t>
            </w:r>
            <w:r w:rsidR="00A36FF0" w:rsidRPr="00FD514D">
              <w:rPr>
                <w:lang w:val="es-ES"/>
              </w:rPr>
              <w:t xml:space="preserve"> </w:t>
            </w:r>
            <w:r w:rsidR="00FB0398" w:rsidRPr="00FD514D">
              <w:rPr>
                <w:lang w:val="es-ES"/>
              </w:rPr>
              <w:t xml:space="preserve">Función del Presidente Suplente </w:t>
            </w:r>
          </w:p>
        </w:tc>
        <w:tc>
          <w:tcPr>
            <w:tcW w:w="3308" w:type="dxa"/>
          </w:tcPr>
          <w:p w14:paraId="40B024A0" w14:textId="2B2DAB6A" w:rsidR="00A36FF0" w:rsidRPr="00FD514D" w:rsidRDefault="009B1CC0" w:rsidP="00151628">
            <w:pPr>
              <w:pStyle w:val="NoSpacing"/>
              <w:ind w:left="0" w:firstLine="0"/>
              <w:rPr>
                <w:lang w:val="es-ES"/>
              </w:rPr>
            </w:pPr>
            <w:r w:rsidRPr="00FD514D">
              <w:rPr>
                <w:lang w:val="es-ES"/>
              </w:rPr>
              <w:t xml:space="preserve">No queda claro si esto es aplicable a la Vicepresidencia del CP </w:t>
            </w:r>
            <w:r w:rsidR="00A36FF0" w:rsidRPr="00FD514D">
              <w:rPr>
                <w:lang w:val="es-ES"/>
              </w:rPr>
              <w:t>(</w:t>
            </w:r>
            <w:r w:rsidRPr="00FD514D">
              <w:rPr>
                <w:lang w:val="es-ES"/>
              </w:rPr>
              <w:t xml:space="preserve">o </w:t>
            </w:r>
            <w:r w:rsidR="0028145F" w:rsidRPr="00FD514D">
              <w:rPr>
                <w:lang w:val="es-ES"/>
              </w:rPr>
              <w:t>cargo electivo</w:t>
            </w:r>
            <w:r w:rsidRPr="00FD514D">
              <w:rPr>
                <w:lang w:val="es-ES"/>
              </w:rPr>
              <w:t xml:space="preserve"> equivalente de un órgano subsidiario</w:t>
            </w:r>
            <w:r w:rsidR="00A36FF0" w:rsidRPr="00FD514D">
              <w:rPr>
                <w:lang w:val="es-ES"/>
              </w:rPr>
              <w:t>).</w:t>
            </w:r>
          </w:p>
        </w:tc>
        <w:tc>
          <w:tcPr>
            <w:tcW w:w="3308" w:type="dxa"/>
          </w:tcPr>
          <w:p w14:paraId="4079F11B" w14:textId="0D7EBB72" w:rsidR="00570141" w:rsidRPr="00FD514D" w:rsidRDefault="004F3634" w:rsidP="0078688F">
            <w:pPr>
              <w:pStyle w:val="NoSpacing"/>
              <w:ind w:left="0" w:firstLine="0"/>
              <w:rPr>
                <w:lang w:val="es-ES"/>
              </w:rPr>
            </w:pPr>
            <w:r w:rsidRPr="00FD514D">
              <w:rPr>
                <w:lang w:val="es-ES"/>
              </w:rPr>
              <w:t>Véase la recomendación que figura en la fila 1 del</w:t>
            </w:r>
            <w:r w:rsidR="00502459" w:rsidRPr="00FD514D">
              <w:rPr>
                <w:lang w:val="es-ES"/>
              </w:rPr>
              <w:t xml:space="preserve"> </w:t>
            </w:r>
            <w:r w:rsidR="00C24302">
              <w:rPr>
                <w:lang w:val="es-ES"/>
              </w:rPr>
              <w:t>cuadro</w:t>
            </w:r>
            <w:r w:rsidRPr="00FD514D">
              <w:rPr>
                <w:lang w:val="es-ES"/>
              </w:rPr>
              <w:t xml:space="preserve"> 2.</w:t>
            </w:r>
            <w:r w:rsidR="00502459" w:rsidRPr="00FD514D">
              <w:rPr>
                <w:lang w:val="es-ES"/>
              </w:rPr>
              <w:t xml:space="preserve"> </w:t>
            </w:r>
          </w:p>
          <w:p w14:paraId="5A93AF50" w14:textId="77777777" w:rsidR="00BE5285" w:rsidRPr="00FD514D" w:rsidRDefault="00BE5285" w:rsidP="0078688F">
            <w:pPr>
              <w:pStyle w:val="NoSpacing"/>
              <w:ind w:left="0" w:firstLine="0"/>
              <w:rPr>
                <w:lang w:val="es-ES"/>
              </w:rPr>
            </w:pPr>
          </w:p>
          <w:p w14:paraId="212370A0" w14:textId="5ECBB34E" w:rsidR="00A36FF0" w:rsidRPr="00FD514D" w:rsidRDefault="00BE5285" w:rsidP="0078688F">
            <w:pPr>
              <w:pStyle w:val="NoSpacing"/>
              <w:ind w:left="0" w:firstLine="0"/>
              <w:rPr>
                <w:lang w:val="es-ES"/>
              </w:rPr>
            </w:pPr>
            <w:r w:rsidRPr="00FD514D">
              <w:rPr>
                <w:lang w:val="es-ES"/>
              </w:rPr>
              <w:t>Sería necesario que este reglamento definiese claramente la función y las facultades de los cargos electivos de todos los órganos subsidiarios.</w:t>
            </w:r>
          </w:p>
        </w:tc>
      </w:tr>
      <w:tr w:rsidR="00D50999" w:rsidRPr="00070719" w14:paraId="009571F9" w14:textId="77777777" w:rsidTr="00980900">
        <w:tc>
          <w:tcPr>
            <w:tcW w:w="580" w:type="dxa"/>
          </w:tcPr>
          <w:p w14:paraId="2CBAF42A" w14:textId="77777777" w:rsidR="00A36FF0" w:rsidRPr="00FD514D" w:rsidRDefault="00A36FF0" w:rsidP="00AB7D8F">
            <w:pPr>
              <w:pStyle w:val="NoSpacing"/>
              <w:ind w:left="0" w:firstLine="0"/>
              <w:rPr>
                <w:lang w:val="es-ES"/>
              </w:rPr>
            </w:pPr>
            <w:r w:rsidRPr="00FD514D">
              <w:rPr>
                <w:lang w:val="es-ES"/>
              </w:rPr>
              <w:t>1</w:t>
            </w:r>
            <w:r w:rsidR="007014F2" w:rsidRPr="00FD514D">
              <w:rPr>
                <w:lang w:val="es-ES"/>
              </w:rPr>
              <w:t>4</w:t>
            </w:r>
          </w:p>
        </w:tc>
        <w:tc>
          <w:tcPr>
            <w:tcW w:w="1984" w:type="dxa"/>
          </w:tcPr>
          <w:p w14:paraId="1B35B35F" w14:textId="42CD0C42" w:rsidR="00A36FF0" w:rsidRPr="00FD514D" w:rsidRDefault="00762688" w:rsidP="00AB7D8F">
            <w:pPr>
              <w:pStyle w:val="NoSpacing"/>
              <w:ind w:left="0" w:firstLine="0"/>
              <w:rPr>
                <w:lang w:val="es-ES"/>
              </w:rPr>
            </w:pPr>
            <w:r w:rsidRPr="00FD514D">
              <w:rPr>
                <w:lang w:val="es-ES"/>
              </w:rPr>
              <w:t>Artículo</w:t>
            </w:r>
            <w:r w:rsidR="00A36FF0" w:rsidRPr="00FD514D">
              <w:rPr>
                <w:lang w:val="es-ES"/>
              </w:rPr>
              <w:t xml:space="preserve"> 24</w:t>
            </w:r>
            <w:r w:rsidR="00151628" w:rsidRPr="00FD514D">
              <w:rPr>
                <w:lang w:val="es-ES"/>
              </w:rPr>
              <w:t>:</w:t>
            </w:r>
            <w:r w:rsidR="00A36FF0" w:rsidRPr="00FD514D">
              <w:rPr>
                <w:lang w:val="es-ES"/>
              </w:rPr>
              <w:t xml:space="preserve"> </w:t>
            </w:r>
            <w:r w:rsidR="00FB0398" w:rsidRPr="00FD514D">
              <w:rPr>
                <w:lang w:val="es-ES"/>
              </w:rPr>
              <w:t xml:space="preserve">Sustitución de un miembro de la </w:t>
            </w:r>
            <w:r w:rsidR="005207BE" w:rsidRPr="00FD514D">
              <w:rPr>
                <w:lang w:val="es-ES"/>
              </w:rPr>
              <w:t>M</w:t>
            </w:r>
            <w:r w:rsidR="00FB0398" w:rsidRPr="00FD514D">
              <w:rPr>
                <w:lang w:val="es-ES"/>
              </w:rPr>
              <w:t xml:space="preserve">esa </w:t>
            </w:r>
          </w:p>
        </w:tc>
        <w:tc>
          <w:tcPr>
            <w:tcW w:w="3308" w:type="dxa"/>
          </w:tcPr>
          <w:p w14:paraId="762EFB41" w14:textId="491D58A1" w:rsidR="00A36FF0" w:rsidRPr="00FD514D" w:rsidRDefault="00960EB7" w:rsidP="00151628">
            <w:pPr>
              <w:pStyle w:val="NoSpacing"/>
              <w:ind w:left="0" w:firstLine="0"/>
              <w:rPr>
                <w:lang w:val="es-ES"/>
              </w:rPr>
            </w:pPr>
            <w:r w:rsidRPr="00FD514D">
              <w:rPr>
                <w:lang w:val="es-ES"/>
              </w:rPr>
              <w:t>No queda claro si esto es aplicable a un miembro del</w:t>
            </w:r>
            <w:r w:rsidR="00502459" w:rsidRPr="00FD514D">
              <w:rPr>
                <w:lang w:val="es-ES"/>
              </w:rPr>
              <w:t xml:space="preserve"> </w:t>
            </w:r>
            <w:r w:rsidR="00A46B39" w:rsidRPr="00FD514D">
              <w:rPr>
                <w:lang w:val="es-ES"/>
              </w:rPr>
              <w:t>E</w:t>
            </w:r>
            <w:r w:rsidR="00652D83" w:rsidRPr="00FD514D">
              <w:rPr>
                <w:lang w:val="es-ES"/>
              </w:rPr>
              <w:t xml:space="preserve">quipo Ejecutivo </w:t>
            </w:r>
            <w:r w:rsidRPr="00FD514D">
              <w:rPr>
                <w:lang w:val="es-ES"/>
              </w:rPr>
              <w:t>del CP</w:t>
            </w:r>
            <w:r w:rsidR="00A36FF0" w:rsidRPr="00FD514D">
              <w:rPr>
                <w:lang w:val="es-ES"/>
              </w:rPr>
              <w:t xml:space="preserve"> (</w:t>
            </w:r>
            <w:r w:rsidRPr="00FD514D">
              <w:rPr>
                <w:lang w:val="es-ES"/>
              </w:rPr>
              <w:t xml:space="preserve">o </w:t>
            </w:r>
            <w:r w:rsidR="0028145F" w:rsidRPr="00FD514D">
              <w:rPr>
                <w:lang w:val="es-ES"/>
              </w:rPr>
              <w:t>cargo electivo</w:t>
            </w:r>
            <w:r w:rsidRPr="00FD514D">
              <w:rPr>
                <w:lang w:val="es-ES"/>
              </w:rPr>
              <w:t xml:space="preserve"> de un órgano subsidiario</w:t>
            </w:r>
            <w:r w:rsidR="00A36FF0" w:rsidRPr="00FD514D">
              <w:rPr>
                <w:lang w:val="es-ES"/>
              </w:rPr>
              <w:t>).</w:t>
            </w:r>
          </w:p>
        </w:tc>
        <w:tc>
          <w:tcPr>
            <w:tcW w:w="3308" w:type="dxa"/>
          </w:tcPr>
          <w:p w14:paraId="0369F237" w14:textId="0C690CB6" w:rsidR="00570141" w:rsidRPr="00FD514D" w:rsidRDefault="004F3634" w:rsidP="0078688F">
            <w:pPr>
              <w:pStyle w:val="NoSpacing"/>
              <w:ind w:left="0" w:firstLine="0"/>
              <w:rPr>
                <w:lang w:val="es-ES"/>
              </w:rPr>
            </w:pPr>
            <w:r w:rsidRPr="00FD514D">
              <w:rPr>
                <w:lang w:val="es-ES"/>
              </w:rPr>
              <w:t>Véase la recomendación que figura en la fila 1 del</w:t>
            </w:r>
            <w:r w:rsidR="00502459" w:rsidRPr="00FD514D">
              <w:rPr>
                <w:lang w:val="es-ES"/>
              </w:rPr>
              <w:t xml:space="preserve"> </w:t>
            </w:r>
            <w:r w:rsidR="00C24302">
              <w:rPr>
                <w:lang w:val="es-ES"/>
              </w:rPr>
              <w:t>cuadro</w:t>
            </w:r>
            <w:r w:rsidRPr="00FD514D">
              <w:rPr>
                <w:lang w:val="es-ES"/>
              </w:rPr>
              <w:t xml:space="preserve"> 2.</w:t>
            </w:r>
            <w:r w:rsidR="00502459" w:rsidRPr="00FD514D">
              <w:rPr>
                <w:lang w:val="es-ES"/>
              </w:rPr>
              <w:t xml:space="preserve"> </w:t>
            </w:r>
          </w:p>
          <w:p w14:paraId="738E2FF9" w14:textId="77777777" w:rsidR="005207BE" w:rsidRPr="00FD514D" w:rsidRDefault="005207BE" w:rsidP="0078688F">
            <w:pPr>
              <w:pStyle w:val="NoSpacing"/>
              <w:ind w:left="0" w:firstLine="0"/>
              <w:rPr>
                <w:lang w:val="es-ES"/>
              </w:rPr>
            </w:pPr>
          </w:p>
          <w:p w14:paraId="127DD65D" w14:textId="20FBB783" w:rsidR="00A36FF0" w:rsidRPr="00FD514D" w:rsidRDefault="005207BE" w:rsidP="00570141">
            <w:pPr>
              <w:pStyle w:val="NoSpacing"/>
              <w:ind w:left="0" w:firstLine="0"/>
              <w:rPr>
                <w:lang w:val="es-ES"/>
              </w:rPr>
            </w:pPr>
            <w:r w:rsidRPr="00FD514D">
              <w:rPr>
                <w:lang w:val="es-ES"/>
              </w:rPr>
              <w:t>Sería necesario que el</w:t>
            </w:r>
            <w:r w:rsidR="002523C1" w:rsidRPr="00FD514D">
              <w:rPr>
                <w:lang w:val="es-ES"/>
              </w:rPr>
              <w:t xml:space="preserve"> </w:t>
            </w:r>
            <w:r w:rsidR="00762688" w:rsidRPr="00FD514D">
              <w:rPr>
                <w:lang w:val="es-ES"/>
              </w:rPr>
              <w:t>reglamento</w:t>
            </w:r>
            <w:r w:rsidR="002523C1" w:rsidRPr="00FD514D">
              <w:rPr>
                <w:lang w:val="es-ES"/>
              </w:rPr>
              <w:t xml:space="preserve"> </w:t>
            </w:r>
            <w:r w:rsidRPr="00FD514D">
              <w:rPr>
                <w:lang w:val="es-ES"/>
              </w:rPr>
              <w:t xml:space="preserve">definiese </w:t>
            </w:r>
            <w:r w:rsidR="002523C1" w:rsidRPr="00FD514D">
              <w:rPr>
                <w:lang w:val="es-ES"/>
              </w:rPr>
              <w:t xml:space="preserve">claramente las circunstancias </w:t>
            </w:r>
            <w:r w:rsidR="00B20630" w:rsidRPr="00FD514D">
              <w:rPr>
                <w:lang w:val="es-ES"/>
              </w:rPr>
              <w:t xml:space="preserve">en las que se puede reemplazar un cargo y el procedimiento pertinente al respecto. </w:t>
            </w:r>
          </w:p>
        </w:tc>
      </w:tr>
      <w:tr w:rsidR="00D50999" w:rsidRPr="00070719" w14:paraId="4DBA61B7" w14:textId="77777777" w:rsidTr="00980900">
        <w:tc>
          <w:tcPr>
            <w:tcW w:w="580" w:type="dxa"/>
          </w:tcPr>
          <w:p w14:paraId="00421C2D" w14:textId="77777777" w:rsidR="00A36FF0" w:rsidRPr="00FD514D" w:rsidRDefault="00A36FF0" w:rsidP="00AB7D8F">
            <w:pPr>
              <w:pStyle w:val="NoSpacing"/>
              <w:ind w:left="0" w:firstLine="0"/>
              <w:rPr>
                <w:lang w:val="es-ES"/>
              </w:rPr>
            </w:pPr>
            <w:r w:rsidRPr="00FD514D">
              <w:rPr>
                <w:lang w:val="es-ES"/>
              </w:rPr>
              <w:t>1</w:t>
            </w:r>
            <w:r w:rsidR="007014F2" w:rsidRPr="00FD514D">
              <w:rPr>
                <w:lang w:val="es-ES"/>
              </w:rPr>
              <w:t>5</w:t>
            </w:r>
          </w:p>
        </w:tc>
        <w:tc>
          <w:tcPr>
            <w:tcW w:w="1984" w:type="dxa"/>
          </w:tcPr>
          <w:p w14:paraId="033F9F1A" w14:textId="73BBE2A5" w:rsidR="00A36FF0" w:rsidRPr="00FD514D" w:rsidRDefault="00762688" w:rsidP="00AB7D8F">
            <w:pPr>
              <w:pStyle w:val="NoSpacing"/>
              <w:ind w:left="0" w:firstLine="0"/>
              <w:rPr>
                <w:lang w:val="es-ES"/>
              </w:rPr>
            </w:pPr>
            <w:r w:rsidRPr="00FD514D">
              <w:rPr>
                <w:lang w:val="es-ES"/>
              </w:rPr>
              <w:t>Artículo</w:t>
            </w:r>
            <w:r w:rsidR="00A36FF0" w:rsidRPr="00FD514D">
              <w:rPr>
                <w:lang w:val="es-ES"/>
              </w:rPr>
              <w:t xml:space="preserve"> 27</w:t>
            </w:r>
            <w:r w:rsidR="00151628" w:rsidRPr="00FD514D">
              <w:rPr>
                <w:lang w:val="es-ES"/>
              </w:rPr>
              <w:t>:</w:t>
            </w:r>
            <w:r w:rsidR="00A36FF0" w:rsidRPr="00FD514D">
              <w:rPr>
                <w:lang w:val="es-ES"/>
              </w:rPr>
              <w:t xml:space="preserve"> Fun</w:t>
            </w:r>
            <w:r w:rsidR="00FB0398" w:rsidRPr="00FD514D">
              <w:rPr>
                <w:lang w:val="es-ES"/>
              </w:rPr>
              <w:t xml:space="preserve">ciones de la Secretaría </w:t>
            </w:r>
          </w:p>
        </w:tc>
        <w:tc>
          <w:tcPr>
            <w:tcW w:w="3308" w:type="dxa"/>
          </w:tcPr>
          <w:p w14:paraId="3AC762A0" w14:textId="5D7075EC" w:rsidR="00A36FF0" w:rsidRPr="00FD514D" w:rsidRDefault="005D31EA" w:rsidP="00036F15">
            <w:pPr>
              <w:pStyle w:val="NoSpacing"/>
              <w:ind w:left="0" w:firstLine="0"/>
              <w:rPr>
                <w:lang w:val="es-ES"/>
              </w:rPr>
            </w:pPr>
            <w:r w:rsidRPr="00FD514D">
              <w:rPr>
                <w:lang w:val="es-ES"/>
              </w:rPr>
              <w:t xml:space="preserve">En el </w:t>
            </w:r>
            <w:r w:rsidR="00762688" w:rsidRPr="00FD514D">
              <w:rPr>
                <w:lang w:val="es-ES"/>
              </w:rPr>
              <w:t>artículo</w:t>
            </w:r>
            <w:r w:rsidR="00A36FF0" w:rsidRPr="00FD514D">
              <w:rPr>
                <w:lang w:val="es-ES"/>
              </w:rPr>
              <w:t xml:space="preserve"> 27</w:t>
            </w:r>
            <w:r w:rsidR="00151628" w:rsidRPr="00FD514D">
              <w:rPr>
                <w:lang w:val="es-ES"/>
              </w:rPr>
              <w:t>.</w:t>
            </w:r>
            <w:r w:rsidR="00A36FF0" w:rsidRPr="00FD514D">
              <w:rPr>
                <w:lang w:val="es-ES"/>
              </w:rPr>
              <w:t xml:space="preserve">f) </w:t>
            </w:r>
            <w:r w:rsidR="00112ABD" w:rsidRPr="00FD514D">
              <w:rPr>
                <w:lang w:val="es-ES"/>
              </w:rPr>
              <w:t xml:space="preserve">se dispone que </w:t>
            </w:r>
            <w:r w:rsidR="003E47DF" w:rsidRPr="00FD514D">
              <w:rPr>
                <w:lang w:val="es-ES"/>
              </w:rPr>
              <w:t xml:space="preserve">la Secretaría redactará el informe de la reunión para que la Mesa de la Conferencia lo examine. No queda claro si la Secretaría debe </w:t>
            </w:r>
            <w:r w:rsidR="003E47DF" w:rsidRPr="00FD514D">
              <w:rPr>
                <w:lang w:val="es-ES"/>
              </w:rPr>
              <w:lastRenderedPageBreak/>
              <w:t>realizar esa tar</w:t>
            </w:r>
            <w:r w:rsidR="00717453" w:rsidRPr="00FD514D">
              <w:rPr>
                <w:lang w:val="es-ES"/>
              </w:rPr>
              <w:t>e</w:t>
            </w:r>
            <w:r w:rsidR="003E47DF" w:rsidRPr="00FD514D">
              <w:rPr>
                <w:lang w:val="es-ES"/>
              </w:rPr>
              <w:t>a</w:t>
            </w:r>
            <w:r w:rsidR="00717453" w:rsidRPr="00FD514D">
              <w:rPr>
                <w:lang w:val="es-ES"/>
              </w:rPr>
              <w:t xml:space="preserve"> para el </w:t>
            </w:r>
            <w:r w:rsidR="001C122F" w:rsidRPr="00FD514D">
              <w:rPr>
                <w:lang w:val="es-ES"/>
              </w:rPr>
              <w:t xml:space="preserve">equipo </w:t>
            </w:r>
            <w:r w:rsidR="00717453" w:rsidRPr="00FD514D">
              <w:rPr>
                <w:lang w:val="es-ES"/>
              </w:rPr>
              <w:t xml:space="preserve">ejecutivo de otros órganos subsidiarios. </w:t>
            </w:r>
          </w:p>
        </w:tc>
        <w:tc>
          <w:tcPr>
            <w:tcW w:w="3308" w:type="dxa"/>
          </w:tcPr>
          <w:p w14:paraId="0E1F6EB7" w14:textId="2B7091CD" w:rsidR="00570141" w:rsidRPr="00FD514D" w:rsidRDefault="004F3634" w:rsidP="005D4788">
            <w:pPr>
              <w:pStyle w:val="NoSpacing"/>
              <w:ind w:left="0" w:firstLine="0"/>
              <w:rPr>
                <w:lang w:val="es-ES"/>
              </w:rPr>
            </w:pPr>
            <w:r w:rsidRPr="00FD514D">
              <w:rPr>
                <w:lang w:val="es-ES"/>
              </w:rPr>
              <w:lastRenderedPageBreak/>
              <w:t>Véase la recomendación que figura en la fila 1 del</w:t>
            </w:r>
            <w:r w:rsidR="00502459" w:rsidRPr="00FD514D">
              <w:rPr>
                <w:lang w:val="es-ES"/>
              </w:rPr>
              <w:t xml:space="preserve"> </w:t>
            </w:r>
            <w:r w:rsidR="00C24302">
              <w:rPr>
                <w:lang w:val="es-ES"/>
              </w:rPr>
              <w:t>cuadro</w:t>
            </w:r>
            <w:r w:rsidRPr="00FD514D">
              <w:rPr>
                <w:lang w:val="es-ES"/>
              </w:rPr>
              <w:t xml:space="preserve"> 2.</w:t>
            </w:r>
            <w:r w:rsidR="00502459" w:rsidRPr="00FD514D">
              <w:rPr>
                <w:lang w:val="es-ES"/>
              </w:rPr>
              <w:t xml:space="preserve"> </w:t>
            </w:r>
          </w:p>
          <w:p w14:paraId="55B3CC16" w14:textId="77777777" w:rsidR="001C122F" w:rsidRPr="00FD514D" w:rsidRDefault="001C122F" w:rsidP="005D4788">
            <w:pPr>
              <w:pStyle w:val="NoSpacing"/>
              <w:ind w:left="0" w:firstLine="0"/>
              <w:rPr>
                <w:lang w:val="es-ES"/>
              </w:rPr>
            </w:pPr>
          </w:p>
          <w:p w14:paraId="66E72D1B" w14:textId="3C56365A" w:rsidR="00A36FF0" w:rsidRPr="00FD514D" w:rsidRDefault="00B20630" w:rsidP="00570141">
            <w:pPr>
              <w:pStyle w:val="NoSpacing"/>
              <w:ind w:left="0" w:firstLine="0"/>
              <w:rPr>
                <w:lang w:val="es-ES"/>
              </w:rPr>
            </w:pPr>
            <w:r w:rsidRPr="00FD514D">
              <w:rPr>
                <w:lang w:val="es-ES"/>
              </w:rPr>
              <w:t>Est</w:t>
            </w:r>
            <w:r w:rsidR="00832112" w:rsidRPr="00FD514D">
              <w:rPr>
                <w:lang w:val="es-ES"/>
              </w:rPr>
              <w:t xml:space="preserve">e </w:t>
            </w:r>
            <w:r w:rsidR="00762688" w:rsidRPr="00FD514D">
              <w:rPr>
                <w:lang w:val="es-ES"/>
              </w:rPr>
              <w:t>reglamento</w:t>
            </w:r>
            <w:r w:rsidR="00832112" w:rsidRPr="00FD514D">
              <w:rPr>
                <w:lang w:val="es-ES"/>
              </w:rPr>
              <w:t xml:space="preserve"> </w:t>
            </w:r>
            <w:r w:rsidRPr="00FD514D">
              <w:rPr>
                <w:lang w:val="es-ES"/>
              </w:rPr>
              <w:t xml:space="preserve">debería </w:t>
            </w:r>
            <w:r w:rsidR="00832112" w:rsidRPr="00FD514D">
              <w:rPr>
                <w:lang w:val="es-ES"/>
              </w:rPr>
              <w:t>definir</w:t>
            </w:r>
            <w:r w:rsidRPr="00FD514D">
              <w:rPr>
                <w:lang w:val="es-ES"/>
              </w:rPr>
              <w:t xml:space="preserve"> claramente </w:t>
            </w:r>
            <w:r w:rsidR="00832112" w:rsidRPr="00FD514D">
              <w:rPr>
                <w:lang w:val="es-ES"/>
              </w:rPr>
              <w:t xml:space="preserve">la función de la </w:t>
            </w:r>
            <w:r w:rsidR="00832112" w:rsidRPr="00FD514D">
              <w:rPr>
                <w:lang w:val="es-ES"/>
              </w:rPr>
              <w:lastRenderedPageBreak/>
              <w:t>Secretaría con respecto a todos los órganos subsidiarios.</w:t>
            </w:r>
            <w:r w:rsidR="00502459" w:rsidRPr="00FD514D">
              <w:rPr>
                <w:lang w:val="es-ES"/>
              </w:rPr>
              <w:t xml:space="preserve"> </w:t>
            </w:r>
          </w:p>
        </w:tc>
      </w:tr>
      <w:tr w:rsidR="00D50999" w:rsidRPr="00070719" w14:paraId="18CEB512" w14:textId="77777777" w:rsidTr="00980900">
        <w:tc>
          <w:tcPr>
            <w:tcW w:w="580" w:type="dxa"/>
          </w:tcPr>
          <w:p w14:paraId="02437B75" w14:textId="77777777" w:rsidR="00A36FF0" w:rsidRPr="00FD514D" w:rsidRDefault="00A36FF0" w:rsidP="00AB7D8F">
            <w:pPr>
              <w:pStyle w:val="NoSpacing"/>
              <w:ind w:left="0" w:firstLine="0"/>
              <w:rPr>
                <w:lang w:val="es-ES"/>
              </w:rPr>
            </w:pPr>
            <w:r w:rsidRPr="00FD514D">
              <w:rPr>
                <w:lang w:val="es-ES"/>
              </w:rPr>
              <w:lastRenderedPageBreak/>
              <w:t>1</w:t>
            </w:r>
            <w:r w:rsidR="007014F2" w:rsidRPr="00FD514D">
              <w:rPr>
                <w:lang w:val="es-ES"/>
              </w:rPr>
              <w:t>6</w:t>
            </w:r>
          </w:p>
        </w:tc>
        <w:tc>
          <w:tcPr>
            <w:tcW w:w="1984" w:type="dxa"/>
          </w:tcPr>
          <w:p w14:paraId="71E3E00A" w14:textId="77777777" w:rsidR="00A36FF0" w:rsidRPr="00FD514D" w:rsidRDefault="00762688" w:rsidP="00AB7D8F">
            <w:pPr>
              <w:pStyle w:val="NoSpacing"/>
              <w:ind w:left="0" w:firstLine="0"/>
              <w:rPr>
                <w:lang w:val="es-ES"/>
              </w:rPr>
            </w:pPr>
            <w:r w:rsidRPr="00FD514D">
              <w:rPr>
                <w:lang w:val="es-ES"/>
              </w:rPr>
              <w:t>Artículo</w:t>
            </w:r>
            <w:r w:rsidR="00A36FF0" w:rsidRPr="00FD514D">
              <w:rPr>
                <w:lang w:val="es-ES"/>
              </w:rPr>
              <w:t xml:space="preserve"> 28</w:t>
            </w:r>
            <w:r w:rsidR="00036F15" w:rsidRPr="00FD514D">
              <w:rPr>
                <w:lang w:val="es-ES"/>
              </w:rPr>
              <w:t>:</w:t>
            </w:r>
            <w:r w:rsidR="00A36FF0" w:rsidRPr="00FD514D">
              <w:rPr>
                <w:lang w:val="es-ES"/>
              </w:rPr>
              <w:t xml:space="preserve"> </w:t>
            </w:r>
            <w:r w:rsidR="00FB0398" w:rsidRPr="00FD514D">
              <w:rPr>
                <w:lang w:val="es-ES"/>
              </w:rPr>
              <w:t xml:space="preserve">Reuniones </w:t>
            </w:r>
          </w:p>
        </w:tc>
        <w:tc>
          <w:tcPr>
            <w:tcW w:w="3308" w:type="dxa"/>
          </w:tcPr>
          <w:p w14:paraId="4E16C3BD" w14:textId="675C808E" w:rsidR="00A36FF0" w:rsidRPr="00FD514D" w:rsidRDefault="00717453" w:rsidP="0092001A">
            <w:pPr>
              <w:pStyle w:val="NoSpacing"/>
              <w:ind w:left="0" w:firstLine="0"/>
              <w:rPr>
                <w:lang w:val="es-ES"/>
              </w:rPr>
            </w:pPr>
            <w:r w:rsidRPr="00FD514D">
              <w:rPr>
                <w:lang w:val="es-ES"/>
              </w:rPr>
              <w:t xml:space="preserve">En el </w:t>
            </w:r>
            <w:r w:rsidR="00470074">
              <w:rPr>
                <w:lang w:val="es-ES"/>
              </w:rPr>
              <w:t>artículo</w:t>
            </w:r>
            <w:r w:rsidR="00A36FF0" w:rsidRPr="00FD514D">
              <w:rPr>
                <w:lang w:val="es-ES"/>
              </w:rPr>
              <w:t xml:space="preserve"> 28.3 </w:t>
            </w:r>
            <w:r w:rsidR="00366450" w:rsidRPr="00FD514D">
              <w:rPr>
                <w:lang w:val="es-ES"/>
              </w:rPr>
              <w:t>se dispone que los asientos asignados a las</w:t>
            </w:r>
            <w:r w:rsidR="00FA1101" w:rsidRPr="00FD514D">
              <w:rPr>
                <w:lang w:val="es-ES"/>
              </w:rPr>
              <w:t xml:space="preserve"> </w:t>
            </w:r>
            <w:r w:rsidR="00366450" w:rsidRPr="00FD514D">
              <w:rPr>
                <w:lang w:val="es-ES"/>
              </w:rPr>
              <w:t xml:space="preserve">delegaciones se determinarán siguiendo el orden alfabético inglés de los nombres de las Partes Contratantes. </w:t>
            </w:r>
            <w:r w:rsidR="00865B18" w:rsidRPr="00FD514D">
              <w:rPr>
                <w:lang w:val="es-ES"/>
              </w:rPr>
              <w:t xml:space="preserve">El empleo del término </w:t>
            </w:r>
            <w:r w:rsidR="00980900">
              <w:rPr>
                <w:lang w:val="es-ES"/>
              </w:rPr>
              <w:t>“</w:t>
            </w:r>
            <w:r w:rsidR="00865B18" w:rsidRPr="00FD514D">
              <w:rPr>
                <w:lang w:val="es-ES"/>
              </w:rPr>
              <w:t>Partes Contratantes</w:t>
            </w:r>
            <w:r w:rsidR="00980900">
              <w:rPr>
                <w:lang w:val="es-ES"/>
              </w:rPr>
              <w:t>”</w:t>
            </w:r>
            <w:r w:rsidR="00865B18" w:rsidRPr="00FD514D">
              <w:rPr>
                <w:lang w:val="es-ES"/>
              </w:rPr>
              <w:t xml:space="preserve"> </w:t>
            </w:r>
            <w:r w:rsidR="00521F9B" w:rsidRPr="00FD514D">
              <w:rPr>
                <w:lang w:val="es-ES"/>
              </w:rPr>
              <w:t>hace suponer</w:t>
            </w:r>
            <w:r w:rsidR="00B81844" w:rsidRPr="00FD514D">
              <w:rPr>
                <w:lang w:val="es-ES"/>
              </w:rPr>
              <w:t xml:space="preserve"> que esto no es aplicable al GECT </w:t>
            </w:r>
            <w:r w:rsidR="00A36FF0" w:rsidRPr="00FD514D">
              <w:rPr>
                <w:lang w:val="es-ES"/>
              </w:rPr>
              <w:t>(</w:t>
            </w:r>
            <w:r w:rsidR="00B81844" w:rsidRPr="00FD514D">
              <w:rPr>
                <w:lang w:val="es-ES"/>
              </w:rPr>
              <w:t>habida cuenta de que el GECT no está formado por Partes Contratantes propiamente dich</w:t>
            </w:r>
            <w:r w:rsidR="000A5CE0">
              <w:rPr>
                <w:lang w:val="es-ES"/>
              </w:rPr>
              <w:t>as</w:t>
            </w:r>
            <w:r w:rsidR="00521F9B" w:rsidRPr="00FD514D">
              <w:rPr>
                <w:lang w:val="es-ES"/>
              </w:rPr>
              <w:t>,</w:t>
            </w:r>
            <w:r w:rsidR="00FA1101" w:rsidRPr="00FD514D">
              <w:rPr>
                <w:lang w:val="es-ES"/>
              </w:rPr>
              <w:t xml:space="preserve"> </w:t>
            </w:r>
            <w:r w:rsidR="00B81844" w:rsidRPr="00FD514D">
              <w:rPr>
                <w:lang w:val="es-ES"/>
              </w:rPr>
              <w:t xml:space="preserve">sino por expertos de las Partes Contratantes). No obstante, no queda del todo claro. </w:t>
            </w:r>
          </w:p>
        </w:tc>
        <w:tc>
          <w:tcPr>
            <w:tcW w:w="3308" w:type="dxa"/>
          </w:tcPr>
          <w:p w14:paraId="5A600DFD" w14:textId="553BC66D" w:rsidR="00A36FF0" w:rsidRPr="00FD514D" w:rsidRDefault="004F3634" w:rsidP="0078688F">
            <w:pPr>
              <w:pStyle w:val="NoSpacing"/>
              <w:ind w:left="0" w:firstLine="0"/>
              <w:rPr>
                <w:lang w:val="es-ES"/>
              </w:rPr>
            </w:pPr>
            <w:r w:rsidRPr="00FD514D">
              <w:rPr>
                <w:lang w:val="es-ES"/>
              </w:rPr>
              <w:t>Véase la recomendación que figura en la fila 1 del</w:t>
            </w:r>
            <w:r w:rsidR="00502459" w:rsidRPr="00FD514D">
              <w:rPr>
                <w:lang w:val="es-ES"/>
              </w:rPr>
              <w:t xml:space="preserve"> </w:t>
            </w:r>
            <w:r w:rsidR="00C24302">
              <w:rPr>
                <w:lang w:val="es-ES"/>
              </w:rPr>
              <w:t>cuadro</w:t>
            </w:r>
            <w:r w:rsidRPr="00FD514D">
              <w:rPr>
                <w:lang w:val="es-ES"/>
              </w:rPr>
              <w:t xml:space="preserve"> 2.</w:t>
            </w:r>
            <w:r w:rsidR="00502459" w:rsidRPr="00FD514D">
              <w:rPr>
                <w:lang w:val="es-ES"/>
              </w:rPr>
              <w:t xml:space="preserve"> </w:t>
            </w:r>
          </w:p>
          <w:p w14:paraId="57544221" w14:textId="77777777" w:rsidR="00521F9B" w:rsidRPr="00FD514D" w:rsidRDefault="00521F9B" w:rsidP="0078688F">
            <w:pPr>
              <w:pStyle w:val="NoSpacing"/>
              <w:ind w:left="0" w:firstLine="0"/>
              <w:rPr>
                <w:lang w:val="es-ES"/>
              </w:rPr>
            </w:pPr>
          </w:p>
          <w:p w14:paraId="32058511" w14:textId="77777777" w:rsidR="00570141" w:rsidRPr="00FD514D" w:rsidRDefault="00832112" w:rsidP="00570141">
            <w:pPr>
              <w:pStyle w:val="NoSpacing"/>
              <w:ind w:left="0" w:firstLine="0"/>
              <w:rPr>
                <w:lang w:val="es-ES"/>
              </w:rPr>
            </w:pPr>
            <w:r w:rsidRPr="00FD514D">
              <w:rPr>
                <w:lang w:val="es-ES"/>
              </w:rPr>
              <w:t xml:space="preserve">Este </w:t>
            </w:r>
            <w:r w:rsidR="00762688" w:rsidRPr="00FD514D">
              <w:rPr>
                <w:lang w:val="es-ES"/>
              </w:rPr>
              <w:t>reglamento</w:t>
            </w:r>
            <w:r w:rsidRPr="00FD514D">
              <w:rPr>
                <w:lang w:val="es-ES"/>
              </w:rPr>
              <w:t xml:space="preserve"> debería estipular claramente los órganos subsidiario</w:t>
            </w:r>
            <w:r w:rsidR="00502C10" w:rsidRPr="00FD514D">
              <w:rPr>
                <w:lang w:val="es-ES"/>
              </w:rPr>
              <w:t xml:space="preserve">s sujetos </w:t>
            </w:r>
            <w:r w:rsidR="005908AA" w:rsidRPr="00FD514D">
              <w:rPr>
                <w:lang w:val="es-ES"/>
              </w:rPr>
              <w:t>a</w:t>
            </w:r>
            <w:r w:rsidR="00502C10" w:rsidRPr="00FD514D">
              <w:rPr>
                <w:lang w:val="es-ES"/>
              </w:rPr>
              <w:t>l requisito relativo</w:t>
            </w:r>
            <w:r w:rsidR="00502459" w:rsidRPr="00FD514D">
              <w:rPr>
                <w:lang w:val="es-ES"/>
              </w:rPr>
              <w:t xml:space="preserve"> </w:t>
            </w:r>
            <w:r w:rsidR="005908AA" w:rsidRPr="00FD514D">
              <w:rPr>
                <w:lang w:val="es-ES"/>
              </w:rPr>
              <w:t xml:space="preserve">al número </w:t>
            </w:r>
            <w:r w:rsidR="00502C10" w:rsidRPr="00FD514D">
              <w:rPr>
                <w:lang w:val="es-ES"/>
              </w:rPr>
              <w:t>de asientos asignables.</w:t>
            </w:r>
            <w:r w:rsidRPr="00FD514D">
              <w:rPr>
                <w:lang w:val="es-ES"/>
              </w:rPr>
              <w:t xml:space="preserve"> </w:t>
            </w:r>
          </w:p>
        </w:tc>
      </w:tr>
      <w:tr w:rsidR="00D50999" w:rsidRPr="00070719" w14:paraId="156BE733" w14:textId="77777777" w:rsidTr="00980900">
        <w:tc>
          <w:tcPr>
            <w:tcW w:w="580" w:type="dxa"/>
          </w:tcPr>
          <w:p w14:paraId="4D05297D" w14:textId="77777777" w:rsidR="00A36FF0" w:rsidRPr="00FD514D" w:rsidRDefault="007014F2" w:rsidP="00AB7D8F">
            <w:pPr>
              <w:pStyle w:val="NoSpacing"/>
              <w:ind w:left="0" w:firstLine="0"/>
              <w:rPr>
                <w:lang w:val="es-ES"/>
              </w:rPr>
            </w:pPr>
            <w:r w:rsidRPr="00FD514D">
              <w:rPr>
                <w:lang w:val="es-ES"/>
              </w:rPr>
              <w:t>17</w:t>
            </w:r>
          </w:p>
        </w:tc>
        <w:tc>
          <w:tcPr>
            <w:tcW w:w="1984" w:type="dxa"/>
          </w:tcPr>
          <w:p w14:paraId="5A1571DB" w14:textId="77777777" w:rsidR="00A36FF0" w:rsidRPr="00FD514D" w:rsidRDefault="00762688" w:rsidP="00AB7D8F">
            <w:pPr>
              <w:pStyle w:val="NoSpacing"/>
              <w:ind w:left="0" w:firstLine="0"/>
              <w:rPr>
                <w:lang w:val="es-ES"/>
              </w:rPr>
            </w:pPr>
            <w:r w:rsidRPr="00FD514D">
              <w:rPr>
                <w:lang w:val="es-ES"/>
              </w:rPr>
              <w:t>Artículo</w:t>
            </w:r>
            <w:r w:rsidR="00A36FF0" w:rsidRPr="00FD514D">
              <w:rPr>
                <w:lang w:val="es-ES"/>
              </w:rPr>
              <w:t xml:space="preserve"> 34</w:t>
            </w:r>
            <w:r w:rsidR="00036F15" w:rsidRPr="00FD514D">
              <w:rPr>
                <w:lang w:val="es-ES"/>
              </w:rPr>
              <w:t>:</w:t>
            </w:r>
            <w:r w:rsidR="00A36FF0" w:rsidRPr="00FD514D">
              <w:rPr>
                <w:lang w:val="es-ES"/>
              </w:rPr>
              <w:t xml:space="preserve"> Prop</w:t>
            </w:r>
            <w:r w:rsidR="00FB0398" w:rsidRPr="00FD514D">
              <w:rPr>
                <w:lang w:val="es-ES"/>
              </w:rPr>
              <w:t xml:space="preserve">uestas </w:t>
            </w:r>
            <w:r w:rsidR="00806000" w:rsidRPr="00FD514D">
              <w:rPr>
                <w:lang w:val="es-ES"/>
              </w:rPr>
              <w:t xml:space="preserve">y enmiendas a las propuestas </w:t>
            </w:r>
          </w:p>
        </w:tc>
        <w:tc>
          <w:tcPr>
            <w:tcW w:w="3308" w:type="dxa"/>
          </w:tcPr>
          <w:p w14:paraId="03BDC969" w14:textId="77777777" w:rsidR="00A36FF0" w:rsidRPr="00FD514D" w:rsidRDefault="00B81844" w:rsidP="0092001A">
            <w:pPr>
              <w:pStyle w:val="NoSpacing"/>
              <w:ind w:left="0" w:firstLine="0"/>
              <w:rPr>
                <w:lang w:val="es-ES"/>
              </w:rPr>
            </w:pPr>
            <w:r w:rsidRPr="00FD514D">
              <w:rPr>
                <w:lang w:val="es-ES"/>
              </w:rPr>
              <w:t>Algunos de estos sub</w:t>
            </w:r>
            <w:r w:rsidR="00762688" w:rsidRPr="00FD514D">
              <w:rPr>
                <w:lang w:val="es-ES"/>
              </w:rPr>
              <w:t>artículo</w:t>
            </w:r>
            <w:r w:rsidRPr="00FD514D">
              <w:rPr>
                <w:lang w:val="es-ES"/>
              </w:rPr>
              <w:t xml:space="preserve">s son aplicables a las reuniones del CP </w:t>
            </w:r>
            <w:r w:rsidR="00A36FF0" w:rsidRPr="00FD514D">
              <w:rPr>
                <w:lang w:val="es-ES"/>
              </w:rPr>
              <w:t>(</w:t>
            </w:r>
            <w:r w:rsidR="00762688" w:rsidRPr="00FD514D">
              <w:rPr>
                <w:lang w:val="es-ES"/>
              </w:rPr>
              <w:t>artículo</w:t>
            </w:r>
            <w:r w:rsidRPr="00FD514D">
              <w:rPr>
                <w:lang w:val="es-ES"/>
              </w:rPr>
              <w:t xml:space="preserve">s </w:t>
            </w:r>
            <w:r w:rsidR="00A36FF0" w:rsidRPr="00FD514D">
              <w:rPr>
                <w:lang w:val="es-ES"/>
              </w:rPr>
              <w:t>34.1</w:t>
            </w:r>
            <w:r w:rsidRPr="00FD514D">
              <w:rPr>
                <w:lang w:val="es-ES"/>
              </w:rPr>
              <w:t xml:space="preserve"> y</w:t>
            </w:r>
            <w:r w:rsidR="00A36FF0" w:rsidRPr="00FD514D">
              <w:rPr>
                <w:lang w:val="es-ES"/>
              </w:rPr>
              <w:t xml:space="preserve"> 34.2), </w:t>
            </w:r>
            <w:r w:rsidR="008E6532" w:rsidRPr="00FD514D">
              <w:rPr>
                <w:lang w:val="es-ES"/>
              </w:rPr>
              <w:t xml:space="preserve">pero hay otros que no lo son </w:t>
            </w:r>
            <w:r w:rsidR="00A36FF0" w:rsidRPr="00FD514D">
              <w:rPr>
                <w:lang w:val="es-ES"/>
              </w:rPr>
              <w:t>(</w:t>
            </w:r>
            <w:r w:rsidR="00762688" w:rsidRPr="00FD514D">
              <w:rPr>
                <w:lang w:val="es-ES"/>
              </w:rPr>
              <w:t>artículo</w:t>
            </w:r>
            <w:r w:rsidR="008E6532" w:rsidRPr="00FD514D">
              <w:rPr>
                <w:lang w:val="es-ES"/>
              </w:rPr>
              <w:t>s</w:t>
            </w:r>
            <w:r w:rsidR="00A36FF0" w:rsidRPr="00FD514D">
              <w:rPr>
                <w:lang w:val="es-ES"/>
              </w:rPr>
              <w:t xml:space="preserve"> 34.4, 34.5</w:t>
            </w:r>
            <w:r w:rsidR="008E6532" w:rsidRPr="00FD514D">
              <w:rPr>
                <w:lang w:val="es-ES"/>
              </w:rPr>
              <w:t xml:space="preserve"> y</w:t>
            </w:r>
            <w:r w:rsidR="00A36FF0" w:rsidRPr="00FD514D">
              <w:rPr>
                <w:lang w:val="es-ES"/>
              </w:rPr>
              <w:t xml:space="preserve"> 34.6). </w:t>
            </w:r>
          </w:p>
          <w:p w14:paraId="22E4755F" w14:textId="77777777" w:rsidR="00A36FF0" w:rsidRPr="00FD514D" w:rsidRDefault="00A36FF0" w:rsidP="0092001A">
            <w:pPr>
              <w:pStyle w:val="NoSpacing"/>
              <w:ind w:left="0" w:firstLine="0"/>
              <w:rPr>
                <w:lang w:val="es-ES"/>
              </w:rPr>
            </w:pPr>
          </w:p>
          <w:p w14:paraId="31778824" w14:textId="5D26B727" w:rsidR="00A36FF0" w:rsidRPr="00FD514D" w:rsidRDefault="008E6532" w:rsidP="0097451C">
            <w:pPr>
              <w:pStyle w:val="NoSpacing"/>
              <w:ind w:left="0" w:firstLine="0"/>
              <w:rPr>
                <w:lang w:val="es-ES"/>
              </w:rPr>
            </w:pPr>
            <w:r w:rsidRPr="00FD514D">
              <w:rPr>
                <w:lang w:val="es-ES"/>
              </w:rPr>
              <w:t>El</w:t>
            </w:r>
            <w:r w:rsidR="00521F9B" w:rsidRPr="00FD514D">
              <w:rPr>
                <w:lang w:val="es-ES"/>
              </w:rPr>
              <w:t xml:space="preserve"> </w:t>
            </w:r>
            <w:r w:rsidR="00762688" w:rsidRPr="00FD514D">
              <w:rPr>
                <w:lang w:val="es-ES"/>
              </w:rPr>
              <w:t>artículo</w:t>
            </w:r>
            <w:r w:rsidR="00A36FF0" w:rsidRPr="00FD514D">
              <w:rPr>
                <w:lang w:val="es-ES"/>
              </w:rPr>
              <w:t xml:space="preserve"> 34 </w:t>
            </w:r>
            <w:r w:rsidRPr="00FD514D">
              <w:rPr>
                <w:lang w:val="es-ES"/>
              </w:rPr>
              <w:t>no sería aplicable a las reuniones de otros órganos subsidiarios.</w:t>
            </w:r>
            <w:r w:rsidR="00A36FF0" w:rsidRPr="00FD514D">
              <w:rPr>
                <w:lang w:val="es-ES"/>
              </w:rPr>
              <w:t xml:space="preserve"> </w:t>
            </w:r>
          </w:p>
        </w:tc>
        <w:tc>
          <w:tcPr>
            <w:tcW w:w="3308" w:type="dxa"/>
          </w:tcPr>
          <w:p w14:paraId="51AEA39F" w14:textId="11D0D7B9" w:rsidR="00A36FF0" w:rsidRPr="00FD514D" w:rsidRDefault="004F3634" w:rsidP="0078688F">
            <w:pPr>
              <w:pStyle w:val="NoSpacing"/>
              <w:ind w:left="0" w:firstLine="0"/>
              <w:rPr>
                <w:lang w:val="es-ES"/>
              </w:rPr>
            </w:pPr>
            <w:r w:rsidRPr="00FD514D">
              <w:rPr>
                <w:lang w:val="es-ES"/>
              </w:rPr>
              <w:t>Véase la recomendación que figura en la fila 1 del</w:t>
            </w:r>
            <w:r w:rsidR="00502459" w:rsidRPr="00FD514D">
              <w:rPr>
                <w:lang w:val="es-ES"/>
              </w:rPr>
              <w:t xml:space="preserve"> </w:t>
            </w:r>
            <w:r w:rsidR="00C24302">
              <w:rPr>
                <w:lang w:val="es-ES"/>
              </w:rPr>
              <w:t>cuadro</w:t>
            </w:r>
            <w:r w:rsidRPr="00FD514D">
              <w:rPr>
                <w:lang w:val="es-ES"/>
              </w:rPr>
              <w:t xml:space="preserve"> 2.</w:t>
            </w:r>
            <w:r w:rsidR="00502459" w:rsidRPr="00FD514D">
              <w:rPr>
                <w:lang w:val="es-ES"/>
              </w:rPr>
              <w:t xml:space="preserve"> </w:t>
            </w:r>
          </w:p>
          <w:p w14:paraId="5328BEA6" w14:textId="77777777" w:rsidR="00521F9B" w:rsidRPr="00FD514D" w:rsidRDefault="00521F9B" w:rsidP="0078688F">
            <w:pPr>
              <w:pStyle w:val="NoSpacing"/>
              <w:ind w:left="0" w:firstLine="0"/>
              <w:rPr>
                <w:lang w:val="es-ES"/>
              </w:rPr>
            </w:pPr>
          </w:p>
          <w:p w14:paraId="33C7DCBC" w14:textId="77777777" w:rsidR="00570141" w:rsidRPr="00FD514D" w:rsidRDefault="00502C10" w:rsidP="00570141">
            <w:pPr>
              <w:pStyle w:val="NoSpacing"/>
              <w:ind w:left="0" w:firstLine="0"/>
              <w:rPr>
                <w:lang w:val="es-ES"/>
              </w:rPr>
            </w:pPr>
            <w:r w:rsidRPr="00FD514D">
              <w:rPr>
                <w:lang w:val="es-ES"/>
              </w:rPr>
              <w:t xml:space="preserve">El </w:t>
            </w:r>
            <w:r w:rsidR="00762688" w:rsidRPr="00FD514D">
              <w:rPr>
                <w:lang w:val="es-ES"/>
              </w:rPr>
              <w:t>reglamento</w:t>
            </w:r>
            <w:r w:rsidRPr="00FD514D">
              <w:rPr>
                <w:lang w:val="es-ES"/>
              </w:rPr>
              <w:t xml:space="preserve"> debería definir claramente la función y las facultades del CP en lo concerniente a propuestas y enmiendas a propuestas.</w:t>
            </w:r>
            <w:r w:rsidR="00502459" w:rsidRPr="00FD514D">
              <w:rPr>
                <w:lang w:val="es-ES"/>
              </w:rPr>
              <w:t xml:space="preserve"> </w:t>
            </w:r>
          </w:p>
        </w:tc>
      </w:tr>
      <w:tr w:rsidR="003E7B99" w:rsidRPr="00070719" w14:paraId="4BEC4CCC" w14:textId="77777777" w:rsidTr="00980900">
        <w:tc>
          <w:tcPr>
            <w:tcW w:w="580" w:type="dxa"/>
          </w:tcPr>
          <w:p w14:paraId="67914D44" w14:textId="77777777" w:rsidR="00AB2BDC" w:rsidRPr="00FD514D" w:rsidRDefault="007014F2" w:rsidP="00AB7D8F">
            <w:pPr>
              <w:pStyle w:val="NoSpacing"/>
              <w:ind w:left="0" w:firstLine="0"/>
              <w:rPr>
                <w:lang w:val="es-ES"/>
              </w:rPr>
            </w:pPr>
            <w:r w:rsidRPr="00FD514D">
              <w:rPr>
                <w:lang w:val="es-ES"/>
              </w:rPr>
              <w:t>18</w:t>
            </w:r>
          </w:p>
        </w:tc>
        <w:tc>
          <w:tcPr>
            <w:tcW w:w="1984" w:type="dxa"/>
          </w:tcPr>
          <w:p w14:paraId="4C4E1D51" w14:textId="77777777" w:rsidR="00AB2BDC" w:rsidRPr="00FD514D" w:rsidRDefault="00762688" w:rsidP="00AB7D8F">
            <w:pPr>
              <w:pStyle w:val="NoSpacing"/>
              <w:ind w:left="0" w:firstLine="0"/>
              <w:rPr>
                <w:lang w:val="es-ES"/>
              </w:rPr>
            </w:pPr>
            <w:r w:rsidRPr="00FD514D">
              <w:rPr>
                <w:lang w:val="es-ES"/>
              </w:rPr>
              <w:t>Artículo</w:t>
            </w:r>
            <w:r w:rsidR="00D67DC4" w:rsidRPr="00FD514D">
              <w:rPr>
                <w:lang w:val="es-ES"/>
              </w:rPr>
              <w:t>s 39 – 45</w:t>
            </w:r>
            <w:r w:rsidR="00036F15" w:rsidRPr="00FD514D">
              <w:rPr>
                <w:lang w:val="es-ES"/>
              </w:rPr>
              <w:t>:</w:t>
            </w:r>
            <w:r w:rsidR="00D67DC4" w:rsidRPr="00FD514D">
              <w:rPr>
                <w:lang w:val="es-ES"/>
              </w:rPr>
              <w:t xml:space="preserve"> Vot</w:t>
            </w:r>
            <w:r w:rsidR="00806000" w:rsidRPr="00FD514D">
              <w:rPr>
                <w:lang w:val="es-ES"/>
              </w:rPr>
              <w:t>aciones</w:t>
            </w:r>
            <w:r w:rsidR="00D67DC4" w:rsidRPr="00FD514D">
              <w:rPr>
                <w:lang w:val="es-ES"/>
              </w:rPr>
              <w:t xml:space="preserve"> </w:t>
            </w:r>
          </w:p>
        </w:tc>
        <w:tc>
          <w:tcPr>
            <w:tcW w:w="3308" w:type="dxa"/>
          </w:tcPr>
          <w:p w14:paraId="6BC790AD" w14:textId="7CC54BFD" w:rsidR="00690BA8" w:rsidRPr="00FD514D" w:rsidRDefault="00690BA8" w:rsidP="0092001A">
            <w:pPr>
              <w:pStyle w:val="NoSpacing"/>
              <w:ind w:left="0" w:firstLine="0"/>
              <w:rPr>
                <w:lang w:val="es-ES"/>
              </w:rPr>
            </w:pPr>
            <w:r w:rsidRPr="00FD514D">
              <w:rPr>
                <w:lang w:val="es-ES"/>
              </w:rPr>
              <w:t>Algunos de estos sub</w:t>
            </w:r>
            <w:r w:rsidR="00762688" w:rsidRPr="00FD514D">
              <w:rPr>
                <w:lang w:val="es-ES"/>
              </w:rPr>
              <w:t>artículo</w:t>
            </w:r>
            <w:r w:rsidRPr="00FD514D">
              <w:rPr>
                <w:lang w:val="es-ES"/>
              </w:rPr>
              <w:t xml:space="preserve">s son aplicables al CP y a los órganos </w:t>
            </w:r>
            <w:r w:rsidR="00521F9B" w:rsidRPr="00FD514D">
              <w:rPr>
                <w:lang w:val="es-ES"/>
              </w:rPr>
              <w:t>subsidiarios,</w:t>
            </w:r>
            <w:r w:rsidRPr="00FD514D">
              <w:rPr>
                <w:lang w:val="es-ES"/>
              </w:rPr>
              <w:t xml:space="preserve"> pero hay otros que no lo son</w:t>
            </w:r>
            <w:r w:rsidR="00D42AF5" w:rsidRPr="00FD514D">
              <w:rPr>
                <w:lang w:val="es-ES"/>
              </w:rPr>
              <w:t>.</w:t>
            </w:r>
          </w:p>
          <w:p w14:paraId="2494AB25" w14:textId="77777777" w:rsidR="00D67DC4" w:rsidRPr="00FD514D" w:rsidRDefault="00D67DC4" w:rsidP="0092001A">
            <w:pPr>
              <w:pStyle w:val="NoSpacing"/>
              <w:ind w:left="0" w:firstLine="0"/>
              <w:rPr>
                <w:lang w:val="es-ES"/>
              </w:rPr>
            </w:pPr>
          </w:p>
          <w:p w14:paraId="767666FB" w14:textId="06866CDD" w:rsidR="00D67DC4" w:rsidRPr="00FD514D" w:rsidRDefault="00690BA8" w:rsidP="00D67DC4">
            <w:pPr>
              <w:pStyle w:val="NoSpacing"/>
              <w:ind w:left="0" w:firstLine="0"/>
              <w:rPr>
                <w:lang w:val="es-ES"/>
              </w:rPr>
            </w:pPr>
            <w:r w:rsidRPr="00FD514D">
              <w:rPr>
                <w:lang w:val="es-ES"/>
              </w:rPr>
              <w:t xml:space="preserve">Por ejemplo, los </w:t>
            </w:r>
            <w:r w:rsidR="00762688" w:rsidRPr="00FD514D">
              <w:rPr>
                <w:lang w:val="es-ES"/>
              </w:rPr>
              <w:t>artículo</w:t>
            </w:r>
            <w:r w:rsidRPr="00FD514D">
              <w:rPr>
                <w:lang w:val="es-ES"/>
              </w:rPr>
              <w:t xml:space="preserve">s </w:t>
            </w:r>
            <w:r w:rsidR="00D67DC4" w:rsidRPr="00FD514D">
              <w:rPr>
                <w:lang w:val="es-ES"/>
              </w:rPr>
              <w:t>39.1, 39.2, 39.3, 39.4</w:t>
            </w:r>
            <w:r w:rsidRPr="00FD514D">
              <w:rPr>
                <w:lang w:val="es-ES"/>
              </w:rPr>
              <w:t xml:space="preserve"> y</w:t>
            </w:r>
            <w:r w:rsidR="00D67DC4" w:rsidRPr="00FD514D">
              <w:rPr>
                <w:lang w:val="es-ES"/>
              </w:rPr>
              <w:t xml:space="preserve"> 39.5 </w:t>
            </w:r>
            <w:r w:rsidRPr="00FD514D">
              <w:rPr>
                <w:lang w:val="es-ES"/>
              </w:rPr>
              <w:t xml:space="preserve">son aplicables al </w:t>
            </w:r>
            <w:r w:rsidR="00D42AF5" w:rsidRPr="00FD514D">
              <w:rPr>
                <w:lang w:val="es-ES"/>
              </w:rPr>
              <w:t xml:space="preserve">CP </w:t>
            </w:r>
            <w:r w:rsidRPr="00FD514D">
              <w:rPr>
                <w:lang w:val="es-ES"/>
              </w:rPr>
              <w:t xml:space="preserve">y a los órganos subsidiarios </w:t>
            </w:r>
            <w:r w:rsidR="0035673D" w:rsidRPr="00FD514D">
              <w:rPr>
                <w:lang w:val="es-ES"/>
              </w:rPr>
              <w:t>formados por</w:t>
            </w:r>
            <w:r w:rsidR="002D668B" w:rsidRPr="00FD514D">
              <w:rPr>
                <w:lang w:val="es-ES"/>
              </w:rPr>
              <w:t xml:space="preserve"> Partes Contratantes, en la medida en que deb</w:t>
            </w:r>
            <w:r w:rsidR="0035673D" w:rsidRPr="00FD514D">
              <w:rPr>
                <w:lang w:val="es-ES"/>
              </w:rPr>
              <w:t>e</w:t>
            </w:r>
            <w:r w:rsidR="002D668B" w:rsidRPr="00FD514D">
              <w:rPr>
                <w:lang w:val="es-ES"/>
              </w:rPr>
              <w:t xml:space="preserve">n ejercer su voto sobre alguna cuestión específica. Cabe señalar que el </w:t>
            </w:r>
            <w:r w:rsidR="00762688" w:rsidRPr="00FD514D">
              <w:rPr>
                <w:lang w:val="es-ES"/>
              </w:rPr>
              <w:t>artículo</w:t>
            </w:r>
            <w:r w:rsidR="002D668B" w:rsidRPr="00FD514D">
              <w:rPr>
                <w:lang w:val="es-ES"/>
              </w:rPr>
              <w:t xml:space="preserve"> </w:t>
            </w:r>
            <w:r w:rsidR="00460CCE" w:rsidRPr="00FD514D">
              <w:rPr>
                <w:lang w:val="es-ES"/>
              </w:rPr>
              <w:t>25.5</w:t>
            </w:r>
            <w:r w:rsidR="001823A5" w:rsidRPr="00FD514D">
              <w:rPr>
                <w:lang w:val="es-ES"/>
              </w:rPr>
              <w:t>.</w:t>
            </w:r>
            <w:r w:rsidR="00460CCE" w:rsidRPr="00FD514D">
              <w:rPr>
                <w:lang w:val="es-ES"/>
              </w:rPr>
              <w:t>c) impli</w:t>
            </w:r>
            <w:r w:rsidR="00AF31C2" w:rsidRPr="00FD514D">
              <w:rPr>
                <w:lang w:val="es-ES"/>
              </w:rPr>
              <w:t>ca</w:t>
            </w:r>
            <w:r w:rsidR="009741BB" w:rsidRPr="00FD514D">
              <w:rPr>
                <w:lang w:val="es-ES"/>
              </w:rPr>
              <w:t xml:space="preserve"> que</w:t>
            </w:r>
            <w:r w:rsidR="00AF31C2" w:rsidRPr="00FD514D">
              <w:rPr>
                <w:lang w:val="es-ES"/>
              </w:rPr>
              <w:t xml:space="preserve"> </w:t>
            </w:r>
            <w:r w:rsidR="000D55FC" w:rsidRPr="00FD514D">
              <w:rPr>
                <w:lang w:val="es-ES"/>
              </w:rPr>
              <w:t>los asuntos</w:t>
            </w:r>
            <w:r w:rsidR="009741BB" w:rsidRPr="00FD514D">
              <w:rPr>
                <w:lang w:val="es-ES"/>
              </w:rPr>
              <w:t xml:space="preserve"> examinados por un órgano </w:t>
            </w:r>
            <w:r w:rsidR="009741BB" w:rsidRPr="00FD514D">
              <w:rPr>
                <w:lang w:val="es-ES"/>
              </w:rPr>
              <w:lastRenderedPageBreak/>
              <w:t xml:space="preserve">subsidiario pueden </w:t>
            </w:r>
            <w:r w:rsidR="00F65C35" w:rsidRPr="00FD514D">
              <w:rPr>
                <w:lang w:val="es-ES"/>
              </w:rPr>
              <w:t xml:space="preserve">dar lugar a </w:t>
            </w:r>
            <w:r w:rsidR="00A965B5" w:rsidRPr="00FD514D">
              <w:rPr>
                <w:lang w:val="es-ES"/>
              </w:rPr>
              <w:t>una votación</w:t>
            </w:r>
            <w:r w:rsidR="00460CCE" w:rsidRPr="00FD514D">
              <w:rPr>
                <w:lang w:val="es-ES"/>
              </w:rPr>
              <w:t>.</w:t>
            </w:r>
            <w:r w:rsidR="00460CCE" w:rsidRPr="00FD514D">
              <w:rPr>
                <w:rStyle w:val="FootnoteReference"/>
                <w:lang w:val="es-ES"/>
              </w:rPr>
              <w:footnoteReference w:id="20"/>
            </w:r>
            <w:r w:rsidR="00460CCE" w:rsidRPr="00FD514D">
              <w:rPr>
                <w:lang w:val="es-ES"/>
              </w:rPr>
              <w:t xml:space="preserve"> </w:t>
            </w:r>
          </w:p>
          <w:p w14:paraId="3759A265" w14:textId="77777777" w:rsidR="00D67DC4" w:rsidRPr="00FD514D" w:rsidRDefault="00D67DC4" w:rsidP="00D67DC4">
            <w:pPr>
              <w:pStyle w:val="NoSpacing"/>
              <w:ind w:left="0" w:firstLine="0"/>
              <w:rPr>
                <w:lang w:val="es-ES"/>
              </w:rPr>
            </w:pPr>
          </w:p>
          <w:p w14:paraId="04B7D63C" w14:textId="4E0A01B6" w:rsidR="00D67DC4" w:rsidRPr="00FD514D" w:rsidRDefault="00F65C35" w:rsidP="009B5E5B">
            <w:pPr>
              <w:pStyle w:val="NoSpacing"/>
              <w:ind w:left="0" w:firstLine="0"/>
              <w:rPr>
                <w:lang w:val="es-ES"/>
              </w:rPr>
            </w:pPr>
            <w:r w:rsidRPr="00FD514D">
              <w:rPr>
                <w:lang w:val="es-ES"/>
              </w:rPr>
              <w:t>No obstante, el empleo</w:t>
            </w:r>
            <w:r w:rsidR="00242C00" w:rsidRPr="00FD514D">
              <w:rPr>
                <w:lang w:val="es-ES"/>
              </w:rPr>
              <w:t xml:space="preserve"> consistente</w:t>
            </w:r>
            <w:r w:rsidRPr="00FD514D">
              <w:rPr>
                <w:lang w:val="es-ES"/>
              </w:rPr>
              <w:t xml:space="preserve"> del término </w:t>
            </w:r>
            <w:r w:rsidR="00980900">
              <w:rPr>
                <w:lang w:val="es-ES"/>
              </w:rPr>
              <w:t>“</w:t>
            </w:r>
            <w:r w:rsidRPr="00FD514D">
              <w:rPr>
                <w:lang w:val="es-ES"/>
              </w:rPr>
              <w:t>Partes Contratantes</w:t>
            </w:r>
            <w:r w:rsidR="00980900">
              <w:rPr>
                <w:lang w:val="es-ES"/>
              </w:rPr>
              <w:t>”</w:t>
            </w:r>
            <w:r w:rsidRPr="00FD514D">
              <w:rPr>
                <w:lang w:val="es-ES"/>
              </w:rPr>
              <w:t xml:space="preserve"> </w:t>
            </w:r>
            <w:r w:rsidR="00D25A3D" w:rsidRPr="00FD514D">
              <w:rPr>
                <w:lang w:val="es-ES"/>
              </w:rPr>
              <w:t xml:space="preserve">en estos </w:t>
            </w:r>
            <w:r w:rsidR="00762688" w:rsidRPr="00FD514D">
              <w:rPr>
                <w:lang w:val="es-ES"/>
              </w:rPr>
              <w:t>artículo</w:t>
            </w:r>
            <w:r w:rsidR="00D25A3D" w:rsidRPr="00FD514D">
              <w:rPr>
                <w:lang w:val="es-ES"/>
              </w:rPr>
              <w:t>s</w:t>
            </w:r>
            <w:r w:rsidR="008D4663" w:rsidRPr="00FD514D">
              <w:rPr>
                <w:lang w:val="es-ES"/>
              </w:rPr>
              <w:t xml:space="preserve"> hace suponer que no son aplicables al GECT</w:t>
            </w:r>
            <w:r w:rsidR="00C30DB5" w:rsidRPr="00FD514D">
              <w:rPr>
                <w:lang w:val="es-ES"/>
              </w:rPr>
              <w:t>,</w:t>
            </w:r>
            <w:r w:rsidR="008D4663" w:rsidRPr="00FD514D">
              <w:rPr>
                <w:lang w:val="es-ES"/>
              </w:rPr>
              <w:t xml:space="preserve"> que está formado por delegados expertos. Por otra parte, si </w:t>
            </w:r>
            <w:r w:rsidR="00835D9F" w:rsidRPr="00FD514D">
              <w:rPr>
                <w:lang w:val="es-ES"/>
              </w:rPr>
              <w:t xml:space="preserve">los </w:t>
            </w:r>
            <w:r w:rsidR="00762688" w:rsidRPr="00FD514D">
              <w:rPr>
                <w:lang w:val="es-ES"/>
              </w:rPr>
              <w:t>artículo</w:t>
            </w:r>
            <w:r w:rsidR="00835D9F" w:rsidRPr="00FD514D">
              <w:rPr>
                <w:lang w:val="es-ES"/>
              </w:rPr>
              <w:t>s s</w:t>
            </w:r>
            <w:r w:rsidR="00C30DB5" w:rsidRPr="00FD514D">
              <w:rPr>
                <w:lang w:val="es-ES"/>
              </w:rPr>
              <w:t xml:space="preserve">on aplicables </w:t>
            </w:r>
            <w:r w:rsidR="00835D9F" w:rsidRPr="00FD514D">
              <w:rPr>
                <w:i/>
                <w:lang w:val="es-ES"/>
              </w:rPr>
              <w:t>mutatis mutandis</w:t>
            </w:r>
            <w:r w:rsidR="00835D9F" w:rsidRPr="00FD514D">
              <w:rPr>
                <w:lang w:val="es-ES"/>
              </w:rPr>
              <w:t xml:space="preserve"> a las reuniones del GECT, </w:t>
            </w:r>
            <w:r w:rsidR="005F52D7" w:rsidRPr="00FD514D">
              <w:rPr>
                <w:lang w:val="es-ES"/>
              </w:rPr>
              <w:t>posiblemente se pueda</w:t>
            </w:r>
            <w:r w:rsidR="001907EE" w:rsidRPr="00FD514D">
              <w:rPr>
                <w:lang w:val="es-ES"/>
              </w:rPr>
              <w:t xml:space="preserve"> reemplazar el término </w:t>
            </w:r>
            <w:r w:rsidR="00980900">
              <w:rPr>
                <w:lang w:val="es-ES"/>
              </w:rPr>
              <w:t>“</w:t>
            </w:r>
            <w:r w:rsidR="001907EE" w:rsidRPr="00FD514D">
              <w:rPr>
                <w:lang w:val="es-ES"/>
              </w:rPr>
              <w:t>Partes Contratantes</w:t>
            </w:r>
            <w:r w:rsidR="00980900">
              <w:rPr>
                <w:lang w:val="es-ES"/>
              </w:rPr>
              <w:t>”</w:t>
            </w:r>
            <w:r w:rsidR="001907EE" w:rsidRPr="00FD514D">
              <w:rPr>
                <w:lang w:val="es-ES"/>
              </w:rPr>
              <w:t xml:space="preserve"> </w:t>
            </w:r>
            <w:r w:rsidR="003363D1" w:rsidRPr="00FD514D">
              <w:rPr>
                <w:lang w:val="es-ES"/>
              </w:rPr>
              <w:t xml:space="preserve">por </w:t>
            </w:r>
            <w:r w:rsidR="00980900">
              <w:rPr>
                <w:lang w:val="es-ES"/>
              </w:rPr>
              <w:t>“</w:t>
            </w:r>
            <w:r w:rsidR="003363D1" w:rsidRPr="00FD514D">
              <w:rPr>
                <w:lang w:val="es-ES"/>
              </w:rPr>
              <w:t>delegados</w:t>
            </w:r>
            <w:r w:rsidR="00980900">
              <w:rPr>
                <w:lang w:val="es-ES"/>
              </w:rPr>
              <w:t>”</w:t>
            </w:r>
            <w:r w:rsidR="005F52D7" w:rsidRPr="00FD514D">
              <w:rPr>
                <w:lang w:val="es-ES"/>
              </w:rPr>
              <w:t xml:space="preserve">. No obstante, </w:t>
            </w:r>
            <w:r w:rsidR="00A70403" w:rsidRPr="00FD514D">
              <w:rPr>
                <w:lang w:val="es-ES"/>
              </w:rPr>
              <w:t xml:space="preserve">la </w:t>
            </w:r>
            <w:r w:rsidR="005F52D7" w:rsidRPr="00FD514D">
              <w:rPr>
                <w:lang w:val="es-ES"/>
              </w:rPr>
              <w:t xml:space="preserve">ambigüedad </w:t>
            </w:r>
            <w:r w:rsidR="00A70403" w:rsidRPr="00FD514D">
              <w:rPr>
                <w:lang w:val="es-ES"/>
              </w:rPr>
              <w:t xml:space="preserve">del texto respecto de esta cuestión resulta problemática. </w:t>
            </w:r>
          </w:p>
          <w:p w14:paraId="1BA27199" w14:textId="77777777" w:rsidR="00651EB6" w:rsidRPr="00FD514D" w:rsidRDefault="00651EB6" w:rsidP="009B5E5B">
            <w:pPr>
              <w:pStyle w:val="NoSpacing"/>
              <w:ind w:left="0" w:firstLine="0"/>
              <w:rPr>
                <w:lang w:val="es-ES"/>
              </w:rPr>
            </w:pPr>
          </w:p>
          <w:p w14:paraId="41ECBE18" w14:textId="09503690" w:rsidR="00651EB6" w:rsidRPr="00FD514D" w:rsidRDefault="00C30DB5" w:rsidP="009B5E5B">
            <w:pPr>
              <w:pStyle w:val="NoSpacing"/>
              <w:ind w:left="0" w:firstLine="0"/>
              <w:rPr>
                <w:lang w:val="es-ES"/>
              </w:rPr>
            </w:pPr>
            <w:r w:rsidRPr="00FD514D">
              <w:rPr>
                <w:lang w:val="es-ES"/>
              </w:rPr>
              <w:t>No parece que e</w:t>
            </w:r>
            <w:r w:rsidR="00433684" w:rsidRPr="00FD514D">
              <w:rPr>
                <w:lang w:val="es-ES"/>
              </w:rPr>
              <w:t>l a</w:t>
            </w:r>
            <w:r w:rsidR="00242B0A" w:rsidRPr="00FD514D">
              <w:rPr>
                <w:lang w:val="es-ES"/>
              </w:rPr>
              <w:t>rtículo</w:t>
            </w:r>
            <w:r w:rsidR="00001E11" w:rsidRPr="00FD514D">
              <w:rPr>
                <w:lang w:val="es-ES"/>
              </w:rPr>
              <w:t xml:space="preserve"> 40 </w:t>
            </w:r>
            <w:r w:rsidR="00B2698C" w:rsidRPr="00FD514D">
              <w:rPr>
                <w:lang w:val="es-ES"/>
              </w:rPr>
              <w:t xml:space="preserve">sea aplicable al CP o a otros órganos subsidiarios, habida cuenta </w:t>
            </w:r>
            <w:r w:rsidR="002A0756" w:rsidRPr="00FD514D">
              <w:rPr>
                <w:lang w:val="es-ES"/>
              </w:rPr>
              <w:t xml:space="preserve">de que presumiblemente se refiere a la votación sobre las </w:t>
            </w:r>
            <w:r w:rsidR="006E5C5B" w:rsidRPr="00FD514D">
              <w:rPr>
                <w:lang w:val="es-ES"/>
              </w:rPr>
              <w:t xml:space="preserve">propuestas a fin de que sean adoptadas por la COP. No obstante, se podría cambiar </w:t>
            </w:r>
            <w:r w:rsidR="005F60BE" w:rsidRPr="00FD514D">
              <w:rPr>
                <w:lang w:val="es-ES"/>
              </w:rPr>
              <w:t>su redacción</w:t>
            </w:r>
            <w:r w:rsidR="006E5C5B" w:rsidRPr="00FD514D">
              <w:rPr>
                <w:lang w:val="es-ES"/>
              </w:rPr>
              <w:t xml:space="preserve"> </w:t>
            </w:r>
            <w:r w:rsidR="00A70403" w:rsidRPr="00FD514D">
              <w:rPr>
                <w:lang w:val="es-ES"/>
              </w:rPr>
              <w:t xml:space="preserve">a fin de aportar mayor claridad. </w:t>
            </w:r>
          </w:p>
          <w:p w14:paraId="32456B72" w14:textId="77777777" w:rsidR="00043308" w:rsidRPr="00FD514D" w:rsidRDefault="00043308" w:rsidP="009B5E5B">
            <w:pPr>
              <w:pStyle w:val="NoSpacing"/>
              <w:ind w:left="0" w:firstLine="0"/>
              <w:rPr>
                <w:lang w:val="es-ES"/>
              </w:rPr>
            </w:pPr>
          </w:p>
          <w:p w14:paraId="2C37CE41" w14:textId="77777777" w:rsidR="00043308" w:rsidRPr="00FD514D" w:rsidRDefault="005F60BE" w:rsidP="00043308">
            <w:pPr>
              <w:pStyle w:val="NoSpacing"/>
              <w:ind w:left="0" w:firstLine="0"/>
              <w:rPr>
                <w:lang w:val="es-ES"/>
              </w:rPr>
            </w:pPr>
            <w:r w:rsidRPr="00FD514D">
              <w:rPr>
                <w:lang w:val="es-ES"/>
              </w:rPr>
              <w:t xml:space="preserve">No parece que los </w:t>
            </w:r>
            <w:r w:rsidR="00762688" w:rsidRPr="00FD514D">
              <w:rPr>
                <w:lang w:val="es-ES"/>
              </w:rPr>
              <w:t>artículo</w:t>
            </w:r>
            <w:r w:rsidRPr="00FD514D">
              <w:rPr>
                <w:lang w:val="es-ES"/>
              </w:rPr>
              <w:t xml:space="preserve">s </w:t>
            </w:r>
            <w:r w:rsidR="00043308" w:rsidRPr="00FD514D">
              <w:rPr>
                <w:lang w:val="es-ES"/>
              </w:rPr>
              <w:t xml:space="preserve">41 </w:t>
            </w:r>
            <w:r w:rsidRPr="00FD514D">
              <w:rPr>
                <w:lang w:val="es-ES"/>
              </w:rPr>
              <w:t>al</w:t>
            </w:r>
            <w:r w:rsidR="00043308" w:rsidRPr="00FD514D">
              <w:rPr>
                <w:lang w:val="es-ES"/>
              </w:rPr>
              <w:t xml:space="preserve"> 43 inclusive </w:t>
            </w:r>
            <w:r w:rsidRPr="00FD514D">
              <w:rPr>
                <w:lang w:val="es-ES"/>
              </w:rPr>
              <w:t>sean aplicables al CP u otros órganos subsidiarios</w:t>
            </w:r>
            <w:r w:rsidR="00D56BFB" w:rsidRPr="00FD514D">
              <w:rPr>
                <w:lang w:val="es-ES"/>
              </w:rPr>
              <w:t>,</w:t>
            </w:r>
            <w:r w:rsidRPr="00FD514D">
              <w:rPr>
                <w:lang w:val="es-ES"/>
              </w:rPr>
              <w:t xml:space="preserve"> </w:t>
            </w:r>
            <w:r w:rsidR="00D56BFB" w:rsidRPr="00FD514D">
              <w:rPr>
                <w:lang w:val="es-ES"/>
              </w:rPr>
              <w:t>habida cuenta de que presumiblemente se refieren a la votación sobre las propuestas a fin de que sean adoptadas por la COP.</w:t>
            </w:r>
            <w:r w:rsidR="00502459" w:rsidRPr="00FD514D">
              <w:rPr>
                <w:lang w:val="es-ES"/>
              </w:rPr>
              <w:t xml:space="preserve"> </w:t>
            </w:r>
            <w:r w:rsidR="00D56BFB" w:rsidRPr="00FD514D">
              <w:rPr>
                <w:lang w:val="es-ES"/>
              </w:rPr>
              <w:t xml:space="preserve">Esto se corrobora </w:t>
            </w:r>
            <w:r w:rsidR="007A51DE" w:rsidRPr="00FD514D">
              <w:rPr>
                <w:lang w:val="es-ES"/>
              </w:rPr>
              <w:t>por el hecho de que hay</w:t>
            </w:r>
            <w:r w:rsidR="00D56BFB" w:rsidRPr="00FD514D">
              <w:rPr>
                <w:lang w:val="es-ES"/>
              </w:rPr>
              <w:t xml:space="preserve"> </w:t>
            </w:r>
            <w:r w:rsidR="007A51DE" w:rsidRPr="00FD514D">
              <w:rPr>
                <w:lang w:val="es-ES"/>
              </w:rPr>
              <w:t xml:space="preserve">otros </w:t>
            </w:r>
            <w:r w:rsidR="00762688" w:rsidRPr="00FD514D">
              <w:rPr>
                <w:lang w:val="es-ES"/>
              </w:rPr>
              <w:t>artículo</w:t>
            </w:r>
            <w:r w:rsidR="007A51DE" w:rsidRPr="00FD514D">
              <w:rPr>
                <w:lang w:val="es-ES"/>
              </w:rPr>
              <w:t>s relativos a</w:t>
            </w:r>
            <w:r w:rsidR="00924A05" w:rsidRPr="00FD514D">
              <w:rPr>
                <w:lang w:val="es-ES"/>
              </w:rPr>
              <w:t xml:space="preserve">l examen de propuestas por el CP. Concretamente, los </w:t>
            </w:r>
            <w:r w:rsidR="00762688" w:rsidRPr="00FD514D">
              <w:rPr>
                <w:lang w:val="es-ES"/>
              </w:rPr>
              <w:t>artículo</w:t>
            </w:r>
            <w:r w:rsidR="00924A05" w:rsidRPr="00FD514D">
              <w:rPr>
                <w:lang w:val="es-ES"/>
              </w:rPr>
              <w:t>s</w:t>
            </w:r>
            <w:r w:rsidR="00502459" w:rsidRPr="00FD514D">
              <w:rPr>
                <w:lang w:val="es-ES"/>
              </w:rPr>
              <w:t xml:space="preserve"> </w:t>
            </w:r>
            <w:r w:rsidR="00043308" w:rsidRPr="00FD514D">
              <w:rPr>
                <w:lang w:val="es-ES"/>
              </w:rPr>
              <w:t xml:space="preserve">34.1 </w:t>
            </w:r>
            <w:r w:rsidR="00924A05" w:rsidRPr="00FD514D">
              <w:rPr>
                <w:lang w:val="es-ES"/>
              </w:rPr>
              <w:t>y</w:t>
            </w:r>
            <w:r w:rsidR="00502459" w:rsidRPr="00FD514D">
              <w:rPr>
                <w:lang w:val="es-ES"/>
              </w:rPr>
              <w:t xml:space="preserve"> </w:t>
            </w:r>
            <w:r w:rsidR="00043308" w:rsidRPr="00FD514D">
              <w:rPr>
                <w:lang w:val="es-ES"/>
              </w:rPr>
              <w:t xml:space="preserve">34.2 </w:t>
            </w:r>
            <w:r w:rsidR="00924A05" w:rsidRPr="00FD514D">
              <w:rPr>
                <w:lang w:val="es-ES"/>
              </w:rPr>
              <w:t xml:space="preserve">se refieren explícitamente a enmiendas a </w:t>
            </w:r>
            <w:r w:rsidR="0006211D" w:rsidRPr="00FD514D">
              <w:rPr>
                <w:lang w:val="es-ES"/>
              </w:rPr>
              <w:t xml:space="preserve">las </w:t>
            </w:r>
            <w:r w:rsidR="00924A05" w:rsidRPr="00FD514D">
              <w:rPr>
                <w:lang w:val="es-ES"/>
              </w:rPr>
              <w:t xml:space="preserve">propuestas </w:t>
            </w:r>
            <w:r w:rsidR="0006211D" w:rsidRPr="00FD514D">
              <w:rPr>
                <w:lang w:val="es-ES"/>
              </w:rPr>
              <w:t xml:space="preserve">que se </w:t>
            </w:r>
            <w:r w:rsidR="000E7A11" w:rsidRPr="00FD514D">
              <w:rPr>
                <w:lang w:val="es-ES"/>
              </w:rPr>
              <w:t xml:space="preserve">examinan </w:t>
            </w:r>
            <w:r w:rsidR="0006211D" w:rsidRPr="00FD514D">
              <w:rPr>
                <w:lang w:val="es-ES"/>
              </w:rPr>
              <w:t>en la reunión del CP para la siguiente COP.</w:t>
            </w:r>
            <w:r w:rsidR="00043308" w:rsidRPr="00FD514D">
              <w:rPr>
                <w:lang w:val="es-ES"/>
              </w:rPr>
              <w:t xml:space="preserve"> </w:t>
            </w:r>
            <w:r w:rsidR="000E7A11" w:rsidRPr="00FD514D">
              <w:rPr>
                <w:lang w:val="es-ES"/>
              </w:rPr>
              <w:t xml:space="preserve">No obstante, se podría </w:t>
            </w:r>
            <w:r w:rsidR="000E7A11" w:rsidRPr="00FD514D">
              <w:rPr>
                <w:lang w:val="es-ES"/>
              </w:rPr>
              <w:lastRenderedPageBreak/>
              <w:t xml:space="preserve">modificar la redacción de los </w:t>
            </w:r>
            <w:r w:rsidR="00762688" w:rsidRPr="00FD514D">
              <w:rPr>
                <w:lang w:val="es-ES"/>
              </w:rPr>
              <w:t>artículo</w:t>
            </w:r>
            <w:r w:rsidR="000E7A11" w:rsidRPr="00FD514D">
              <w:rPr>
                <w:lang w:val="es-ES"/>
              </w:rPr>
              <w:t xml:space="preserve">s </w:t>
            </w:r>
            <w:r w:rsidR="003E7B99" w:rsidRPr="00FD514D">
              <w:rPr>
                <w:lang w:val="es-ES"/>
              </w:rPr>
              <w:t xml:space="preserve">41 </w:t>
            </w:r>
            <w:r w:rsidR="000E7A11" w:rsidRPr="00FD514D">
              <w:rPr>
                <w:lang w:val="es-ES"/>
              </w:rPr>
              <w:t xml:space="preserve">al </w:t>
            </w:r>
            <w:r w:rsidR="003E7B99" w:rsidRPr="00FD514D">
              <w:rPr>
                <w:lang w:val="es-ES"/>
              </w:rPr>
              <w:t>43</w:t>
            </w:r>
            <w:r w:rsidR="009E1E12" w:rsidRPr="00FD514D">
              <w:rPr>
                <w:lang w:val="es-ES"/>
              </w:rPr>
              <w:t xml:space="preserve"> </w:t>
            </w:r>
            <w:r w:rsidR="000E7A11" w:rsidRPr="00FD514D">
              <w:rPr>
                <w:lang w:val="es-ES"/>
              </w:rPr>
              <w:t xml:space="preserve">a fin de aportar mayor claridad. </w:t>
            </w:r>
          </w:p>
          <w:p w14:paraId="73F06548" w14:textId="77777777" w:rsidR="003E7B99" w:rsidRPr="00FD514D" w:rsidRDefault="003E7B99" w:rsidP="00043308">
            <w:pPr>
              <w:pStyle w:val="NoSpacing"/>
              <w:ind w:left="0" w:firstLine="0"/>
              <w:rPr>
                <w:lang w:val="es-ES"/>
              </w:rPr>
            </w:pPr>
          </w:p>
          <w:p w14:paraId="686A7AE8" w14:textId="6A697B0A" w:rsidR="00C079C8" w:rsidRPr="00FD514D" w:rsidRDefault="00A70403" w:rsidP="00043308">
            <w:pPr>
              <w:pStyle w:val="NoSpacing"/>
              <w:ind w:left="0" w:firstLine="0"/>
              <w:rPr>
                <w:lang w:val="es-ES"/>
              </w:rPr>
            </w:pPr>
            <w:r w:rsidRPr="00FD514D">
              <w:rPr>
                <w:lang w:val="es-ES"/>
              </w:rPr>
              <w:t xml:space="preserve">El </w:t>
            </w:r>
            <w:r w:rsidR="00762688" w:rsidRPr="00FD514D">
              <w:rPr>
                <w:lang w:val="es-ES"/>
              </w:rPr>
              <w:t>artículo</w:t>
            </w:r>
            <w:r w:rsidR="009E1E12" w:rsidRPr="00FD514D">
              <w:rPr>
                <w:lang w:val="es-ES"/>
              </w:rPr>
              <w:t xml:space="preserve"> 44</w:t>
            </w:r>
            <w:r w:rsidR="007F4CFE" w:rsidRPr="00FD514D">
              <w:rPr>
                <w:lang w:val="es-ES"/>
              </w:rPr>
              <w:t xml:space="preserve"> relativo al procedimiento de votación y el </w:t>
            </w:r>
            <w:r w:rsidR="00762688" w:rsidRPr="00FD514D">
              <w:rPr>
                <w:lang w:val="es-ES"/>
              </w:rPr>
              <w:t>artículo</w:t>
            </w:r>
            <w:r w:rsidR="00502459" w:rsidRPr="00FD514D">
              <w:rPr>
                <w:lang w:val="es-ES"/>
              </w:rPr>
              <w:t xml:space="preserve"> </w:t>
            </w:r>
            <w:r w:rsidR="009E1E12" w:rsidRPr="00FD514D">
              <w:rPr>
                <w:lang w:val="es-ES"/>
              </w:rPr>
              <w:t>45</w:t>
            </w:r>
            <w:r w:rsidR="007F4CFE" w:rsidRPr="00FD514D">
              <w:rPr>
                <w:lang w:val="es-ES"/>
              </w:rPr>
              <w:t xml:space="preserve"> referente a </w:t>
            </w:r>
            <w:r w:rsidR="00A16FC0" w:rsidRPr="00FD514D">
              <w:rPr>
                <w:lang w:val="es-ES"/>
              </w:rPr>
              <w:t>conducta durante la votación presumiblemente serían aplicables a las reuniones del CP y de los órganos subsidiarios.</w:t>
            </w:r>
            <w:r w:rsidR="009E1E12" w:rsidRPr="00FD514D">
              <w:rPr>
                <w:lang w:val="es-ES"/>
              </w:rPr>
              <w:t xml:space="preserve"> </w:t>
            </w:r>
          </w:p>
          <w:p w14:paraId="57FA0AF2" w14:textId="77777777" w:rsidR="00C079C8" w:rsidRPr="00FD514D" w:rsidRDefault="00C079C8" w:rsidP="00043308">
            <w:pPr>
              <w:pStyle w:val="NoSpacing"/>
              <w:ind w:left="0" w:firstLine="0"/>
              <w:rPr>
                <w:lang w:val="es-ES"/>
              </w:rPr>
            </w:pPr>
          </w:p>
        </w:tc>
        <w:tc>
          <w:tcPr>
            <w:tcW w:w="3308" w:type="dxa"/>
          </w:tcPr>
          <w:p w14:paraId="2E82B8A3" w14:textId="0F69810A" w:rsidR="00AB2BDC" w:rsidRPr="00FD514D" w:rsidRDefault="004F3634" w:rsidP="00570141">
            <w:pPr>
              <w:pStyle w:val="NoSpacing"/>
              <w:ind w:left="0" w:firstLine="0"/>
              <w:rPr>
                <w:lang w:val="es-ES"/>
              </w:rPr>
            </w:pPr>
            <w:r w:rsidRPr="00FD514D">
              <w:rPr>
                <w:lang w:val="es-ES"/>
              </w:rPr>
              <w:lastRenderedPageBreak/>
              <w:t>Véase la recomendación que figura en la fila 1 del</w:t>
            </w:r>
            <w:r w:rsidR="00502459" w:rsidRPr="00FD514D">
              <w:rPr>
                <w:lang w:val="es-ES"/>
              </w:rPr>
              <w:t xml:space="preserve"> </w:t>
            </w:r>
            <w:r w:rsidR="00C24302">
              <w:rPr>
                <w:lang w:val="es-ES"/>
              </w:rPr>
              <w:t>cuadro</w:t>
            </w:r>
            <w:r w:rsidRPr="00FD514D">
              <w:rPr>
                <w:lang w:val="es-ES"/>
              </w:rPr>
              <w:t xml:space="preserve"> 2.</w:t>
            </w:r>
            <w:r w:rsidR="00502459" w:rsidRPr="00FD514D">
              <w:rPr>
                <w:lang w:val="es-ES"/>
              </w:rPr>
              <w:t xml:space="preserve"> </w:t>
            </w:r>
          </w:p>
          <w:p w14:paraId="67F20D12" w14:textId="77777777" w:rsidR="00F07FCA" w:rsidRPr="00FD514D" w:rsidRDefault="00F07FCA" w:rsidP="00570141">
            <w:pPr>
              <w:pStyle w:val="NoSpacing"/>
              <w:ind w:left="0" w:firstLine="0"/>
              <w:rPr>
                <w:lang w:val="es-ES"/>
              </w:rPr>
            </w:pPr>
          </w:p>
        </w:tc>
      </w:tr>
      <w:tr w:rsidR="00D50999" w:rsidRPr="00070719" w14:paraId="72854B8A" w14:textId="77777777" w:rsidTr="00980900">
        <w:tc>
          <w:tcPr>
            <w:tcW w:w="580" w:type="dxa"/>
          </w:tcPr>
          <w:p w14:paraId="434AFF1B" w14:textId="77777777" w:rsidR="00EA52A1" w:rsidRPr="00FD514D" w:rsidRDefault="00EA52A1" w:rsidP="00AB7D8F">
            <w:pPr>
              <w:pStyle w:val="NoSpacing"/>
              <w:ind w:left="0" w:firstLine="0"/>
              <w:rPr>
                <w:lang w:val="es-ES"/>
              </w:rPr>
            </w:pPr>
            <w:r w:rsidRPr="00FD514D">
              <w:rPr>
                <w:lang w:val="es-ES"/>
              </w:rPr>
              <w:lastRenderedPageBreak/>
              <w:t>1</w:t>
            </w:r>
            <w:r w:rsidR="007014F2" w:rsidRPr="00FD514D">
              <w:rPr>
                <w:lang w:val="es-ES"/>
              </w:rPr>
              <w:t>9</w:t>
            </w:r>
          </w:p>
        </w:tc>
        <w:tc>
          <w:tcPr>
            <w:tcW w:w="1984" w:type="dxa"/>
          </w:tcPr>
          <w:p w14:paraId="2F299636" w14:textId="77777777" w:rsidR="00EA52A1" w:rsidRPr="00FD514D" w:rsidRDefault="00762688" w:rsidP="00AB7D8F">
            <w:pPr>
              <w:pStyle w:val="NoSpacing"/>
              <w:ind w:left="0" w:firstLine="0"/>
              <w:rPr>
                <w:lang w:val="es-ES"/>
              </w:rPr>
            </w:pPr>
            <w:r w:rsidRPr="00FD514D">
              <w:rPr>
                <w:lang w:val="es-ES"/>
              </w:rPr>
              <w:t>Artículo</w:t>
            </w:r>
            <w:r w:rsidR="00EA52A1" w:rsidRPr="00FD514D">
              <w:rPr>
                <w:lang w:val="es-ES"/>
              </w:rPr>
              <w:t>s 46 – 47</w:t>
            </w:r>
            <w:r w:rsidR="00F04981" w:rsidRPr="00FD514D">
              <w:rPr>
                <w:lang w:val="es-ES"/>
              </w:rPr>
              <w:t>:</w:t>
            </w:r>
            <w:r w:rsidR="00EA52A1" w:rsidRPr="00FD514D">
              <w:rPr>
                <w:lang w:val="es-ES"/>
              </w:rPr>
              <w:t xml:space="preserve"> Elec</w:t>
            </w:r>
            <w:r w:rsidR="00806000" w:rsidRPr="00FD514D">
              <w:rPr>
                <w:lang w:val="es-ES"/>
              </w:rPr>
              <w:t>ciones</w:t>
            </w:r>
          </w:p>
        </w:tc>
        <w:tc>
          <w:tcPr>
            <w:tcW w:w="3308" w:type="dxa"/>
          </w:tcPr>
          <w:p w14:paraId="69746291" w14:textId="77777777" w:rsidR="00EA52A1" w:rsidRPr="00FD514D" w:rsidRDefault="00A16FC0" w:rsidP="0092001A">
            <w:pPr>
              <w:pStyle w:val="NoSpacing"/>
              <w:ind w:left="0" w:firstLine="0"/>
              <w:rPr>
                <w:lang w:val="es-ES"/>
              </w:rPr>
            </w:pPr>
            <w:r w:rsidRPr="00FD514D">
              <w:rPr>
                <w:lang w:val="es-ES"/>
              </w:rPr>
              <w:t xml:space="preserve">Estos </w:t>
            </w:r>
            <w:r w:rsidR="00762688" w:rsidRPr="00FD514D">
              <w:rPr>
                <w:lang w:val="es-ES"/>
              </w:rPr>
              <w:t>artículo</w:t>
            </w:r>
            <w:r w:rsidRPr="00FD514D">
              <w:rPr>
                <w:lang w:val="es-ES"/>
              </w:rPr>
              <w:t xml:space="preserve">s serían aplicables al CP y a </w:t>
            </w:r>
            <w:r w:rsidR="003102F9" w:rsidRPr="00FD514D">
              <w:rPr>
                <w:lang w:val="es-ES"/>
              </w:rPr>
              <w:t xml:space="preserve">cualquier órgano subsidiario que tenga </w:t>
            </w:r>
            <w:r w:rsidR="00BC1FA1" w:rsidRPr="00FD514D">
              <w:rPr>
                <w:lang w:val="es-ES"/>
              </w:rPr>
              <w:t>cargos electivos.</w:t>
            </w:r>
            <w:r w:rsidR="003102F9" w:rsidRPr="00FD514D">
              <w:rPr>
                <w:lang w:val="es-ES"/>
              </w:rPr>
              <w:t xml:space="preserve"> </w:t>
            </w:r>
          </w:p>
        </w:tc>
        <w:tc>
          <w:tcPr>
            <w:tcW w:w="3308" w:type="dxa"/>
          </w:tcPr>
          <w:p w14:paraId="30F6436C" w14:textId="77777777" w:rsidR="00EA52A1" w:rsidRPr="00FD514D" w:rsidRDefault="00EA52A1" w:rsidP="00AA3AB8">
            <w:pPr>
              <w:pStyle w:val="NoSpacing"/>
              <w:ind w:left="0" w:firstLine="0"/>
              <w:rPr>
                <w:lang w:val="es-ES"/>
              </w:rPr>
            </w:pPr>
          </w:p>
        </w:tc>
      </w:tr>
      <w:tr w:rsidR="00D50999" w:rsidRPr="00070719" w14:paraId="6620A81E" w14:textId="77777777" w:rsidTr="00980900">
        <w:tc>
          <w:tcPr>
            <w:tcW w:w="580" w:type="dxa"/>
          </w:tcPr>
          <w:p w14:paraId="7EAFEE02" w14:textId="77777777" w:rsidR="00027178" w:rsidRPr="00FD514D" w:rsidRDefault="007014F2" w:rsidP="00AB7D8F">
            <w:pPr>
              <w:pStyle w:val="NoSpacing"/>
              <w:ind w:left="0" w:firstLine="0"/>
              <w:rPr>
                <w:lang w:val="es-ES"/>
              </w:rPr>
            </w:pPr>
            <w:r w:rsidRPr="00FD514D">
              <w:rPr>
                <w:lang w:val="es-ES"/>
              </w:rPr>
              <w:t>20</w:t>
            </w:r>
          </w:p>
        </w:tc>
        <w:tc>
          <w:tcPr>
            <w:tcW w:w="1984" w:type="dxa"/>
          </w:tcPr>
          <w:p w14:paraId="3E4AACC0" w14:textId="77777777" w:rsidR="00027178" w:rsidRPr="00FD514D" w:rsidRDefault="00762688" w:rsidP="00AB7D8F">
            <w:pPr>
              <w:pStyle w:val="NoSpacing"/>
              <w:ind w:left="0" w:firstLine="0"/>
              <w:rPr>
                <w:lang w:val="es-ES"/>
              </w:rPr>
            </w:pPr>
            <w:r w:rsidRPr="00FD514D">
              <w:rPr>
                <w:lang w:val="es-ES"/>
              </w:rPr>
              <w:t>Artículo</w:t>
            </w:r>
            <w:r w:rsidR="00027178" w:rsidRPr="00FD514D">
              <w:rPr>
                <w:lang w:val="es-ES"/>
              </w:rPr>
              <w:t xml:space="preserve"> 49</w:t>
            </w:r>
            <w:r w:rsidR="00F04981" w:rsidRPr="00FD514D">
              <w:rPr>
                <w:lang w:val="es-ES"/>
              </w:rPr>
              <w:t>:</w:t>
            </w:r>
            <w:r w:rsidR="00027178" w:rsidRPr="00FD514D">
              <w:rPr>
                <w:lang w:val="es-ES"/>
              </w:rPr>
              <w:t xml:space="preserve"> Interpreta</w:t>
            </w:r>
            <w:r w:rsidR="00806000" w:rsidRPr="00FD514D">
              <w:rPr>
                <w:lang w:val="es-ES"/>
              </w:rPr>
              <w:t>ción</w:t>
            </w:r>
          </w:p>
        </w:tc>
        <w:tc>
          <w:tcPr>
            <w:tcW w:w="3308" w:type="dxa"/>
          </w:tcPr>
          <w:p w14:paraId="51D21C7D" w14:textId="77777777" w:rsidR="00027178" w:rsidRPr="00FD514D" w:rsidRDefault="00BC1FA1" w:rsidP="00BC71DA">
            <w:pPr>
              <w:pStyle w:val="NoSpacing"/>
              <w:ind w:left="0" w:firstLine="0"/>
              <w:rPr>
                <w:lang w:val="es-ES"/>
              </w:rPr>
            </w:pPr>
            <w:r w:rsidRPr="00FD514D">
              <w:rPr>
                <w:lang w:val="es-ES"/>
              </w:rPr>
              <w:t xml:space="preserve">El </w:t>
            </w:r>
            <w:r w:rsidR="00762688" w:rsidRPr="00FD514D">
              <w:rPr>
                <w:lang w:val="es-ES"/>
              </w:rPr>
              <w:t>artículo</w:t>
            </w:r>
            <w:r w:rsidR="00502459" w:rsidRPr="00FD514D">
              <w:rPr>
                <w:lang w:val="es-ES"/>
              </w:rPr>
              <w:t xml:space="preserve"> </w:t>
            </w:r>
            <w:r w:rsidR="00027178" w:rsidRPr="00FD514D">
              <w:rPr>
                <w:lang w:val="es-ES"/>
              </w:rPr>
              <w:t>25.5</w:t>
            </w:r>
            <w:r w:rsidR="00BC71DA" w:rsidRPr="00FD514D">
              <w:rPr>
                <w:lang w:val="es-ES"/>
              </w:rPr>
              <w:t>.</w:t>
            </w:r>
            <w:r w:rsidR="00027178" w:rsidRPr="00FD514D">
              <w:rPr>
                <w:lang w:val="es-ES"/>
              </w:rPr>
              <w:t>d)</w:t>
            </w:r>
            <w:r w:rsidR="00146A93" w:rsidRPr="00FD514D">
              <w:rPr>
                <w:lang w:val="es-ES"/>
              </w:rPr>
              <w:t xml:space="preserve"> es específicamente aplicable</w:t>
            </w:r>
            <w:r w:rsidR="00502C10" w:rsidRPr="00FD514D">
              <w:rPr>
                <w:lang w:val="es-ES"/>
              </w:rPr>
              <w:t xml:space="preserve"> </w:t>
            </w:r>
            <w:r w:rsidR="00146A93" w:rsidRPr="00FD514D">
              <w:rPr>
                <w:lang w:val="es-ES"/>
              </w:rPr>
              <w:t>al CP y otros órganos subsidiarios en lo que se refiere a la interpretación.</w:t>
            </w:r>
          </w:p>
        </w:tc>
        <w:tc>
          <w:tcPr>
            <w:tcW w:w="3308" w:type="dxa"/>
          </w:tcPr>
          <w:p w14:paraId="049BBFFB" w14:textId="77777777" w:rsidR="00027178" w:rsidRPr="00FD514D" w:rsidRDefault="00027178" w:rsidP="00AA3AB8">
            <w:pPr>
              <w:pStyle w:val="NoSpacing"/>
              <w:ind w:left="0" w:firstLine="0"/>
              <w:rPr>
                <w:lang w:val="es-ES"/>
              </w:rPr>
            </w:pPr>
          </w:p>
        </w:tc>
      </w:tr>
    </w:tbl>
    <w:p w14:paraId="0DDE7FFC" w14:textId="77777777" w:rsidR="00D00100" w:rsidRPr="00FD514D" w:rsidRDefault="00D00100" w:rsidP="00D00100">
      <w:pPr>
        <w:pStyle w:val="NoSpacing"/>
        <w:rPr>
          <w:lang w:val="es-ES"/>
        </w:rPr>
      </w:pPr>
    </w:p>
    <w:p w14:paraId="2BE0AE68" w14:textId="77777777" w:rsidR="00F344DE" w:rsidRPr="00FD514D" w:rsidRDefault="00F344DE" w:rsidP="00B13EDF">
      <w:pPr>
        <w:pStyle w:val="NoSpacing"/>
        <w:ind w:left="0" w:firstLine="0"/>
        <w:rPr>
          <w:rFonts w:cs="Arial"/>
          <w:i/>
          <w:lang w:val="es-ES"/>
        </w:rPr>
      </w:pPr>
    </w:p>
    <w:p w14:paraId="658F86AC" w14:textId="77777777" w:rsidR="00F344DE" w:rsidRPr="00FD514D" w:rsidRDefault="00F344DE" w:rsidP="00014168">
      <w:pPr>
        <w:rPr>
          <w:rFonts w:cs="Arial"/>
          <w:lang w:val="es-ES"/>
        </w:rPr>
      </w:pPr>
    </w:p>
    <w:p w14:paraId="4E2E6BD8" w14:textId="77777777" w:rsidR="00F344DE" w:rsidRPr="00FD514D" w:rsidRDefault="00F344DE" w:rsidP="00014168">
      <w:pPr>
        <w:rPr>
          <w:rFonts w:cs="Arial"/>
          <w:i/>
          <w:lang w:val="es-ES"/>
        </w:rPr>
      </w:pPr>
    </w:p>
    <w:p w14:paraId="65EC24DE" w14:textId="77777777" w:rsidR="00D60C78" w:rsidRPr="00FD514D" w:rsidRDefault="00D60C78" w:rsidP="009A6445">
      <w:pPr>
        <w:pStyle w:val="FootnoteText"/>
        <w:rPr>
          <w:lang w:val="es-ES"/>
        </w:rPr>
      </w:pPr>
    </w:p>
    <w:sectPr w:rsidR="00D60C78" w:rsidRPr="00FD514D" w:rsidSect="0090289D">
      <w:headerReference w:type="default" r:id="rId8"/>
      <w:footerReference w:type="default" r:id="rId9"/>
      <w:pgSz w:w="11906" w:h="16838"/>
      <w:pgMar w:top="1356"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90316" w14:textId="77777777" w:rsidR="00C0067B" w:rsidRDefault="00C0067B" w:rsidP="00DF2386">
      <w:r>
        <w:separator/>
      </w:r>
    </w:p>
  </w:endnote>
  <w:endnote w:type="continuationSeparator" w:id="0">
    <w:p w14:paraId="56F865A6" w14:textId="77777777" w:rsidR="00C0067B" w:rsidRDefault="00C0067B"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1ED4E" w14:textId="56A35621" w:rsidR="00C0067B" w:rsidRDefault="00C0067B" w:rsidP="00576484">
    <w:pPr>
      <w:pStyle w:val="Header"/>
      <w:rPr>
        <w:noProof/>
      </w:rPr>
    </w:pPr>
    <w:r>
      <w:rPr>
        <w:sz w:val="20"/>
        <w:szCs w:val="20"/>
      </w:rPr>
      <w:t>SC57 Doc.13</w:t>
    </w:r>
    <w:r>
      <w:tab/>
    </w:r>
    <w:r>
      <w:tab/>
    </w:r>
    <w:sdt>
      <w:sdtPr>
        <w:id w:val="-1790969534"/>
        <w:docPartObj>
          <w:docPartGallery w:val="Page Numbers (Top of Page)"/>
          <w:docPartUnique/>
        </w:docPartObj>
      </w:sdtPr>
      <w:sdtEndPr>
        <w:rPr>
          <w:noProof/>
        </w:rPr>
      </w:sdtEndPr>
      <w:sdtContent>
        <w:r>
          <w:rPr>
            <w:noProof/>
            <w:sz w:val="20"/>
            <w:szCs w:val="20"/>
          </w:rPr>
          <w:fldChar w:fldCharType="begin"/>
        </w:r>
        <w:r>
          <w:rPr>
            <w:noProof/>
            <w:sz w:val="20"/>
            <w:szCs w:val="20"/>
          </w:rPr>
          <w:instrText xml:space="preserve"> PAGE   \* MERGEFORMAT </w:instrText>
        </w:r>
        <w:r>
          <w:rPr>
            <w:noProof/>
            <w:sz w:val="20"/>
            <w:szCs w:val="20"/>
          </w:rPr>
          <w:fldChar w:fldCharType="separate"/>
        </w:r>
        <w:r w:rsidR="00070719">
          <w:rPr>
            <w:noProof/>
            <w:sz w:val="20"/>
            <w:szCs w:val="20"/>
          </w:rPr>
          <w:t>13</w:t>
        </w:r>
        <w:r>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56797" w14:textId="77777777" w:rsidR="00C0067B" w:rsidRDefault="00C0067B" w:rsidP="00DF2386">
      <w:r>
        <w:separator/>
      </w:r>
    </w:p>
  </w:footnote>
  <w:footnote w:type="continuationSeparator" w:id="0">
    <w:p w14:paraId="37E519F5" w14:textId="77777777" w:rsidR="00C0067B" w:rsidRDefault="00C0067B" w:rsidP="00DF2386">
      <w:r>
        <w:continuationSeparator/>
      </w:r>
    </w:p>
  </w:footnote>
  <w:footnote w:id="1">
    <w:p w14:paraId="31B10222" w14:textId="77777777" w:rsidR="00C0067B" w:rsidRPr="002A5414" w:rsidRDefault="00C0067B" w:rsidP="00855E6E">
      <w:pPr>
        <w:pStyle w:val="FootnoteText"/>
        <w:ind w:left="0" w:firstLine="0"/>
        <w:rPr>
          <w:lang w:val="es-ES"/>
        </w:rPr>
      </w:pPr>
      <w:r w:rsidRPr="002A5414">
        <w:rPr>
          <w:rStyle w:val="FootnoteReference"/>
          <w:lang w:val="es-ES"/>
        </w:rPr>
        <w:footnoteRef/>
      </w:r>
      <w:r w:rsidRPr="002A5414">
        <w:rPr>
          <w:lang w:val="es-ES"/>
        </w:rPr>
        <w:t xml:space="preserve"> No válido o no aplicable actualmente; contradictorio; incompatible con las prácticas actuales de Ramsar; ambiguo o mal redactado.</w:t>
      </w:r>
    </w:p>
  </w:footnote>
  <w:footnote w:id="2">
    <w:p w14:paraId="47171238" w14:textId="2AD05FED" w:rsidR="00C0067B" w:rsidRPr="002A5414" w:rsidRDefault="00C0067B" w:rsidP="00855E6E">
      <w:pPr>
        <w:pStyle w:val="FootnoteText"/>
        <w:ind w:left="0" w:firstLine="0"/>
        <w:rPr>
          <w:lang w:val="es-ES"/>
        </w:rPr>
      </w:pPr>
      <w:r w:rsidRPr="002A5414">
        <w:rPr>
          <w:rStyle w:val="FootnoteReference"/>
          <w:lang w:val="es-ES"/>
        </w:rPr>
        <w:footnoteRef/>
      </w:r>
      <w:r w:rsidRPr="002A5414">
        <w:rPr>
          <w:rStyle w:val="FootnoteReference"/>
          <w:lang w:val="es-ES"/>
        </w:rPr>
        <w:t xml:space="preserve"> </w:t>
      </w:r>
      <w:r w:rsidRPr="002A5414">
        <w:rPr>
          <w:lang w:val="es-ES"/>
        </w:rPr>
        <w:t xml:space="preserve">Esto está en consonancia con el </w:t>
      </w:r>
      <w:r>
        <w:rPr>
          <w:lang w:val="es-ES"/>
        </w:rPr>
        <w:t>r</w:t>
      </w:r>
      <w:r w:rsidRPr="002A5414">
        <w:rPr>
          <w:lang w:val="es-ES"/>
        </w:rPr>
        <w:t xml:space="preserve">eglamento del Comité Permanente de la CITES (véase el artículo 17.4). </w:t>
      </w:r>
    </w:p>
  </w:footnote>
  <w:footnote w:id="3">
    <w:p w14:paraId="5B22CE2D" w14:textId="09E61BF2" w:rsidR="00C0067B" w:rsidRPr="00A644B4" w:rsidRDefault="00C0067B" w:rsidP="00855E6E">
      <w:pPr>
        <w:pStyle w:val="FootnoteText"/>
        <w:ind w:left="0" w:firstLine="0"/>
        <w:rPr>
          <w:rStyle w:val="FootnoteReference"/>
          <w:vertAlign w:val="baseline"/>
          <w:lang w:val="en-AU"/>
        </w:rPr>
      </w:pPr>
      <w:r w:rsidRPr="00A644B4">
        <w:rPr>
          <w:rStyle w:val="FootnoteReference"/>
          <w:lang w:val="en-AU"/>
        </w:rPr>
        <w:footnoteRef/>
      </w:r>
      <w:r w:rsidRPr="00A644B4">
        <w:rPr>
          <w:rStyle w:val="FootnoteReference"/>
          <w:vertAlign w:val="baseline"/>
          <w:lang w:val="en-AU"/>
        </w:rPr>
        <w:t xml:space="preserve"> Término definido en el artículo 21. </w:t>
      </w:r>
    </w:p>
  </w:footnote>
  <w:footnote w:id="4">
    <w:p w14:paraId="614C7A66" w14:textId="3AF842FF" w:rsidR="00C0067B" w:rsidRPr="00A644B4" w:rsidRDefault="00C0067B" w:rsidP="00855E6E">
      <w:pPr>
        <w:pStyle w:val="FootnoteText"/>
        <w:ind w:left="0" w:firstLine="0"/>
        <w:rPr>
          <w:rStyle w:val="FootnoteReference"/>
          <w:vertAlign w:val="baseline"/>
          <w:lang w:val="en-AU"/>
        </w:rPr>
      </w:pPr>
      <w:r w:rsidRPr="00A644B4">
        <w:rPr>
          <w:rStyle w:val="FootnoteReference"/>
          <w:lang w:val="en-AU"/>
        </w:rPr>
        <w:footnoteRef/>
      </w:r>
      <w:r w:rsidRPr="00A644B4">
        <w:rPr>
          <w:rStyle w:val="FootnoteReference"/>
          <w:lang w:val="en-AU"/>
        </w:rPr>
        <w:t xml:space="preserve"> </w:t>
      </w:r>
      <w:r w:rsidRPr="00A644B4">
        <w:rPr>
          <w:rStyle w:val="FootnoteReference"/>
          <w:vertAlign w:val="baseline"/>
          <w:lang w:val="en-AU"/>
        </w:rPr>
        <w:t xml:space="preserve">Los artículos 3, 4 y 5 figuran en el apartado titulado </w:t>
      </w:r>
      <w:r w:rsidR="00980900">
        <w:rPr>
          <w:rStyle w:val="FootnoteReference"/>
          <w:vertAlign w:val="baseline"/>
          <w:lang w:val="en-AU"/>
        </w:rPr>
        <w:t>“</w:t>
      </w:r>
      <w:r w:rsidRPr="00A644B4">
        <w:rPr>
          <w:rStyle w:val="FootnoteReference"/>
          <w:vertAlign w:val="baseline"/>
          <w:lang w:val="en-AU"/>
        </w:rPr>
        <w:t>Sesiones</w:t>
      </w:r>
      <w:r w:rsidR="00980900">
        <w:rPr>
          <w:rStyle w:val="FootnoteReference"/>
          <w:vertAlign w:val="baseline"/>
          <w:lang w:val="en-AU"/>
        </w:rPr>
        <w:t>”</w:t>
      </w:r>
      <w:r w:rsidRPr="00A644B4">
        <w:rPr>
          <w:rStyle w:val="FootnoteReference"/>
          <w:vertAlign w:val="baseline"/>
          <w:lang w:val="en-AU"/>
        </w:rPr>
        <w:t xml:space="preserve">, siendo este un término que, en este contexto, parece emplearse indistintamente con el término </w:t>
      </w:r>
      <w:r w:rsidR="00980900">
        <w:rPr>
          <w:rStyle w:val="FootnoteReference"/>
          <w:vertAlign w:val="baseline"/>
          <w:lang w:val="en-AU"/>
        </w:rPr>
        <w:t>“</w:t>
      </w:r>
      <w:r w:rsidRPr="00A644B4">
        <w:rPr>
          <w:rStyle w:val="FootnoteReference"/>
          <w:vertAlign w:val="baseline"/>
          <w:lang w:val="en-AU"/>
        </w:rPr>
        <w:t>reuniones</w:t>
      </w:r>
      <w:r w:rsidR="00980900">
        <w:rPr>
          <w:rStyle w:val="FootnoteReference"/>
          <w:vertAlign w:val="baseline"/>
          <w:lang w:val="en-AU"/>
        </w:rPr>
        <w:t>”</w:t>
      </w:r>
      <w:r w:rsidRPr="00A644B4">
        <w:rPr>
          <w:rStyle w:val="FootnoteReference"/>
          <w:vertAlign w:val="baseline"/>
          <w:lang w:val="en-AU"/>
        </w:rPr>
        <w:t xml:space="preserve">. Sin embargo, la manera en que se emplea en los artículos 28.1 y 29 hace suponer que se refiere a la reunión de las Partes en el marco de una reunión general. Esto posiblemente sea contradictorio y, en cualquier caso, suscita cierta ambigüedad. </w:t>
      </w:r>
    </w:p>
  </w:footnote>
  <w:footnote w:id="5">
    <w:p w14:paraId="4E008407" w14:textId="7D51AF34" w:rsidR="00C0067B" w:rsidRPr="00A644B4" w:rsidRDefault="00C0067B" w:rsidP="00855E6E">
      <w:pPr>
        <w:pStyle w:val="FootnoteText"/>
        <w:ind w:left="0" w:firstLine="0"/>
        <w:rPr>
          <w:rStyle w:val="FootnoteReference"/>
          <w:vertAlign w:val="baseline"/>
          <w:lang w:val="en-AU"/>
        </w:rPr>
      </w:pPr>
      <w:r w:rsidRPr="00A644B4">
        <w:rPr>
          <w:rStyle w:val="FootnoteReference"/>
          <w:lang w:val="en-AU"/>
        </w:rPr>
        <w:footnoteRef/>
      </w:r>
      <w:r w:rsidRPr="00A644B4">
        <w:rPr>
          <w:rStyle w:val="FootnoteReference"/>
          <w:vertAlign w:val="baseline"/>
          <w:lang w:val="en-AU"/>
        </w:rPr>
        <w:t xml:space="preserve"> En el artículo 2.g, la definición de </w:t>
      </w:r>
      <w:r>
        <w:rPr>
          <w:rStyle w:val="FootnoteReference"/>
          <w:vertAlign w:val="baseline"/>
          <w:lang w:val="en-AU"/>
        </w:rPr>
        <w:t>‘</w:t>
      </w:r>
      <w:r w:rsidRPr="00A644B4">
        <w:rPr>
          <w:rStyle w:val="FootnoteReference"/>
          <w:vertAlign w:val="baseline"/>
          <w:lang w:val="en-AU"/>
        </w:rPr>
        <w:t>propuesta</w:t>
      </w:r>
      <w:r>
        <w:rPr>
          <w:rStyle w:val="FootnoteReference"/>
          <w:vertAlign w:val="baseline"/>
          <w:lang w:val="en-AU"/>
        </w:rPr>
        <w:t>’</w:t>
      </w:r>
      <w:r w:rsidRPr="00A644B4">
        <w:rPr>
          <w:rStyle w:val="FootnoteReference"/>
          <w:vertAlign w:val="baseline"/>
          <w:lang w:val="en-AU"/>
        </w:rPr>
        <w:t xml:space="preserve"> hace referencia a una </w:t>
      </w:r>
      <w:r>
        <w:rPr>
          <w:rStyle w:val="FootnoteReference"/>
          <w:vertAlign w:val="baseline"/>
          <w:lang w:val="en-AU"/>
        </w:rPr>
        <w:t>‘</w:t>
      </w:r>
      <w:r w:rsidRPr="00A644B4">
        <w:rPr>
          <w:rStyle w:val="FootnoteReference"/>
          <w:vertAlign w:val="baseline"/>
          <w:lang w:val="en-AU"/>
        </w:rPr>
        <w:t>recomendación</w:t>
      </w:r>
      <w:r>
        <w:rPr>
          <w:rStyle w:val="FootnoteReference"/>
          <w:vertAlign w:val="baseline"/>
          <w:lang w:val="en-AU"/>
        </w:rPr>
        <w:t>’</w:t>
      </w:r>
      <w:r w:rsidRPr="00A644B4">
        <w:rPr>
          <w:rStyle w:val="FootnoteReference"/>
          <w:vertAlign w:val="baseline"/>
          <w:lang w:val="en-AU"/>
        </w:rPr>
        <w:t xml:space="preserve">. No obstante, no se define el término </w:t>
      </w:r>
      <w:r>
        <w:rPr>
          <w:rStyle w:val="FootnoteReference"/>
          <w:vertAlign w:val="baseline"/>
          <w:lang w:val="en-AU"/>
        </w:rPr>
        <w:t>‘</w:t>
      </w:r>
      <w:r w:rsidRPr="00A644B4">
        <w:rPr>
          <w:rStyle w:val="FootnoteReference"/>
          <w:vertAlign w:val="baseline"/>
          <w:lang w:val="en-AU"/>
        </w:rPr>
        <w:t>recomendación</w:t>
      </w:r>
      <w:r>
        <w:rPr>
          <w:rStyle w:val="FootnoteReference"/>
          <w:vertAlign w:val="baseline"/>
          <w:lang w:val="en-AU"/>
        </w:rPr>
        <w:t>’</w:t>
      </w:r>
      <w:r w:rsidRPr="00A644B4">
        <w:rPr>
          <w:rStyle w:val="FootnoteReference"/>
          <w:vertAlign w:val="baseline"/>
          <w:lang w:val="en-AU"/>
        </w:rPr>
        <w:t xml:space="preserve">, a pesar de que se emplea reiteradamente en todo el reglamento </w:t>
      </w:r>
      <w:r w:rsidRPr="00A644B4">
        <w:rPr>
          <w:rStyle w:val="FootnoteReference"/>
          <w:vertAlign w:val="baseline"/>
          <w:lang w:val="en-AU"/>
        </w:rPr>
        <w:sym w:font="Symbol" w:char="F05B"/>
      </w:r>
      <w:r w:rsidRPr="00A644B4">
        <w:rPr>
          <w:rStyle w:val="FootnoteReference"/>
          <w:vertAlign w:val="baseline"/>
          <w:lang w:val="en-AU"/>
        </w:rPr>
        <w:t>véanse los artículos 5.1, 10, 19.3, 25.5.e), 34.3 y 34.4</w:t>
      </w:r>
      <w:r w:rsidRPr="00A644B4">
        <w:rPr>
          <w:rStyle w:val="FootnoteReference"/>
          <w:vertAlign w:val="baseline"/>
          <w:lang w:val="en-AU"/>
        </w:rPr>
        <w:sym w:font="Symbol" w:char="F05D"/>
      </w:r>
      <w:r w:rsidRPr="00A644B4">
        <w:rPr>
          <w:rStyle w:val="FootnoteReference"/>
          <w:vertAlign w:val="baseline"/>
          <w:lang w:val="en-AU"/>
        </w:rPr>
        <w:t xml:space="preserve">. A primera vista, no queda claro en qué se diferencia una </w:t>
      </w:r>
      <w:r>
        <w:rPr>
          <w:rStyle w:val="FootnoteReference"/>
          <w:vertAlign w:val="baseline"/>
          <w:lang w:val="en-AU"/>
        </w:rPr>
        <w:t>‘</w:t>
      </w:r>
      <w:r w:rsidRPr="00A644B4">
        <w:rPr>
          <w:rStyle w:val="FootnoteReference"/>
          <w:vertAlign w:val="baseline"/>
          <w:lang w:val="en-AU"/>
        </w:rPr>
        <w:t>recomendación</w:t>
      </w:r>
      <w:r>
        <w:rPr>
          <w:rStyle w:val="FootnoteReference"/>
          <w:vertAlign w:val="baseline"/>
          <w:lang w:val="en-AU"/>
        </w:rPr>
        <w:t>’</w:t>
      </w:r>
      <w:r w:rsidRPr="00A644B4">
        <w:rPr>
          <w:rStyle w:val="FootnoteReference"/>
          <w:vertAlign w:val="baseline"/>
          <w:lang w:val="en-AU"/>
        </w:rPr>
        <w:t xml:space="preserve"> de un proyecto de resolución o de decisión. </w:t>
      </w:r>
    </w:p>
  </w:footnote>
  <w:footnote w:id="6">
    <w:p w14:paraId="04D5ECBE" w14:textId="77777777" w:rsidR="00C0067B" w:rsidRPr="00A644B4" w:rsidRDefault="00C0067B" w:rsidP="00855E6E">
      <w:pPr>
        <w:pStyle w:val="FootnoteText"/>
        <w:ind w:left="0" w:firstLine="0"/>
        <w:rPr>
          <w:rStyle w:val="FootnoteReference"/>
          <w:vertAlign w:val="baseline"/>
          <w:lang w:val="en-AU"/>
        </w:rPr>
      </w:pPr>
      <w:r w:rsidRPr="00A644B4">
        <w:rPr>
          <w:rStyle w:val="FootnoteReference"/>
          <w:lang w:val="en-AU"/>
        </w:rPr>
        <w:footnoteRef/>
      </w:r>
      <w:r w:rsidRPr="00A644B4">
        <w:rPr>
          <w:rStyle w:val="FootnoteReference"/>
          <w:vertAlign w:val="baseline"/>
          <w:lang w:val="en-AU"/>
        </w:rPr>
        <w:t xml:space="preserve"> Artículo 42. </w:t>
      </w:r>
    </w:p>
  </w:footnote>
  <w:footnote w:id="7">
    <w:p w14:paraId="0F5C9B44" w14:textId="4BEBCD34" w:rsidR="00C0067B" w:rsidRPr="002A5414" w:rsidRDefault="00C0067B" w:rsidP="00855E6E">
      <w:pPr>
        <w:pStyle w:val="FootnoteText"/>
        <w:ind w:left="0" w:firstLine="0"/>
        <w:rPr>
          <w:lang w:val="es-ES"/>
        </w:rPr>
      </w:pPr>
      <w:r w:rsidRPr="00A644B4">
        <w:rPr>
          <w:rStyle w:val="FootnoteReference"/>
          <w:lang w:val="en-AU"/>
        </w:rPr>
        <w:footnoteRef/>
      </w:r>
      <w:r w:rsidRPr="00A644B4">
        <w:rPr>
          <w:rStyle w:val="FootnoteReference"/>
          <w:lang w:val="en-AU"/>
        </w:rPr>
        <w:t xml:space="preserve"> </w:t>
      </w:r>
      <w:r w:rsidRPr="00A644B4">
        <w:rPr>
          <w:rStyle w:val="FootnoteReference"/>
          <w:vertAlign w:val="baseline"/>
          <w:lang w:val="en-AU"/>
        </w:rPr>
        <w:t>Artículo 7.5.</w:t>
      </w:r>
    </w:p>
  </w:footnote>
  <w:footnote w:id="8">
    <w:p w14:paraId="3FC5D131" w14:textId="0D68F929" w:rsidR="00C0067B" w:rsidRPr="002A5414" w:rsidRDefault="00C0067B" w:rsidP="00A644B4">
      <w:pPr>
        <w:pStyle w:val="FootnoteText"/>
        <w:ind w:left="142" w:hanging="142"/>
        <w:rPr>
          <w:lang w:val="es-ES"/>
        </w:rPr>
      </w:pPr>
      <w:r w:rsidRPr="002A5414">
        <w:rPr>
          <w:rStyle w:val="FootnoteReference"/>
          <w:lang w:val="es-ES"/>
        </w:rPr>
        <w:footnoteRef/>
      </w:r>
      <w:r>
        <w:rPr>
          <w:rStyle w:val="FootnoteReference"/>
          <w:lang w:val="es-ES"/>
        </w:rPr>
        <w:t xml:space="preserve"> </w:t>
      </w:r>
      <w:r w:rsidRPr="002A5414">
        <w:rPr>
          <w:lang w:val="es-ES"/>
        </w:rPr>
        <w:t xml:space="preserve">En el caso de la CITES, se prepara un proyecto de orden del día para que sea examinado por el Comité Permanente en su reunión previa a la reunión de la Conferencia de las Partes (es decir, un año antes de la COP). No obstante, solo se incluyen los temas permanentes y el seguimiento de las decisiones. La Secretaría entonces añade todos los temas presentados por las Partes dentro del plazo previsto de 150 días. </w:t>
      </w:r>
    </w:p>
  </w:footnote>
  <w:footnote w:id="9">
    <w:p w14:paraId="7E3121CE" w14:textId="143B32E5" w:rsidR="00C0067B" w:rsidRPr="002A5414" w:rsidRDefault="00C0067B" w:rsidP="00FD514D">
      <w:pPr>
        <w:pStyle w:val="FootnoteText"/>
        <w:ind w:left="0" w:firstLine="0"/>
        <w:rPr>
          <w:lang w:val="es-ES"/>
        </w:rPr>
      </w:pPr>
      <w:r w:rsidRPr="002A5414">
        <w:rPr>
          <w:rStyle w:val="FootnoteReference"/>
          <w:lang w:val="es-ES"/>
        </w:rPr>
        <w:footnoteRef/>
      </w:r>
      <w:r w:rsidRPr="002A5414">
        <w:rPr>
          <w:lang w:val="es-ES"/>
        </w:rPr>
        <w:t xml:space="preserve">Cabe señalar que en el cuadro 2 se incluyen prioritariamente los artículos que hubiesen suscitado alguna confusión o que pudiesen suscitar confusión en cuanto a su aplicabilidad a los órganos subsidiarios. Si las Partes Contratantes en la 57ª reunión del CP lo considerasen necesario, se podría llevar a cabo un examen complementario, que se presentaría a la </w:t>
      </w:r>
      <w:r>
        <w:rPr>
          <w:lang w:val="es-ES"/>
        </w:rPr>
        <w:t>reunión SC58</w:t>
      </w:r>
      <w:r w:rsidRPr="002A5414">
        <w:rPr>
          <w:lang w:val="es-ES"/>
        </w:rPr>
        <w:t>, junto con las recomendaciones finales sobre el reglamento.</w:t>
      </w:r>
    </w:p>
  </w:footnote>
  <w:footnote w:id="10">
    <w:p w14:paraId="76DFD3C1" w14:textId="025709CC" w:rsidR="00C0067B" w:rsidRPr="002A5414" w:rsidRDefault="00C0067B" w:rsidP="00FD514D">
      <w:pPr>
        <w:pStyle w:val="FootnoteText"/>
        <w:ind w:left="0" w:firstLine="0"/>
        <w:rPr>
          <w:lang w:val="es-ES"/>
        </w:rPr>
      </w:pPr>
      <w:r w:rsidRPr="002A5414">
        <w:rPr>
          <w:rStyle w:val="FootnoteReference"/>
          <w:lang w:val="es-ES"/>
        </w:rPr>
        <w:footnoteRef/>
      </w:r>
      <w:r w:rsidRPr="002A5414">
        <w:rPr>
          <w:rStyle w:val="FootnoteReference"/>
          <w:lang w:val="es-ES"/>
        </w:rPr>
        <w:t xml:space="preserve"> </w:t>
      </w:r>
      <w:r w:rsidRPr="002A5414">
        <w:rPr>
          <w:lang w:val="es-ES"/>
        </w:rPr>
        <w:t xml:space="preserve">Salvo las reuniones celebradas inmediatamente antes y después de cada reunión de la COP. </w:t>
      </w:r>
    </w:p>
  </w:footnote>
  <w:footnote w:id="11">
    <w:p w14:paraId="2FD1AAEF" w14:textId="46DE28AF" w:rsidR="00C0067B" w:rsidRPr="002A5414" w:rsidRDefault="00C0067B" w:rsidP="00FD514D">
      <w:pPr>
        <w:pStyle w:val="FootnoteText"/>
        <w:ind w:left="0" w:firstLine="0"/>
        <w:rPr>
          <w:lang w:val="es-ES"/>
        </w:rPr>
      </w:pPr>
      <w:r w:rsidRPr="002A5414">
        <w:rPr>
          <w:rStyle w:val="FootnoteReference"/>
          <w:lang w:val="es-ES"/>
        </w:rPr>
        <w:footnoteRef/>
      </w:r>
      <w:r w:rsidRPr="002A5414">
        <w:rPr>
          <w:rStyle w:val="FootnoteReference"/>
          <w:lang w:val="es-ES"/>
        </w:rPr>
        <w:t xml:space="preserve"> </w:t>
      </w:r>
      <w:r>
        <w:rPr>
          <w:lang w:val="es-ES"/>
        </w:rPr>
        <w:t>Esto concuerda con otras c</w:t>
      </w:r>
      <w:r w:rsidRPr="002A5414">
        <w:rPr>
          <w:lang w:val="es-ES"/>
        </w:rPr>
        <w:t xml:space="preserve">onvenciones, </w:t>
      </w:r>
      <w:r>
        <w:rPr>
          <w:lang w:val="es-ES"/>
        </w:rPr>
        <w:t>incluida</w:t>
      </w:r>
      <w:r w:rsidRPr="002A5414">
        <w:rPr>
          <w:lang w:val="es-ES"/>
        </w:rPr>
        <w:t xml:space="preserve"> la CITES. </w:t>
      </w:r>
    </w:p>
  </w:footnote>
  <w:footnote w:id="12">
    <w:p w14:paraId="61F11EC3" w14:textId="091C2005" w:rsidR="00C0067B" w:rsidRPr="002A5414" w:rsidRDefault="00C0067B" w:rsidP="00FD514D">
      <w:pPr>
        <w:pStyle w:val="FootnoteText"/>
        <w:ind w:left="0" w:firstLine="0"/>
        <w:rPr>
          <w:lang w:val="es-ES"/>
        </w:rPr>
      </w:pPr>
      <w:r w:rsidRPr="002A5414">
        <w:rPr>
          <w:rStyle w:val="FootnoteReference"/>
          <w:lang w:val="es-ES"/>
        </w:rPr>
        <w:footnoteRef/>
      </w:r>
      <w:r>
        <w:rPr>
          <w:rStyle w:val="FootnoteReference"/>
          <w:lang w:val="es-ES"/>
        </w:rPr>
        <w:t xml:space="preserve"> </w:t>
      </w:r>
      <w:r w:rsidRPr="002A5414">
        <w:rPr>
          <w:lang w:val="es-ES"/>
        </w:rPr>
        <w:t>Responsabilidades, funciones y composición del Comité Permanente y clasificación de los países por regiones en el marco de la Convención.</w:t>
      </w:r>
    </w:p>
  </w:footnote>
  <w:footnote w:id="13">
    <w:p w14:paraId="081E2882" w14:textId="3688CF86" w:rsidR="00C0067B" w:rsidRPr="002A5414" w:rsidRDefault="00C0067B" w:rsidP="00FD514D">
      <w:pPr>
        <w:pStyle w:val="FootnoteText"/>
        <w:ind w:left="0" w:firstLine="0"/>
        <w:rPr>
          <w:lang w:val="es-ES"/>
        </w:rPr>
      </w:pPr>
      <w:r w:rsidRPr="002A5414">
        <w:rPr>
          <w:rStyle w:val="FootnoteReference"/>
          <w:lang w:val="es-ES"/>
        </w:rPr>
        <w:footnoteRef/>
      </w:r>
      <w:r>
        <w:rPr>
          <w:rStyle w:val="FootnoteReference"/>
          <w:lang w:val="es-ES"/>
        </w:rPr>
        <w:t xml:space="preserve"> </w:t>
      </w:r>
      <w:r w:rsidRPr="002A5414">
        <w:rPr>
          <w:lang w:val="es-ES"/>
        </w:rPr>
        <w:t>Responsabilidades, funciones y composición del Comité Permanente y clasificación de los países por regiones en el marco de la Convención.</w:t>
      </w:r>
    </w:p>
  </w:footnote>
  <w:footnote w:id="14">
    <w:p w14:paraId="44ED7916" w14:textId="10C7BB28" w:rsidR="00C0067B" w:rsidRPr="002A5414" w:rsidRDefault="00C0067B" w:rsidP="00694D27">
      <w:pPr>
        <w:pStyle w:val="FootnoteText"/>
        <w:ind w:left="0" w:firstLine="0"/>
        <w:rPr>
          <w:lang w:val="es-ES"/>
        </w:rPr>
      </w:pPr>
      <w:r w:rsidRPr="002A5414">
        <w:rPr>
          <w:rStyle w:val="FootnoteReference"/>
          <w:lang w:val="es-ES"/>
        </w:rPr>
        <w:footnoteRef/>
      </w:r>
      <w:r>
        <w:rPr>
          <w:rStyle w:val="FootnoteReference"/>
          <w:lang w:val="es-ES"/>
        </w:rPr>
        <w:t xml:space="preserve"> </w:t>
      </w:r>
      <w:r w:rsidRPr="002A5414">
        <w:rPr>
          <w:lang w:val="es-ES"/>
        </w:rPr>
        <w:t xml:space="preserve">En la Resolución XIII.4, Anexo 1, párrafo 11, se dispone que </w:t>
      </w:r>
      <w:r w:rsidR="00980900">
        <w:rPr>
          <w:lang w:val="es-ES"/>
        </w:rPr>
        <w:t>“</w:t>
      </w:r>
      <w:r w:rsidRPr="002A5414">
        <w:rPr>
          <w:lang w:val="es-ES"/>
        </w:rPr>
        <w:t>la Secretaría seguirá comunicando a todas las Partes Contratantes las fechas y el orden del día de las reuniones del Comité Permanente por lo menos tres meses antes de cada reunión para que estas puedan, según proceda, tomar disposiciones para estar representadas en la reunión como observadores</w:t>
      </w:r>
      <w:r w:rsidR="00980900">
        <w:rPr>
          <w:lang w:val="es-ES"/>
        </w:rPr>
        <w:t>”</w:t>
      </w:r>
      <w:r w:rsidRPr="002A5414">
        <w:rPr>
          <w:lang w:val="es-ES"/>
        </w:rPr>
        <w:t xml:space="preserve">. En el Anexo 4 de esta Resolución también se incluye un calendario indicativo para las reuniones del Comité Permanente entre períodos de 2018 y la COP14. </w:t>
      </w:r>
    </w:p>
  </w:footnote>
  <w:footnote w:id="15">
    <w:p w14:paraId="0E00872A" w14:textId="683C331B" w:rsidR="00C0067B" w:rsidRPr="002A5414" w:rsidRDefault="00C0067B" w:rsidP="00694D27">
      <w:pPr>
        <w:pStyle w:val="FootnoteText"/>
        <w:ind w:left="0" w:firstLine="0"/>
        <w:rPr>
          <w:lang w:val="es-ES"/>
        </w:rPr>
      </w:pPr>
      <w:r w:rsidRPr="002A5414">
        <w:rPr>
          <w:rStyle w:val="FootnoteReference"/>
          <w:lang w:val="es-ES"/>
        </w:rPr>
        <w:footnoteRef/>
      </w:r>
      <w:r w:rsidRPr="002A5414">
        <w:rPr>
          <w:rStyle w:val="FootnoteReference"/>
          <w:lang w:val="es-ES"/>
        </w:rPr>
        <w:t xml:space="preserve"> </w:t>
      </w:r>
      <w:r w:rsidRPr="002A5414">
        <w:rPr>
          <w:lang w:val="es-ES"/>
        </w:rPr>
        <w:t xml:space="preserve">Por ejemplo, en la Resolución XIII.8, párrafo 16, se pide a la Secretaría </w:t>
      </w:r>
      <w:r w:rsidR="00980900">
        <w:rPr>
          <w:lang w:val="es-ES"/>
        </w:rPr>
        <w:t>“</w:t>
      </w:r>
      <w:r w:rsidRPr="002A5414">
        <w:rPr>
          <w:lang w:val="es-ES"/>
        </w:rPr>
        <w:t>que programe la segunda reunión del GECT en conjunción con la segunda reunión del Comité Permanente del trienio, empezando por la 58ª reunión del Comité 1 Ramsar COP13 Doc.11.1 Rev.1 Ramsar COP13 Resolución XIII.8 3 Permanente y continuando en trienios futuros…</w:t>
      </w:r>
      <w:r w:rsidR="00980900">
        <w:rPr>
          <w:lang w:val="es-ES"/>
        </w:rPr>
        <w:t>”</w:t>
      </w:r>
      <w:r w:rsidRPr="002A5414">
        <w:rPr>
          <w:lang w:val="es-ES"/>
        </w:rPr>
        <w:t xml:space="preserve">. </w:t>
      </w:r>
    </w:p>
  </w:footnote>
  <w:footnote w:id="16">
    <w:p w14:paraId="5BE43B1A" w14:textId="0C604214" w:rsidR="00C0067B" w:rsidRPr="002A5414" w:rsidRDefault="00C0067B" w:rsidP="002A5414">
      <w:pPr>
        <w:pStyle w:val="FootnoteText"/>
        <w:rPr>
          <w:lang w:val="es-ES"/>
        </w:rPr>
      </w:pPr>
      <w:r w:rsidRPr="002A5414">
        <w:rPr>
          <w:rStyle w:val="FootnoteReference"/>
          <w:lang w:val="es-ES"/>
        </w:rPr>
        <w:footnoteRef/>
      </w:r>
      <w:r w:rsidRPr="002A5414">
        <w:rPr>
          <w:rStyle w:val="FootnoteReference"/>
          <w:lang w:val="es-ES"/>
        </w:rPr>
        <w:t xml:space="preserve"> </w:t>
      </w:r>
      <w:r w:rsidRPr="00694D27">
        <w:rPr>
          <w:lang w:val="es-ES"/>
        </w:rPr>
        <w:t xml:space="preserve">Véase </w:t>
      </w:r>
      <w:r>
        <w:rPr>
          <w:lang w:val="es-ES"/>
        </w:rPr>
        <w:t xml:space="preserve">la </w:t>
      </w:r>
      <w:r w:rsidRPr="002A5414">
        <w:rPr>
          <w:lang w:val="es-ES"/>
        </w:rPr>
        <w:t xml:space="preserve">nota 12. </w:t>
      </w:r>
    </w:p>
  </w:footnote>
  <w:footnote w:id="17">
    <w:p w14:paraId="16908079" w14:textId="1669F880" w:rsidR="00C0067B" w:rsidRPr="002A5414" w:rsidRDefault="00C0067B" w:rsidP="00E906A0">
      <w:pPr>
        <w:pStyle w:val="FootnoteText"/>
        <w:ind w:left="0" w:firstLine="0"/>
        <w:rPr>
          <w:lang w:val="es-ES"/>
        </w:rPr>
      </w:pPr>
      <w:r w:rsidRPr="002A5414">
        <w:rPr>
          <w:rStyle w:val="FootnoteReference"/>
          <w:lang w:val="es-ES"/>
        </w:rPr>
        <w:footnoteRef/>
      </w:r>
      <w:r w:rsidRPr="002A5414">
        <w:rPr>
          <w:rStyle w:val="FootnoteReference"/>
          <w:lang w:val="es-ES"/>
        </w:rPr>
        <w:t xml:space="preserve"> </w:t>
      </w:r>
      <w:r w:rsidRPr="002A5414">
        <w:rPr>
          <w:lang w:val="es-ES"/>
        </w:rPr>
        <w:t xml:space="preserve">El artículo 25.5(e) dispone que </w:t>
      </w:r>
      <w:r w:rsidR="00980900">
        <w:rPr>
          <w:lang w:val="es-ES"/>
        </w:rPr>
        <w:t>“</w:t>
      </w:r>
      <w:r w:rsidRPr="002A5414">
        <w:rPr>
          <w:lang w:val="es-ES"/>
        </w:rPr>
        <w:t xml:space="preserve"> Además de establecer órganos subsidiarios, la Conferencia de las Partes podrá constituir pequeños grupos de trabajo oficiosos…</w:t>
      </w:r>
      <w:r w:rsidR="00980900">
        <w:rPr>
          <w:lang w:val="es-ES"/>
        </w:rPr>
        <w:t>”</w:t>
      </w:r>
      <w:r w:rsidRPr="002A5414">
        <w:rPr>
          <w:lang w:val="es-ES"/>
        </w:rPr>
        <w:t xml:space="preserve">. El empleo de la frase </w:t>
      </w:r>
      <w:r w:rsidR="00980900">
        <w:rPr>
          <w:lang w:val="es-ES"/>
        </w:rPr>
        <w:t>“</w:t>
      </w:r>
      <w:r w:rsidRPr="002A5414">
        <w:rPr>
          <w:lang w:val="es-ES"/>
        </w:rPr>
        <w:t>además de</w:t>
      </w:r>
      <w:r w:rsidR="00980900">
        <w:rPr>
          <w:lang w:val="es-ES"/>
        </w:rPr>
        <w:t>”</w:t>
      </w:r>
      <w:r w:rsidRPr="002A5414">
        <w:rPr>
          <w:lang w:val="es-ES"/>
        </w:rPr>
        <w:t xml:space="preserve"> indica que estos grupos oficiosos no son órganos subsidiarios. </w:t>
      </w:r>
    </w:p>
  </w:footnote>
  <w:footnote w:id="18">
    <w:p w14:paraId="6E1A1E0C" w14:textId="715585A2" w:rsidR="00C0067B" w:rsidRPr="002A5414" w:rsidRDefault="00C0067B" w:rsidP="002A5414">
      <w:pPr>
        <w:pStyle w:val="FootnoteText"/>
        <w:rPr>
          <w:lang w:val="es-ES"/>
        </w:rPr>
      </w:pPr>
      <w:r w:rsidRPr="002A5414">
        <w:rPr>
          <w:rStyle w:val="FootnoteReference"/>
          <w:lang w:val="es-ES"/>
        </w:rPr>
        <w:footnoteRef/>
      </w:r>
      <w:r>
        <w:rPr>
          <w:rStyle w:val="FootnoteReference"/>
          <w:lang w:val="es-ES"/>
        </w:rPr>
        <w:t xml:space="preserve"> </w:t>
      </w:r>
      <w:r>
        <w:rPr>
          <w:lang w:val="es-ES"/>
        </w:rPr>
        <w:t>Véase la</w:t>
      </w:r>
      <w:r w:rsidRPr="002A5414">
        <w:rPr>
          <w:lang w:val="es-ES"/>
        </w:rPr>
        <w:t xml:space="preserve"> nota 12.</w:t>
      </w:r>
    </w:p>
  </w:footnote>
  <w:footnote w:id="19">
    <w:p w14:paraId="3B9DB0A6" w14:textId="5D80E819" w:rsidR="00C0067B" w:rsidRPr="002A5414" w:rsidRDefault="00C0067B" w:rsidP="00E906A0">
      <w:pPr>
        <w:pStyle w:val="FootnoteText"/>
        <w:ind w:left="0" w:firstLine="0"/>
        <w:rPr>
          <w:lang w:val="es-ES"/>
        </w:rPr>
      </w:pPr>
      <w:r w:rsidRPr="002A5414">
        <w:rPr>
          <w:rStyle w:val="FootnoteReference"/>
          <w:lang w:val="es-ES"/>
        </w:rPr>
        <w:footnoteRef/>
      </w:r>
      <w:r>
        <w:rPr>
          <w:rStyle w:val="FootnoteReference"/>
          <w:lang w:val="es-ES"/>
        </w:rPr>
        <w:t xml:space="preserve"> </w:t>
      </w:r>
      <w:r w:rsidRPr="002A5414">
        <w:rPr>
          <w:lang w:val="es-ES"/>
        </w:rPr>
        <w:t xml:space="preserve">Cabe señalar lo previsto en la Resolución XIII.4, Anexo 1, párrafo 9: </w:t>
      </w:r>
      <w:r w:rsidR="00980900">
        <w:rPr>
          <w:lang w:val="es-ES"/>
        </w:rPr>
        <w:t>“</w:t>
      </w:r>
      <w:r w:rsidRPr="002A5414">
        <w:rPr>
          <w:lang w:val="es-ES"/>
        </w:rPr>
        <w:t>Las Partes Contratantes que sean miembros votantes del Comité Permanente comunicarán a la Secretaría, por sus conductos diplomáticos, el nombre del funcionario o de los funcionarios de la Autoridad Administrativa de Ramsar designada que vayan a desempeñarse como sus delegados en el Comité Permanente, así como los nombres de sus reemplazantes, en caso de que se les necesitara</w:t>
      </w:r>
      <w:r w:rsidR="00980900">
        <w:rPr>
          <w:lang w:val="es-ES"/>
        </w:rPr>
        <w:t>”</w:t>
      </w:r>
      <w:r w:rsidRPr="002A5414">
        <w:rPr>
          <w:lang w:val="es-ES"/>
        </w:rPr>
        <w:t xml:space="preserve">. </w:t>
      </w:r>
    </w:p>
  </w:footnote>
  <w:footnote w:id="20">
    <w:p w14:paraId="1C868F14" w14:textId="7DD3E4BE" w:rsidR="00C0067B" w:rsidRPr="002A5414" w:rsidRDefault="00C0067B" w:rsidP="002A5414">
      <w:pPr>
        <w:pStyle w:val="FootnoteText"/>
        <w:rPr>
          <w:lang w:val="es-ES"/>
        </w:rPr>
      </w:pPr>
      <w:r w:rsidRPr="002A5414">
        <w:rPr>
          <w:rStyle w:val="FootnoteReference"/>
          <w:lang w:val="es-ES"/>
        </w:rPr>
        <w:footnoteRef/>
      </w:r>
      <w:r w:rsidRPr="002A5414">
        <w:rPr>
          <w:rStyle w:val="FootnoteReference"/>
          <w:lang w:val="es-ES"/>
        </w:rPr>
        <w:t xml:space="preserve"> </w:t>
      </w:r>
      <w:r w:rsidRPr="002A5414">
        <w:rPr>
          <w:lang w:val="es-ES"/>
        </w:rPr>
        <w:t xml:space="preserve">Según este subartículo, </w:t>
      </w:r>
      <w:r w:rsidR="00980900">
        <w:rPr>
          <w:lang w:val="es-ES"/>
        </w:rPr>
        <w:t>“</w:t>
      </w:r>
      <w:r w:rsidRPr="002A5414">
        <w:rPr>
          <w:lang w:val="es-ES"/>
        </w:rPr>
        <w:t>El Presidente de un órgano subsidiario puede ejercer el derecho a votar</w:t>
      </w:r>
      <w:r w:rsidR="00980900">
        <w:rPr>
          <w:lang w:val="es-ES"/>
        </w:rPr>
        <w:t>”</w:t>
      </w:r>
      <w:r w:rsidRPr="002A5414">
        <w:rPr>
          <w:lang w:val="es-ES"/>
        </w:rPr>
        <w:t>.</w:t>
      </w:r>
    </w:p>
    <w:p w14:paraId="712BBF5D" w14:textId="77777777" w:rsidR="00C0067B" w:rsidRPr="00460CCE" w:rsidRDefault="00C0067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C5883" w14:textId="77777777" w:rsidR="00C0067B" w:rsidRDefault="00C0067B">
    <w:pPr>
      <w:pStyle w:val="Header"/>
    </w:pPr>
  </w:p>
  <w:p w14:paraId="609C89D5" w14:textId="77777777" w:rsidR="00C0067B" w:rsidRDefault="00C00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900B7E"/>
    <w:lvl w:ilvl="0">
      <w:start w:val="1"/>
      <w:numFmt w:val="decimal"/>
      <w:lvlText w:val="%1."/>
      <w:lvlJc w:val="left"/>
      <w:pPr>
        <w:tabs>
          <w:tab w:val="num" w:pos="643"/>
        </w:tabs>
        <w:ind w:left="643" w:hanging="360"/>
      </w:pPr>
    </w:lvl>
  </w:abstractNum>
  <w:abstractNum w:abstractNumId="1" w15:restartNumberingAfterBreak="0">
    <w:nsid w:val="0098050E"/>
    <w:multiLevelType w:val="hybridMultilevel"/>
    <w:tmpl w:val="01706372"/>
    <w:lvl w:ilvl="0" w:tplc="45C8A13A">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B9077E"/>
    <w:multiLevelType w:val="hybridMultilevel"/>
    <w:tmpl w:val="1AAE065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3217ADA"/>
    <w:multiLevelType w:val="hybridMultilevel"/>
    <w:tmpl w:val="83AE2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1E56002E"/>
    <w:multiLevelType w:val="multilevel"/>
    <w:tmpl w:val="3B64D67E"/>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587B73"/>
    <w:multiLevelType w:val="hybridMultilevel"/>
    <w:tmpl w:val="8F1A6470"/>
    <w:lvl w:ilvl="0" w:tplc="45C8A13A">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6B51CED"/>
    <w:multiLevelType w:val="hybridMultilevel"/>
    <w:tmpl w:val="B052D3A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Arial"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Arial"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Arial" w:hint="default"/>
      </w:rPr>
    </w:lvl>
    <w:lvl w:ilvl="8" w:tplc="08090005">
      <w:start w:val="1"/>
      <w:numFmt w:val="bullet"/>
      <w:lvlText w:val=""/>
      <w:lvlJc w:val="left"/>
      <w:pPr>
        <w:ind w:left="6525" w:hanging="360"/>
      </w:pPr>
      <w:rPr>
        <w:rFonts w:ascii="Wingdings" w:hAnsi="Wingdings" w:hint="default"/>
      </w:rPr>
    </w:lvl>
  </w:abstractNum>
  <w:abstractNum w:abstractNumId="19"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1F68E2"/>
    <w:multiLevelType w:val="multilevel"/>
    <w:tmpl w:val="1A3241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Aria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Arial"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6465A48"/>
    <w:multiLevelType w:val="hybridMultilevel"/>
    <w:tmpl w:val="957E9C5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6A017A"/>
    <w:multiLevelType w:val="hybridMultilevel"/>
    <w:tmpl w:val="ACD01716"/>
    <w:lvl w:ilvl="0" w:tplc="71CC3B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953A89"/>
    <w:multiLevelType w:val="hybridMultilevel"/>
    <w:tmpl w:val="DA464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6334368"/>
    <w:multiLevelType w:val="multilevel"/>
    <w:tmpl w:val="7BDA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49905F5E"/>
    <w:multiLevelType w:val="hybridMultilevel"/>
    <w:tmpl w:val="3B64D67E"/>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4CBA2FB0"/>
    <w:multiLevelType w:val="hybridMultilevel"/>
    <w:tmpl w:val="8F1A6470"/>
    <w:lvl w:ilvl="0" w:tplc="45C8A13A">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Arial"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Arial"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Arial" w:hint="default"/>
      </w:rPr>
    </w:lvl>
    <w:lvl w:ilvl="8" w:tplc="08090005" w:tentative="1">
      <w:start w:val="1"/>
      <w:numFmt w:val="bullet"/>
      <w:lvlText w:val=""/>
      <w:lvlJc w:val="left"/>
      <w:pPr>
        <w:ind w:left="9720" w:hanging="360"/>
      </w:pPr>
      <w:rPr>
        <w:rFonts w:ascii="Wingdings" w:hAnsi="Wingdings" w:hint="default"/>
      </w:rPr>
    </w:lvl>
  </w:abstractNum>
  <w:abstractNum w:abstractNumId="36"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Arial"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Arial"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Arial" w:hint="default"/>
      </w:rPr>
    </w:lvl>
    <w:lvl w:ilvl="8" w:tplc="08090005" w:tentative="1">
      <w:start w:val="1"/>
      <w:numFmt w:val="bullet"/>
      <w:lvlText w:val=""/>
      <w:lvlJc w:val="left"/>
      <w:pPr>
        <w:ind w:left="9720" w:hanging="360"/>
      </w:pPr>
      <w:rPr>
        <w:rFonts w:ascii="Wingdings" w:hAnsi="Wingdings" w:hint="default"/>
      </w:rPr>
    </w:lvl>
  </w:abstractNum>
  <w:abstractNum w:abstractNumId="38" w15:restartNumberingAfterBreak="0">
    <w:nsid w:val="615C4A9E"/>
    <w:multiLevelType w:val="hybridMultilevel"/>
    <w:tmpl w:val="01706372"/>
    <w:lvl w:ilvl="0" w:tplc="45C8A13A">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61FE24D5"/>
    <w:multiLevelType w:val="hybridMultilevel"/>
    <w:tmpl w:val="3B64D67E"/>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633D6CED"/>
    <w:multiLevelType w:val="hybridMultilevel"/>
    <w:tmpl w:val="43CEC38C"/>
    <w:lvl w:ilvl="0" w:tplc="A75C13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7A33457"/>
    <w:multiLevelType w:val="hybridMultilevel"/>
    <w:tmpl w:val="648A8F6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Arial"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Arial"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Arial" w:hint="default"/>
      </w:rPr>
    </w:lvl>
    <w:lvl w:ilvl="8" w:tplc="08090005">
      <w:start w:val="1"/>
      <w:numFmt w:val="bullet"/>
      <w:lvlText w:val=""/>
      <w:lvlJc w:val="left"/>
      <w:pPr>
        <w:ind w:left="6525" w:hanging="360"/>
      </w:pPr>
      <w:rPr>
        <w:rFonts w:ascii="Wingdings" w:hAnsi="Wingdings" w:hint="default"/>
      </w:rPr>
    </w:lvl>
  </w:abstractNum>
  <w:abstractNum w:abstractNumId="44"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Arial"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Arial"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Arial" w:hint="default"/>
      </w:rPr>
    </w:lvl>
    <w:lvl w:ilvl="8" w:tplc="08090005" w:tentative="1">
      <w:start w:val="1"/>
      <w:numFmt w:val="bullet"/>
      <w:lvlText w:val=""/>
      <w:lvlJc w:val="left"/>
      <w:pPr>
        <w:ind w:left="97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42"/>
  </w:num>
  <w:num w:numId="7">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9"/>
  </w:num>
  <w:num w:numId="13">
    <w:abstractNumId w:val="26"/>
  </w:num>
  <w:num w:numId="14">
    <w:abstractNumId w:val="19"/>
  </w:num>
  <w:num w:numId="15">
    <w:abstractNumId w:val="4"/>
  </w:num>
  <w:num w:numId="16">
    <w:abstractNumId w:val="22"/>
  </w:num>
  <w:num w:numId="17">
    <w:abstractNumId w:val="33"/>
  </w:num>
  <w:num w:numId="18">
    <w:abstractNumId w:val="45"/>
  </w:num>
  <w:num w:numId="19">
    <w:abstractNumId w:val="44"/>
  </w:num>
  <w:num w:numId="20">
    <w:abstractNumId w:val="35"/>
  </w:num>
  <w:num w:numId="21">
    <w:abstractNumId w:val="37"/>
  </w:num>
  <w:num w:numId="22">
    <w:abstractNumId w:val="23"/>
  </w:num>
  <w:num w:numId="23">
    <w:abstractNumId w:val="34"/>
  </w:num>
  <w:num w:numId="24">
    <w:abstractNumId w:val="30"/>
  </w:num>
  <w:num w:numId="25">
    <w:abstractNumId w:val="43"/>
  </w:num>
  <w:num w:numId="26">
    <w:abstractNumId w:val="15"/>
  </w:num>
  <w:num w:numId="27">
    <w:abstractNumId w:val="2"/>
  </w:num>
  <w:num w:numId="28">
    <w:abstractNumId w:val="18"/>
  </w:num>
  <w:num w:numId="29">
    <w:abstractNumId w:val="6"/>
  </w:num>
  <w:num w:numId="30">
    <w:abstractNumId w:val="13"/>
  </w:num>
  <w:num w:numId="31">
    <w:abstractNumId w:val="1"/>
  </w:num>
  <w:num w:numId="32">
    <w:abstractNumId w:val="7"/>
  </w:num>
  <w:num w:numId="33">
    <w:abstractNumId w:val="17"/>
  </w:num>
  <w:num w:numId="34">
    <w:abstractNumId w:val="31"/>
  </w:num>
  <w:num w:numId="35">
    <w:abstractNumId w:val="32"/>
  </w:num>
  <w:num w:numId="36">
    <w:abstractNumId w:val="38"/>
  </w:num>
  <w:num w:numId="37">
    <w:abstractNumId w:val="20"/>
  </w:num>
  <w:num w:numId="38">
    <w:abstractNumId w:val="28"/>
  </w:num>
  <w:num w:numId="39">
    <w:abstractNumId w:val="24"/>
  </w:num>
  <w:num w:numId="40">
    <w:abstractNumId w:val="41"/>
  </w:num>
  <w:num w:numId="41">
    <w:abstractNumId w:val="8"/>
  </w:num>
  <w:num w:numId="42">
    <w:abstractNumId w:val="3"/>
  </w:num>
  <w:num w:numId="43">
    <w:abstractNumId w:val="39"/>
  </w:num>
  <w:num w:numId="44">
    <w:abstractNumId w:val="11"/>
  </w:num>
  <w:num w:numId="45">
    <w:abstractNumId w:val="40"/>
  </w:num>
  <w:num w:numId="46">
    <w:abstractNumId w:val="29"/>
  </w:num>
  <w:num w:numId="47">
    <w:abstractNumId w:val="5"/>
  </w:num>
  <w:num w:numId="48">
    <w:abstractNumId w:val="2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41A"/>
    <w:rsid w:val="000010D0"/>
    <w:rsid w:val="00001E11"/>
    <w:rsid w:val="00005955"/>
    <w:rsid w:val="00007392"/>
    <w:rsid w:val="00010F57"/>
    <w:rsid w:val="0001341E"/>
    <w:rsid w:val="000135C1"/>
    <w:rsid w:val="00013E90"/>
    <w:rsid w:val="00014168"/>
    <w:rsid w:val="00015263"/>
    <w:rsid w:val="00017A16"/>
    <w:rsid w:val="000204EA"/>
    <w:rsid w:val="00020E4D"/>
    <w:rsid w:val="00023AAE"/>
    <w:rsid w:val="000243A9"/>
    <w:rsid w:val="0002469F"/>
    <w:rsid w:val="00024D76"/>
    <w:rsid w:val="000263BF"/>
    <w:rsid w:val="00026A44"/>
    <w:rsid w:val="00026E09"/>
    <w:rsid w:val="00027178"/>
    <w:rsid w:val="0002792A"/>
    <w:rsid w:val="00031580"/>
    <w:rsid w:val="00031861"/>
    <w:rsid w:val="00032720"/>
    <w:rsid w:val="00034B76"/>
    <w:rsid w:val="00035A6E"/>
    <w:rsid w:val="00035D64"/>
    <w:rsid w:val="0003663A"/>
    <w:rsid w:val="00036F15"/>
    <w:rsid w:val="00037CE0"/>
    <w:rsid w:val="00037DE3"/>
    <w:rsid w:val="00040DB6"/>
    <w:rsid w:val="00043205"/>
    <w:rsid w:val="00043308"/>
    <w:rsid w:val="00044C91"/>
    <w:rsid w:val="00044DFD"/>
    <w:rsid w:val="00050DBF"/>
    <w:rsid w:val="00052246"/>
    <w:rsid w:val="00053929"/>
    <w:rsid w:val="00053A4A"/>
    <w:rsid w:val="00053EF6"/>
    <w:rsid w:val="00054206"/>
    <w:rsid w:val="00062097"/>
    <w:rsid w:val="0006211D"/>
    <w:rsid w:val="00067BE4"/>
    <w:rsid w:val="00070719"/>
    <w:rsid w:val="00072910"/>
    <w:rsid w:val="00073558"/>
    <w:rsid w:val="000744D5"/>
    <w:rsid w:val="00074DE8"/>
    <w:rsid w:val="00075802"/>
    <w:rsid w:val="00076DEA"/>
    <w:rsid w:val="00077829"/>
    <w:rsid w:val="0008177A"/>
    <w:rsid w:val="0008321E"/>
    <w:rsid w:val="000850CD"/>
    <w:rsid w:val="00087C41"/>
    <w:rsid w:val="0009465B"/>
    <w:rsid w:val="00096A7D"/>
    <w:rsid w:val="000A04CE"/>
    <w:rsid w:val="000A3E3E"/>
    <w:rsid w:val="000A4EF9"/>
    <w:rsid w:val="000A5CE0"/>
    <w:rsid w:val="000A7C39"/>
    <w:rsid w:val="000B23B3"/>
    <w:rsid w:val="000B7AAC"/>
    <w:rsid w:val="000B7CCB"/>
    <w:rsid w:val="000C029E"/>
    <w:rsid w:val="000C061B"/>
    <w:rsid w:val="000C2489"/>
    <w:rsid w:val="000C337A"/>
    <w:rsid w:val="000C42A5"/>
    <w:rsid w:val="000C77F9"/>
    <w:rsid w:val="000D23A6"/>
    <w:rsid w:val="000D3CCB"/>
    <w:rsid w:val="000D49A3"/>
    <w:rsid w:val="000D55FC"/>
    <w:rsid w:val="000D5C76"/>
    <w:rsid w:val="000D7971"/>
    <w:rsid w:val="000E2FA0"/>
    <w:rsid w:val="000E364E"/>
    <w:rsid w:val="000E37B6"/>
    <w:rsid w:val="000E47E9"/>
    <w:rsid w:val="000E47EE"/>
    <w:rsid w:val="000E4A7E"/>
    <w:rsid w:val="000E6513"/>
    <w:rsid w:val="000E7A11"/>
    <w:rsid w:val="000F2AFC"/>
    <w:rsid w:val="000F2D57"/>
    <w:rsid w:val="000F497E"/>
    <w:rsid w:val="000F5169"/>
    <w:rsid w:val="000F76A3"/>
    <w:rsid w:val="00104ED2"/>
    <w:rsid w:val="001073D2"/>
    <w:rsid w:val="00107989"/>
    <w:rsid w:val="00111BC5"/>
    <w:rsid w:val="001126BE"/>
    <w:rsid w:val="00112AB3"/>
    <w:rsid w:val="00112ABD"/>
    <w:rsid w:val="00113B3E"/>
    <w:rsid w:val="00115408"/>
    <w:rsid w:val="0012096C"/>
    <w:rsid w:val="00123F03"/>
    <w:rsid w:val="00125571"/>
    <w:rsid w:val="0012637B"/>
    <w:rsid w:val="0012678E"/>
    <w:rsid w:val="001270D0"/>
    <w:rsid w:val="00127828"/>
    <w:rsid w:val="001310CC"/>
    <w:rsid w:val="00131DE0"/>
    <w:rsid w:val="0013281C"/>
    <w:rsid w:val="00132FC5"/>
    <w:rsid w:val="001333EB"/>
    <w:rsid w:val="00133A74"/>
    <w:rsid w:val="00135896"/>
    <w:rsid w:val="0013594B"/>
    <w:rsid w:val="00137081"/>
    <w:rsid w:val="001406FB"/>
    <w:rsid w:val="001446BC"/>
    <w:rsid w:val="00144E6C"/>
    <w:rsid w:val="00146A93"/>
    <w:rsid w:val="00150FCA"/>
    <w:rsid w:val="0015134F"/>
    <w:rsid w:val="00151628"/>
    <w:rsid w:val="00152AA2"/>
    <w:rsid w:val="00155191"/>
    <w:rsid w:val="00155693"/>
    <w:rsid w:val="00155F3C"/>
    <w:rsid w:val="00155FB1"/>
    <w:rsid w:val="0015639E"/>
    <w:rsid w:val="00156847"/>
    <w:rsid w:val="00160993"/>
    <w:rsid w:val="00161087"/>
    <w:rsid w:val="001616D4"/>
    <w:rsid w:val="00161BDA"/>
    <w:rsid w:val="001628B0"/>
    <w:rsid w:val="001634AA"/>
    <w:rsid w:val="00163BAD"/>
    <w:rsid w:val="00164D47"/>
    <w:rsid w:val="001656CE"/>
    <w:rsid w:val="001665DA"/>
    <w:rsid w:val="00171618"/>
    <w:rsid w:val="00171C06"/>
    <w:rsid w:val="00172E91"/>
    <w:rsid w:val="0017358B"/>
    <w:rsid w:val="001757F9"/>
    <w:rsid w:val="001772C8"/>
    <w:rsid w:val="0018091C"/>
    <w:rsid w:val="00180BA9"/>
    <w:rsid w:val="001814D4"/>
    <w:rsid w:val="00181737"/>
    <w:rsid w:val="001819B1"/>
    <w:rsid w:val="001823A5"/>
    <w:rsid w:val="00182A83"/>
    <w:rsid w:val="001847B8"/>
    <w:rsid w:val="001852E8"/>
    <w:rsid w:val="001857A9"/>
    <w:rsid w:val="00186614"/>
    <w:rsid w:val="001901F3"/>
    <w:rsid w:val="001907EE"/>
    <w:rsid w:val="00191368"/>
    <w:rsid w:val="0019394B"/>
    <w:rsid w:val="00193F58"/>
    <w:rsid w:val="001964CB"/>
    <w:rsid w:val="001A0474"/>
    <w:rsid w:val="001A25F2"/>
    <w:rsid w:val="001A2D10"/>
    <w:rsid w:val="001A551A"/>
    <w:rsid w:val="001A6331"/>
    <w:rsid w:val="001A6869"/>
    <w:rsid w:val="001A72B8"/>
    <w:rsid w:val="001B0850"/>
    <w:rsid w:val="001B0C4D"/>
    <w:rsid w:val="001B4F8B"/>
    <w:rsid w:val="001B5293"/>
    <w:rsid w:val="001C122F"/>
    <w:rsid w:val="001C128A"/>
    <w:rsid w:val="001C25AA"/>
    <w:rsid w:val="001C3209"/>
    <w:rsid w:val="001C3B32"/>
    <w:rsid w:val="001C40FE"/>
    <w:rsid w:val="001C5BCB"/>
    <w:rsid w:val="001C5E41"/>
    <w:rsid w:val="001C5F2F"/>
    <w:rsid w:val="001C72AA"/>
    <w:rsid w:val="001C77BC"/>
    <w:rsid w:val="001C7AC9"/>
    <w:rsid w:val="001D2B6B"/>
    <w:rsid w:val="001D3551"/>
    <w:rsid w:val="001D36D7"/>
    <w:rsid w:val="001D48BB"/>
    <w:rsid w:val="001D5477"/>
    <w:rsid w:val="001D6B27"/>
    <w:rsid w:val="001D75FA"/>
    <w:rsid w:val="001D7DDE"/>
    <w:rsid w:val="001E00E3"/>
    <w:rsid w:val="001E011D"/>
    <w:rsid w:val="001E0CDE"/>
    <w:rsid w:val="001E0DB7"/>
    <w:rsid w:val="001E0FD6"/>
    <w:rsid w:val="001E25F2"/>
    <w:rsid w:val="001E2D88"/>
    <w:rsid w:val="001E38DA"/>
    <w:rsid w:val="001E6A93"/>
    <w:rsid w:val="001E6F1D"/>
    <w:rsid w:val="001E7FCF"/>
    <w:rsid w:val="001F2349"/>
    <w:rsid w:val="001F2863"/>
    <w:rsid w:val="001F73D0"/>
    <w:rsid w:val="0020035D"/>
    <w:rsid w:val="002005D2"/>
    <w:rsid w:val="00201871"/>
    <w:rsid w:val="0020298B"/>
    <w:rsid w:val="00203478"/>
    <w:rsid w:val="00203954"/>
    <w:rsid w:val="00203EE2"/>
    <w:rsid w:val="00204E70"/>
    <w:rsid w:val="002056D5"/>
    <w:rsid w:val="00206111"/>
    <w:rsid w:val="00207E62"/>
    <w:rsid w:val="00211242"/>
    <w:rsid w:val="002118BC"/>
    <w:rsid w:val="0021235C"/>
    <w:rsid w:val="00213523"/>
    <w:rsid w:val="00213613"/>
    <w:rsid w:val="002137E0"/>
    <w:rsid w:val="00213C5C"/>
    <w:rsid w:val="00215FC8"/>
    <w:rsid w:val="00217A3D"/>
    <w:rsid w:val="002210DF"/>
    <w:rsid w:val="00221AD5"/>
    <w:rsid w:val="00224410"/>
    <w:rsid w:val="00224981"/>
    <w:rsid w:val="00225EF2"/>
    <w:rsid w:val="0022670B"/>
    <w:rsid w:val="00226F12"/>
    <w:rsid w:val="00231312"/>
    <w:rsid w:val="00231A45"/>
    <w:rsid w:val="002336A2"/>
    <w:rsid w:val="00233FB5"/>
    <w:rsid w:val="00235B0F"/>
    <w:rsid w:val="002361F3"/>
    <w:rsid w:val="002363D0"/>
    <w:rsid w:val="002376B7"/>
    <w:rsid w:val="00237EF2"/>
    <w:rsid w:val="00242448"/>
    <w:rsid w:val="00242B0A"/>
    <w:rsid w:val="00242C00"/>
    <w:rsid w:val="00243223"/>
    <w:rsid w:val="002434A0"/>
    <w:rsid w:val="002450DB"/>
    <w:rsid w:val="00245219"/>
    <w:rsid w:val="002509CE"/>
    <w:rsid w:val="002519D9"/>
    <w:rsid w:val="002523C1"/>
    <w:rsid w:val="00252475"/>
    <w:rsid w:val="00252F91"/>
    <w:rsid w:val="00257B3E"/>
    <w:rsid w:val="00257CE5"/>
    <w:rsid w:val="002613F1"/>
    <w:rsid w:val="002618FD"/>
    <w:rsid w:val="002619C1"/>
    <w:rsid w:val="00262770"/>
    <w:rsid w:val="00262B37"/>
    <w:rsid w:val="002632D2"/>
    <w:rsid w:val="0026374C"/>
    <w:rsid w:val="00265669"/>
    <w:rsid w:val="002673DA"/>
    <w:rsid w:val="00270056"/>
    <w:rsid w:val="00272DA5"/>
    <w:rsid w:val="0027418A"/>
    <w:rsid w:val="002741AC"/>
    <w:rsid w:val="0027528E"/>
    <w:rsid w:val="00275585"/>
    <w:rsid w:val="00275F13"/>
    <w:rsid w:val="002763A2"/>
    <w:rsid w:val="00276837"/>
    <w:rsid w:val="00277CEA"/>
    <w:rsid w:val="00280146"/>
    <w:rsid w:val="0028145F"/>
    <w:rsid w:val="002818AE"/>
    <w:rsid w:val="002819C0"/>
    <w:rsid w:val="00282320"/>
    <w:rsid w:val="00282342"/>
    <w:rsid w:val="0028357E"/>
    <w:rsid w:val="0028396F"/>
    <w:rsid w:val="00284AFD"/>
    <w:rsid w:val="00286F1E"/>
    <w:rsid w:val="002877EA"/>
    <w:rsid w:val="00287F31"/>
    <w:rsid w:val="00295556"/>
    <w:rsid w:val="00295BB5"/>
    <w:rsid w:val="0029625E"/>
    <w:rsid w:val="002A0756"/>
    <w:rsid w:val="002A0C40"/>
    <w:rsid w:val="002A187D"/>
    <w:rsid w:val="002A2C08"/>
    <w:rsid w:val="002A2DAC"/>
    <w:rsid w:val="002A305C"/>
    <w:rsid w:val="002A3125"/>
    <w:rsid w:val="002A3170"/>
    <w:rsid w:val="002A339C"/>
    <w:rsid w:val="002A4DC1"/>
    <w:rsid w:val="002A534B"/>
    <w:rsid w:val="002A5414"/>
    <w:rsid w:val="002A5A4D"/>
    <w:rsid w:val="002A6FAA"/>
    <w:rsid w:val="002B2586"/>
    <w:rsid w:val="002B2B3C"/>
    <w:rsid w:val="002B37FB"/>
    <w:rsid w:val="002B4262"/>
    <w:rsid w:val="002B644A"/>
    <w:rsid w:val="002B7F58"/>
    <w:rsid w:val="002C0097"/>
    <w:rsid w:val="002C0B66"/>
    <w:rsid w:val="002C1920"/>
    <w:rsid w:val="002C2D4C"/>
    <w:rsid w:val="002C39E3"/>
    <w:rsid w:val="002C59AF"/>
    <w:rsid w:val="002C7AB0"/>
    <w:rsid w:val="002C7AFC"/>
    <w:rsid w:val="002D11F2"/>
    <w:rsid w:val="002D4635"/>
    <w:rsid w:val="002D5A4D"/>
    <w:rsid w:val="002D668B"/>
    <w:rsid w:val="002D6E05"/>
    <w:rsid w:val="002D77C9"/>
    <w:rsid w:val="002E0101"/>
    <w:rsid w:val="002E0307"/>
    <w:rsid w:val="002E0F15"/>
    <w:rsid w:val="002E22AF"/>
    <w:rsid w:val="002E2CFF"/>
    <w:rsid w:val="002F14F2"/>
    <w:rsid w:val="002F19E6"/>
    <w:rsid w:val="002F1F8C"/>
    <w:rsid w:val="002F20F5"/>
    <w:rsid w:val="002F4924"/>
    <w:rsid w:val="002F4995"/>
    <w:rsid w:val="002F5CD9"/>
    <w:rsid w:val="002F6155"/>
    <w:rsid w:val="00300698"/>
    <w:rsid w:val="00302969"/>
    <w:rsid w:val="00303EBC"/>
    <w:rsid w:val="00305358"/>
    <w:rsid w:val="0030701A"/>
    <w:rsid w:val="00307316"/>
    <w:rsid w:val="003102F9"/>
    <w:rsid w:val="00310A0B"/>
    <w:rsid w:val="00310E2B"/>
    <w:rsid w:val="003131FF"/>
    <w:rsid w:val="00313DE3"/>
    <w:rsid w:val="003142C3"/>
    <w:rsid w:val="00316215"/>
    <w:rsid w:val="003176B4"/>
    <w:rsid w:val="003177A6"/>
    <w:rsid w:val="00324398"/>
    <w:rsid w:val="00326123"/>
    <w:rsid w:val="00331AA3"/>
    <w:rsid w:val="00332D72"/>
    <w:rsid w:val="00333C0E"/>
    <w:rsid w:val="003341E2"/>
    <w:rsid w:val="0033575D"/>
    <w:rsid w:val="003363D1"/>
    <w:rsid w:val="0033715B"/>
    <w:rsid w:val="00341D1A"/>
    <w:rsid w:val="00342D4E"/>
    <w:rsid w:val="0034394F"/>
    <w:rsid w:val="003443CF"/>
    <w:rsid w:val="00347755"/>
    <w:rsid w:val="00354A53"/>
    <w:rsid w:val="00354CAE"/>
    <w:rsid w:val="003552C7"/>
    <w:rsid w:val="00355B82"/>
    <w:rsid w:val="0035673D"/>
    <w:rsid w:val="00357349"/>
    <w:rsid w:val="00361F65"/>
    <w:rsid w:val="00366450"/>
    <w:rsid w:val="00366E6E"/>
    <w:rsid w:val="0036734D"/>
    <w:rsid w:val="00374880"/>
    <w:rsid w:val="00374DF6"/>
    <w:rsid w:val="00377145"/>
    <w:rsid w:val="00377512"/>
    <w:rsid w:val="0038230F"/>
    <w:rsid w:val="003834AD"/>
    <w:rsid w:val="00384A5F"/>
    <w:rsid w:val="00384FC3"/>
    <w:rsid w:val="0038649A"/>
    <w:rsid w:val="00386FEA"/>
    <w:rsid w:val="003905CB"/>
    <w:rsid w:val="003906DE"/>
    <w:rsid w:val="00390A8A"/>
    <w:rsid w:val="00392316"/>
    <w:rsid w:val="00392F85"/>
    <w:rsid w:val="00393BF1"/>
    <w:rsid w:val="003964B5"/>
    <w:rsid w:val="00397E65"/>
    <w:rsid w:val="003A0975"/>
    <w:rsid w:val="003A1CD0"/>
    <w:rsid w:val="003A3804"/>
    <w:rsid w:val="003A3AFD"/>
    <w:rsid w:val="003A441D"/>
    <w:rsid w:val="003A52BE"/>
    <w:rsid w:val="003A5866"/>
    <w:rsid w:val="003A6437"/>
    <w:rsid w:val="003A6E9F"/>
    <w:rsid w:val="003A7C85"/>
    <w:rsid w:val="003B01C9"/>
    <w:rsid w:val="003B0A7C"/>
    <w:rsid w:val="003B1F54"/>
    <w:rsid w:val="003B2329"/>
    <w:rsid w:val="003B4972"/>
    <w:rsid w:val="003B5731"/>
    <w:rsid w:val="003B588B"/>
    <w:rsid w:val="003C0ACD"/>
    <w:rsid w:val="003C4F2F"/>
    <w:rsid w:val="003C683E"/>
    <w:rsid w:val="003C6948"/>
    <w:rsid w:val="003C6A59"/>
    <w:rsid w:val="003D00A1"/>
    <w:rsid w:val="003D07AF"/>
    <w:rsid w:val="003D11DA"/>
    <w:rsid w:val="003D15C2"/>
    <w:rsid w:val="003D1F16"/>
    <w:rsid w:val="003D3092"/>
    <w:rsid w:val="003D4CD6"/>
    <w:rsid w:val="003D735D"/>
    <w:rsid w:val="003E0814"/>
    <w:rsid w:val="003E0861"/>
    <w:rsid w:val="003E1B50"/>
    <w:rsid w:val="003E32E9"/>
    <w:rsid w:val="003E337B"/>
    <w:rsid w:val="003E3B57"/>
    <w:rsid w:val="003E3D1D"/>
    <w:rsid w:val="003E3DA6"/>
    <w:rsid w:val="003E475C"/>
    <w:rsid w:val="003E47DF"/>
    <w:rsid w:val="003E4829"/>
    <w:rsid w:val="003E7B99"/>
    <w:rsid w:val="003F0583"/>
    <w:rsid w:val="003F1C11"/>
    <w:rsid w:val="003F2E20"/>
    <w:rsid w:val="003F3036"/>
    <w:rsid w:val="003F4562"/>
    <w:rsid w:val="003F6564"/>
    <w:rsid w:val="003F67D7"/>
    <w:rsid w:val="003F799C"/>
    <w:rsid w:val="00402D75"/>
    <w:rsid w:val="00405935"/>
    <w:rsid w:val="00411114"/>
    <w:rsid w:val="00411EDC"/>
    <w:rsid w:val="0041280E"/>
    <w:rsid w:val="00413C83"/>
    <w:rsid w:val="00414FD4"/>
    <w:rsid w:val="00415EF0"/>
    <w:rsid w:val="0041603F"/>
    <w:rsid w:val="0041667B"/>
    <w:rsid w:val="00417545"/>
    <w:rsid w:val="0042047A"/>
    <w:rsid w:val="00422501"/>
    <w:rsid w:val="004228C7"/>
    <w:rsid w:val="0042798B"/>
    <w:rsid w:val="00432244"/>
    <w:rsid w:val="00433103"/>
    <w:rsid w:val="004334FD"/>
    <w:rsid w:val="00433684"/>
    <w:rsid w:val="004344C6"/>
    <w:rsid w:val="00434913"/>
    <w:rsid w:val="00436711"/>
    <w:rsid w:val="00437F0F"/>
    <w:rsid w:val="00440972"/>
    <w:rsid w:val="00440C32"/>
    <w:rsid w:val="0044255C"/>
    <w:rsid w:val="004443BB"/>
    <w:rsid w:val="00446575"/>
    <w:rsid w:val="004474F8"/>
    <w:rsid w:val="00447DCC"/>
    <w:rsid w:val="004509C3"/>
    <w:rsid w:val="0045131C"/>
    <w:rsid w:val="00451812"/>
    <w:rsid w:val="00451E86"/>
    <w:rsid w:val="004521F3"/>
    <w:rsid w:val="00452273"/>
    <w:rsid w:val="00454D3D"/>
    <w:rsid w:val="00456CA2"/>
    <w:rsid w:val="00460CCE"/>
    <w:rsid w:val="00461991"/>
    <w:rsid w:val="0046474D"/>
    <w:rsid w:val="00465267"/>
    <w:rsid w:val="004658B9"/>
    <w:rsid w:val="00466B46"/>
    <w:rsid w:val="004674A9"/>
    <w:rsid w:val="00467C2D"/>
    <w:rsid w:val="00467CE0"/>
    <w:rsid w:val="00470074"/>
    <w:rsid w:val="00471681"/>
    <w:rsid w:val="004717AC"/>
    <w:rsid w:val="00471F48"/>
    <w:rsid w:val="00476893"/>
    <w:rsid w:val="00477321"/>
    <w:rsid w:val="00477550"/>
    <w:rsid w:val="00477E67"/>
    <w:rsid w:val="00480A55"/>
    <w:rsid w:val="00482552"/>
    <w:rsid w:val="00482758"/>
    <w:rsid w:val="004844A8"/>
    <w:rsid w:val="00485415"/>
    <w:rsid w:val="00490B0D"/>
    <w:rsid w:val="00496803"/>
    <w:rsid w:val="00497FF0"/>
    <w:rsid w:val="004A1F93"/>
    <w:rsid w:val="004A2893"/>
    <w:rsid w:val="004A3DC3"/>
    <w:rsid w:val="004A42AD"/>
    <w:rsid w:val="004A4757"/>
    <w:rsid w:val="004A5B96"/>
    <w:rsid w:val="004A6A0B"/>
    <w:rsid w:val="004A787A"/>
    <w:rsid w:val="004B34E6"/>
    <w:rsid w:val="004B417C"/>
    <w:rsid w:val="004B4383"/>
    <w:rsid w:val="004B465A"/>
    <w:rsid w:val="004B552A"/>
    <w:rsid w:val="004B6688"/>
    <w:rsid w:val="004B683C"/>
    <w:rsid w:val="004B686D"/>
    <w:rsid w:val="004C10AA"/>
    <w:rsid w:val="004C11EE"/>
    <w:rsid w:val="004C2493"/>
    <w:rsid w:val="004C4168"/>
    <w:rsid w:val="004C508F"/>
    <w:rsid w:val="004C725B"/>
    <w:rsid w:val="004D12AE"/>
    <w:rsid w:val="004D1D37"/>
    <w:rsid w:val="004D264D"/>
    <w:rsid w:val="004D3024"/>
    <w:rsid w:val="004D35AE"/>
    <w:rsid w:val="004D4BBB"/>
    <w:rsid w:val="004D572F"/>
    <w:rsid w:val="004D61D9"/>
    <w:rsid w:val="004D6DD6"/>
    <w:rsid w:val="004D6FCC"/>
    <w:rsid w:val="004E18EF"/>
    <w:rsid w:val="004E4AA2"/>
    <w:rsid w:val="004E4E27"/>
    <w:rsid w:val="004E63BF"/>
    <w:rsid w:val="004F063A"/>
    <w:rsid w:val="004F11EB"/>
    <w:rsid w:val="004F1AF1"/>
    <w:rsid w:val="004F3634"/>
    <w:rsid w:val="004F508D"/>
    <w:rsid w:val="004F531C"/>
    <w:rsid w:val="00502459"/>
    <w:rsid w:val="00502C10"/>
    <w:rsid w:val="00502CE6"/>
    <w:rsid w:val="00503B37"/>
    <w:rsid w:val="005053BE"/>
    <w:rsid w:val="00505E08"/>
    <w:rsid w:val="00512036"/>
    <w:rsid w:val="00512741"/>
    <w:rsid w:val="00516503"/>
    <w:rsid w:val="00516584"/>
    <w:rsid w:val="00516948"/>
    <w:rsid w:val="00516A1B"/>
    <w:rsid w:val="00517DE2"/>
    <w:rsid w:val="00520074"/>
    <w:rsid w:val="005207BE"/>
    <w:rsid w:val="00521B11"/>
    <w:rsid w:val="00521F9B"/>
    <w:rsid w:val="005234D8"/>
    <w:rsid w:val="005236A5"/>
    <w:rsid w:val="00523BE3"/>
    <w:rsid w:val="00523DF8"/>
    <w:rsid w:val="005244A4"/>
    <w:rsid w:val="00527783"/>
    <w:rsid w:val="005316BF"/>
    <w:rsid w:val="005318EA"/>
    <w:rsid w:val="00531CE1"/>
    <w:rsid w:val="00533B9A"/>
    <w:rsid w:val="00535AA6"/>
    <w:rsid w:val="00536ACD"/>
    <w:rsid w:val="00537612"/>
    <w:rsid w:val="00541CB6"/>
    <w:rsid w:val="00542067"/>
    <w:rsid w:val="00543027"/>
    <w:rsid w:val="005442F9"/>
    <w:rsid w:val="00547657"/>
    <w:rsid w:val="005501A0"/>
    <w:rsid w:val="005518EF"/>
    <w:rsid w:val="00552799"/>
    <w:rsid w:val="0055491D"/>
    <w:rsid w:val="00554F81"/>
    <w:rsid w:val="005553F4"/>
    <w:rsid w:val="00560273"/>
    <w:rsid w:val="00561E56"/>
    <w:rsid w:val="0056219E"/>
    <w:rsid w:val="00562844"/>
    <w:rsid w:val="0056321A"/>
    <w:rsid w:val="00563FA6"/>
    <w:rsid w:val="00564EDC"/>
    <w:rsid w:val="00566C4A"/>
    <w:rsid w:val="00567A5B"/>
    <w:rsid w:val="00570141"/>
    <w:rsid w:val="005715F9"/>
    <w:rsid w:val="00571875"/>
    <w:rsid w:val="00571B46"/>
    <w:rsid w:val="00572128"/>
    <w:rsid w:val="005728F3"/>
    <w:rsid w:val="00572C88"/>
    <w:rsid w:val="005730AC"/>
    <w:rsid w:val="00576484"/>
    <w:rsid w:val="005814B5"/>
    <w:rsid w:val="00582D4B"/>
    <w:rsid w:val="00583DB0"/>
    <w:rsid w:val="00583F6A"/>
    <w:rsid w:val="00584154"/>
    <w:rsid w:val="00584F90"/>
    <w:rsid w:val="00584FED"/>
    <w:rsid w:val="0058523C"/>
    <w:rsid w:val="00587E66"/>
    <w:rsid w:val="005908AA"/>
    <w:rsid w:val="005937EF"/>
    <w:rsid w:val="00593F65"/>
    <w:rsid w:val="005940BF"/>
    <w:rsid w:val="005943A7"/>
    <w:rsid w:val="00594BB7"/>
    <w:rsid w:val="00595E5D"/>
    <w:rsid w:val="00597CEF"/>
    <w:rsid w:val="005A0F9B"/>
    <w:rsid w:val="005A285A"/>
    <w:rsid w:val="005A4BBC"/>
    <w:rsid w:val="005B1CDA"/>
    <w:rsid w:val="005B28A2"/>
    <w:rsid w:val="005B44F7"/>
    <w:rsid w:val="005B4F41"/>
    <w:rsid w:val="005B62EB"/>
    <w:rsid w:val="005B63F5"/>
    <w:rsid w:val="005B713B"/>
    <w:rsid w:val="005B7B61"/>
    <w:rsid w:val="005C2C19"/>
    <w:rsid w:val="005C33C9"/>
    <w:rsid w:val="005C50A1"/>
    <w:rsid w:val="005D0388"/>
    <w:rsid w:val="005D31EA"/>
    <w:rsid w:val="005D3354"/>
    <w:rsid w:val="005D3E9D"/>
    <w:rsid w:val="005D4788"/>
    <w:rsid w:val="005D64E0"/>
    <w:rsid w:val="005E274E"/>
    <w:rsid w:val="005E298D"/>
    <w:rsid w:val="005E4C83"/>
    <w:rsid w:val="005E51E5"/>
    <w:rsid w:val="005E6022"/>
    <w:rsid w:val="005F0328"/>
    <w:rsid w:val="005F134D"/>
    <w:rsid w:val="005F434A"/>
    <w:rsid w:val="005F52D7"/>
    <w:rsid w:val="005F60BE"/>
    <w:rsid w:val="00600921"/>
    <w:rsid w:val="00602AF0"/>
    <w:rsid w:val="00603953"/>
    <w:rsid w:val="00603AC2"/>
    <w:rsid w:val="006040F7"/>
    <w:rsid w:val="006072A6"/>
    <w:rsid w:val="0060761A"/>
    <w:rsid w:val="00611ADA"/>
    <w:rsid w:val="00614DB0"/>
    <w:rsid w:val="00615201"/>
    <w:rsid w:val="00615553"/>
    <w:rsid w:val="00617AB4"/>
    <w:rsid w:val="00621E52"/>
    <w:rsid w:val="00623598"/>
    <w:rsid w:val="00623DA6"/>
    <w:rsid w:val="00624A3C"/>
    <w:rsid w:val="006256D3"/>
    <w:rsid w:val="0062785B"/>
    <w:rsid w:val="00627BB7"/>
    <w:rsid w:val="00630212"/>
    <w:rsid w:val="00631D3E"/>
    <w:rsid w:val="0063402D"/>
    <w:rsid w:val="006343BF"/>
    <w:rsid w:val="006371E3"/>
    <w:rsid w:val="006400BB"/>
    <w:rsid w:val="00642166"/>
    <w:rsid w:val="00644175"/>
    <w:rsid w:val="00644259"/>
    <w:rsid w:val="00644A13"/>
    <w:rsid w:val="0064703E"/>
    <w:rsid w:val="006470AB"/>
    <w:rsid w:val="0065134E"/>
    <w:rsid w:val="0065136E"/>
    <w:rsid w:val="00651EB6"/>
    <w:rsid w:val="006525C9"/>
    <w:rsid w:val="00652896"/>
    <w:rsid w:val="00652D83"/>
    <w:rsid w:val="006535FF"/>
    <w:rsid w:val="00654285"/>
    <w:rsid w:val="00655097"/>
    <w:rsid w:val="0066064C"/>
    <w:rsid w:val="00660EE9"/>
    <w:rsid w:val="00660FB9"/>
    <w:rsid w:val="0066305A"/>
    <w:rsid w:val="00663659"/>
    <w:rsid w:val="00667012"/>
    <w:rsid w:val="00667101"/>
    <w:rsid w:val="00670B26"/>
    <w:rsid w:val="00670D71"/>
    <w:rsid w:val="00672CA2"/>
    <w:rsid w:val="00675100"/>
    <w:rsid w:val="0067582F"/>
    <w:rsid w:val="00675869"/>
    <w:rsid w:val="006760FB"/>
    <w:rsid w:val="00676C61"/>
    <w:rsid w:val="00690BA8"/>
    <w:rsid w:val="006916A1"/>
    <w:rsid w:val="006918A4"/>
    <w:rsid w:val="00691C85"/>
    <w:rsid w:val="00694D27"/>
    <w:rsid w:val="00695590"/>
    <w:rsid w:val="006966BB"/>
    <w:rsid w:val="00696FCC"/>
    <w:rsid w:val="006A1EB8"/>
    <w:rsid w:val="006A2828"/>
    <w:rsid w:val="006A44F7"/>
    <w:rsid w:val="006A6862"/>
    <w:rsid w:val="006A690C"/>
    <w:rsid w:val="006A7B46"/>
    <w:rsid w:val="006B0CAF"/>
    <w:rsid w:val="006B384F"/>
    <w:rsid w:val="006B764F"/>
    <w:rsid w:val="006C1306"/>
    <w:rsid w:val="006C14EC"/>
    <w:rsid w:val="006C18CD"/>
    <w:rsid w:val="006C24BB"/>
    <w:rsid w:val="006C2C0F"/>
    <w:rsid w:val="006C3BB2"/>
    <w:rsid w:val="006C5965"/>
    <w:rsid w:val="006D09BD"/>
    <w:rsid w:val="006D0FEE"/>
    <w:rsid w:val="006D1B3C"/>
    <w:rsid w:val="006D24D5"/>
    <w:rsid w:val="006D387C"/>
    <w:rsid w:val="006D7068"/>
    <w:rsid w:val="006D7E04"/>
    <w:rsid w:val="006E2906"/>
    <w:rsid w:val="006E40C1"/>
    <w:rsid w:val="006E5A2E"/>
    <w:rsid w:val="006E5C5B"/>
    <w:rsid w:val="006E6B75"/>
    <w:rsid w:val="006E7DCE"/>
    <w:rsid w:val="006E7F7E"/>
    <w:rsid w:val="006F014F"/>
    <w:rsid w:val="006F2EA8"/>
    <w:rsid w:val="006F41CB"/>
    <w:rsid w:val="006F761D"/>
    <w:rsid w:val="0070088C"/>
    <w:rsid w:val="00700F21"/>
    <w:rsid w:val="00701024"/>
    <w:rsid w:val="00701483"/>
    <w:rsid w:val="007014F2"/>
    <w:rsid w:val="007019AF"/>
    <w:rsid w:val="007023EB"/>
    <w:rsid w:val="007032D9"/>
    <w:rsid w:val="00704169"/>
    <w:rsid w:val="007050FF"/>
    <w:rsid w:val="00705ED1"/>
    <w:rsid w:val="00707A81"/>
    <w:rsid w:val="00707EC2"/>
    <w:rsid w:val="00710AE3"/>
    <w:rsid w:val="00710D84"/>
    <w:rsid w:val="007124D1"/>
    <w:rsid w:val="0071286C"/>
    <w:rsid w:val="00717453"/>
    <w:rsid w:val="0072012D"/>
    <w:rsid w:val="0072162C"/>
    <w:rsid w:val="00723DBD"/>
    <w:rsid w:val="0072408F"/>
    <w:rsid w:val="00724AA9"/>
    <w:rsid w:val="007276BF"/>
    <w:rsid w:val="00727937"/>
    <w:rsid w:val="007303A4"/>
    <w:rsid w:val="00730E71"/>
    <w:rsid w:val="0073218C"/>
    <w:rsid w:val="00733B6D"/>
    <w:rsid w:val="00735B35"/>
    <w:rsid w:val="00736C22"/>
    <w:rsid w:val="0073734E"/>
    <w:rsid w:val="007379F7"/>
    <w:rsid w:val="00741487"/>
    <w:rsid w:val="00741FE4"/>
    <w:rsid w:val="00747463"/>
    <w:rsid w:val="007515C1"/>
    <w:rsid w:val="007525E3"/>
    <w:rsid w:val="00752764"/>
    <w:rsid w:val="0075352B"/>
    <w:rsid w:val="00753D28"/>
    <w:rsid w:val="0075417B"/>
    <w:rsid w:val="00754D7D"/>
    <w:rsid w:val="00755CF3"/>
    <w:rsid w:val="0075616D"/>
    <w:rsid w:val="007607CE"/>
    <w:rsid w:val="00762688"/>
    <w:rsid w:val="007651C8"/>
    <w:rsid w:val="00765280"/>
    <w:rsid w:val="00766962"/>
    <w:rsid w:val="00767A6B"/>
    <w:rsid w:val="00767B22"/>
    <w:rsid w:val="00771CC8"/>
    <w:rsid w:val="007726E4"/>
    <w:rsid w:val="007729C9"/>
    <w:rsid w:val="00774345"/>
    <w:rsid w:val="00775287"/>
    <w:rsid w:val="0078020B"/>
    <w:rsid w:val="007812E4"/>
    <w:rsid w:val="0078372A"/>
    <w:rsid w:val="0078688F"/>
    <w:rsid w:val="0078717A"/>
    <w:rsid w:val="0078793A"/>
    <w:rsid w:val="00790F52"/>
    <w:rsid w:val="00791E79"/>
    <w:rsid w:val="00793583"/>
    <w:rsid w:val="00793A21"/>
    <w:rsid w:val="00794877"/>
    <w:rsid w:val="007957C3"/>
    <w:rsid w:val="00795DEF"/>
    <w:rsid w:val="00797E3D"/>
    <w:rsid w:val="007A18F7"/>
    <w:rsid w:val="007A4815"/>
    <w:rsid w:val="007A50AF"/>
    <w:rsid w:val="007A51DE"/>
    <w:rsid w:val="007A6234"/>
    <w:rsid w:val="007B127E"/>
    <w:rsid w:val="007B2E15"/>
    <w:rsid w:val="007B4AFA"/>
    <w:rsid w:val="007B5FB2"/>
    <w:rsid w:val="007B7E26"/>
    <w:rsid w:val="007B7F83"/>
    <w:rsid w:val="007C0D44"/>
    <w:rsid w:val="007C593D"/>
    <w:rsid w:val="007C5C67"/>
    <w:rsid w:val="007C75D0"/>
    <w:rsid w:val="007D2A30"/>
    <w:rsid w:val="007D2E33"/>
    <w:rsid w:val="007D33F4"/>
    <w:rsid w:val="007D4070"/>
    <w:rsid w:val="007E22D5"/>
    <w:rsid w:val="007E5E0C"/>
    <w:rsid w:val="007E6992"/>
    <w:rsid w:val="007F0335"/>
    <w:rsid w:val="007F09F5"/>
    <w:rsid w:val="007F3ABE"/>
    <w:rsid w:val="007F4CFE"/>
    <w:rsid w:val="007F4D69"/>
    <w:rsid w:val="007F6350"/>
    <w:rsid w:val="008005F3"/>
    <w:rsid w:val="00800E0A"/>
    <w:rsid w:val="00804372"/>
    <w:rsid w:val="00806000"/>
    <w:rsid w:val="00806B7B"/>
    <w:rsid w:val="008108A2"/>
    <w:rsid w:val="008133BF"/>
    <w:rsid w:val="008176DE"/>
    <w:rsid w:val="0082186B"/>
    <w:rsid w:val="0082241E"/>
    <w:rsid w:val="0082315A"/>
    <w:rsid w:val="00823C58"/>
    <w:rsid w:val="008250D7"/>
    <w:rsid w:val="008276B6"/>
    <w:rsid w:val="00830B5E"/>
    <w:rsid w:val="00831AF3"/>
    <w:rsid w:val="00832112"/>
    <w:rsid w:val="008328E9"/>
    <w:rsid w:val="0083307C"/>
    <w:rsid w:val="00835BCB"/>
    <w:rsid w:val="00835CDC"/>
    <w:rsid w:val="00835D9F"/>
    <w:rsid w:val="00841F0E"/>
    <w:rsid w:val="00844AE0"/>
    <w:rsid w:val="008451D4"/>
    <w:rsid w:val="008455F4"/>
    <w:rsid w:val="0084595E"/>
    <w:rsid w:val="00850B09"/>
    <w:rsid w:val="008534E9"/>
    <w:rsid w:val="00854072"/>
    <w:rsid w:val="00855E6E"/>
    <w:rsid w:val="00857050"/>
    <w:rsid w:val="00857483"/>
    <w:rsid w:val="0086058B"/>
    <w:rsid w:val="00861EF5"/>
    <w:rsid w:val="00863A78"/>
    <w:rsid w:val="00863B9D"/>
    <w:rsid w:val="00863BE6"/>
    <w:rsid w:val="008642EA"/>
    <w:rsid w:val="00865B18"/>
    <w:rsid w:val="008676A6"/>
    <w:rsid w:val="0087214E"/>
    <w:rsid w:val="00872439"/>
    <w:rsid w:val="00872B4C"/>
    <w:rsid w:val="00874DD9"/>
    <w:rsid w:val="00877132"/>
    <w:rsid w:val="008775BC"/>
    <w:rsid w:val="008802FD"/>
    <w:rsid w:val="008806EA"/>
    <w:rsid w:val="00882506"/>
    <w:rsid w:val="00882F1B"/>
    <w:rsid w:val="00883141"/>
    <w:rsid w:val="0088344C"/>
    <w:rsid w:val="00883D0E"/>
    <w:rsid w:val="00884931"/>
    <w:rsid w:val="008879F1"/>
    <w:rsid w:val="00887B61"/>
    <w:rsid w:val="0089303C"/>
    <w:rsid w:val="00894042"/>
    <w:rsid w:val="0089404E"/>
    <w:rsid w:val="008A0566"/>
    <w:rsid w:val="008A234A"/>
    <w:rsid w:val="008A23B6"/>
    <w:rsid w:val="008A43FF"/>
    <w:rsid w:val="008A5ABD"/>
    <w:rsid w:val="008A6BB8"/>
    <w:rsid w:val="008A70CE"/>
    <w:rsid w:val="008B1528"/>
    <w:rsid w:val="008B15A3"/>
    <w:rsid w:val="008B75B5"/>
    <w:rsid w:val="008B771D"/>
    <w:rsid w:val="008C0F3D"/>
    <w:rsid w:val="008C25E4"/>
    <w:rsid w:val="008C2DAE"/>
    <w:rsid w:val="008C5929"/>
    <w:rsid w:val="008C5AD1"/>
    <w:rsid w:val="008C616F"/>
    <w:rsid w:val="008C624D"/>
    <w:rsid w:val="008C6FEC"/>
    <w:rsid w:val="008C743F"/>
    <w:rsid w:val="008C78E2"/>
    <w:rsid w:val="008D18D7"/>
    <w:rsid w:val="008D1987"/>
    <w:rsid w:val="008D2D58"/>
    <w:rsid w:val="008D2E36"/>
    <w:rsid w:val="008D4663"/>
    <w:rsid w:val="008D47C0"/>
    <w:rsid w:val="008D6021"/>
    <w:rsid w:val="008D6337"/>
    <w:rsid w:val="008D6C53"/>
    <w:rsid w:val="008D7FE7"/>
    <w:rsid w:val="008E117E"/>
    <w:rsid w:val="008E2738"/>
    <w:rsid w:val="008E2A54"/>
    <w:rsid w:val="008E49F8"/>
    <w:rsid w:val="008E4FF2"/>
    <w:rsid w:val="008E5BB9"/>
    <w:rsid w:val="008E6532"/>
    <w:rsid w:val="008E6617"/>
    <w:rsid w:val="008E66A6"/>
    <w:rsid w:val="008F0506"/>
    <w:rsid w:val="008F0F83"/>
    <w:rsid w:val="008F17FC"/>
    <w:rsid w:val="008F5C9D"/>
    <w:rsid w:val="008F65BE"/>
    <w:rsid w:val="00900283"/>
    <w:rsid w:val="009004B0"/>
    <w:rsid w:val="0090289D"/>
    <w:rsid w:val="009059A9"/>
    <w:rsid w:val="0090617A"/>
    <w:rsid w:val="00910601"/>
    <w:rsid w:val="00911533"/>
    <w:rsid w:val="0091627B"/>
    <w:rsid w:val="0092001A"/>
    <w:rsid w:val="00920737"/>
    <w:rsid w:val="009226D0"/>
    <w:rsid w:val="00923E70"/>
    <w:rsid w:val="00924194"/>
    <w:rsid w:val="00924A05"/>
    <w:rsid w:val="0092515E"/>
    <w:rsid w:val="00930131"/>
    <w:rsid w:val="00930E9A"/>
    <w:rsid w:val="00931434"/>
    <w:rsid w:val="00937A55"/>
    <w:rsid w:val="00940A8F"/>
    <w:rsid w:val="00941D67"/>
    <w:rsid w:val="00942FBD"/>
    <w:rsid w:val="00943836"/>
    <w:rsid w:val="00943F90"/>
    <w:rsid w:val="00945328"/>
    <w:rsid w:val="00946F65"/>
    <w:rsid w:val="00946FD8"/>
    <w:rsid w:val="0094770B"/>
    <w:rsid w:val="009510F5"/>
    <w:rsid w:val="009515F1"/>
    <w:rsid w:val="0095293B"/>
    <w:rsid w:val="00953011"/>
    <w:rsid w:val="00953484"/>
    <w:rsid w:val="00954539"/>
    <w:rsid w:val="00955405"/>
    <w:rsid w:val="009561C9"/>
    <w:rsid w:val="00957E13"/>
    <w:rsid w:val="00960EB7"/>
    <w:rsid w:val="00961186"/>
    <w:rsid w:val="0096180F"/>
    <w:rsid w:val="00962B36"/>
    <w:rsid w:val="009650C1"/>
    <w:rsid w:val="009656A6"/>
    <w:rsid w:val="00966B66"/>
    <w:rsid w:val="00967BD5"/>
    <w:rsid w:val="0097078C"/>
    <w:rsid w:val="009741BB"/>
    <w:rsid w:val="0097451C"/>
    <w:rsid w:val="00976ECC"/>
    <w:rsid w:val="0097702A"/>
    <w:rsid w:val="00980900"/>
    <w:rsid w:val="00982D09"/>
    <w:rsid w:val="0098410D"/>
    <w:rsid w:val="00992005"/>
    <w:rsid w:val="0099513C"/>
    <w:rsid w:val="009951D3"/>
    <w:rsid w:val="00995A15"/>
    <w:rsid w:val="00996619"/>
    <w:rsid w:val="009A0E2F"/>
    <w:rsid w:val="009A0F2D"/>
    <w:rsid w:val="009A1778"/>
    <w:rsid w:val="009A2B29"/>
    <w:rsid w:val="009A2E4C"/>
    <w:rsid w:val="009A5BBE"/>
    <w:rsid w:val="009A6445"/>
    <w:rsid w:val="009B0A10"/>
    <w:rsid w:val="009B1CC0"/>
    <w:rsid w:val="009B2267"/>
    <w:rsid w:val="009B2549"/>
    <w:rsid w:val="009B5E5B"/>
    <w:rsid w:val="009B75B8"/>
    <w:rsid w:val="009C1E99"/>
    <w:rsid w:val="009C4317"/>
    <w:rsid w:val="009C53E6"/>
    <w:rsid w:val="009C7200"/>
    <w:rsid w:val="009C7A96"/>
    <w:rsid w:val="009D0006"/>
    <w:rsid w:val="009D141E"/>
    <w:rsid w:val="009D2F51"/>
    <w:rsid w:val="009D4A26"/>
    <w:rsid w:val="009E03DA"/>
    <w:rsid w:val="009E0AE8"/>
    <w:rsid w:val="009E1E12"/>
    <w:rsid w:val="009E2599"/>
    <w:rsid w:val="009E326F"/>
    <w:rsid w:val="009E3E03"/>
    <w:rsid w:val="009E4A71"/>
    <w:rsid w:val="009E5374"/>
    <w:rsid w:val="009E68D2"/>
    <w:rsid w:val="009F345D"/>
    <w:rsid w:val="009F5884"/>
    <w:rsid w:val="009F62C5"/>
    <w:rsid w:val="009F6389"/>
    <w:rsid w:val="009F69B2"/>
    <w:rsid w:val="009F7075"/>
    <w:rsid w:val="009F7A1F"/>
    <w:rsid w:val="00A02ABF"/>
    <w:rsid w:val="00A03194"/>
    <w:rsid w:val="00A054BE"/>
    <w:rsid w:val="00A05D74"/>
    <w:rsid w:val="00A05E17"/>
    <w:rsid w:val="00A05F92"/>
    <w:rsid w:val="00A100F1"/>
    <w:rsid w:val="00A10256"/>
    <w:rsid w:val="00A10FBE"/>
    <w:rsid w:val="00A11DBF"/>
    <w:rsid w:val="00A13218"/>
    <w:rsid w:val="00A16348"/>
    <w:rsid w:val="00A16FC0"/>
    <w:rsid w:val="00A20531"/>
    <w:rsid w:val="00A21C1F"/>
    <w:rsid w:val="00A227A3"/>
    <w:rsid w:val="00A23850"/>
    <w:rsid w:val="00A244A4"/>
    <w:rsid w:val="00A260E6"/>
    <w:rsid w:val="00A2738F"/>
    <w:rsid w:val="00A3017B"/>
    <w:rsid w:val="00A340E6"/>
    <w:rsid w:val="00A359AE"/>
    <w:rsid w:val="00A36977"/>
    <w:rsid w:val="00A369DD"/>
    <w:rsid w:val="00A36FF0"/>
    <w:rsid w:val="00A4007E"/>
    <w:rsid w:val="00A404E8"/>
    <w:rsid w:val="00A4091C"/>
    <w:rsid w:val="00A41A29"/>
    <w:rsid w:val="00A438A1"/>
    <w:rsid w:val="00A46262"/>
    <w:rsid w:val="00A4646A"/>
    <w:rsid w:val="00A46B39"/>
    <w:rsid w:val="00A471F8"/>
    <w:rsid w:val="00A47BC0"/>
    <w:rsid w:val="00A53F1B"/>
    <w:rsid w:val="00A53F78"/>
    <w:rsid w:val="00A545A4"/>
    <w:rsid w:val="00A57205"/>
    <w:rsid w:val="00A60522"/>
    <w:rsid w:val="00A6091D"/>
    <w:rsid w:val="00A6095F"/>
    <w:rsid w:val="00A6098C"/>
    <w:rsid w:val="00A60B73"/>
    <w:rsid w:val="00A62FEA"/>
    <w:rsid w:val="00A6439B"/>
    <w:rsid w:val="00A644B4"/>
    <w:rsid w:val="00A65F33"/>
    <w:rsid w:val="00A678B8"/>
    <w:rsid w:val="00A70403"/>
    <w:rsid w:val="00A70CEA"/>
    <w:rsid w:val="00A717C9"/>
    <w:rsid w:val="00A717F6"/>
    <w:rsid w:val="00A7236D"/>
    <w:rsid w:val="00A72BFE"/>
    <w:rsid w:val="00A7549A"/>
    <w:rsid w:val="00A7762E"/>
    <w:rsid w:val="00A77F26"/>
    <w:rsid w:val="00A77F86"/>
    <w:rsid w:val="00A80080"/>
    <w:rsid w:val="00A801E9"/>
    <w:rsid w:val="00A8145C"/>
    <w:rsid w:val="00A82BA2"/>
    <w:rsid w:val="00A83450"/>
    <w:rsid w:val="00A85AC1"/>
    <w:rsid w:val="00A86772"/>
    <w:rsid w:val="00A9137E"/>
    <w:rsid w:val="00A91E98"/>
    <w:rsid w:val="00A9262D"/>
    <w:rsid w:val="00A9529A"/>
    <w:rsid w:val="00A965B5"/>
    <w:rsid w:val="00A97463"/>
    <w:rsid w:val="00A97B25"/>
    <w:rsid w:val="00AA0CD5"/>
    <w:rsid w:val="00AA3AB8"/>
    <w:rsid w:val="00AA5F47"/>
    <w:rsid w:val="00AA627A"/>
    <w:rsid w:val="00AA725B"/>
    <w:rsid w:val="00AA7261"/>
    <w:rsid w:val="00AA73BE"/>
    <w:rsid w:val="00AA7CBF"/>
    <w:rsid w:val="00AB1A06"/>
    <w:rsid w:val="00AB25D4"/>
    <w:rsid w:val="00AB2BDC"/>
    <w:rsid w:val="00AB2DA8"/>
    <w:rsid w:val="00AB3536"/>
    <w:rsid w:val="00AB4951"/>
    <w:rsid w:val="00AB6D0E"/>
    <w:rsid w:val="00AB7211"/>
    <w:rsid w:val="00AB774E"/>
    <w:rsid w:val="00AB7D8F"/>
    <w:rsid w:val="00AC37DE"/>
    <w:rsid w:val="00AC55F6"/>
    <w:rsid w:val="00AC5D7C"/>
    <w:rsid w:val="00AD05E1"/>
    <w:rsid w:val="00AD08D0"/>
    <w:rsid w:val="00AD0A2E"/>
    <w:rsid w:val="00AD0C4A"/>
    <w:rsid w:val="00AD15A3"/>
    <w:rsid w:val="00AD1642"/>
    <w:rsid w:val="00AD3C5C"/>
    <w:rsid w:val="00AD4147"/>
    <w:rsid w:val="00AD65E7"/>
    <w:rsid w:val="00AE0E1B"/>
    <w:rsid w:val="00AE11B1"/>
    <w:rsid w:val="00AE1389"/>
    <w:rsid w:val="00AE28C2"/>
    <w:rsid w:val="00AE2B36"/>
    <w:rsid w:val="00AE2D13"/>
    <w:rsid w:val="00AE3551"/>
    <w:rsid w:val="00AE3DF6"/>
    <w:rsid w:val="00AE4BD1"/>
    <w:rsid w:val="00AE4D6A"/>
    <w:rsid w:val="00AE5849"/>
    <w:rsid w:val="00AE6B06"/>
    <w:rsid w:val="00AF0942"/>
    <w:rsid w:val="00AF1BE1"/>
    <w:rsid w:val="00AF1F1D"/>
    <w:rsid w:val="00AF2CF9"/>
    <w:rsid w:val="00AF31C2"/>
    <w:rsid w:val="00AF63F6"/>
    <w:rsid w:val="00B04A3A"/>
    <w:rsid w:val="00B05137"/>
    <w:rsid w:val="00B0587A"/>
    <w:rsid w:val="00B07974"/>
    <w:rsid w:val="00B07F0F"/>
    <w:rsid w:val="00B108A1"/>
    <w:rsid w:val="00B10E1E"/>
    <w:rsid w:val="00B110A1"/>
    <w:rsid w:val="00B13012"/>
    <w:rsid w:val="00B13EDF"/>
    <w:rsid w:val="00B157DC"/>
    <w:rsid w:val="00B1596A"/>
    <w:rsid w:val="00B20630"/>
    <w:rsid w:val="00B20F69"/>
    <w:rsid w:val="00B22637"/>
    <w:rsid w:val="00B22CB5"/>
    <w:rsid w:val="00B2401B"/>
    <w:rsid w:val="00B24348"/>
    <w:rsid w:val="00B244AB"/>
    <w:rsid w:val="00B2698C"/>
    <w:rsid w:val="00B27308"/>
    <w:rsid w:val="00B27E08"/>
    <w:rsid w:val="00B315A0"/>
    <w:rsid w:val="00B31AFC"/>
    <w:rsid w:val="00B323AB"/>
    <w:rsid w:val="00B32786"/>
    <w:rsid w:val="00B34A18"/>
    <w:rsid w:val="00B357A8"/>
    <w:rsid w:val="00B3794F"/>
    <w:rsid w:val="00B40163"/>
    <w:rsid w:val="00B426BD"/>
    <w:rsid w:val="00B442AD"/>
    <w:rsid w:val="00B45893"/>
    <w:rsid w:val="00B45E43"/>
    <w:rsid w:val="00B468CE"/>
    <w:rsid w:val="00B46BFD"/>
    <w:rsid w:val="00B47D9F"/>
    <w:rsid w:val="00B50061"/>
    <w:rsid w:val="00B523D4"/>
    <w:rsid w:val="00B54E48"/>
    <w:rsid w:val="00B56681"/>
    <w:rsid w:val="00B5786C"/>
    <w:rsid w:val="00B579CB"/>
    <w:rsid w:val="00B57F6D"/>
    <w:rsid w:val="00B600E8"/>
    <w:rsid w:val="00B61043"/>
    <w:rsid w:val="00B625FB"/>
    <w:rsid w:val="00B626CD"/>
    <w:rsid w:val="00B67D0F"/>
    <w:rsid w:val="00B70083"/>
    <w:rsid w:val="00B71818"/>
    <w:rsid w:val="00B722E9"/>
    <w:rsid w:val="00B72F72"/>
    <w:rsid w:val="00B73518"/>
    <w:rsid w:val="00B74DAC"/>
    <w:rsid w:val="00B75E2D"/>
    <w:rsid w:val="00B81844"/>
    <w:rsid w:val="00B835AD"/>
    <w:rsid w:val="00B83F47"/>
    <w:rsid w:val="00B911E5"/>
    <w:rsid w:val="00B91C81"/>
    <w:rsid w:val="00B93FF7"/>
    <w:rsid w:val="00B945BF"/>
    <w:rsid w:val="00B94968"/>
    <w:rsid w:val="00B94E46"/>
    <w:rsid w:val="00B95761"/>
    <w:rsid w:val="00B96E8E"/>
    <w:rsid w:val="00B97145"/>
    <w:rsid w:val="00BA17E1"/>
    <w:rsid w:val="00BA255B"/>
    <w:rsid w:val="00BA48C9"/>
    <w:rsid w:val="00BA60E6"/>
    <w:rsid w:val="00BB1C32"/>
    <w:rsid w:val="00BB1C67"/>
    <w:rsid w:val="00BB2301"/>
    <w:rsid w:val="00BB28F6"/>
    <w:rsid w:val="00BB47D4"/>
    <w:rsid w:val="00BB502A"/>
    <w:rsid w:val="00BB5177"/>
    <w:rsid w:val="00BB548B"/>
    <w:rsid w:val="00BB58B4"/>
    <w:rsid w:val="00BB5BA0"/>
    <w:rsid w:val="00BB62E4"/>
    <w:rsid w:val="00BB7F0B"/>
    <w:rsid w:val="00BC10E5"/>
    <w:rsid w:val="00BC1FA1"/>
    <w:rsid w:val="00BC2609"/>
    <w:rsid w:val="00BC3183"/>
    <w:rsid w:val="00BC35B2"/>
    <w:rsid w:val="00BC40DD"/>
    <w:rsid w:val="00BC5AA4"/>
    <w:rsid w:val="00BC6243"/>
    <w:rsid w:val="00BC63D2"/>
    <w:rsid w:val="00BC71DA"/>
    <w:rsid w:val="00BD174D"/>
    <w:rsid w:val="00BD1845"/>
    <w:rsid w:val="00BD2363"/>
    <w:rsid w:val="00BD490D"/>
    <w:rsid w:val="00BD4A0D"/>
    <w:rsid w:val="00BD4AE3"/>
    <w:rsid w:val="00BD51F4"/>
    <w:rsid w:val="00BD5F4A"/>
    <w:rsid w:val="00BE3B2B"/>
    <w:rsid w:val="00BE3C78"/>
    <w:rsid w:val="00BE4B53"/>
    <w:rsid w:val="00BE5285"/>
    <w:rsid w:val="00BE61B0"/>
    <w:rsid w:val="00BE6A08"/>
    <w:rsid w:val="00BE7EED"/>
    <w:rsid w:val="00BF047D"/>
    <w:rsid w:val="00BF28D1"/>
    <w:rsid w:val="00BF3605"/>
    <w:rsid w:val="00BF5B6E"/>
    <w:rsid w:val="00BF7408"/>
    <w:rsid w:val="00BF7EFB"/>
    <w:rsid w:val="00C0067B"/>
    <w:rsid w:val="00C024E5"/>
    <w:rsid w:val="00C02964"/>
    <w:rsid w:val="00C04B08"/>
    <w:rsid w:val="00C0528F"/>
    <w:rsid w:val="00C060AB"/>
    <w:rsid w:val="00C079C8"/>
    <w:rsid w:val="00C10A5F"/>
    <w:rsid w:val="00C111BD"/>
    <w:rsid w:val="00C11344"/>
    <w:rsid w:val="00C12D97"/>
    <w:rsid w:val="00C13145"/>
    <w:rsid w:val="00C150C6"/>
    <w:rsid w:val="00C155E5"/>
    <w:rsid w:val="00C170AE"/>
    <w:rsid w:val="00C17C1B"/>
    <w:rsid w:val="00C17E06"/>
    <w:rsid w:val="00C20850"/>
    <w:rsid w:val="00C212D0"/>
    <w:rsid w:val="00C217B4"/>
    <w:rsid w:val="00C2227C"/>
    <w:rsid w:val="00C24302"/>
    <w:rsid w:val="00C24C0E"/>
    <w:rsid w:val="00C27B30"/>
    <w:rsid w:val="00C30DB5"/>
    <w:rsid w:val="00C31B98"/>
    <w:rsid w:val="00C3227F"/>
    <w:rsid w:val="00C32C41"/>
    <w:rsid w:val="00C32D03"/>
    <w:rsid w:val="00C33737"/>
    <w:rsid w:val="00C34A17"/>
    <w:rsid w:val="00C34BD1"/>
    <w:rsid w:val="00C35915"/>
    <w:rsid w:val="00C36E2D"/>
    <w:rsid w:val="00C408AD"/>
    <w:rsid w:val="00C43355"/>
    <w:rsid w:val="00C44671"/>
    <w:rsid w:val="00C45197"/>
    <w:rsid w:val="00C45C00"/>
    <w:rsid w:val="00C465CF"/>
    <w:rsid w:val="00C50C31"/>
    <w:rsid w:val="00C51264"/>
    <w:rsid w:val="00C5469A"/>
    <w:rsid w:val="00C54A71"/>
    <w:rsid w:val="00C60034"/>
    <w:rsid w:val="00C602B0"/>
    <w:rsid w:val="00C6086A"/>
    <w:rsid w:val="00C63874"/>
    <w:rsid w:val="00C6467E"/>
    <w:rsid w:val="00C721FE"/>
    <w:rsid w:val="00C82661"/>
    <w:rsid w:val="00C84A87"/>
    <w:rsid w:val="00C8679C"/>
    <w:rsid w:val="00C8682F"/>
    <w:rsid w:val="00C86DF6"/>
    <w:rsid w:val="00C905D1"/>
    <w:rsid w:val="00C90796"/>
    <w:rsid w:val="00C90D6F"/>
    <w:rsid w:val="00C91428"/>
    <w:rsid w:val="00C93025"/>
    <w:rsid w:val="00C94AAA"/>
    <w:rsid w:val="00C97136"/>
    <w:rsid w:val="00C972C5"/>
    <w:rsid w:val="00C97C63"/>
    <w:rsid w:val="00C97E32"/>
    <w:rsid w:val="00CA2728"/>
    <w:rsid w:val="00CA34FD"/>
    <w:rsid w:val="00CA39A2"/>
    <w:rsid w:val="00CA434F"/>
    <w:rsid w:val="00CA4C76"/>
    <w:rsid w:val="00CA565F"/>
    <w:rsid w:val="00CB31D9"/>
    <w:rsid w:val="00CB3F51"/>
    <w:rsid w:val="00CB7BFB"/>
    <w:rsid w:val="00CC0CCA"/>
    <w:rsid w:val="00CC1087"/>
    <w:rsid w:val="00CC4508"/>
    <w:rsid w:val="00CC47CF"/>
    <w:rsid w:val="00CC54A3"/>
    <w:rsid w:val="00CC5D7B"/>
    <w:rsid w:val="00CC65B1"/>
    <w:rsid w:val="00CC7C2B"/>
    <w:rsid w:val="00CD01AA"/>
    <w:rsid w:val="00CD1526"/>
    <w:rsid w:val="00CD25AB"/>
    <w:rsid w:val="00CD348E"/>
    <w:rsid w:val="00CD4420"/>
    <w:rsid w:val="00CD4730"/>
    <w:rsid w:val="00CD7298"/>
    <w:rsid w:val="00CE1098"/>
    <w:rsid w:val="00CE153A"/>
    <w:rsid w:val="00CE2535"/>
    <w:rsid w:val="00CE5A20"/>
    <w:rsid w:val="00CE750F"/>
    <w:rsid w:val="00CE77E2"/>
    <w:rsid w:val="00CF27E3"/>
    <w:rsid w:val="00CF2967"/>
    <w:rsid w:val="00CF31E4"/>
    <w:rsid w:val="00CF3675"/>
    <w:rsid w:val="00CF6EA4"/>
    <w:rsid w:val="00D00100"/>
    <w:rsid w:val="00D01467"/>
    <w:rsid w:val="00D026BE"/>
    <w:rsid w:val="00D02740"/>
    <w:rsid w:val="00D035F6"/>
    <w:rsid w:val="00D0492C"/>
    <w:rsid w:val="00D05D30"/>
    <w:rsid w:val="00D101AE"/>
    <w:rsid w:val="00D12C48"/>
    <w:rsid w:val="00D1518F"/>
    <w:rsid w:val="00D160CB"/>
    <w:rsid w:val="00D17B81"/>
    <w:rsid w:val="00D20602"/>
    <w:rsid w:val="00D21D93"/>
    <w:rsid w:val="00D22802"/>
    <w:rsid w:val="00D22AC0"/>
    <w:rsid w:val="00D22B5B"/>
    <w:rsid w:val="00D241FA"/>
    <w:rsid w:val="00D245A1"/>
    <w:rsid w:val="00D25A3D"/>
    <w:rsid w:val="00D25CE0"/>
    <w:rsid w:val="00D302DA"/>
    <w:rsid w:val="00D30A63"/>
    <w:rsid w:val="00D31CAD"/>
    <w:rsid w:val="00D35440"/>
    <w:rsid w:val="00D355DF"/>
    <w:rsid w:val="00D37033"/>
    <w:rsid w:val="00D415E2"/>
    <w:rsid w:val="00D42055"/>
    <w:rsid w:val="00D429D4"/>
    <w:rsid w:val="00D42AF5"/>
    <w:rsid w:val="00D42CE1"/>
    <w:rsid w:val="00D433D6"/>
    <w:rsid w:val="00D444A0"/>
    <w:rsid w:val="00D448EA"/>
    <w:rsid w:val="00D44B50"/>
    <w:rsid w:val="00D46357"/>
    <w:rsid w:val="00D4660A"/>
    <w:rsid w:val="00D50720"/>
    <w:rsid w:val="00D50999"/>
    <w:rsid w:val="00D50E0F"/>
    <w:rsid w:val="00D5323C"/>
    <w:rsid w:val="00D5434A"/>
    <w:rsid w:val="00D569F5"/>
    <w:rsid w:val="00D56BFB"/>
    <w:rsid w:val="00D60C50"/>
    <w:rsid w:val="00D60C78"/>
    <w:rsid w:val="00D622A1"/>
    <w:rsid w:val="00D62BDC"/>
    <w:rsid w:val="00D647C3"/>
    <w:rsid w:val="00D6497E"/>
    <w:rsid w:val="00D653A5"/>
    <w:rsid w:val="00D658A6"/>
    <w:rsid w:val="00D65D6C"/>
    <w:rsid w:val="00D65F6E"/>
    <w:rsid w:val="00D67DC4"/>
    <w:rsid w:val="00D70E99"/>
    <w:rsid w:val="00D72163"/>
    <w:rsid w:val="00D72675"/>
    <w:rsid w:val="00D72B34"/>
    <w:rsid w:val="00D77280"/>
    <w:rsid w:val="00D869D3"/>
    <w:rsid w:val="00D91144"/>
    <w:rsid w:val="00D9157A"/>
    <w:rsid w:val="00D91CB3"/>
    <w:rsid w:val="00D93EA0"/>
    <w:rsid w:val="00D952BE"/>
    <w:rsid w:val="00D9633A"/>
    <w:rsid w:val="00DA2149"/>
    <w:rsid w:val="00DA226C"/>
    <w:rsid w:val="00DB400E"/>
    <w:rsid w:val="00DB5187"/>
    <w:rsid w:val="00DB57C2"/>
    <w:rsid w:val="00DB6ACE"/>
    <w:rsid w:val="00DC3500"/>
    <w:rsid w:val="00DC3DFA"/>
    <w:rsid w:val="00DC3FBF"/>
    <w:rsid w:val="00DC49AA"/>
    <w:rsid w:val="00DC5521"/>
    <w:rsid w:val="00DC606D"/>
    <w:rsid w:val="00DC7352"/>
    <w:rsid w:val="00DC75EB"/>
    <w:rsid w:val="00DC7F17"/>
    <w:rsid w:val="00DD0EA7"/>
    <w:rsid w:val="00DD2169"/>
    <w:rsid w:val="00DD3FC6"/>
    <w:rsid w:val="00DD5895"/>
    <w:rsid w:val="00DE123D"/>
    <w:rsid w:val="00DE1E1D"/>
    <w:rsid w:val="00DE3B71"/>
    <w:rsid w:val="00DE4500"/>
    <w:rsid w:val="00DE59D3"/>
    <w:rsid w:val="00DE70EE"/>
    <w:rsid w:val="00DF2386"/>
    <w:rsid w:val="00DF3C0A"/>
    <w:rsid w:val="00DF3C12"/>
    <w:rsid w:val="00DF3D21"/>
    <w:rsid w:val="00DF50B6"/>
    <w:rsid w:val="00DF5399"/>
    <w:rsid w:val="00DF547D"/>
    <w:rsid w:val="00DF57D9"/>
    <w:rsid w:val="00DF74BF"/>
    <w:rsid w:val="00DF77CA"/>
    <w:rsid w:val="00DF79F5"/>
    <w:rsid w:val="00DF7DB1"/>
    <w:rsid w:val="00DF7FE7"/>
    <w:rsid w:val="00E0340D"/>
    <w:rsid w:val="00E129EE"/>
    <w:rsid w:val="00E13918"/>
    <w:rsid w:val="00E1661A"/>
    <w:rsid w:val="00E16B76"/>
    <w:rsid w:val="00E177B4"/>
    <w:rsid w:val="00E2365C"/>
    <w:rsid w:val="00E25D89"/>
    <w:rsid w:val="00E267C9"/>
    <w:rsid w:val="00E27C41"/>
    <w:rsid w:val="00E305F0"/>
    <w:rsid w:val="00E32A4E"/>
    <w:rsid w:val="00E33D65"/>
    <w:rsid w:val="00E40BC9"/>
    <w:rsid w:val="00E4159F"/>
    <w:rsid w:val="00E41C48"/>
    <w:rsid w:val="00E4304A"/>
    <w:rsid w:val="00E4381D"/>
    <w:rsid w:val="00E43E1D"/>
    <w:rsid w:val="00E441AF"/>
    <w:rsid w:val="00E46367"/>
    <w:rsid w:val="00E4673D"/>
    <w:rsid w:val="00E50EFF"/>
    <w:rsid w:val="00E511D1"/>
    <w:rsid w:val="00E61C63"/>
    <w:rsid w:val="00E63288"/>
    <w:rsid w:val="00E63474"/>
    <w:rsid w:val="00E639A0"/>
    <w:rsid w:val="00E63F0B"/>
    <w:rsid w:val="00E66F56"/>
    <w:rsid w:val="00E7043E"/>
    <w:rsid w:val="00E725D1"/>
    <w:rsid w:val="00E74330"/>
    <w:rsid w:val="00E7509B"/>
    <w:rsid w:val="00E77CE1"/>
    <w:rsid w:val="00E814DB"/>
    <w:rsid w:val="00E82CC1"/>
    <w:rsid w:val="00E833DE"/>
    <w:rsid w:val="00E85EE4"/>
    <w:rsid w:val="00E860B0"/>
    <w:rsid w:val="00E8772D"/>
    <w:rsid w:val="00E90488"/>
    <w:rsid w:val="00E906A0"/>
    <w:rsid w:val="00E9222B"/>
    <w:rsid w:val="00E95276"/>
    <w:rsid w:val="00E96510"/>
    <w:rsid w:val="00EA0805"/>
    <w:rsid w:val="00EA0A95"/>
    <w:rsid w:val="00EA0F33"/>
    <w:rsid w:val="00EA1D74"/>
    <w:rsid w:val="00EA1F86"/>
    <w:rsid w:val="00EA3A7F"/>
    <w:rsid w:val="00EA3DEC"/>
    <w:rsid w:val="00EA45C0"/>
    <w:rsid w:val="00EA52A1"/>
    <w:rsid w:val="00EA5C7F"/>
    <w:rsid w:val="00EA68A7"/>
    <w:rsid w:val="00EA69D8"/>
    <w:rsid w:val="00EA7640"/>
    <w:rsid w:val="00EB496B"/>
    <w:rsid w:val="00EC0835"/>
    <w:rsid w:val="00EC2DE8"/>
    <w:rsid w:val="00EC374D"/>
    <w:rsid w:val="00EC5B5C"/>
    <w:rsid w:val="00ED30C6"/>
    <w:rsid w:val="00ED32FC"/>
    <w:rsid w:val="00ED4B3C"/>
    <w:rsid w:val="00EE1F01"/>
    <w:rsid w:val="00EE2E77"/>
    <w:rsid w:val="00EE32B9"/>
    <w:rsid w:val="00EE4EF4"/>
    <w:rsid w:val="00EE7FF6"/>
    <w:rsid w:val="00EF1301"/>
    <w:rsid w:val="00EF3633"/>
    <w:rsid w:val="00EF3F79"/>
    <w:rsid w:val="00EF53D8"/>
    <w:rsid w:val="00EF6799"/>
    <w:rsid w:val="00EF68FA"/>
    <w:rsid w:val="00EF6C12"/>
    <w:rsid w:val="00EF777B"/>
    <w:rsid w:val="00F004F1"/>
    <w:rsid w:val="00F00690"/>
    <w:rsid w:val="00F00955"/>
    <w:rsid w:val="00F01318"/>
    <w:rsid w:val="00F01C0E"/>
    <w:rsid w:val="00F035C5"/>
    <w:rsid w:val="00F04981"/>
    <w:rsid w:val="00F04ECF"/>
    <w:rsid w:val="00F05697"/>
    <w:rsid w:val="00F078F1"/>
    <w:rsid w:val="00F07FCA"/>
    <w:rsid w:val="00F10AAE"/>
    <w:rsid w:val="00F119EA"/>
    <w:rsid w:val="00F1244A"/>
    <w:rsid w:val="00F131F9"/>
    <w:rsid w:val="00F13DB7"/>
    <w:rsid w:val="00F146B5"/>
    <w:rsid w:val="00F14AD9"/>
    <w:rsid w:val="00F14E58"/>
    <w:rsid w:val="00F1628B"/>
    <w:rsid w:val="00F16326"/>
    <w:rsid w:val="00F17A3A"/>
    <w:rsid w:val="00F20231"/>
    <w:rsid w:val="00F204B9"/>
    <w:rsid w:val="00F20A83"/>
    <w:rsid w:val="00F20D35"/>
    <w:rsid w:val="00F225E4"/>
    <w:rsid w:val="00F265DB"/>
    <w:rsid w:val="00F27247"/>
    <w:rsid w:val="00F30A7B"/>
    <w:rsid w:val="00F31CA1"/>
    <w:rsid w:val="00F31F5E"/>
    <w:rsid w:val="00F322DF"/>
    <w:rsid w:val="00F3242C"/>
    <w:rsid w:val="00F32BF4"/>
    <w:rsid w:val="00F32D03"/>
    <w:rsid w:val="00F3435F"/>
    <w:rsid w:val="00F344DE"/>
    <w:rsid w:val="00F42C36"/>
    <w:rsid w:val="00F42D6A"/>
    <w:rsid w:val="00F44990"/>
    <w:rsid w:val="00F503A5"/>
    <w:rsid w:val="00F530E7"/>
    <w:rsid w:val="00F54797"/>
    <w:rsid w:val="00F57512"/>
    <w:rsid w:val="00F60470"/>
    <w:rsid w:val="00F6256E"/>
    <w:rsid w:val="00F62CCF"/>
    <w:rsid w:val="00F639E6"/>
    <w:rsid w:val="00F6535D"/>
    <w:rsid w:val="00F65C11"/>
    <w:rsid w:val="00F65C35"/>
    <w:rsid w:val="00F66E6C"/>
    <w:rsid w:val="00F71FEB"/>
    <w:rsid w:val="00F721AE"/>
    <w:rsid w:val="00F72210"/>
    <w:rsid w:val="00F73D88"/>
    <w:rsid w:val="00F73E71"/>
    <w:rsid w:val="00F740DD"/>
    <w:rsid w:val="00F75B3B"/>
    <w:rsid w:val="00F765DF"/>
    <w:rsid w:val="00F770CA"/>
    <w:rsid w:val="00F806ED"/>
    <w:rsid w:val="00F814BF"/>
    <w:rsid w:val="00F830D0"/>
    <w:rsid w:val="00F84F86"/>
    <w:rsid w:val="00F8795A"/>
    <w:rsid w:val="00F90623"/>
    <w:rsid w:val="00F90D85"/>
    <w:rsid w:val="00F90D96"/>
    <w:rsid w:val="00F9447D"/>
    <w:rsid w:val="00F94A80"/>
    <w:rsid w:val="00F96429"/>
    <w:rsid w:val="00F9773B"/>
    <w:rsid w:val="00F97880"/>
    <w:rsid w:val="00FA1101"/>
    <w:rsid w:val="00FA31FD"/>
    <w:rsid w:val="00FB0398"/>
    <w:rsid w:val="00FB428F"/>
    <w:rsid w:val="00FB4EA0"/>
    <w:rsid w:val="00FB7BA9"/>
    <w:rsid w:val="00FC2F58"/>
    <w:rsid w:val="00FC39BF"/>
    <w:rsid w:val="00FC4DC7"/>
    <w:rsid w:val="00FC5B6E"/>
    <w:rsid w:val="00FC69E1"/>
    <w:rsid w:val="00FC7759"/>
    <w:rsid w:val="00FD29E2"/>
    <w:rsid w:val="00FD482B"/>
    <w:rsid w:val="00FD514D"/>
    <w:rsid w:val="00FD78CA"/>
    <w:rsid w:val="00FE030C"/>
    <w:rsid w:val="00FE4091"/>
    <w:rsid w:val="00FE4192"/>
    <w:rsid w:val="00FE55D5"/>
    <w:rsid w:val="00FF108D"/>
    <w:rsid w:val="00FF198E"/>
    <w:rsid w:val="00FF26D4"/>
    <w:rsid w:val="00FF660B"/>
    <w:rsid w:val="00FF661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2E9D57"/>
  <w15:docId w15:val="{DB869071-E171-1C48-9A50-92340E56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A5414"/>
    <w:rPr>
      <w:sz w:val="20"/>
      <w:szCs w:val="20"/>
    </w:rPr>
  </w:style>
  <w:style w:type="character" w:customStyle="1" w:styleId="FootnoteTextChar">
    <w:name w:val="Footnote Text Char"/>
    <w:basedOn w:val="DefaultParagraphFont"/>
    <w:link w:val="FootnoteText"/>
    <w:uiPriority w:val="99"/>
    <w:rsid w:val="002A5414"/>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unhideWhenUsed/>
    <w:rsid w:val="002A5414"/>
    <w:rPr>
      <w:rFonts w:ascii="Calibri" w:hAnsi="Calibri"/>
      <w:b w:val="0"/>
      <w:i w:val="0"/>
      <w:caps w:val="0"/>
      <w:smallCaps w:val="0"/>
      <w:strike w:val="0"/>
      <w:dstrike w:val="0"/>
      <w:vanish w:val="0"/>
      <w:color w:val="auto"/>
      <w:sz w:val="20"/>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NormalWeb">
    <w:name w:val="Normal (Web)"/>
    <w:basedOn w:val="Normal"/>
    <w:uiPriority w:val="99"/>
    <w:unhideWhenUsed/>
    <w:rsid w:val="0017358B"/>
    <w:rPr>
      <w:rFonts w:ascii="Times New Roman" w:hAnsi="Times New Roman"/>
      <w:sz w:val="24"/>
      <w:szCs w:val="24"/>
    </w:rPr>
  </w:style>
  <w:style w:type="paragraph" w:customStyle="1" w:styleId="Listamulticolor-nfasis11">
    <w:name w:val="Lista multicolor - Énfasis 11"/>
    <w:basedOn w:val="Normal"/>
    <w:uiPriority w:val="34"/>
    <w:qFormat/>
    <w:rsid w:val="00DF77CA"/>
    <w:pPr>
      <w:ind w:left="720" w:firstLine="0"/>
      <w:contextualSpacing/>
      <w:jc w:val="both"/>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3900908">
      <w:bodyDiv w:val="1"/>
      <w:marLeft w:val="0"/>
      <w:marRight w:val="0"/>
      <w:marTop w:val="0"/>
      <w:marBottom w:val="0"/>
      <w:divBdr>
        <w:top w:val="none" w:sz="0" w:space="0" w:color="auto"/>
        <w:left w:val="none" w:sz="0" w:space="0" w:color="auto"/>
        <w:bottom w:val="none" w:sz="0" w:space="0" w:color="auto"/>
        <w:right w:val="none" w:sz="0" w:space="0" w:color="auto"/>
      </w:divBdr>
      <w:divsChild>
        <w:div w:id="1367483258">
          <w:marLeft w:val="0"/>
          <w:marRight w:val="0"/>
          <w:marTop w:val="0"/>
          <w:marBottom w:val="0"/>
          <w:divBdr>
            <w:top w:val="none" w:sz="0" w:space="0" w:color="auto"/>
            <w:left w:val="none" w:sz="0" w:space="0" w:color="auto"/>
            <w:bottom w:val="none" w:sz="0" w:space="0" w:color="auto"/>
            <w:right w:val="none" w:sz="0" w:space="0" w:color="auto"/>
          </w:divBdr>
          <w:divsChild>
            <w:div w:id="1949847800">
              <w:marLeft w:val="0"/>
              <w:marRight w:val="0"/>
              <w:marTop w:val="0"/>
              <w:marBottom w:val="0"/>
              <w:divBdr>
                <w:top w:val="none" w:sz="0" w:space="0" w:color="auto"/>
                <w:left w:val="none" w:sz="0" w:space="0" w:color="auto"/>
                <w:bottom w:val="none" w:sz="0" w:space="0" w:color="auto"/>
                <w:right w:val="none" w:sz="0" w:space="0" w:color="auto"/>
              </w:divBdr>
              <w:divsChild>
                <w:div w:id="5305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0476">
      <w:bodyDiv w:val="1"/>
      <w:marLeft w:val="0"/>
      <w:marRight w:val="0"/>
      <w:marTop w:val="0"/>
      <w:marBottom w:val="0"/>
      <w:divBdr>
        <w:top w:val="none" w:sz="0" w:space="0" w:color="auto"/>
        <w:left w:val="none" w:sz="0" w:space="0" w:color="auto"/>
        <w:bottom w:val="none" w:sz="0" w:space="0" w:color="auto"/>
        <w:right w:val="none" w:sz="0" w:space="0" w:color="auto"/>
      </w:divBdr>
      <w:divsChild>
        <w:div w:id="1502508004">
          <w:marLeft w:val="0"/>
          <w:marRight w:val="0"/>
          <w:marTop w:val="0"/>
          <w:marBottom w:val="0"/>
          <w:divBdr>
            <w:top w:val="none" w:sz="0" w:space="0" w:color="auto"/>
            <w:left w:val="none" w:sz="0" w:space="0" w:color="auto"/>
            <w:bottom w:val="none" w:sz="0" w:space="0" w:color="auto"/>
            <w:right w:val="none" w:sz="0" w:space="0" w:color="auto"/>
          </w:divBdr>
          <w:divsChild>
            <w:div w:id="840704145">
              <w:marLeft w:val="0"/>
              <w:marRight w:val="0"/>
              <w:marTop w:val="0"/>
              <w:marBottom w:val="0"/>
              <w:divBdr>
                <w:top w:val="none" w:sz="0" w:space="0" w:color="auto"/>
                <w:left w:val="none" w:sz="0" w:space="0" w:color="auto"/>
                <w:bottom w:val="none" w:sz="0" w:space="0" w:color="auto"/>
                <w:right w:val="none" w:sz="0" w:space="0" w:color="auto"/>
              </w:divBdr>
              <w:divsChild>
                <w:div w:id="19379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0875">
      <w:bodyDiv w:val="1"/>
      <w:marLeft w:val="0"/>
      <w:marRight w:val="0"/>
      <w:marTop w:val="0"/>
      <w:marBottom w:val="0"/>
      <w:divBdr>
        <w:top w:val="none" w:sz="0" w:space="0" w:color="auto"/>
        <w:left w:val="none" w:sz="0" w:space="0" w:color="auto"/>
        <w:bottom w:val="none" w:sz="0" w:space="0" w:color="auto"/>
        <w:right w:val="none" w:sz="0" w:space="0" w:color="auto"/>
      </w:divBdr>
      <w:divsChild>
        <w:div w:id="1435398436">
          <w:marLeft w:val="0"/>
          <w:marRight w:val="0"/>
          <w:marTop w:val="0"/>
          <w:marBottom w:val="0"/>
          <w:divBdr>
            <w:top w:val="none" w:sz="0" w:space="0" w:color="auto"/>
            <w:left w:val="none" w:sz="0" w:space="0" w:color="auto"/>
            <w:bottom w:val="none" w:sz="0" w:space="0" w:color="auto"/>
            <w:right w:val="none" w:sz="0" w:space="0" w:color="auto"/>
          </w:divBdr>
          <w:divsChild>
            <w:div w:id="1152065317">
              <w:marLeft w:val="0"/>
              <w:marRight w:val="0"/>
              <w:marTop w:val="0"/>
              <w:marBottom w:val="0"/>
              <w:divBdr>
                <w:top w:val="none" w:sz="0" w:space="0" w:color="auto"/>
                <w:left w:val="none" w:sz="0" w:space="0" w:color="auto"/>
                <w:bottom w:val="none" w:sz="0" w:space="0" w:color="auto"/>
                <w:right w:val="none" w:sz="0" w:space="0" w:color="auto"/>
              </w:divBdr>
              <w:divsChild>
                <w:div w:id="19161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3860">
      <w:bodyDiv w:val="1"/>
      <w:marLeft w:val="0"/>
      <w:marRight w:val="0"/>
      <w:marTop w:val="0"/>
      <w:marBottom w:val="0"/>
      <w:divBdr>
        <w:top w:val="none" w:sz="0" w:space="0" w:color="auto"/>
        <w:left w:val="none" w:sz="0" w:space="0" w:color="auto"/>
        <w:bottom w:val="none" w:sz="0" w:space="0" w:color="auto"/>
        <w:right w:val="none" w:sz="0" w:space="0" w:color="auto"/>
      </w:divBdr>
      <w:divsChild>
        <w:div w:id="575020509">
          <w:marLeft w:val="0"/>
          <w:marRight w:val="0"/>
          <w:marTop w:val="0"/>
          <w:marBottom w:val="0"/>
          <w:divBdr>
            <w:top w:val="none" w:sz="0" w:space="0" w:color="auto"/>
            <w:left w:val="none" w:sz="0" w:space="0" w:color="auto"/>
            <w:bottom w:val="none" w:sz="0" w:space="0" w:color="auto"/>
            <w:right w:val="none" w:sz="0" w:space="0" w:color="auto"/>
          </w:divBdr>
          <w:divsChild>
            <w:div w:id="930966883">
              <w:marLeft w:val="0"/>
              <w:marRight w:val="0"/>
              <w:marTop w:val="0"/>
              <w:marBottom w:val="0"/>
              <w:divBdr>
                <w:top w:val="none" w:sz="0" w:space="0" w:color="auto"/>
                <w:left w:val="none" w:sz="0" w:space="0" w:color="auto"/>
                <w:bottom w:val="none" w:sz="0" w:space="0" w:color="auto"/>
                <w:right w:val="none" w:sz="0" w:space="0" w:color="auto"/>
              </w:divBdr>
              <w:divsChild>
                <w:div w:id="1616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3656">
      <w:bodyDiv w:val="1"/>
      <w:marLeft w:val="0"/>
      <w:marRight w:val="0"/>
      <w:marTop w:val="0"/>
      <w:marBottom w:val="0"/>
      <w:divBdr>
        <w:top w:val="none" w:sz="0" w:space="0" w:color="auto"/>
        <w:left w:val="none" w:sz="0" w:space="0" w:color="auto"/>
        <w:bottom w:val="none" w:sz="0" w:space="0" w:color="auto"/>
        <w:right w:val="none" w:sz="0" w:space="0" w:color="auto"/>
      </w:divBdr>
    </w:div>
    <w:div w:id="1901666673">
      <w:bodyDiv w:val="1"/>
      <w:marLeft w:val="0"/>
      <w:marRight w:val="0"/>
      <w:marTop w:val="0"/>
      <w:marBottom w:val="0"/>
      <w:divBdr>
        <w:top w:val="none" w:sz="0" w:space="0" w:color="auto"/>
        <w:left w:val="none" w:sz="0" w:space="0" w:color="auto"/>
        <w:bottom w:val="none" w:sz="0" w:space="0" w:color="auto"/>
        <w:right w:val="none" w:sz="0" w:space="0" w:color="auto"/>
      </w:divBdr>
    </w:div>
    <w:div w:id="2030597294">
      <w:bodyDiv w:val="1"/>
      <w:marLeft w:val="0"/>
      <w:marRight w:val="0"/>
      <w:marTop w:val="0"/>
      <w:marBottom w:val="0"/>
      <w:divBdr>
        <w:top w:val="none" w:sz="0" w:space="0" w:color="auto"/>
        <w:left w:val="none" w:sz="0" w:space="0" w:color="auto"/>
        <w:bottom w:val="none" w:sz="0" w:space="0" w:color="auto"/>
        <w:right w:val="none" w:sz="0" w:space="0" w:color="auto"/>
      </w:divBdr>
      <w:divsChild>
        <w:div w:id="1599176302">
          <w:marLeft w:val="0"/>
          <w:marRight w:val="0"/>
          <w:marTop w:val="0"/>
          <w:marBottom w:val="0"/>
          <w:divBdr>
            <w:top w:val="none" w:sz="0" w:space="0" w:color="auto"/>
            <w:left w:val="none" w:sz="0" w:space="0" w:color="auto"/>
            <w:bottom w:val="none" w:sz="0" w:space="0" w:color="auto"/>
            <w:right w:val="none" w:sz="0" w:space="0" w:color="auto"/>
          </w:divBdr>
          <w:divsChild>
            <w:div w:id="1002122926">
              <w:marLeft w:val="0"/>
              <w:marRight w:val="0"/>
              <w:marTop w:val="0"/>
              <w:marBottom w:val="0"/>
              <w:divBdr>
                <w:top w:val="none" w:sz="0" w:space="0" w:color="auto"/>
                <w:left w:val="none" w:sz="0" w:space="0" w:color="auto"/>
                <w:bottom w:val="none" w:sz="0" w:space="0" w:color="auto"/>
                <w:right w:val="none" w:sz="0" w:space="0" w:color="auto"/>
              </w:divBdr>
              <w:divsChild>
                <w:div w:id="12774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7D61-FBDF-4FEF-A1A0-3C3212B5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6069</Words>
  <Characters>34597</Characters>
  <Application>Microsoft Office Word</Application>
  <DocSecurity>0</DocSecurity>
  <Lines>288</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40585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Ramsar\KatzM</dc:creator>
  <cp:keywords/>
  <dc:description/>
  <cp:lastModifiedBy>JENNINGS Edmund</cp:lastModifiedBy>
  <cp:revision>2</cp:revision>
  <cp:lastPrinted>2019-04-07T14:54:00Z</cp:lastPrinted>
  <dcterms:created xsi:type="dcterms:W3CDTF">2019-04-15T14:27:00Z</dcterms:created>
  <dcterms:modified xsi:type="dcterms:W3CDTF">2019-04-15T14:27:00Z</dcterms:modified>
</cp:coreProperties>
</file>