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A346B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 xml:space="preserve">CONVENTION </w:t>
      </w:r>
      <w:r w:rsidR="00832EEF" w:rsidRPr="00A346B4">
        <w:rPr>
          <w:bCs/>
          <w:sz w:val="24"/>
          <w:szCs w:val="24"/>
          <w:lang w:val="fr-FR"/>
        </w:rPr>
        <w:t>DE RAMSAR SUR LES ZONES HUMIDES</w:t>
      </w:r>
      <w:r w:rsidRPr="00A346B4">
        <w:rPr>
          <w:bCs/>
          <w:sz w:val="24"/>
          <w:szCs w:val="24"/>
          <w:lang w:val="fr-FR"/>
        </w:rPr>
        <w:t xml:space="preserve"> </w:t>
      </w:r>
    </w:p>
    <w:p w:rsidR="00DD1158"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57</w:t>
      </w:r>
      <w:r w:rsidR="00A346B4" w:rsidRPr="00A346B4">
        <w:rPr>
          <w:bCs/>
          <w:sz w:val="24"/>
          <w:szCs w:val="24"/>
          <w:vertAlign w:val="superscript"/>
          <w:lang w:val="fr-FR"/>
        </w:rPr>
        <w:t>e</w:t>
      </w:r>
      <w:r w:rsidR="00A346B4" w:rsidRPr="00A346B4">
        <w:rPr>
          <w:bCs/>
          <w:sz w:val="24"/>
          <w:szCs w:val="24"/>
          <w:lang w:val="fr-FR"/>
        </w:rPr>
        <w:t xml:space="preserve"> </w:t>
      </w:r>
      <w:r w:rsidR="000153CD" w:rsidRPr="00A346B4">
        <w:rPr>
          <w:bCs/>
          <w:sz w:val="24"/>
          <w:szCs w:val="24"/>
          <w:lang w:val="fr-FR"/>
        </w:rPr>
        <w:t>R</w:t>
      </w:r>
      <w:r w:rsidRPr="00A346B4">
        <w:rPr>
          <w:bCs/>
          <w:sz w:val="24"/>
          <w:szCs w:val="24"/>
          <w:lang w:val="fr-FR"/>
        </w:rPr>
        <w:t xml:space="preserve">éunion du Comité permanent </w:t>
      </w:r>
    </w:p>
    <w:p w:rsidR="00DF2386"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Gland, Suisse, 24 – 28 juin 2019</w:t>
      </w:r>
    </w:p>
    <w:p w:rsidR="00DF2386" w:rsidRPr="0068025C" w:rsidRDefault="00DF2386" w:rsidP="00014168">
      <w:pPr>
        <w:outlineLvl w:val="0"/>
        <w:rPr>
          <w:b/>
          <w:sz w:val="28"/>
          <w:szCs w:val="28"/>
          <w:lang w:val="fr-FR"/>
        </w:rPr>
      </w:pPr>
    </w:p>
    <w:p w:rsidR="0068025C" w:rsidRPr="0068025C" w:rsidRDefault="0068025C" w:rsidP="0068025C">
      <w:pPr>
        <w:jc w:val="right"/>
        <w:rPr>
          <w:rFonts w:cs="Arial"/>
          <w:sz w:val="28"/>
          <w:szCs w:val="28"/>
          <w:lang w:val="fr-FR"/>
        </w:rPr>
      </w:pPr>
      <w:r w:rsidRPr="0068025C">
        <w:rPr>
          <w:rFonts w:cs="Arial"/>
          <w:b/>
          <w:sz w:val="28"/>
          <w:szCs w:val="28"/>
          <w:lang w:val="fr-FR"/>
        </w:rPr>
        <w:t xml:space="preserve">SC57 Doc.13 </w:t>
      </w:r>
    </w:p>
    <w:p w:rsidR="00DF2386" w:rsidRPr="0068025C" w:rsidRDefault="00DF2386" w:rsidP="00014168">
      <w:pPr>
        <w:rPr>
          <w:rFonts w:cs="Arial"/>
          <w:b/>
          <w:sz w:val="28"/>
          <w:szCs w:val="28"/>
          <w:lang w:val="fr-FR"/>
        </w:rPr>
      </w:pPr>
    </w:p>
    <w:p w:rsidR="00DF2386" w:rsidRPr="0068025C" w:rsidRDefault="00F90D96" w:rsidP="00014168">
      <w:pPr>
        <w:jc w:val="center"/>
        <w:rPr>
          <w:rFonts w:cs="Arial"/>
          <w:b/>
          <w:sz w:val="28"/>
          <w:szCs w:val="28"/>
          <w:lang w:val="fr-FR"/>
        </w:rPr>
      </w:pPr>
      <w:r w:rsidRPr="0068025C">
        <w:rPr>
          <w:rFonts w:cs="Arial"/>
          <w:b/>
          <w:sz w:val="28"/>
          <w:szCs w:val="28"/>
          <w:lang w:val="fr-FR"/>
        </w:rPr>
        <w:t>R</w:t>
      </w:r>
      <w:r w:rsidR="00603158" w:rsidRPr="0068025C">
        <w:rPr>
          <w:rFonts w:cs="Arial"/>
          <w:b/>
          <w:sz w:val="28"/>
          <w:szCs w:val="28"/>
          <w:lang w:val="fr-FR"/>
        </w:rPr>
        <w:t>é</w:t>
      </w:r>
      <w:r w:rsidRPr="0068025C">
        <w:rPr>
          <w:rFonts w:cs="Arial"/>
          <w:b/>
          <w:sz w:val="28"/>
          <w:szCs w:val="28"/>
          <w:lang w:val="fr-FR"/>
        </w:rPr>
        <w:t>vi</w:t>
      </w:r>
      <w:r w:rsidR="00603158" w:rsidRPr="0068025C">
        <w:rPr>
          <w:rFonts w:cs="Arial"/>
          <w:b/>
          <w:sz w:val="28"/>
          <w:szCs w:val="28"/>
          <w:lang w:val="fr-FR"/>
        </w:rPr>
        <w:t>sion d</w:t>
      </w:r>
      <w:r w:rsidR="008A3447" w:rsidRPr="0068025C">
        <w:rPr>
          <w:rFonts w:cs="Arial"/>
          <w:b/>
          <w:sz w:val="28"/>
          <w:szCs w:val="28"/>
          <w:lang w:val="fr-FR"/>
        </w:rPr>
        <w:t>u Règlement intérieur</w:t>
      </w:r>
      <w:r w:rsidRPr="0068025C">
        <w:rPr>
          <w:rFonts w:cs="Arial"/>
          <w:b/>
          <w:sz w:val="28"/>
          <w:szCs w:val="28"/>
          <w:lang w:val="fr-FR"/>
        </w:rPr>
        <w:t xml:space="preserve"> </w:t>
      </w:r>
    </w:p>
    <w:p w:rsidR="00DF2386" w:rsidRDefault="00DF2386" w:rsidP="00014168">
      <w:pPr>
        <w:rPr>
          <w:rFonts w:ascii="Garamond" w:hAnsi="Garamond" w:cs="Arial"/>
          <w:sz w:val="28"/>
          <w:szCs w:val="28"/>
          <w:lang w:val="fr-FR"/>
        </w:rPr>
      </w:pPr>
    </w:p>
    <w:p w:rsidR="0068025C" w:rsidRDefault="0068025C" w:rsidP="00014168">
      <w:pPr>
        <w:rPr>
          <w:rFonts w:ascii="Garamond" w:hAnsi="Garamond" w:cs="Arial"/>
          <w:sz w:val="28"/>
          <w:szCs w:val="28"/>
          <w:lang w:val="fr-FR"/>
        </w:rPr>
      </w:pPr>
      <w:r>
        <w:rPr>
          <w:noProof/>
          <w:lang w:eastAsia="en-GB"/>
        </w:rPr>
        <mc:AlternateContent>
          <mc:Choice Requires="wps">
            <w:drawing>
              <wp:inline distT="0" distB="0" distL="0" distR="0" wp14:anchorId="0F389A14" wp14:editId="097BABDD">
                <wp:extent cx="5731510" cy="3476625"/>
                <wp:effectExtent l="0" t="0" r="2159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76625"/>
                        </a:xfrm>
                        <a:prstGeom prst="rect">
                          <a:avLst/>
                        </a:prstGeom>
                        <a:solidFill>
                          <a:srgbClr val="FFFFFF"/>
                        </a:solidFill>
                        <a:ln w="9525">
                          <a:solidFill>
                            <a:srgbClr val="000000"/>
                          </a:solidFill>
                          <a:miter lim="800000"/>
                          <a:headEnd/>
                          <a:tailEnd/>
                        </a:ln>
                      </wps:spPr>
                      <wps:txbx>
                        <w:txbxContent>
                          <w:p w:rsidR="0068025C" w:rsidRPr="008A3447" w:rsidRDefault="0068025C" w:rsidP="0068025C">
                            <w:pPr>
                              <w:rPr>
                                <w:b/>
                                <w:bCs/>
                                <w:lang w:val="fr-CH"/>
                              </w:rPr>
                            </w:pPr>
                            <w:r w:rsidRPr="008A3447">
                              <w:rPr>
                                <w:b/>
                                <w:bCs/>
                                <w:lang w:val="fr-CH"/>
                              </w:rPr>
                              <w:t xml:space="preserve">Mesures à prendre: </w:t>
                            </w:r>
                          </w:p>
                          <w:p w:rsidR="0068025C" w:rsidRPr="008A3447" w:rsidRDefault="0068025C" w:rsidP="0068025C">
                            <w:pPr>
                              <w:pStyle w:val="ColorfulList-Accent11"/>
                              <w:ind w:left="0"/>
                              <w:rPr>
                                <w:color w:val="000000" w:themeColor="text1"/>
                                <w:lang w:val="fr-CH"/>
                              </w:rPr>
                            </w:pPr>
                          </w:p>
                          <w:p w:rsidR="0068025C" w:rsidRPr="008A3447" w:rsidRDefault="0068025C" w:rsidP="0068025C">
                            <w:pPr>
                              <w:pStyle w:val="ColorfulList-Accent11"/>
                              <w:ind w:left="0" w:firstLine="0"/>
                              <w:rPr>
                                <w:color w:val="000000" w:themeColor="text1"/>
                                <w:lang w:val="fr-CH"/>
                              </w:rPr>
                            </w:pPr>
                            <w:r w:rsidRPr="008A3447">
                              <w:rPr>
                                <w:color w:val="000000" w:themeColor="text1"/>
                                <w:lang w:val="fr-CH"/>
                              </w:rPr>
                              <w:t>Le Comité permanent (C</w:t>
                            </w:r>
                            <w:r>
                              <w:rPr>
                                <w:color w:val="000000" w:themeColor="text1"/>
                                <w:lang w:val="fr-CH"/>
                              </w:rPr>
                              <w:t>P</w:t>
                            </w:r>
                            <w:r w:rsidRPr="008A3447">
                              <w:rPr>
                                <w:color w:val="000000" w:themeColor="text1"/>
                                <w:lang w:val="fr-CH"/>
                              </w:rPr>
                              <w: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examiner les lacunes et les incohérences relevées par le Secrétariat ;</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à prier le</w:t>
                            </w:r>
                            <w:r w:rsidRPr="008A3447">
                              <w:rPr>
                                <w:rFonts w:cs="Calibri"/>
                                <w:color w:val="000000" w:themeColor="text1"/>
                                <w:lang w:val="fr-CH"/>
                              </w:rPr>
                              <w:t xml:space="preserve"> Secrétariat - sur la base de la contribution </w:t>
                            </w:r>
                            <w:r>
                              <w:rPr>
                                <w:rFonts w:cs="Calibri"/>
                                <w:color w:val="000000" w:themeColor="text1"/>
                                <w:lang w:val="fr-CH"/>
                              </w:rPr>
                              <w:t xml:space="preserve">apportée lors de la </w:t>
                            </w:r>
                            <w:r w:rsidRPr="008A3447">
                              <w:rPr>
                                <w:rFonts w:cs="Calibri"/>
                                <w:color w:val="000000" w:themeColor="text1"/>
                                <w:lang w:val="fr-CH"/>
                              </w:rPr>
                              <w:t>57</w:t>
                            </w:r>
                            <w:r w:rsidRPr="00D258B9">
                              <w:rPr>
                                <w:rFonts w:cs="Calibri"/>
                                <w:color w:val="000000" w:themeColor="text1"/>
                                <w:vertAlign w:val="superscript"/>
                                <w:lang w:val="fr-CH"/>
                              </w:rPr>
                              <w:t>e</w:t>
                            </w:r>
                            <w:r>
                              <w:rPr>
                                <w:rFonts w:cs="Calibri"/>
                                <w:color w:val="000000" w:themeColor="text1"/>
                                <w:lang w:val="fr-CH"/>
                              </w:rPr>
                              <w:t xml:space="preserve"> Réunion du Comité permanent</w:t>
                            </w:r>
                            <w:r w:rsidRPr="008A3447">
                              <w:rPr>
                                <w:rFonts w:cs="Calibri"/>
                                <w:color w:val="000000" w:themeColor="text1"/>
                                <w:lang w:val="fr-CH"/>
                              </w:rPr>
                              <w:t xml:space="preserve">, et </w:t>
                            </w:r>
                            <w:r>
                              <w:rPr>
                                <w:rFonts w:cs="Calibri"/>
                                <w:color w:val="000000" w:themeColor="text1"/>
                                <w:lang w:val="fr-CH"/>
                              </w:rPr>
                              <w:t>des</w:t>
                            </w:r>
                            <w:r w:rsidRPr="008A3447">
                              <w:rPr>
                                <w:rFonts w:cs="Calibri"/>
                                <w:color w:val="000000" w:themeColor="text1"/>
                                <w:lang w:val="fr-CH"/>
                              </w:rPr>
                              <w:t xml:space="preserve"> contribution</w:t>
                            </w:r>
                            <w:r>
                              <w:rPr>
                                <w:rFonts w:cs="Calibri"/>
                                <w:color w:val="000000" w:themeColor="text1"/>
                                <w:lang w:val="fr-CH"/>
                              </w:rPr>
                              <w:t>s</w:t>
                            </w:r>
                            <w:r w:rsidRPr="008A3447">
                              <w:rPr>
                                <w:rFonts w:cs="Calibri"/>
                                <w:color w:val="000000" w:themeColor="text1"/>
                                <w:lang w:val="fr-CH"/>
                              </w:rPr>
                              <w:t xml:space="preserve"> supplémentaire</w:t>
                            </w:r>
                            <w:r>
                              <w:rPr>
                                <w:rFonts w:cs="Calibri"/>
                                <w:color w:val="000000" w:themeColor="text1"/>
                                <w:lang w:val="fr-CH"/>
                              </w:rPr>
                              <w:t>s</w:t>
                            </w:r>
                            <w:r w:rsidRPr="008A3447">
                              <w:rPr>
                                <w:rFonts w:cs="Calibri"/>
                                <w:color w:val="000000" w:themeColor="text1"/>
                                <w:lang w:val="fr-CH"/>
                              </w:rPr>
                              <w:t xml:space="preserve"> des Parties intéressées - de préparer un Règlement intérieur révisé pour la Conférence des Parties (COP) et un nouveau Règlement intérieur pour le Comité permanent (appli</w:t>
                            </w:r>
                            <w:r>
                              <w:rPr>
                                <w:rFonts w:cs="Calibri"/>
                                <w:color w:val="000000" w:themeColor="text1"/>
                                <w:lang w:val="fr-CH"/>
                              </w:rPr>
                              <w:t xml:space="preserve">cable </w:t>
                            </w:r>
                            <w:r w:rsidRPr="00D258B9">
                              <w:rPr>
                                <w:rFonts w:cs="Calibri"/>
                                <w:i/>
                                <w:color w:val="000000" w:themeColor="text1"/>
                                <w:lang w:val="fr-CH"/>
                              </w:rPr>
                              <w:t>mutatis mutandis</w:t>
                            </w:r>
                            <w:r w:rsidRPr="008A3447">
                              <w:rPr>
                                <w:rFonts w:cs="Calibri"/>
                                <w:color w:val="000000" w:themeColor="text1"/>
                                <w:lang w:val="fr-CH"/>
                              </w:rPr>
                              <w:t xml:space="preserve"> aux autres organes subsidiaires) pour examen </w:t>
                            </w:r>
                            <w:r>
                              <w:rPr>
                                <w:rFonts w:cs="Calibri"/>
                                <w:color w:val="000000" w:themeColor="text1"/>
                                <w:lang w:val="fr-CH"/>
                              </w:rPr>
                              <w:t xml:space="preserve">à la </w:t>
                            </w:r>
                            <w:r w:rsidRPr="008A3447">
                              <w:rPr>
                                <w:rFonts w:cs="Calibri"/>
                                <w:color w:val="000000" w:themeColor="text1"/>
                                <w:lang w:val="fr-CH"/>
                              </w:rPr>
                              <w:t>58</w:t>
                            </w:r>
                            <w:r w:rsidRPr="00D258B9">
                              <w:rPr>
                                <w:rFonts w:cs="Calibri"/>
                                <w:color w:val="000000" w:themeColor="text1"/>
                                <w:vertAlign w:val="superscript"/>
                                <w:lang w:val="fr-CH"/>
                              </w:rPr>
                              <w:t>e</w:t>
                            </w:r>
                            <w:r>
                              <w:rPr>
                                <w:rFonts w:cs="Calibri"/>
                                <w:color w:val="000000" w:themeColor="text1"/>
                                <w:lang w:val="fr-CH"/>
                              </w:rPr>
                              <w:t xml:space="preserve"> Réunion du Comité permanent ;</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 xml:space="preserve">à </w:t>
                            </w:r>
                            <w:r w:rsidRPr="00D258B9">
                              <w:rPr>
                                <w:rFonts w:cs="Calibri"/>
                                <w:color w:val="000000" w:themeColor="text1"/>
                                <w:lang w:val="fr-CH"/>
                              </w:rPr>
                              <w:t>demander au Secrétariat - sur la base de la contribution apportée lors de la 5</w:t>
                            </w:r>
                            <w:r>
                              <w:rPr>
                                <w:rFonts w:cs="Calibri"/>
                                <w:color w:val="000000" w:themeColor="text1"/>
                                <w:lang w:val="fr-CH"/>
                              </w:rPr>
                              <w:t>8</w:t>
                            </w:r>
                            <w:r w:rsidRPr="00D258B9">
                              <w:rPr>
                                <w:rFonts w:cs="Calibri"/>
                                <w:color w:val="000000" w:themeColor="text1"/>
                                <w:vertAlign w:val="superscript"/>
                                <w:lang w:val="fr-CH"/>
                              </w:rPr>
                              <w:t>e</w:t>
                            </w:r>
                            <w:r>
                              <w:rPr>
                                <w:rFonts w:cs="Calibri"/>
                                <w:color w:val="000000" w:themeColor="text1"/>
                                <w:lang w:val="fr-CH"/>
                              </w:rPr>
                              <w:t xml:space="preserve"> </w:t>
                            </w:r>
                            <w:r w:rsidRPr="00D258B9">
                              <w:rPr>
                                <w:rFonts w:cs="Calibri"/>
                                <w:color w:val="000000" w:themeColor="text1"/>
                                <w:lang w:val="fr-CH"/>
                              </w:rPr>
                              <w:t xml:space="preserve">Réunion du Comité permanent, et des contributions supplémentaires des Parties intéressées - de finaliser un projet de règlement </w:t>
                            </w:r>
                            <w:r>
                              <w:rPr>
                                <w:rFonts w:cs="Calibri"/>
                                <w:color w:val="000000" w:themeColor="text1"/>
                                <w:lang w:val="fr-CH"/>
                              </w:rPr>
                              <w:t xml:space="preserve">intérieur </w:t>
                            </w:r>
                            <w:r w:rsidRPr="00D258B9">
                              <w:rPr>
                                <w:rFonts w:cs="Calibri"/>
                                <w:color w:val="000000" w:themeColor="text1"/>
                                <w:lang w:val="fr-CH"/>
                              </w:rPr>
                              <w:t xml:space="preserve">révisé pour la COP et un nouveau règlement </w:t>
                            </w:r>
                            <w:r>
                              <w:rPr>
                                <w:rFonts w:cs="Calibri"/>
                                <w:color w:val="000000" w:themeColor="text1"/>
                                <w:lang w:val="fr-CH"/>
                              </w:rPr>
                              <w:t xml:space="preserve">intérieur </w:t>
                            </w:r>
                            <w:r w:rsidRPr="00D258B9">
                              <w:rPr>
                                <w:rFonts w:cs="Calibri"/>
                                <w:color w:val="000000" w:themeColor="text1"/>
                                <w:lang w:val="fr-CH"/>
                              </w:rPr>
                              <w:t xml:space="preserve">pour le Comité permanent pour examen </w:t>
                            </w:r>
                            <w:r>
                              <w:rPr>
                                <w:rFonts w:cs="Calibri"/>
                                <w:color w:val="000000" w:themeColor="text1"/>
                                <w:lang w:val="fr-CH"/>
                              </w:rPr>
                              <w:t xml:space="preserve">à la </w:t>
                            </w:r>
                            <w:r w:rsidRPr="00D258B9">
                              <w:rPr>
                                <w:rFonts w:cs="Calibri"/>
                                <w:color w:val="000000" w:themeColor="text1"/>
                                <w:lang w:val="fr-CH"/>
                              </w:rPr>
                              <w:t>59</w:t>
                            </w:r>
                            <w:r w:rsidRPr="00D258B9">
                              <w:rPr>
                                <w:rFonts w:cs="Calibri"/>
                                <w:color w:val="000000" w:themeColor="text1"/>
                                <w:vertAlign w:val="superscript"/>
                                <w:lang w:val="fr-CH"/>
                              </w:rPr>
                              <w:t>e</w:t>
                            </w:r>
                            <w:r>
                              <w:rPr>
                                <w:rFonts w:cs="Calibri"/>
                                <w:color w:val="000000" w:themeColor="text1"/>
                                <w:lang w:val="fr-CH"/>
                              </w:rPr>
                              <w:t xml:space="preserve"> Réunion du Comité permanent</w:t>
                            </w:r>
                            <w:r w:rsidRPr="00D258B9">
                              <w:rPr>
                                <w:rFonts w:cs="Calibri"/>
                                <w:color w:val="000000" w:themeColor="text1"/>
                                <w:lang w:val="fr-CH"/>
                              </w:rPr>
                              <w:t xml:space="preserve"> ; </w:t>
                            </w:r>
                            <w:r>
                              <w:rPr>
                                <w:rFonts w:cs="Calibri"/>
                                <w:color w:val="000000" w:themeColor="text1"/>
                                <w:lang w:val="fr-CH"/>
                              </w:rPr>
                              <w:t>et</w:t>
                            </w:r>
                          </w:p>
                          <w:p w:rsidR="0068025C" w:rsidRPr="008A3447" w:rsidRDefault="0068025C" w:rsidP="0068025C">
                            <w:pPr>
                              <w:pStyle w:val="ColorfulList-Accent11"/>
                              <w:numPr>
                                <w:ilvl w:val="0"/>
                                <w:numId w:val="45"/>
                              </w:numPr>
                              <w:rPr>
                                <w:rFonts w:cs="Calibri"/>
                                <w:lang w:val="fr-CH"/>
                              </w:rPr>
                            </w:pPr>
                            <w:r>
                              <w:rPr>
                                <w:rFonts w:cs="Calibri"/>
                                <w:color w:val="000000" w:themeColor="text1"/>
                                <w:lang w:val="fr-CH"/>
                              </w:rPr>
                              <w:t xml:space="preserve">à </w:t>
                            </w:r>
                            <w:r w:rsidRPr="002247AD">
                              <w:rPr>
                                <w:rFonts w:cs="Calibri"/>
                                <w:color w:val="000000" w:themeColor="text1"/>
                                <w:lang w:val="fr-CH"/>
                              </w:rPr>
                              <w:t xml:space="preserve">recommander à la Conférence des Parties, à sa quatorzième </w:t>
                            </w:r>
                            <w:r>
                              <w:rPr>
                                <w:rFonts w:cs="Calibri"/>
                                <w:color w:val="000000" w:themeColor="text1"/>
                                <w:lang w:val="fr-CH"/>
                              </w:rPr>
                              <w:t>S</w:t>
                            </w:r>
                            <w:r w:rsidRPr="002247AD">
                              <w:rPr>
                                <w:rFonts w:cs="Calibri"/>
                                <w:color w:val="000000" w:themeColor="text1"/>
                                <w:lang w:val="fr-CH"/>
                              </w:rPr>
                              <w:t>ession, d'adopter le</w:t>
                            </w:r>
                            <w:r>
                              <w:rPr>
                                <w:rFonts w:cs="Calibri"/>
                                <w:color w:val="000000" w:themeColor="text1"/>
                                <w:lang w:val="fr-CH"/>
                              </w:rPr>
                              <w:t xml:space="preserve"> Règlement intérieur </w:t>
                            </w:r>
                            <w:r w:rsidRPr="002247AD">
                              <w:rPr>
                                <w:rFonts w:cs="Calibri"/>
                                <w:color w:val="000000" w:themeColor="text1"/>
                                <w:lang w:val="fr-CH"/>
                              </w:rPr>
                              <w:t>révisé pour la Conférence des Parties et le nouv</w:t>
                            </w:r>
                            <w:r>
                              <w:rPr>
                                <w:rFonts w:cs="Calibri"/>
                                <w:color w:val="000000" w:themeColor="text1"/>
                                <w:lang w:val="fr-CH"/>
                              </w:rPr>
                              <w:t xml:space="preserve">eau Règlement intérieur </w:t>
                            </w:r>
                            <w:r w:rsidRPr="002247AD">
                              <w:rPr>
                                <w:rFonts w:cs="Calibri"/>
                                <w:color w:val="000000" w:themeColor="text1"/>
                                <w:lang w:val="fr-CH"/>
                              </w:rPr>
                              <w:t>pour le Comité permanent, qui doivent être approuvés à sa cinquante-neuvième session</w:t>
                            </w:r>
                            <w:r w:rsidRPr="008A3447">
                              <w:rPr>
                                <w:rFonts w:cs="Calibri"/>
                                <w:color w:val="000000" w:themeColor="text1"/>
                                <w:lang w:val="fr-CH"/>
                              </w:rPr>
                              <w:t>.</w:t>
                            </w:r>
                          </w:p>
                          <w:p w:rsidR="0068025C" w:rsidRPr="0068025C" w:rsidRDefault="0068025C" w:rsidP="0068025C">
                            <w:pPr>
                              <w:pStyle w:val="ColorfulList-Accent11"/>
                              <w:ind w:left="709" w:hanging="349"/>
                              <w:rPr>
                                <w:lang w:val="fr-FR"/>
                              </w:rPr>
                            </w:pPr>
                            <w:r w:rsidRPr="0068025C">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0F389A14" id="_x0000_t202" coordsize="21600,21600" o:spt="202" path="m,l,21600r21600,l21600,xe">
                <v:stroke joinstyle="miter"/>
                <v:path gradientshapeok="t" o:connecttype="rect"/>
              </v:shapetype>
              <v:shape id="Text Box 2" o:spid="_x0000_s1026" type="#_x0000_t202" style="width:451.3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x/KQIAAFEEAAAOAAAAZHJzL2Uyb0RvYy54bWysVNtu2zAMfR+wfxD0vjh2c2mNOEWXLsOA&#10;7gK0+wBZlm1hsqhJSuzs60fJbpZdsIdhfhBIkTokD0lvbodOkaOwToIuaDqbUyI0h0rqpqCfn/av&#10;rilxnumKKdCioCfh6O325YtNb3KRQQuqEpYgiHZ5bwraem/yJHG8FR1zMzBCo7EG2zGPqm2SyrIe&#10;0TuVZPP5KunBVsYCF87h7f1opNuIX9eC+4917YQnqqCYm4+njWcZzmS7YXljmWkln9Jg/5BFx6TG&#10;oGeoe+YZOVj5G1QnuQUHtZ9x6BKoa8lFrAGrSee/VPPYMiNiLUiOM2ea3P+D5R+OnyyRVUEzSjTr&#10;sEVPYvDkNQwkC+z0xuXo9GjQzQ94jV2OlTrzAPyLIxp2LdONuLMW+lawCrNLw8vk4umI4wJI2b+H&#10;CsOwg4cINNS2C9QhGQTRsUunc2dCKhwvl+urdJmiiaPtarFerbJljMHy5+fGOv9WQEeCUFCLrY/w&#10;7PjgfEiH5c8uIZoDJau9VCoqtil3ypIjwzHZx29C/8lNadIX9GaJsf8OMY/fnyA66XHelewKen12&#10;Ynng7Y2u4jR6JtUoY8pKT0QG7kYW/VAOU2NKqE5IqYVxrnEPUWjBfqOkx5kuqPt6YFZQot5pbMtN&#10;uliEJYjKYrnOULGXlvLSwjRHqIJ6SkZx58fFORgrmxYjjYOg4Q5bWctIcuj5mNWUN85t5H7asbAY&#10;l3r0+vEn2H4HAAD//wMAUEsDBBQABgAIAAAAIQANH6oN3QAAAAUBAAAPAAAAZHJzL2Rvd25yZXYu&#10;eG1sTI/BTsMwEETvSPyDtUhcEHUobdqGOBVCAtEbFARXN94mEfY62Ns0/D2GC1xWGs1o5m25Hp0V&#10;A4bYeVJwNclAINXedNQoeH25v1yCiKzJaOsJFXxhhHV1elLqwvgjPeOw5UakEoqFVtAy94WUsW7R&#10;6TjxPVLy9j44zUmGRpqgj6ncWTnNslw63VFaaHWPdy3WH9uDU7CcPQ7vcXP99Fbne7vii8Xw8BmU&#10;Oj8bb29AMI78F4Yf/IQOVWLa+QOZKKyC9Aj/3uStsmkOYqdgPlvMQVal/E9ffQMAAP//AwBQSwEC&#10;LQAUAAYACAAAACEAtoM4kv4AAADhAQAAEwAAAAAAAAAAAAAAAAAAAAAAW0NvbnRlbnRfVHlwZXNd&#10;LnhtbFBLAQItABQABgAIAAAAIQA4/SH/1gAAAJQBAAALAAAAAAAAAAAAAAAAAC8BAABfcmVscy8u&#10;cmVsc1BLAQItABQABgAIAAAAIQBe1kx/KQIAAFEEAAAOAAAAAAAAAAAAAAAAAC4CAABkcnMvZTJv&#10;RG9jLnhtbFBLAQItABQABgAIAAAAIQANH6oN3QAAAAUBAAAPAAAAAAAAAAAAAAAAAIMEAABkcnMv&#10;ZG93bnJldi54bWxQSwUGAAAAAAQABADzAAAAjQUAAAAA&#10;">
                <v:textbox>
                  <w:txbxContent>
                    <w:p w:rsidR="0068025C" w:rsidRPr="008A3447" w:rsidRDefault="0068025C" w:rsidP="0068025C">
                      <w:pPr>
                        <w:rPr>
                          <w:b/>
                          <w:bCs/>
                          <w:lang w:val="fr-CH"/>
                        </w:rPr>
                      </w:pPr>
                      <w:r w:rsidRPr="008A3447">
                        <w:rPr>
                          <w:b/>
                          <w:bCs/>
                          <w:lang w:val="fr-CH"/>
                        </w:rPr>
                        <w:t xml:space="preserve">Mesures à prendre: </w:t>
                      </w:r>
                    </w:p>
                    <w:p w:rsidR="0068025C" w:rsidRPr="008A3447" w:rsidRDefault="0068025C" w:rsidP="0068025C">
                      <w:pPr>
                        <w:pStyle w:val="ColorfulList-Accent11"/>
                        <w:ind w:left="0"/>
                        <w:rPr>
                          <w:color w:val="000000" w:themeColor="text1"/>
                          <w:lang w:val="fr-CH"/>
                        </w:rPr>
                      </w:pPr>
                    </w:p>
                    <w:p w:rsidR="0068025C" w:rsidRPr="008A3447" w:rsidRDefault="0068025C" w:rsidP="0068025C">
                      <w:pPr>
                        <w:pStyle w:val="ColorfulList-Accent11"/>
                        <w:ind w:left="0" w:firstLine="0"/>
                        <w:rPr>
                          <w:color w:val="000000" w:themeColor="text1"/>
                          <w:lang w:val="fr-CH"/>
                        </w:rPr>
                      </w:pPr>
                      <w:r w:rsidRPr="008A3447">
                        <w:rPr>
                          <w:color w:val="000000" w:themeColor="text1"/>
                          <w:lang w:val="fr-CH"/>
                        </w:rPr>
                        <w:t>Le Comité permanent (C</w:t>
                      </w:r>
                      <w:r>
                        <w:rPr>
                          <w:color w:val="000000" w:themeColor="text1"/>
                          <w:lang w:val="fr-CH"/>
                        </w:rPr>
                        <w:t>P</w:t>
                      </w:r>
                      <w:r w:rsidRPr="008A3447">
                        <w:rPr>
                          <w:color w:val="000000" w:themeColor="text1"/>
                          <w:lang w:val="fr-CH"/>
                        </w:rPr>
                        <w: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examiner les lacunes et les incohérences relevées par le Secrétariat ;</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à prier le</w:t>
                      </w:r>
                      <w:r w:rsidRPr="008A3447">
                        <w:rPr>
                          <w:rFonts w:cs="Calibri"/>
                          <w:color w:val="000000" w:themeColor="text1"/>
                          <w:lang w:val="fr-CH"/>
                        </w:rPr>
                        <w:t xml:space="preserve"> Secrétariat - sur la base de la contribution </w:t>
                      </w:r>
                      <w:r>
                        <w:rPr>
                          <w:rFonts w:cs="Calibri"/>
                          <w:color w:val="000000" w:themeColor="text1"/>
                          <w:lang w:val="fr-CH"/>
                        </w:rPr>
                        <w:t xml:space="preserve">apportée lors de la </w:t>
                      </w:r>
                      <w:r w:rsidRPr="008A3447">
                        <w:rPr>
                          <w:rFonts w:cs="Calibri"/>
                          <w:color w:val="000000" w:themeColor="text1"/>
                          <w:lang w:val="fr-CH"/>
                        </w:rPr>
                        <w:t>57</w:t>
                      </w:r>
                      <w:r w:rsidRPr="00D258B9">
                        <w:rPr>
                          <w:rFonts w:cs="Calibri"/>
                          <w:color w:val="000000" w:themeColor="text1"/>
                          <w:vertAlign w:val="superscript"/>
                          <w:lang w:val="fr-CH"/>
                        </w:rPr>
                        <w:t>e</w:t>
                      </w:r>
                      <w:r>
                        <w:rPr>
                          <w:rFonts w:cs="Calibri"/>
                          <w:color w:val="000000" w:themeColor="text1"/>
                          <w:lang w:val="fr-CH"/>
                        </w:rPr>
                        <w:t xml:space="preserve"> Réunion du Comité permanent</w:t>
                      </w:r>
                      <w:r w:rsidRPr="008A3447">
                        <w:rPr>
                          <w:rFonts w:cs="Calibri"/>
                          <w:color w:val="000000" w:themeColor="text1"/>
                          <w:lang w:val="fr-CH"/>
                        </w:rPr>
                        <w:t xml:space="preserve">, et </w:t>
                      </w:r>
                      <w:r>
                        <w:rPr>
                          <w:rFonts w:cs="Calibri"/>
                          <w:color w:val="000000" w:themeColor="text1"/>
                          <w:lang w:val="fr-CH"/>
                        </w:rPr>
                        <w:t>des</w:t>
                      </w:r>
                      <w:r w:rsidRPr="008A3447">
                        <w:rPr>
                          <w:rFonts w:cs="Calibri"/>
                          <w:color w:val="000000" w:themeColor="text1"/>
                          <w:lang w:val="fr-CH"/>
                        </w:rPr>
                        <w:t xml:space="preserve"> contribution</w:t>
                      </w:r>
                      <w:r>
                        <w:rPr>
                          <w:rFonts w:cs="Calibri"/>
                          <w:color w:val="000000" w:themeColor="text1"/>
                          <w:lang w:val="fr-CH"/>
                        </w:rPr>
                        <w:t>s</w:t>
                      </w:r>
                      <w:r w:rsidRPr="008A3447">
                        <w:rPr>
                          <w:rFonts w:cs="Calibri"/>
                          <w:color w:val="000000" w:themeColor="text1"/>
                          <w:lang w:val="fr-CH"/>
                        </w:rPr>
                        <w:t xml:space="preserve"> supplémentaire</w:t>
                      </w:r>
                      <w:r>
                        <w:rPr>
                          <w:rFonts w:cs="Calibri"/>
                          <w:color w:val="000000" w:themeColor="text1"/>
                          <w:lang w:val="fr-CH"/>
                        </w:rPr>
                        <w:t>s</w:t>
                      </w:r>
                      <w:r w:rsidRPr="008A3447">
                        <w:rPr>
                          <w:rFonts w:cs="Calibri"/>
                          <w:color w:val="000000" w:themeColor="text1"/>
                          <w:lang w:val="fr-CH"/>
                        </w:rPr>
                        <w:t xml:space="preserve"> des Parties intéressées - de préparer un Règlement intérieur révisé pour la Conférence des Parties (COP) et un nouveau Règlement intérieur pour le Comité permanent (appli</w:t>
                      </w:r>
                      <w:r>
                        <w:rPr>
                          <w:rFonts w:cs="Calibri"/>
                          <w:color w:val="000000" w:themeColor="text1"/>
                          <w:lang w:val="fr-CH"/>
                        </w:rPr>
                        <w:t xml:space="preserve">cable </w:t>
                      </w:r>
                      <w:r w:rsidRPr="00D258B9">
                        <w:rPr>
                          <w:rFonts w:cs="Calibri"/>
                          <w:i/>
                          <w:color w:val="000000" w:themeColor="text1"/>
                          <w:lang w:val="fr-CH"/>
                        </w:rPr>
                        <w:t>mutatis mutandis</w:t>
                      </w:r>
                      <w:r w:rsidRPr="008A3447">
                        <w:rPr>
                          <w:rFonts w:cs="Calibri"/>
                          <w:color w:val="000000" w:themeColor="text1"/>
                          <w:lang w:val="fr-CH"/>
                        </w:rPr>
                        <w:t xml:space="preserve"> aux autres organes subsidiaires) pour examen </w:t>
                      </w:r>
                      <w:r>
                        <w:rPr>
                          <w:rFonts w:cs="Calibri"/>
                          <w:color w:val="000000" w:themeColor="text1"/>
                          <w:lang w:val="fr-CH"/>
                        </w:rPr>
                        <w:t xml:space="preserve">à la </w:t>
                      </w:r>
                      <w:r w:rsidRPr="008A3447">
                        <w:rPr>
                          <w:rFonts w:cs="Calibri"/>
                          <w:color w:val="000000" w:themeColor="text1"/>
                          <w:lang w:val="fr-CH"/>
                        </w:rPr>
                        <w:t>58</w:t>
                      </w:r>
                      <w:r w:rsidRPr="00D258B9">
                        <w:rPr>
                          <w:rFonts w:cs="Calibri"/>
                          <w:color w:val="000000" w:themeColor="text1"/>
                          <w:vertAlign w:val="superscript"/>
                          <w:lang w:val="fr-CH"/>
                        </w:rPr>
                        <w:t>e</w:t>
                      </w:r>
                      <w:r>
                        <w:rPr>
                          <w:rFonts w:cs="Calibri"/>
                          <w:color w:val="000000" w:themeColor="text1"/>
                          <w:lang w:val="fr-CH"/>
                        </w:rPr>
                        <w:t xml:space="preserve"> Réunion du Comité permanent ;</w:t>
                      </w:r>
                    </w:p>
                    <w:p w:rsidR="0068025C" w:rsidRPr="008A3447" w:rsidRDefault="0068025C" w:rsidP="0068025C">
                      <w:pPr>
                        <w:pStyle w:val="ColorfulList-Accent11"/>
                        <w:numPr>
                          <w:ilvl w:val="0"/>
                          <w:numId w:val="45"/>
                        </w:numPr>
                        <w:rPr>
                          <w:rFonts w:cs="Calibri"/>
                          <w:color w:val="000000" w:themeColor="text1"/>
                          <w:lang w:val="fr-CH"/>
                        </w:rPr>
                      </w:pPr>
                      <w:r>
                        <w:rPr>
                          <w:rFonts w:cs="Calibri"/>
                          <w:color w:val="000000" w:themeColor="text1"/>
                          <w:lang w:val="fr-CH"/>
                        </w:rPr>
                        <w:t xml:space="preserve">à </w:t>
                      </w:r>
                      <w:r w:rsidRPr="00D258B9">
                        <w:rPr>
                          <w:rFonts w:cs="Calibri"/>
                          <w:color w:val="000000" w:themeColor="text1"/>
                          <w:lang w:val="fr-CH"/>
                        </w:rPr>
                        <w:t>demander au Secrétariat - sur la base de la contribution apportée lors de la 5</w:t>
                      </w:r>
                      <w:r>
                        <w:rPr>
                          <w:rFonts w:cs="Calibri"/>
                          <w:color w:val="000000" w:themeColor="text1"/>
                          <w:lang w:val="fr-CH"/>
                        </w:rPr>
                        <w:t>8</w:t>
                      </w:r>
                      <w:r w:rsidRPr="00D258B9">
                        <w:rPr>
                          <w:rFonts w:cs="Calibri"/>
                          <w:color w:val="000000" w:themeColor="text1"/>
                          <w:vertAlign w:val="superscript"/>
                          <w:lang w:val="fr-CH"/>
                        </w:rPr>
                        <w:t>e</w:t>
                      </w:r>
                      <w:r>
                        <w:rPr>
                          <w:rFonts w:cs="Calibri"/>
                          <w:color w:val="000000" w:themeColor="text1"/>
                          <w:lang w:val="fr-CH"/>
                        </w:rPr>
                        <w:t xml:space="preserve"> </w:t>
                      </w:r>
                      <w:r w:rsidRPr="00D258B9">
                        <w:rPr>
                          <w:rFonts w:cs="Calibri"/>
                          <w:color w:val="000000" w:themeColor="text1"/>
                          <w:lang w:val="fr-CH"/>
                        </w:rPr>
                        <w:t xml:space="preserve">Réunion du Comité permanent, et des contributions supplémentaires des Parties intéressées - de finaliser un projet de règlement </w:t>
                      </w:r>
                      <w:r>
                        <w:rPr>
                          <w:rFonts w:cs="Calibri"/>
                          <w:color w:val="000000" w:themeColor="text1"/>
                          <w:lang w:val="fr-CH"/>
                        </w:rPr>
                        <w:t xml:space="preserve">intérieur </w:t>
                      </w:r>
                      <w:r w:rsidRPr="00D258B9">
                        <w:rPr>
                          <w:rFonts w:cs="Calibri"/>
                          <w:color w:val="000000" w:themeColor="text1"/>
                          <w:lang w:val="fr-CH"/>
                        </w:rPr>
                        <w:t xml:space="preserve">révisé pour la COP et un nouveau règlement </w:t>
                      </w:r>
                      <w:r>
                        <w:rPr>
                          <w:rFonts w:cs="Calibri"/>
                          <w:color w:val="000000" w:themeColor="text1"/>
                          <w:lang w:val="fr-CH"/>
                        </w:rPr>
                        <w:t xml:space="preserve">intérieur </w:t>
                      </w:r>
                      <w:r w:rsidRPr="00D258B9">
                        <w:rPr>
                          <w:rFonts w:cs="Calibri"/>
                          <w:color w:val="000000" w:themeColor="text1"/>
                          <w:lang w:val="fr-CH"/>
                        </w:rPr>
                        <w:t xml:space="preserve">pour le Comité permanent pour examen </w:t>
                      </w:r>
                      <w:r>
                        <w:rPr>
                          <w:rFonts w:cs="Calibri"/>
                          <w:color w:val="000000" w:themeColor="text1"/>
                          <w:lang w:val="fr-CH"/>
                        </w:rPr>
                        <w:t xml:space="preserve">à la </w:t>
                      </w:r>
                      <w:r w:rsidRPr="00D258B9">
                        <w:rPr>
                          <w:rFonts w:cs="Calibri"/>
                          <w:color w:val="000000" w:themeColor="text1"/>
                          <w:lang w:val="fr-CH"/>
                        </w:rPr>
                        <w:t>59</w:t>
                      </w:r>
                      <w:r w:rsidRPr="00D258B9">
                        <w:rPr>
                          <w:rFonts w:cs="Calibri"/>
                          <w:color w:val="000000" w:themeColor="text1"/>
                          <w:vertAlign w:val="superscript"/>
                          <w:lang w:val="fr-CH"/>
                        </w:rPr>
                        <w:t>e</w:t>
                      </w:r>
                      <w:r>
                        <w:rPr>
                          <w:rFonts w:cs="Calibri"/>
                          <w:color w:val="000000" w:themeColor="text1"/>
                          <w:lang w:val="fr-CH"/>
                        </w:rPr>
                        <w:t xml:space="preserve"> Réunion du Comité permanent</w:t>
                      </w:r>
                      <w:r w:rsidRPr="00D258B9">
                        <w:rPr>
                          <w:rFonts w:cs="Calibri"/>
                          <w:color w:val="000000" w:themeColor="text1"/>
                          <w:lang w:val="fr-CH"/>
                        </w:rPr>
                        <w:t xml:space="preserve"> ; </w:t>
                      </w:r>
                      <w:r>
                        <w:rPr>
                          <w:rFonts w:cs="Calibri"/>
                          <w:color w:val="000000" w:themeColor="text1"/>
                          <w:lang w:val="fr-CH"/>
                        </w:rPr>
                        <w:t>et</w:t>
                      </w:r>
                    </w:p>
                    <w:p w:rsidR="0068025C" w:rsidRPr="008A3447" w:rsidRDefault="0068025C" w:rsidP="0068025C">
                      <w:pPr>
                        <w:pStyle w:val="ColorfulList-Accent11"/>
                        <w:numPr>
                          <w:ilvl w:val="0"/>
                          <w:numId w:val="45"/>
                        </w:numPr>
                        <w:rPr>
                          <w:rFonts w:cs="Calibri"/>
                          <w:lang w:val="fr-CH"/>
                        </w:rPr>
                      </w:pPr>
                      <w:r>
                        <w:rPr>
                          <w:rFonts w:cs="Calibri"/>
                          <w:color w:val="000000" w:themeColor="text1"/>
                          <w:lang w:val="fr-CH"/>
                        </w:rPr>
                        <w:t xml:space="preserve">à </w:t>
                      </w:r>
                      <w:r w:rsidRPr="002247AD">
                        <w:rPr>
                          <w:rFonts w:cs="Calibri"/>
                          <w:color w:val="000000" w:themeColor="text1"/>
                          <w:lang w:val="fr-CH"/>
                        </w:rPr>
                        <w:t xml:space="preserve">recommander à la Conférence des Parties, à sa quatorzième </w:t>
                      </w:r>
                      <w:r>
                        <w:rPr>
                          <w:rFonts w:cs="Calibri"/>
                          <w:color w:val="000000" w:themeColor="text1"/>
                          <w:lang w:val="fr-CH"/>
                        </w:rPr>
                        <w:t>S</w:t>
                      </w:r>
                      <w:r w:rsidRPr="002247AD">
                        <w:rPr>
                          <w:rFonts w:cs="Calibri"/>
                          <w:color w:val="000000" w:themeColor="text1"/>
                          <w:lang w:val="fr-CH"/>
                        </w:rPr>
                        <w:t>ession, d'adopter le</w:t>
                      </w:r>
                      <w:r>
                        <w:rPr>
                          <w:rFonts w:cs="Calibri"/>
                          <w:color w:val="000000" w:themeColor="text1"/>
                          <w:lang w:val="fr-CH"/>
                        </w:rPr>
                        <w:t xml:space="preserve"> Règlement intérieur </w:t>
                      </w:r>
                      <w:r w:rsidRPr="002247AD">
                        <w:rPr>
                          <w:rFonts w:cs="Calibri"/>
                          <w:color w:val="000000" w:themeColor="text1"/>
                          <w:lang w:val="fr-CH"/>
                        </w:rPr>
                        <w:t>révisé pour la Conférence des Parties et le nouv</w:t>
                      </w:r>
                      <w:r>
                        <w:rPr>
                          <w:rFonts w:cs="Calibri"/>
                          <w:color w:val="000000" w:themeColor="text1"/>
                          <w:lang w:val="fr-CH"/>
                        </w:rPr>
                        <w:t xml:space="preserve">eau Règlement intérieur </w:t>
                      </w:r>
                      <w:r w:rsidRPr="002247AD">
                        <w:rPr>
                          <w:rFonts w:cs="Calibri"/>
                          <w:color w:val="000000" w:themeColor="text1"/>
                          <w:lang w:val="fr-CH"/>
                        </w:rPr>
                        <w:t>pour le Comité permanent, qui doivent être approuvés à sa cinquante-neuvième session</w:t>
                      </w:r>
                      <w:r w:rsidRPr="008A3447">
                        <w:rPr>
                          <w:rFonts w:cs="Calibri"/>
                          <w:color w:val="000000" w:themeColor="text1"/>
                          <w:lang w:val="fr-CH"/>
                        </w:rPr>
                        <w:t>.</w:t>
                      </w:r>
                    </w:p>
                    <w:p w:rsidR="0068025C" w:rsidRPr="0068025C" w:rsidRDefault="0068025C" w:rsidP="0068025C">
                      <w:pPr>
                        <w:pStyle w:val="ColorfulList-Accent11"/>
                        <w:ind w:left="709" w:hanging="349"/>
                        <w:rPr>
                          <w:lang w:val="fr-FR"/>
                        </w:rPr>
                      </w:pPr>
                      <w:r w:rsidRPr="0068025C">
                        <w:rPr>
                          <w:rFonts w:cs="Calibri"/>
                          <w:lang w:val="fr-FR"/>
                        </w:rPr>
                        <w:t xml:space="preserve"> </w:t>
                      </w:r>
                    </w:p>
                  </w:txbxContent>
                </v:textbox>
                <w10:anchorlock/>
              </v:shape>
            </w:pict>
          </mc:Fallback>
        </mc:AlternateContent>
      </w:r>
    </w:p>
    <w:p w:rsidR="0068025C" w:rsidRDefault="0068025C" w:rsidP="00014168">
      <w:pPr>
        <w:rPr>
          <w:rFonts w:ascii="Garamond" w:hAnsi="Garamond" w:cs="Arial"/>
          <w:sz w:val="28"/>
          <w:szCs w:val="28"/>
          <w:lang w:val="fr-FR"/>
        </w:rPr>
      </w:pPr>
    </w:p>
    <w:p w:rsidR="00532491" w:rsidRDefault="00532491" w:rsidP="00532491">
      <w:pPr>
        <w:rPr>
          <w:rFonts w:cs="Arial"/>
          <w:highlight w:val="yellow"/>
        </w:rPr>
      </w:pPr>
    </w:p>
    <w:p w:rsidR="005B5B77" w:rsidRPr="005B5B77" w:rsidRDefault="005B5B77" w:rsidP="005B5B77">
      <w:pPr>
        <w:rPr>
          <w:rFonts w:cs="Arial"/>
          <w:lang w:val="fr-FR"/>
        </w:rPr>
      </w:pPr>
      <w:r w:rsidRPr="005B5B77">
        <w:rPr>
          <w:rFonts w:cs="Arial"/>
          <w:lang w:val="fr-FR"/>
        </w:rPr>
        <w:t xml:space="preserve">1. </w:t>
      </w:r>
      <w:r>
        <w:rPr>
          <w:rFonts w:cs="Arial"/>
          <w:lang w:val="fr-FR"/>
        </w:rPr>
        <w:tab/>
      </w:r>
      <w:bookmarkStart w:id="0" w:name="_GoBack"/>
      <w:bookmarkEnd w:id="0"/>
      <w:r w:rsidRPr="005B5B77">
        <w:rPr>
          <w:rFonts w:cs="Arial"/>
          <w:lang w:val="fr-FR"/>
        </w:rPr>
        <w:t>Le présent document a été préparé par le Secrétariat et le Conseiller juridique.</w:t>
      </w:r>
    </w:p>
    <w:p w:rsidR="0068025C" w:rsidRPr="005B5B77" w:rsidRDefault="0068025C" w:rsidP="00014168">
      <w:pPr>
        <w:rPr>
          <w:rFonts w:cs="Arial"/>
          <w:b/>
          <w:lang w:val="fr-FR"/>
        </w:rPr>
      </w:pPr>
    </w:p>
    <w:p w:rsidR="000C2489" w:rsidRPr="008A3447" w:rsidRDefault="00013DF9" w:rsidP="00014168">
      <w:pPr>
        <w:rPr>
          <w:rFonts w:cs="Arial"/>
          <w:b/>
          <w:lang w:val="fr-FR"/>
        </w:rPr>
      </w:pPr>
      <w:r>
        <w:rPr>
          <w:rFonts w:cs="Arial"/>
          <w:b/>
          <w:lang w:val="fr-FR"/>
        </w:rPr>
        <w:t>Généralités</w:t>
      </w:r>
      <w:r w:rsidR="00F90D96" w:rsidRPr="008A3447">
        <w:rPr>
          <w:rFonts w:cs="Arial"/>
          <w:b/>
          <w:lang w:val="fr-FR"/>
        </w:rPr>
        <w:t xml:space="preserve"> </w:t>
      </w:r>
    </w:p>
    <w:p w:rsidR="000C2489" w:rsidRPr="008A3447" w:rsidRDefault="000C2489" w:rsidP="00014168">
      <w:pPr>
        <w:rPr>
          <w:rFonts w:ascii="Garamond" w:hAnsi="Garamond" w:cs="Arial"/>
          <w:lang w:val="fr-FR"/>
        </w:rPr>
      </w:pPr>
    </w:p>
    <w:p w:rsidR="001A2D10" w:rsidRPr="008A3447" w:rsidRDefault="00532491" w:rsidP="00275F13">
      <w:pPr>
        <w:rPr>
          <w:rFonts w:cs="Arial"/>
          <w:lang w:val="fr-FR"/>
        </w:rPr>
      </w:pPr>
      <w:r>
        <w:rPr>
          <w:rFonts w:cs="Arial"/>
          <w:lang w:val="fr-FR"/>
        </w:rPr>
        <w:t>2</w:t>
      </w:r>
      <w:r w:rsidR="00275F13" w:rsidRPr="008A3447">
        <w:rPr>
          <w:rFonts w:cs="Arial"/>
          <w:lang w:val="fr-FR"/>
        </w:rPr>
        <w:t>.</w:t>
      </w:r>
      <w:r w:rsidR="00275F13" w:rsidRPr="008A3447">
        <w:rPr>
          <w:rFonts w:cs="Arial"/>
          <w:lang w:val="fr-FR"/>
        </w:rPr>
        <w:tab/>
      </w:r>
      <w:r w:rsidR="00013DF9">
        <w:rPr>
          <w:rFonts w:cs="Arial"/>
          <w:lang w:val="fr-FR"/>
        </w:rPr>
        <w:t xml:space="preserve">Dans la </w:t>
      </w:r>
      <w:r w:rsidR="00F90D96" w:rsidRPr="008A3447">
        <w:rPr>
          <w:rFonts w:cs="Arial"/>
          <w:lang w:val="fr-FR"/>
        </w:rPr>
        <w:t>R</w:t>
      </w:r>
      <w:r w:rsidR="00013DF9">
        <w:rPr>
          <w:rFonts w:cs="Arial"/>
          <w:lang w:val="fr-FR"/>
        </w:rPr>
        <w:t>é</w:t>
      </w:r>
      <w:r w:rsidR="00F90D96" w:rsidRPr="008A3447">
        <w:rPr>
          <w:rFonts w:cs="Arial"/>
          <w:lang w:val="fr-FR"/>
        </w:rPr>
        <w:t xml:space="preserve">solution </w:t>
      </w:r>
      <w:r w:rsidR="00F146B5" w:rsidRPr="008A3447">
        <w:rPr>
          <w:rFonts w:cs="Arial"/>
          <w:lang w:val="fr-FR"/>
        </w:rPr>
        <w:t>XIII.4</w:t>
      </w:r>
      <w:r w:rsidR="006D09BD" w:rsidRPr="008A3447">
        <w:rPr>
          <w:rFonts w:cs="Arial"/>
          <w:lang w:val="fr-FR"/>
        </w:rPr>
        <w:t xml:space="preserve">, </w:t>
      </w:r>
      <w:r w:rsidR="00A346B4" w:rsidRPr="00013DF9">
        <w:rPr>
          <w:rFonts w:cs="Arial"/>
          <w:i/>
          <w:lang w:val="fr-FR"/>
        </w:rPr>
        <w:t>Responsabilités</w:t>
      </w:r>
      <w:r w:rsidR="00013DF9" w:rsidRPr="00013DF9">
        <w:rPr>
          <w:rFonts w:cs="Arial"/>
          <w:i/>
          <w:lang w:val="fr-FR"/>
        </w:rPr>
        <w:t xml:space="preserve">, </w:t>
      </w:r>
      <w:r w:rsidR="00A346B4" w:rsidRPr="00013DF9">
        <w:rPr>
          <w:rFonts w:cs="Arial"/>
          <w:i/>
          <w:lang w:val="fr-FR"/>
        </w:rPr>
        <w:t>rôle</w:t>
      </w:r>
      <w:r w:rsidR="00013DF9" w:rsidRPr="00013DF9">
        <w:rPr>
          <w:rFonts w:cs="Arial"/>
          <w:i/>
          <w:lang w:val="fr-FR"/>
        </w:rPr>
        <w:t xml:space="preserve"> et composition du </w:t>
      </w:r>
      <w:r w:rsidR="00A346B4" w:rsidRPr="00013DF9">
        <w:rPr>
          <w:rFonts w:cs="Arial"/>
          <w:i/>
          <w:lang w:val="fr-FR"/>
        </w:rPr>
        <w:t>Comité</w:t>
      </w:r>
      <w:r w:rsidR="00013DF9" w:rsidRPr="00013DF9">
        <w:rPr>
          <w:rFonts w:cs="Arial"/>
          <w:i/>
          <w:lang w:val="fr-FR"/>
        </w:rPr>
        <w:t xml:space="preserve">́ permanent et </w:t>
      </w:r>
      <w:r w:rsidR="00A346B4" w:rsidRPr="00013DF9">
        <w:rPr>
          <w:rFonts w:cs="Arial"/>
          <w:i/>
          <w:lang w:val="fr-FR"/>
        </w:rPr>
        <w:t>répartition</w:t>
      </w:r>
      <w:r w:rsidR="00013DF9" w:rsidRPr="00013DF9">
        <w:rPr>
          <w:rFonts w:cs="Arial"/>
          <w:i/>
          <w:lang w:val="fr-FR"/>
        </w:rPr>
        <w:t xml:space="preserve"> </w:t>
      </w:r>
      <w:r w:rsidR="00A346B4" w:rsidRPr="00013DF9">
        <w:rPr>
          <w:rFonts w:cs="Arial"/>
          <w:i/>
          <w:lang w:val="fr-FR"/>
        </w:rPr>
        <w:t>régionale</w:t>
      </w:r>
      <w:r w:rsidR="00013DF9" w:rsidRPr="00013DF9">
        <w:rPr>
          <w:rFonts w:cs="Arial"/>
          <w:i/>
          <w:lang w:val="fr-FR"/>
        </w:rPr>
        <w:t xml:space="preserve"> des pays dans le cadre de la Convention de Ramsar</w:t>
      </w:r>
      <w:r w:rsidR="0033715B" w:rsidRPr="008A3447">
        <w:rPr>
          <w:rFonts w:cs="Arial"/>
          <w:lang w:val="fr-FR"/>
        </w:rPr>
        <w:t xml:space="preserve">, </w:t>
      </w:r>
      <w:r w:rsidR="00013DF9">
        <w:rPr>
          <w:rFonts w:cs="Arial"/>
          <w:lang w:val="fr-FR"/>
        </w:rPr>
        <w:t>au</w:t>
      </w:r>
      <w:r w:rsidR="0033715B" w:rsidRPr="008A3447">
        <w:rPr>
          <w:rFonts w:cs="Arial"/>
          <w:lang w:val="fr-FR"/>
        </w:rPr>
        <w:t xml:space="preserve"> </w:t>
      </w:r>
      <w:r w:rsidR="006D09BD" w:rsidRPr="008A3447">
        <w:rPr>
          <w:rFonts w:cs="Arial"/>
          <w:lang w:val="fr-FR"/>
        </w:rPr>
        <w:t>paragraph</w:t>
      </w:r>
      <w:r w:rsidR="00013DF9">
        <w:rPr>
          <w:rFonts w:cs="Arial"/>
          <w:lang w:val="fr-FR"/>
        </w:rPr>
        <w:t>e</w:t>
      </w:r>
      <w:r w:rsidR="006D09BD" w:rsidRPr="008A3447">
        <w:rPr>
          <w:rFonts w:cs="Arial"/>
          <w:lang w:val="fr-FR"/>
        </w:rPr>
        <w:t xml:space="preserve"> 26</w:t>
      </w:r>
      <w:r w:rsidR="00BD1845" w:rsidRPr="008A3447">
        <w:rPr>
          <w:rFonts w:cs="Arial"/>
          <w:lang w:val="fr-FR"/>
        </w:rPr>
        <w:t xml:space="preserve">, </w:t>
      </w:r>
      <w:r w:rsidR="00A346B4">
        <w:rPr>
          <w:rFonts w:cs="Arial"/>
          <w:lang w:val="fr-FR"/>
        </w:rPr>
        <w:t xml:space="preserve">la </w:t>
      </w:r>
      <w:r w:rsidR="00BD1845" w:rsidRPr="008A3447">
        <w:rPr>
          <w:rFonts w:cs="Arial"/>
          <w:lang w:val="fr-FR"/>
        </w:rPr>
        <w:t>Conf</w:t>
      </w:r>
      <w:r w:rsidR="00013DF9">
        <w:rPr>
          <w:rFonts w:cs="Arial"/>
          <w:lang w:val="fr-FR"/>
        </w:rPr>
        <w:t>é</w:t>
      </w:r>
      <w:r w:rsidR="00BD1845" w:rsidRPr="008A3447">
        <w:rPr>
          <w:rFonts w:cs="Arial"/>
          <w:lang w:val="fr-FR"/>
        </w:rPr>
        <w:t xml:space="preserve">rence </w:t>
      </w:r>
      <w:r w:rsidR="00013DF9">
        <w:rPr>
          <w:rFonts w:cs="Arial"/>
          <w:lang w:val="fr-FR"/>
        </w:rPr>
        <w:t xml:space="preserve">des </w:t>
      </w:r>
      <w:r w:rsidR="00BD1845" w:rsidRPr="008A3447">
        <w:rPr>
          <w:rFonts w:cs="Arial"/>
          <w:lang w:val="fr-FR"/>
        </w:rPr>
        <w:t>Parties</w:t>
      </w:r>
      <w:r w:rsidR="00F146B5" w:rsidRPr="008A3447">
        <w:rPr>
          <w:rFonts w:cs="Arial"/>
          <w:lang w:val="fr-FR"/>
        </w:rPr>
        <w:t xml:space="preserve"> </w:t>
      </w:r>
      <w:r w:rsidR="00013DF9">
        <w:rPr>
          <w:rFonts w:cs="Arial"/>
          <w:lang w:val="fr-FR"/>
        </w:rPr>
        <w:t xml:space="preserve">charge le </w:t>
      </w:r>
      <w:r w:rsidR="006D09BD" w:rsidRPr="008A3447">
        <w:rPr>
          <w:rFonts w:cs="Arial"/>
          <w:lang w:val="fr-FR"/>
        </w:rPr>
        <w:t>Secr</w:t>
      </w:r>
      <w:r w:rsidR="00013DF9">
        <w:rPr>
          <w:rFonts w:cs="Arial"/>
          <w:lang w:val="fr-FR"/>
        </w:rPr>
        <w:t>é</w:t>
      </w:r>
      <w:r w:rsidR="006D09BD" w:rsidRPr="008A3447">
        <w:rPr>
          <w:rFonts w:cs="Arial"/>
          <w:lang w:val="fr-FR"/>
        </w:rPr>
        <w:t>tariat</w:t>
      </w:r>
      <w:r w:rsidR="00013DF9">
        <w:rPr>
          <w:rFonts w:cs="Arial"/>
          <w:lang w:val="fr-FR"/>
        </w:rPr>
        <w:t> :</w:t>
      </w:r>
      <w:r w:rsidR="006D09BD" w:rsidRPr="008A3447">
        <w:rPr>
          <w:rFonts w:cs="Arial"/>
          <w:lang w:val="fr-FR"/>
        </w:rPr>
        <w:t xml:space="preserve"> </w:t>
      </w:r>
    </w:p>
    <w:p w:rsidR="006D09BD" w:rsidRPr="008A3447" w:rsidRDefault="006D09BD" w:rsidP="006D09BD">
      <w:pPr>
        <w:keepNext/>
        <w:ind w:left="0" w:firstLine="0"/>
        <w:rPr>
          <w:rFonts w:asciiTheme="minorHAnsi" w:hAnsiTheme="minorHAnsi" w:cstheme="minorHAnsi"/>
          <w:lang w:val="fr-FR"/>
        </w:rPr>
      </w:pPr>
    </w:p>
    <w:p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lang w:val="fr-FR"/>
        </w:rPr>
        <w:t xml:space="preserve">a. </w:t>
      </w:r>
      <w:r w:rsidRPr="008A3447">
        <w:rPr>
          <w:rFonts w:asciiTheme="minorHAnsi" w:hAnsiTheme="minorHAnsi" w:cstheme="minorHAnsi"/>
          <w:lang w:val="fr-FR"/>
        </w:rPr>
        <w:tab/>
      </w:r>
      <w:r w:rsidR="00013DF9" w:rsidRPr="00013DF9">
        <w:rPr>
          <w:rFonts w:asciiTheme="minorHAnsi" w:hAnsiTheme="minorHAnsi" w:cstheme="minorHAnsi"/>
          <w:i/>
          <w:lang w:val="fr-FR"/>
        </w:rPr>
        <w:t>de conduire un examen du R</w:t>
      </w:r>
      <w:r w:rsidR="00013DF9">
        <w:rPr>
          <w:rFonts w:asciiTheme="minorHAnsi" w:hAnsiTheme="minorHAnsi" w:cstheme="minorHAnsi"/>
          <w:i/>
          <w:lang w:val="fr-FR"/>
        </w:rPr>
        <w:t>è</w:t>
      </w:r>
      <w:r w:rsidR="00013DF9" w:rsidRPr="00013DF9">
        <w:rPr>
          <w:rFonts w:asciiTheme="minorHAnsi" w:hAnsiTheme="minorHAnsi" w:cstheme="minorHAnsi"/>
          <w:i/>
          <w:lang w:val="fr-FR"/>
        </w:rPr>
        <w:t>glement int</w:t>
      </w:r>
      <w:r w:rsidR="00013DF9">
        <w:rPr>
          <w:rFonts w:asciiTheme="minorHAnsi" w:hAnsiTheme="minorHAnsi" w:cstheme="minorHAnsi"/>
          <w:i/>
          <w:lang w:val="fr-FR"/>
        </w:rPr>
        <w:t>é</w:t>
      </w:r>
      <w:r w:rsidR="00013DF9" w:rsidRPr="00013DF9">
        <w:rPr>
          <w:rFonts w:asciiTheme="minorHAnsi" w:hAnsiTheme="minorHAnsi" w:cstheme="minorHAnsi"/>
          <w:i/>
          <w:lang w:val="fr-FR"/>
        </w:rPr>
        <w:t>rieur en identifiant le texte, le cas échéant, qui n’est plus valable ou applicable, est contradictoire ou incohérent avec les pratiques actuelles de Ramsar et l’applicabilité des articles aux organes subsidiaires, y compris le Comité permanent, les groupes de travail et les groupes d’Amis du Président et, à la 57e Réunion du Comité permanent, de faire rapport sur ses conclusions, notamment avec des informations sur la manière dont il est parvenu à ces conclusions</w:t>
      </w:r>
      <w:r w:rsidR="00013DF9">
        <w:rPr>
          <w:rFonts w:asciiTheme="minorHAnsi" w:hAnsiTheme="minorHAnsi" w:cstheme="minorHAnsi"/>
          <w:i/>
          <w:lang w:val="fr-FR"/>
        </w:rPr>
        <w:t> ;</w:t>
      </w:r>
    </w:p>
    <w:p w:rsidR="006D09BD" w:rsidRPr="008A3447" w:rsidRDefault="006D09BD" w:rsidP="006D09BD">
      <w:pPr>
        <w:ind w:left="850"/>
        <w:rPr>
          <w:rFonts w:asciiTheme="minorHAnsi" w:hAnsiTheme="minorHAnsi" w:cstheme="minorHAnsi"/>
          <w:i/>
          <w:lang w:val="fr-FR"/>
        </w:rPr>
      </w:pPr>
    </w:p>
    <w:p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t>b.</w:t>
      </w:r>
      <w:r w:rsidRPr="008A3447">
        <w:rPr>
          <w:rFonts w:asciiTheme="minorHAnsi" w:hAnsiTheme="minorHAnsi" w:cstheme="minorHAnsi"/>
          <w:i/>
          <w:lang w:val="fr-FR"/>
        </w:rPr>
        <w:tab/>
      </w:r>
      <w:r w:rsidR="00013DF9" w:rsidRPr="00013DF9">
        <w:rPr>
          <w:rFonts w:asciiTheme="minorHAnsi" w:hAnsiTheme="minorHAnsi" w:cstheme="minorHAnsi"/>
          <w:i/>
          <w:lang w:val="fr-FR"/>
        </w:rPr>
        <w:t xml:space="preserve">en conduisant l’examen mentionné ci-dessus, </w:t>
      </w:r>
      <w:r w:rsidR="00013DF9">
        <w:rPr>
          <w:rFonts w:asciiTheme="minorHAnsi" w:hAnsiTheme="minorHAnsi" w:cstheme="minorHAnsi"/>
          <w:i/>
          <w:lang w:val="fr-FR"/>
        </w:rPr>
        <w:t xml:space="preserve">de </w:t>
      </w:r>
      <w:r w:rsidR="00013DF9" w:rsidRPr="00013DF9">
        <w:rPr>
          <w:rFonts w:asciiTheme="minorHAnsi" w:hAnsiTheme="minorHAnsi" w:cstheme="minorHAnsi"/>
          <w:i/>
          <w:lang w:val="fr-FR"/>
        </w:rPr>
        <w:t>tenir dûment compte de toute proposition d'amendement au Règlement intérieur qui n'a pas été examinée à la 13e Session de la Conférence des Parties contractantes</w:t>
      </w:r>
      <w:r w:rsidR="00013DF9">
        <w:rPr>
          <w:rFonts w:asciiTheme="minorHAnsi" w:hAnsiTheme="minorHAnsi" w:cstheme="minorHAnsi"/>
          <w:i/>
          <w:lang w:val="fr-FR"/>
        </w:rPr>
        <w:t xml:space="preserve"> ; </w:t>
      </w:r>
      <w:r w:rsidR="00013DF9" w:rsidRPr="00013DF9">
        <w:rPr>
          <w:rFonts w:asciiTheme="minorHAnsi" w:hAnsiTheme="minorHAnsi" w:cstheme="minorHAnsi"/>
          <w:i/>
          <w:lang w:val="fr-FR"/>
        </w:rPr>
        <w:t xml:space="preserve">et </w:t>
      </w:r>
    </w:p>
    <w:p w:rsidR="006D09BD" w:rsidRPr="008A3447" w:rsidRDefault="006D09BD" w:rsidP="006D09BD">
      <w:pPr>
        <w:ind w:left="850"/>
        <w:rPr>
          <w:rFonts w:asciiTheme="minorHAnsi" w:hAnsiTheme="minorHAnsi" w:cstheme="minorHAnsi"/>
          <w:i/>
          <w:lang w:val="fr-FR"/>
        </w:rPr>
      </w:pPr>
    </w:p>
    <w:p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lastRenderedPageBreak/>
        <w:t xml:space="preserve">c. </w:t>
      </w:r>
      <w:r w:rsidRPr="008A3447">
        <w:rPr>
          <w:rFonts w:asciiTheme="minorHAnsi" w:hAnsiTheme="minorHAnsi" w:cstheme="minorHAnsi"/>
          <w:i/>
          <w:lang w:val="fr-FR"/>
        </w:rPr>
        <w:tab/>
      </w:r>
      <w:r w:rsidR="00013DF9" w:rsidRPr="00013DF9">
        <w:rPr>
          <w:rFonts w:asciiTheme="minorHAnsi" w:hAnsiTheme="minorHAnsi" w:cstheme="minorHAnsi"/>
          <w:i/>
          <w:lang w:val="fr-FR"/>
        </w:rPr>
        <w:t>d’élaborer,</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s’il</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y</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a</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lieu,</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d’après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ses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conclusions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et</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les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commentaires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des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Parties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contractantes sur son rapport à la 57</w:t>
      </w:r>
      <w:r w:rsidR="00013DF9" w:rsidRPr="0037052C">
        <w:rPr>
          <w:rFonts w:asciiTheme="minorHAnsi" w:hAnsiTheme="minorHAnsi" w:cstheme="minorHAnsi"/>
          <w:i/>
          <w:vertAlign w:val="superscript"/>
          <w:lang w:val="fr-FR"/>
        </w:rPr>
        <w:t>e</w:t>
      </w:r>
      <w:r w:rsidR="00013DF9" w:rsidRPr="00013DF9">
        <w:rPr>
          <w:rFonts w:asciiTheme="minorHAnsi" w:hAnsiTheme="minorHAnsi" w:cstheme="minorHAnsi"/>
          <w:i/>
          <w:lang w:val="fr-FR"/>
        </w:rPr>
        <w:t xml:space="preserve"> Réunion du Comité permanent, des recommandations pour les Parties contractantes à la 58</w:t>
      </w:r>
      <w:r w:rsidR="0037052C" w:rsidRPr="0037052C">
        <w:rPr>
          <w:rFonts w:asciiTheme="minorHAnsi" w:hAnsiTheme="minorHAnsi" w:cstheme="minorHAnsi"/>
          <w:i/>
          <w:vertAlign w:val="superscript"/>
          <w:lang w:val="fr-FR"/>
        </w:rPr>
        <w:t>e</w:t>
      </w:r>
      <w:r w:rsidR="00013DF9" w:rsidRPr="00013DF9">
        <w:rPr>
          <w:rFonts w:asciiTheme="minorHAnsi" w:hAnsiTheme="minorHAnsi" w:cstheme="minorHAnsi"/>
          <w:i/>
          <w:lang w:val="fr-FR"/>
        </w:rPr>
        <w:t>Réunion du Comité permanent en vue d’envisager les révisions qui pourraient être apportées au Règlement intérieur en préparation de la COP14</w:t>
      </w:r>
      <w:r w:rsidR="0037052C">
        <w:rPr>
          <w:rFonts w:asciiTheme="minorHAnsi" w:hAnsiTheme="minorHAnsi" w:cstheme="minorHAnsi"/>
          <w:i/>
          <w:lang w:val="fr-FR"/>
        </w:rPr>
        <w:t>.</w:t>
      </w:r>
      <w:r w:rsidRPr="008A3447">
        <w:rPr>
          <w:rFonts w:asciiTheme="minorHAnsi" w:hAnsiTheme="minorHAnsi" w:cstheme="minorHAnsi"/>
          <w:i/>
          <w:lang w:val="fr-FR"/>
        </w:rPr>
        <w:t xml:space="preserve"> </w:t>
      </w:r>
    </w:p>
    <w:p w:rsidR="001A2D10" w:rsidRPr="008A3447" w:rsidRDefault="001A2D10" w:rsidP="006D09BD">
      <w:pPr>
        <w:ind w:left="0" w:firstLine="0"/>
        <w:rPr>
          <w:rFonts w:cs="Arial"/>
          <w:lang w:val="fr-FR"/>
        </w:rPr>
      </w:pPr>
    </w:p>
    <w:p w:rsidR="007F0335" w:rsidRPr="008A3447" w:rsidRDefault="00532491" w:rsidP="007303A4">
      <w:pPr>
        <w:pStyle w:val="NoSpacing"/>
        <w:rPr>
          <w:lang w:val="fr-FR"/>
        </w:rPr>
      </w:pPr>
      <w:r>
        <w:rPr>
          <w:lang w:val="fr-FR"/>
        </w:rPr>
        <w:t>3</w:t>
      </w:r>
      <w:r w:rsidR="002E2CFF" w:rsidRPr="008A3447">
        <w:rPr>
          <w:lang w:val="fr-FR"/>
        </w:rPr>
        <w:t>.</w:t>
      </w:r>
      <w:r w:rsidR="002E2CFF" w:rsidRPr="008A3447">
        <w:rPr>
          <w:lang w:val="fr-FR"/>
        </w:rPr>
        <w:tab/>
      </w:r>
      <w:r w:rsidR="0037052C">
        <w:rPr>
          <w:lang w:val="fr-FR"/>
        </w:rPr>
        <w:t xml:space="preserve">À </w:t>
      </w:r>
      <w:r w:rsidR="0037052C" w:rsidRPr="0037052C">
        <w:rPr>
          <w:lang w:val="fr-FR"/>
        </w:rPr>
        <w:t xml:space="preserve">titre </w:t>
      </w:r>
      <w:r w:rsidR="0037052C">
        <w:rPr>
          <w:lang w:val="fr-FR"/>
        </w:rPr>
        <w:t>d’information supplémentaire</w:t>
      </w:r>
      <w:r w:rsidR="0037052C" w:rsidRPr="0037052C">
        <w:rPr>
          <w:lang w:val="fr-FR"/>
        </w:rPr>
        <w:t>, l'</w:t>
      </w:r>
      <w:r w:rsidR="005706CE">
        <w:rPr>
          <w:lang w:val="fr-FR"/>
        </w:rPr>
        <w:t>a</w:t>
      </w:r>
      <w:r w:rsidR="0037052C" w:rsidRPr="0037052C">
        <w:rPr>
          <w:lang w:val="fr-FR"/>
        </w:rPr>
        <w:t xml:space="preserve">rticle 25.5 dispose que </w:t>
      </w:r>
      <w:r w:rsidR="0037052C">
        <w:rPr>
          <w:lang w:val="fr-FR"/>
        </w:rPr>
        <w:t>« </w:t>
      </w:r>
      <w:r w:rsidR="00702A9D" w:rsidRPr="00702A9D">
        <w:rPr>
          <w:i/>
          <w:lang w:val="fr-FR"/>
        </w:rPr>
        <w:t xml:space="preserve">Sauf décision contraire de la Conférence des Parties, le présent Règlement intérieur régit </w:t>
      </w:r>
      <w:r w:rsidR="00702A9D" w:rsidRPr="00702A9D">
        <w:rPr>
          <w:lang w:val="fr-FR"/>
        </w:rPr>
        <w:t>mutatis mutandis</w:t>
      </w:r>
      <w:r w:rsidR="00702A9D" w:rsidRPr="00702A9D">
        <w:rPr>
          <w:i/>
          <w:lang w:val="fr-FR"/>
        </w:rPr>
        <w:t xml:space="preserve"> les travaux des organes subsidiaires</w:t>
      </w:r>
      <w:r w:rsidR="00702A9D">
        <w:rPr>
          <w:lang w:val="fr-FR"/>
        </w:rPr>
        <w:t>… »</w:t>
      </w:r>
      <w:r w:rsidR="0037052C" w:rsidRPr="0037052C">
        <w:rPr>
          <w:lang w:val="fr-FR"/>
        </w:rPr>
        <w:t xml:space="preserve"> à quelques exceptions près. Toutefois, on ne sait pas toujours clairement quel</w:t>
      </w:r>
      <w:r w:rsidR="00702A9D">
        <w:rPr>
          <w:lang w:val="fr-FR"/>
        </w:rPr>
        <w:t xml:space="preserve">s articles </w:t>
      </w:r>
      <w:r w:rsidR="0037052C" w:rsidRPr="0037052C">
        <w:rPr>
          <w:lang w:val="fr-FR"/>
        </w:rPr>
        <w:t xml:space="preserve">s'appliquent aux réunions de ces autres organes, ce qui </w:t>
      </w:r>
      <w:r w:rsidR="005706CE">
        <w:rPr>
          <w:lang w:val="fr-FR"/>
        </w:rPr>
        <w:t>prête à</w:t>
      </w:r>
      <w:r w:rsidR="0037052C" w:rsidRPr="0037052C">
        <w:rPr>
          <w:lang w:val="fr-FR"/>
        </w:rPr>
        <w:t xml:space="preserve"> confusion.</w:t>
      </w:r>
      <w:r w:rsidR="003D11DA" w:rsidRPr="008A3447">
        <w:rPr>
          <w:lang w:val="fr-FR"/>
        </w:rPr>
        <w:t xml:space="preserve"> </w:t>
      </w:r>
    </w:p>
    <w:p w:rsidR="003176B4" w:rsidRPr="008A3447" w:rsidRDefault="003176B4" w:rsidP="003176B4">
      <w:pPr>
        <w:pStyle w:val="NoSpacing"/>
        <w:ind w:left="0" w:firstLine="0"/>
        <w:rPr>
          <w:lang w:val="fr-FR"/>
        </w:rPr>
      </w:pPr>
    </w:p>
    <w:p w:rsidR="00A340E6" w:rsidRPr="008A3447" w:rsidRDefault="00532491" w:rsidP="005706CE">
      <w:pPr>
        <w:pStyle w:val="NoSpacing"/>
        <w:rPr>
          <w:lang w:val="fr-FR"/>
        </w:rPr>
      </w:pPr>
      <w:r>
        <w:rPr>
          <w:lang w:val="fr-FR"/>
        </w:rPr>
        <w:t>4</w:t>
      </w:r>
      <w:r w:rsidR="002E2CFF" w:rsidRPr="008A3447">
        <w:rPr>
          <w:lang w:val="fr-FR"/>
        </w:rPr>
        <w:t>.</w:t>
      </w:r>
      <w:r w:rsidR="002E2CFF" w:rsidRPr="008A3447">
        <w:rPr>
          <w:lang w:val="fr-FR"/>
        </w:rPr>
        <w:tab/>
      </w:r>
      <w:r w:rsidR="00972F4D" w:rsidRPr="00972F4D">
        <w:rPr>
          <w:lang w:val="fr-FR"/>
        </w:rPr>
        <w:t>Il convient de noter que le document COP13 Doc.4.2, présenté à la 13</w:t>
      </w:r>
      <w:r w:rsidR="00972F4D" w:rsidRPr="005706CE">
        <w:rPr>
          <w:vertAlign w:val="superscript"/>
          <w:lang w:val="fr-FR"/>
        </w:rPr>
        <w:t>e</w:t>
      </w:r>
      <w:r w:rsidR="00972F4D" w:rsidRPr="00972F4D">
        <w:rPr>
          <w:lang w:val="fr-FR"/>
        </w:rPr>
        <w:t xml:space="preserve"> </w:t>
      </w:r>
      <w:r w:rsidR="006F3D9A">
        <w:rPr>
          <w:lang w:val="fr-FR"/>
        </w:rPr>
        <w:t>S</w:t>
      </w:r>
      <w:r w:rsidR="00972F4D" w:rsidRPr="00972F4D">
        <w:rPr>
          <w:lang w:val="fr-FR"/>
        </w:rPr>
        <w:t>ession de la Conférence des Parties contractantes (COP13) expose les amendements proposés au Règlement intérieur par l</w:t>
      </w:r>
      <w:r w:rsidR="006F3D9A">
        <w:rPr>
          <w:lang w:val="fr-FR"/>
        </w:rPr>
        <w:t>es États-Unis d’Amérique, le</w:t>
      </w:r>
      <w:r w:rsidR="00972F4D" w:rsidRPr="00972F4D">
        <w:rPr>
          <w:lang w:val="fr-FR"/>
        </w:rPr>
        <w:t xml:space="preserve"> Japon</w:t>
      </w:r>
      <w:r w:rsidR="006F3D9A">
        <w:rPr>
          <w:lang w:val="fr-FR"/>
        </w:rPr>
        <w:t xml:space="preserve"> et</w:t>
      </w:r>
      <w:r w:rsidR="00972F4D" w:rsidRPr="00972F4D">
        <w:rPr>
          <w:lang w:val="fr-FR"/>
        </w:rPr>
        <w:t xml:space="preserve"> la Suède.</w:t>
      </w:r>
    </w:p>
    <w:p w:rsidR="007F0335" w:rsidRPr="008A3447" w:rsidRDefault="007F0335" w:rsidP="007303A4">
      <w:pPr>
        <w:pStyle w:val="NoSpacing"/>
        <w:rPr>
          <w:lang w:val="fr-FR"/>
        </w:rPr>
      </w:pPr>
    </w:p>
    <w:p w:rsidR="00DE4500" w:rsidRPr="008A3447" w:rsidRDefault="00DE4500" w:rsidP="00DE4500">
      <w:pPr>
        <w:pStyle w:val="NoSpacing"/>
        <w:ind w:left="0" w:firstLine="0"/>
        <w:rPr>
          <w:lang w:val="fr-FR"/>
        </w:rPr>
      </w:pPr>
    </w:p>
    <w:p w:rsidR="0000041A" w:rsidRPr="008A3447" w:rsidRDefault="00F66E6C" w:rsidP="00275F13">
      <w:pPr>
        <w:pStyle w:val="NoSpacing"/>
        <w:rPr>
          <w:b/>
          <w:lang w:val="fr-FR"/>
        </w:rPr>
      </w:pPr>
      <w:r w:rsidRPr="008A3447">
        <w:rPr>
          <w:b/>
          <w:lang w:val="fr-FR"/>
        </w:rPr>
        <w:t>P</w:t>
      </w:r>
      <w:r w:rsidR="005706CE">
        <w:rPr>
          <w:b/>
          <w:lang w:val="fr-FR"/>
        </w:rPr>
        <w:t>remière p</w:t>
      </w:r>
      <w:r w:rsidRPr="008A3447">
        <w:rPr>
          <w:b/>
          <w:lang w:val="fr-FR"/>
        </w:rPr>
        <w:t>art</w:t>
      </w:r>
      <w:r w:rsidR="006F3D9A">
        <w:rPr>
          <w:b/>
          <w:lang w:val="fr-FR"/>
        </w:rPr>
        <w:t>ie</w:t>
      </w:r>
      <w:r w:rsidR="005706CE">
        <w:rPr>
          <w:b/>
          <w:lang w:val="fr-FR"/>
        </w:rPr>
        <w:t> :</w:t>
      </w:r>
      <w:r w:rsidR="006F3D9A">
        <w:rPr>
          <w:b/>
          <w:lang w:val="fr-FR"/>
        </w:rPr>
        <w:t xml:space="preserve"> </w:t>
      </w:r>
      <w:r w:rsidR="00A801E9" w:rsidRPr="008A3447">
        <w:rPr>
          <w:b/>
          <w:lang w:val="fr-FR"/>
        </w:rPr>
        <w:t>M</w:t>
      </w:r>
      <w:r w:rsidR="006F3D9A">
        <w:rPr>
          <w:b/>
          <w:lang w:val="fr-FR"/>
        </w:rPr>
        <w:t>é</w:t>
      </w:r>
      <w:r w:rsidR="00A801E9" w:rsidRPr="008A3447">
        <w:rPr>
          <w:b/>
          <w:lang w:val="fr-FR"/>
        </w:rPr>
        <w:t>thod</w:t>
      </w:r>
      <w:r w:rsidR="006F3D9A">
        <w:rPr>
          <w:b/>
          <w:lang w:val="fr-FR"/>
        </w:rPr>
        <w:t>e</w:t>
      </w:r>
      <w:r w:rsidR="00A346B4">
        <w:rPr>
          <w:b/>
          <w:lang w:val="fr-FR"/>
        </w:rPr>
        <w:t xml:space="preserve"> </w:t>
      </w:r>
    </w:p>
    <w:p w:rsidR="0000041A" w:rsidRPr="008A3447" w:rsidRDefault="0000041A" w:rsidP="00275F13">
      <w:pPr>
        <w:pStyle w:val="NoSpacing"/>
        <w:rPr>
          <w:lang w:val="fr-FR"/>
        </w:rPr>
      </w:pPr>
    </w:p>
    <w:p w:rsidR="00A801E9" w:rsidRPr="008A3447" w:rsidRDefault="00532491" w:rsidP="00A801E9">
      <w:pPr>
        <w:pStyle w:val="NoSpacing"/>
        <w:rPr>
          <w:lang w:val="fr-FR"/>
        </w:rPr>
      </w:pPr>
      <w:r>
        <w:rPr>
          <w:lang w:val="fr-FR"/>
        </w:rPr>
        <w:t>5</w:t>
      </w:r>
      <w:r w:rsidR="003D07AF" w:rsidRPr="008A3447">
        <w:rPr>
          <w:lang w:val="fr-FR"/>
        </w:rPr>
        <w:t>.</w:t>
      </w:r>
      <w:r w:rsidR="003D07AF" w:rsidRPr="008A3447">
        <w:rPr>
          <w:lang w:val="fr-FR"/>
        </w:rPr>
        <w:tab/>
      </w:r>
      <w:r w:rsidR="00107843" w:rsidRPr="00107843">
        <w:rPr>
          <w:lang w:val="fr-FR"/>
        </w:rPr>
        <w:t xml:space="preserve">Aux fins de la présente réunion (SC57), le Secrétariat est </w:t>
      </w:r>
      <w:r w:rsidR="001D000E">
        <w:rPr>
          <w:lang w:val="fr-FR"/>
        </w:rPr>
        <w:t>prié</w:t>
      </w:r>
      <w:r w:rsidR="00107843" w:rsidRPr="00107843">
        <w:rPr>
          <w:lang w:val="fr-FR"/>
        </w:rPr>
        <w:t xml:space="preserve"> d'examiner les éléments énoncés aux alinéas 1.a et 1.b ci-dessus</w:t>
      </w:r>
      <w:r w:rsidR="00A801E9" w:rsidRPr="008A3447">
        <w:rPr>
          <w:lang w:val="fr-FR"/>
        </w:rPr>
        <w:t xml:space="preserve">. </w:t>
      </w:r>
    </w:p>
    <w:p w:rsidR="000C2489" w:rsidRPr="008A3447" w:rsidRDefault="000C2489" w:rsidP="003D07AF">
      <w:pPr>
        <w:pStyle w:val="NoSpacing"/>
        <w:ind w:left="0" w:firstLine="0"/>
        <w:rPr>
          <w:lang w:val="fr-FR"/>
        </w:rPr>
      </w:pPr>
    </w:p>
    <w:p w:rsidR="00A85AC1" w:rsidRPr="008A3447" w:rsidRDefault="00532491" w:rsidP="00D50999">
      <w:pPr>
        <w:pStyle w:val="NoSpacing"/>
        <w:rPr>
          <w:lang w:val="fr-FR"/>
        </w:rPr>
      </w:pPr>
      <w:r>
        <w:rPr>
          <w:lang w:val="fr-FR"/>
        </w:rPr>
        <w:t>6</w:t>
      </w:r>
      <w:r w:rsidR="00275F13" w:rsidRPr="008A3447">
        <w:rPr>
          <w:lang w:val="fr-FR"/>
        </w:rPr>
        <w:t>.</w:t>
      </w:r>
      <w:r w:rsidR="00275F13" w:rsidRPr="008A3447">
        <w:rPr>
          <w:lang w:val="fr-FR"/>
        </w:rPr>
        <w:tab/>
      </w:r>
      <w:r w:rsidR="001D000E">
        <w:rPr>
          <w:lang w:val="fr-FR"/>
        </w:rPr>
        <w:t xml:space="preserve">L’alinéa </w:t>
      </w:r>
      <w:r w:rsidR="002632D2" w:rsidRPr="008A3447">
        <w:rPr>
          <w:lang w:val="fr-FR"/>
        </w:rPr>
        <w:t>1.</w:t>
      </w:r>
      <w:r w:rsidR="00A85AC1" w:rsidRPr="008A3447">
        <w:rPr>
          <w:lang w:val="fr-FR"/>
        </w:rPr>
        <w:t xml:space="preserve">a </w:t>
      </w:r>
      <w:r w:rsidR="001D000E">
        <w:rPr>
          <w:lang w:val="fr-FR"/>
        </w:rPr>
        <w:t xml:space="preserve">peut être divisé </w:t>
      </w:r>
      <w:r w:rsidR="001D000E" w:rsidRPr="001D000E">
        <w:rPr>
          <w:lang w:val="fr-FR"/>
        </w:rPr>
        <w:t>en deux composantes distinctes</w:t>
      </w:r>
      <w:r w:rsidR="001D000E">
        <w:rPr>
          <w:lang w:val="fr-FR"/>
        </w:rPr>
        <w:t> :</w:t>
      </w:r>
      <w:r w:rsidR="00A85AC1" w:rsidRPr="008A3447">
        <w:rPr>
          <w:lang w:val="fr-FR"/>
        </w:rPr>
        <w:t xml:space="preserve"> </w:t>
      </w:r>
    </w:p>
    <w:p w:rsidR="007F0335" w:rsidRPr="008A3447" w:rsidRDefault="00A85AC1" w:rsidP="007303A4">
      <w:pPr>
        <w:pStyle w:val="NoSpacing"/>
        <w:numPr>
          <w:ilvl w:val="0"/>
          <w:numId w:val="41"/>
        </w:numPr>
        <w:ind w:left="1440" w:hanging="720"/>
        <w:rPr>
          <w:lang w:val="fr-FR"/>
        </w:rPr>
      </w:pPr>
      <w:r w:rsidRPr="008A3447">
        <w:rPr>
          <w:lang w:val="fr-FR"/>
        </w:rPr>
        <w:t>Identif</w:t>
      </w:r>
      <w:r w:rsidR="001D000E">
        <w:rPr>
          <w:lang w:val="fr-FR"/>
        </w:rPr>
        <w:t xml:space="preserve">ier le contenu qui n’est plus valable ou qui ne s’applique plus, qui est </w:t>
      </w:r>
      <w:r w:rsidR="00ED3422">
        <w:rPr>
          <w:lang w:val="fr-FR"/>
        </w:rPr>
        <w:t>antinomique ou qui est incompatible avec les pratiques actuelles</w:t>
      </w:r>
      <w:r w:rsidR="005706CE">
        <w:rPr>
          <w:lang w:val="fr-FR"/>
        </w:rPr>
        <w:t xml:space="preserve"> de la Convention de Ramsar</w:t>
      </w:r>
      <w:r w:rsidRPr="008A3447">
        <w:rPr>
          <w:lang w:val="fr-FR"/>
        </w:rPr>
        <w:t xml:space="preserve">. </w:t>
      </w:r>
      <w:r w:rsidR="00A23850" w:rsidRPr="008A3447">
        <w:rPr>
          <w:lang w:val="fr-FR"/>
        </w:rPr>
        <w:br/>
      </w:r>
      <w:r w:rsidR="00ED3422">
        <w:rPr>
          <w:lang w:val="fr-FR"/>
        </w:rPr>
        <w:t>L’</w:t>
      </w:r>
      <w:r w:rsidRPr="008A3447">
        <w:rPr>
          <w:lang w:val="fr-FR"/>
        </w:rPr>
        <w:t>analys</w:t>
      </w:r>
      <w:r w:rsidR="00ED3422">
        <w:rPr>
          <w:lang w:val="fr-FR"/>
        </w:rPr>
        <w:t xml:space="preserve">e de cette composante est présentée dans le </w:t>
      </w:r>
      <w:r w:rsidRPr="008A3447">
        <w:rPr>
          <w:b/>
          <w:lang w:val="fr-FR"/>
        </w:rPr>
        <w:t>Table</w:t>
      </w:r>
      <w:r w:rsidR="00ED3422">
        <w:rPr>
          <w:b/>
          <w:lang w:val="fr-FR"/>
        </w:rPr>
        <w:t>au</w:t>
      </w:r>
      <w:r w:rsidRPr="008A3447">
        <w:rPr>
          <w:b/>
          <w:lang w:val="fr-FR"/>
        </w:rPr>
        <w:t xml:space="preserve"> 1</w:t>
      </w:r>
      <w:r w:rsidRPr="008A3447">
        <w:rPr>
          <w:lang w:val="fr-FR"/>
        </w:rPr>
        <w:t xml:space="preserve">, </w:t>
      </w:r>
      <w:r w:rsidR="00ED3422">
        <w:rPr>
          <w:lang w:val="fr-FR"/>
        </w:rPr>
        <w:t>ci-dessous</w:t>
      </w:r>
      <w:r w:rsidRPr="008A3447">
        <w:rPr>
          <w:lang w:val="fr-FR"/>
        </w:rPr>
        <w:t>.</w:t>
      </w:r>
      <w:r w:rsidR="00A346B4">
        <w:rPr>
          <w:lang w:val="fr-FR"/>
        </w:rPr>
        <w:t xml:space="preserve"> </w:t>
      </w:r>
    </w:p>
    <w:p w:rsidR="007F0335" w:rsidRPr="008A3447" w:rsidRDefault="00B42683" w:rsidP="007303A4">
      <w:pPr>
        <w:pStyle w:val="NoSpacing"/>
        <w:numPr>
          <w:ilvl w:val="0"/>
          <w:numId w:val="41"/>
        </w:numPr>
        <w:ind w:left="1440" w:hanging="720"/>
        <w:rPr>
          <w:lang w:val="fr-FR"/>
        </w:rPr>
      </w:pPr>
      <w:r w:rsidRPr="00B42683">
        <w:rPr>
          <w:lang w:val="fr-FR"/>
        </w:rPr>
        <w:t xml:space="preserve">Déterminer l'applicabilité du Règlement aux organes subsidiaires, </w:t>
      </w:r>
      <w:r w:rsidR="00E84F39">
        <w:rPr>
          <w:lang w:val="fr-FR"/>
        </w:rPr>
        <w:t>notamment au</w:t>
      </w:r>
      <w:r w:rsidRPr="00B42683">
        <w:rPr>
          <w:lang w:val="fr-FR"/>
        </w:rPr>
        <w:t xml:space="preserve"> Comité permanent, </w:t>
      </w:r>
      <w:r w:rsidR="00E84F39">
        <w:rPr>
          <w:lang w:val="fr-FR"/>
        </w:rPr>
        <w:t>aux</w:t>
      </w:r>
      <w:r w:rsidRPr="00B42683">
        <w:rPr>
          <w:lang w:val="fr-FR"/>
        </w:rPr>
        <w:t xml:space="preserve"> groupes de travail et </w:t>
      </w:r>
      <w:r w:rsidR="00E84F39">
        <w:rPr>
          <w:lang w:val="fr-FR"/>
        </w:rPr>
        <w:t>aux</w:t>
      </w:r>
      <w:r w:rsidRPr="00B42683">
        <w:rPr>
          <w:lang w:val="fr-FR"/>
        </w:rPr>
        <w:t xml:space="preserve"> groupes </w:t>
      </w:r>
      <w:r w:rsidR="008412FA">
        <w:rPr>
          <w:lang w:val="fr-FR"/>
        </w:rPr>
        <w:t>d’A</w:t>
      </w:r>
      <w:r w:rsidRPr="00B42683">
        <w:rPr>
          <w:lang w:val="fr-FR"/>
        </w:rPr>
        <w:t>mis d</w:t>
      </w:r>
      <w:r w:rsidR="00E84F39">
        <w:rPr>
          <w:lang w:val="fr-FR"/>
        </w:rPr>
        <w:t>u président</w:t>
      </w:r>
      <w:r w:rsidRPr="00B42683">
        <w:rPr>
          <w:lang w:val="fr-FR"/>
        </w:rPr>
        <w:t xml:space="preserve">. </w:t>
      </w:r>
      <w:r w:rsidR="00331AA3" w:rsidRPr="008A3447">
        <w:rPr>
          <w:lang w:val="fr-FR"/>
        </w:rPr>
        <w:br/>
      </w:r>
      <w:r w:rsidR="00E84F39" w:rsidRPr="00E84F39">
        <w:rPr>
          <w:lang w:val="fr-FR"/>
        </w:rPr>
        <w:t xml:space="preserve">L’analyse de cette composante est présentée dans le </w:t>
      </w:r>
      <w:r w:rsidR="00E84F39" w:rsidRPr="005706CE">
        <w:rPr>
          <w:b/>
          <w:lang w:val="fr-FR"/>
        </w:rPr>
        <w:t>Tableau 2</w:t>
      </w:r>
      <w:r w:rsidR="00E84F39" w:rsidRPr="00E84F39">
        <w:rPr>
          <w:lang w:val="fr-FR"/>
        </w:rPr>
        <w:t>, ci-dessous</w:t>
      </w:r>
      <w:r w:rsidR="00A85AC1" w:rsidRPr="008A3447">
        <w:rPr>
          <w:lang w:val="fr-FR"/>
        </w:rPr>
        <w:t xml:space="preserve">. </w:t>
      </w:r>
    </w:p>
    <w:p w:rsidR="00A85AC1" w:rsidRPr="008A3447" w:rsidRDefault="00A85AC1" w:rsidP="00A85AC1">
      <w:pPr>
        <w:pStyle w:val="NoSpacing"/>
        <w:ind w:left="0" w:firstLine="0"/>
        <w:rPr>
          <w:lang w:val="fr-FR"/>
        </w:rPr>
      </w:pPr>
    </w:p>
    <w:p w:rsidR="00A340E6" w:rsidRPr="008A3447" w:rsidRDefault="00532491" w:rsidP="0019058C">
      <w:pPr>
        <w:pStyle w:val="NoSpacing"/>
        <w:rPr>
          <w:lang w:val="fr-FR"/>
        </w:rPr>
      </w:pPr>
      <w:r>
        <w:rPr>
          <w:lang w:val="fr-FR"/>
        </w:rPr>
        <w:t>7</w:t>
      </w:r>
      <w:r w:rsidR="00A85AC1" w:rsidRPr="008A3447">
        <w:rPr>
          <w:lang w:val="fr-FR"/>
        </w:rPr>
        <w:t xml:space="preserve">. </w:t>
      </w:r>
      <w:r w:rsidR="00A85AC1" w:rsidRPr="008A3447">
        <w:rPr>
          <w:lang w:val="fr-FR"/>
        </w:rPr>
        <w:tab/>
      </w:r>
      <w:r w:rsidR="00E84F39" w:rsidRPr="00E84F39">
        <w:rPr>
          <w:lang w:val="fr-FR"/>
        </w:rPr>
        <w:t xml:space="preserve">L'alinéa 1.b implique que le Secrétariat doit proposer des amendements, en tenant dûment compte des amendements qui n'ont pas été examinés à la COP13. Les modifications proposées sont incluses, au besoin, dans les </w:t>
      </w:r>
      <w:r w:rsidR="00E84F39" w:rsidRPr="00E84F39">
        <w:rPr>
          <w:color w:val="000000" w:themeColor="text1"/>
          <w:lang w:val="fr-FR"/>
        </w:rPr>
        <w:t>Tableaux 1 et 2</w:t>
      </w:r>
      <w:r w:rsidR="00E84F39" w:rsidRPr="00E84F39">
        <w:rPr>
          <w:lang w:val="fr-FR"/>
        </w:rPr>
        <w:t xml:space="preserve"> ci-dessous (et sont explicitement liées aux questions identifiées dans ces tableaux).</w:t>
      </w:r>
    </w:p>
    <w:p w:rsidR="00A85AC1" w:rsidRPr="008A3447" w:rsidRDefault="00A85AC1" w:rsidP="00A85AC1">
      <w:pPr>
        <w:pStyle w:val="NoSpacing"/>
        <w:rPr>
          <w:lang w:val="fr-FR"/>
        </w:rPr>
      </w:pPr>
    </w:p>
    <w:p w:rsidR="00532491" w:rsidRDefault="00532491" w:rsidP="003131FF">
      <w:pPr>
        <w:pStyle w:val="NoSpacing"/>
        <w:ind w:left="720" w:hanging="720"/>
        <w:rPr>
          <w:b/>
          <w:lang w:val="fr-FR"/>
        </w:rPr>
      </w:pPr>
    </w:p>
    <w:p w:rsidR="007F0335" w:rsidRPr="008A3447" w:rsidRDefault="003131FF" w:rsidP="0036762F">
      <w:pPr>
        <w:pStyle w:val="NoSpacing"/>
        <w:keepNext/>
        <w:ind w:left="0" w:firstLine="0"/>
        <w:rPr>
          <w:b/>
          <w:lang w:val="fr-FR"/>
        </w:rPr>
      </w:pPr>
      <w:r w:rsidRPr="008A3447">
        <w:rPr>
          <w:b/>
          <w:lang w:val="fr-FR"/>
        </w:rPr>
        <w:lastRenderedPageBreak/>
        <w:t>Part</w:t>
      </w:r>
      <w:r w:rsidR="00E84F39">
        <w:rPr>
          <w:b/>
          <w:lang w:val="fr-FR"/>
        </w:rPr>
        <w:t xml:space="preserve">ie </w:t>
      </w:r>
      <w:r w:rsidRPr="008A3447">
        <w:rPr>
          <w:b/>
          <w:lang w:val="fr-FR"/>
        </w:rPr>
        <w:t>2</w:t>
      </w:r>
      <w:r w:rsidR="005706CE">
        <w:rPr>
          <w:b/>
          <w:lang w:val="fr-FR"/>
        </w:rPr>
        <w:t xml:space="preserve"> </w:t>
      </w:r>
      <w:r w:rsidRPr="008A3447">
        <w:rPr>
          <w:b/>
          <w:lang w:val="fr-FR"/>
        </w:rPr>
        <w:t>:</w:t>
      </w:r>
      <w:r w:rsidR="00E84F39">
        <w:rPr>
          <w:b/>
          <w:lang w:val="fr-FR"/>
        </w:rPr>
        <w:t xml:space="preserve"> Articles dont </w:t>
      </w:r>
      <w:r w:rsidR="00E84F39" w:rsidRPr="00E84F39">
        <w:rPr>
          <w:b/>
          <w:lang w:val="fr-FR"/>
        </w:rPr>
        <w:t>le contenu qui n’est plus valable ou qui ne s’applique plus, qui est antinomique ou qui est incompatible avec les pratiques actuelles</w:t>
      </w:r>
      <w:r w:rsidR="005706CE">
        <w:rPr>
          <w:b/>
          <w:lang w:val="fr-FR"/>
        </w:rPr>
        <w:t xml:space="preserve"> de la Convention de Ramsar</w:t>
      </w:r>
      <w:r w:rsidR="00E84F39" w:rsidRPr="00E84F39">
        <w:rPr>
          <w:b/>
          <w:lang w:val="fr-FR"/>
        </w:rPr>
        <w:t xml:space="preserve"> </w:t>
      </w:r>
      <w:r w:rsidR="001E0DB7" w:rsidRPr="008A3447">
        <w:rPr>
          <w:b/>
          <w:lang w:val="fr-FR"/>
        </w:rPr>
        <w:t>(</w:t>
      </w:r>
      <w:r w:rsidR="00E84F39">
        <w:rPr>
          <w:b/>
          <w:lang w:val="fr-FR"/>
        </w:rPr>
        <w:t>et amendements recommandés</w:t>
      </w:r>
      <w:r w:rsidR="001E0DB7" w:rsidRPr="008A3447">
        <w:rPr>
          <w:b/>
          <w:lang w:val="fr-FR"/>
        </w:rPr>
        <w:t xml:space="preserve">) </w:t>
      </w:r>
    </w:p>
    <w:p w:rsidR="004C4168" w:rsidRPr="008A3447" w:rsidRDefault="004C4168" w:rsidP="0036762F">
      <w:pPr>
        <w:pStyle w:val="NoSpacing"/>
        <w:keepNext/>
        <w:ind w:left="709" w:hanging="709"/>
        <w:rPr>
          <w:b/>
          <w:lang w:val="fr-FR"/>
        </w:rPr>
      </w:pPr>
    </w:p>
    <w:p w:rsidR="004C4168" w:rsidRPr="008A3447" w:rsidRDefault="004C4168" w:rsidP="0036762F">
      <w:pPr>
        <w:pStyle w:val="NoSpacing"/>
        <w:keepNext/>
        <w:ind w:left="709" w:hanging="709"/>
        <w:jc w:val="center"/>
        <w:rPr>
          <w:b/>
          <w:i/>
          <w:u w:val="single"/>
          <w:lang w:val="fr-FR"/>
        </w:rPr>
      </w:pPr>
      <w:r w:rsidRPr="008A3447">
        <w:rPr>
          <w:b/>
          <w:i/>
          <w:u w:val="single"/>
          <w:lang w:val="fr-FR"/>
        </w:rPr>
        <w:t>Table</w:t>
      </w:r>
      <w:r w:rsidR="00E84F39">
        <w:rPr>
          <w:b/>
          <w:i/>
          <w:u w:val="single"/>
          <w:lang w:val="fr-FR"/>
        </w:rPr>
        <w:t>au</w:t>
      </w:r>
      <w:r w:rsidRPr="008A3447">
        <w:rPr>
          <w:b/>
          <w:i/>
          <w:u w:val="single"/>
          <w:lang w:val="fr-FR"/>
        </w:rPr>
        <w:t xml:space="preserve"> 1</w:t>
      </w:r>
    </w:p>
    <w:p w:rsidR="00D00100" w:rsidRPr="008A3447" w:rsidRDefault="00D00100" w:rsidP="0036762F">
      <w:pPr>
        <w:pStyle w:val="NoSpacing"/>
        <w:keepNext/>
        <w:ind w:left="0" w:firstLine="0"/>
        <w:rPr>
          <w:lang w:val="fr-FR"/>
        </w:rPr>
      </w:pPr>
    </w:p>
    <w:tbl>
      <w:tblPr>
        <w:tblStyle w:val="TableGrid"/>
        <w:tblW w:w="9067" w:type="dxa"/>
        <w:tblCellMar>
          <w:top w:w="85" w:type="dxa"/>
          <w:bottom w:w="85" w:type="dxa"/>
        </w:tblCellMar>
        <w:tblLook w:val="04A0" w:firstRow="1" w:lastRow="0" w:firstColumn="1" w:lastColumn="0" w:noHBand="0" w:noVBand="1"/>
      </w:tblPr>
      <w:tblGrid>
        <w:gridCol w:w="578"/>
        <w:gridCol w:w="1685"/>
        <w:gridCol w:w="3402"/>
        <w:gridCol w:w="3402"/>
      </w:tblGrid>
      <w:tr w:rsidR="00D50999" w:rsidRPr="008A3447" w:rsidTr="0036762F">
        <w:trPr>
          <w:tblHeader/>
        </w:trPr>
        <w:tc>
          <w:tcPr>
            <w:tcW w:w="578" w:type="dxa"/>
            <w:shd w:val="clear" w:color="auto" w:fill="F2F2F2" w:themeFill="background1" w:themeFillShade="F2"/>
          </w:tcPr>
          <w:p w:rsidR="00A36FF0" w:rsidRPr="008A3447" w:rsidRDefault="00A36FF0" w:rsidP="0036762F">
            <w:pPr>
              <w:pStyle w:val="NoSpacing"/>
              <w:keepNext/>
              <w:ind w:left="0" w:firstLine="0"/>
              <w:rPr>
                <w:b/>
                <w:lang w:val="fr-FR"/>
              </w:rPr>
            </w:pPr>
          </w:p>
        </w:tc>
        <w:tc>
          <w:tcPr>
            <w:tcW w:w="1685" w:type="dxa"/>
            <w:shd w:val="clear" w:color="auto" w:fill="F2F2F2" w:themeFill="background1" w:themeFillShade="F2"/>
          </w:tcPr>
          <w:p w:rsidR="00A36FF0" w:rsidRPr="008A3447" w:rsidRDefault="00E84F39" w:rsidP="0036762F">
            <w:pPr>
              <w:pStyle w:val="NoSpacing"/>
              <w:keepNext/>
              <w:ind w:left="0" w:firstLine="0"/>
              <w:rPr>
                <w:b/>
                <w:lang w:val="fr-FR"/>
              </w:rPr>
            </w:pPr>
            <w:r>
              <w:rPr>
                <w:b/>
                <w:lang w:val="fr-FR"/>
              </w:rPr>
              <w:t>Article</w:t>
            </w:r>
          </w:p>
        </w:tc>
        <w:tc>
          <w:tcPr>
            <w:tcW w:w="3402" w:type="dxa"/>
            <w:shd w:val="clear" w:color="auto" w:fill="F2F2F2" w:themeFill="background1" w:themeFillShade="F2"/>
          </w:tcPr>
          <w:p w:rsidR="00A36FF0" w:rsidRPr="008A3447" w:rsidRDefault="00564CEF" w:rsidP="0036762F">
            <w:pPr>
              <w:pStyle w:val="NoSpacing"/>
              <w:keepNext/>
              <w:ind w:left="0" w:firstLine="0"/>
              <w:rPr>
                <w:b/>
                <w:lang w:val="fr-FR"/>
              </w:rPr>
            </w:pPr>
            <w:r>
              <w:rPr>
                <w:b/>
                <w:lang w:val="fr-FR"/>
              </w:rPr>
              <w:t>Problème</w:t>
            </w:r>
            <w:r w:rsidR="00A36FF0" w:rsidRPr="008A3447">
              <w:rPr>
                <w:rStyle w:val="FootnoteReference"/>
                <w:lang w:val="fr-FR"/>
              </w:rPr>
              <w:footnoteReference w:id="1"/>
            </w:r>
            <w:r w:rsidR="00A36FF0" w:rsidRPr="008A3447">
              <w:rPr>
                <w:b/>
                <w:lang w:val="fr-FR"/>
              </w:rPr>
              <w:t xml:space="preserve"> </w:t>
            </w:r>
          </w:p>
          <w:p w:rsidR="00A36FF0" w:rsidRPr="008A3447" w:rsidRDefault="00A36FF0" w:rsidP="0036762F">
            <w:pPr>
              <w:pStyle w:val="NoSpacing"/>
              <w:keepNext/>
              <w:ind w:left="0" w:firstLine="0"/>
              <w:rPr>
                <w:b/>
                <w:lang w:val="fr-FR"/>
              </w:rPr>
            </w:pPr>
          </w:p>
        </w:tc>
        <w:tc>
          <w:tcPr>
            <w:tcW w:w="3402" w:type="dxa"/>
            <w:shd w:val="clear" w:color="auto" w:fill="F2F2F2" w:themeFill="background1" w:themeFillShade="F2"/>
          </w:tcPr>
          <w:p w:rsidR="00A36FF0" w:rsidRPr="00362534" w:rsidRDefault="00A36FF0" w:rsidP="0036762F">
            <w:pPr>
              <w:pStyle w:val="NoSpacing"/>
              <w:keepNext/>
              <w:ind w:left="0" w:firstLine="0"/>
              <w:rPr>
                <w:b/>
                <w:lang w:val="fr-CH"/>
              </w:rPr>
            </w:pPr>
            <w:r w:rsidRPr="00362534">
              <w:rPr>
                <w:b/>
                <w:lang w:val="fr-CH"/>
              </w:rPr>
              <w:t>Recomm</w:t>
            </w:r>
            <w:r w:rsidR="00362534" w:rsidRPr="00362534">
              <w:rPr>
                <w:b/>
                <w:lang w:val="fr-CH"/>
              </w:rPr>
              <w:t>a</w:t>
            </w:r>
            <w:r w:rsidRPr="00362534">
              <w:rPr>
                <w:b/>
                <w:lang w:val="fr-CH"/>
              </w:rPr>
              <w:t xml:space="preserve">ndation </w:t>
            </w:r>
            <w:r w:rsidR="00362534" w:rsidRPr="00362534">
              <w:rPr>
                <w:b/>
                <w:lang w:val="fr-CH"/>
              </w:rPr>
              <w:t xml:space="preserve">concernant les </w:t>
            </w:r>
            <w:r w:rsidR="00DC7352" w:rsidRPr="00362534">
              <w:rPr>
                <w:b/>
                <w:lang w:val="fr-CH"/>
              </w:rPr>
              <w:t>amend</w:t>
            </w:r>
            <w:r w:rsidR="00362534" w:rsidRPr="00362534">
              <w:rPr>
                <w:b/>
                <w:lang w:val="fr-CH"/>
              </w:rPr>
              <w:t>e</w:t>
            </w:r>
            <w:r w:rsidR="00DC7352" w:rsidRPr="00362534">
              <w:rPr>
                <w:b/>
                <w:lang w:val="fr-CH"/>
              </w:rPr>
              <w:t>ments</w:t>
            </w:r>
          </w:p>
        </w:tc>
      </w:tr>
      <w:tr w:rsidR="00D50999" w:rsidRPr="005B5B77" w:rsidTr="0036762F">
        <w:tc>
          <w:tcPr>
            <w:tcW w:w="578" w:type="dxa"/>
          </w:tcPr>
          <w:p w:rsidR="00A36FF0" w:rsidRPr="008A3447" w:rsidRDefault="00A36FF0" w:rsidP="0078688F">
            <w:pPr>
              <w:pStyle w:val="NoSpacing"/>
              <w:ind w:left="0" w:firstLine="0"/>
              <w:rPr>
                <w:lang w:val="fr-FR"/>
              </w:rPr>
            </w:pPr>
            <w:r w:rsidRPr="008A3447">
              <w:rPr>
                <w:lang w:val="fr-FR"/>
              </w:rPr>
              <w:t>1</w:t>
            </w:r>
          </w:p>
        </w:tc>
        <w:tc>
          <w:tcPr>
            <w:tcW w:w="1685" w:type="dxa"/>
          </w:tcPr>
          <w:p w:rsidR="00A36FF0" w:rsidRPr="008A3447" w:rsidRDefault="00D377FB" w:rsidP="0078688F">
            <w:pPr>
              <w:pStyle w:val="NoSpacing"/>
              <w:ind w:left="0" w:firstLine="0"/>
              <w:rPr>
                <w:lang w:val="fr-FR"/>
              </w:rPr>
            </w:pPr>
            <w:r>
              <w:rPr>
                <w:lang w:val="fr-FR"/>
              </w:rPr>
              <w:t>Article premier :</w:t>
            </w:r>
            <w:r w:rsidR="00A36FF0" w:rsidRPr="008A3447">
              <w:rPr>
                <w:lang w:val="fr-FR"/>
              </w:rPr>
              <w:t xml:space="preserve"> </w:t>
            </w:r>
            <w:r>
              <w:rPr>
                <w:lang w:val="fr-FR"/>
              </w:rPr>
              <w:t>Objet</w:t>
            </w:r>
            <w:r w:rsidR="00A36FF0" w:rsidRPr="008A3447">
              <w:rPr>
                <w:lang w:val="fr-FR"/>
              </w:rPr>
              <w:t xml:space="preserve"> </w:t>
            </w:r>
          </w:p>
        </w:tc>
        <w:tc>
          <w:tcPr>
            <w:tcW w:w="3402" w:type="dxa"/>
          </w:tcPr>
          <w:p w:rsidR="00A36FF0" w:rsidRPr="008A3447" w:rsidRDefault="00D560BE" w:rsidP="00D50999">
            <w:pPr>
              <w:pStyle w:val="NoSpacing"/>
              <w:ind w:left="0" w:firstLine="0"/>
              <w:rPr>
                <w:lang w:val="fr-FR"/>
              </w:rPr>
            </w:pPr>
            <w:r>
              <w:rPr>
                <w:lang w:val="fr-FR"/>
              </w:rPr>
              <w:t xml:space="preserve">Établit que </w:t>
            </w:r>
            <w:r w:rsidR="0098129D">
              <w:rPr>
                <w:lang w:val="fr-FR"/>
              </w:rPr>
              <w:t xml:space="preserve">le Règlement intérieur s’applique à toutes les sessions de la </w:t>
            </w:r>
            <w:r w:rsidR="00A36FF0" w:rsidRPr="008A3447">
              <w:rPr>
                <w:lang w:val="fr-FR"/>
              </w:rPr>
              <w:t xml:space="preserve">COP. </w:t>
            </w:r>
            <w:r w:rsidR="0098129D">
              <w:rPr>
                <w:lang w:val="fr-FR"/>
              </w:rPr>
              <w:t xml:space="preserve">Cependant certains articles s’appliquent uniquement à des réunions spécifiques du Comité permanent (CP), </w:t>
            </w:r>
            <w:r w:rsidR="00A36FF0" w:rsidRPr="008A3447">
              <w:rPr>
                <w:lang w:val="fr-FR"/>
              </w:rPr>
              <w:t>(</w:t>
            </w:r>
            <w:r w:rsidR="0098129D" w:rsidRPr="0098129D">
              <w:rPr>
                <w:lang w:val="fr-FR"/>
              </w:rPr>
              <w:t xml:space="preserve">par exemple les </w:t>
            </w:r>
            <w:r w:rsidR="00564CEF">
              <w:rPr>
                <w:lang w:val="fr-FR"/>
              </w:rPr>
              <w:t>a</w:t>
            </w:r>
            <w:r w:rsidR="0098129D" w:rsidRPr="0098129D">
              <w:rPr>
                <w:lang w:val="fr-FR"/>
              </w:rPr>
              <w:t xml:space="preserve">rticles 5.1 et 34.1, qui </w:t>
            </w:r>
            <w:r w:rsidR="00362534">
              <w:rPr>
                <w:lang w:val="fr-FR"/>
              </w:rPr>
              <w:t xml:space="preserve">s’appliquent </w:t>
            </w:r>
            <w:r w:rsidR="0098129D" w:rsidRPr="0098129D">
              <w:rPr>
                <w:lang w:val="fr-FR"/>
              </w:rPr>
              <w:t xml:space="preserve">logiquement </w:t>
            </w:r>
            <w:r w:rsidR="00362534">
              <w:rPr>
                <w:lang w:val="fr-FR"/>
              </w:rPr>
              <w:t xml:space="preserve">à </w:t>
            </w:r>
            <w:r w:rsidR="0098129D" w:rsidRPr="0098129D">
              <w:rPr>
                <w:lang w:val="fr-FR"/>
              </w:rPr>
              <w:t>la réunion du C</w:t>
            </w:r>
            <w:r w:rsidR="0098129D">
              <w:rPr>
                <w:lang w:val="fr-FR"/>
              </w:rPr>
              <w:t>P</w:t>
            </w:r>
            <w:r w:rsidR="0098129D" w:rsidRPr="0098129D">
              <w:rPr>
                <w:lang w:val="fr-FR"/>
              </w:rPr>
              <w:t xml:space="preserve"> au cours de laquelle sont examinées les propositions pour la </w:t>
            </w:r>
            <w:r w:rsidR="0098129D">
              <w:rPr>
                <w:lang w:val="fr-FR"/>
              </w:rPr>
              <w:t>session</w:t>
            </w:r>
            <w:r w:rsidR="0098129D" w:rsidRPr="0098129D">
              <w:rPr>
                <w:lang w:val="fr-FR"/>
              </w:rPr>
              <w:t xml:space="preserve"> suivante de la C</w:t>
            </w:r>
            <w:r w:rsidR="0098129D">
              <w:rPr>
                <w:lang w:val="fr-FR"/>
              </w:rPr>
              <w:t>OP</w:t>
            </w:r>
            <w:r w:rsidR="0098129D" w:rsidRPr="0098129D">
              <w:rPr>
                <w:lang w:val="fr-FR"/>
              </w:rPr>
              <w:t xml:space="preserve">). </w:t>
            </w:r>
            <w:r w:rsidR="00362534">
              <w:rPr>
                <w:lang w:val="fr-FR"/>
              </w:rPr>
              <w:t xml:space="preserve">Il y a contradiction, ce qui </w:t>
            </w:r>
            <w:r w:rsidR="0098129D" w:rsidRPr="0098129D">
              <w:rPr>
                <w:lang w:val="fr-FR"/>
              </w:rPr>
              <w:t>peut prêter à confusion</w:t>
            </w:r>
            <w:r w:rsidR="00A36FF0" w:rsidRPr="008A3447">
              <w:rPr>
                <w:lang w:val="fr-FR"/>
              </w:rPr>
              <w:t>.</w:t>
            </w:r>
            <w:r w:rsidR="00A346B4">
              <w:rPr>
                <w:lang w:val="fr-FR"/>
              </w:rPr>
              <w:t xml:space="preserve"> </w:t>
            </w:r>
          </w:p>
        </w:tc>
        <w:tc>
          <w:tcPr>
            <w:tcW w:w="3402" w:type="dxa"/>
          </w:tcPr>
          <w:p w:rsidR="00A36FF0" w:rsidRPr="00362534" w:rsidRDefault="00362534" w:rsidP="0078688F">
            <w:pPr>
              <w:pStyle w:val="NoSpacing"/>
              <w:ind w:left="0" w:firstLine="0"/>
              <w:rPr>
                <w:lang w:val="fr-CH"/>
              </w:rPr>
            </w:pPr>
            <w:r w:rsidRPr="00362534">
              <w:rPr>
                <w:lang w:val="fr-CH"/>
              </w:rPr>
              <w:t xml:space="preserve">Créer des </w:t>
            </w:r>
            <w:r>
              <w:rPr>
                <w:lang w:val="fr-CH"/>
              </w:rPr>
              <w:t xml:space="preserve">articles </w:t>
            </w:r>
            <w:r w:rsidRPr="00362534">
              <w:rPr>
                <w:lang w:val="fr-CH"/>
              </w:rPr>
              <w:t xml:space="preserve">distincts pour le </w:t>
            </w:r>
            <w:r>
              <w:rPr>
                <w:lang w:val="fr-CH"/>
              </w:rPr>
              <w:t>CP</w:t>
            </w:r>
            <w:r w:rsidRPr="00362534">
              <w:rPr>
                <w:lang w:val="fr-CH"/>
              </w:rPr>
              <w:t xml:space="preserve"> s'appliqu</w:t>
            </w:r>
            <w:r>
              <w:rPr>
                <w:lang w:val="fr-CH"/>
              </w:rPr>
              <w:t>a</w:t>
            </w:r>
            <w:r w:rsidRPr="00362534">
              <w:rPr>
                <w:lang w:val="fr-CH"/>
              </w:rPr>
              <w:t xml:space="preserve">nt </w:t>
            </w:r>
            <w:r w:rsidRPr="00362534">
              <w:rPr>
                <w:i/>
                <w:lang w:val="fr-CH"/>
              </w:rPr>
              <w:t>mutatis mutandis</w:t>
            </w:r>
            <w:r w:rsidRPr="00362534">
              <w:rPr>
                <w:lang w:val="fr-CH"/>
              </w:rPr>
              <w:t xml:space="preserve"> aux autres organes subsidiaires</w:t>
            </w:r>
            <w:r w:rsidR="00A36FF0" w:rsidRPr="00362534">
              <w:rPr>
                <w:lang w:val="fr-CH"/>
              </w:rPr>
              <w:t>.</w:t>
            </w:r>
            <w:r w:rsidR="00A36FF0" w:rsidRPr="00362534">
              <w:rPr>
                <w:rStyle w:val="FootnoteReference"/>
                <w:lang w:val="fr-CH"/>
              </w:rPr>
              <w:footnoteReference w:id="2"/>
            </w:r>
            <w:r w:rsidR="00A36FF0" w:rsidRPr="00362534">
              <w:rPr>
                <w:lang w:val="fr-CH"/>
              </w:rPr>
              <w:t xml:space="preserve"> </w:t>
            </w:r>
          </w:p>
          <w:p w:rsidR="00A36FF0" w:rsidRPr="00362534" w:rsidRDefault="00457B83" w:rsidP="003177A6">
            <w:pPr>
              <w:pStyle w:val="NoSpacing"/>
              <w:ind w:left="0" w:firstLine="0"/>
              <w:rPr>
                <w:lang w:val="fr-CH"/>
              </w:rPr>
            </w:pPr>
            <w:r w:rsidRPr="00457B83">
              <w:rPr>
                <w:lang w:val="fr-CH"/>
              </w:rPr>
              <w:t>Sinon, préciser à l'</w:t>
            </w:r>
            <w:r w:rsidR="00564CEF">
              <w:rPr>
                <w:lang w:val="fr-CH"/>
              </w:rPr>
              <w:t>a</w:t>
            </w:r>
            <w:r w:rsidRPr="00457B83">
              <w:rPr>
                <w:lang w:val="fr-CH"/>
              </w:rPr>
              <w:t>rticle premier que le Règlement s'applique à toute</w:t>
            </w:r>
            <w:r>
              <w:rPr>
                <w:lang w:val="fr-CH"/>
              </w:rPr>
              <w:t>s les sessions</w:t>
            </w:r>
            <w:r w:rsidRPr="00457B83">
              <w:rPr>
                <w:lang w:val="fr-CH"/>
              </w:rPr>
              <w:t xml:space="preserve"> de la C</w:t>
            </w:r>
            <w:r>
              <w:rPr>
                <w:lang w:val="fr-CH"/>
              </w:rPr>
              <w:t>OP</w:t>
            </w:r>
            <w:r w:rsidRPr="00457B83">
              <w:rPr>
                <w:lang w:val="fr-CH"/>
              </w:rPr>
              <w:t xml:space="preserve">, </w:t>
            </w:r>
            <w:r>
              <w:rPr>
                <w:lang w:val="fr-CH"/>
              </w:rPr>
              <w:t>sauf indication contraire</w:t>
            </w:r>
            <w:r w:rsidR="00A36FF0" w:rsidRPr="00362534">
              <w:rPr>
                <w:lang w:val="fr-CH"/>
              </w:rPr>
              <w:t xml:space="preserve">. </w:t>
            </w:r>
          </w:p>
        </w:tc>
      </w:tr>
      <w:tr w:rsidR="00D50999" w:rsidRPr="005B5B77" w:rsidTr="0036762F">
        <w:tc>
          <w:tcPr>
            <w:tcW w:w="578" w:type="dxa"/>
          </w:tcPr>
          <w:p w:rsidR="00A36FF0" w:rsidRPr="008A3447" w:rsidRDefault="00A36FF0" w:rsidP="0078688F">
            <w:pPr>
              <w:pStyle w:val="NoSpacing"/>
              <w:ind w:left="0" w:firstLine="0"/>
              <w:rPr>
                <w:lang w:val="fr-FR"/>
              </w:rPr>
            </w:pPr>
            <w:r w:rsidRPr="008A3447">
              <w:rPr>
                <w:lang w:val="fr-FR"/>
              </w:rPr>
              <w:t>2</w:t>
            </w:r>
          </w:p>
        </w:tc>
        <w:tc>
          <w:tcPr>
            <w:tcW w:w="1685" w:type="dxa"/>
          </w:tcPr>
          <w:p w:rsidR="00A36FF0" w:rsidRPr="008A3447" w:rsidRDefault="00457B83" w:rsidP="0078688F">
            <w:pPr>
              <w:pStyle w:val="NoSpacing"/>
              <w:ind w:left="0" w:firstLine="0"/>
              <w:rPr>
                <w:lang w:val="fr-FR"/>
              </w:rPr>
            </w:pPr>
            <w:r>
              <w:rPr>
                <w:lang w:val="fr-FR"/>
              </w:rPr>
              <w:t xml:space="preserve">Article </w:t>
            </w:r>
            <w:r w:rsidR="00A36FF0" w:rsidRPr="008A3447">
              <w:rPr>
                <w:lang w:val="fr-FR"/>
              </w:rPr>
              <w:t>2</w:t>
            </w:r>
            <w:r w:rsidR="00BA255B" w:rsidRPr="008A3447">
              <w:rPr>
                <w:lang w:val="fr-FR"/>
              </w:rPr>
              <w:t>:</w:t>
            </w:r>
            <w:r w:rsidR="00A36FF0" w:rsidRPr="008A3447">
              <w:rPr>
                <w:lang w:val="fr-FR"/>
              </w:rPr>
              <w:t xml:space="preserve"> D</w:t>
            </w:r>
            <w:r>
              <w:rPr>
                <w:lang w:val="fr-FR"/>
              </w:rPr>
              <w:t>é</w:t>
            </w:r>
            <w:r w:rsidR="00A36FF0" w:rsidRPr="008A3447">
              <w:rPr>
                <w:lang w:val="fr-FR"/>
              </w:rPr>
              <w:t xml:space="preserve">finitions </w:t>
            </w:r>
          </w:p>
        </w:tc>
        <w:tc>
          <w:tcPr>
            <w:tcW w:w="3402" w:type="dxa"/>
          </w:tcPr>
          <w:p w:rsidR="00A36FF0" w:rsidRPr="008A3447" w:rsidRDefault="00A36FF0" w:rsidP="004C71AA">
            <w:pPr>
              <w:pStyle w:val="NoSpacing"/>
              <w:ind w:left="0" w:firstLine="0"/>
              <w:rPr>
                <w:lang w:val="fr-FR"/>
              </w:rPr>
            </w:pPr>
            <w:r w:rsidRPr="008A3447">
              <w:rPr>
                <w:lang w:val="fr-FR"/>
              </w:rPr>
              <w:t>Certain</w:t>
            </w:r>
            <w:r w:rsidR="00457B83">
              <w:rPr>
                <w:lang w:val="fr-FR"/>
              </w:rPr>
              <w:t>s</w:t>
            </w:r>
            <w:r w:rsidRPr="008A3447">
              <w:rPr>
                <w:lang w:val="fr-FR"/>
              </w:rPr>
              <w:t xml:space="preserve"> term</w:t>
            </w:r>
            <w:r w:rsidR="00457B83">
              <w:rPr>
                <w:lang w:val="fr-FR"/>
              </w:rPr>
              <w:t>e</w:t>
            </w:r>
            <w:r w:rsidRPr="008A3447">
              <w:rPr>
                <w:lang w:val="fr-FR"/>
              </w:rPr>
              <w:t xml:space="preserve">s </w:t>
            </w:r>
            <w:r w:rsidR="00457B83">
              <w:rPr>
                <w:lang w:val="fr-FR"/>
              </w:rPr>
              <w:t>utilisés dans le Règlement intérieur ne sont pas définis de manière explicite dans l’</w:t>
            </w:r>
            <w:r w:rsidR="007F283D">
              <w:rPr>
                <w:lang w:val="fr-FR"/>
              </w:rPr>
              <w:t>a</w:t>
            </w:r>
            <w:r w:rsidR="00457B83">
              <w:rPr>
                <w:lang w:val="fr-FR"/>
              </w:rPr>
              <w:t>rticle</w:t>
            </w:r>
            <w:r w:rsidR="00BA255B" w:rsidRPr="008A3447">
              <w:rPr>
                <w:lang w:val="fr-FR"/>
              </w:rPr>
              <w:t xml:space="preserve"> 2, </w:t>
            </w:r>
            <w:r w:rsidR="00564CEF">
              <w:rPr>
                <w:lang w:val="fr-FR"/>
              </w:rPr>
              <w:t>qui porte sur les « </w:t>
            </w:r>
            <w:r w:rsidRPr="008A3447">
              <w:rPr>
                <w:lang w:val="fr-FR"/>
              </w:rPr>
              <w:t>D</w:t>
            </w:r>
            <w:r w:rsidR="00564CEF">
              <w:rPr>
                <w:lang w:val="fr-FR"/>
              </w:rPr>
              <w:t>é</w:t>
            </w:r>
            <w:r w:rsidRPr="008A3447">
              <w:rPr>
                <w:lang w:val="fr-FR"/>
              </w:rPr>
              <w:t>finitions</w:t>
            </w:r>
            <w:r w:rsidR="00564CEF">
              <w:rPr>
                <w:lang w:val="fr-FR"/>
              </w:rPr>
              <w:t> »</w:t>
            </w:r>
            <w:r w:rsidRPr="008A3447">
              <w:rPr>
                <w:lang w:val="fr-FR"/>
              </w:rPr>
              <w:t xml:space="preserve">. </w:t>
            </w:r>
            <w:r w:rsidR="006F4D54">
              <w:rPr>
                <w:lang w:val="fr-FR"/>
              </w:rPr>
              <w:t xml:space="preserve">Par </w:t>
            </w:r>
            <w:r w:rsidR="006F4D54" w:rsidRPr="008A3447">
              <w:rPr>
                <w:lang w:val="fr-FR"/>
              </w:rPr>
              <w:t>ex</w:t>
            </w:r>
            <w:r w:rsidR="006F4D54">
              <w:rPr>
                <w:lang w:val="fr-FR"/>
              </w:rPr>
              <w:t>e</w:t>
            </w:r>
            <w:r w:rsidR="006F4D54" w:rsidRPr="008A3447">
              <w:rPr>
                <w:lang w:val="fr-FR"/>
              </w:rPr>
              <w:t>mple</w:t>
            </w:r>
            <w:r w:rsidR="006F4D54">
              <w:rPr>
                <w:lang w:val="fr-FR"/>
              </w:rPr>
              <w:t> :</w:t>
            </w:r>
            <w:r w:rsidR="006F4D54" w:rsidRPr="008A3447">
              <w:rPr>
                <w:lang w:val="fr-FR"/>
              </w:rPr>
              <w:t xml:space="preserve"> </w:t>
            </w:r>
            <w:r w:rsidR="006F4D54">
              <w:rPr>
                <w:lang w:val="fr-FR"/>
              </w:rPr>
              <w:t xml:space="preserve">« Bureau de la </w:t>
            </w:r>
            <w:r w:rsidR="006F4D54" w:rsidRPr="008A3447">
              <w:rPr>
                <w:lang w:val="fr-FR"/>
              </w:rPr>
              <w:t>Conf</w:t>
            </w:r>
            <w:r w:rsidR="006F4D54">
              <w:rPr>
                <w:lang w:val="fr-FR"/>
              </w:rPr>
              <w:t>é</w:t>
            </w:r>
            <w:r w:rsidR="006F4D54" w:rsidRPr="008A3447">
              <w:rPr>
                <w:lang w:val="fr-FR"/>
              </w:rPr>
              <w:t>rence</w:t>
            </w:r>
            <w:r w:rsidR="006F4D54">
              <w:rPr>
                <w:lang w:val="fr-FR"/>
              </w:rPr>
              <w:t> »</w:t>
            </w:r>
            <w:r w:rsidR="006F4D54" w:rsidRPr="008A3447">
              <w:rPr>
                <w:rStyle w:val="FootnoteReference"/>
                <w:lang w:val="fr-FR"/>
              </w:rPr>
              <w:footnoteReference w:id="3"/>
            </w:r>
            <w:r w:rsidR="006F4D54">
              <w:rPr>
                <w:lang w:val="fr-FR"/>
              </w:rPr>
              <w:t xml:space="preserve"> </w:t>
            </w:r>
            <w:r w:rsidR="006F4D54" w:rsidRPr="008A3447">
              <w:rPr>
                <w:lang w:val="fr-FR"/>
              </w:rPr>
              <w:t xml:space="preserve">; </w:t>
            </w:r>
            <w:r w:rsidR="006F4D54">
              <w:rPr>
                <w:lang w:val="fr-FR"/>
              </w:rPr>
              <w:t>« </w:t>
            </w:r>
            <w:r w:rsidR="006F4D54" w:rsidRPr="008A3447">
              <w:rPr>
                <w:lang w:val="fr-FR"/>
              </w:rPr>
              <w:t>session</w:t>
            </w:r>
            <w:r w:rsidR="006F4D54">
              <w:rPr>
                <w:lang w:val="fr-FR"/>
              </w:rPr>
              <w:t> »</w:t>
            </w:r>
            <w:r w:rsidR="006F4D54" w:rsidRPr="008A3447">
              <w:rPr>
                <w:rStyle w:val="FootnoteReference"/>
                <w:lang w:val="fr-FR"/>
              </w:rPr>
              <w:footnoteReference w:id="4"/>
            </w:r>
            <w:r w:rsidR="006F4D54">
              <w:rPr>
                <w:lang w:val="fr-FR"/>
              </w:rPr>
              <w:t xml:space="preserve"> </w:t>
            </w:r>
            <w:r w:rsidR="006F4D54" w:rsidRPr="008A3447">
              <w:rPr>
                <w:lang w:val="fr-FR"/>
              </w:rPr>
              <w:t xml:space="preserve">; </w:t>
            </w:r>
            <w:r w:rsidR="006F4D54">
              <w:rPr>
                <w:lang w:val="fr-FR"/>
              </w:rPr>
              <w:t>« </w:t>
            </w:r>
            <w:r w:rsidR="006F4D54" w:rsidRPr="008A3447">
              <w:rPr>
                <w:lang w:val="fr-FR"/>
              </w:rPr>
              <w:t>recomm</w:t>
            </w:r>
            <w:r w:rsidR="006F4D54">
              <w:rPr>
                <w:lang w:val="fr-FR"/>
              </w:rPr>
              <w:t>a</w:t>
            </w:r>
            <w:r w:rsidR="006F4D54" w:rsidRPr="008A3447">
              <w:rPr>
                <w:lang w:val="fr-FR"/>
              </w:rPr>
              <w:t>ndation</w:t>
            </w:r>
            <w:r w:rsidR="006F4D54">
              <w:rPr>
                <w:lang w:val="fr-FR"/>
              </w:rPr>
              <w:t> »</w:t>
            </w:r>
            <w:r w:rsidR="006F4D54" w:rsidRPr="008A3447">
              <w:rPr>
                <w:rStyle w:val="FootnoteReference"/>
                <w:lang w:val="fr-FR"/>
              </w:rPr>
              <w:footnoteReference w:id="5"/>
            </w:r>
            <w:r w:rsidR="006F4D54">
              <w:rPr>
                <w:lang w:val="fr-FR"/>
              </w:rPr>
              <w:t xml:space="preserve"> </w:t>
            </w:r>
            <w:r w:rsidR="006F4D54" w:rsidRPr="008A3447">
              <w:rPr>
                <w:lang w:val="fr-FR"/>
              </w:rPr>
              <w:t xml:space="preserve">; </w:t>
            </w:r>
            <w:r w:rsidR="006F4D54">
              <w:rPr>
                <w:lang w:val="fr-FR"/>
              </w:rPr>
              <w:t xml:space="preserve">« proposition </w:t>
            </w:r>
            <w:r w:rsidR="006F4D54" w:rsidRPr="008A3447">
              <w:rPr>
                <w:lang w:val="fr-FR"/>
              </w:rPr>
              <w:t>amend</w:t>
            </w:r>
            <w:r w:rsidR="006F4D54">
              <w:rPr>
                <w:lang w:val="fr-FR"/>
              </w:rPr>
              <w:t>ée »</w:t>
            </w:r>
            <w:r w:rsidR="006F4D54" w:rsidRPr="008A3447">
              <w:rPr>
                <w:rStyle w:val="FootnoteReference"/>
                <w:lang w:val="fr-FR"/>
              </w:rPr>
              <w:footnoteReference w:id="6"/>
            </w:r>
            <w:r w:rsidR="006F4D54">
              <w:rPr>
                <w:lang w:val="fr-FR"/>
              </w:rPr>
              <w:t xml:space="preserve"> </w:t>
            </w:r>
            <w:r w:rsidR="006F4D54" w:rsidRPr="008A3447">
              <w:rPr>
                <w:lang w:val="fr-FR"/>
              </w:rPr>
              <w:t xml:space="preserve">; </w:t>
            </w:r>
            <w:r w:rsidR="006F4D54">
              <w:rPr>
                <w:lang w:val="fr-FR"/>
              </w:rPr>
              <w:t>et</w:t>
            </w:r>
            <w:r w:rsidR="006F4D54" w:rsidRPr="008A3447">
              <w:rPr>
                <w:lang w:val="fr-FR"/>
              </w:rPr>
              <w:t xml:space="preserve"> </w:t>
            </w:r>
            <w:r w:rsidR="006F4D54">
              <w:rPr>
                <w:lang w:val="fr-FR"/>
              </w:rPr>
              <w:t xml:space="preserve">« auteur de la proposition </w:t>
            </w:r>
            <w:r w:rsidR="006F4D54" w:rsidRPr="007F283D">
              <w:rPr>
                <w:lang w:val="fr-FR"/>
              </w:rPr>
              <w:t>»</w:t>
            </w:r>
            <w:r w:rsidR="006F4D54" w:rsidRPr="008A3447">
              <w:rPr>
                <w:rStyle w:val="FootnoteReference"/>
                <w:lang w:val="fr-FR"/>
              </w:rPr>
              <w:footnoteReference w:id="7"/>
            </w:r>
            <w:r w:rsidR="006F4D54" w:rsidRPr="008A3447">
              <w:rPr>
                <w:lang w:val="fr-FR"/>
              </w:rPr>
              <w:t>.</w:t>
            </w:r>
          </w:p>
        </w:tc>
        <w:tc>
          <w:tcPr>
            <w:tcW w:w="3402" w:type="dxa"/>
          </w:tcPr>
          <w:p w:rsidR="00A36FF0" w:rsidRPr="0094394D" w:rsidRDefault="00E3744C" w:rsidP="00A02ABF">
            <w:pPr>
              <w:pStyle w:val="NoSpacing"/>
              <w:ind w:left="0" w:firstLine="0"/>
              <w:rPr>
                <w:lang w:val="fr-FR"/>
              </w:rPr>
            </w:pPr>
            <w:r w:rsidRPr="0094394D">
              <w:rPr>
                <w:lang w:val="fr-FR"/>
              </w:rPr>
              <w:t>Tous les termes qui ont une signification particulière dans le contexte de la Convention et de ses réunions devraient être définis à l'article 2. Cela simplifierait les choses et éviterait toute confusion possible quant au sens des mots</w:t>
            </w:r>
            <w:r w:rsidR="00A36FF0" w:rsidRPr="0094394D">
              <w:rPr>
                <w:lang w:val="fr-FR"/>
              </w:rPr>
              <w:t xml:space="preserve">. </w:t>
            </w:r>
          </w:p>
          <w:p w:rsidR="00A36FF0" w:rsidRPr="0094394D" w:rsidRDefault="00A36FF0" w:rsidP="00A02ABF">
            <w:pPr>
              <w:pStyle w:val="NoSpacing"/>
              <w:ind w:left="0" w:firstLine="0"/>
              <w:rPr>
                <w:lang w:val="fr-FR"/>
              </w:rPr>
            </w:pPr>
          </w:p>
          <w:p w:rsidR="00D50999" w:rsidRPr="0094394D" w:rsidRDefault="00E3744C" w:rsidP="00BF047D">
            <w:pPr>
              <w:pStyle w:val="NoSpacing"/>
              <w:ind w:left="0" w:firstLine="0"/>
              <w:rPr>
                <w:lang w:val="fr-FR"/>
              </w:rPr>
            </w:pPr>
            <w:r w:rsidRPr="0094394D">
              <w:rPr>
                <w:lang w:val="fr-FR"/>
              </w:rPr>
              <w:t>Article</w:t>
            </w:r>
            <w:r w:rsidR="0082241E" w:rsidRPr="0094394D">
              <w:rPr>
                <w:lang w:val="fr-FR"/>
              </w:rPr>
              <w:t xml:space="preserve"> 2(g)</w:t>
            </w:r>
            <w:r w:rsidRPr="0094394D">
              <w:rPr>
                <w:lang w:val="fr-FR"/>
              </w:rPr>
              <w:t xml:space="preserve"> </w:t>
            </w:r>
            <w:r w:rsidR="0082241E" w:rsidRPr="0094394D">
              <w:rPr>
                <w:lang w:val="fr-FR"/>
              </w:rPr>
              <w:t xml:space="preserve">: </w:t>
            </w:r>
            <w:r w:rsidR="00A01D98" w:rsidRPr="0094394D">
              <w:rPr>
                <w:lang w:val="fr-FR"/>
              </w:rPr>
              <w:t>La</w:t>
            </w:r>
            <w:r w:rsidR="0082241E" w:rsidRPr="0094394D">
              <w:rPr>
                <w:lang w:val="fr-FR"/>
              </w:rPr>
              <w:t xml:space="preserve"> d</w:t>
            </w:r>
            <w:r w:rsidR="00A01D98" w:rsidRPr="0094394D">
              <w:rPr>
                <w:lang w:val="fr-FR"/>
              </w:rPr>
              <w:t>é</w:t>
            </w:r>
            <w:r w:rsidR="0082241E" w:rsidRPr="0094394D">
              <w:rPr>
                <w:lang w:val="fr-FR"/>
              </w:rPr>
              <w:t xml:space="preserve">finition </w:t>
            </w:r>
            <w:r w:rsidR="00A01D98" w:rsidRPr="0094394D">
              <w:rPr>
                <w:lang w:val="fr-FR"/>
              </w:rPr>
              <w:t>du terme</w:t>
            </w:r>
            <w:r w:rsidR="0082241E" w:rsidRPr="0094394D">
              <w:rPr>
                <w:lang w:val="fr-FR"/>
              </w:rPr>
              <w:t xml:space="preserve"> </w:t>
            </w:r>
            <w:r w:rsidR="00A01D98" w:rsidRPr="0094394D">
              <w:rPr>
                <w:lang w:val="fr-FR"/>
              </w:rPr>
              <w:t>« </w:t>
            </w:r>
            <w:r w:rsidR="0082241E" w:rsidRPr="0094394D">
              <w:rPr>
                <w:lang w:val="fr-FR"/>
              </w:rPr>
              <w:t>p</w:t>
            </w:r>
            <w:r w:rsidR="00A36FF0" w:rsidRPr="0094394D">
              <w:rPr>
                <w:lang w:val="fr-FR"/>
              </w:rPr>
              <w:t>ropos</w:t>
            </w:r>
            <w:r w:rsidR="00895048" w:rsidRPr="0094394D">
              <w:rPr>
                <w:lang w:val="fr-FR"/>
              </w:rPr>
              <w:t>ition</w:t>
            </w:r>
            <w:r w:rsidR="00A01D98" w:rsidRPr="0094394D">
              <w:rPr>
                <w:lang w:val="fr-FR"/>
              </w:rPr>
              <w:t> »</w:t>
            </w:r>
            <w:r w:rsidR="00A36FF0" w:rsidRPr="0094394D">
              <w:rPr>
                <w:lang w:val="fr-FR"/>
              </w:rPr>
              <w:t xml:space="preserve"> </w:t>
            </w:r>
            <w:r w:rsidR="00A01D98" w:rsidRPr="0094394D">
              <w:rPr>
                <w:lang w:val="fr-FR"/>
              </w:rPr>
              <w:t>devrait être modifiée pour préciser que seul</w:t>
            </w:r>
            <w:r w:rsidR="005706CE" w:rsidRPr="0094394D">
              <w:rPr>
                <w:lang w:val="fr-FR"/>
              </w:rPr>
              <w:t>s</w:t>
            </w:r>
            <w:r w:rsidR="00A01D98" w:rsidRPr="0094394D">
              <w:rPr>
                <w:lang w:val="fr-FR"/>
              </w:rPr>
              <w:t xml:space="preserve"> une Partie contractante, le CP, le Bureau de la Conférence ou </w:t>
            </w:r>
            <w:r w:rsidR="00A01D98" w:rsidRPr="0094394D">
              <w:rPr>
                <w:i/>
                <w:lang w:val="fr-FR"/>
              </w:rPr>
              <w:t xml:space="preserve">tout autre organe subsidiaire approuvé </w:t>
            </w:r>
            <w:r w:rsidR="00A01D98" w:rsidRPr="0094394D">
              <w:rPr>
                <w:i/>
                <w:lang w:val="fr-FR"/>
              </w:rPr>
              <w:lastRenderedPageBreak/>
              <w:t>par la COP</w:t>
            </w:r>
            <w:r w:rsidR="00A01D98" w:rsidRPr="0094394D">
              <w:rPr>
                <w:lang w:val="fr-FR"/>
              </w:rPr>
              <w:t xml:space="preserve"> peut soumettre une proposition.</w:t>
            </w:r>
            <w:r w:rsidR="00A36FF0" w:rsidRPr="0094394D">
              <w:rPr>
                <w:lang w:val="fr-FR"/>
              </w:rPr>
              <w:t xml:space="preserve"> </w:t>
            </w:r>
          </w:p>
          <w:p w:rsidR="00BF047D" w:rsidRPr="0094394D" w:rsidRDefault="00BF047D" w:rsidP="00BF047D">
            <w:pPr>
              <w:pStyle w:val="NoSpacing"/>
              <w:ind w:left="0" w:firstLine="0"/>
              <w:rPr>
                <w:lang w:val="fr-FR"/>
              </w:rPr>
            </w:pPr>
          </w:p>
          <w:p w:rsidR="00A36FF0" w:rsidRPr="0094394D" w:rsidRDefault="00A01D98" w:rsidP="000D3CCB">
            <w:pPr>
              <w:pStyle w:val="NoSpacing"/>
              <w:ind w:left="0" w:firstLine="0"/>
              <w:rPr>
                <w:lang w:val="fr-FR"/>
              </w:rPr>
            </w:pPr>
            <w:r w:rsidRPr="0094394D">
              <w:rPr>
                <w:lang w:val="fr-FR"/>
              </w:rPr>
              <w:t>Il convient de noter que l'ajout suggéré (ci-dessus) de « tout autre organe subsidiaire approuvé par la COP », dans la définition de</w:t>
            </w:r>
            <w:r w:rsidR="00A346B4">
              <w:rPr>
                <w:lang w:val="fr-FR"/>
              </w:rPr>
              <w:t xml:space="preserve"> </w:t>
            </w:r>
            <w:r w:rsidRPr="0094394D">
              <w:rPr>
                <w:lang w:val="fr-FR"/>
              </w:rPr>
              <w:t xml:space="preserve">« proposition », est un alignement sur la pratique actuelle, notamment en ce qui concerne le Groupe d'évaluation scientifique et technique (GEST). En d'autres termes, d'autres organismes ont déjà parrainé des propositions, mais cela n’apparaît pas dans la </w:t>
            </w:r>
            <w:r w:rsidR="007303A4" w:rsidRPr="0094394D">
              <w:rPr>
                <w:lang w:val="fr-FR"/>
              </w:rPr>
              <w:t>d</w:t>
            </w:r>
            <w:r w:rsidRPr="0094394D">
              <w:rPr>
                <w:lang w:val="fr-FR"/>
              </w:rPr>
              <w:t>é</w:t>
            </w:r>
            <w:r w:rsidR="007303A4" w:rsidRPr="0094394D">
              <w:rPr>
                <w:lang w:val="fr-FR"/>
              </w:rPr>
              <w:t xml:space="preserve">finition. </w:t>
            </w:r>
          </w:p>
          <w:p w:rsidR="00BF047D" w:rsidRPr="0094394D" w:rsidRDefault="00BF047D" w:rsidP="000D3CCB">
            <w:pPr>
              <w:pStyle w:val="NoSpacing"/>
              <w:ind w:left="0" w:firstLine="0"/>
              <w:rPr>
                <w:lang w:val="fr-FR"/>
              </w:rPr>
            </w:pPr>
          </w:p>
          <w:p w:rsidR="008900CE" w:rsidRPr="0094394D" w:rsidRDefault="00A01D98" w:rsidP="000D3CCB">
            <w:pPr>
              <w:pStyle w:val="NoSpacing"/>
              <w:ind w:left="0" w:firstLine="0"/>
              <w:rPr>
                <w:lang w:val="fr-FR"/>
              </w:rPr>
            </w:pPr>
            <w:r w:rsidRPr="0094394D">
              <w:rPr>
                <w:lang w:val="fr-FR"/>
              </w:rPr>
              <w:t>Le terme « </w:t>
            </w:r>
            <w:r w:rsidR="00F23531" w:rsidRPr="0094394D">
              <w:rPr>
                <w:lang w:val="fr-FR"/>
              </w:rPr>
              <w:t>présenter</w:t>
            </w:r>
            <w:r w:rsidR="002E081C" w:rsidRPr="0094394D">
              <w:rPr>
                <w:lang w:val="fr-FR"/>
              </w:rPr>
              <w:t xml:space="preserve"> </w:t>
            </w:r>
            <w:r w:rsidRPr="0094394D">
              <w:rPr>
                <w:lang w:val="fr-FR"/>
              </w:rPr>
              <w:t xml:space="preserve">» devrait également être défini pour préciser qu'il signifie </w:t>
            </w:r>
            <w:r w:rsidR="00297187" w:rsidRPr="0094394D">
              <w:rPr>
                <w:lang w:val="fr-FR"/>
              </w:rPr>
              <w:t>« </w:t>
            </w:r>
            <w:r w:rsidRPr="0094394D">
              <w:rPr>
                <w:lang w:val="fr-FR"/>
              </w:rPr>
              <w:t>soumettre à l'examen de la C</w:t>
            </w:r>
            <w:r w:rsidR="00297187" w:rsidRPr="0094394D">
              <w:rPr>
                <w:lang w:val="fr-FR"/>
              </w:rPr>
              <w:t>OP »</w:t>
            </w:r>
            <w:r w:rsidRPr="0094394D">
              <w:rPr>
                <w:lang w:val="fr-FR"/>
              </w:rPr>
              <w:t xml:space="preserve">. Cette recommandation est fondée sur les faits suivants : le terme </w:t>
            </w:r>
            <w:r w:rsidR="00895048" w:rsidRPr="0094394D">
              <w:rPr>
                <w:lang w:val="fr-FR"/>
              </w:rPr>
              <w:t>« </w:t>
            </w:r>
            <w:r w:rsidR="002E081C" w:rsidRPr="0094394D">
              <w:rPr>
                <w:lang w:val="fr-FR"/>
              </w:rPr>
              <w:t>appuyer »</w:t>
            </w:r>
            <w:r w:rsidRPr="0094394D">
              <w:rPr>
                <w:lang w:val="fr-FR"/>
              </w:rPr>
              <w:t xml:space="preserve"> est utilisé à l</w:t>
            </w:r>
            <w:r w:rsidR="00297187" w:rsidRPr="0094394D">
              <w:rPr>
                <w:lang w:val="fr-FR"/>
              </w:rPr>
              <w:t>’article</w:t>
            </w:r>
            <w:r w:rsidRPr="0094394D">
              <w:rPr>
                <w:lang w:val="fr-FR"/>
              </w:rPr>
              <w:t xml:space="preserve"> 7.5 ; et l'utilisation d</w:t>
            </w:r>
            <w:r w:rsidR="002E081C" w:rsidRPr="0094394D">
              <w:rPr>
                <w:lang w:val="fr-FR"/>
              </w:rPr>
              <w:t>e l’expression</w:t>
            </w:r>
            <w:r w:rsidRPr="0094394D">
              <w:rPr>
                <w:lang w:val="fr-FR"/>
              </w:rPr>
              <w:t xml:space="preserve"> </w:t>
            </w:r>
            <w:r w:rsidR="002E081C" w:rsidRPr="0094394D">
              <w:rPr>
                <w:lang w:val="fr-FR"/>
              </w:rPr>
              <w:t>« </w:t>
            </w:r>
            <w:r w:rsidRPr="0094394D">
              <w:rPr>
                <w:lang w:val="fr-FR"/>
              </w:rPr>
              <w:t>soumettre</w:t>
            </w:r>
            <w:r w:rsidR="002E081C" w:rsidRPr="0094394D">
              <w:rPr>
                <w:lang w:val="fr-FR"/>
              </w:rPr>
              <w:t> à l’examen »</w:t>
            </w:r>
            <w:r w:rsidRPr="0094394D">
              <w:rPr>
                <w:lang w:val="fr-FR"/>
              </w:rPr>
              <w:t xml:space="preserve"> peut prêter à confusion, comme l'indique la </w:t>
            </w:r>
            <w:r w:rsidR="00297187" w:rsidRPr="0094394D">
              <w:rPr>
                <w:lang w:val="fr-FR"/>
              </w:rPr>
              <w:t>ligne</w:t>
            </w:r>
            <w:r w:rsidRPr="0094394D">
              <w:rPr>
                <w:lang w:val="fr-FR"/>
              </w:rPr>
              <w:t xml:space="preserve"> 13 du </w:t>
            </w:r>
            <w:r w:rsidR="002E081C" w:rsidRPr="0094394D">
              <w:rPr>
                <w:lang w:val="fr-FR"/>
              </w:rPr>
              <w:t>T</w:t>
            </w:r>
            <w:r w:rsidRPr="0094394D">
              <w:rPr>
                <w:lang w:val="fr-FR"/>
              </w:rPr>
              <w:t>ableau 1.</w:t>
            </w:r>
          </w:p>
        </w:tc>
      </w:tr>
      <w:tr w:rsidR="00D50999" w:rsidRPr="005B5B77" w:rsidTr="0036762F">
        <w:tc>
          <w:tcPr>
            <w:tcW w:w="578" w:type="dxa"/>
          </w:tcPr>
          <w:p w:rsidR="00A36FF0" w:rsidRPr="008A3447" w:rsidRDefault="00A36FF0" w:rsidP="0078688F">
            <w:pPr>
              <w:pStyle w:val="NoSpacing"/>
              <w:ind w:left="0" w:firstLine="0"/>
              <w:rPr>
                <w:lang w:val="fr-FR"/>
              </w:rPr>
            </w:pPr>
            <w:r w:rsidRPr="008A3447">
              <w:rPr>
                <w:lang w:val="fr-FR"/>
              </w:rPr>
              <w:lastRenderedPageBreak/>
              <w:t>3</w:t>
            </w:r>
          </w:p>
        </w:tc>
        <w:tc>
          <w:tcPr>
            <w:tcW w:w="1685" w:type="dxa"/>
          </w:tcPr>
          <w:p w:rsidR="00A36FF0" w:rsidRPr="008A3447" w:rsidRDefault="002E081C" w:rsidP="0078688F">
            <w:pPr>
              <w:pStyle w:val="NoSpacing"/>
              <w:ind w:left="0" w:firstLine="0"/>
              <w:rPr>
                <w:lang w:val="fr-FR"/>
              </w:rPr>
            </w:pPr>
            <w:r>
              <w:rPr>
                <w:lang w:val="fr-FR"/>
              </w:rPr>
              <w:t xml:space="preserve">Article </w:t>
            </w:r>
            <w:r w:rsidR="00A36FF0" w:rsidRPr="008A3447">
              <w:rPr>
                <w:lang w:val="fr-FR"/>
              </w:rPr>
              <w:t>5</w:t>
            </w:r>
            <w:r w:rsidR="00FD7395">
              <w:rPr>
                <w:lang w:val="fr-FR"/>
              </w:rPr>
              <w:t xml:space="preserve"> </w:t>
            </w:r>
            <w:r w:rsidR="00A6098C" w:rsidRPr="008A3447">
              <w:rPr>
                <w:lang w:val="fr-FR"/>
              </w:rPr>
              <w:t>:</w:t>
            </w:r>
            <w:r w:rsidR="00A36FF0" w:rsidRPr="008A3447">
              <w:rPr>
                <w:lang w:val="fr-FR"/>
              </w:rPr>
              <w:t xml:space="preserve"> Notification</w:t>
            </w:r>
          </w:p>
        </w:tc>
        <w:tc>
          <w:tcPr>
            <w:tcW w:w="3402" w:type="dxa"/>
          </w:tcPr>
          <w:p w:rsidR="00A36FF0" w:rsidRPr="008A3447" w:rsidRDefault="002E081C" w:rsidP="00BB5177">
            <w:pPr>
              <w:pStyle w:val="NoSpacing"/>
              <w:ind w:left="0" w:firstLine="0"/>
              <w:rPr>
                <w:lang w:val="fr-FR"/>
              </w:rPr>
            </w:pPr>
            <w:r>
              <w:rPr>
                <w:lang w:val="fr-FR"/>
              </w:rPr>
              <w:t xml:space="preserve">L’article </w:t>
            </w:r>
            <w:r w:rsidR="00A36FF0" w:rsidRPr="008A3447">
              <w:rPr>
                <w:lang w:val="fr-FR"/>
              </w:rPr>
              <w:t>5.1</w:t>
            </w:r>
            <w:r>
              <w:rPr>
                <w:lang w:val="fr-FR"/>
              </w:rPr>
              <w:t xml:space="preserve"> </w:t>
            </w:r>
            <w:r w:rsidR="00A36FF0" w:rsidRPr="008A3447">
              <w:rPr>
                <w:lang w:val="fr-FR"/>
              </w:rPr>
              <w:t>: st</w:t>
            </w:r>
            <w:r>
              <w:rPr>
                <w:lang w:val="fr-FR"/>
              </w:rPr>
              <w:t>ipule que « </w:t>
            </w:r>
            <w:r w:rsidRPr="002E081C">
              <w:rPr>
                <w:lang w:val="fr-FR"/>
              </w:rPr>
              <w:t>Seuls les Parties, le Comité permanent et le Bureau de la Conférence peuvent présenter des propositions</w:t>
            </w:r>
            <w:r>
              <w:rPr>
                <w:lang w:val="fr-FR"/>
              </w:rPr>
              <w:t> »</w:t>
            </w:r>
            <w:r w:rsidR="00A36FF0" w:rsidRPr="008A3447">
              <w:rPr>
                <w:lang w:val="fr-FR"/>
              </w:rPr>
              <w:t xml:space="preserve">. </w:t>
            </w:r>
            <w:r w:rsidR="000B39C5" w:rsidRPr="000B39C5">
              <w:rPr>
                <w:lang w:val="fr-FR"/>
              </w:rPr>
              <w:t>Il est d'usage que les organes subsidiaires et/ou le Secrétariat contribuent à l'élaboration des propositions. Ceci est implicitement autorisé par l</w:t>
            </w:r>
            <w:r w:rsidR="000B39C5">
              <w:rPr>
                <w:lang w:val="fr-FR"/>
              </w:rPr>
              <w:t>’article</w:t>
            </w:r>
            <w:r w:rsidR="000B39C5" w:rsidRPr="000B39C5">
              <w:rPr>
                <w:lang w:val="fr-FR"/>
              </w:rPr>
              <w:t xml:space="preserve"> 34.2, qui stipule que </w:t>
            </w:r>
            <w:r w:rsidR="000B39C5">
              <w:rPr>
                <w:lang w:val="fr-FR"/>
              </w:rPr>
              <w:t>« </w:t>
            </w:r>
            <w:r w:rsidR="000B39C5" w:rsidRPr="000B39C5">
              <w:rPr>
                <w:lang w:val="fr-FR"/>
              </w:rPr>
              <w:t xml:space="preserve">Le Comité permanent peut aussi décider que les divergences d’opinions concernant une proposition </w:t>
            </w:r>
            <w:r w:rsidR="000B39C5" w:rsidRPr="000B39C5">
              <w:rPr>
                <w:b/>
                <w:lang w:val="fr-FR"/>
              </w:rPr>
              <w:t>rédigée par un organe subsidiaire ou le Secrétariat</w:t>
            </w:r>
            <w:r w:rsidR="000B39C5" w:rsidRPr="000B39C5">
              <w:rPr>
                <w:lang w:val="fr-FR"/>
              </w:rPr>
              <w:t xml:space="preserve"> puissent figurer entre crochets et, s’il y a lieu, avec des commentaires explicatif</w:t>
            </w:r>
            <w:r w:rsidR="000B39C5">
              <w:rPr>
                <w:lang w:val="fr-FR"/>
              </w:rPr>
              <w:t>s</w:t>
            </w:r>
            <w:r w:rsidR="00A36FF0" w:rsidRPr="008A3447">
              <w:rPr>
                <w:rFonts w:asciiTheme="minorHAnsi" w:eastAsia="Times New Roman" w:hAnsiTheme="minorHAnsi" w:cs="Arial"/>
                <w:color w:val="222222"/>
                <w:lang w:val="fr-FR" w:eastAsia="fr-FR"/>
              </w:rPr>
              <w:t>.</w:t>
            </w:r>
            <w:r w:rsidR="000B39C5">
              <w:rPr>
                <w:rFonts w:asciiTheme="minorHAnsi" w:eastAsia="Times New Roman" w:hAnsiTheme="minorHAnsi" w:cs="Arial"/>
                <w:color w:val="222222"/>
                <w:lang w:val="fr-FR" w:eastAsia="fr-FR"/>
              </w:rPr>
              <w:t> »</w:t>
            </w:r>
            <w:r w:rsidR="00A36FF0" w:rsidRPr="008A3447">
              <w:rPr>
                <w:rFonts w:asciiTheme="minorHAnsi" w:eastAsia="Times New Roman" w:hAnsiTheme="minorHAnsi" w:cs="Arial"/>
                <w:color w:val="222222"/>
                <w:lang w:val="fr-FR" w:eastAsia="fr-FR"/>
              </w:rPr>
              <w:t xml:space="preserve"> </w:t>
            </w:r>
          </w:p>
          <w:p w:rsidR="00365E8E" w:rsidRDefault="00365E8E" w:rsidP="000D3CCB">
            <w:pPr>
              <w:pStyle w:val="NoSpacing"/>
              <w:ind w:left="0" w:firstLine="0"/>
              <w:rPr>
                <w:lang w:val="fr-FR"/>
              </w:rPr>
            </w:pPr>
          </w:p>
          <w:p w:rsidR="00A36FF0" w:rsidRPr="008A3447" w:rsidRDefault="000B39C5" w:rsidP="00365E8E">
            <w:pPr>
              <w:pStyle w:val="NoSpacing"/>
              <w:ind w:left="0" w:firstLine="0"/>
              <w:rPr>
                <w:lang w:val="fr-FR"/>
              </w:rPr>
            </w:pPr>
            <w:r>
              <w:rPr>
                <w:lang w:val="fr-FR"/>
              </w:rPr>
              <w:lastRenderedPageBreak/>
              <w:t xml:space="preserve">L’article </w:t>
            </w:r>
            <w:r w:rsidR="00A36FF0" w:rsidRPr="008A3447">
              <w:rPr>
                <w:lang w:val="fr-FR"/>
              </w:rPr>
              <w:t>5.</w:t>
            </w:r>
            <w:r w:rsidR="00365E8E">
              <w:rPr>
                <w:lang w:val="fr-FR"/>
              </w:rPr>
              <w:t>1</w:t>
            </w:r>
            <w:r>
              <w:rPr>
                <w:lang w:val="fr-FR"/>
              </w:rPr>
              <w:t xml:space="preserve"> </w:t>
            </w:r>
            <w:r w:rsidR="00A36FF0" w:rsidRPr="008A3447">
              <w:rPr>
                <w:lang w:val="fr-FR"/>
              </w:rPr>
              <w:t>: st</w:t>
            </w:r>
            <w:r>
              <w:rPr>
                <w:lang w:val="fr-FR"/>
              </w:rPr>
              <w:t>ipule que le délai fixé pour la présentation des propositions est « </w:t>
            </w:r>
            <w:r w:rsidRPr="000B39C5">
              <w:rPr>
                <w:lang w:val="fr-FR"/>
              </w:rPr>
              <w:t xml:space="preserve">normalement, </w:t>
            </w:r>
            <w:r w:rsidRPr="0068025C">
              <w:rPr>
                <w:lang w:val="fr-FR"/>
              </w:rPr>
              <w:t xml:space="preserve">[de] </w:t>
            </w:r>
            <w:r w:rsidRPr="000B39C5">
              <w:rPr>
                <w:lang w:val="fr-FR"/>
              </w:rPr>
              <w:t xml:space="preserve">60 jours civils avant l’ouverture de la réunion du Comité permanent qui recommande les documents </w:t>
            </w:r>
            <w:r>
              <w:rPr>
                <w:lang w:val="fr-FR"/>
              </w:rPr>
              <w:t>… »</w:t>
            </w:r>
            <w:r w:rsidR="00A36FF0" w:rsidRPr="008A3447">
              <w:rPr>
                <w:lang w:val="fr-FR"/>
              </w:rPr>
              <w:t xml:space="preserve">. </w:t>
            </w:r>
            <w:r w:rsidRPr="000B39C5">
              <w:rPr>
                <w:lang w:val="fr-FR"/>
              </w:rPr>
              <w:t xml:space="preserve">Cela ne s'applique logiquement pas à la </w:t>
            </w:r>
            <w:r>
              <w:rPr>
                <w:lang w:val="fr-FR"/>
              </w:rPr>
              <w:t xml:space="preserve">présentation </w:t>
            </w:r>
            <w:r w:rsidRPr="000B39C5">
              <w:rPr>
                <w:lang w:val="fr-FR"/>
              </w:rPr>
              <w:t xml:space="preserve">de documents pour les </w:t>
            </w:r>
            <w:r>
              <w:rPr>
                <w:lang w:val="fr-FR"/>
              </w:rPr>
              <w:t xml:space="preserve">sessions </w:t>
            </w:r>
            <w:r w:rsidRPr="000B39C5">
              <w:rPr>
                <w:lang w:val="fr-FR"/>
              </w:rPr>
              <w:t>de la C</w:t>
            </w:r>
            <w:r w:rsidR="00E53A08">
              <w:rPr>
                <w:lang w:val="fr-FR"/>
              </w:rPr>
              <w:t>O</w:t>
            </w:r>
            <w:r w:rsidRPr="000B39C5">
              <w:rPr>
                <w:lang w:val="fr-FR"/>
              </w:rPr>
              <w:t>P (c'est-à-dire qu</w:t>
            </w:r>
            <w:r w:rsidR="00E53A08">
              <w:rPr>
                <w:lang w:val="fr-FR"/>
              </w:rPr>
              <w:t xml:space="preserve">e ce délai </w:t>
            </w:r>
            <w:r w:rsidRPr="000B39C5">
              <w:rPr>
                <w:lang w:val="fr-FR"/>
              </w:rPr>
              <w:t>ne s'applique qu'à la réunion du C</w:t>
            </w:r>
            <w:r w:rsidR="00E53A08">
              <w:rPr>
                <w:lang w:val="fr-FR"/>
              </w:rPr>
              <w:t>P</w:t>
            </w:r>
            <w:r w:rsidRPr="000B39C5">
              <w:rPr>
                <w:lang w:val="fr-FR"/>
              </w:rPr>
              <w:t xml:space="preserve"> au cours de laquelle les propositions pour la C</w:t>
            </w:r>
            <w:r w:rsidR="00E53A08">
              <w:rPr>
                <w:lang w:val="fr-FR"/>
              </w:rPr>
              <w:t>O</w:t>
            </w:r>
            <w:r w:rsidRPr="000B39C5">
              <w:rPr>
                <w:lang w:val="fr-FR"/>
              </w:rPr>
              <w:t>P suivante sont examinées).</w:t>
            </w:r>
            <w:r w:rsidR="00A36FF0" w:rsidRPr="008A3447">
              <w:rPr>
                <w:lang w:val="fr-FR"/>
              </w:rPr>
              <w:t xml:space="preserve"> </w:t>
            </w:r>
          </w:p>
        </w:tc>
        <w:tc>
          <w:tcPr>
            <w:tcW w:w="3402" w:type="dxa"/>
          </w:tcPr>
          <w:p w:rsidR="00A36FF0" w:rsidRPr="008A3447" w:rsidRDefault="003E0073" w:rsidP="00541CB6">
            <w:pPr>
              <w:pStyle w:val="NoSpacing"/>
              <w:ind w:left="0" w:firstLine="0"/>
              <w:rPr>
                <w:lang w:val="fr-FR"/>
              </w:rPr>
            </w:pPr>
            <w:r>
              <w:rPr>
                <w:lang w:val="fr-FR"/>
              </w:rPr>
              <w:lastRenderedPageBreak/>
              <w:t xml:space="preserve">Articles </w:t>
            </w:r>
            <w:r w:rsidR="00A36FF0" w:rsidRPr="008A3447">
              <w:rPr>
                <w:lang w:val="fr-FR"/>
              </w:rPr>
              <w:t>5.1/34.2</w:t>
            </w:r>
            <w:r>
              <w:rPr>
                <w:lang w:val="fr-FR"/>
              </w:rPr>
              <w:t> :</w:t>
            </w:r>
            <w:r w:rsidR="00A36FF0" w:rsidRPr="008A3447">
              <w:rPr>
                <w:lang w:val="fr-FR"/>
              </w:rPr>
              <w:t xml:space="preserve"> </w:t>
            </w:r>
            <w:r>
              <w:rPr>
                <w:lang w:val="fr-FR"/>
              </w:rPr>
              <w:t xml:space="preserve">Des </w:t>
            </w:r>
            <w:r w:rsidR="00E41713">
              <w:rPr>
                <w:lang w:val="fr-FR"/>
              </w:rPr>
              <w:t>règles clairement définies ayant pour titre</w:t>
            </w:r>
            <w:r w:rsidR="00A36FF0" w:rsidRPr="008A3447">
              <w:rPr>
                <w:lang w:val="fr-FR"/>
              </w:rPr>
              <w:t xml:space="preserve"> (</w:t>
            </w:r>
            <w:r w:rsidR="00E41713">
              <w:rPr>
                <w:lang w:val="fr-FR"/>
              </w:rPr>
              <w:t>pa</w:t>
            </w:r>
            <w:r w:rsidR="00A36FF0" w:rsidRPr="008A3447">
              <w:rPr>
                <w:lang w:val="fr-FR"/>
              </w:rPr>
              <w:t>r ex</w:t>
            </w:r>
            <w:r w:rsidR="00E41713">
              <w:rPr>
                <w:lang w:val="fr-FR"/>
              </w:rPr>
              <w:t>e</w:t>
            </w:r>
            <w:r w:rsidR="00A36FF0" w:rsidRPr="008A3447">
              <w:rPr>
                <w:lang w:val="fr-FR"/>
              </w:rPr>
              <w:t xml:space="preserve">mple) </w:t>
            </w:r>
            <w:r w:rsidR="00E41713">
              <w:rPr>
                <w:lang w:val="fr-FR"/>
              </w:rPr>
              <w:t>« Présentation de propositions »</w:t>
            </w:r>
            <w:r w:rsidR="00A36FF0" w:rsidRPr="008A3447">
              <w:rPr>
                <w:lang w:val="fr-FR"/>
              </w:rPr>
              <w:t xml:space="preserve"> </w:t>
            </w:r>
            <w:r w:rsidR="00E41713">
              <w:rPr>
                <w:lang w:val="fr-FR"/>
              </w:rPr>
              <w:t>et</w:t>
            </w:r>
            <w:r w:rsidR="00A36FF0" w:rsidRPr="008A3447">
              <w:rPr>
                <w:lang w:val="fr-FR"/>
              </w:rPr>
              <w:t xml:space="preserve"> </w:t>
            </w:r>
            <w:r w:rsidR="00E41713">
              <w:rPr>
                <w:lang w:val="fr-FR"/>
              </w:rPr>
              <w:t>« Rédaction de propositions »</w:t>
            </w:r>
            <w:r w:rsidR="00A36FF0" w:rsidRPr="008A3447">
              <w:rPr>
                <w:lang w:val="fr-FR"/>
              </w:rPr>
              <w:t>, respective</w:t>
            </w:r>
            <w:r w:rsidR="00E41713">
              <w:rPr>
                <w:lang w:val="fr-FR"/>
              </w:rPr>
              <w:t>ment</w:t>
            </w:r>
            <w:r w:rsidR="00A36FF0" w:rsidRPr="008A3447">
              <w:rPr>
                <w:lang w:val="fr-FR"/>
              </w:rPr>
              <w:t xml:space="preserve">, </w:t>
            </w:r>
            <w:r w:rsidR="00E41713">
              <w:rPr>
                <w:lang w:val="fr-FR"/>
              </w:rPr>
              <w:t>doivent être intégrées au Règlement intérieur</w:t>
            </w:r>
            <w:r w:rsidR="00A36FF0" w:rsidRPr="008A3447">
              <w:rPr>
                <w:lang w:val="fr-FR"/>
              </w:rPr>
              <w:t xml:space="preserve">. </w:t>
            </w:r>
            <w:r w:rsidR="00E41713" w:rsidRPr="00E41713">
              <w:rPr>
                <w:lang w:val="fr-FR"/>
              </w:rPr>
              <w:t xml:space="preserve">Il </w:t>
            </w:r>
            <w:r w:rsidR="00E41713">
              <w:rPr>
                <w:lang w:val="fr-FR"/>
              </w:rPr>
              <w:t>convient de</w:t>
            </w:r>
            <w:r w:rsidR="00E41713" w:rsidRPr="00E41713">
              <w:rPr>
                <w:lang w:val="fr-FR"/>
              </w:rPr>
              <w:t xml:space="preserve"> noter que ce</w:t>
            </w:r>
            <w:r w:rsidR="00F43D99">
              <w:rPr>
                <w:lang w:val="fr-FR"/>
              </w:rPr>
              <w:t>t ajout</w:t>
            </w:r>
            <w:r w:rsidR="00E41713" w:rsidRPr="00E41713">
              <w:rPr>
                <w:lang w:val="fr-FR"/>
              </w:rPr>
              <w:t xml:space="preserve"> ne modifierait pas l</w:t>
            </w:r>
            <w:r w:rsidR="00F43D99">
              <w:rPr>
                <w:lang w:val="fr-FR"/>
              </w:rPr>
              <w:t>a substance</w:t>
            </w:r>
            <w:r w:rsidR="00E41713" w:rsidRPr="00E41713">
              <w:rPr>
                <w:lang w:val="fr-FR"/>
              </w:rPr>
              <w:t xml:space="preserve"> d</w:t>
            </w:r>
            <w:r w:rsidR="00E41713">
              <w:rPr>
                <w:lang w:val="fr-FR"/>
              </w:rPr>
              <w:t xml:space="preserve">u </w:t>
            </w:r>
            <w:r w:rsidR="00E41713" w:rsidRPr="00E41713">
              <w:rPr>
                <w:lang w:val="fr-FR"/>
              </w:rPr>
              <w:t>Règle</w:t>
            </w:r>
            <w:r w:rsidR="00E41713">
              <w:rPr>
                <w:lang w:val="fr-FR"/>
              </w:rPr>
              <w:t xml:space="preserve">ment intérieur </w:t>
            </w:r>
            <w:r w:rsidR="00E41713" w:rsidRPr="00E41713">
              <w:rPr>
                <w:lang w:val="fr-FR"/>
              </w:rPr>
              <w:t>actuel</w:t>
            </w:r>
            <w:r w:rsidR="00E41713">
              <w:rPr>
                <w:lang w:val="fr-FR"/>
              </w:rPr>
              <w:t>,</w:t>
            </w:r>
            <w:r w:rsidR="00E41713" w:rsidRPr="00E41713">
              <w:rPr>
                <w:lang w:val="fr-FR"/>
              </w:rPr>
              <w:t xml:space="preserve"> mais</w:t>
            </w:r>
            <w:r w:rsidR="00F43D99">
              <w:rPr>
                <w:lang w:val="fr-FR"/>
              </w:rPr>
              <w:t xml:space="preserve"> rendrait </w:t>
            </w:r>
            <w:r w:rsidR="00DB535E">
              <w:rPr>
                <w:lang w:val="fr-FR"/>
              </w:rPr>
              <w:t xml:space="preserve">les articles plus </w:t>
            </w:r>
            <w:r w:rsidR="00E41713" w:rsidRPr="00E41713">
              <w:rPr>
                <w:lang w:val="fr-FR"/>
              </w:rPr>
              <w:t>cl</w:t>
            </w:r>
            <w:r w:rsidR="00DB535E">
              <w:rPr>
                <w:lang w:val="fr-FR"/>
              </w:rPr>
              <w:t>airs</w:t>
            </w:r>
            <w:r w:rsidR="00E41713" w:rsidRPr="00E41713">
              <w:rPr>
                <w:lang w:val="fr-FR"/>
              </w:rPr>
              <w:t xml:space="preserve"> </w:t>
            </w:r>
            <w:r w:rsidR="00DB535E">
              <w:rPr>
                <w:lang w:val="fr-FR"/>
              </w:rPr>
              <w:t xml:space="preserve">et permettrait </w:t>
            </w:r>
            <w:r w:rsidR="00E41713" w:rsidRPr="00E41713">
              <w:rPr>
                <w:lang w:val="fr-FR"/>
              </w:rPr>
              <w:t xml:space="preserve">d'éviter toute confusion. </w:t>
            </w:r>
            <w:r w:rsidR="00DB535E">
              <w:rPr>
                <w:lang w:val="fr-FR"/>
              </w:rPr>
              <w:t xml:space="preserve">Il contribuerait aussi parfaitement à faire une distinction entre </w:t>
            </w:r>
            <w:r w:rsidR="00E41713" w:rsidRPr="00E41713">
              <w:rPr>
                <w:lang w:val="fr-FR"/>
              </w:rPr>
              <w:t xml:space="preserve">les deux sens du terme </w:t>
            </w:r>
            <w:r w:rsidR="00DB535E">
              <w:rPr>
                <w:lang w:val="fr-FR"/>
              </w:rPr>
              <w:t>« </w:t>
            </w:r>
            <w:r w:rsidR="0094394D">
              <w:rPr>
                <w:lang w:val="fr-FR"/>
              </w:rPr>
              <w:t>présenter</w:t>
            </w:r>
            <w:r w:rsidR="00DB535E">
              <w:rPr>
                <w:lang w:val="fr-FR"/>
              </w:rPr>
              <w:t> »</w:t>
            </w:r>
            <w:r w:rsidR="00E41713" w:rsidRPr="00E41713">
              <w:rPr>
                <w:lang w:val="fr-FR"/>
              </w:rPr>
              <w:t xml:space="preserve"> une proposition : séparer le sens administratif </w:t>
            </w:r>
            <w:r w:rsidR="004A7A85">
              <w:rPr>
                <w:lang w:val="fr-FR"/>
              </w:rPr>
              <w:t xml:space="preserve">qui consiste à </w:t>
            </w:r>
            <w:r w:rsidR="00E41713" w:rsidRPr="00E41713">
              <w:rPr>
                <w:lang w:val="fr-FR"/>
              </w:rPr>
              <w:t xml:space="preserve">la confier au </w:t>
            </w:r>
            <w:r w:rsidR="004A7A85">
              <w:rPr>
                <w:lang w:val="fr-FR"/>
              </w:rPr>
              <w:t>CP</w:t>
            </w:r>
            <w:r w:rsidR="00E41713" w:rsidRPr="00E41713">
              <w:rPr>
                <w:lang w:val="fr-FR"/>
              </w:rPr>
              <w:t xml:space="preserve"> de celui </w:t>
            </w:r>
            <w:r w:rsidR="004A7A85">
              <w:rPr>
                <w:lang w:val="fr-FR"/>
              </w:rPr>
              <w:t xml:space="preserve">qui consiste à la </w:t>
            </w:r>
            <w:r w:rsidR="00E41713" w:rsidRPr="00E41713">
              <w:rPr>
                <w:lang w:val="fr-FR"/>
              </w:rPr>
              <w:t>parrainer.</w:t>
            </w:r>
          </w:p>
          <w:p w:rsidR="00A36FF0" w:rsidRPr="008A3447" w:rsidRDefault="004A7A85" w:rsidP="005318EA">
            <w:pPr>
              <w:pStyle w:val="NoSpacing"/>
              <w:ind w:left="0" w:firstLine="0"/>
              <w:rPr>
                <w:lang w:val="fr-FR"/>
              </w:rPr>
            </w:pPr>
            <w:r>
              <w:rPr>
                <w:lang w:val="fr-FR"/>
              </w:rPr>
              <w:lastRenderedPageBreak/>
              <w:t>Article</w:t>
            </w:r>
            <w:r w:rsidR="00A36FF0" w:rsidRPr="008A3447">
              <w:rPr>
                <w:lang w:val="fr-FR"/>
              </w:rPr>
              <w:t xml:space="preserve"> 5.2</w:t>
            </w:r>
            <w:r>
              <w:rPr>
                <w:lang w:val="fr-FR"/>
              </w:rPr>
              <w:t xml:space="preserve"> </w:t>
            </w:r>
            <w:r w:rsidR="00A36FF0" w:rsidRPr="008A3447">
              <w:rPr>
                <w:lang w:val="fr-FR"/>
              </w:rPr>
              <w:t xml:space="preserve">: </w:t>
            </w:r>
            <w:r w:rsidRPr="004A7A85">
              <w:rPr>
                <w:lang w:val="fr-FR"/>
              </w:rPr>
              <w:t xml:space="preserve">Supprimer et insérer dans un règlement intérieur distinct </w:t>
            </w:r>
            <w:r>
              <w:rPr>
                <w:lang w:val="fr-FR"/>
              </w:rPr>
              <w:t>applicable aux</w:t>
            </w:r>
            <w:r w:rsidRPr="004A7A85">
              <w:rPr>
                <w:lang w:val="fr-FR"/>
              </w:rPr>
              <w:t xml:space="preserve"> organes subsidiaires. Si les Parties souhaitent que le C</w:t>
            </w:r>
            <w:r>
              <w:rPr>
                <w:lang w:val="fr-FR"/>
              </w:rPr>
              <w:t>P</w:t>
            </w:r>
            <w:r w:rsidRPr="004A7A85">
              <w:rPr>
                <w:lang w:val="fr-FR"/>
              </w:rPr>
              <w:t xml:space="preserve"> examine toutes les propositions avant qu'elles ne soient examinées par la C</w:t>
            </w:r>
            <w:r>
              <w:rPr>
                <w:lang w:val="fr-FR"/>
              </w:rPr>
              <w:t>OP</w:t>
            </w:r>
            <w:r w:rsidRPr="004A7A85">
              <w:rPr>
                <w:lang w:val="fr-FR"/>
              </w:rPr>
              <w:t xml:space="preserve">, </w:t>
            </w:r>
            <w:r>
              <w:rPr>
                <w:lang w:val="fr-FR"/>
              </w:rPr>
              <w:t>il convient de l’</w:t>
            </w:r>
            <w:r w:rsidRPr="004A7A85">
              <w:rPr>
                <w:lang w:val="fr-FR"/>
              </w:rPr>
              <w:t>indiqu</w:t>
            </w:r>
            <w:r>
              <w:rPr>
                <w:lang w:val="fr-FR"/>
              </w:rPr>
              <w:t>er clairement</w:t>
            </w:r>
            <w:r w:rsidRPr="004A7A85">
              <w:rPr>
                <w:lang w:val="fr-FR"/>
              </w:rPr>
              <w:t xml:space="preserve"> dans le Règlement</w:t>
            </w:r>
            <w:r>
              <w:rPr>
                <w:lang w:val="fr-FR"/>
              </w:rPr>
              <w:t xml:space="preserve"> intérieur</w:t>
            </w:r>
            <w:r w:rsidRPr="004A7A85">
              <w:rPr>
                <w:lang w:val="fr-FR"/>
              </w:rPr>
              <w:t>.</w:t>
            </w:r>
          </w:p>
          <w:p w:rsidR="008E2738" w:rsidRPr="008A3447" w:rsidRDefault="008E2738" w:rsidP="005318EA">
            <w:pPr>
              <w:pStyle w:val="NoSpacing"/>
              <w:ind w:left="0" w:firstLine="0"/>
              <w:rPr>
                <w:lang w:val="fr-FR"/>
              </w:rPr>
            </w:pPr>
          </w:p>
          <w:p w:rsidR="008E2738" w:rsidRPr="008A3447" w:rsidRDefault="004A7A85" w:rsidP="005316BF">
            <w:pPr>
              <w:pStyle w:val="NoSpacing"/>
              <w:ind w:left="0" w:firstLine="0"/>
              <w:rPr>
                <w:lang w:val="fr-FR"/>
              </w:rPr>
            </w:pPr>
            <w:r>
              <w:rPr>
                <w:lang w:val="fr-FR"/>
              </w:rPr>
              <w:t xml:space="preserve">Sinon, il convient de décider </w:t>
            </w:r>
            <w:r w:rsidRPr="004A7A85">
              <w:rPr>
                <w:lang w:val="fr-FR"/>
              </w:rPr>
              <w:t>s'il est nécessaire que toutes les propositions soient examinées par le Comité permanent avant d'être soumises au Secrétariat pour examen par la C</w:t>
            </w:r>
            <w:r>
              <w:rPr>
                <w:lang w:val="fr-FR"/>
              </w:rPr>
              <w:t>OP</w:t>
            </w:r>
            <w:r w:rsidRPr="004A7A85">
              <w:rPr>
                <w:lang w:val="fr-FR"/>
              </w:rPr>
              <w:t>.</w:t>
            </w:r>
          </w:p>
        </w:tc>
      </w:tr>
      <w:tr w:rsidR="00F322DF" w:rsidRPr="005B5B77" w:rsidTr="0036762F">
        <w:tc>
          <w:tcPr>
            <w:tcW w:w="578" w:type="dxa"/>
          </w:tcPr>
          <w:p w:rsidR="00F322DF" w:rsidRPr="004A7A85" w:rsidRDefault="00F322DF" w:rsidP="0078688F">
            <w:pPr>
              <w:pStyle w:val="NoSpacing"/>
              <w:ind w:left="0" w:firstLine="0"/>
              <w:rPr>
                <w:lang w:val="fr-CH"/>
              </w:rPr>
            </w:pPr>
            <w:r w:rsidRPr="004A7A85">
              <w:rPr>
                <w:lang w:val="fr-CH"/>
              </w:rPr>
              <w:lastRenderedPageBreak/>
              <w:t>4</w:t>
            </w:r>
          </w:p>
        </w:tc>
        <w:tc>
          <w:tcPr>
            <w:tcW w:w="1685" w:type="dxa"/>
          </w:tcPr>
          <w:p w:rsidR="00F322DF" w:rsidRPr="004A7A85" w:rsidRDefault="004A7A85" w:rsidP="0078688F">
            <w:pPr>
              <w:pStyle w:val="NoSpacing"/>
              <w:ind w:left="0" w:firstLine="0"/>
              <w:rPr>
                <w:lang w:val="fr-CH"/>
              </w:rPr>
            </w:pPr>
            <w:r w:rsidRPr="004A7A85">
              <w:rPr>
                <w:lang w:val="fr-CH"/>
              </w:rPr>
              <w:t xml:space="preserve">Article </w:t>
            </w:r>
            <w:r w:rsidR="00F322DF" w:rsidRPr="004A7A85">
              <w:rPr>
                <w:lang w:val="fr-CH"/>
              </w:rPr>
              <w:t>4</w:t>
            </w:r>
            <w:r w:rsidR="00FD7395">
              <w:rPr>
                <w:lang w:val="fr-CH"/>
              </w:rPr>
              <w:t xml:space="preserve"> :</w:t>
            </w:r>
            <w:r w:rsidR="00F322DF" w:rsidRPr="004A7A85">
              <w:rPr>
                <w:lang w:val="fr-CH"/>
              </w:rPr>
              <w:t xml:space="preserve"> Dates </w:t>
            </w:r>
            <w:r w:rsidR="0082231B">
              <w:rPr>
                <w:lang w:val="fr-CH"/>
              </w:rPr>
              <w:t>des sessions</w:t>
            </w:r>
            <w:r w:rsidR="00F322DF" w:rsidRPr="004A7A85">
              <w:rPr>
                <w:lang w:val="fr-CH"/>
              </w:rPr>
              <w:t xml:space="preserve"> </w:t>
            </w:r>
          </w:p>
        </w:tc>
        <w:tc>
          <w:tcPr>
            <w:tcW w:w="3402" w:type="dxa"/>
          </w:tcPr>
          <w:p w:rsidR="008900CE" w:rsidRPr="004A7A85" w:rsidRDefault="0082231B" w:rsidP="00433A91">
            <w:pPr>
              <w:pStyle w:val="NoSpacing"/>
              <w:ind w:left="0" w:firstLine="0"/>
              <w:rPr>
                <w:lang w:val="fr-CH"/>
              </w:rPr>
            </w:pPr>
            <w:r>
              <w:rPr>
                <w:lang w:val="fr-CH"/>
              </w:rPr>
              <w:t>L’article</w:t>
            </w:r>
            <w:r w:rsidR="00F322DF" w:rsidRPr="004A7A85">
              <w:rPr>
                <w:lang w:val="fr-CH"/>
              </w:rPr>
              <w:t xml:space="preserve"> 4.3, </w:t>
            </w:r>
            <w:r>
              <w:rPr>
                <w:lang w:val="fr-CH"/>
              </w:rPr>
              <w:t xml:space="preserve">qui </w:t>
            </w:r>
            <w:r w:rsidRPr="0082231B">
              <w:rPr>
                <w:lang w:val="fr-CH"/>
              </w:rPr>
              <w:t xml:space="preserve">prévoit la tenue d'une </w:t>
            </w:r>
            <w:r>
              <w:rPr>
                <w:lang w:val="fr-CH"/>
              </w:rPr>
              <w:t xml:space="preserve">session </w:t>
            </w:r>
            <w:r w:rsidRPr="0082231B">
              <w:rPr>
                <w:lang w:val="fr-CH"/>
              </w:rPr>
              <w:t xml:space="preserve">extraordinaire, </w:t>
            </w:r>
            <w:r>
              <w:rPr>
                <w:lang w:val="fr-CH"/>
              </w:rPr>
              <w:t xml:space="preserve">stipule </w:t>
            </w:r>
            <w:r w:rsidRPr="0082231B">
              <w:rPr>
                <w:lang w:val="fr-CH"/>
              </w:rPr>
              <w:t xml:space="preserve">qu'une telle </w:t>
            </w:r>
            <w:r>
              <w:rPr>
                <w:lang w:val="fr-CH"/>
              </w:rPr>
              <w:t xml:space="preserve">session </w:t>
            </w:r>
            <w:r w:rsidRPr="0082231B">
              <w:rPr>
                <w:lang w:val="fr-CH"/>
              </w:rPr>
              <w:t xml:space="preserve">peut </w:t>
            </w:r>
            <w:r>
              <w:rPr>
                <w:lang w:val="fr-CH"/>
              </w:rPr>
              <w:t xml:space="preserve">être organisée dans </w:t>
            </w:r>
            <w:r w:rsidRPr="0082231B">
              <w:rPr>
                <w:lang w:val="fr-CH"/>
              </w:rPr>
              <w:t>deux c</w:t>
            </w:r>
            <w:r>
              <w:rPr>
                <w:lang w:val="fr-CH"/>
              </w:rPr>
              <w:t xml:space="preserve">as : 1) </w:t>
            </w:r>
            <w:r w:rsidRPr="0082231B">
              <w:rPr>
                <w:lang w:val="fr-CH"/>
              </w:rPr>
              <w:t xml:space="preserve">à la demande de toute Partie contractante, à condition que, dans un délai de six mois, </w:t>
            </w:r>
            <w:r>
              <w:rPr>
                <w:lang w:val="fr-CH"/>
              </w:rPr>
              <w:t xml:space="preserve">la demande </w:t>
            </w:r>
            <w:r w:rsidRPr="0082231B">
              <w:rPr>
                <w:lang w:val="fr-CH"/>
              </w:rPr>
              <w:t xml:space="preserve">soit soutenue par un tiers </w:t>
            </w:r>
            <w:r w:rsidR="00FB7CBC">
              <w:rPr>
                <w:lang w:val="fr-CH"/>
              </w:rPr>
              <w:t xml:space="preserve">au moins </w:t>
            </w:r>
            <w:r w:rsidRPr="0082231B">
              <w:rPr>
                <w:lang w:val="fr-CH"/>
              </w:rPr>
              <w:t>des Parties</w:t>
            </w:r>
            <w:r w:rsidR="00FB7CBC">
              <w:rPr>
                <w:lang w:val="fr-CH"/>
              </w:rPr>
              <w:t xml:space="preserve"> contractantes</w:t>
            </w:r>
            <w:r w:rsidRPr="0082231B">
              <w:rPr>
                <w:lang w:val="fr-CH"/>
              </w:rPr>
              <w:t>, lors d'un scrutin organisé par le Secrétariat</w:t>
            </w:r>
            <w:r w:rsidR="00FB7CBC">
              <w:rPr>
                <w:lang w:val="fr-CH"/>
              </w:rPr>
              <w:t> ; et 2)</w:t>
            </w:r>
            <w:r w:rsidRPr="0082231B">
              <w:rPr>
                <w:lang w:val="fr-CH"/>
              </w:rPr>
              <w:t xml:space="preserve"> </w:t>
            </w:r>
            <w:r w:rsidR="00FB7CBC">
              <w:rPr>
                <w:lang w:val="fr-CH"/>
              </w:rPr>
              <w:t xml:space="preserve">chaque fois que </w:t>
            </w:r>
            <w:r w:rsidRPr="0082231B">
              <w:rPr>
                <w:lang w:val="fr-CH"/>
              </w:rPr>
              <w:t>la C</w:t>
            </w:r>
            <w:r w:rsidR="00FB7CBC">
              <w:rPr>
                <w:lang w:val="fr-CH"/>
              </w:rPr>
              <w:t>OP le juge</w:t>
            </w:r>
            <w:r w:rsidRPr="0082231B">
              <w:rPr>
                <w:lang w:val="fr-CH"/>
              </w:rPr>
              <w:t xml:space="preserve"> nécessaire. </w:t>
            </w:r>
            <w:r w:rsidR="00FB7CBC">
              <w:rPr>
                <w:lang w:val="fr-CH"/>
              </w:rPr>
              <w:t>Cependant</w:t>
            </w:r>
            <w:r w:rsidRPr="0082231B">
              <w:rPr>
                <w:lang w:val="fr-CH"/>
              </w:rPr>
              <w:t>, cette dernière disposition est incompatible avec l'</w:t>
            </w:r>
            <w:r w:rsidR="00350467">
              <w:rPr>
                <w:lang w:val="fr-CH"/>
              </w:rPr>
              <w:t>a</w:t>
            </w:r>
            <w:r w:rsidRPr="0082231B">
              <w:rPr>
                <w:lang w:val="fr-CH"/>
              </w:rPr>
              <w:t xml:space="preserve">rticle 6 de la Convention, qui dispose que des </w:t>
            </w:r>
            <w:r w:rsidR="00FB7CBC">
              <w:rPr>
                <w:lang w:val="fr-CH"/>
              </w:rPr>
              <w:t>sessions</w:t>
            </w:r>
            <w:r w:rsidRPr="0082231B">
              <w:rPr>
                <w:lang w:val="fr-CH"/>
              </w:rPr>
              <w:t xml:space="preserve"> extraordinaires sont convoquées </w:t>
            </w:r>
            <w:r w:rsidR="00FB7CBC">
              <w:rPr>
                <w:lang w:val="fr-CH"/>
              </w:rPr>
              <w:t>« </w:t>
            </w:r>
            <w:r w:rsidR="00FB7CBC" w:rsidRPr="00FB7CBC">
              <w:rPr>
                <w:lang w:val="fr-CH"/>
              </w:rPr>
              <w:t xml:space="preserve">lorsque la demande </w:t>
            </w:r>
            <w:r w:rsidR="00FB7CBC">
              <w:rPr>
                <w:lang w:val="fr-CH"/>
              </w:rPr>
              <w:t>é</w:t>
            </w:r>
            <w:r w:rsidR="00FB7CBC" w:rsidRPr="00FB7CBC">
              <w:rPr>
                <w:lang w:val="fr-CH"/>
              </w:rPr>
              <w:t>crite en est faite par au moins un tiers des Parties contractantes</w:t>
            </w:r>
            <w:r w:rsidR="00FB7CBC">
              <w:rPr>
                <w:lang w:val="fr-CH"/>
              </w:rPr>
              <w:t> »</w:t>
            </w:r>
            <w:r>
              <w:rPr>
                <w:lang w:val="fr-CH"/>
              </w:rPr>
              <w:t>.</w:t>
            </w:r>
          </w:p>
        </w:tc>
        <w:tc>
          <w:tcPr>
            <w:tcW w:w="3402" w:type="dxa"/>
          </w:tcPr>
          <w:p w:rsidR="00F322DF" w:rsidRPr="004A7A85" w:rsidRDefault="00350467" w:rsidP="0001341E">
            <w:pPr>
              <w:pStyle w:val="NormalWeb"/>
              <w:spacing w:before="100" w:beforeAutospacing="1" w:after="100" w:afterAutospacing="1"/>
              <w:ind w:left="0" w:firstLine="0"/>
              <w:rPr>
                <w:rFonts w:asciiTheme="minorHAnsi" w:eastAsiaTheme="minorHAnsi" w:hAnsiTheme="minorHAnsi"/>
                <w:sz w:val="22"/>
                <w:szCs w:val="22"/>
                <w:lang w:val="fr-CH" w:eastAsia="fr-FR"/>
              </w:rPr>
            </w:pPr>
            <w:r w:rsidRPr="00350467">
              <w:rPr>
                <w:rFonts w:asciiTheme="minorHAnsi" w:hAnsiTheme="minorHAnsi"/>
                <w:sz w:val="22"/>
                <w:szCs w:val="22"/>
                <w:lang w:val="fr-CH"/>
              </w:rPr>
              <w:t xml:space="preserve">Modifier l'article 4.3 pour </w:t>
            </w:r>
            <w:r>
              <w:rPr>
                <w:rFonts w:asciiTheme="minorHAnsi" w:hAnsiTheme="minorHAnsi"/>
                <w:sz w:val="22"/>
                <w:szCs w:val="22"/>
                <w:lang w:val="fr-CH"/>
              </w:rPr>
              <w:t xml:space="preserve">l’aligner sur </w:t>
            </w:r>
            <w:r w:rsidRPr="00350467">
              <w:rPr>
                <w:rFonts w:asciiTheme="minorHAnsi" w:hAnsiTheme="minorHAnsi"/>
                <w:sz w:val="22"/>
                <w:szCs w:val="22"/>
                <w:lang w:val="fr-CH"/>
              </w:rPr>
              <w:t>l'</w:t>
            </w:r>
            <w:r>
              <w:rPr>
                <w:rFonts w:asciiTheme="minorHAnsi" w:hAnsiTheme="minorHAnsi"/>
                <w:sz w:val="22"/>
                <w:szCs w:val="22"/>
                <w:lang w:val="fr-CH"/>
              </w:rPr>
              <w:t>a</w:t>
            </w:r>
            <w:r w:rsidRPr="00350467">
              <w:rPr>
                <w:rFonts w:asciiTheme="minorHAnsi" w:hAnsiTheme="minorHAnsi"/>
                <w:sz w:val="22"/>
                <w:szCs w:val="22"/>
                <w:lang w:val="fr-CH"/>
              </w:rPr>
              <w:t xml:space="preserve">rticle 6 de la Convention (c'est-à-dire supprimer </w:t>
            </w:r>
            <w:r>
              <w:rPr>
                <w:rFonts w:asciiTheme="minorHAnsi" w:hAnsiTheme="minorHAnsi"/>
                <w:sz w:val="22"/>
                <w:szCs w:val="22"/>
                <w:lang w:val="fr-CH"/>
              </w:rPr>
              <w:t xml:space="preserve">« chaque fois que la COP le </w:t>
            </w:r>
            <w:r w:rsidRPr="00350467">
              <w:rPr>
                <w:rFonts w:asciiTheme="minorHAnsi" w:hAnsiTheme="minorHAnsi"/>
                <w:sz w:val="22"/>
                <w:szCs w:val="22"/>
                <w:lang w:val="fr-CH"/>
              </w:rPr>
              <w:t>juge nécessaire o</w:t>
            </w:r>
            <w:r>
              <w:rPr>
                <w:rFonts w:asciiTheme="minorHAnsi" w:hAnsiTheme="minorHAnsi"/>
                <w:sz w:val="22"/>
                <w:szCs w:val="22"/>
                <w:lang w:val="fr-CH"/>
              </w:rPr>
              <w:t>u »</w:t>
            </w:r>
          </w:p>
        </w:tc>
      </w:tr>
      <w:tr w:rsidR="00D50999" w:rsidRPr="005B5B77" w:rsidTr="0036762F">
        <w:tc>
          <w:tcPr>
            <w:tcW w:w="578" w:type="dxa"/>
          </w:tcPr>
          <w:p w:rsidR="00A36FF0" w:rsidRPr="004A7A85" w:rsidRDefault="00F322DF" w:rsidP="0078688F">
            <w:pPr>
              <w:pStyle w:val="NoSpacing"/>
              <w:ind w:left="0" w:firstLine="0"/>
              <w:rPr>
                <w:lang w:val="fr-CH"/>
              </w:rPr>
            </w:pPr>
            <w:r w:rsidRPr="004A7A85">
              <w:rPr>
                <w:lang w:val="fr-CH"/>
              </w:rPr>
              <w:t>5</w:t>
            </w:r>
          </w:p>
        </w:tc>
        <w:tc>
          <w:tcPr>
            <w:tcW w:w="1685" w:type="dxa"/>
          </w:tcPr>
          <w:p w:rsidR="00A36FF0" w:rsidRPr="004A7A85" w:rsidRDefault="00350467" w:rsidP="0078688F">
            <w:pPr>
              <w:pStyle w:val="NoSpacing"/>
              <w:ind w:left="0" w:firstLine="0"/>
              <w:rPr>
                <w:lang w:val="fr-CH"/>
              </w:rPr>
            </w:pPr>
            <w:r>
              <w:rPr>
                <w:lang w:val="fr-CH"/>
              </w:rPr>
              <w:t xml:space="preserve">Articles </w:t>
            </w:r>
            <w:r w:rsidR="00A36FF0" w:rsidRPr="004A7A85">
              <w:rPr>
                <w:lang w:val="fr-CH"/>
              </w:rPr>
              <w:t xml:space="preserve">6 </w:t>
            </w:r>
            <w:r>
              <w:rPr>
                <w:lang w:val="fr-CH"/>
              </w:rPr>
              <w:t>et</w:t>
            </w:r>
            <w:r w:rsidR="00A36FF0" w:rsidRPr="004A7A85">
              <w:rPr>
                <w:lang w:val="fr-CH"/>
              </w:rPr>
              <w:t xml:space="preserve"> 7</w:t>
            </w:r>
            <w:r>
              <w:rPr>
                <w:lang w:val="fr-CH"/>
              </w:rPr>
              <w:t> :</w:t>
            </w:r>
            <w:r w:rsidR="00A36FF0" w:rsidRPr="004A7A85">
              <w:rPr>
                <w:lang w:val="fr-CH"/>
              </w:rPr>
              <w:t xml:space="preserve"> Observ</w:t>
            </w:r>
            <w:r>
              <w:rPr>
                <w:lang w:val="fr-CH"/>
              </w:rPr>
              <w:t>ateurs</w:t>
            </w:r>
            <w:r w:rsidR="00A36FF0" w:rsidRPr="004A7A85">
              <w:rPr>
                <w:lang w:val="fr-CH"/>
              </w:rPr>
              <w:t xml:space="preserve"> </w:t>
            </w:r>
          </w:p>
        </w:tc>
        <w:tc>
          <w:tcPr>
            <w:tcW w:w="3402" w:type="dxa"/>
          </w:tcPr>
          <w:p w:rsidR="00A36FF0" w:rsidRPr="004A7A85" w:rsidRDefault="00350467" w:rsidP="00313DE3">
            <w:pPr>
              <w:ind w:left="0" w:firstLine="0"/>
              <w:rPr>
                <w:rFonts w:cs="Arial"/>
                <w:lang w:val="fr-CH"/>
              </w:rPr>
            </w:pPr>
            <w:r>
              <w:rPr>
                <w:rFonts w:cs="Arial"/>
                <w:lang w:val="fr-CH"/>
              </w:rPr>
              <w:t xml:space="preserve">L’article </w:t>
            </w:r>
            <w:r w:rsidR="00A36FF0" w:rsidRPr="004A7A85">
              <w:rPr>
                <w:rFonts w:cs="Arial"/>
                <w:lang w:val="fr-CH"/>
              </w:rPr>
              <w:t xml:space="preserve">7 </w:t>
            </w:r>
            <w:r>
              <w:rPr>
                <w:rFonts w:cs="Arial"/>
                <w:lang w:val="fr-CH"/>
              </w:rPr>
              <w:t>a pour titre</w:t>
            </w:r>
            <w:r w:rsidR="00A36FF0" w:rsidRPr="004A7A85">
              <w:rPr>
                <w:rFonts w:cs="Arial"/>
                <w:lang w:val="fr-CH"/>
              </w:rPr>
              <w:t xml:space="preserve"> </w:t>
            </w:r>
            <w:r>
              <w:rPr>
                <w:rFonts w:cs="Arial"/>
                <w:lang w:val="fr-CH"/>
              </w:rPr>
              <w:t>« </w:t>
            </w:r>
            <w:r w:rsidR="00A36FF0" w:rsidRPr="004A7A85">
              <w:rPr>
                <w:rFonts w:cs="Arial"/>
                <w:lang w:val="fr-CH"/>
              </w:rPr>
              <w:t xml:space="preserve">Participation </w:t>
            </w:r>
            <w:r>
              <w:rPr>
                <w:rFonts w:cs="Arial"/>
                <w:lang w:val="fr-CH"/>
              </w:rPr>
              <w:t>d’autres organes</w:t>
            </w:r>
            <w:r w:rsidR="00A36FF0" w:rsidRPr="004A7A85">
              <w:rPr>
                <w:rFonts w:cs="Arial"/>
                <w:lang w:val="fr-CH"/>
              </w:rPr>
              <w:t xml:space="preserve"> o</w:t>
            </w:r>
            <w:r>
              <w:rPr>
                <w:rFonts w:cs="Arial"/>
                <w:lang w:val="fr-CH"/>
              </w:rPr>
              <w:t>u</w:t>
            </w:r>
            <w:r w:rsidR="00A36FF0" w:rsidRPr="004A7A85">
              <w:rPr>
                <w:rFonts w:cs="Arial"/>
                <w:lang w:val="fr-CH"/>
              </w:rPr>
              <w:t xml:space="preserve"> agences</w:t>
            </w:r>
            <w:r>
              <w:rPr>
                <w:rFonts w:cs="Arial"/>
                <w:lang w:val="fr-CH"/>
              </w:rPr>
              <w:t> »</w:t>
            </w:r>
            <w:r w:rsidR="00A36FF0" w:rsidRPr="004A7A85">
              <w:rPr>
                <w:rFonts w:cs="Arial"/>
                <w:lang w:val="fr-CH"/>
              </w:rPr>
              <w:t xml:space="preserve">. </w:t>
            </w:r>
            <w:r>
              <w:rPr>
                <w:rFonts w:cs="Arial"/>
                <w:lang w:val="fr-CH"/>
              </w:rPr>
              <w:t>Le terme « autres »</w:t>
            </w:r>
            <w:r w:rsidR="00A36FF0" w:rsidRPr="004A7A85">
              <w:rPr>
                <w:rFonts w:cs="Arial"/>
                <w:lang w:val="fr-CH"/>
              </w:rPr>
              <w:t xml:space="preserve"> impli</w:t>
            </w:r>
            <w:r w:rsidR="00863308">
              <w:rPr>
                <w:rFonts w:cs="Arial"/>
                <w:lang w:val="fr-CH"/>
              </w:rPr>
              <w:t xml:space="preserve">que </w:t>
            </w:r>
            <w:r w:rsidR="00B90AA3">
              <w:rPr>
                <w:rFonts w:cs="Arial"/>
                <w:lang w:val="fr-CH"/>
              </w:rPr>
              <w:t>la participation d’organismes autres que l’Organisation des</w:t>
            </w:r>
            <w:r w:rsidR="00A36FF0" w:rsidRPr="004A7A85">
              <w:rPr>
                <w:rFonts w:cs="Arial"/>
                <w:lang w:val="fr-CH"/>
              </w:rPr>
              <w:t xml:space="preserve"> Nations</w:t>
            </w:r>
            <w:r w:rsidR="00B90AA3">
              <w:rPr>
                <w:rFonts w:cs="Arial"/>
                <w:lang w:val="fr-CH"/>
              </w:rPr>
              <w:t xml:space="preserve"> Unies et ses institutions spécialisées auxquelles il est fait référence à l’article </w:t>
            </w:r>
            <w:r w:rsidR="00A36FF0" w:rsidRPr="004A7A85">
              <w:rPr>
                <w:rFonts w:cs="Arial"/>
                <w:lang w:val="fr-CH"/>
              </w:rPr>
              <w:t xml:space="preserve">6. </w:t>
            </w:r>
            <w:r w:rsidR="00B90AA3" w:rsidRPr="00B90AA3">
              <w:rPr>
                <w:rFonts w:cs="Arial"/>
                <w:lang w:val="fr-CH"/>
              </w:rPr>
              <w:t xml:space="preserve">Toutefois, certains aspects de l'article 7 pourraient également s'appliquer aux </w:t>
            </w:r>
            <w:r w:rsidR="00B90AA3" w:rsidRPr="00B90AA3">
              <w:rPr>
                <w:rFonts w:cs="Arial"/>
                <w:lang w:val="fr-CH"/>
              </w:rPr>
              <w:lastRenderedPageBreak/>
              <w:t xml:space="preserve">observateurs des organes visés à l'article 6, </w:t>
            </w:r>
            <w:r w:rsidR="00B90AA3">
              <w:rPr>
                <w:rFonts w:cs="Arial"/>
                <w:lang w:val="fr-CH"/>
              </w:rPr>
              <w:t xml:space="preserve">notamment la restriction du nombre de </w:t>
            </w:r>
            <w:r w:rsidR="00B90AA3" w:rsidRPr="00B90AA3">
              <w:rPr>
                <w:rFonts w:cs="Arial"/>
                <w:lang w:val="fr-CH"/>
              </w:rPr>
              <w:t xml:space="preserve">sièges </w:t>
            </w:r>
            <w:r w:rsidR="00B90AA3">
              <w:rPr>
                <w:rFonts w:cs="Arial"/>
                <w:lang w:val="fr-CH"/>
              </w:rPr>
              <w:t xml:space="preserve">mentionnées </w:t>
            </w:r>
            <w:r w:rsidR="00B90AA3" w:rsidRPr="00B90AA3">
              <w:rPr>
                <w:rFonts w:cs="Arial"/>
                <w:lang w:val="fr-CH"/>
              </w:rPr>
              <w:t>à l'a</w:t>
            </w:r>
            <w:r w:rsidR="0094394D">
              <w:rPr>
                <w:rFonts w:cs="Arial"/>
                <w:lang w:val="fr-CH"/>
              </w:rPr>
              <w:t xml:space="preserve">rticle </w:t>
            </w:r>
            <w:r w:rsidR="00B90AA3" w:rsidRPr="00B90AA3">
              <w:rPr>
                <w:rFonts w:cs="Arial"/>
                <w:lang w:val="fr-CH"/>
              </w:rPr>
              <w:t>7.6. Ce manque de clarté pourrait conduire à des malentendus et devrait être évité.</w:t>
            </w:r>
          </w:p>
          <w:p w:rsidR="00A36FF0" w:rsidRPr="004A7A85" w:rsidRDefault="00A36FF0" w:rsidP="00313DE3">
            <w:pPr>
              <w:ind w:left="0" w:firstLine="0"/>
              <w:rPr>
                <w:rFonts w:cs="Arial"/>
                <w:lang w:val="fr-CH"/>
              </w:rPr>
            </w:pPr>
          </w:p>
          <w:p w:rsidR="00A36FF0" w:rsidRPr="004A7A85" w:rsidRDefault="00B90AA3" w:rsidP="00313DE3">
            <w:pPr>
              <w:ind w:left="0" w:firstLine="0"/>
              <w:rPr>
                <w:rFonts w:cs="Arial"/>
                <w:lang w:val="fr-CH"/>
              </w:rPr>
            </w:pPr>
            <w:r>
              <w:rPr>
                <w:rFonts w:cs="Arial"/>
                <w:lang w:val="fr-CH"/>
              </w:rPr>
              <w:t xml:space="preserve">L’article </w:t>
            </w:r>
            <w:r w:rsidR="00A36FF0" w:rsidRPr="004A7A85">
              <w:rPr>
                <w:rFonts w:cs="Arial"/>
                <w:lang w:val="fr-CH"/>
              </w:rPr>
              <w:t>7.5 st</w:t>
            </w:r>
            <w:r>
              <w:rPr>
                <w:rFonts w:cs="Arial"/>
                <w:lang w:val="fr-CH"/>
              </w:rPr>
              <w:t xml:space="preserve">ipule </w:t>
            </w:r>
            <w:r w:rsidR="00A62192">
              <w:rPr>
                <w:rFonts w:cs="Arial"/>
                <w:lang w:val="fr-CH"/>
              </w:rPr>
              <w:t>que « </w:t>
            </w:r>
            <w:r w:rsidR="00A62192" w:rsidRPr="00A62192">
              <w:rPr>
                <w:rFonts w:cs="Arial"/>
                <w:lang w:val="fr-CH"/>
              </w:rPr>
              <w:t>Les propositions faites par des observateurs</w:t>
            </w:r>
            <w:r w:rsidR="00A62192">
              <w:rPr>
                <w:rFonts w:cs="Arial"/>
                <w:lang w:val="fr-CH"/>
              </w:rPr>
              <w:t> »</w:t>
            </w:r>
            <w:r w:rsidR="00A62192" w:rsidRPr="00A62192">
              <w:rPr>
                <w:rFonts w:cs="Arial"/>
                <w:lang w:val="fr-CH"/>
              </w:rPr>
              <w:t xml:space="preserve"> ne peuvent être mises aux voix que si elles sont appuyées par une Partie contractante</w:t>
            </w:r>
            <w:r w:rsidR="00433A91">
              <w:rPr>
                <w:rFonts w:cs="Arial"/>
                <w:lang w:val="fr-CH"/>
              </w:rPr>
              <w:t> »</w:t>
            </w:r>
            <w:r w:rsidR="00A62192">
              <w:rPr>
                <w:rFonts w:cs="Arial"/>
                <w:lang w:val="fr-CH"/>
              </w:rPr>
              <w:t xml:space="preserve">, </w:t>
            </w:r>
            <w:r w:rsidR="00156AA1">
              <w:rPr>
                <w:rFonts w:cs="Arial"/>
                <w:lang w:val="fr-CH"/>
              </w:rPr>
              <w:t>c</w:t>
            </w:r>
            <w:r w:rsidR="00156AA1" w:rsidRPr="00156AA1">
              <w:rPr>
                <w:rFonts w:cs="Arial"/>
                <w:lang w:val="fr-CH"/>
              </w:rPr>
              <w:t>e</w:t>
            </w:r>
            <w:r w:rsidR="00156AA1">
              <w:rPr>
                <w:rFonts w:cs="Arial"/>
                <w:lang w:val="fr-CH"/>
              </w:rPr>
              <w:t xml:space="preserve"> qui </w:t>
            </w:r>
            <w:r w:rsidR="00156AA1" w:rsidRPr="00156AA1">
              <w:rPr>
                <w:rFonts w:cs="Arial"/>
                <w:lang w:val="fr-CH"/>
              </w:rPr>
              <w:t>n'est pas co</w:t>
            </w:r>
            <w:r w:rsidR="009E0016">
              <w:rPr>
                <w:rFonts w:cs="Arial"/>
                <w:lang w:val="fr-CH"/>
              </w:rPr>
              <w:t>mpatible avec</w:t>
            </w:r>
            <w:r w:rsidR="00156AA1" w:rsidRPr="00156AA1">
              <w:rPr>
                <w:rFonts w:cs="Arial"/>
                <w:lang w:val="fr-CH"/>
              </w:rPr>
              <w:t xml:space="preserve"> la définition de la </w:t>
            </w:r>
            <w:r w:rsidR="009E0016">
              <w:rPr>
                <w:rFonts w:cs="Arial"/>
                <w:lang w:val="fr-CH"/>
              </w:rPr>
              <w:t>« </w:t>
            </w:r>
            <w:r w:rsidR="00156AA1" w:rsidRPr="00156AA1">
              <w:rPr>
                <w:rFonts w:cs="Arial"/>
                <w:lang w:val="fr-CH"/>
              </w:rPr>
              <w:t>proposition</w:t>
            </w:r>
            <w:r w:rsidR="009E0016">
              <w:rPr>
                <w:rFonts w:cs="Arial"/>
                <w:lang w:val="fr-CH"/>
              </w:rPr>
              <w:t> »</w:t>
            </w:r>
            <w:r w:rsidR="00156AA1" w:rsidRPr="00156AA1">
              <w:rPr>
                <w:rFonts w:cs="Arial"/>
                <w:lang w:val="fr-CH"/>
              </w:rPr>
              <w:t xml:space="preserve"> </w:t>
            </w:r>
            <w:r w:rsidR="009E0016">
              <w:rPr>
                <w:rFonts w:cs="Arial"/>
                <w:lang w:val="fr-CH"/>
              </w:rPr>
              <w:t xml:space="preserve">donnée </w:t>
            </w:r>
            <w:r w:rsidR="00156AA1" w:rsidRPr="00156AA1">
              <w:rPr>
                <w:rFonts w:cs="Arial"/>
                <w:lang w:val="fr-CH"/>
              </w:rPr>
              <w:t>à l'article 2. En outre, l'article 5.1 stipule que seuls les Parties, le C</w:t>
            </w:r>
            <w:r w:rsidR="009E0016">
              <w:rPr>
                <w:rFonts w:cs="Arial"/>
                <w:lang w:val="fr-CH"/>
              </w:rPr>
              <w:t>P</w:t>
            </w:r>
            <w:r w:rsidR="00156AA1" w:rsidRPr="00156AA1">
              <w:rPr>
                <w:rFonts w:cs="Arial"/>
                <w:lang w:val="fr-CH"/>
              </w:rPr>
              <w:t xml:space="preserve"> et le Bureau de la Conférence peuvent </w:t>
            </w:r>
            <w:r w:rsidR="00C0685D">
              <w:rPr>
                <w:rFonts w:cs="Arial"/>
                <w:lang w:val="fr-CH"/>
              </w:rPr>
              <w:t>présenter</w:t>
            </w:r>
            <w:r w:rsidR="00156AA1" w:rsidRPr="00156AA1">
              <w:rPr>
                <w:rFonts w:cs="Arial"/>
                <w:lang w:val="fr-CH"/>
              </w:rPr>
              <w:t xml:space="preserve"> des propositions. Il semble que les termes </w:t>
            </w:r>
            <w:r w:rsidR="00875689">
              <w:rPr>
                <w:rFonts w:cs="Arial"/>
                <w:lang w:val="fr-CH"/>
              </w:rPr>
              <w:t>« </w:t>
            </w:r>
            <w:r w:rsidR="00156AA1" w:rsidRPr="00156AA1">
              <w:rPr>
                <w:rFonts w:cs="Arial"/>
                <w:lang w:val="fr-CH"/>
              </w:rPr>
              <w:t>présenter</w:t>
            </w:r>
            <w:r w:rsidR="00875689">
              <w:rPr>
                <w:rFonts w:cs="Arial"/>
                <w:lang w:val="fr-CH"/>
              </w:rPr>
              <w:t> »</w:t>
            </w:r>
            <w:r w:rsidR="00156AA1" w:rsidRPr="00156AA1">
              <w:rPr>
                <w:rFonts w:cs="Arial"/>
                <w:lang w:val="fr-CH"/>
              </w:rPr>
              <w:t xml:space="preserve"> et </w:t>
            </w:r>
            <w:r w:rsidR="00875689">
              <w:rPr>
                <w:rFonts w:cs="Arial"/>
                <w:lang w:val="fr-CH"/>
              </w:rPr>
              <w:t>« </w:t>
            </w:r>
            <w:r w:rsidR="00156AA1" w:rsidRPr="00156AA1">
              <w:rPr>
                <w:rFonts w:cs="Arial"/>
                <w:lang w:val="fr-CH"/>
              </w:rPr>
              <w:t>parrainer</w:t>
            </w:r>
            <w:r w:rsidR="00875689">
              <w:rPr>
                <w:rFonts w:cs="Arial"/>
                <w:lang w:val="fr-CH"/>
              </w:rPr>
              <w:t> »</w:t>
            </w:r>
            <w:r w:rsidR="00156AA1" w:rsidRPr="00156AA1">
              <w:rPr>
                <w:rFonts w:cs="Arial"/>
                <w:lang w:val="fr-CH"/>
              </w:rPr>
              <w:t xml:space="preserve"> soient utilisés de façon interchangeable </w:t>
            </w:r>
            <w:r w:rsidR="00C0685D">
              <w:rPr>
                <w:rFonts w:cs="Arial"/>
                <w:lang w:val="fr-CH"/>
              </w:rPr>
              <w:t xml:space="preserve">dans l’article </w:t>
            </w:r>
            <w:r w:rsidR="00156AA1" w:rsidRPr="00156AA1">
              <w:rPr>
                <w:rFonts w:cs="Arial"/>
                <w:lang w:val="fr-CH"/>
              </w:rPr>
              <w:t xml:space="preserve">5.1. Si tel est le cas, un observateur peut rédiger une proposition, mais, conformément à l'article 5.1, elle doit être parrainée (c'est-à-dire </w:t>
            </w:r>
            <w:r w:rsidR="00875689">
              <w:rPr>
                <w:rFonts w:cs="Arial"/>
                <w:lang w:val="fr-CH"/>
              </w:rPr>
              <w:t>p</w:t>
            </w:r>
            <w:r w:rsidR="00156AA1" w:rsidRPr="00156AA1">
              <w:rPr>
                <w:rFonts w:cs="Arial"/>
                <w:lang w:val="fr-CH"/>
              </w:rPr>
              <w:t xml:space="preserve">résentée) par une Partie contractante. </w:t>
            </w:r>
            <w:r w:rsidR="00875689">
              <w:rPr>
                <w:rFonts w:cs="Arial"/>
                <w:lang w:val="fr-CH"/>
              </w:rPr>
              <w:t>Quoi qu’il soit</w:t>
            </w:r>
            <w:r w:rsidR="00156AA1" w:rsidRPr="00156AA1">
              <w:rPr>
                <w:rFonts w:cs="Arial"/>
                <w:lang w:val="fr-CH"/>
              </w:rPr>
              <w:t xml:space="preserve">, ce n'est pas tout à fait clair et </w:t>
            </w:r>
            <w:r w:rsidR="00875689">
              <w:rPr>
                <w:rFonts w:cs="Arial"/>
                <w:lang w:val="fr-CH"/>
              </w:rPr>
              <w:t xml:space="preserve">il faut </w:t>
            </w:r>
            <w:r w:rsidR="00156AA1" w:rsidRPr="00156AA1">
              <w:rPr>
                <w:rFonts w:cs="Arial"/>
                <w:lang w:val="fr-CH"/>
              </w:rPr>
              <w:t>réso</w:t>
            </w:r>
            <w:r w:rsidR="00875689">
              <w:rPr>
                <w:rFonts w:cs="Arial"/>
                <w:lang w:val="fr-CH"/>
              </w:rPr>
              <w:t>udre la q</w:t>
            </w:r>
            <w:r w:rsidR="00156AA1" w:rsidRPr="00156AA1">
              <w:rPr>
                <w:rFonts w:cs="Arial"/>
                <w:lang w:val="fr-CH"/>
              </w:rPr>
              <w:t>u</w:t>
            </w:r>
            <w:r w:rsidR="00875689">
              <w:rPr>
                <w:rFonts w:cs="Arial"/>
                <w:lang w:val="fr-CH"/>
              </w:rPr>
              <w:t>estion</w:t>
            </w:r>
            <w:r w:rsidR="00156AA1" w:rsidRPr="00156AA1">
              <w:rPr>
                <w:rFonts w:cs="Arial"/>
                <w:lang w:val="fr-CH"/>
              </w:rPr>
              <w:t>.</w:t>
            </w:r>
            <w:r w:rsidR="00A36FF0" w:rsidRPr="004A7A85">
              <w:rPr>
                <w:rFonts w:cs="Arial"/>
                <w:lang w:val="fr-CH"/>
              </w:rPr>
              <w:t xml:space="preserve"> </w:t>
            </w:r>
          </w:p>
          <w:p w:rsidR="00A36FF0" w:rsidRPr="004A7A85" w:rsidRDefault="00A36FF0" w:rsidP="00313DE3">
            <w:pPr>
              <w:ind w:left="0" w:firstLine="0"/>
              <w:rPr>
                <w:rFonts w:cs="Arial"/>
                <w:lang w:val="fr-CH"/>
              </w:rPr>
            </w:pPr>
          </w:p>
          <w:p w:rsidR="00A36FF0" w:rsidRPr="00365E8E" w:rsidRDefault="00875689" w:rsidP="00365E8E">
            <w:pPr>
              <w:ind w:left="0" w:firstLine="0"/>
              <w:rPr>
                <w:rFonts w:cs="Arial"/>
                <w:lang w:val="fr-CH"/>
              </w:rPr>
            </w:pPr>
            <w:r>
              <w:rPr>
                <w:rFonts w:cs="Arial"/>
                <w:lang w:val="fr-CH"/>
              </w:rPr>
              <w:t xml:space="preserve">L’article </w:t>
            </w:r>
            <w:r w:rsidR="00A36FF0" w:rsidRPr="004A7A85">
              <w:rPr>
                <w:rFonts w:cs="Arial"/>
                <w:lang w:val="fr-CH"/>
              </w:rPr>
              <w:t xml:space="preserve">7.3 </w:t>
            </w:r>
            <w:r>
              <w:rPr>
                <w:rFonts w:cs="Arial"/>
                <w:lang w:val="fr-CH"/>
              </w:rPr>
              <w:t>parle d’ « </w:t>
            </w:r>
            <w:r w:rsidRPr="00875689">
              <w:rPr>
                <w:rFonts w:cs="Arial"/>
                <w:lang w:val="fr-CH"/>
              </w:rPr>
              <w:t>organes ou agences ayant obtenu le statut d’observateur</w:t>
            </w:r>
            <w:r>
              <w:rPr>
                <w:rFonts w:cs="Arial"/>
                <w:lang w:val="fr-CH"/>
              </w:rPr>
              <w:t> »</w:t>
            </w:r>
            <w:r w:rsidR="00A36FF0" w:rsidRPr="004A7A85">
              <w:rPr>
                <w:rFonts w:cs="Arial"/>
                <w:lang w:val="fr-CH"/>
              </w:rPr>
              <w:t xml:space="preserve">, </w:t>
            </w:r>
            <w:r>
              <w:rPr>
                <w:rFonts w:cs="Arial"/>
                <w:lang w:val="fr-CH"/>
              </w:rPr>
              <w:t xml:space="preserve">tandis que l’article </w:t>
            </w:r>
            <w:r w:rsidR="00A36FF0" w:rsidRPr="004A7A85">
              <w:rPr>
                <w:rFonts w:cs="Arial"/>
                <w:lang w:val="fr-CH"/>
              </w:rPr>
              <w:t xml:space="preserve">7.7 </w:t>
            </w:r>
            <w:r>
              <w:rPr>
                <w:rFonts w:cs="Arial"/>
                <w:lang w:val="fr-CH"/>
              </w:rPr>
              <w:t xml:space="preserve">fait </w:t>
            </w:r>
            <w:r w:rsidR="00A36FF0" w:rsidRPr="004A7A85">
              <w:rPr>
                <w:rFonts w:cs="Arial"/>
                <w:lang w:val="fr-CH"/>
              </w:rPr>
              <w:t>r</w:t>
            </w:r>
            <w:r>
              <w:rPr>
                <w:rFonts w:cs="Arial"/>
                <w:lang w:val="fr-CH"/>
              </w:rPr>
              <w:t>éférence à des organes ou agences « </w:t>
            </w:r>
            <w:r w:rsidR="00B10EE2" w:rsidRPr="00B10EE2">
              <w:rPr>
                <w:rFonts w:cs="Arial"/>
                <w:lang w:val="fr-CH"/>
              </w:rPr>
              <w:t>dont le statut d’observateur a été approuvé</w:t>
            </w:r>
            <w:r w:rsidR="00B10EE2">
              <w:rPr>
                <w:rFonts w:cs="Arial"/>
                <w:lang w:val="fr-CH"/>
              </w:rPr>
              <w:t> »</w:t>
            </w:r>
            <w:r w:rsidR="00A36FF0" w:rsidRPr="004A7A85">
              <w:rPr>
                <w:rFonts w:cs="Arial"/>
                <w:lang w:val="fr-CH"/>
              </w:rPr>
              <w:t xml:space="preserve">. </w:t>
            </w:r>
            <w:r w:rsidR="00B10EE2">
              <w:rPr>
                <w:rFonts w:cs="Arial"/>
                <w:lang w:val="fr-CH"/>
              </w:rPr>
              <w:t>L’article n’</w:t>
            </w:r>
            <w:r w:rsidR="00B10EE2" w:rsidRPr="00B10EE2">
              <w:rPr>
                <w:rFonts w:cs="Arial"/>
                <w:lang w:val="fr-CH"/>
              </w:rPr>
              <w:t>établi</w:t>
            </w:r>
            <w:r w:rsidR="00B10EE2">
              <w:rPr>
                <w:rFonts w:cs="Arial"/>
                <w:lang w:val="fr-CH"/>
              </w:rPr>
              <w:t>t toutefois</w:t>
            </w:r>
            <w:r w:rsidR="00B10EE2" w:rsidRPr="00B10EE2">
              <w:rPr>
                <w:rFonts w:cs="Arial"/>
                <w:lang w:val="fr-CH"/>
              </w:rPr>
              <w:t xml:space="preserve"> pas clairement </w:t>
            </w:r>
            <w:r w:rsidR="00B10EE2">
              <w:rPr>
                <w:rFonts w:cs="Arial"/>
                <w:lang w:val="fr-CH"/>
              </w:rPr>
              <w:t xml:space="preserve">quel est le </w:t>
            </w:r>
            <w:r w:rsidR="00B10EE2" w:rsidRPr="00B10EE2">
              <w:rPr>
                <w:rFonts w:cs="Arial"/>
                <w:lang w:val="fr-CH"/>
              </w:rPr>
              <w:t>processus de reconnaissance ou d'approbation. Dans la pratique, les observateurs sont approuvés/reconnu</w:t>
            </w:r>
            <w:r w:rsidR="00B10EE2">
              <w:rPr>
                <w:rFonts w:cs="Arial"/>
                <w:lang w:val="fr-CH"/>
              </w:rPr>
              <w:t>s</w:t>
            </w:r>
            <w:r w:rsidR="00B10EE2" w:rsidRPr="00B10EE2">
              <w:rPr>
                <w:rFonts w:cs="Arial"/>
                <w:lang w:val="fr-CH"/>
              </w:rPr>
              <w:t xml:space="preserve"> par la C</w:t>
            </w:r>
            <w:r w:rsidR="00C9572D">
              <w:rPr>
                <w:rFonts w:cs="Arial"/>
                <w:lang w:val="fr-CH"/>
              </w:rPr>
              <w:t>OP</w:t>
            </w:r>
            <w:r w:rsidR="00B10EE2" w:rsidRPr="00B10EE2">
              <w:rPr>
                <w:rFonts w:cs="Arial"/>
                <w:lang w:val="fr-CH"/>
              </w:rPr>
              <w:t xml:space="preserve">. Voir par exemple le point 7 de l'ordre du jour de la </w:t>
            </w:r>
            <w:r w:rsidR="00C9572D">
              <w:rPr>
                <w:rFonts w:cs="Arial"/>
                <w:lang w:val="fr-CH"/>
              </w:rPr>
              <w:t xml:space="preserve">COP 13 </w:t>
            </w:r>
            <w:r w:rsidR="002B457B">
              <w:rPr>
                <w:rFonts w:cs="Arial"/>
                <w:lang w:val="fr-CH"/>
              </w:rPr>
              <w:t>« </w:t>
            </w:r>
            <w:r w:rsidR="00B10EE2" w:rsidRPr="00B10EE2">
              <w:rPr>
                <w:rFonts w:cs="Arial"/>
                <w:lang w:val="fr-CH"/>
              </w:rPr>
              <w:t>Admission d</w:t>
            </w:r>
            <w:r w:rsidR="002B457B">
              <w:rPr>
                <w:rFonts w:cs="Arial"/>
                <w:lang w:val="fr-CH"/>
              </w:rPr>
              <w:t xml:space="preserve">es </w:t>
            </w:r>
            <w:r w:rsidR="00B10EE2" w:rsidRPr="00B10EE2">
              <w:rPr>
                <w:rFonts w:cs="Arial"/>
                <w:lang w:val="fr-CH"/>
              </w:rPr>
              <w:t>observateurs</w:t>
            </w:r>
            <w:r w:rsidR="002B457B">
              <w:rPr>
                <w:rFonts w:cs="Arial"/>
                <w:lang w:val="fr-CH"/>
              </w:rPr>
              <w:t> »</w:t>
            </w:r>
            <w:r w:rsidR="00A36FF0" w:rsidRPr="004A7A85">
              <w:rPr>
                <w:rFonts w:cs="Arial"/>
                <w:lang w:val="fr-CH"/>
              </w:rPr>
              <w:t xml:space="preserve">. </w:t>
            </w:r>
          </w:p>
        </w:tc>
        <w:tc>
          <w:tcPr>
            <w:tcW w:w="3402" w:type="dxa"/>
          </w:tcPr>
          <w:p w:rsidR="00A36FF0" w:rsidRPr="004A7A85" w:rsidRDefault="0094394D" w:rsidP="005D3354">
            <w:pPr>
              <w:pStyle w:val="NoSpacing"/>
              <w:ind w:left="0" w:firstLine="0"/>
              <w:rPr>
                <w:lang w:val="fr-CH"/>
              </w:rPr>
            </w:pPr>
            <w:r w:rsidRPr="0094394D">
              <w:rPr>
                <w:lang w:val="fr-CH"/>
              </w:rPr>
              <w:lastRenderedPageBreak/>
              <w:t>Les articles 6 et 7 devraient être regroupés en un seul article qui soit clair et cohérent dans son application aux observateurs</w:t>
            </w:r>
            <w:r w:rsidR="00A36FF0" w:rsidRPr="004A7A85">
              <w:rPr>
                <w:lang w:val="fr-CH"/>
              </w:rPr>
              <w:t xml:space="preserve">. </w:t>
            </w:r>
          </w:p>
          <w:p w:rsidR="00A36FF0" w:rsidRPr="004A7A85" w:rsidRDefault="00A36FF0" w:rsidP="005D3354">
            <w:pPr>
              <w:pStyle w:val="NoSpacing"/>
              <w:ind w:left="0" w:firstLine="0"/>
              <w:rPr>
                <w:lang w:val="fr-CH"/>
              </w:rPr>
            </w:pPr>
          </w:p>
          <w:p w:rsidR="00A36FF0" w:rsidRDefault="00433A91" w:rsidP="005940BF">
            <w:pPr>
              <w:pStyle w:val="NoSpacing"/>
              <w:ind w:left="0" w:firstLine="0"/>
              <w:rPr>
                <w:lang w:val="fr-CH"/>
              </w:rPr>
            </w:pPr>
            <w:r>
              <w:rPr>
                <w:lang w:val="fr-CH"/>
              </w:rPr>
              <w:t>Article 7.5 : S</w:t>
            </w:r>
            <w:r w:rsidR="0094394D" w:rsidRPr="0094394D">
              <w:rPr>
                <w:lang w:val="fr-CH"/>
              </w:rPr>
              <w:t xml:space="preserve">i les Parties </w:t>
            </w:r>
            <w:r w:rsidR="00B41311">
              <w:rPr>
                <w:lang w:val="fr-CH"/>
              </w:rPr>
              <w:t xml:space="preserve">entendent </w:t>
            </w:r>
            <w:r w:rsidR="0094394D" w:rsidRPr="0094394D">
              <w:rPr>
                <w:lang w:val="fr-CH"/>
              </w:rPr>
              <w:t xml:space="preserve">qu'un observateur </w:t>
            </w:r>
            <w:r w:rsidR="00B41311">
              <w:rPr>
                <w:lang w:val="fr-CH"/>
              </w:rPr>
              <w:t xml:space="preserve">puisse </w:t>
            </w:r>
            <w:r w:rsidR="0094394D" w:rsidRPr="0094394D">
              <w:rPr>
                <w:lang w:val="fr-CH"/>
              </w:rPr>
              <w:t xml:space="preserve">rédiger (ou annoncer) une proposition qui </w:t>
            </w:r>
            <w:r w:rsidR="0094673D">
              <w:rPr>
                <w:lang w:val="fr-CH"/>
              </w:rPr>
              <w:t>sera</w:t>
            </w:r>
            <w:r w:rsidR="0094394D" w:rsidRPr="0094394D">
              <w:rPr>
                <w:lang w:val="fr-CH"/>
              </w:rPr>
              <w:t xml:space="preserve"> à son tour soumise par une Partie contractante, </w:t>
            </w:r>
            <w:r w:rsidR="0094673D">
              <w:rPr>
                <w:lang w:val="fr-CH"/>
              </w:rPr>
              <w:t xml:space="preserve">il faut le </w:t>
            </w:r>
            <w:r w:rsidR="0094394D" w:rsidRPr="0094394D">
              <w:rPr>
                <w:lang w:val="fr-CH"/>
              </w:rPr>
              <w:t>précis</w:t>
            </w:r>
            <w:r w:rsidR="0094673D">
              <w:rPr>
                <w:lang w:val="fr-CH"/>
              </w:rPr>
              <w:t>er</w:t>
            </w:r>
            <w:r w:rsidR="0094394D" w:rsidRPr="0094394D">
              <w:rPr>
                <w:lang w:val="fr-CH"/>
              </w:rPr>
              <w:t xml:space="preserve">. Cette clarification pourrait </w:t>
            </w:r>
            <w:r w:rsidR="0094394D" w:rsidRPr="0094394D">
              <w:rPr>
                <w:lang w:val="fr-CH"/>
              </w:rPr>
              <w:lastRenderedPageBreak/>
              <w:t xml:space="preserve">- par exemple - figurer dans les articles intitulés </w:t>
            </w:r>
            <w:r w:rsidR="0094673D">
              <w:rPr>
                <w:lang w:val="fr-CH"/>
              </w:rPr>
              <w:t>« </w:t>
            </w:r>
            <w:r w:rsidR="0094394D" w:rsidRPr="0094394D">
              <w:rPr>
                <w:lang w:val="fr-CH"/>
              </w:rPr>
              <w:t>Rédaction des propositions</w:t>
            </w:r>
            <w:r w:rsidR="0094673D">
              <w:rPr>
                <w:lang w:val="fr-CH"/>
              </w:rPr>
              <w:t> »</w:t>
            </w:r>
            <w:r w:rsidR="0094394D" w:rsidRPr="0094394D">
              <w:rPr>
                <w:lang w:val="fr-CH"/>
              </w:rPr>
              <w:t xml:space="preserve"> et </w:t>
            </w:r>
            <w:r w:rsidR="0094673D">
              <w:rPr>
                <w:lang w:val="fr-CH"/>
              </w:rPr>
              <w:t>« Présentation des</w:t>
            </w:r>
            <w:r>
              <w:rPr>
                <w:lang w:val="fr-CH"/>
              </w:rPr>
              <w:t xml:space="preserve"> propositions »</w:t>
            </w:r>
            <w:r w:rsidR="0094394D" w:rsidRPr="0094394D">
              <w:rPr>
                <w:lang w:val="fr-CH"/>
              </w:rPr>
              <w:t xml:space="preserve"> (comme recommandé ci-dessus sous </w:t>
            </w:r>
            <w:r>
              <w:rPr>
                <w:lang w:val="fr-CH"/>
              </w:rPr>
              <w:t>« A</w:t>
            </w:r>
            <w:r w:rsidR="0094394D" w:rsidRPr="0094394D">
              <w:rPr>
                <w:lang w:val="fr-CH"/>
              </w:rPr>
              <w:t>rticle 5 : Notification</w:t>
            </w:r>
            <w:r w:rsidR="0094673D">
              <w:rPr>
                <w:lang w:val="fr-CH"/>
              </w:rPr>
              <w:t> »</w:t>
            </w:r>
            <w:r w:rsidR="0094394D" w:rsidRPr="0094394D">
              <w:rPr>
                <w:lang w:val="fr-CH"/>
              </w:rPr>
              <w:t>).</w:t>
            </w:r>
          </w:p>
          <w:p w:rsidR="0094394D" w:rsidRPr="004A7A85" w:rsidRDefault="0094394D" w:rsidP="005940BF">
            <w:pPr>
              <w:pStyle w:val="NoSpacing"/>
              <w:ind w:left="0" w:firstLine="0"/>
              <w:rPr>
                <w:lang w:val="fr-CH"/>
              </w:rPr>
            </w:pPr>
          </w:p>
          <w:p w:rsidR="00A36FF0" w:rsidRPr="004A7A85" w:rsidRDefault="0094673D" w:rsidP="005940BF">
            <w:pPr>
              <w:pStyle w:val="NoSpacing"/>
              <w:ind w:left="0" w:firstLine="0"/>
              <w:rPr>
                <w:lang w:val="fr-CH"/>
              </w:rPr>
            </w:pPr>
            <w:r w:rsidRPr="0094673D">
              <w:rPr>
                <w:lang w:val="fr-CH"/>
              </w:rPr>
              <w:t>Article 7.7 : Préciser que la liste d</w:t>
            </w:r>
            <w:r w:rsidR="00433A91">
              <w:rPr>
                <w:lang w:val="fr-CH"/>
              </w:rPr>
              <w:t>es observateurs fournie par le S</w:t>
            </w:r>
            <w:r w:rsidRPr="0094673D">
              <w:rPr>
                <w:lang w:val="fr-CH"/>
              </w:rPr>
              <w:t>ecrétariat à la C</w:t>
            </w:r>
            <w:r>
              <w:rPr>
                <w:lang w:val="fr-CH"/>
              </w:rPr>
              <w:t>OP</w:t>
            </w:r>
            <w:r w:rsidRPr="0094673D">
              <w:rPr>
                <w:lang w:val="fr-CH"/>
              </w:rPr>
              <w:t xml:space="preserve"> doit être approuvée par celle-ci</w:t>
            </w:r>
            <w:r w:rsidR="00B41311">
              <w:rPr>
                <w:lang w:val="fr-CH"/>
              </w:rPr>
              <w:t>,</w:t>
            </w:r>
            <w:r w:rsidRPr="0094673D">
              <w:rPr>
                <w:lang w:val="fr-CH"/>
              </w:rPr>
              <w:t xml:space="preserve"> conformément aux articles 7.1, 7.2 et 7.3.</w:t>
            </w:r>
            <w:r w:rsidR="00A346B4">
              <w:rPr>
                <w:lang w:val="fr-CH"/>
              </w:rPr>
              <w:t xml:space="preserve"> </w:t>
            </w:r>
            <w:r w:rsidR="008F3EF2">
              <w:rPr>
                <w:lang w:val="fr-CH"/>
              </w:rPr>
              <w:t>Appliquer uniformément la terminologie</w:t>
            </w:r>
            <w:r w:rsidR="00A36FF0" w:rsidRPr="004A7A85">
              <w:rPr>
                <w:lang w:val="fr-CH"/>
              </w:rPr>
              <w:t xml:space="preserve">. </w:t>
            </w:r>
          </w:p>
          <w:p w:rsidR="00A36FF0" w:rsidRPr="004A7A85" w:rsidRDefault="00A36FF0" w:rsidP="005940BF">
            <w:pPr>
              <w:pStyle w:val="NoSpacing"/>
              <w:ind w:left="0" w:firstLine="0"/>
              <w:rPr>
                <w:lang w:val="fr-CH"/>
              </w:rPr>
            </w:pPr>
          </w:p>
          <w:p w:rsidR="00A36FF0" w:rsidRPr="004A7A85" w:rsidRDefault="008F3EF2" w:rsidP="008676A6">
            <w:pPr>
              <w:pStyle w:val="NoSpacing"/>
              <w:ind w:left="0" w:firstLine="0"/>
              <w:rPr>
                <w:lang w:val="fr-CH"/>
              </w:rPr>
            </w:pPr>
            <w:r w:rsidRPr="008F3EF2">
              <w:rPr>
                <w:lang w:val="fr-CH"/>
              </w:rPr>
              <w:t>Voir également la recommandation concernant la définition d</w:t>
            </w:r>
            <w:r>
              <w:rPr>
                <w:lang w:val="fr-CH"/>
              </w:rPr>
              <w:t>u terme « </w:t>
            </w:r>
            <w:r w:rsidRPr="008F3EF2">
              <w:rPr>
                <w:lang w:val="fr-CH"/>
              </w:rPr>
              <w:t>proposition</w:t>
            </w:r>
            <w:r>
              <w:rPr>
                <w:lang w:val="fr-CH"/>
              </w:rPr>
              <w:t> »</w:t>
            </w:r>
            <w:r w:rsidRPr="008F3EF2">
              <w:rPr>
                <w:lang w:val="fr-CH"/>
              </w:rPr>
              <w:t xml:space="preserve"> à l'article 2, point g)</w:t>
            </w:r>
            <w:r w:rsidR="00A36FF0" w:rsidRPr="004A7A85">
              <w:rPr>
                <w:lang w:val="fr-CH"/>
              </w:rPr>
              <w:t xml:space="preserve">. </w:t>
            </w:r>
          </w:p>
        </w:tc>
      </w:tr>
      <w:tr w:rsidR="00D50999" w:rsidRPr="005B5B77" w:rsidTr="0036762F">
        <w:tc>
          <w:tcPr>
            <w:tcW w:w="578" w:type="dxa"/>
          </w:tcPr>
          <w:p w:rsidR="00A36FF0" w:rsidRPr="004A7A85" w:rsidRDefault="00B46BFD" w:rsidP="00B46BFD">
            <w:pPr>
              <w:pStyle w:val="NoSpacing"/>
              <w:ind w:left="0" w:firstLine="0"/>
              <w:rPr>
                <w:lang w:val="fr-CH"/>
              </w:rPr>
            </w:pPr>
            <w:r w:rsidRPr="004A7A85">
              <w:rPr>
                <w:lang w:val="fr-CH"/>
              </w:rPr>
              <w:lastRenderedPageBreak/>
              <w:t>6</w:t>
            </w:r>
          </w:p>
        </w:tc>
        <w:tc>
          <w:tcPr>
            <w:tcW w:w="1685" w:type="dxa"/>
          </w:tcPr>
          <w:p w:rsidR="00A36FF0" w:rsidRPr="004A7A85" w:rsidRDefault="002B457B" w:rsidP="0078688F">
            <w:pPr>
              <w:pStyle w:val="NoSpacing"/>
              <w:ind w:left="0" w:firstLine="0"/>
              <w:rPr>
                <w:lang w:val="fr-CH"/>
              </w:rPr>
            </w:pPr>
            <w:r>
              <w:rPr>
                <w:lang w:val="fr-CH"/>
              </w:rPr>
              <w:t xml:space="preserve">Article </w:t>
            </w:r>
            <w:r w:rsidR="00A36FF0" w:rsidRPr="004A7A85">
              <w:rPr>
                <w:lang w:val="fr-CH"/>
              </w:rPr>
              <w:t>8</w:t>
            </w:r>
            <w:r>
              <w:rPr>
                <w:lang w:val="fr-CH"/>
              </w:rPr>
              <w:t> :</w:t>
            </w:r>
            <w:r w:rsidR="00A36FF0" w:rsidRPr="004A7A85">
              <w:rPr>
                <w:lang w:val="fr-CH"/>
              </w:rPr>
              <w:t xml:space="preserve"> Pr</w:t>
            </w:r>
            <w:r w:rsidR="007471DF">
              <w:rPr>
                <w:lang w:val="fr-CH"/>
              </w:rPr>
              <w:t>é</w:t>
            </w:r>
            <w:r w:rsidR="00A36FF0" w:rsidRPr="004A7A85">
              <w:rPr>
                <w:lang w:val="fr-CH"/>
              </w:rPr>
              <w:t xml:space="preserve">paration </w:t>
            </w:r>
            <w:r w:rsidR="007471DF">
              <w:rPr>
                <w:lang w:val="fr-CH"/>
              </w:rPr>
              <w:t>de l’ordre du jour provisoire</w:t>
            </w:r>
          </w:p>
        </w:tc>
        <w:tc>
          <w:tcPr>
            <w:tcW w:w="3402" w:type="dxa"/>
          </w:tcPr>
          <w:p w:rsidR="008900CE" w:rsidRPr="004A7A85" w:rsidRDefault="00AB1F13" w:rsidP="001126BE">
            <w:pPr>
              <w:pStyle w:val="NoSpacing"/>
              <w:ind w:left="0" w:firstLine="0"/>
              <w:rPr>
                <w:lang w:val="fr-CH"/>
              </w:rPr>
            </w:pPr>
            <w:r w:rsidRPr="00AB1F13">
              <w:rPr>
                <w:lang w:val="fr-CH"/>
              </w:rPr>
              <w:t>Le Secrétariat prépare l’ordre du jour provisoire de chaque session ordinaire afin qu’il soit examiné et approuvé par le C</w:t>
            </w:r>
            <w:r>
              <w:rPr>
                <w:lang w:val="fr-CH"/>
              </w:rPr>
              <w:t>P</w:t>
            </w:r>
            <w:r w:rsidRPr="00AB1F13">
              <w:rPr>
                <w:lang w:val="fr-CH"/>
              </w:rPr>
              <w:t xml:space="preserve"> à sa réunion annuelle, dans l’année qui suit </w:t>
            </w:r>
            <w:r w:rsidR="008F3EF2">
              <w:rPr>
                <w:lang w:val="fr-CH"/>
              </w:rPr>
              <w:t>la</w:t>
            </w:r>
            <w:r w:rsidRPr="00AB1F13">
              <w:rPr>
                <w:lang w:val="fr-CH"/>
              </w:rPr>
              <w:t xml:space="preserve"> session </w:t>
            </w:r>
            <w:r w:rsidR="008F3EF2">
              <w:rPr>
                <w:lang w:val="fr-CH"/>
              </w:rPr>
              <w:t xml:space="preserve">la plus récente </w:t>
            </w:r>
            <w:r w:rsidRPr="00AB1F13">
              <w:rPr>
                <w:lang w:val="fr-CH"/>
              </w:rPr>
              <w:t>de la C</w:t>
            </w:r>
            <w:r>
              <w:rPr>
                <w:lang w:val="fr-CH"/>
              </w:rPr>
              <w:t>OP.</w:t>
            </w:r>
            <w:r w:rsidRPr="004A7A85">
              <w:rPr>
                <w:lang w:val="fr-CH"/>
              </w:rPr>
              <w:t xml:space="preserve"> </w:t>
            </w:r>
            <w:r w:rsidRPr="00AB1F13">
              <w:rPr>
                <w:lang w:val="fr-CH"/>
              </w:rPr>
              <w:t>Cela signifie que l'ordre du jour provisoire doit être préparé deux ans avant la COP</w:t>
            </w:r>
            <w:r w:rsidR="008F3EF2">
              <w:rPr>
                <w:lang w:val="fr-CH"/>
              </w:rPr>
              <w:t xml:space="preserve"> suivante</w:t>
            </w:r>
            <w:r w:rsidRPr="00AB1F13">
              <w:rPr>
                <w:lang w:val="fr-CH"/>
              </w:rPr>
              <w:t>. On peut se demander si c</w:t>
            </w:r>
            <w:r>
              <w:rPr>
                <w:lang w:val="fr-CH"/>
              </w:rPr>
              <w:t>’</w:t>
            </w:r>
            <w:r w:rsidRPr="00AB1F13">
              <w:rPr>
                <w:lang w:val="fr-CH"/>
              </w:rPr>
              <w:t xml:space="preserve">est efficace et nécessaire, surtout si l'on considère l'évolution </w:t>
            </w:r>
            <w:r>
              <w:rPr>
                <w:lang w:val="fr-CH"/>
              </w:rPr>
              <w:t>qui risque d’intervenir</w:t>
            </w:r>
            <w:r w:rsidRPr="00AB1F13">
              <w:rPr>
                <w:lang w:val="fr-CH"/>
              </w:rPr>
              <w:t xml:space="preserve"> au cours de</w:t>
            </w:r>
            <w:r w:rsidR="008F3EF2">
              <w:rPr>
                <w:lang w:val="fr-CH"/>
              </w:rPr>
              <w:t xml:space="preserve"> ce</w:t>
            </w:r>
            <w:r w:rsidRPr="00AB1F13">
              <w:rPr>
                <w:lang w:val="fr-CH"/>
              </w:rPr>
              <w:t>s deux années.</w:t>
            </w:r>
          </w:p>
        </w:tc>
        <w:tc>
          <w:tcPr>
            <w:tcW w:w="3402" w:type="dxa"/>
          </w:tcPr>
          <w:p w:rsidR="00A36FF0" w:rsidRPr="004A7A85" w:rsidRDefault="00AB1F13" w:rsidP="0078688F">
            <w:pPr>
              <w:pStyle w:val="NoSpacing"/>
              <w:ind w:left="0" w:firstLine="0"/>
              <w:rPr>
                <w:lang w:val="fr-CH"/>
              </w:rPr>
            </w:pPr>
            <w:r w:rsidRPr="00AB1F13">
              <w:rPr>
                <w:lang w:val="fr-CH"/>
              </w:rPr>
              <w:t xml:space="preserve">Envisager de modifier cet </w:t>
            </w:r>
            <w:r>
              <w:rPr>
                <w:lang w:val="fr-CH"/>
              </w:rPr>
              <w:t xml:space="preserve">article </w:t>
            </w:r>
            <w:r w:rsidRPr="00AB1F13">
              <w:rPr>
                <w:lang w:val="fr-CH"/>
              </w:rPr>
              <w:t xml:space="preserve">pour </w:t>
            </w:r>
            <w:r>
              <w:rPr>
                <w:lang w:val="fr-CH"/>
              </w:rPr>
              <w:t xml:space="preserve">demander </w:t>
            </w:r>
            <w:r w:rsidRPr="00AB1F13">
              <w:rPr>
                <w:lang w:val="fr-CH"/>
              </w:rPr>
              <w:t>que l'ordre du jour provisoire soit disponible un an avant la C</w:t>
            </w:r>
            <w:r>
              <w:rPr>
                <w:lang w:val="fr-CH"/>
              </w:rPr>
              <w:t>OP</w:t>
            </w:r>
            <w:r w:rsidRPr="00AB1F13">
              <w:rPr>
                <w:lang w:val="fr-CH"/>
              </w:rPr>
              <w:t xml:space="preserve"> (par exemple)</w:t>
            </w:r>
            <w:r w:rsidR="00A36FF0" w:rsidRPr="004A7A85">
              <w:rPr>
                <w:lang w:val="fr-CH"/>
              </w:rPr>
              <w:t>.</w:t>
            </w:r>
            <w:r w:rsidR="00523DF8" w:rsidRPr="004A7A85">
              <w:rPr>
                <w:rStyle w:val="FootnoteReference"/>
                <w:lang w:val="fr-CH"/>
              </w:rPr>
              <w:footnoteReference w:id="8"/>
            </w:r>
          </w:p>
        </w:tc>
      </w:tr>
      <w:tr w:rsidR="00D50999" w:rsidRPr="005B5B77" w:rsidTr="0036762F">
        <w:tc>
          <w:tcPr>
            <w:tcW w:w="578" w:type="dxa"/>
          </w:tcPr>
          <w:p w:rsidR="00A36FF0" w:rsidRPr="004A7A85" w:rsidRDefault="00F322DF" w:rsidP="0078688F">
            <w:pPr>
              <w:pStyle w:val="NoSpacing"/>
              <w:ind w:left="0" w:firstLine="0"/>
              <w:rPr>
                <w:lang w:val="fr-CH"/>
              </w:rPr>
            </w:pPr>
            <w:r w:rsidRPr="004A7A85">
              <w:rPr>
                <w:lang w:val="fr-CH"/>
              </w:rPr>
              <w:t>7</w:t>
            </w:r>
          </w:p>
        </w:tc>
        <w:tc>
          <w:tcPr>
            <w:tcW w:w="1685" w:type="dxa"/>
          </w:tcPr>
          <w:p w:rsidR="00A36FF0" w:rsidRPr="004A7A85" w:rsidRDefault="0066207F" w:rsidP="007729C9">
            <w:pPr>
              <w:pStyle w:val="NoSpacing"/>
              <w:ind w:left="0" w:firstLine="0"/>
              <w:rPr>
                <w:lang w:val="fr-CH"/>
              </w:rPr>
            </w:pPr>
            <w:r>
              <w:rPr>
                <w:lang w:val="fr-CH"/>
              </w:rPr>
              <w:t xml:space="preserve">Article </w:t>
            </w:r>
            <w:r w:rsidR="00A36FF0" w:rsidRPr="004A7A85">
              <w:rPr>
                <w:lang w:val="fr-CH"/>
              </w:rPr>
              <w:t>11</w:t>
            </w:r>
            <w:r w:rsidR="00B945BF" w:rsidRPr="004A7A85">
              <w:rPr>
                <w:lang w:val="fr-CH"/>
              </w:rPr>
              <w:t xml:space="preserve"> </w:t>
            </w:r>
            <w:r>
              <w:rPr>
                <w:lang w:val="fr-CH"/>
              </w:rPr>
              <w:t>–</w:t>
            </w:r>
            <w:r w:rsidR="007729C9" w:rsidRPr="004A7A85">
              <w:rPr>
                <w:lang w:val="fr-CH"/>
              </w:rPr>
              <w:t xml:space="preserve"> </w:t>
            </w:r>
            <w:r w:rsidR="00B945BF" w:rsidRPr="004A7A85">
              <w:rPr>
                <w:lang w:val="fr-CH"/>
              </w:rPr>
              <w:t>12</w:t>
            </w:r>
            <w:r>
              <w:rPr>
                <w:lang w:val="fr-CH"/>
              </w:rPr>
              <w:t xml:space="preserve"> </w:t>
            </w:r>
            <w:r w:rsidR="0033575D" w:rsidRPr="004A7A85">
              <w:rPr>
                <w:lang w:val="fr-CH"/>
              </w:rPr>
              <w:t>:</w:t>
            </w:r>
            <w:r w:rsidR="00A36FF0" w:rsidRPr="004A7A85">
              <w:rPr>
                <w:lang w:val="fr-CH"/>
              </w:rPr>
              <w:t xml:space="preserve"> </w:t>
            </w:r>
            <w:r>
              <w:rPr>
                <w:lang w:val="fr-CH"/>
              </w:rPr>
              <w:t>Ordre du jour provisoire</w:t>
            </w:r>
          </w:p>
        </w:tc>
        <w:tc>
          <w:tcPr>
            <w:tcW w:w="3402" w:type="dxa"/>
          </w:tcPr>
          <w:p w:rsidR="00A36FF0" w:rsidRPr="004A7A85" w:rsidRDefault="0066207F" w:rsidP="00EA45C0">
            <w:pPr>
              <w:pStyle w:val="NoSpacing"/>
              <w:ind w:left="0" w:firstLine="0"/>
              <w:rPr>
                <w:lang w:val="fr-CH"/>
              </w:rPr>
            </w:pPr>
            <w:r>
              <w:rPr>
                <w:lang w:val="fr-CH"/>
              </w:rPr>
              <w:t xml:space="preserve">En vertu de l’article </w:t>
            </w:r>
            <w:r w:rsidR="00670B26" w:rsidRPr="004A7A85">
              <w:rPr>
                <w:lang w:val="fr-CH"/>
              </w:rPr>
              <w:t xml:space="preserve">11, </w:t>
            </w:r>
            <w:r w:rsidR="009F4543">
              <w:rPr>
                <w:lang w:val="fr-CH"/>
              </w:rPr>
              <w:t>l</w:t>
            </w:r>
            <w:r w:rsidRPr="0066207F">
              <w:rPr>
                <w:lang w:val="fr-CH"/>
              </w:rPr>
              <w:t>e Secrétariat, en accord avec le président du C</w:t>
            </w:r>
            <w:r w:rsidR="009F4543">
              <w:rPr>
                <w:lang w:val="fr-CH"/>
              </w:rPr>
              <w:t>P</w:t>
            </w:r>
            <w:r w:rsidRPr="0066207F">
              <w:rPr>
                <w:lang w:val="fr-CH"/>
              </w:rPr>
              <w:t>, inscrit dans un ordre du jour provisoire supplémentaire tout point proposé par une Partie et reçu par le Secrétariat après l’établissement de l’ordre du jour provisoire mais avant l’ouverture de la session</w:t>
            </w:r>
            <w:r w:rsidR="009F4543">
              <w:rPr>
                <w:lang w:val="fr-CH"/>
              </w:rPr>
              <w:t xml:space="preserve"> (à savoir trois mois avant la session de la CoP)</w:t>
            </w:r>
            <w:r w:rsidRPr="0066207F">
              <w:rPr>
                <w:lang w:val="fr-CH"/>
              </w:rPr>
              <w:t>.</w:t>
            </w:r>
            <w:r w:rsidR="00A36FF0" w:rsidRPr="004A7A85">
              <w:rPr>
                <w:lang w:val="fr-CH"/>
              </w:rPr>
              <w:t xml:space="preserve"> </w:t>
            </w:r>
          </w:p>
          <w:p w:rsidR="00A36FF0" w:rsidRPr="004A7A85" w:rsidRDefault="00A36FF0" w:rsidP="00EA45C0">
            <w:pPr>
              <w:pStyle w:val="NoSpacing"/>
              <w:ind w:left="0" w:firstLine="0"/>
              <w:rPr>
                <w:lang w:val="fr-CH"/>
              </w:rPr>
            </w:pPr>
          </w:p>
          <w:p w:rsidR="00670B26" w:rsidRDefault="009F4543" w:rsidP="00EA45C0">
            <w:pPr>
              <w:pStyle w:val="NoSpacing"/>
              <w:ind w:left="0" w:firstLine="0"/>
              <w:rPr>
                <w:lang w:val="fr-CH"/>
              </w:rPr>
            </w:pPr>
            <w:r w:rsidRPr="009F4543">
              <w:rPr>
                <w:lang w:val="fr-CH"/>
              </w:rPr>
              <w:t>Toutefois, comme la date limite n'est pas précis</w:t>
            </w:r>
            <w:r>
              <w:rPr>
                <w:lang w:val="fr-CH"/>
              </w:rPr>
              <w:t>e</w:t>
            </w:r>
            <w:r w:rsidRPr="009F4543">
              <w:rPr>
                <w:lang w:val="fr-CH"/>
              </w:rPr>
              <w:t xml:space="preserve"> (</w:t>
            </w:r>
            <w:r>
              <w:rPr>
                <w:lang w:val="fr-CH"/>
              </w:rPr>
              <w:t>« </w:t>
            </w:r>
            <w:r w:rsidRPr="009F4543">
              <w:rPr>
                <w:lang w:val="fr-CH"/>
              </w:rPr>
              <w:t xml:space="preserve">...avant l'ouverture de la </w:t>
            </w:r>
            <w:r>
              <w:rPr>
                <w:lang w:val="fr-CH"/>
              </w:rPr>
              <w:t>session »</w:t>
            </w:r>
            <w:r w:rsidRPr="009F4543">
              <w:rPr>
                <w:lang w:val="fr-CH"/>
              </w:rPr>
              <w:t xml:space="preserve">), il </w:t>
            </w:r>
            <w:r>
              <w:rPr>
                <w:lang w:val="fr-CH"/>
              </w:rPr>
              <w:t xml:space="preserve">est possible </w:t>
            </w:r>
            <w:r w:rsidRPr="009F4543">
              <w:rPr>
                <w:lang w:val="fr-CH"/>
              </w:rPr>
              <w:t xml:space="preserve">que le temps manque pour traduire les documents et pour que les Parties puissent les examiner avant la </w:t>
            </w:r>
            <w:r>
              <w:rPr>
                <w:lang w:val="fr-CH"/>
              </w:rPr>
              <w:t xml:space="preserve">session, ce qui </w:t>
            </w:r>
            <w:r w:rsidR="005F4487">
              <w:rPr>
                <w:lang w:val="fr-CH"/>
              </w:rPr>
              <w:t>est contraire à l'article 50.1</w:t>
            </w:r>
            <w:r w:rsidRPr="009F4543">
              <w:rPr>
                <w:lang w:val="fr-CH"/>
              </w:rPr>
              <w:t xml:space="preserve"> qui exige que tous les documents officiels des s</w:t>
            </w:r>
            <w:r>
              <w:rPr>
                <w:lang w:val="fr-CH"/>
              </w:rPr>
              <w:t xml:space="preserve">essions </w:t>
            </w:r>
            <w:r w:rsidRPr="009F4543">
              <w:rPr>
                <w:lang w:val="fr-CH"/>
              </w:rPr>
              <w:t xml:space="preserve">soient traduits dans </w:t>
            </w:r>
            <w:r>
              <w:rPr>
                <w:lang w:val="fr-CH"/>
              </w:rPr>
              <w:t xml:space="preserve">les </w:t>
            </w:r>
            <w:r w:rsidRPr="009F4543">
              <w:rPr>
                <w:lang w:val="fr-CH"/>
              </w:rPr>
              <w:t xml:space="preserve">autres langues officielles. </w:t>
            </w:r>
            <w:r>
              <w:rPr>
                <w:lang w:val="fr-CH"/>
              </w:rPr>
              <w:t xml:space="preserve">Le fait que </w:t>
            </w:r>
            <w:r w:rsidRPr="009F4543">
              <w:rPr>
                <w:lang w:val="fr-CH"/>
              </w:rPr>
              <w:t xml:space="preserve">les Parties </w:t>
            </w:r>
            <w:r>
              <w:rPr>
                <w:lang w:val="fr-CH"/>
              </w:rPr>
              <w:t xml:space="preserve">puissent ne </w:t>
            </w:r>
            <w:r w:rsidRPr="009F4543">
              <w:rPr>
                <w:lang w:val="fr-CH"/>
              </w:rPr>
              <w:t xml:space="preserve">pas </w:t>
            </w:r>
            <w:r>
              <w:rPr>
                <w:lang w:val="fr-CH"/>
              </w:rPr>
              <w:t xml:space="preserve">être </w:t>
            </w:r>
            <w:r w:rsidRPr="009F4543">
              <w:rPr>
                <w:lang w:val="fr-CH"/>
              </w:rPr>
              <w:t xml:space="preserve">en mesure d'examiner correctement les documents </w:t>
            </w:r>
            <w:r>
              <w:rPr>
                <w:lang w:val="fr-CH"/>
              </w:rPr>
              <w:t>peut aussi s’avérer préjudiciable</w:t>
            </w:r>
            <w:r w:rsidR="00A36FF0" w:rsidRPr="004A7A85">
              <w:rPr>
                <w:lang w:val="fr-CH"/>
              </w:rPr>
              <w:t xml:space="preserve">. </w:t>
            </w:r>
          </w:p>
          <w:p w:rsidR="00365E8E" w:rsidRPr="004A7A85" w:rsidRDefault="00365E8E" w:rsidP="00EA45C0">
            <w:pPr>
              <w:pStyle w:val="NoSpacing"/>
              <w:ind w:left="0" w:firstLine="0"/>
              <w:rPr>
                <w:lang w:val="fr-CH"/>
              </w:rPr>
            </w:pPr>
          </w:p>
          <w:p w:rsidR="008900CE" w:rsidRPr="004A7A85" w:rsidRDefault="003F60E9" w:rsidP="00670B26">
            <w:pPr>
              <w:pStyle w:val="NoSpacing"/>
              <w:ind w:left="0" w:firstLine="0"/>
              <w:rPr>
                <w:lang w:val="fr-CH"/>
              </w:rPr>
            </w:pPr>
            <w:r>
              <w:rPr>
                <w:lang w:val="fr-CH"/>
              </w:rPr>
              <w:lastRenderedPageBreak/>
              <w:t xml:space="preserve">En vertu de l’article </w:t>
            </w:r>
            <w:r w:rsidR="00670B26" w:rsidRPr="004A7A85">
              <w:rPr>
                <w:lang w:val="fr-CH"/>
              </w:rPr>
              <w:t xml:space="preserve">12, </w:t>
            </w:r>
            <w:r w:rsidR="00A977CB">
              <w:rPr>
                <w:lang w:val="fr-CH"/>
              </w:rPr>
              <w:t xml:space="preserve">la </w:t>
            </w:r>
            <w:r w:rsidR="00670B26" w:rsidRPr="004A7A85">
              <w:rPr>
                <w:lang w:val="fr-CH"/>
              </w:rPr>
              <w:t xml:space="preserve">COP </w:t>
            </w:r>
            <w:r w:rsidR="00A977CB" w:rsidRPr="00A977CB">
              <w:rPr>
                <w:lang w:val="fr-CH"/>
              </w:rPr>
              <w:t xml:space="preserve">examine l’ordre du jour </w:t>
            </w:r>
            <w:r w:rsidR="00A977CB">
              <w:rPr>
                <w:lang w:val="fr-CH"/>
              </w:rPr>
              <w:t>et l’</w:t>
            </w:r>
            <w:r w:rsidR="00A977CB" w:rsidRPr="00A977CB">
              <w:rPr>
                <w:lang w:val="fr-CH"/>
              </w:rPr>
              <w:t>ordre du jour provisoire supplémentaire</w:t>
            </w:r>
            <w:r w:rsidR="00A977CB">
              <w:rPr>
                <w:lang w:val="fr-CH"/>
              </w:rPr>
              <w:t xml:space="preserve"> et ne peut </w:t>
            </w:r>
            <w:r w:rsidR="00A977CB" w:rsidRPr="00A977CB">
              <w:rPr>
                <w:lang w:val="fr-CH"/>
              </w:rPr>
              <w:t>ajout</w:t>
            </w:r>
            <w:r w:rsidR="00A977CB">
              <w:rPr>
                <w:lang w:val="fr-CH"/>
              </w:rPr>
              <w:t>er</w:t>
            </w:r>
            <w:r w:rsidR="00A977CB" w:rsidRPr="00A977CB">
              <w:rPr>
                <w:lang w:val="fr-CH"/>
              </w:rPr>
              <w:t xml:space="preserve"> à l’ordre du jour </w:t>
            </w:r>
            <w:r w:rsidR="00A977CB">
              <w:rPr>
                <w:lang w:val="fr-CH"/>
              </w:rPr>
              <w:t xml:space="preserve">que </w:t>
            </w:r>
            <w:r w:rsidR="00A977CB" w:rsidRPr="00A977CB">
              <w:rPr>
                <w:lang w:val="fr-CH"/>
              </w:rPr>
              <w:t>les points qu</w:t>
            </w:r>
            <w:r w:rsidR="00A977CB">
              <w:rPr>
                <w:lang w:val="fr-CH"/>
              </w:rPr>
              <w:t>’</w:t>
            </w:r>
            <w:r w:rsidR="00A977CB" w:rsidRPr="00A977CB">
              <w:rPr>
                <w:lang w:val="fr-CH"/>
              </w:rPr>
              <w:t>e</w:t>
            </w:r>
            <w:r w:rsidR="00A977CB">
              <w:rPr>
                <w:lang w:val="fr-CH"/>
              </w:rPr>
              <w:t xml:space="preserve">lle </w:t>
            </w:r>
            <w:r w:rsidR="00A977CB" w:rsidRPr="00A977CB">
              <w:rPr>
                <w:lang w:val="fr-CH"/>
              </w:rPr>
              <w:t xml:space="preserve">considère </w:t>
            </w:r>
            <w:r w:rsidR="00A977CB">
              <w:rPr>
                <w:lang w:val="fr-CH"/>
              </w:rPr>
              <w:t>« </w:t>
            </w:r>
            <w:r w:rsidR="00A977CB" w:rsidRPr="00A977CB">
              <w:rPr>
                <w:lang w:val="fr-CH"/>
              </w:rPr>
              <w:t>urgents et importants</w:t>
            </w:r>
            <w:r w:rsidR="00A977CB">
              <w:rPr>
                <w:lang w:val="fr-CH"/>
              </w:rPr>
              <w:t xml:space="preserve"> ». </w:t>
            </w:r>
            <w:r w:rsidR="00A977CB" w:rsidRPr="00A977CB">
              <w:rPr>
                <w:lang w:val="fr-CH"/>
              </w:rPr>
              <w:t xml:space="preserve">Mais </w:t>
            </w:r>
            <w:r w:rsidR="00A977CB">
              <w:rPr>
                <w:lang w:val="fr-CH"/>
              </w:rPr>
              <w:t xml:space="preserve">on ne sait pas très bien si </w:t>
            </w:r>
            <w:r w:rsidR="00A977CB" w:rsidRPr="00A977CB">
              <w:rPr>
                <w:lang w:val="fr-CH"/>
              </w:rPr>
              <w:t>les points inscrits à l'ordre du jour provisoire supplémentaire sont déjà considérés comme inscrits à l'ordre du jour provisoire.</w:t>
            </w:r>
          </w:p>
        </w:tc>
        <w:tc>
          <w:tcPr>
            <w:tcW w:w="3402" w:type="dxa"/>
          </w:tcPr>
          <w:p w:rsidR="00A36FF0" w:rsidRPr="004A7A85" w:rsidRDefault="00A977CB" w:rsidP="0078688F">
            <w:pPr>
              <w:pStyle w:val="NoSpacing"/>
              <w:ind w:left="0" w:firstLine="0"/>
              <w:rPr>
                <w:lang w:val="fr-CH"/>
              </w:rPr>
            </w:pPr>
            <w:r>
              <w:rPr>
                <w:lang w:val="fr-CH"/>
              </w:rPr>
              <w:lastRenderedPageBreak/>
              <w:t>Amendements possibles :</w:t>
            </w:r>
            <w:r w:rsidR="00A36FF0" w:rsidRPr="004A7A85">
              <w:rPr>
                <w:lang w:val="fr-CH"/>
              </w:rPr>
              <w:t xml:space="preserve"> </w:t>
            </w:r>
          </w:p>
          <w:p w:rsidR="00A36FF0" w:rsidRPr="004A7A85" w:rsidRDefault="00A36FF0" w:rsidP="0078688F">
            <w:pPr>
              <w:pStyle w:val="NoSpacing"/>
              <w:ind w:left="0" w:firstLine="0"/>
              <w:rPr>
                <w:lang w:val="fr-CH"/>
              </w:rPr>
            </w:pPr>
          </w:p>
          <w:p w:rsidR="00233FB5" w:rsidRPr="004A7A85" w:rsidRDefault="00A977CB" w:rsidP="0078688F">
            <w:pPr>
              <w:pStyle w:val="NoSpacing"/>
              <w:ind w:left="0" w:firstLine="0"/>
              <w:rPr>
                <w:lang w:val="fr-CH"/>
              </w:rPr>
            </w:pPr>
            <w:r w:rsidRPr="00A977CB">
              <w:rPr>
                <w:lang w:val="fr-CH"/>
              </w:rPr>
              <w:t xml:space="preserve">Il convient de préciser que les points qui figurent dans l'ordre du jour provisoire supplémentaire et qui ne figuraient pas dans l'ordre du jour provisoire publié trois mois avant la </w:t>
            </w:r>
            <w:r>
              <w:rPr>
                <w:lang w:val="fr-CH"/>
              </w:rPr>
              <w:t>session</w:t>
            </w:r>
            <w:r w:rsidRPr="00A977CB">
              <w:rPr>
                <w:lang w:val="fr-CH"/>
              </w:rPr>
              <w:t xml:space="preserve"> ne seront inscrits à l'ordre du jour définitif que si la C</w:t>
            </w:r>
            <w:r>
              <w:rPr>
                <w:lang w:val="fr-CH"/>
              </w:rPr>
              <w:t>OP</w:t>
            </w:r>
            <w:r w:rsidRPr="00A977CB">
              <w:rPr>
                <w:lang w:val="fr-CH"/>
              </w:rPr>
              <w:t xml:space="preserve"> les </w:t>
            </w:r>
            <w:r>
              <w:rPr>
                <w:lang w:val="fr-CH"/>
              </w:rPr>
              <w:t>juge</w:t>
            </w:r>
            <w:r w:rsidRPr="00A977CB">
              <w:rPr>
                <w:lang w:val="fr-CH"/>
              </w:rPr>
              <w:t xml:space="preserve"> </w:t>
            </w:r>
            <w:r>
              <w:rPr>
                <w:lang w:val="fr-CH"/>
              </w:rPr>
              <w:t>« </w:t>
            </w:r>
            <w:r w:rsidRPr="00A977CB">
              <w:rPr>
                <w:lang w:val="fr-CH"/>
              </w:rPr>
              <w:t>urgents et importants</w:t>
            </w:r>
            <w:r>
              <w:rPr>
                <w:lang w:val="fr-CH"/>
              </w:rPr>
              <w:t> ».</w:t>
            </w:r>
            <w:r w:rsidR="00233FB5" w:rsidRPr="004A7A85">
              <w:rPr>
                <w:lang w:val="fr-CH"/>
              </w:rPr>
              <w:t xml:space="preserve"> </w:t>
            </w:r>
          </w:p>
          <w:p w:rsidR="00233FB5" w:rsidRPr="004A7A85" w:rsidRDefault="00233FB5" w:rsidP="0078688F">
            <w:pPr>
              <w:pStyle w:val="NoSpacing"/>
              <w:ind w:left="0" w:firstLine="0"/>
              <w:rPr>
                <w:lang w:val="fr-CH"/>
              </w:rPr>
            </w:pPr>
          </w:p>
          <w:p w:rsidR="00A36FF0" w:rsidRPr="004A7A85" w:rsidRDefault="00A977CB" w:rsidP="00795DEF">
            <w:pPr>
              <w:pStyle w:val="NoSpacing"/>
              <w:ind w:left="0" w:firstLine="0"/>
              <w:rPr>
                <w:lang w:val="fr-CH"/>
              </w:rPr>
            </w:pPr>
            <w:r w:rsidRPr="00A977CB">
              <w:rPr>
                <w:lang w:val="fr-CH"/>
              </w:rPr>
              <w:t>Il serait utile d'appliquer la même condition à la préparation de l'ordre du jour provisoire supplémentaire s'il doit continuer à exister.</w:t>
            </w:r>
            <w:r w:rsidR="00A346B4">
              <w:rPr>
                <w:lang w:val="fr-CH"/>
              </w:rPr>
              <w:t xml:space="preserve"> </w:t>
            </w:r>
            <w:r w:rsidRPr="00A977CB">
              <w:rPr>
                <w:lang w:val="fr-CH"/>
              </w:rPr>
              <w:t xml:space="preserve">Dans ce cas, il convient de tenir compte de la nécessité </w:t>
            </w:r>
            <w:r w:rsidR="00CC3B83">
              <w:rPr>
                <w:lang w:val="fr-CH"/>
              </w:rPr>
              <w:t>de préparer</w:t>
            </w:r>
            <w:r w:rsidRPr="00A977CB">
              <w:rPr>
                <w:lang w:val="fr-CH"/>
              </w:rPr>
              <w:t xml:space="preserve"> et de distribuer la documentation correspondante dans les langues officielles.</w:t>
            </w:r>
          </w:p>
        </w:tc>
      </w:tr>
      <w:tr w:rsidR="00D50999" w:rsidRPr="005B5B77" w:rsidTr="0036762F">
        <w:tc>
          <w:tcPr>
            <w:tcW w:w="578" w:type="dxa"/>
          </w:tcPr>
          <w:p w:rsidR="00A36FF0" w:rsidRPr="004A7A85" w:rsidRDefault="00A05E17" w:rsidP="0078688F">
            <w:pPr>
              <w:pStyle w:val="NoSpacing"/>
              <w:ind w:left="0" w:firstLine="0"/>
              <w:rPr>
                <w:lang w:val="fr-CH"/>
              </w:rPr>
            </w:pPr>
            <w:r w:rsidRPr="004A7A85">
              <w:rPr>
                <w:lang w:val="fr-CH"/>
              </w:rPr>
              <w:t>8</w:t>
            </w:r>
          </w:p>
        </w:tc>
        <w:tc>
          <w:tcPr>
            <w:tcW w:w="1685" w:type="dxa"/>
          </w:tcPr>
          <w:p w:rsidR="00A36FF0" w:rsidRPr="004A7A85" w:rsidRDefault="00CC3B83" w:rsidP="0078688F">
            <w:pPr>
              <w:pStyle w:val="NoSpacing"/>
              <w:ind w:left="0" w:firstLine="0"/>
              <w:rPr>
                <w:lang w:val="fr-CH"/>
              </w:rPr>
            </w:pPr>
            <w:r>
              <w:rPr>
                <w:lang w:val="fr-CH"/>
              </w:rPr>
              <w:t>Articles</w:t>
            </w:r>
            <w:r w:rsidR="00A36FF0" w:rsidRPr="004A7A85">
              <w:rPr>
                <w:lang w:val="fr-CH"/>
              </w:rPr>
              <w:t xml:space="preserve"> 16 – 20</w:t>
            </w:r>
            <w:r>
              <w:rPr>
                <w:lang w:val="fr-CH"/>
              </w:rPr>
              <w:t> :</w:t>
            </w:r>
            <w:r w:rsidR="00A36FF0" w:rsidRPr="004A7A85">
              <w:rPr>
                <w:lang w:val="fr-CH"/>
              </w:rPr>
              <w:t xml:space="preserve"> Repr</w:t>
            </w:r>
            <w:r>
              <w:rPr>
                <w:lang w:val="fr-CH"/>
              </w:rPr>
              <w:t>é</w:t>
            </w:r>
            <w:r w:rsidR="00A36FF0" w:rsidRPr="004A7A85">
              <w:rPr>
                <w:lang w:val="fr-CH"/>
              </w:rPr>
              <w:t>sentation</w:t>
            </w:r>
            <w:r>
              <w:rPr>
                <w:lang w:val="fr-CH"/>
              </w:rPr>
              <w:t xml:space="preserve"> et pouvoirs</w:t>
            </w:r>
            <w:r w:rsidR="00A36FF0" w:rsidRPr="004A7A85">
              <w:rPr>
                <w:lang w:val="fr-CH"/>
              </w:rPr>
              <w:t xml:space="preserve"> </w:t>
            </w:r>
          </w:p>
        </w:tc>
        <w:tc>
          <w:tcPr>
            <w:tcW w:w="3402" w:type="dxa"/>
          </w:tcPr>
          <w:p w:rsidR="00A36FF0" w:rsidRDefault="00CC3B83" w:rsidP="0078688F">
            <w:pPr>
              <w:pStyle w:val="NoSpacing"/>
              <w:ind w:left="0" w:firstLine="0"/>
              <w:rPr>
                <w:lang w:val="fr-CH"/>
              </w:rPr>
            </w:pPr>
            <w:r w:rsidRPr="00CC3B83">
              <w:rPr>
                <w:lang w:val="fr-CH"/>
              </w:rPr>
              <w:t xml:space="preserve">Il n'est pas clairement </w:t>
            </w:r>
            <w:r>
              <w:rPr>
                <w:lang w:val="fr-CH"/>
              </w:rPr>
              <w:t>établi</w:t>
            </w:r>
            <w:r w:rsidRPr="00CC3B83">
              <w:rPr>
                <w:lang w:val="fr-CH"/>
              </w:rPr>
              <w:t xml:space="preserve"> qu'un représentant d'une Partie contractante ne p</w:t>
            </w:r>
            <w:r>
              <w:rPr>
                <w:lang w:val="fr-CH"/>
              </w:rPr>
              <w:t>uisse pas</w:t>
            </w:r>
            <w:r w:rsidRPr="00CC3B83">
              <w:rPr>
                <w:lang w:val="fr-CH"/>
              </w:rPr>
              <w:t xml:space="preserve"> participer et voter en l'absence de pouvoirs acceptés. Plus précisément :</w:t>
            </w:r>
          </w:p>
          <w:p w:rsidR="00CC3B83" w:rsidRPr="004A7A85" w:rsidRDefault="00CC3B83" w:rsidP="0078688F">
            <w:pPr>
              <w:pStyle w:val="NoSpacing"/>
              <w:ind w:left="0" w:firstLine="0"/>
              <w:rPr>
                <w:lang w:val="fr-CH"/>
              </w:rPr>
            </w:pPr>
          </w:p>
          <w:p w:rsidR="00A36FF0" w:rsidRPr="004A7A85" w:rsidRDefault="00CC3B83" w:rsidP="00E77CE1">
            <w:pPr>
              <w:pStyle w:val="NoSpacing"/>
              <w:numPr>
                <w:ilvl w:val="0"/>
                <w:numId w:val="38"/>
              </w:numPr>
              <w:rPr>
                <w:lang w:val="fr-CH"/>
              </w:rPr>
            </w:pPr>
            <w:r>
              <w:rPr>
                <w:lang w:val="fr-CH"/>
              </w:rPr>
              <w:t xml:space="preserve">L’article </w:t>
            </w:r>
            <w:r w:rsidR="00A36FF0" w:rsidRPr="004A7A85">
              <w:rPr>
                <w:lang w:val="fr-CH"/>
              </w:rPr>
              <w:t xml:space="preserve">18.5 </w:t>
            </w:r>
            <w:r w:rsidR="009844C7">
              <w:rPr>
                <w:lang w:val="fr-CH"/>
              </w:rPr>
              <w:t xml:space="preserve">stipule </w:t>
            </w:r>
            <w:r w:rsidR="0066776B">
              <w:rPr>
                <w:lang w:val="fr-CH"/>
              </w:rPr>
              <w:t>qu’u</w:t>
            </w:r>
            <w:r w:rsidR="0066776B" w:rsidRPr="00DE2040">
              <w:rPr>
                <w:lang w:val="fr-FR"/>
              </w:rPr>
              <w:t>n représentant ne peut exercer le droit de vote à moins que son nom ne soit inscrit en clair et sans ambiguïté sur les pouvoirs</w:t>
            </w:r>
            <w:r w:rsidR="0066776B">
              <w:rPr>
                <w:lang w:val="fr-FR"/>
              </w:rPr>
              <w:t>.</w:t>
            </w:r>
            <w:r w:rsidR="00A36FF0" w:rsidRPr="004A7A85">
              <w:rPr>
                <w:lang w:val="fr-CH"/>
              </w:rPr>
              <w:t xml:space="preserve"> </w:t>
            </w:r>
            <w:r w:rsidR="0066776B" w:rsidRPr="0066776B">
              <w:rPr>
                <w:lang w:val="fr-CH"/>
              </w:rPr>
              <w:t>Toutefois, aucun</w:t>
            </w:r>
            <w:r w:rsidR="0066776B">
              <w:rPr>
                <w:lang w:val="fr-CH"/>
              </w:rPr>
              <w:t xml:space="preserve"> article </w:t>
            </w:r>
            <w:r w:rsidR="0066776B" w:rsidRPr="0066776B">
              <w:rPr>
                <w:lang w:val="fr-CH"/>
              </w:rPr>
              <w:t xml:space="preserve">ne stipule explicitement qu'une personne dont le nom figure sur les pouvoirs ne peut pas voter parce que </w:t>
            </w:r>
            <w:r w:rsidR="008F3EF2">
              <w:rPr>
                <w:lang w:val="fr-CH"/>
              </w:rPr>
              <w:t>se</w:t>
            </w:r>
            <w:r w:rsidR="0066776B" w:rsidRPr="0066776B">
              <w:rPr>
                <w:lang w:val="fr-CH"/>
              </w:rPr>
              <w:t>s pouvoirs n'ont pas été acceptés par la C</w:t>
            </w:r>
            <w:r w:rsidR="0066776B">
              <w:rPr>
                <w:lang w:val="fr-CH"/>
              </w:rPr>
              <w:t>OP</w:t>
            </w:r>
            <w:r w:rsidR="0066776B" w:rsidRPr="0066776B">
              <w:rPr>
                <w:lang w:val="fr-CH"/>
              </w:rPr>
              <w:t xml:space="preserve"> </w:t>
            </w:r>
            <w:r w:rsidR="0066776B">
              <w:rPr>
                <w:lang w:val="fr-CH"/>
              </w:rPr>
              <w:t xml:space="preserve">après avoir été jugés </w:t>
            </w:r>
            <w:r w:rsidR="0066776B" w:rsidRPr="0066776B">
              <w:rPr>
                <w:lang w:val="fr-CH"/>
              </w:rPr>
              <w:t>conformes aux critères énoncés à l'article 18.</w:t>
            </w:r>
          </w:p>
          <w:p w:rsidR="00A36FF0" w:rsidRPr="004A7A85" w:rsidRDefault="00A36FF0" w:rsidP="0078688F">
            <w:pPr>
              <w:pStyle w:val="NoSpacing"/>
              <w:ind w:left="0" w:firstLine="0"/>
              <w:rPr>
                <w:lang w:val="fr-CH"/>
              </w:rPr>
            </w:pPr>
          </w:p>
          <w:p w:rsidR="000528C0" w:rsidRPr="000528C0" w:rsidRDefault="0066776B" w:rsidP="000528C0">
            <w:pPr>
              <w:pStyle w:val="NoSpacing"/>
              <w:numPr>
                <w:ilvl w:val="0"/>
                <w:numId w:val="38"/>
              </w:numPr>
              <w:rPr>
                <w:lang w:val="fr-CH"/>
              </w:rPr>
            </w:pPr>
            <w:r>
              <w:rPr>
                <w:lang w:val="fr-CH"/>
              </w:rPr>
              <w:t xml:space="preserve">L’article </w:t>
            </w:r>
            <w:r w:rsidR="00A36FF0" w:rsidRPr="004A7A85">
              <w:rPr>
                <w:lang w:val="fr-CH"/>
              </w:rPr>
              <w:t>20 st</w:t>
            </w:r>
            <w:r>
              <w:rPr>
                <w:lang w:val="fr-CH"/>
              </w:rPr>
              <w:t>ipule</w:t>
            </w:r>
            <w:r w:rsidR="00A36FF0" w:rsidRPr="004A7A85">
              <w:rPr>
                <w:lang w:val="fr-CH"/>
              </w:rPr>
              <w:t xml:space="preserve"> </w:t>
            </w:r>
            <w:r w:rsidR="000528C0">
              <w:rPr>
                <w:lang w:val="fr-CH"/>
              </w:rPr>
              <w:t>que s</w:t>
            </w:r>
            <w:r w:rsidR="00F601A4" w:rsidRPr="00F601A4">
              <w:rPr>
                <w:lang w:val="fr-CH"/>
              </w:rPr>
              <w:t>ous réserve d’une décision de la C</w:t>
            </w:r>
            <w:r w:rsidR="000528C0">
              <w:rPr>
                <w:lang w:val="fr-CH"/>
              </w:rPr>
              <w:t>OP</w:t>
            </w:r>
            <w:r w:rsidR="00F601A4" w:rsidRPr="00F601A4">
              <w:rPr>
                <w:lang w:val="fr-CH"/>
              </w:rPr>
              <w:t xml:space="preserve"> concernant leurs pouvoirs, les représentants ont le droit de participer provisoirement à la session</w:t>
            </w:r>
            <w:r w:rsidR="00A36FF0" w:rsidRPr="004A7A85">
              <w:rPr>
                <w:lang w:val="fr-CH"/>
              </w:rPr>
              <w:t xml:space="preserve">. </w:t>
            </w:r>
            <w:r w:rsidR="000528C0" w:rsidRPr="000528C0">
              <w:rPr>
                <w:lang w:val="fr-CH"/>
              </w:rPr>
              <w:t xml:space="preserve">Cela </w:t>
            </w:r>
            <w:r w:rsidR="000528C0">
              <w:rPr>
                <w:lang w:val="fr-CH"/>
              </w:rPr>
              <w:t xml:space="preserve">signifie </w:t>
            </w:r>
            <w:r w:rsidR="000528C0" w:rsidRPr="000528C0">
              <w:rPr>
                <w:lang w:val="fr-CH"/>
              </w:rPr>
              <w:t xml:space="preserve">que la participation est possible même si les pouvoirs n'ont pas été présentés, mais </w:t>
            </w:r>
            <w:r w:rsidR="000528C0">
              <w:rPr>
                <w:lang w:val="fr-CH"/>
              </w:rPr>
              <w:t>ce</w:t>
            </w:r>
            <w:r w:rsidR="005F4487">
              <w:rPr>
                <w:lang w:val="fr-CH"/>
              </w:rPr>
              <w:t>la</w:t>
            </w:r>
            <w:r w:rsidR="000528C0">
              <w:rPr>
                <w:lang w:val="fr-CH"/>
              </w:rPr>
              <w:t xml:space="preserve"> n’est pas exprimé de manière </w:t>
            </w:r>
            <w:r w:rsidR="000528C0" w:rsidRPr="000528C0">
              <w:rPr>
                <w:lang w:val="fr-CH"/>
              </w:rPr>
              <w:t>explicite et</w:t>
            </w:r>
            <w:r w:rsidR="000528C0">
              <w:rPr>
                <w:lang w:val="fr-CH"/>
              </w:rPr>
              <w:t xml:space="preserve"> donc </w:t>
            </w:r>
            <w:r w:rsidR="000528C0" w:rsidRPr="000528C0">
              <w:rPr>
                <w:lang w:val="fr-CH"/>
              </w:rPr>
              <w:t>pas clair.</w:t>
            </w:r>
          </w:p>
          <w:p w:rsidR="00A36FF0" w:rsidRDefault="000528C0" w:rsidP="008900CE">
            <w:pPr>
              <w:pStyle w:val="NoSpacing"/>
              <w:ind w:left="360" w:firstLine="0"/>
              <w:rPr>
                <w:lang w:val="fr-CH"/>
              </w:rPr>
            </w:pPr>
            <w:r w:rsidRPr="000528C0">
              <w:rPr>
                <w:lang w:val="fr-CH"/>
              </w:rPr>
              <w:t>(L</w:t>
            </w:r>
            <w:r w:rsidR="002A56B1">
              <w:rPr>
                <w:lang w:val="fr-CH"/>
              </w:rPr>
              <w:t>’article</w:t>
            </w:r>
            <w:r w:rsidRPr="000528C0">
              <w:rPr>
                <w:lang w:val="fr-CH"/>
              </w:rPr>
              <w:t xml:space="preserve"> équivalent du Règlement intérieur de la CITES stipule que </w:t>
            </w:r>
            <w:r>
              <w:rPr>
                <w:lang w:val="fr-CH"/>
              </w:rPr>
              <w:t>« </w:t>
            </w:r>
            <w:r w:rsidRPr="000528C0">
              <w:rPr>
                <w:lang w:val="fr-CH"/>
              </w:rPr>
              <w:t xml:space="preserve">En attendant une </w:t>
            </w:r>
            <w:r w:rsidRPr="000528C0">
              <w:rPr>
                <w:lang w:val="fr-CH"/>
              </w:rPr>
              <w:lastRenderedPageBreak/>
              <w:t>d</w:t>
            </w:r>
            <w:r w:rsidR="00030844">
              <w:rPr>
                <w:lang w:val="fr-CH"/>
              </w:rPr>
              <w:t>é</w:t>
            </w:r>
            <w:r w:rsidRPr="000528C0">
              <w:rPr>
                <w:lang w:val="fr-CH"/>
              </w:rPr>
              <w:t>cision concernant leurs pouvoirs, les d</w:t>
            </w:r>
            <w:r w:rsidR="002A56B1">
              <w:rPr>
                <w:lang w:val="fr-CH"/>
              </w:rPr>
              <w:t>é</w:t>
            </w:r>
            <w:r w:rsidRPr="000528C0">
              <w:rPr>
                <w:lang w:val="fr-CH"/>
              </w:rPr>
              <w:t>l</w:t>
            </w:r>
            <w:r w:rsidR="002A56B1">
              <w:rPr>
                <w:lang w:val="fr-CH"/>
              </w:rPr>
              <w:t>é</w:t>
            </w:r>
            <w:r w:rsidRPr="000528C0">
              <w:rPr>
                <w:lang w:val="fr-CH"/>
              </w:rPr>
              <w:t>gu</w:t>
            </w:r>
            <w:r w:rsidR="002A56B1">
              <w:rPr>
                <w:lang w:val="fr-CH"/>
              </w:rPr>
              <w:t>é</w:t>
            </w:r>
            <w:r w:rsidRPr="000528C0">
              <w:rPr>
                <w:lang w:val="fr-CH"/>
              </w:rPr>
              <w:t xml:space="preserve">s sont admis à participer à titre provisoire à la session, </w:t>
            </w:r>
            <w:r w:rsidRPr="000528C0">
              <w:rPr>
                <w:b/>
                <w:lang w:val="fr-CH"/>
              </w:rPr>
              <w:t>sans droit de vote</w:t>
            </w:r>
            <w:r w:rsidRPr="000528C0">
              <w:rPr>
                <w:lang w:val="fr-CH"/>
              </w:rPr>
              <w:t>.</w:t>
            </w:r>
            <w:r>
              <w:rPr>
                <w:lang w:val="fr-CH"/>
              </w:rPr>
              <w:t> »</w:t>
            </w:r>
            <w:r w:rsidRPr="000528C0">
              <w:rPr>
                <w:lang w:val="fr-CH"/>
              </w:rPr>
              <w:t>)</w:t>
            </w:r>
            <w:r w:rsidR="00AA725B" w:rsidRPr="004A7A85">
              <w:rPr>
                <w:lang w:val="fr-CH"/>
              </w:rPr>
              <w:t xml:space="preserve"> </w:t>
            </w:r>
          </w:p>
          <w:p w:rsidR="008900CE" w:rsidRPr="004A7A85" w:rsidRDefault="008900CE" w:rsidP="008900CE">
            <w:pPr>
              <w:pStyle w:val="NoSpacing"/>
              <w:ind w:left="360" w:firstLine="0"/>
              <w:rPr>
                <w:lang w:val="fr-CH"/>
              </w:rPr>
            </w:pPr>
          </w:p>
          <w:p w:rsidR="00A36FF0" w:rsidRPr="004A7A85" w:rsidRDefault="000528C0" w:rsidP="0078688F">
            <w:pPr>
              <w:pStyle w:val="NoSpacing"/>
              <w:ind w:left="0" w:firstLine="0"/>
              <w:rPr>
                <w:lang w:val="fr-CH"/>
              </w:rPr>
            </w:pPr>
            <w:r>
              <w:rPr>
                <w:lang w:val="fr-CH"/>
              </w:rPr>
              <w:t xml:space="preserve">L’article </w:t>
            </w:r>
            <w:r w:rsidR="00A36FF0" w:rsidRPr="004A7A85">
              <w:rPr>
                <w:lang w:val="fr-CH"/>
              </w:rPr>
              <w:t>18.4 concern</w:t>
            </w:r>
            <w:r>
              <w:rPr>
                <w:lang w:val="fr-CH"/>
              </w:rPr>
              <w:t>e la présentation des pouvoirs</w:t>
            </w:r>
            <w:r w:rsidR="00A36FF0" w:rsidRPr="004A7A85">
              <w:rPr>
                <w:lang w:val="fr-CH"/>
              </w:rPr>
              <w:t xml:space="preserve">. </w:t>
            </w:r>
            <w:r w:rsidRPr="000528C0">
              <w:rPr>
                <w:lang w:val="fr-CH"/>
              </w:rPr>
              <w:t xml:space="preserve">Comme diverses combinaisons de sceau, de signature et d'en-tête de lettre sont autorisées, cela peut prêter à confusion. En outre, la personne autorisée à signer les pouvoirs (chef de l'État, </w:t>
            </w:r>
            <w:r w:rsidR="001A510B">
              <w:rPr>
                <w:lang w:val="fr-CH"/>
              </w:rPr>
              <w:t>m</w:t>
            </w:r>
            <w:r w:rsidR="005F4487">
              <w:rPr>
                <w:lang w:val="fr-CH"/>
              </w:rPr>
              <w:t>inistre des A</w:t>
            </w:r>
            <w:r w:rsidRPr="000528C0">
              <w:rPr>
                <w:lang w:val="fr-CH"/>
              </w:rPr>
              <w:t>ffaires étrangères, etc., conformément à l</w:t>
            </w:r>
            <w:r w:rsidR="001A510B">
              <w:rPr>
                <w:lang w:val="fr-CH"/>
              </w:rPr>
              <w:t>’article</w:t>
            </w:r>
            <w:r w:rsidRPr="000528C0">
              <w:rPr>
                <w:lang w:val="fr-CH"/>
              </w:rPr>
              <w:t xml:space="preserve"> 18.3) et l'expression </w:t>
            </w:r>
            <w:r w:rsidR="001A510B">
              <w:rPr>
                <w:lang w:val="fr-CH"/>
              </w:rPr>
              <w:t>« </w:t>
            </w:r>
            <w:r w:rsidRPr="000528C0">
              <w:rPr>
                <w:lang w:val="fr-CH"/>
              </w:rPr>
              <w:t>autorité compétente</w:t>
            </w:r>
            <w:r w:rsidR="001A510B">
              <w:rPr>
                <w:lang w:val="fr-CH"/>
              </w:rPr>
              <w:t> »</w:t>
            </w:r>
            <w:r w:rsidRPr="000528C0">
              <w:rPr>
                <w:lang w:val="fr-CH"/>
              </w:rPr>
              <w:t xml:space="preserve"> semblent être </w:t>
            </w:r>
            <w:r w:rsidR="001A510B">
              <w:rPr>
                <w:lang w:val="fr-CH"/>
              </w:rPr>
              <w:t>interchangeables</w:t>
            </w:r>
            <w:r w:rsidRPr="000528C0">
              <w:rPr>
                <w:lang w:val="fr-CH"/>
              </w:rPr>
              <w:t>, mais ce n'est pas tout à fait clair.</w:t>
            </w:r>
            <w:r w:rsidR="00A36FF0" w:rsidRPr="004A7A85">
              <w:rPr>
                <w:lang w:val="fr-CH"/>
              </w:rPr>
              <w:t xml:space="preserve"> </w:t>
            </w:r>
          </w:p>
          <w:p w:rsidR="00A36FF0" w:rsidRPr="004A7A85" w:rsidRDefault="00A36FF0" w:rsidP="00676C61">
            <w:pPr>
              <w:pStyle w:val="NoSpacing"/>
              <w:ind w:left="0" w:firstLine="0"/>
              <w:rPr>
                <w:lang w:val="fr-CH"/>
              </w:rPr>
            </w:pPr>
          </w:p>
          <w:p w:rsidR="00A36FF0" w:rsidRPr="004A7A85" w:rsidRDefault="001A510B" w:rsidP="00AB1A06">
            <w:pPr>
              <w:pStyle w:val="NoSpacing"/>
              <w:ind w:left="0" w:firstLine="0"/>
              <w:rPr>
                <w:lang w:val="fr-CH"/>
              </w:rPr>
            </w:pPr>
            <w:r w:rsidRPr="001A510B">
              <w:rPr>
                <w:lang w:val="fr-CH"/>
              </w:rPr>
              <w:t xml:space="preserve">Les </w:t>
            </w:r>
            <w:r w:rsidR="00574D9E">
              <w:rPr>
                <w:lang w:val="fr-CH"/>
              </w:rPr>
              <w:t>exigences</w:t>
            </w:r>
            <w:r w:rsidRPr="001A510B">
              <w:rPr>
                <w:lang w:val="fr-CH"/>
              </w:rPr>
              <w:t xml:space="preserve"> concernant le contenu des pouvoirs sont réparties entre plusieurs </w:t>
            </w:r>
            <w:r>
              <w:rPr>
                <w:lang w:val="fr-CH"/>
              </w:rPr>
              <w:t xml:space="preserve">alinéas de l’article </w:t>
            </w:r>
            <w:r w:rsidRPr="001A510B">
              <w:rPr>
                <w:lang w:val="fr-CH"/>
              </w:rPr>
              <w:t xml:space="preserve">18. Il </w:t>
            </w:r>
            <w:r>
              <w:rPr>
                <w:lang w:val="fr-CH"/>
              </w:rPr>
              <w:t xml:space="preserve">faut </w:t>
            </w:r>
            <w:r w:rsidRPr="001A510B">
              <w:rPr>
                <w:lang w:val="fr-CH"/>
              </w:rPr>
              <w:t xml:space="preserve">donc lire des parties de différents </w:t>
            </w:r>
            <w:r>
              <w:rPr>
                <w:lang w:val="fr-CH"/>
              </w:rPr>
              <w:t>alinéas</w:t>
            </w:r>
            <w:r w:rsidRPr="001A510B">
              <w:rPr>
                <w:lang w:val="fr-CH"/>
              </w:rPr>
              <w:t xml:space="preserve"> pour comprendre ce que les pouvoirs doivent contenir. C'est inutilement complexe</w:t>
            </w:r>
            <w:r>
              <w:rPr>
                <w:lang w:val="fr-CH"/>
              </w:rPr>
              <w:t>.</w:t>
            </w:r>
            <w:r w:rsidR="00A346B4">
              <w:rPr>
                <w:lang w:val="fr-CH"/>
              </w:rPr>
              <w:t xml:space="preserve"> </w:t>
            </w:r>
          </w:p>
          <w:p w:rsidR="00A36FF0" w:rsidRPr="004A7A85" w:rsidRDefault="00A36FF0" w:rsidP="00AB1A06">
            <w:pPr>
              <w:pStyle w:val="NoSpacing"/>
              <w:ind w:left="0" w:firstLine="0"/>
              <w:rPr>
                <w:lang w:val="fr-CH"/>
              </w:rPr>
            </w:pPr>
          </w:p>
          <w:p w:rsidR="00193760" w:rsidRPr="00193760" w:rsidRDefault="001A510B" w:rsidP="00193760">
            <w:pPr>
              <w:pStyle w:val="NoSpacing"/>
              <w:ind w:left="0" w:firstLine="0"/>
              <w:rPr>
                <w:lang w:val="fr-CH"/>
              </w:rPr>
            </w:pPr>
            <w:r>
              <w:rPr>
                <w:lang w:val="fr-CH"/>
              </w:rPr>
              <w:t>L’article</w:t>
            </w:r>
            <w:r w:rsidR="00A36FF0" w:rsidRPr="004A7A85">
              <w:rPr>
                <w:lang w:val="fr-CH"/>
              </w:rPr>
              <w:t xml:space="preserve"> 19.3 st</w:t>
            </w:r>
            <w:r>
              <w:rPr>
                <w:lang w:val="fr-CH"/>
              </w:rPr>
              <w:t xml:space="preserve">ipule </w:t>
            </w:r>
            <w:r w:rsidR="00832FA8">
              <w:rPr>
                <w:lang w:val="fr-CH"/>
              </w:rPr>
              <w:t xml:space="preserve">que le </w:t>
            </w:r>
            <w:r w:rsidRPr="001A510B">
              <w:rPr>
                <w:lang w:val="fr-CH"/>
              </w:rPr>
              <w:t>Comité de vérification des pouvoirs examine tous les pouvoirs communiqués au Secrétariat et fait des recommandations à la C</w:t>
            </w:r>
            <w:r w:rsidR="00193760">
              <w:rPr>
                <w:lang w:val="fr-CH"/>
              </w:rPr>
              <w:t>OP</w:t>
            </w:r>
            <w:r w:rsidRPr="001A510B">
              <w:rPr>
                <w:lang w:val="fr-CH"/>
              </w:rPr>
              <w:t>.</w:t>
            </w:r>
            <w:r w:rsidR="00A36FF0" w:rsidRPr="004A7A85">
              <w:rPr>
                <w:lang w:val="fr-CH"/>
              </w:rPr>
              <w:t xml:space="preserve"> </w:t>
            </w:r>
            <w:r w:rsidR="00193760">
              <w:rPr>
                <w:lang w:val="fr-CH"/>
              </w:rPr>
              <w:t>Cependant</w:t>
            </w:r>
            <w:r w:rsidR="00193760" w:rsidRPr="00193760">
              <w:rPr>
                <w:lang w:val="fr-CH"/>
              </w:rPr>
              <w:t xml:space="preserve">, il ne </w:t>
            </w:r>
            <w:r w:rsidR="00193760">
              <w:rPr>
                <w:lang w:val="fr-CH"/>
              </w:rPr>
              <w:t xml:space="preserve">donne </w:t>
            </w:r>
            <w:r w:rsidR="00193760" w:rsidRPr="00193760">
              <w:rPr>
                <w:lang w:val="fr-CH"/>
              </w:rPr>
              <w:t xml:space="preserve">pas de date limite pour la formulation d'une recommandation et, en </w:t>
            </w:r>
            <w:r w:rsidR="00193760">
              <w:rPr>
                <w:lang w:val="fr-CH"/>
              </w:rPr>
              <w:t>conséquence</w:t>
            </w:r>
            <w:r w:rsidR="00193760" w:rsidRPr="00193760">
              <w:rPr>
                <w:lang w:val="fr-CH"/>
              </w:rPr>
              <w:t>, pour la prise de décision par la C</w:t>
            </w:r>
            <w:r w:rsidR="00193760">
              <w:rPr>
                <w:lang w:val="fr-CH"/>
              </w:rPr>
              <w:t xml:space="preserve">OP, ce qui </w:t>
            </w:r>
            <w:r w:rsidR="00193760" w:rsidRPr="00193760">
              <w:rPr>
                <w:lang w:val="fr-CH"/>
              </w:rPr>
              <w:t>pose problème si un vote est nécessaire avant que les pouvoirs ne soient acceptés par la C</w:t>
            </w:r>
            <w:r w:rsidR="00193760">
              <w:rPr>
                <w:lang w:val="fr-CH"/>
              </w:rPr>
              <w:t>OP</w:t>
            </w:r>
            <w:r w:rsidR="00193760" w:rsidRPr="00193760">
              <w:rPr>
                <w:lang w:val="fr-CH"/>
              </w:rPr>
              <w:t>.</w:t>
            </w:r>
            <w:r w:rsidR="00A346B4">
              <w:rPr>
                <w:lang w:val="fr-CH"/>
              </w:rPr>
              <w:t xml:space="preserve"> </w:t>
            </w:r>
          </w:p>
          <w:p w:rsidR="008900CE" w:rsidRPr="004A7A85" w:rsidRDefault="00193760" w:rsidP="00676C61">
            <w:pPr>
              <w:pStyle w:val="NoSpacing"/>
              <w:ind w:left="0" w:firstLine="0"/>
              <w:rPr>
                <w:lang w:val="fr-CH"/>
              </w:rPr>
            </w:pPr>
            <w:r w:rsidRPr="00193760">
              <w:rPr>
                <w:lang w:val="fr-CH"/>
              </w:rPr>
              <w:t xml:space="preserve">Cela </w:t>
            </w:r>
            <w:r>
              <w:rPr>
                <w:lang w:val="fr-CH"/>
              </w:rPr>
              <w:t xml:space="preserve">implique </w:t>
            </w:r>
            <w:r w:rsidRPr="00193760">
              <w:rPr>
                <w:lang w:val="fr-CH"/>
              </w:rPr>
              <w:t>que les pouvoirs d'un délégué doivent avoir été approuvés avant le vote, ce qui n'est pas clairement spécifié.</w:t>
            </w:r>
          </w:p>
        </w:tc>
        <w:tc>
          <w:tcPr>
            <w:tcW w:w="3402" w:type="dxa"/>
          </w:tcPr>
          <w:p w:rsidR="00A36FF0" w:rsidRPr="004A7A85" w:rsidRDefault="00DD60AB" w:rsidP="00584154">
            <w:pPr>
              <w:pStyle w:val="NoSpacing"/>
              <w:ind w:left="0" w:firstLine="0"/>
              <w:rPr>
                <w:lang w:val="fr-CH"/>
              </w:rPr>
            </w:pPr>
            <w:r w:rsidRPr="00DD60AB">
              <w:rPr>
                <w:lang w:val="fr-CH"/>
              </w:rPr>
              <w:lastRenderedPageBreak/>
              <w:t xml:space="preserve">Le Règlement </w:t>
            </w:r>
            <w:r>
              <w:rPr>
                <w:lang w:val="fr-CH"/>
              </w:rPr>
              <w:t xml:space="preserve">intérieur </w:t>
            </w:r>
            <w:r w:rsidRPr="00DD60AB">
              <w:rPr>
                <w:lang w:val="fr-CH"/>
              </w:rPr>
              <w:t>doit énoncer clairement les c</w:t>
            </w:r>
            <w:r>
              <w:rPr>
                <w:lang w:val="fr-CH"/>
              </w:rPr>
              <w:t xml:space="preserve">onditions </w:t>
            </w:r>
            <w:r w:rsidRPr="00DD60AB">
              <w:rPr>
                <w:lang w:val="fr-CH"/>
              </w:rPr>
              <w:t xml:space="preserve">dans lesquelles un représentant peut participer et voter. </w:t>
            </w:r>
            <w:r w:rsidRPr="005F4487">
              <w:rPr>
                <w:lang w:val="fr-CH"/>
              </w:rPr>
              <w:t xml:space="preserve">Si la participation ou le vote (ou les deux) </w:t>
            </w:r>
            <w:r w:rsidR="001750E4" w:rsidRPr="005F4487">
              <w:rPr>
                <w:lang w:val="fr-CH"/>
              </w:rPr>
              <w:t xml:space="preserve">dépendent de l’acceptation des </w:t>
            </w:r>
            <w:r w:rsidRPr="005F4487">
              <w:rPr>
                <w:lang w:val="fr-CH"/>
              </w:rPr>
              <w:t xml:space="preserve">pouvoirs, </w:t>
            </w:r>
            <w:r w:rsidR="001750E4" w:rsidRPr="005F4487">
              <w:rPr>
                <w:lang w:val="fr-CH"/>
              </w:rPr>
              <w:t xml:space="preserve">il convient </w:t>
            </w:r>
            <w:r w:rsidRPr="005F4487">
              <w:rPr>
                <w:lang w:val="fr-CH"/>
              </w:rPr>
              <w:t>de</w:t>
            </w:r>
            <w:r w:rsidR="001750E4" w:rsidRPr="005F4487">
              <w:rPr>
                <w:lang w:val="fr-CH"/>
              </w:rPr>
              <w:t xml:space="preserve"> l’Indiquer </w:t>
            </w:r>
            <w:r w:rsidRPr="005F4487">
              <w:rPr>
                <w:lang w:val="fr-CH"/>
              </w:rPr>
              <w:t>clairement dans le Règlement (</w:t>
            </w:r>
            <w:r w:rsidR="001750E4" w:rsidRPr="005F4487">
              <w:rPr>
                <w:lang w:val="fr-CH"/>
              </w:rPr>
              <w:t xml:space="preserve">notamment </w:t>
            </w:r>
            <w:r w:rsidRPr="005F4487">
              <w:rPr>
                <w:lang w:val="fr-CH"/>
              </w:rPr>
              <w:t xml:space="preserve">à l'article 39.5, qui stipule que </w:t>
            </w:r>
            <w:r w:rsidR="001750E4" w:rsidRPr="005F4487">
              <w:rPr>
                <w:lang w:val="fr-CH"/>
              </w:rPr>
              <w:t>«</w:t>
            </w:r>
            <w:r w:rsidRPr="005F4487">
              <w:rPr>
                <w:lang w:val="fr-CH"/>
              </w:rPr>
              <w:t xml:space="preserve"> les Parties contractantes... </w:t>
            </w:r>
            <w:r w:rsidR="001750E4" w:rsidRPr="005F4487">
              <w:rPr>
                <w:lang w:val="fr-CH"/>
              </w:rPr>
              <w:t>qui n’ont pas les pouvoirs appropriés sont considérées comme non votantes »</w:t>
            </w:r>
            <w:r w:rsidRPr="005F4487">
              <w:rPr>
                <w:lang w:val="fr-CH"/>
              </w:rPr>
              <w:t>. Il</w:t>
            </w:r>
            <w:r w:rsidR="001750E4">
              <w:rPr>
                <w:lang w:val="fr-CH"/>
              </w:rPr>
              <w:t xml:space="preserve"> est difficile de dire </w:t>
            </w:r>
            <w:r w:rsidRPr="00DD60AB">
              <w:rPr>
                <w:lang w:val="fr-CH"/>
              </w:rPr>
              <w:t xml:space="preserve">si le terme </w:t>
            </w:r>
            <w:r w:rsidR="001750E4">
              <w:rPr>
                <w:lang w:val="fr-CH"/>
              </w:rPr>
              <w:t>« </w:t>
            </w:r>
            <w:r w:rsidRPr="00DD60AB">
              <w:rPr>
                <w:lang w:val="fr-CH"/>
              </w:rPr>
              <w:t>approprié</w:t>
            </w:r>
            <w:r w:rsidR="001750E4">
              <w:rPr>
                <w:lang w:val="fr-CH"/>
              </w:rPr>
              <w:t>s »</w:t>
            </w:r>
            <w:r w:rsidRPr="00DD60AB">
              <w:rPr>
                <w:lang w:val="fr-CH"/>
              </w:rPr>
              <w:t xml:space="preserve"> est </w:t>
            </w:r>
            <w:r w:rsidR="001750E4">
              <w:rPr>
                <w:lang w:val="fr-CH"/>
              </w:rPr>
              <w:t xml:space="preserve">considéré comme </w:t>
            </w:r>
            <w:r w:rsidR="008C1025">
              <w:rPr>
                <w:lang w:val="fr-CH"/>
              </w:rPr>
              <w:t xml:space="preserve">étant </w:t>
            </w:r>
            <w:r w:rsidRPr="00DD60AB">
              <w:rPr>
                <w:lang w:val="fr-CH"/>
              </w:rPr>
              <w:t xml:space="preserve">synonyme de </w:t>
            </w:r>
            <w:r w:rsidR="008C1025">
              <w:rPr>
                <w:lang w:val="fr-CH"/>
              </w:rPr>
              <w:t>« </w:t>
            </w:r>
            <w:r w:rsidRPr="00DD60AB">
              <w:rPr>
                <w:lang w:val="fr-CH"/>
              </w:rPr>
              <w:t>accepté</w:t>
            </w:r>
            <w:r w:rsidR="008C1025">
              <w:rPr>
                <w:lang w:val="fr-CH"/>
              </w:rPr>
              <w:t>s »</w:t>
            </w:r>
            <w:r w:rsidRPr="00DD60AB">
              <w:rPr>
                <w:lang w:val="fr-CH"/>
              </w:rPr>
              <w:t xml:space="preserve"> par la COP).</w:t>
            </w:r>
          </w:p>
          <w:p w:rsidR="00A36FF0" w:rsidRPr="004A7A85" w:rsidRDefault="00A36FF0" w:rsidP="00584154">
            <w:pPr>
              <w:pStyle w:val="NoSpacing"/>
              <w:ind w:left="0" w:firstLine="0"/>
              <w:rPr>
                <w:lang w:val="fr-CH"/>
              </w:rPr>
            </w:pPr>
          </w:p>
          <w:p w:rsidR="00A36FF0" w:rsidRPr="004A7A85" w:rsidRDefault="008C1025" w:rsidP="00584154">
            <w:pPr>
              <w:pStyle w:val="NoSpacing"/>
              <w:ind w:left="0" w:firstLine="0"/>
              <w:rPr>
                <w:lang w:val="fr-CH"/>
              </w:rPr>
            </w:pPr>
            <w:r w:rsidRPr="008C1025">
              <w:rPr>
                <w:lang w:val="fr-CH"/>
              </w:rPr>
              <w:t>Les règles devraient être structurées de manière à ce que toutes les exigences techniques concernant l</w:t>
            </w:r>
            <w:r>
              <w:rPr>
                <w:lang w:val="fr-CH"/>
              </w:rPr>
              <w:t>a présentation</w:t>
            </w:r>
            <w:r w:rsidRPr="008C1025">
              <w:rPr>
                <w:lang w:val="fr-CH"/>
              </w:rPr>
              <w:t xml:space="preserve"> des pouvoirs soient clairement énoncées dans un</w:t>
            </w:r>
            <w:r>
              <w:rPr>
                <w:lang w:val="fr-CH"/>
              </w:rPr>
              <w:t xml:space="preserve"> </w:t>
            </w:r>
            <w:r w:rsidR="005F4487">
              <w:rPr>
                <w:lang w:val="fr-CH"/>
              </w:rPr>
              <w:t xml:space="preserve">seul </w:t>
            </w:r>
            <w:r w:rsidRPr="002A56B1">
              <w:rPr>
                <w:lang w:val="fr-CH"/>
              </w:rPr>
              <w:t>alinéa</w:t>
            </w:r>
            <w:r w:rsidR="00A36FF0" w:rsidRPr="004A7A85">
              <w:rPr>
                <w:lang w:val="fr-CH"/>
              </w:rPr>
              <w:t xml:space="preserve">. </w:t>
            </w:r>
          </w:p>
          <w:p w:rsidR="00A36FF0" w:rsidRPr="004A7A85" w:rsidRDefault="00A36FF0" w:rsidP="00584154">
            <w:pPr>
              <w:pStyle w:val="NoSpacing"/>
              <w:ind w:left="0" w:firstLine="0"/>
              <w:rPr>
                <w:lang w:val="fr-CH"/>
              </w:rPr>
            </w:pPr>
          </w:p>
          <w:p w:rsidR="00030844" w:rsidRDefault="008C1025" w:rsidP="00584154">
            <w:pPr>
              <w:pStyle w:val="NoSpacing"/>
              <w:ind w:left="0" w:firstLine="0"/>
              <w:rPr>
                <w:lang w:val="fr-CH"/>
              </w:rPr>
            </w:pPr>
            <w:r w:rsidRPr="008C1025">
              <w:rPr>
                <w:lang w:val="fr-CH"/>
              </w:rPr>
              <w:t>L</w:t>
            </w:r>
            <w:r w:rsidR="00030844">
              <w:rPr>
                <w:lang w:val="fr-CH"/>
              </w:rPr>
              <w:t xml:space="preserve">es </w:t>
            </w:r>
            <w:r w:rsidR="002A56B1">
              <w:rPr>
                <w:lang w:val="fr-CH"/>
              </w:rPr>
              <w:t xml:space="preserve">divers </w:t>
            </w:r>
            <w:r w:rsidR="00030844">
              <w:rPr>
                <w:lang w:val="fr-CH"/>
              </w:rPr>
              <w:t xml:space="preserve">termes et expressions </w:t>
            </w:r>
            <w:r w:rsidRPr="008C1025">
              <w:rPr>
                <w:lang w:val="fr-CH"/>
              </w:rPr>
              <w:t>ne doi</w:t>
            </w:r>
            <w:r w:rsidR="00030844">
              <w:rPr>
                <w:lang w:val="fr-CH"/>
              </w:rPr>
              <w:t>ven</w:t>
            </w:r>
            <w:r w:rsidRPr="008C1025">
              <w:rPr>
                <w:lang w:val="fr-CH"/>
              </w:rPr>
              <w:t>t pas être utilisé</w:t>
            </w:r>
            <w:r w:rsidR="00030844">
              <w:rPr>
                <w:lang w:val="fr-CH"/>
              </w:rPr>
              <w:t>s</w:t>
            </w:r>
            <w:r w:rsidRPr="008C1025">
              <w:rPr>
                <w:lang w:val="fr-CH"/>
              </w:rPr>
              <w:t xml:space="preserve"> de façon interchangeable. </w:t>
            </w:r>
            <w:r w:rsidR="002A56B1">
              <w:rPr>
                <w:lang w:val="fr-CH"/>
              </w:rPr>
              <w:t>C</w:t>
            </w:r>
            <w:r w:rsidRPr="008C1025">
              <w:rPr>
                <w:lang w:val="fr-CH"/>
              </w:rPr>
              <w:t xml:space="preserve">haque terme devrait être </w:t>
            </w:r>
            <w:r w:rsidR="00030844">
              <w:rPr>
                <w:lang w:val="fr-CH"/>
              </w:rPr>
              <w:t xml:space="preserve">utilisé </w:t>
            </w:r>
            <w:r w:rsidRPr="008C1025">
              <w:rPr>
                <w:lang w:val="fr-CH"/>
              </w:rPr>
              <w:t xml:space="preserve">de </w:t>
            </w:r>
            <w:r w:rsidR="00030844">
              <w:rPr>
                <w:lang w:val="fr-CH"/>
              </w:rPr>
              <w:t>manière</w:t>
            </w:r>
            <w:r w:rsidRPr="008C1025">
              <w:rPr>
                <w:lang w:val="fr-CH"/>
              </w:rPr>
              <w:t xml:space="preserve"> uniforme dans l'ensemble du Règlement afin d'éviter toute confusion.</w:t>
            </w:r>
            <w:r w:rsidR="00A346B4">
              <w:rPr>
                <w:lang w:val="fr-CH"/>
              </w:rPr>
              <w:t xml:space="preserve"> </w:t>
            </w:r>
          </w:p>
          <w:p w:rsidR="00030844" w:rsidRDefault="00030844" w:rsidP="00584154">
            <w:pPr>
              <w:pStyle w:val="NoSpacing"/>
              <w:ind w:left="0" w:firstLine="0"/>
              <w:rPr>
                <w:lang w:val="fr-CH"/>
              </w:rPr>
            </w:pPr>
          </w:p>
          <w:p w:rsidR="007A6234" w:rsidRDefault="00030844" w:rsidP="00584154">
            <w:pPr>
              <w:pStyle w:val="NoSpacing"/>
              <w:ind w:left="0" w:firstLine="0"/>
              <w:rPr>
                <w:lang w:val="fr-CH"/>
              </w:rPr>
            </w:pPr>
            <w:r w:rsidRPr="00030844">
              <w:rPr>
                <w:lang w:val="fr-CH"/>
              </w:rPr>
              <w:t xml:space="preserve">Les </w:t>
            </w:r>
            <w:r>
              <w:rPr>
                <w:lang w:val="fr-CH"/>
              </w:rPr>
              <w:t xml:space="preserve">exigences applicables </w:t>
            </w:r>
            <w:r w:rsidRPr="00030844">
              <w:rPr>
                <w:lang w:val="fr-CH"/>
              </w:rPr>
              <w:t>spécifi</w:t>
            </w:r>
            <w:r>
              <w:rPr>
                <w:lang w:val="fr-CH"/>
              </w:rPr>
              <w:t xml:space="preserve">quement </w:t>
            </w:r>
            <w:r w:rsidRPr="00030844">
              <w:rPr>
                <w:lang w:val="fr-CH"/>
              </w:rPr>
              <w:t xml:space="preserve">aux pouvoirs </w:t>
            </w:r>
            <w:r w:rsidRPr="00030844">
              <w:rPr>
                <w:lang w:val="fr-CH"/>
              </w:rPr>
              <w:lastRenderedPageBreak/>
              <w:t>devraient être clairement énoncées dans un</w:t>
            </w:r>
            <w:r>
              <w:rPr>
                <w:lang w:val="fr-CH"/>
              </w:rPr>
              <w:t xml:space="preserve"> </w:t>
            </w:r>
            <w:r w:rsidR="005F4487">
              <w:rPr>
                <w:lang w:val="fr-CH"/>
              </w:rPr>
              <w:t xml:space="preserve">seul </w:t>
            </w:r>
            <w:r>
              <w:rPr>
                <w:lang w:val="fr-CH"/>
              </w:rPr>
              <w:t>article</w:t>
            </w:r>
            <w:r w:rsidRPr="00030844">
              <w:rPr>
                <w:lang w:val="fr-CH"/>
              </w:rPr>
              <w:t>.</w:t>
            </w:r>
          </w:p>
          <w:p w:rsidR="00030844" w:rsidRPr="004A7A85" w:rsidRDefault="00030844" w:rsidP="00584154">
            <w:pPr>
              <w:pStyle w:val="NoSpacing"/>
              <w:ind w:left="0" w:firstLine="0"/>
              <w:rPr>
                <w:lang w:val="fr-CH"/>
              </w:rPr>
            </w:pPr>
          </w:p>
          <w:p w:rsidR="008E5BB9" w:rsidRPr="004A7A85" w:rsidRDefault="00030844" w:rsidP="00C3227F">
            <w:pPr>
              <w:pStyle w:val="NoSpacing"/>
              <w:ind w:left="0" w:firstLine="0"/>
              <w:rPr>
                <w:lang w:val="fr-CH"/>
              </w:rPr>
            </w:pPr>
            <w:r w:rsidRPr="00030844">
              <w:rPr>
                <w:lang w:val="fr-CH"/>
              </w:rPr>
              <w:t>Le Règlement devrait indiquer clairement que le rapport d</w:t>
            </w:r>
            <w:r>
              <w:rPr>
                <w:lang w:val="fr-CH"/>
              </w:rPr>
              <w:t xml:space="preserve">u Comité </w:t>
            </w:r>
            <w:r w:rsidRPr="00030844">
              <w:rPr>
                <w:lang w:val="fr-CH"/>
              </w:rPr>
              <w:t>de vérification des pouvoirs devra être examiné par la C</w:t>
            </w:r>
            <w:r>
              <w:rPr>
                <w:lang w:val="fr-CH"/>
              </w:rPr>
              <w:t>OP,</w:t>
            </w:r>
            <w:r w:rsidRPr="00030844">
              <w:rPr>
                <w:lang w:val="fr-CH"/>
              </w:rPr>
              <w:t xml:space="preserve"> et qu'une décision devra être prise par celle-ci</w:t>
            </w:r>
            <w:r w:rsidR="00574D9E">
              <w:rPr>
                <w:lang w:val="fr-CH"/>
              </w:rPr>
              <w:t>,</w:t>
            </w:r>
            <w:r w:rsidRPr="00030844">
              <w:rPr>
                <w:lang w:val="fr-CH"/>
              </w:rPr>
              <w:t xml:space="preserve"> avant qu'un vote puisse </w:t>
            </w:r>
            <w:r w:rsidR="00574D9E">
              <w:rPr>
                <w:lang w:val="fr-CH"/>
              </w:rPr>
              <w:t>intervenir</w:t>
            </w:r>
            <w:r w:rsidRPr="00030844">
              <w:rPr>
                <w:lang w:val="fr-CH"/>
              </w:rPr>
              <w:t>.</w:t>
            </w:r>
            <w:r w:rsidR="00A346B4">
              <w:rPr>
                <w:lang w:val="fr-CH"/>
              </w:rPr>
              <w:t xml:space="preserve"> </w:t>
            </w:r>
          </w:p>
          <w:p w:rsidR="00C3227F" w:rsidRPr="004A7A85" w:rsidRDefault="00C3227F" w:rsidP="00C3227F">
            <w:pPr>
              <w:pStyle w:val="NoSpacing"/>
              <w:ind w:left="0" w:firstLine="0"/>
              <w:rPr>
                <w:lang w:val="fr-CH"/>
              </w:rPr>
            </w:pPr>
          </w:p>
          <w:p w:rsidR="007A6234" w:rsidRPr="004A7A85" w:rsidRDefault="00574D9E" w:rsidP="008E5BB9">
            <w:pPr>
              <w:pStyle w:val="NoSpacing"/>
              <w:ind w:left="0" w:firstLine="0"/>
              <w:rPr>
                <w:lang w:val="fr-CH"/>
              </w:rPr>
            </w:pPr>
            <w:r w:rsidRPr="00574D9E">
              <w:rPr>
                <w:lang w:val="fr-CH"/>
              </w:rPr>
              <w:t xml:space="preserve">Il pourrait </w:t>
            </w:r>
            <w:r>
              <w:rPr>
                <w:lang w:val="fr-CH"/>
              </w:rPr>
              <w:t xml:space="preserve">s’avérer utile </w:t>
            </w:r>
            <w:r w:rsidRPr="00574D9E">
              <w:rPr>
                <w:lang w:val="fr-CH"/>
              </w:rPr>
              <w:t xml:space="preserve">d'envisager d'ajouter un </w:t>
            </w:r>
            <w:r w:rsidR="00AC33E9">
              <w:rPr>
                <w:lang w:val="fr-CH"/>
              </w:rPr>
              <w:t>article sur</w:t>
            </w:r>
            <w:r w:rsidRPr="00574D9E">
              <w:rPr>
                <w:lang w:val="fr-CH"/>
              </w:rPr>
              <w:t xml:space="preserve"> la présentation de l'équivalent des pouvoirs pour les observateurs, sous forme d'une simple lettre</w:t>
            </w:r>
            <w:r w:rsidR="005F4487">
              <w:rPr>
                <w:lang w:val="fr-CH"/>
              </w:rPr>
              <w:t xml:space="preserve"> émanant</w:t>
            </w:r>
            <w:r w:rsidRPr="00574D9E">
              <w:rPr>
                <w:lang w:val="fr-CH"/>
              </w:rPr>
              <w:t xml:space="preserve"> d'une personne compétente </w:t>
            </w:r>
            <w:r w:rsidR="005F4487">
              <w:rPr>
                <w:lang w:val="fr-CH"/>
              </w:rPr>
              <w:t xml:space="preserve">et </w:t>
            </w:r>
            <w:r w:rsidRPr="00574D9E">
              <w:rPr>
                <w:lang w:val="fr-CH"/>
              </w:rPr>
              <w:t>indiquant que l'observateur est autorisé à représenter l'organisation concernée et peut parler en son nom</w:t>
            </w:r>
            <w:r w:rsidR="00C3227F" w:rsidRPr="004A7A85">
              <w:rPr>
                <w:lang w:val="fr-CH"/>
              </w:rPr>
              <w:t>.</w:t>
            </w:r>
          </w:p>
        </w:tc>
      </w:tr>
      <w:tr w:rsidR="00D50999" w:rsidRPr="005B5B77" w:rsidTr="0036762F">
        <w:tc>
          <w:tcPr>
            <w:tcW w:w="578" w:type="dxa"/>
          </w:tcPr>
          <w:p w:rsidR="00A36FF0" w:rsidRPr="004A7A85" w:rsidRDefault="00A05E17" w:rsidP="0078688F">
            <w:pPr>
              <w:pStyle w:val="NoSpacing"/>
              <w:ind w:left="0" w:firstLine="0"/>
              <w:rPr>
                <w:lang w:val="fr-CH"/>
              </w:rPr>
            </w:pPr>
            <w:r w:rsidRPr="004A7A85">
              <w:rPr>
                <w:lang w:val="fr-CH"/>
              </w:rPr>
              <w:lastRenderedPageBreak/>
              <w:t>9</w:t>
            </w:r>
          </w:p>
        </w:tc>
        <w:tc>
          <w:tcPr>
            <w:tcW w:w="1685" w:type="dxa"/>
          </w:tcPr>
          <w:p w:rsidR="00A36FF0" w:rsidRPr="004A7A85" w:rsidRDefault="00AC33E9" w:rsidP="0078688F">
            <w:pPr>
              <w:pStyle w:val="NoSpacing"/>
              <w:ind w:left="0" w:firstLine="0"/>
              <w:rPr>
                <w:lang w:val="fr-CH"/>
              </w:rPr>
            </w:pPr>
            <w:r>
              <w:rPr>
                <w:lang w:val="fr-CH"/>
              </w:rPr>
              <w:t>Article</w:t>
            </w:r>
            <w:r w:rsidR="00A36FF0" w:rsidRPr="004A7A85">
              <w:rPr>
                <w:lang w:val="fr-CH"/>
              </w:rPr>
              <w:t xml:space="preserve"> 21</w:t>
            </w:r>
            <w:r>
              <w:rPr>
                <w:lang w:val="fr-CH"/>
              </w:rPr>
              <w:t> :</w:t>
            </w:r>
            <w:r w:rsidR="00A36FF0" w:rsidRPr="004A7A85">
              <w:rPr>
                <w:lang w:val="fr-CH"/>
              </w:rPr>
              <w:t xml:space="preserve"> Bureau</w:t>
            </w:r>
            <w:r>
              <w:rPr>
                <w:lang w:val="fr-CH"/>
              </w:rPr>
              <w:t xml:space="preserve"> de la Conférence</w:t>
            </w:r>
          </w:p>
        </w:tc>
        <w:tc>
          <w:tcPr>
            <w:tcW w:w="3402" w:type="dxa"/>
          </w:tcPr>
          <w:p w:rsidR="00A36FF0" w:rsidRPr="004A7A85" w:rsidRDefault="00AC33E9" w:rsidP="0078688F">
            <w:pPr>
              <w:pStyle w:val="NoSpacing"/>
              <w:ind w:left="0" w:firstLine="0"/>
              <w:rPr>
                <w:lang w:val="fr-CH"/>
              </w:rPr>
            </w:pPr>
            <w:r>
              <w:rPr>
                <w:lang w:val="fr-CH"/>
              </w:rPr>
              <w:t>L’article</w:t>
            </w:r>
            <w:r w:rsidR="00A36FF0" w:rsidRPr="004A7A85">
              <w:rPr>
                <w:lang w:val="fr-CH"/>
              </w:rPr>
              <w:t xml:space="preserve"> 21.1 concern</w:t>
            </w:r>
            <w:r>
              <w:rPr>
                <w:lang w:val="fr-CH"/>
              </w:rPr>
              <w:t>e</w:t>
            </w:r>
            <w:r w:rsidR="00A36FF0" w:rsidRPr="004A7A85">
              <w:rPr>
                <w:lang w:val="fr-CH"/>
              </w:rPr>
              <w:t xml:space="preserve">, </w:t>
            </w:r>
            <w:r>
              <w:rPr>
                <w:lang w:val="fr-CH"/>
              </w:rPr>
              <w:t>notamment</w:t>
            </w:r>
            <w:r w:rsidR="00A36FF0" w:rsidRPr="004A7A85">
              <w:rPr>
                <w:lang w:val="fr-CH"/>
              </w:rPr>
              <w:t xml:space="preserve">, </w:t>
            </w:r>
            <w:r>
              <w:rPr>
                <w:lang w:val="fr-CH"/>
              </w:rPr>
              <w:t xml:space="preserve">l’élection des membres du Bureau de la </w:t>
            </w:r>
            <w:r w:rsidR="00A36FF0" w:rsidRPr="004A7A85">
              <w:rPr>
                <w:lang w:val="fr-CH"/>
              </w:rPr>
              <w:t>Conf</w:t>
            </w:r>
            <w:r>
              <w:rPr>
                <w:lang w:val="fr-CH"/>
              </w:rPr>
              <w:t>é</w:t>
            </w:r>
            <w:r w:rsidR="00A36FF0" w:rsidRPr="004A7A85">
              <w:rPr>
                <w:lang w:val="fr-CH"/>
              </w:rPr>
              <w:t xml:space="preserve">rence. </w:t>
            </w:r>
            <w:r>
              <w:rPr>
                <w:lang w:val="fr-CH"/>
              </w:rPr>
              <w:t xml:space="preserve">L’un des </w:t>
            </w:r>
            <w:r w:rsidRPr="00AC33E9">
              <w:rPr>
                <w:lang w:val="fr-CH"/>
              </w:rPr>
              <w:t>deux vice-présidents fera office de rapporteur</w:t>
            </w:r>
            <w:r w:rsidR="00A36FF0" w:rsidRPr="004A7A85">
              <w:rPr>
                <w:lang w:val="fr-CH"/>
              </w:rPr>
              <w:t xml:space="preserve">. </w:t>
            </w:r>
            <w:r>
              <w:rPr>
                <w:lang w:val="fr-CH"/>
              </w:rPr>
              <w:t xml:space="preserve">Comme </w:t>
            </w:r>
            <w:r w:rsidRPr="00AC33E9">
              <w:rPr>
                <w:lang w:val="fr-CH"/>
              </w:rPr>
              <w:t>chaque s</w:t>
            </w:r>
            <w:r>
              <w:rPr>
                <w:lang w:val="fr-CH"/>
              </w:rPr>
              <w:t xml:space="preserve">ession </w:t>
            </w:r>
            <w:r w:rsidRPr="00AC33E9">
              <w:rPr>
                <w:lang w:val="fr-CH"/>
              </w:rPr>
              <w:t>de la C</w:t>
            </w:r>
            <w:r>
              <w:rPr>
                <w:lang w:val="fr-CH"/>
              </w:rPr>
              <w:t>OP</w:t>
            </w:r>
            <w:r w:rsidR="00C72963">
              <w:rPr>
                <w:lang w:val="fr-CH"/>
              </w:rPr>
              <w:t xml:space="preserve"> est dotée </w:t>
            </w:r>
            <w:r w:rsidRPr="00AC33E9">
              <w:rPr>
                <w:lang w:val="fr-CH"/>
              </w:rPr>
              <w:t xml:space="preserve">d'un ou </w:t>
            </w:r>
            <w:r w:rsidR="00832FA8">
              <w:rPr>
                <w:lang w:val="fr-CH"/>
              </w:rPr>
              <w:t xml:space="preserve">de </w:t>
            </w:r>
            <w:r w:rsidRPr="00AC33E9">
              <w:rPr>
                <w:lang w:val="fr-CH"/>
              </w:rPr>
              <w:t xml:space="preserve">plusieurs rapporteurs professionnels, on ne sait pas exactement quelles sont les fonctions du vice-président désigné à cet égard. Le </w:t>
            </w:r>
            <w:r w:rsidR="00C72963">
              <w:rPr>
                <w:lang w:val="fr-CH"/>
              </w:rPr>
              <w:t>v</w:t>
            </w:r>
            <w:r w:rsidRPr="00AC33E9">
              <w:rPr>
                <w:lang w:val="fr-CH"/>
              </w:rPr>
              <w:t>ice-</w:t>
            </w:r>
            <w:r w:rsidR="00C72963">
              <w:rPr>
                <w:lang w:val="fr-CH"/>
              </w:rPr>
              <w:t>p</w:t>
            </w:r>
            <w:r w:rsidRPr="00AC33E9">
              <w:rPr>
                <w:lang w:val="fr-CH"/>
              </w:rPr>
              <w:t>résident doit-il produire un rapport officiel après chaque session de la Conférence des Parties, par exemple ?</w:t>
            </w:r>
            <w:r w:rsidR="00A36FF0" w:rsidRPr="004A7A85">
              <w:rPr>
                <w:lang w:val="fr-CH"/>
              </w:rPr>
              <w:t xml:space="preserve"> </w:t>
            </w:r>
          </w:p>
          <w:p w:rsidR="00A36FF0" w:rsidRPr="004A7A85" w:rsidRDefault="00A36FF0" w:rsidP="0078688F">
            <w:pPr>
              <w:pStyle w:val="NoSpacing"/>
              <w:ind w:left="0" w:firstLine="0"/>
              <w:rPr>
                <w:lang w:val="fr-CH"/>
              </w:rPr>
            </w:pPr>
          </w:p>
          <w:p w:rsidR="00155FB5" w:rsidRPr="004A7A85" w:rsidRDefault="00D7124D" w:rsidP="003443CF">
            <w:pPr>
              <w:pStyle w:val="NoSpacing"/>
              <w:ind w:left="0" w:firstLine="0"/>
              <w:rPr>
                <w:lang w:val="fr-CH"/>
              </w:rPr>
            </w:pPr>
            <w:r w:rsidRPr="00D7124D">
              <w:rPr>
                <w:lang w:val="fr-CH"/>
              </w:rPr>
              <w:t xml:space="preserve">Il existe d'autres </w:t>
            </w:r>
            <w:r>
              <w:rPr>
                <w:lang w:val="fr-CH"/>
              </w:rPr>
              <w:t>articles qui s’appliquent au</w:t>
            </w:r>
            <w:r w:rsidRPr="00D7124D">
              <w:rPr>
                <w:lang w:val="fr-CH"/>
              </w:rPr>
              <w:t xml:space="preserve"> fonctionnement du Bureau de la Conférence dans le Règlement </w:t>
            </w:r>
            <w:r>
              <w:rPr>
                <w:lang w:val="fr-CH"/>
              </w:rPr>
              <w:t xml:space="preserve">intérieur </w:t>
            </w:r>
            <w:r w:rsidR="002A56B1" w:rsidRPr="0068025C">
              <w:rPr>
                <w:lang w:val="fr-FR"/>
              </w:rPr>
              <w:t>[</w:t>
            </w:r>
            <w:r w:rsidRPr="00D7124D">
              <w:rPr>
                <w:lang w:val="fr-CH"/>
              </w:rPr>
              <w:t>par exemple l'article 25.1 (a)</w:t>
            </w:r>
            <w:r w:rsidR="002A56B1">
              <w:rPr>
                <w:lang w:val="fr-CH"/>
              </w:rPr>
              <w:t>]</w:t>
            </w:r>
            <w:r w:rsidRPr="00D7124D">
              <w:rPr>
                <w:lang w:val="fr-CH"/>
              </w:rPr>
              <w:t xml:space="preserve">. Il est donc difficile de </w:t>
            </w:r>
            <w:r w:rsidR="002A56B1">
              <w:rPr>
                <w:lang w:val="fr-CH"/>
              </w:rPr>
              <w:t xml:space="preserve">bien </w:t>
            </w:r>
            <w:r w:rsidRPr="00D7124D">
              <w:rPr>
                <w:lang w:val="fr-CH"/>
              </w:rPr>
              <w:t>comprendre les rôles et les responsabilités d</w:t>
            </w:r>
            <w:r>
              <w:rPr>
                <w:lang w:val="fr-CH"/>
              </w:rPr>
              <w:t>u Bureau de la Conférence</w:t>
            </w:r>
            <w:r w:rsidR="001772C8" w:rsidRPr="004A7A85">
              <w:rPr>
                <w:lang w:val="fr-CH"/>
              </w:rPr>
              <w:t>.</w:t>
            </w:r>
          </w:p>
        </w:tc>
        <w:tc>
          <w:tcPr>
            <w:tcW w:w="3402" w:type="dxa"/>
          </w:tcPr>
          <w:p w:rsidR="00C72963" w:rsidRDefault="00C72963" w:rsidP="009C7A96">
            <w:pPr>
              <w:pStyle w:val="NoSpacing"/>
              <w:ind w:left="0" w:firstLine="0"/>
              <w:rPr>
                <w:lang w:val="fr-CH"/>
              </w:rPr>
            </w:pPr>
            <w:r>
              <w:rPr>
                <w:lang w:val="fr-CH"/>
              </w:rPr>
              <w:t>Il conviendrait de clarifier l</w:t>
            </w:r>
            <w:r w:rsidRPr="00C72963">
              <w:rPr>
                <w:lang w:val="fr-CH"/>
              </w:rPr>
              <w:t xml:space="preserve">e rôle du vice-président </w:t>
            </w:r>
            <w:r>
              <w:rPr>
                <w:lang w:val="fr-CH"/>
              </w:rPr>
              <w:t xml:space="preserve">faisant office de </w:t>
            </w:r>
            <w:r w:rsidRPr="00C72963">
              <w:rPr>
                <w:lang w:val="fr-CH"/>
              </w:rPr>
              <w:t>rapporteur.</w:t>
            </w:r>
          </w:p>
          <w:p w:rsidR="00C72963" w:rsidRDefault="00C72963" w:rsidP="009C7A96">
            <w:pPr>
              <w:pStyle w:val="NoSpacing"/>
              <w:ind w:left="0" w:firstLine="0"/>
              <w:rPr>
                <w:lang w:val="fr-CH"/>
              </w:rPr>
            </w:pPr>
          </w:p>
          <w:p w:rsidR="00A36FF0" w:rsidRPr="004A7A85" w:rsidRDefault="00C72963" w:rsidP="009C7A96">
            <w:pPr>
              <w:pStyle w:val="NoSpacing"/>
              <w:ind w:left="0" w:firstLine="0"/>
              <w:rPr>
                <w:lang w:val="fr-CH"/>
              </w:rPr>
            </w:pPr>
            <w:r w:rsidRPr="00C72963">
              <w:rPr>
                <w:lang w:val="fr-CH"/>
              </w:rPr>
              <w:t xml:space="preserve">Tous les </w:t>
            </w:r>
            <w:r>
              <w:rPr>
                <w:lang w:val="fr-CH"/>
              </w:rPr>
              <w:t xml:space="preserve">articles qui </w:t>
            </w:r>
            <w:r w:rsidRPr="00C72963">
              <w:rPr>
                <w:lang w:val="fr-CH"/>
              </w:rPr>
              <w:t>concern</w:t>
            </w:r>
            <w:r>
              <w:rPr>
                <w:lang w:val="fr-CH"/>
              </w:rPr>
              <w:t>e</w:t>
            </w:r>
            <w:r w:rsidRPr="00C72963">
              <w:rPr>
                <w:lang w:val="fr-CH"/>
              </w:rPr>
              <w:t>nt spécifiquement le Bureau de la Conférence devraient être regroupés</w:t>
            </w:r>
            <w:r w:rsidR="00A36FF0" w:rsidRPr="004A7A85">
              <w:rPr>
                <w:lang w:val="fr-CH"/>
              </w:rPr>
              <w:t xml:space="preserve">. </w:t>
            </w:r>
          </w:p>
        </w:tc>
      </w:tr>
      <w:tr w:rsidR="00D50999" w:rsidRPr="005B5B77" w:rsidTr="0036762F">
        <w:tc>
          <w:tcPr>
            <w:tcW w:w="578" w:type="dxa"/>
          </w:tcPr>
          <w:p w:rsidR="00A36FF0" w:rsidRPr="004A7A85" w:rsidRDefault="00A36FF0" w:rsidP="0078688F">
            <w:pPr>
              <w:pStyle w:val="NoSpacing"/>
              <w:ind w:left="0" w:firstLine="0"/>
              <w:rPr>
                <w:lang w:val="fr-CH"/>
              </w:rPr>
            </w:pPr>
            <w:r w:rsidRPr="004A7A85">
              <w:rPr>
                <w:lang w:val="fr-CH"/>
              </w:rPr>
              <w:t>1</w:t>
            </w:r>
            <w:r w:rsidR="00A05E17" w:rsidRPr="004A7A85">
              <w:rPr>
                <w:lang w:val="fr-CH"/>
              </w:rPr>
              <w:t>0</w:t>
            </w:r>
          </w:p>
        </w:tc>
        <w:tc>
          <w:tcPr>
            <w:tcW w:w="1685" w:type="dxa"/>
          </w:tcPr>
          <w:p w:rsidR="00A36FF0" w:rsidRPr="004A7A85" w:rsidRDefault="00D7124D" w:rsidP="0078688F">
            <w:pPr>
              <w:pStyle w:val="NoSpacing"/>
              <w:ind w:left="0" w:firstLine="0"/>
              <w:rPr>
                <w:lang w:val="fr-CH"/>
              </w:rPr>
            </w:pPr>
            <w:r>
              <w:rPr>
                <w:lang w:val="fr-CH"/>
              </w:rPr>
              <w:t xml:space="preserve">Article </w:t>
            </w:r>
            <w:r w:rsidR="00A36FF0" w:rsidRPr="004A7A85">
              <w:rPr>
                <w:lang w:val="fr-CH"/>
              </w:rPr>
              <w:t>22</w:t>
            </w:r>
            <w:r>
              <w:rPr>
                <w:lang w:val="fr-CH"/>
              </w:rPr>
              <w:t> :</w:t>
            </w:r>
            <w:r w:rsidR="00A36FF0" w:rsidRPr="004A7A85">
              <w:rPr>
                <w:lang w:val="fr-CH"/>
              </w:rPr>
              <w:t xml:space="preserve"> R</w:t>
            </w:r>
            <w:r>
              <w:rPr>
                <w:lang w:val="fr-CH"/>
              </w:rPr>
              <w:t>ô</w:t>
            </w:r>
            <w:r w:rsidR="00A36FF0" w:rsidRPr="004A7A85">
              <w:rPr>
                <w:lang w:val="fr-CH"/>
              </w:rPr>
              <w:t xml:space="preserve">le </w:t>
            </w:r>
            <w:r>
              <w:rPr>
                <w:lang w:val="fr-CH"/>
              </w:rPr>
              <w:t>du Président</w:t>
            </w:r>
            <w:r w:rsidR="00A36FF0" w:rsidRPr="004A7A85">
              <w:rPr>
                <w:lang w:val="fr-CH"/>
              </w:rPr>
              <w:t xml:space="preserve"> </w:t>
            </w:r>
          </w:p>
        </w:tc>
        <w:tc>
          <w:tcPr>
            <w:tcW w:w="3402" w:type="dxa"/>
          </w:tcPr>
          <w:p w:rsidR="00A36FF0" w:rsidRPr="004A7A85" w:rsidRDefault="00155FB5" w:rsidP="0078688F">
            <w:pPr>
              <w:pStyle w:val="NoSpacing"/>
              <w:ind w:left="0" w:firstLine="0"/>
              <w:rPr>
                <w:lang w:val="fr-CH"/>
              </w:rPr>
            </w:pPr>
            <w:r>
              <w:rPr>
                <w:lang w:val="fr-CH"/>
              </w:rPr>
              <w:t xml:space="preserve">L’article </w:t>
            </w:r>
            <w:r w:rsidR="00A36FF0" w:rsidRPr="004A7A85">
              <w:rPr>
                <w:lang w:val="fr-CH"/>
              </w:rPr>
              <w:t>22.3 st</w:t>
            </w:r>
            <w:r>
              <w:rPr>
                <w:lang w:val="fr-CH"/>
              </w:rPr>
              <w:t>ipule que l</w:t>
            </w:r>
            <w:r w:rsidRPr="00155FB5">
              <w:rPr>
                <w:lang w:val="fr-CH"/>
              </w:rPr>
              <w:t>e président, dans l’exercice de ses fonctions, demeure sous l’autorité de la</w:t>
            </w:r>
            <w:r w:rsidR="00A36FF0" w:rsidRPr="004A7A85">
              <w:rPr>
                <w:lang w:val="fr-CH"/>
              </w:rPr>
              <w:t xml:space="preserve"> COP. </w:t>
            </w:r>
          </w:p>
          <w:p w:rsidR="00A36FF0" w:rsidRPr="004A7A85" w:rsidRDefault="00A36FF0" w:rsidP="0078688F">
            <w:pPr>
              <w:pStyle w:val="NoSpacing"/>
              <w:ind w:left="0" w:firstLine="0"/>
              <w:rPr>
                <w:lang w:val="fr-CH"/>
              </w:rPr>
            </w:pPr>
          </w:p>
        </w:tc>
        <w:tc>
          <w:tcPr>
            <w:tcW w:w="3402" w:type="dxa"/>
          </w:tcPr>
          <w:p w:rsidR="00A36FF0" w:rsidRPr="004A7A85" w:rsidRDefault="00155FB5" w:rsidP="00832FA8">
            <w:pPr>
              <w:pStyle w:val="NoSpacing"/>
              <w:ind w:left="0" w:firstLine="0"/>
              <w:rPr>
                <w:lang w:val="fr-CH"/>
              </w:rPr>
            </w:pPr>
            <w:r>
              <w:rPr>
                <w:lang w:val="fr-CH"/>
              </w:rPr>
              <w:t xml:space="preserve">Cet article devrait être amendé </w:t>
            </w:r>
            <w:r w:rsidR="00F23905">
              <w:rPr>
                <w:lang w:val="fr-CH"/>
              </w:rPr>
              <w:t xml:space="preserve">et relié à l’article </w:t>
            </w:r>
            <w:r w:rsidR="000850CD" w:rsidRPr="004A7A85">
              <w:rPr>
                <w:lang w:val="fr-CH"/>
              </w:rPr>
              <w:t>32 (</w:t>
            </w:r>
            <w:r w:rsidR="00F23905">
              <w:rPr>
                <w:lang w:val="fr-CH"/>
              </w:rPr>
              <w:t xml:space="preserve">qui décrit </w:t>
            </w:r>
            <w:r w:rsidR="00832FA8">
              <w:rPr>
                <w:lang w:val="fr-CH"/>
              </w:rPr>
              <w:t xml:space="preserve">la procédure </w:t>
            </w:r>
            <w:r w:rsidR="00F23905">
              <w:rPr>
                <w:lang w:val="fr-CH"/>
              </w:rPr>
              <w:t>garantissant que le p</w:t>
            </w:r>
            <w:r w:rsidR="000850CD" w:rsidRPr="004A7A85">
              <w:rPr>
                <w:lang w:val="fr-CH"/>
              </w:rPr>
              <w:t>r</w:t>
            </w:r>
            <w:r w:rsidR="00F23905">
              <w:rPr>
                <w:lang w:val="fr-CH"/>
              </w:rPr>
              <w:t>é</w:t>
            </w:r>
            <w:r w:rsidR="000850CD" w:rsidRPr="004A7A85">
              <w:rPr>
                <w:lang w:val="fr-CH"/>
              </w:rPr>
              <w:t xml:space="preserve">sident </w:t>
            </w:r>
            <w:r w:rsidR="00F23905">
              <w:rPr>
                <w:lang w:val="fr-CH"/>
              </w:rPr>
              <w:t xml:space="preserve">demeure sous l’autorité de la </w:t>
            </w:r>
            <w:r w:rsidR="000850CD" w:rsidRPr="004A7A85">
              <w:rPr>
                <w:lang w:val="fr-CH"/>
              </w:rPr>
              <w:t>COP).</w:t>
            </w:r>
            <w:r w:rsidR="00A36FF0" w:rsidRPr="004A7A85">
              <w:rPr>
                <w:lang w:val="fr-CH"/>
              </w:rPr>
              <w:t xml:space="preserve"> </w:t>
            </w:r>
          </w:p>
        </w:tc>
      </w:tr>
      <w:tr w:rsidR="00D50999" w:rsidRPr="005B5B77" w:rsidTr="0036762F">
        <w:tc>
          <w:tcPr>
            <w:tcW w:w="578" w:type="dxa"/>
          </w:tcPr>
          <w:p w:rsidR="00A36FF0" w:rsidRPr="004A7A85" w:rsidRDefault="00A36FF0" w:rsidP="0078688F">
            <w:pPr>
              <w:pStyle w:val="NoSpacing"/>
              <w:ind w:left="0" w:firstLine="0"/>
              <w:rPr>
                <w:lang w:val="fr-CH"/>
              </w:rPr>
            </w:pPr>
            <w:r w:rsidRPr="004A7A85">
              <w:rPr>
                <w:lang w:val="fr-CH"/>
              </w:rPr>
              <w:t>1</w:t>
            </w:r>
            <w:r w:rsidR="00A05E17" w:rsidRPr="004A7A85">
              <w:rPr>
                <w:lang w:val="fr-CH"/>
              </w:rPr>
              <w:t>1</w:t>
            </w:r>
          </w:p>
        </w:tc>
        <w:tc>
          <w:tcPr>
            <w:tcW w:w="1685" w:type="dxa"/>
          </w:tcPr>
          <w:p w:rsidR="00A36FF0" w:rsidRPr="004A7A85" w:rsidRDefault="00F23905" w:rsidP="0078688F">
            <w:pPr>
              <w:pStyle w:val="NoSpacing"/>
              <w:ind w:left="0" w:firstLine="0"/>
              <w:rPr>
                <w:lang w:val="fr-CH"/>
              </w:rPr>
            </w:pPr>
            <w:r>
              <w:rPr>
                <w:lang w:val="fr-CH"/>
              </w:rPr>
              <w:t xml:space="preserve">Article </w:t>
            </w:r>
            <w:r w:rsidR="00A36FF0" w:rsidRPr="004A7A85">
              <w:rPr>
                <w:lang w:val="fr-CH"/>
              </w:rPr>
              <w:t>25</w:t>
            </w:r>
            <w:r>
              <w:rPr>
                <w:lang w:val="fr-CH"/>
              </w:rPr>
              <w:t> :</w:t>
            </w:r>
            <w:r w:rsidR="00A36FF0" w:rsidRPr="004A7A85">
              <w:rPr>
                <w:lang w:val="fr-CH"/>
              </w:rPr>
              <w:t xml:space="preserve"> </w:t>
            </w:r>
            <w:r w:rsidRPr="00F23905">
              <w:rPr>
                <w:lang w:val="fr-CH"/>
              </w:rPr>
              <w:t xml:space="preserve">Constitution d’organes subsidiaires </w:t>
            </w:r>
          </w:p>
        </w:tc>
        <w:tc>
          <w:tcPr>
            <w:tcW w:w="3402" w:type="dxa"/>
          </w:tcPr>
          <w:p w:rsidR="00A36FF0" w:rsidRPr="004A7A85" w:rsidRDefault="00F23905" w:rsidP="004E4E27">
            <w:pPr>
              <w:pStyle w:val="NoSpacing"/>
              <w:ind w:left="0" w:firstLine="0"/>
              <w:rPr>
                <w:lang w:val="fr-CH"/>
              </w:rPr>
            </w:pPr>
            <w:r>
              <w:rPr>
                <w:lang w:val="fr-CH"/>
              </w:rPr>
              <w:t xml:space="preserve">Les articles </w:t>
            </w:r>
            <w:r w:rsidR="00A36FF0" w:rsidRPr="004A7A85">
              <w:rPr>
                <w:lang w:val="fr-CH"/>
              </w:rPr>
              <w:t xml:space="preserve">25.1 </w:t>
            </w:r>
            <w:r>
              <w:rPr>
                <w:lang w:val="fr-CH"/>
              </w:rPr>
              <w:t>et</w:t>
            </w:r>
            <w:r w:rsidR="00A36FF0" w:rsidRPr="004A7A85">
              <w:rPr>
                <w:lang w:val="fr-CH"/>
              </w:rPr>
              <w:t xml:space="preserve"> 25.4 </w:t>
            </w:r>
            <w:r>
              <w:rPr>
                <w:lang w:val="fr-CH"/>
              </w:rPr>
              <w:t xml:space="preserve">n’indiquent pas explicitement si un membre </w:t>
            </w:r>
            <w:r w:rsidR="00832FA8">
              <w:rPr>
                <w:lang w:val="fr-CH"/>
              </w:rPr>
              <w:t xml:space="preserve">sans droit de vote </w:t>
            </w:r>
            <w:r>
              <w:rPr>
                <w:lang w:val="fr-CH"/>
              </w:rPr>
              <w:t xml:space="preserve">du </w:t>
            </w:r>
            <w:r w:rsidR="00A36FF0" w:rsidRPr="004A7A85">
              <w:rPr>
                <w:lang w:val="fr-CH"/>
              </w:rPr>
              <w:t>C</w:t>
            </w:r>
            <w:r>
              <w:rPr>
                <w:lang w:val="fr-CH"/>
              </w:rPr>
              <w:t>P</w:t>
            </w:r>
            <w:r w:rsidR="00A36FF0" w:rsidRPr="004A7A85">
              <w:rPr>
                <w:lang w:val="fr-CH"/>
              </w:rPr>
              <w:t xml:space="preserve"> </w:t>
            </w:r>
            <w:r w:rsidRPr="00F23905">
              <w:rPr>
                <w:lang w:val="fr-CH"/>
              </w:rPr>
              <w:t xml:space="preserve">peut se joindre à un sous-groupe ou à un groupe de travail </w:t>
            </w:r>
            <w:r w:rsidR="002A56B1">
              <w:rPr>
                <w:lang w:val="fr-CH"/>
              </w:rPr>
              <w:t xml:space="preserve">du </w:t>
            </w:r>
            <w:r w:rsidRPr="00F23905">
              <w:rPr>
                <w:lang w:val="fr-CH"/>
              </w:rPr>
              <w:t>C</w:t>
            </w:r>
            <w:r>
              <w:rPr>
                <w:lang w:val="fr-CH"/>
              </w:rPr>
              <w:t>P</w:t>
            </w:r>
            <w:r w:rsidRPr="00F23905">
              <w:rPr>
                <w:lang w:val="fr-CH"/>
              </w:rPr>
              <w:t>, voter ou en être le dirigeant élu</w:t>
            </w:r>
            <w:r w:rsidR="00A36FF0" w:rsidRPr="004A7A85">
              <w:rPr>
                <w:lang w:val="fr-CH"/>
              </w:rPr>
              <w:t xml:space="preserve">. </w:t>
            </w:r>
          </w:p>
          <w:p w:rsidR="00A36FF0" w:rsidRPr="004A7A85" w:rsidRDefault="00A36FF0" w:rsidP="004E4E27">
            <w:pPr>
              <w:pStyle w:val="NoSpacing"/>
              <w:ind w:left="0" w:firstLine="0"/>
              <w:rPr>
                <w:lang w:val="fr-CH"/>
              </w:rPr>
            </w:pPr>
          </w:p>
          <w:p w:rsidR="00A36FF0" w:rsidRPr="004A7A85" w:rsidRDefault="002D522D" w:rsidP="00941D67">
            <w:pPr>
              <w:pStyle w:val="NoSpacing"/>
              <w:ind w:left="0" w:firstLine="0"/>
              <w:rPr>
                <w:lang w:val="fr-CH"/>
              </w:rPr>
            </w:pPr>
            <w:r>
              <w:rPr>
                <w:lang w:val="fr-CH"/>
              </w:rPr>
              <w:t xml:space="preserve">L’article </w:t>
            </w:r>
            <w:r w:rsidR="00A36FF0" w:rsidRPr="004A7A85">
              <w:rPr>
                <w:lang w:val="fr-CH"/>
              </w:rPr>
              <w:t>25.4 s</w:t>
            </w:r>
            <w:r>
              <w:rPr>
                <w:lang w:val="fr-CH"/>
              </w:rPr>
              <w:t>tipule</w:t>
            </w:r>
            <w:r w:rsidR="00A36FF0" w:rsidRPr="004A7A85">
              <w:rPr>
                <w:lang w:val="fr-CH"/>
              </w:rPr>
              <w:t xml:space="preserve"> </w:t>
            </w:r>
            <w:r w:rsidR="002F5471">
              <w:rPr>
                <w:lang w:val="fr-CH"/>
              </w:rPr>
              <w:t>« </w:t>
            </w:r>
            <w:r w:rsidR="002F5471" w:rsidRPr="002F5471">
              <w:rPr>
                <w:lang w:val="fr-CH"/>
              </w:rPr>
              <w:t>Sous réserve du paragraphe 4</w:t>
            </w:r>
            <w:r w:rsidR="002F5471">
              <w:rPr>
                <w:lang w:val="fr-CH"/>
              </w:rPr>
              <w:t> »</w:t>
            </w:r>
            <w:r w:rsidR="00A36FF0" w:rsidRPr="004A7A85">
              <w:rPr>
                <w:lang w:val="fr-CH"/>
              </w:rPr>
              <w:t xml:space="preserve">. </w:t>
            </w:r>
            <w:r w:rsidR="002F5471">
              <w:rPr>
                <w:lang w:val="fr-CH"/>
              </w:rPr>
              <w:t xml:space="preserve">C’est une erreur puisque ce membre de phrase se trouve au </w:t>
            </w:r>
            <w:r w:rsidR="00A36FF0" w:rsidRPr="004A7A85">
              <w:rPr>
                <w:lang w:val="fr-CH"/>
              </w:rPr>
              <w:t>paragraph</w:t>
            </w:r>
            <w:r w:rsidR="002F5471">
              <w:rPr>
                <w:lang w:val="fr-CH"/>
              </w:rPr>
              <w:t>e</w:t>
            </w:r>
            <w:r w:rsidR="00A36FF0" w:rsidRPr="004A7A85">
              <w:rPr>
                <w:lang w:val="fr-CH"/>
              </w:rPr>
              <w:t xml:space="preserve"> 4. </w:t>
            </w:r>
            <w:r w:rsidR="002F5471">
              <w:rPr>
                <w:lang w:val="fr-CH"/>
              </w:rPr>
              <w:t>On ne sait donc pas sous réserve de quoi (s’il y a une réserve) cet article se trouve</w:t>
            </w:r>
            <w:r w:rsidR="00A36FF0" w:rsidRPr="004A7A85">
              <w:rPr>
                <w:lang w:val="fr-CH"/>
              </w:rPr>
              <w:t>.</w:t>
            </w:r>
          </w:p>
          <w:p w:rsidR="00A36FF0" w:rsidRPr="004A7A85" w:rsidRDefault="00A36FF0" w:rsidP="00941D67">
            <w:pPr>
              <w:pStyle w:val="NoSpacing"/>
              <w:ind w:left="0" w:firstLine="0"/>
              <w:rPr>
                <w:lang w:val="fr-CH"/>
              </w:rPr>
            </w:pPr>
          </w:p>
          <w:p w:rsidR="00A36FF0" w:rsidRPr="004A7A85" w:rsidRDefault="002F5471" w:rsidP="00941D67">
            <w:pPr>
              <w:pStyle w:val="NoSpacing"/>
              <w:ind w:left="0" w:firstLine="0"/>
              <w:rPr>
                <w:lang w:val="fr-CH"/>
              </w:rPr>
            </w:pPr>
            <w:r>
              <w:rPr>
                <w:lang w:val="fr-CH"/>
              </w:rPr>
              <w:t xml:space="preserve">L’article </w:t>
            </w:r>
            <w:r w:rsidR="00A36FF0" w:rsidRPr="004A7A85">
              <w:rPr>
                <w:lang w:val="fr-CH"/>
              </w:rPr>
              <w:t>25.5</w:t>
            </w:r>
            <w:r w:rsidR="000F5169" w:rsidRPr="004A7A85">
              <w:rPr>
                <w:lang w:val="fr-CH"/>
              </w:rPr>
              <w:t>.</w:t>
            </w:r>
            <w:r w:rsidR="00A36FF0" w:rsidRPr="004A7A85">
              <w:rPr>
                <w:lang w:val="fr-CH"/>
              </w:rPr>
              <w:t>e) concern</w:t>
            </w:r>
            <w:r>
              <w:rPr>
                <w:lang w:val="fr-CH"/>
              </w:rPr>
              <w:t>e</w:t>
            </w:r>
            <w:r w:rsidR="00A36FF0" w:rsidRPr="004A7A85">
              <w:rPr>
                <w:lang w:val="fr-CH"/>
              </w:rPr>
              <w:t xml:space="preserve"> </w:t>
            </w:r>
            <w:r>
              <w:rPr>
                <w:lang w:val="fr-CH"/>
              </w:rPr>
              <w:t xml:space="preserve">les groupes </w:t>
            </w:r>
            <w:r w:rsidRPr="002F5471">
              <w:rPr>
                <w:lang w:val="fr-CH"/>
              </w:rPr>
              <w:t xml:space="preserve">de travail informels </w:t>
            </w:r>
            <w:r>
              <w:rPr>
                <w:lang w:val="fr-CH"/>
              </w:rPr>
              <w:t>« o</w:t>
            </w:r>
            <w:r w:rsidRPr="002F5471">
              <w:rPr>
                <w:lang w:val="fr-CH"/>
              </w:rPr>
              <w:t>utre les organes subsidiaires</w:t>
            </w:r>
            <w:r>
              <w:rPr>
                <w:lang w:val="fr-CH"/>
              </w:rPr>
              <w:t> »</w:t>
            </w:r>
            <w:r w:rsidR="00A36FF0" w:rsidRPr="004A7A85">
              <w:rPr>
                <w:lang w:val="fr-CH"/>
              </w:rPr>
              <w:t xml:space="preserve">. </w:t>
            </w:r>
            <w:r w:rsidRPr="002F5471">
              <w:rPr>
                <w:lang w:val="fr-CH"/>
              </w:rPr>
              <w:lastRenderedPageBreak/>
              <w:t>Toutefois, le fait que ces groupes soient prévus dans un</w:t>
            </w:r>
            <w:r w:rsidR="00DE09F5">
              <w:rPr>
                <w:lang w:val="fr-CH"/>
              </w:rPr>
              <w:t xml:space="preserve"> article portant sur </w:t>
            </w:r>
            <w:r w:rsidRPr="002F5471">
              <w:rPr>
                <w:lang w:val="fr-CH"/>
              </w:rPr>
              <w:t>les organes subsidiaires prête à confusion, notamment en ce qui concerne l'application de l'article 25 à leur formation et à leur fonctionnement</w:t>
            </w:r>
            <w:r w:rsidR="00A36FF0" w:rsidRPr="004A7A85">
              <w:rPr>
                <w:lang w:val="fr-CH"/>
              </w:rPr>
              <w:t xml:space="preserve">. </w:t>
            </w:r>
          </w:p>
          <w:p w:rsidR="00A36FF0" w:rsidRPr="004A7A85" w:rsidRDefault="00A36FF0" w:rsidP="00941D67">
            <w:pPr>
              <w:pStyle w:val="NoSpacing"/>
              <w:ind w:left="0" w:firstLine="0"/>
              <w:rPr>
                <w:lang w:val="fr-CH"/>
              </w:rPr>
            </w:pPr>
          </w:p>
          <w:p w:rsidR="00A36FF0" w:rsidRPr="004A7A85" w:rsidRDefault="00DE09F5" w:rsidP="004E4E27">
            <w:pPr>
              <w:pStyle w:val="NoSpacing"/>
              <w:ind w:left="0" w:firstLine="0"/>
              <w:rPr>
                <w:lang w:val="fr-CH"/>
              </w:rPr>
            </w:pPr>
            <w:r>
              <w:rPr>
                <w:lang w:val="fr-CH"/>
              </w:rPr>
              <w:t>Par ailleurs</w:t>
            </w:r>
            <w:r w:rsidR="00A36FF0" w:rsidRPr="004A7A85">
              <w:rPr>
                <w:lang w:val="fr-CH"/>
              </w:rPr>
              <w:t xml:space="preserve">, </w:t>
            </w:r>
            <w:r>
              <w:rPr>
                <w:lang w:val="fr-CH"/>
              </w:rPr>
              <w:t>l’article</w:t>
            </w:r>
            <w:r w:rsidR="00A36FF0" w:rsidRPr="004A7A85">
              <w:rPr>
                <w:lang w:val="fr-CH"/>
              </w:rPr>
              <w:t xml:space="preserve"> 25.5</w:t>
            </w:r>
            <w:r w:rsidR="000F5169" w:rsidRPr="004A7A85">
              <w:rPr>
                <w:lang w:val="fr-CH"/>
              </w:rPr>
              <w:t>.</w:t>
            </w:r>
            <w:r w:rsidR="00A36FF0" w:rsidRPr="004A7A85">
              <w:rPr>
                <w:lang w:val="fr-CH"/>
              </w:rPr>
              <w:t xml:space="preserve">e) </w:t>
            </w:r>
            <w:r w:rsidR="000A2227" w:rsidRPr="000A2227">
              <w:rPr>
                <w:lang w:val="fr-CH"/>
              </w:rPr>
              <w:t xml:space="preserve">n'est pas techniquement conforme à la définition d'un </w:t>
            </w:r>
            <w:r w:rsidR="000A2227">
              <w:rPr>
                <w:lang w:val="fr-CH"/>
              </w:rPr>
              <w:t>« </w:t>
            </w:r>
            <w:r w:rsidR="000A2227" w:rsidRPr="000A2227">
              <w:rPr>
                <w:lang w:val="fr-CH"/>
              </w:rPr>
              <w:t>organe subsidiaire</w:t>
            </w:r>
            <w:r w:rsidR="000A2227">
              <w:rPr>
                <w:lang w:val="fr-CH"/>
              </w:rPr>
              <w:t> »</w:t>
            </w:r>
            <w:r w:rsidR="000A2227" w:rsidRPr="000A2227">
              <w:rPr>
                <w:lang w:val="fr-CH"/>
              </w:rPr>
              <w:t xml:space="preserve"> donnée à l'article 2.k)</w:t>
            </w:r>
            <w:r w:rsidR="000A2227">
              <w:rPr>
                <w:lang w:val="fr-CH"/>
              </w:rPr>
              <w:t>, selon lequel par « organe subsidiaire »</w:t>
            </w:r>
            <w:r w:rsidR="000A2227" w:rsidRPr="004A7A85">
              <w:rPr>
                <w:lang w:val="fr-CH"/>
              </w:rPr>
              <w:t xml:space="preserve"> </w:t>
            </w:r>
            <w:r w:rsidR="000A2227">
              <w:rPr>
                <w:lang w:val="fr-CH"/>
              </w:rPr>
              <w:t>on entend « </w:t>
            </w:r>
            <w:r w:rsidR="000A2227" w:rsidRPr="000A2227">
              <w:rPr>
                <w:lang w:val="fr-CH"/>
              </w:rPr>
              <w:t>tout comité ou groupe de travail constitué par la C</w:t>
            </w:r>
            <w:r w:rsidR="000A2227">
              <w:rPr>
                <w:lang w:val="fr-CH"/>
              </w:rPr>
              <w:t>OP… »</w:t>
            </w:r>
            <w:r w:rsidR="00A36FF0" w:rsidRPr="004A7A85">
              <w:rPr>
                <w:lang w:val="fr-CH"/>
              </w:rPr>
              <w:t xml:space="preserve">. </w:t>
            </w:r>
          </w:p>
        </w:tc>
        <w:tc>
          <w:tcPr>
            <w:tcW w:w="3402" w:type="dxa"/>
          </w:tcPr>
          <w:p w:rsidR="00A36FF0" w:rsidRPr="004A7A85" w:rsidRDefault="00F23905" w:rsidP="00584154">
            <w:pPr>
              <w:pStyle w:val="NoSpacing"/>
              <w:ind w:left="0" w:firstLine="0"/>
              <w:rPr>
                <w:lang w:val="fr-CH"/>
              </w:rPr>
            </w:pPr>
            <w:r w:rsidRPr="00F23905">
              <w:rPr>
                <w:lang w:val="fr-CH"/>
              </w:rPr>
              <w:lastRenderedPageBreak/>
              <w:t xml:space="preserve">La capacité des membres sans droit de vote du </w:t>
            </w:r>
            <w:r>
              <w:rPr>
                <w:lang w:val="fr-CH"/>
              </w:rPr>
              <w:t>CP</w:t>
            </w:r>
            <w:r w:rsidRPr="00F23905">
              <w:rPr>
                <w:lang w:val="fr-CH"/>
              </w:rPr>
              <w:t xml:space="preserve"> de se joindre à l'un de ses sous-groupes ou groupes de travail, d'y voter ou d'agir à titre de dirigeant devrait être clarifiée pour lever toute ambiguïté</w:t>
            </w:r>
            <w:r w:rsidR="00A36FF0" w:rsidRPr="004A7A85">
              <w:rPr>
                <w:lang w:val="fr-CH"/>
              </w:rPr>
              <w:t>.</w:t>
            </w:r>
            <w:r w:rsidR="00A346B4">
              <w:rPr>
                <w:lang w:val="fr-CH"/>
              </w:rPr>
              <w:t xml:space="preserve"> </w:t>
            </w:r>
          </w:p>
          <w:p w:rsidR="00A36FF0" w:rsidRPr="004A7A85" w:rsidRDefault="00A36FF0" w:rsidP="00584154">
            <w:pPr>
              <w:pStyle w:val="NoSpacing"/>
              <w:ind w:left="0" w:firstLine="0"/>
              <w:rPr>
                <w:lang w:val="fr-CH"/>
              </w:rPr>
            </w:pPr>
          </w:p>
          <w:p w:rsidR="00A36FF0" w:rsidRPr="004A7A85" w:rsidRDefault="000A2227" w:rsidP="00584154">
            <w:pPr>
              <w:pStyle w:val="NoSpacing"/>
              <w:ind w:left="0" w:firstLine="0"/>
              <w:rPr>
                <w:lang w:val="fr-CH"/>
              </w:rPr>
            </w:pPr>
            <w:r w:rsidRPr="000A2227">
              <w:rPr>
                <w:lang w:val="fr-CH"/>
              </w:rPr>
              <w:t>L'erreur de référencement de l</w:t>
            </w:r>
            <w:r>
              <w:rPr>
                <w:lang w:val="fr-CH"/>
              </w:rPr>
              <w:t>’article</w:t>
            </w:r>
            <w:r w:rsidRPr="000A2227">
              <w:rPr>
                <w:lang w:val="fr-CH"/>
              </w:rPr>
              <w:t xml:space="preserve"> 25.4 devrait être éliminée</w:t>
            </w:r>
            <w:r w:rsidR="00A36FF0" w:rsidRPr="004A7A85">
              <w:rPr>
                <w:lang w:val="fr-CH"/>
              </w:rPr>
              <w:t xml:space="preserve">. </w:t>
            </w:r>
          </w:p>
          <w:p w:rsidR="00A36FF0" w:rsidRPr="004A7A85" w:rsidRDefault="00A36FF0" w:rsidP="00584154">
            <w:pPr>
              <w:pStyle w:val="NoSpacing"/>
              <w:ind w:left="0" w:firstLine="0"/>
              <w:rPr>
                <w:lang w:val="fr-CH"/>
              </w:rPr>
            </w:pPr>
          </w:p>
          <w:p w:rsidR="00A36FF0" w:rsidRPr="004A7A85" w:rsidRDefault="000A2227" w:rsidP="00BC6243">
            <w:pPr>
              <w:pStyle w:val="NoSpacing"/>
              <w:ind w:left="0" w:firstLine="0"/>
              <w:rPr>
                <w:lang w:val="fr-CH"/>
              </w:rPr>
            </w:pPr>
            <w:r w:rsidRPr="000A2227">
              <w:rPr>
                <w:lang w:val="fr-CH"/>
              </w:rPr>
              <w:t>Pour éviter toute confusion, les groupes de travail informels devraient faire l'objet d'une disposition distincte précis</w:t>
            </w:r>
            <w:r>
              <w:rPr>
                <w:lang w:val="fr-CH"/>
              </w:rPr>
              <w:t>ant</w:t>
            </w:r>
            <w:r w:rsidRPr="000A2227">
              <w:rPr>
                <w:lang w:val="fr-CH"/>
              </w:rPr>
              <w:t xml:space="preserve"> qu'ils ne sont pas des organes subsidiaires</w:t>
            </w:r>
            <w:r w:rsidR="00A36FF0" w:rsidRPr="004A7A85">
              <w:rPr>
                <w:lang w:val="fr-CH"/>
              </w:rPr>
              <w:t xml:space="preserve">. </w:t>
            </w:r>
          </w:p>
          <w:p w:rsidR="00C30088" w:rsidRDefault="00C30088" w:rsidP="00C6467E">
            <w:pPr>
              <w:pStyle w:val="NoSpacing"/>
              <w:ind w:left="0" w:firstLine="0"/>
              <w:rPr>
                <w:lang w:val="fr-CH"/>
              </w:rPr>
            </w:pPr>
          </w:p>
          <w:p w:rsidR="00A36FF0" w:rsidRPr="004A7A85" w:rsidRDefault="000A2227" w:rsidP="00C6467E">
            <w:pPr>
              <w:pStyle w:val="NoSpacing"/>
              <w:ind w:left="0" w:firstLine="0"/>
              <w:rPr>
                <w:lang w:val="fr-CH"/>
              </w:rPr>
            </w:pPr>
            <w:r w:rsidRPr="000A2227">
              <w:rPr>
                <w:lang w:val="fr-CH"/>
              </w:rPr>
              <w:lastRenderedPageBreak/>
              <w:t>En outre, la définition d'</w:t>
            </w:r>
            <w:r>
              <w:rPr>
                <w:lang w:val="fr-CH"/>
              </w:rPr>
              <w:t> « </w:t>
            </w:r>
            <w:r w:rsidRPr="000A2227">
              <w:rPr>
                <w:lang w:val="fr-CH"/>
              </w:rPr>
              <w:t>organe subsidiaire</w:t>
            </w:r>
            <w:r>
              <w:rPr>
                <w:lang w:val="fr-CH"/>
              </w:rPr>
              <w:t> »</w:t>
            </w:r>
            <w:r w:rsidRPr="000A2227">
              <w:rPr>
                <w:lang w:val="fr-CH"/>
              </w:rPr>
              <w:t xml:space="preserve"> donnée à l'article 2.k) devrait être modifiée pour faire référence à </w:t>
            </w:r>
            <w:r>
              <w:rPr>
                <w:lang w:val="fr-CH"/>
              </w:rPr>
              <w:t>« </w:t>
            </w:r>
            <w:r w:rsidRPr="000A2227">
              <w:rPr>
                <w:lang w:val="fr-CH"/>
              </w:rPr>
              <w:t xml:space="preserve">tous les comités ou groupes de travail </w:t>
            </w:r>
            <w:r w:rsidRPr="000A2227">
              <w:rPr>
                <w:i/>
                <w:lang w:val="fr-CH"/>
              </w:rPr>
              <w:t>officiels</w:t>
            </w:r>
            <w:r>
              <w:rPr>
                <w:i/>
                <w:lang w:val="fr-CH"/>
              </w:rPr>
              <w:t> »</w:t>
            </w:r>
            <w:r w:rsidRPr="000A2227">
              <w:rPr>
                <w:lang w:val="fr-CH"/>
              </w:rPr>
              <w:t xml:space="preserve"> et exclure explicitement les groupes informels prévus à l'article 25.5.e)</w:t>
            </w:r>
            <w:r w:rsidR="00A36FF0" w:rsidRPr="004A7A85">
              <w:rPr>
                <w:lang w:val="fr-CH"/>
              </w:rPr>
              <w:t>.</w:t>
            </w:r>
          </w:p>
        </w:tc>
      </w:tr>
      <w:tr w:rsidR="00C30088" w:rsidRPr="005B5B77" w:rsidTr="0036762F">
        <w:tc>
          <w:tcPr>
            <w:tcW w:w="578" w:type="dxa"/>
          </w:tcPr>
          <w:p w:rsidR="00C30088" w:rsidRPr="008900CE" w:rsidRDefault="00C30088" w:rsidP="00C30088">
            <w:pPr>
              <w:ind w:left="0" w:firstLine="0"/>
            </w:pPr>
            <w:r w:rsidRPr="008900CE">
              <w:lastRenderedPageBreak/>
              <w:t>12</w:t>
            </w:r>
          </w:p>
        </w:tc>
        <w:tc>
          <w:tcPr>
            <w:tcW w:w="1685" w:type="dxa"/>
          </w:tcPr>
          <w:p w:rsidR="00C30088" w:rsidRPr="008900CE" w:rsidRDefault="00C30088" w:rsidP="00C30088">
            <w:pPr>
              <w:ind w:left="0" w:firstLine="0"/>
              <w:rPr>
                <w:lang w:val="fr-FR"/>
              </w:rPr>
            </w:pPr>
            <w:r w:rsidRPr="008900CE">
              <w:rPr>
                <w:lang w:val="fr-FR"/>
              </w:rPr>
              <w:t>Article 27 : Fonctions du Secrétariat</w:t>
            </w:r>
          </w:p>
        </w:tc>
        <w:tc>
          <w:tcPr>
            <w:tcW w:w="3402" w:type="dxa"/>
          </w:tcPr>
          <w:p w:rsidR="00C30088" w:rsidRPr="008900CE" w:rsidRDefault="00C30088" w:rsidP="00C30088">
            <w:pPr>
              <w:ind w:left="0" w:firstLine="0"/>
              <w:rPr>
                <w:lang w:val="fr-FR"/>
              </w:rPr>
            </w:pPr>
            <w:r w:rsidRPr="008900CE">
              <w:rPr>
                <w:lang w:val="fr-FR"/>
              </w:rPr>
              <w:t xml:space="preserve">L’article 27.f) demande au Secrétariat de rédiger un projet de rapport de la session qui est examiné par le Bureau de la Conférence avant d’être approuvé par la COP. Cela porte à croire que le Secrétariat ne doit préparer qu’un seul projet de rapport pour couvrir la totalité de la session de la COP (en relevant les commentaires faits précédemment sur la différence entre une « session » et une « séance »). </w:t>
            </w:r>
          </w:p>
          <w:p w:rsidR="00C30088" w:rsidRPr="008900CE" w:rsidRDefault="00C30088" w:rsidP="00C30088">
            <w:pPr>
              <w:ind w:left="0" w:firstLine="0"/>
              <w:rPr>
                <w:lang w:val="fr-FR"/>
              </w:rPr>
            </w:pPr>
          </w:p>
          <w:p w:rsidR="00C30088" w:rsidRPr="008900CE" w:rsidRDefault="00C30088" w:rsidP="00C30088">
            <w:pPr>
              <w:ind w:left="0" w:firstLine="0"/>
              <w:rPr>
                <w:lang w:val="fr-FR"/>
              </w:rPr>
            </w:pPr>
            <w:r w:rsidRPr="008900CE">
              <w:rPr>
                <w:lang w:val="fr-FR"/>
              </w:rPr>
              <w:t xml:space="preserve">Toutefois, l’article25.1.a) stipule que le Secrétariat prépare un projet de rapport chaque jour pour examen par le Bureau de la Conférence le lendemain. En outre, il n’est pas expressément requis que ces projets de rapports quotidiens soient ultérieurement approuvés par la COP. </w:t>
            </w:r>
          </w:p>
        </w:tc>
        <w:tc>
          <w:tcPr>
            <w:tcW w:w="3402" w:type="dxa"/>
          </w:tcPr>
          <w:p w:rsidR="00C30088" w:rsidRPr="008900CE" w:rsidRDefault="00C30088" w:rsidP="00C30088">
            <w:pPr>
              <w:ind w:left="0" w:firstLine="0"/>
              <w:rPr>
                <w:lang w:val="fr-FR"/>
              </w:rPr>
            </w:pPr>
            <w:r w:rsidRPr="008900CE">
              <w:rPr>
                <w:lang w:val="fr-FR"/>
              </w:rPr>
              <w:t>Il conviendrait d’apporter les modifications nécessaires pour assurer la cohérence entre ces articles.</w:t>
            </w:r>
          </w:p>
          <w:p w:rsidR="00C30088" w:rsidRPr="008900CE" w:rsidRDefault="00C30088" w:rsidP="00C30088">
            <w:pPr>
              <w:ind w:left="0" w:firstLine="0"/>
              <w:rPr>
                <w:lang w:val="fr-FR"/>
              </w:rPr>
            </w:pPr>
          </w:p>
          <w:p w:rsidR="00C30088" w:rsidRPr="008900CE" w:rsidRDefault="00C30088" w:rsidP="00C30088">
            <w:pPr>
              <w:ind w:left="0" w:firstLine="0"/>
              <w:rPr>
                <w:highlight w:val="yellow"/>
                <w:lang w:val="fr-FR"/>
              </w:rPr>
            </w:pPr>
            <w:r w:rsidRPr="008900CE">
              <w:rPr>
                <w:lang w:val="fr-FR"/>
              </w:rPr>
              <w:t xml:space="preserve">Au lieu de cela, on pourrait se demander s'il est nécessaire que le Bureau de la Conférence assume cette fonction. </w:t>
            </w:r>
          </w:p>
          <w:p w:rsidR="00C30088" w:rsidRPr="0068025C" w:rsidRDefault="00C30088" w:rsidP="00C30088">
            <w:pPr>
              <w:ind w:left="0" w:firstLine="0"/>
              <w:rPr>
                <w:highlight w:val="yellow"/>
                <w:lang w:val="fr-FR"/>
              </w:rPr>
            </w:pPr>
          </w:p>
        </w:tc>
      </w:tr>
      <w:tr w:rsidR="00C30088" w:rsidRPr="0068025C" w:rsidTr="0036762F">
        <w:tc>
          <w:tcPr>
            <w:tcW w:w="578" w:type="dxa"/>
          </w:tcPr>
          <w:p w:rsidR="00C30088" w:rsidRPr="008900CE" w:rsidRDefault="00C30088" w:rsidP="00C30088">
            <w:pPr>
              <w:ind w:left="0" w:firstLine="0"/>
            </w:pPr>
            <w:r w:rsidRPr="008900CE">
              <w:t>13</w:t>
            </w:r>
          </w:p>
        </w:tc>
        <w:tc>
          <w:tcPr>
            <w:tcW w:w="1685" w:type="dxa"/>
          </w:tcPr>
          <w:p w:rsidR="00C30088" w:rsidRPr="008900CE" w:rsidRDefault="00C30088" w:rsidP="00C30088">
            <w:pPr>
              <w:ind w:left="0" w:firstLine="0"/>
              <w:rPr>
                <w:lang w:val="fr-FR"/>
              </w:rPr>
            </w:pPr>
            <w:r w:rsidRPr="008900CE">
              <w:rPr>
                <w:lang w:val="fr-FR"/>
              </w:rPr>
              <w:t xml:space="preserve">Article 34 : Propositions et amendements aux propositions </w:t>
            </w:r>
          </w:p>
        </w:tc>
        <w:tc>
          <w:tcPr>
            <w:tcW w:w="3402" w:type="dxa"/>
          </w:tcPr>
          <w:p w:rsidR="00C30088" w:rsidRPr="008900CE" w:rsidRDefault="00C30088" w:rsidP="00C30088">
            <w:pPr>
              <w:ind w:left="0" w:firstLine="0"/>
              <w:rPr>
                <w:rFonts w:cs="Arial"/>
                <w:lang w:val="fr-FR"/>
              </w:rPr>
            </w:pPr>
            <w:r w:rsidRPr="008900CE">
              <w:rPr>
                <w:rFonts w:cs="Arial"/>
                <w:lang w:val="fr-FR"/>
              </w:rPr>
              <w:t xml:space="preserve">Il ressort de l’article 34.1 que les propositions à examiner par la COP doivent avoir été préalablement approuvées par le CP (cf. « …réunion….à laquelle les documents…sont approuvés… »). L’article stipule « conformément à l’article 5 ». Toutefois, l’article 5 </w:t>
            </w:r>
            <w:r w:rsidRPr="008900CE">
              <w:rPr>
                <w:rFonts w:cs="Arial"/>
                <w:lang w:val="fr-FR"/>
              </w:rPr>
              <w:lastRenderedPageBreak/>
              <w:t xml:space="preserve">fait référence à « la réunion du CP qui recommande les documents…». Rien n’indique clairement si le terme « recommande » est utilisé dans ce contexte comme synonyme de « approuve ». Cela devrait donc être clarifié. </w:t>
            </w:r>
          </w:p>
          <w:p w:rsidR="00C30088" w:rsidRPr="008900CE" w:rsidRDefault="00C30088" w:rsidP="00C30088">
            <w:pPr>
              <w:ind w:left="0" w:firstLine="0"/>
              <w:rPr>
                <w:lang w:val="fr-FR"/>
              </w:rPr>
            </w:pPr>
          </w:p>
          <w:p w:rsidR="00C30088" w:rsidRPr="008900CE" w:rsidRDefault="00C30088" w:rsidP="00C30088">
            <w:pPr>
              <w:ind w:left="0" w:firstLine="0"/>
              <w:rPr>
                <w:lang w:val="fr-FR"/>
              </w:rPr>
            </w:pPr>
            <w:r w:rsidRPr="008900CE">
              <w:rPr>
                <w:lang w:val="fr-FR"/>
              </w:rPr>
              <w:t xml:space="preserve">L’article 34.2 indique que les propositions peuvent être élaborées par le Secrétariat ou par un organe subsidiaire. </w:t>
            </w:r>
          </w:p>
          <w:p w:rsidR="00C30088" w:rsidRPr="008900CE" w:rsidRDefault="00C30088" w:rsidP="00C30088">
            <w:pPr>
              <w:ind w:left="0" w:firstLine="0"/>
              <w:rPr>
                <w:lang w:val="fr-FR"/>
              </w:rPr>
            </w:pPr>
          </w:p>
          <w:p w:rsidR="00C30088" w:rsidRPr="008900CE" w:rsidRDefault="00C30088" w:rsidP="00C30088">
            <w:pPr>
              <w:ind w:left="0" w:firstLine="0"/>
              <w:rPr>
                <w:lang w:val="fr-FR"/>
              </w:rPr>
            </w:pPr>
            <w:r w:rsidRPr="008900CE">
              <w:rPr>
                <w:lang w:val="fr-FR"/>
              </w:rPr>
              <w:t xml:space="preserve">On notera qu’il est de pratique courante que le Secrétariat élabore des propositions à la demande d’une Partie contractante ou d’un organe subsidiaire, et la transmette ensuite au CP, à la COP ou aux Parties contractantes. On notera aussi que présenter des propositions à ces entités constitue un acte administratif et n’équivaut pas à « soumettre » une proposition (où le terme « soumettre » est utilisé comme synonyme de « être l’auteur »). Cependant, cette procédure a déjà prêté à confusion. </w:t>
            </w:r>
          </w:p>
          <w:p w:rsidR="00C30088" w:rsidRPr="008900CE" w:rsidRDefault="00C30088" w:rsidP="00C30088">
            <w:pPr>
              <w:ind w:left="0" w:firstLine="0"/>
              <w:rPr>
                <w:lang w:val="fr-FR"/>
              </w:rPr>
            </w:pPr>
          </w:p>
          <w:p w:rsidR="00C30088" w:rsidRPr="008900CE" w:rsidRDefault="00C30088" w:rsidP="00C30088">
            <w:pPr>
              <w:ind w:left="0" w:firstLine="0"/>
              <w:rPr>
                <w:lang w:val="fr-FR"/>
              </w:rPr>
            </w:pPr>
            <w:r w:rsidRPr="008900CE">
              <w:rPr>
                <w:lang w:val="fr-FR"/>
              </w:rPr>
              <w:t xml:space="preserve">Les articles 34.4 et 34.6 traitent tous deux des nouvelles propositions. La raison pour laquelle les obligations sont réparties sur deux alinéas n’est pas claire. </w:t>
            </w:r>
          </w:p>
        </w:tc>
        <w:tc>
          <w:tcPr>
            <w:tcW w:w="3402" w:type="dxa"/>
          </w:tcPr>
          <w:p w:rsidR="00C30088" w:rsidRPr="00C30088" w:rsidRDefault="00C30088" w:rsidP="00C30088">
            <w:pPr>
              <w:ind w:left="0" w:firstLine="0"/>
              <w:rPr>
                <w:rFonts w:cs="Arial"/>
                <w:spacing w:val="-2"/>
                <w:lang w:val="fr-FR"/>
              </w:rPr>
            </w:pPr>
            <w:r w:rsidRPr="00C30088">
              <w:rPr>
                <w:rFonts w:cs="Arial"/>
                <w:spacing w:val="-2"/>
                <w:lang w:val="fr-FR"/>
              </w:rPr>
              <w:lastRenderedPageBreak/>
              <w:t xml:space="preserve">Article 34.1 : Si les propositions doivent être approuvées par le CP avant d’être soumises à la COP, le libellé de ces articles devrait l’indiquer explicitement. Il conviendrait toutefois de réfléchir à l’utilité d’exiger que les propositions soient « approuvées » au préalable </w:t>
            </w:r>
            <w:r w:rsidRPr="00C30088">
              <w:rPr>
                <w:rFonts w:cs="Arial"/>
                <w:spacing w:val="-2"/>
                <w:lang w:val="fr-FR"/>
              </w:rPr>
              <w:lastRenderedPageBreak/>
              <w:t>par le CP avant de pouvoir être examinées par la COP, notamment dans la mesure où, avant d’être examinées par le CP, elles pourraient aussi l’être par le GEST et à chacune des cinq réunions régionales. Ces couches procédurales ne sont pas compatibles avec d’autres conventions qui n’examinent les propositions qu’une seule fois, lors de la COP. (On notera que si le CP ne doit pas être impliqué, un amendement devra être apporté pour supprimer la référence au CP).</w:t>
            </w:r>
          </w:p>
          <w:p w:rsidR="00C30088" w:rsidRPr="008900CE" w:rsidRDefault="00C30088" w:rsidP="00C30088">
            <w:pPr>
              <w:ind w:left="0" w:firstLine="0"/>
              <w:rPr>
                <w:rFonts w:cs="Arial"/>
                <w:lang w:val="fr-FR"/>
              </w:rPr>
            </w:pPr>
          </w:p>
          <w:p w:rsidR="00C30088" w:rsidRPr="008900CE" w:rsidRDefault="00C30088" w:rsidP="00C30088">
            <w:pPr>
              <w:ind w:left="0" w:firstLine="0"/>
              <w:rPr>
                <w:rFonts w:cs="Arial"/>
                <w:lang w:val="fr-FR"/>
              </w:rPr>
            </w:pPr>
            <w:r w:rsidRPr="008900CE">
              <w:rPr>
                <w:rFonts w:cs="Arial"/>
                <w:lang w:val="fr-FR"/>
              </w:rPr>
              <w:t>Concernant l’article 34.2 et les propositions en général : voir la recommandation qui figure dans la 3</w:t>
            </w:r>
            <w:r w:rsidRPr="008900CE">
              <w:rPr>
                <w:rFonts w:cs="Arial"/>
                <w:vertAlign w:val="superscript"/>
                <w:lang w:val="fr-FR"/>
              </w:rPr>
              <w:t>e</w:t>
            </w:r>
            <w:r w:rsidRPr="008900CE">
              <w:rPr>
                <w:rFonts w:cs="Arial"/>
                <w:lang w:val="fr-FR"/>
              </w:rPr>
              <w:t xml:space="preserve"> colonne du tableau, concernant l’élaboration et la soumission des propositions. </w:t>
            </w:r>
          </w:p>
          <w:p w:rsidR="00C30088" w:rsidRPr="008900CE" w:rsidRDefault="00C30088" w:rsidP="00C30088">
            <w:pPr>
              <w:ind w:left="0" w:firstLine="0"/>
              <w:rPr>
                <w:rFonts w:cs="Arial"/>
                <w:lang w:val="fr-FR"/>
              </w:rPr>
            </w:pPr>
          </w:p>
          <w:p w:rsidR="00C30088" w:rsidRPr="008900CE" w:rsidRDefault="00C30088" w:rsidP="00C30088">
            <w:pPr>
              <w:ind w:left="0" w:firstLine="0"/>
              <w:rPr>
                <w:rFonts w:cs="Arial"/>
                <w:lang w:val="fr-FR"/>
              </w:rPr>
            </w:pPr>
            <w:r w:rsidRPr="008900CE">
              <w:rPr>
                <w:lang w:val="fr-FR"/>
              </w:rPr>
              <w:t xml:space="preserve">Voir également la recommandation relative à la définition de 'proposition' à l’article 2.g), ainsi que la recommandation d’inclure une définition de « auteur ». </w:t>
            </w:r>
          </w:p>
          <w:p w:rsidR="00C30088" w:rsidRPr="008900CE" w:rsidRDefault="00C30088" w:rsidP="00C30088">
            <w:pPr>
              <w:ind w:left="0" w:firstLine="0"/>
              <w:rPr>
                <w:rFonts w:cs="Arial"/>
                <w:lang w:val="fr-FR"/>
              </w:rPr>
            </w:pPr>
          </w:p>
          <w:p w:rsidR="00C30088" w:rsidRPr="008900CE" w:rsidRDefault="00C30088" w:rsidP="00C30088">
            <w:pPr>
              <w:ind w:left="0" w:firstLine="0"/>
              <w:rPr>
                <w:rFonts w:cs="Arial"/>
                <w:lang w:val="fr-FR"/>
              </w:rPr>
            </w:pPr>
            <w:r w:rsidRPr="008900CE">
              <w:rPr>
                <w:rFonts w:cs="Arial"/>
                <w:lang w:val="fr-FR"/>
              </w:rPr>
              <w:t xml:space="preserve">Les articles 34.4 et 34.6 devraient être regroupés afin que les obligations relatives aux nouvelles propositions soient clairement établies en un seul alinéa. </w:t>
            </w:r>
          </w:p>
          <w:p w:rsidR="00C30088" w:rsidRPr="008900CE" w:rsidRDefault="00C30088" w:rsidP="00C30088">
            <w:pPr>
              <w:ind w:left="0" w:firstLine="0"/>
              <w:rPr>
                <w:rFonts w:cs="Arial"/>
                <w:lang w:val="fr-FR"/>
              </w:rPr>
            </w:pPr>
          </w:p>
          <w:p w:rsidR="00C30088" w:rsidRPr="00C30088" w:rsidRDefault="00C30088" w:rsidP="00C30088">
            <w:pPr>
              <w:ind w:left="0" w:firstLine="0"/>
              <w:rPr>
                <w:rFonts w:cs="Arial"/>
                <w:lang w:val="fr-FR"/>
              </w:rPr>
            </w:pPr>
            <w:r w:rsidRPr="008900CE">
              <w:rPr>
                <w:rFonts w:cs="Arial"/>
                <w:lang w:val="fr-FR"/>
              </w:rPr>
              <w:t xml:space="preserve">On notera la définition de « amendement à une proposition », qui figure à l’article 42 (qui correspond à un paragraphe sous le titre « Vote »). Cette définition devrait figurer à l’article 2. </w:t>
            </w:r>
          </w:p>
        </w:tc>
      </w:tr>
      <w:tr w:rsidR="00C30088" w:rsidRPr="005B5B77" w:rsidTr="0036762F">
        <w:tc>
          <w:tcPr>
            <w:tcW w:w="578" w:type="dxa"/>
          </w:tcPr>
          <w:p w:rsidR="00C30088" w:rsidRPr="008900CE" w:rsidRDefault="00C30088" w:rsidP="00C30088">
            <w:pPr>
              <w:ind w:left="0" w:firstLine="0"/>
            </w:pPr>
            <w:r w:rsidRPr="008900CE">
              <w:lastRenderedPageBreak/>
              <w:t>14</w:t>
            </w:r>
          </w:p>
        </w:tc>
        <w:tc>
          <w:tcPr>
            <w:tcW w:w="1685" w:type="dxa"/>
          </w:tcPr>
          <w:p w:rsidR="00C30088" w:rsidRPr="008900CE" w:rsidRDefault="00C30088" w:rsidP="00C30088">
            <w:pPr>
              <w:ind w:left="0" w:firstLine="0"/>
              <w:rPr>
                <w:lang w:val="fr-FR"/>
              </w:rPr>
            </w:pPr>
            <w:r w:rsidRPr="008900CE">
              <w:rPr>
                <w:lang w:val="fr-FR"/>
              </w:rPr>
              <w:t>Article 48 : Langues officielles</w:t>
            </w:r>
          </w:p>
        </w:tc>
        <w:tc>
          <w:tcPr>
            <w:tcW w:w="3402" w:type="dxa"/>
          </w:tcPr>
          <w:p w:rsidR="00C30088" w:rsidRPr="008900CE" w:rsidRDefault="00C30088" w:rsidP="00C30088">
            <w:pPr>
              <w:ind w:left="0" w:firstLine="0"/>
              <w:rPr>
                <w:rFonts w:cs="Arial"/>
                <w:lang w:val="fr-FR"/>
              </w:rPr>
            </w:pPr>
            <w:r w:rsidRPr="008900CE">
              <w:rPr>
                <w:rFonts w:cs="Arial"/>
                <w:lang w:val="fr-FR"/>
              </w:rPr>
              <w:t xml:space="preserve">Cet article spécifie les langues « officielles » et « de travail » de la Convention. Il est difficile de savoir ce qu’est une « langue de travail ». </w:t>
            </w:r>
          </w:p>
        </w:tc>
        <w:tc>
          <w:tcPr>
            <w:tcW w:w="3402" w:type="dxa"/>
          </w:tcPr>
          <w:p w:rsidR="00C30088" w:rsidRPr="008900CE" w:rsidRDefault="00C30088" w:rsidP="00C30088">
            <w:pPr>
              <w:ind w:left="0" w:firstLine="0"/>
              <w:rPr>
                <w:rFonts w:cs="Arial"/>
                <w:lang w:val="fr-FR"/>
              </w:rPr>
            </w:pPr>
            <w:r w:rsidRPr="008900CE">
              <w:rPr>
                <w:rFonts w:cs="Arial"/>
                <w:lang w:val="fr-FR"/>
              </w:rPr>
              <w:t xml:space="preserve">Cela devrait être précisé. Il n’est pas peut-être nécessaire d’inclure le terme « langue de travail », étant donné qu’il ne figure dans aucun autre article. </w:t>
            </w:r>
          </w:p>
        </w:tc>
      </w:tr>
      <w:tr w:rsidR="00C30088" w:rsidRPr="005B5B77" w:rsidTr="0036762F">
        <w:tc>
          <w:tcPr>
            <w:tcW w:w="578" w:type="dxa"/>
          </w:tcPr>
          <w:p w:rsidR="00C30088" w:rsidRPr="008900CE" w:rsidRDefault="00C30088" w:rsidP="00C30088">
            <w:pPr>
              <w:ind w:left="0" w:firstLine="0"/>
            </w:pPr>
            <w:r w:rsidRPr="008900CE">
              <w:lastRenderedPageBreak/>
              <w:t>15</w:t>
            </w:r>
          </w:p>
        </w:tc>
        <w:tc>
          <w:tcPr>
            <w:tcW w:w="1685" w:type="dxa"/>
          </w:tcPr>
          <w:p w:rsidR="00C30088" w:rsidRPr="008900CE" w:rsidRDefault="00C30088" w:rsidP="00C30088">
            <w:pPr>
              <w:ind w:left="0" w:firstLine="0"/>
              <w:rPr>
                <w:lang w:val="fr-FR"/>
              </w:rPr>
            </w:pPr>
            <w:r w:rsidRPr="008900CE">
              <w:rPr>
                <w:lang w:val="fr-FR"/>
              </w:rPr>
              <w:t>49 : Interprétation</w:t>
            </w:r>
          </w:p>
        </w:tc>
        <w:tc>
          <w:tcPr>
            <w:tcW w:w="3402" w:type="dxa"/>
          </w:tcPr>
          <w:p w:rsidR="00C30088" w:rsidRPr="008900CE" w:rsidRDefault="00C30088" w:rsidP="00C30088">
            <w:pPr>
              <w:ind w:left="0" w:firstLine="0"/>
              <w:rPr>
                <w:rFonts w:cs="Arial"/>
                <w:lang w:val="fr-FR"/>
              </w:rPr>
            </w:pPr>
            <w:r w:rsidRPr="008900CE">
              <w:rPr>
                <w:rFonts w:cs="Arial"/>
                <w:lang w:val="fr-FR"/>
              </w:rPr>
              <w:t xml:space="preserve">Selon cet article, une Partie contractante est autorisée à s’exprimer dans une langue qui n’est pas une langue officielle à condition de fournir une interprétation dans une langue officielle. Il ne ressort toutefois pas clairement si elle doit mettre à disposition un interprète officiel accrédité, et si un tel arrangement doit être convenu au préalable avec le Secrétariat. </w:t>
            </w:r>
          </w:p>
        </w:tc>
        <w:tc>
          <w:tcPr>
            <w:tcW w:w="3402" w:type="dxa"/>
          </w:tcPr>
          <w:p w:rsidR="00C30088" w:rsidRPr="008900CE" w:rsidRDefault="00C30088" w:rsidP="00C30088">
            <w:pPr>
              <w:ind w:left="0" w:firstLine="0"/>
              <w:rPr>
                <w:rFonts w:cs="Arial"/>
                <w:lang w:val="fr-FR"/>
              </w:rPr>
            </w:pPr>
            <w:r w:rsidRPr="008900CE">
              <w:rPr>
                <w:rFonts w:cs="Arial"/>
                <w:lang w:val="fr-FR"/>
              </w:rPr>
              <w:t>Au cas où une Partie souhaiterait fournir ses propres interprètes pour une langue non officielle, des dispositions doivent être prises à l’avance avec le Secrétariat. Il est inutile de mentionner une accréditation dans cet article s’il précise clairement que la Partie concernée est responsable de ce que dit l’interprète.</w:t>
            </w:r>
          </w:p>
        </w:tc>
      </w:tr>
      <w:tr w:rsidR="00C30088" w:rsidRPr="005B5B77" w:rsidTr="0036762F">
        <w:tc>
          <w:tcPr>
            <w:tcW w:w="578" w:type="dxa"/>
          </w:tcPr>
          <w:p w:rsidR="00C30088" w:rsidRPr="008900CE" w:rsidRDefault="00C30088" w:rsidP="00C30088">
            <w:pPr>
              <w:ind w:left="0" w:firstLine="0"/>
            </w:pPr>
            <w:r w:rsidRPr="008900CE">
              <w:t>16</w:t>
            </w:r>
          </w:p>
        </w:tc>
        <w:tc>
          <w:tcPr>
            <w:tcW w:w="1685" w:type="dxa"/>
          </w:tcPr>
          <w:p w:rsidR="00C30088" w:rsidRPr="008900CE" w:rsidRDefault="00C30088" w:rsidP="00C30088">
            <w:pPr>
              <w:ind w:left="0" w:firstLine="0"/>
              <w:rPr>
                <w:lang w:val="fr-FR"/>
              </w:rPr>
            </w:pPr>
            <w:r w:rsidRPr="008900CE">
              <w:rPr>
                <w:lang w:val="fr-FR"/>
              </w:rPr>
              <w:t>50 : Langues et documents officiels</w:t>
            </w:r>
          </w:p>
        </w:tc>
        <w:tc>
          <w:tcPr>
            <w:tcW w:w="3402" w:type="dxa"/>
          </w:tcPr>
          <w:p w:rsidR="00C30088" w:rsidRPr="008900CE" w:rsidRDefault="00C30088" w:rsidP="00C30088">
            <w:pPr>
              <w:ind w:left="0" w:firstLine="0"/>
              <w:rPr>
                <w:rFonts w:cs="Arial"/>
                <w:lang w:val="fr-FR"/>
              </w:rPr>
            </w:pPr>
            <w:r w:rsidRPr="008900CE">
              <w:rPr>
                <w:rFonts w:cs="Arial"/>
                <w:lang w:val="fr-FR"/>
              </w:rPr>
              <w:t xml:space="preserve">Les articles 50.1 et 50.4 traitent du concept de « document officiel », tandis que l’article 50.5 concerne les « documents qui n’ont pas été acceptés comme documents officiels ». Ces articles donnent toutefois très peu d’indications sur la distinction entre les deux. </w:t>
            </w:r>
          </w:p>
        </w:tc>
        <w:tc>
          <w:tcPr>
            <w:tcW w:w="3402" w:type="dxa"/>
          </w:tcPr>
          <w:p w:rsidR="00C30088" w:rsidRPr="008900CE" w:rsidRDefault="00C30088" w:rsidP="00C30088">
            <w:pPr>
              <w:ind w:left="0" w:firstLine="0"/>
              <w:rPr>
                <w:rFonts w:cs="Arial"/>
                <w:lang w:val="fr-FR"/>
              </w:rPr>
            </w:pPr>
            <w:r w:rsidRPr="008900CE">
              <w:rPr>
                <w:rFonts w:cs="Arial"/>
                <w:lang w:val="fr-FR"/>
              </w:rPr>
              <w:t xml:space="preserve">Envisager des modifications de ces articles afin de préciser davantage la définition de « document officiel « et inversement, de « document non officiel », ainsi que les circonstances dans lesquelles un document non officiel peut être distribué à une réunion. </w:t>
            </w:r>
          </w:p>
          <w:p w:rsidR="00C30088" w:rsidRPr="008900CE" w:rsidRDefault="00C30088" w:rsidP="00C30088">
            <w:pPr>
              <w:ind w:left="0" w:firstLine="0"/>
              <w:rPr>
                <w:rFonts w:cs="Arial"/>
                <w:lang w:val="fr-FR"/>
              </w:rPr>
            </w:pPr>
          </w:p>
          <w:p w:rsidR="00C30088" w:rsidRPr="008900CE" w:rsidRDefault="00C30088" w:rsidP="00C30088">
            <w:pPr>
              <w:ind w:left="0" w:firstLine="0"/>
              <w:rPr>
                <w:rFonts w:cs="Arial"/>
                <w:lang w:val="fr-FR"/>
              </w:rPr>
            </w:pPr>
            <w:r w:rsidRPr="008900CE">
              <w:rPr>
                <w:rFonts w:cs="Arial"/>
                <w:lang w:val="fr-FR"/>
              </w:rPr>
              <w:t xml:space="preserve">Ces précisions devraient figurer dans un article distinct (et non pas faire partie d’un article sur les langues). </w:t>
            </w:r>
          </w:p>
        </w:tc>
      </w:tr>
    </w:tbl>
    <w:p w:rsidR="008900CE" w:rsidRPr="0068025C" w:rsidRDefault="008900CE" w:rsidP="008900CE">
      <w:pPr>
        <w:rPr>
          <w:lang w:val="fr-FR"/>
        </w:rPr>
      </w:pPr>
    </w:p>
    <w:p w:rsidR="008900CE" w:rsidRDefault="008900CE" w:rsidP="008900CE">
      <w:pPr>
        <w:ind w:left="0" w:firstLine="0"/>
        <w:rPr>
          <w:lang w:val="fr-FR"/>
        </w:rPr>
      </w:pPr>
    </w:p>
    <w:p w:rsidR="007954C9" w:rsidRPr="0068025C" w:rsidRDefault="007954C9" w:rsidP="008900CE">
      <w:pPr>
        <w:ind w:left="0" w:firstLine="0"/>
        <w:rPr>
          <w:lang w:val="fr-FR"/>
        </w:rPr>
      </w:pPr>
    </w:p>
    <w:p w:rsidR="008900CE" w:rsidRPr="008900CE" w:rsidRDefault="008900CE" w:rsidP="00C30088">
      <w:pPr>
        <w:pStyle w:val="NoSpacing"/>
        <w:keepNext/>
        <w:ind w:left="0" w:firstLine="0"/>
        <w:rPr>
          <w:b/>
          <w:lang w:val="fr-FR"/>
        </w:rPr>
      </w:pPr>
      <w:r w:rsidRPr="008900CE">
        <w:rPr>
          <w:b/>
          <w:lang w:val="fr-FR"/>
        </w:rPr>
        <w:t>Partie 3 : Applicabilité des articles aux organes subsidiaires, y compris le CP, aux groupes de travail et aux groupes d’Amis du Président (et des amendements pertinents)</w:t>
      </w:r>
      <w:r w:rsidRPr="00C30088">
        <w:rPr>
          <w:b/>
          <w:lang w:val="fr-FR"/>
        </w:rPr>
        <w:footnoteReference w:id="9"/>
      </w:r>
    </w:p>
    <w:p w:rsidR="008900CE" w:rsidRPr="008900CE" w:rsidRDefault="008900CE" w:rsidP="008900CE">
      <w:pPr>
        <w:ind w:left="0" w:firstLine="0"/>
        <w:rPr>
          <w:lang w:val="fr-FR"/>
        </w:rPr>
      </w:pPr>
    </w:p>
    <w:p w:rsidR="008900CE" w:rsidRPr="008900CE" w:rsidRDefault="008900CE" w:rsidP="008900CE">
      <w:pPr>
        <w:ind w:left="0" w:firstLine="0"/>
        <w:jc w:val="center"/>
        <w:rPr>
          <w:b/>
          <w:i/>
          <w:u w:val="single"/>
        </w:rPr>
      </w:pPr>
      <w:r w:rsidRPr="008900CE">
        <w:rPr>
          <w:b/>
          <w:i/>
          <w:u w:val="single"/>
        </w:rPr>
        <w:t>Tableau 2</w:t>
      </w:r>
    </w:p>
    <w:p w:rsidR="008900CE" w:rsidRPr="008900CE" w:rsidRDefault="008900CE" w:rsidP="008900CE"/>
    <w:tbl>
      <w:tblPr>
        <w:tblStyle w:val="Grilledutableau1"/>
        <w:tblW w:w="9067" w:type="dxa"/>
        <w:tblCellMar>
          <w:top w:w="85" w:type="dxa"/>
          <w:bottom w:w="85" w:type="dxa"/>
        </w:tblCellMar>
        <w:tblLook w:val="04A0" w:firstRow="1" w:lastRow="0" w:firstColumn="1" w:lastColumn="0" w:noHBand="0" w:noVBand="1"/>
      </w:tblPr>
      <w:tblGrid>
        <w:gridCol w:w="580"/>
        <w:gridCol w:w="1683"/>
        <w:gridCol w:w="3402"/>
        <w:gridCol w:w="3402"/>
      </w:tblGrid>
      <w:tr w:rsidR="008900CE" w:rsidRPr="008900CE" w:rsidTr="007954C9">
        <w:trPr>
          <w:tblHeader/>
        </w:trPr>
        <w:tc>
          <w:tcPr>
            <w:tcW w:w="580" w:type="dxa"/>
            <w:shd w:val="clear" w:color="auto" w:fill="F2F2F2" w:themeFill="background1" w:themeFillShade="F2"/>
          </w:tcPr>
          <w:p w:rsidR="008900CE" w:rsidRPr="008900CE" w:rsidRDefault="008900CE" w:rsidP="008900CE">
            <w:pPr>
              <w:ind w:left="0" w:firstLine="0"/>
              <w:rPr>
                <w:b/>
              </w:rPr>
            </w:pPr>
          </w:p>
        </w:tc>
        <w:tc>
          <w:tcPr>
            <w:tcW w:w="1683" w:type="dxa"/>
            <w:shd w:val="clear" w:color="auto" w:fill="F2F2F2" w:themeFill="background1" w:themeFillShade="F2"/>
          </w:tcPr>
          <w:p w:rsidR="008900CE" w:rsidRPr="008900CE" w:rsidRDefault="008900CE" w:rsidP="008900CE">
            <w:pPr>
              <w:ind w:left="0" w:firstLine="0"/>
              <w:rPr>
                <w:b/>
                <w:lang w:val="fr-FR"/>
              </w:rPr>
            </w:pPr>
            <w:r w:rsidRPr="008900CE">
              <w:rPr>
                <w:b/>
                <w:lang w:val="fr-FR"/>
              </w:rPr>
              <w:t xml:space="preserve">Article </w:t>
            </w:r>
          </w:p>
        </w:tc>
        <w:tc>
          <w:tcPr>
            <w:tcW w:w="3402" w:type="dxa"/>
            <w:shd w:val="clear" w:color="auto" w:fill="F2F2F2" w:themeFill="background1" w:themeFillShade="F2"/>
          </w:tcPr>
          <w:p w:rsidR="008900CE" w:rsidRPr="008900CE" w:rsidRDefault="008900CE" w:rsidP="00C30088">
            <w:pPr>
              <w:ind w:left="47" w:firstLine="1"/>
              <w:rPr>
                <w:b/>
                <w:lang w:val="fr-FR"/>
              </w:rPr>
            </w:pPr>
            <w:r w:rsidRPr="008900CE">
              <w:rPr>
                <w:b/>
                <w:lang w:val="fr-FR"/>
              </w:rPr>
              <w:t xml:space="preserve">Application au CP, aux groupes de travail et aux groupes d’Amis du Président </w:t>
            </w:r>
          </w:p>
        </w:tc>
        <w:tc>
          <w:tcPr>
            <w:tcW w:w="3402" w:type="dxa"/>
            <w:shd w:val="clear" w:color="auto" w:fill="F2F2F2" w:themeFill="background1" w:themeFillShade="F2"/>
          </w:tcPr>
          <w:p w:rsidR="008900CE" w:rsidRPr="008900CE" w:rsidRDefault="008900CE" w:rsidP="008900CE">
            <w:pPr>
              <w:ind w:left="0" w:firstLine="0"/>
              <w:rPr>
                <w:b/>
                <w:lang w:val="fr-FR"/>
              </w:rPr>
            </w:pPr>
            <w:r w:rsidRPr="008900CE">
              <w:rPr>
                <w:b/>
                <w:lang w:val="fr-FR"/>
              </w:rPr>
              <w:t xml:space="preserve">Recommandation relative aux amendements </w:t>
            </w:r>
          </w:p>
        </w:tc>
      </w:tr>
      <w:tr w:rsidR="008900CE" w:rsidRPr="005B5B77" w:rsidTr="007954C9">
        <w:tc>
          <w:tcPr>
            <w:tcW w:w="580" w:type="dxa"/>
          </w:tcPr>
          <w:p w:rsidR="008900CE" w:rsidRPr="008900CE" w:rsidRDefault="008900CE" w:rsidP="008900CE">
            <w:pPr>
              <w:ind w:left="0" w:firstLine="0"/>
            </w:pPr>
            <w:r w:rsidRPr="008900CE">
              <w:t>1</w:t>
            </w:r>
          </w:p>
        </w:tc>
        <w:tc>
          <w:tcPr>
            <w:tcW w:w="1683" w:type="dxa"/>
          </w:tcPr>
          <w:p w:rsidR="008900CE" w:rsidRPr="008900CE" w:rsidRDefault="008900CE" w:rsidP="008900CE">
            <w:pPr>
              <w:ind w:left="0" w:firstLine="0"/>
              <w:rPr>
                <w:lang w:val="fr-FR"/>
              </w:rPr>
            </w:pPr>
            <w:r w:rsidRPr="008900CE">
              <w:rPr>
                <w:lang w:val="fr-FR"/>
              </w:rPr>
              <w:t xml:space="preserve">Article 3 : Lieu de réunion </w:t>
            </w:r>
          </w:p>
        </w:tc>
        <w:tc>
          <w:tcPr>
            <w:tcW w:w="3402" w:type="dxa"/>
          </w:tcPr>
          <w:p w:rsidR="008900CE" w:rsidRPr="008900CE" w:rsidRDefault="008900CE" w:rsidP="008900CE">
            <w:pPr>
              <w:ind w:left="0" w:firstLine="0"/>
              <w:rPr>
                <w:lang w:val="fr-FR"/>
              </w:rPr>
            </w:pPr>
            <w:r w:rsidRPr="008900CE">
              <w:rPr>
                <w:lang w:val="fr-FR"/>
              </w:rPr>
              <w:t>Sachant que les réunions du CP se tiennent traditionnellement à Gland,</w:t>
            </w:r>
            <w:r w:rsidRPr="008900CE">
              <w:rPr>
                <w:vertAlign w:val="superscript"/>
                <w:lang w:val="fr-FR"/>
              </w:rPr>
              <w:footnoteReference w:id="10"/>
            </w:r>
            <w:r w:rsidRPr="008900CE">
              <w:rPr>
                <w:lang w:val="fr-FR"/>
              </w:rPr>
              <w:t xml:space="preserve"> cet article n’est pas </w:t>
            </w:r>
            <w:r w:rsidRPr="008900CE">
              <w:rPr>
                <w:lang w:val="fr-FR"/>
              </w:rPr>
              <w:lastRenderedPageBreak/>
              <w:t xml:space="preserve">compatible avec la pratique actuelle de Ramsar et, dans ce sens, ne s’applique pas. De même, dans la pratique, les réunions du GEST et d’autres organes subsidiaires ne sont pas soumises à cette disposition. </w:t>
            </w:r>
          </w:p>
        </w:tc>
        <w:tc>
          <w:tcPr>
            <w:tcW w:w="3402" w:type="dxa"/>
          </w:tcPr>
          <w:p w:rsidR="008900CE" w:rsidRPr="008900CE" w:rsidRDefault="008900CE" w:rsidP="008900CE">
            <w:pPr>
              <w:ind w:left="0" w:firstLine="0"/>
              <w:rPr>
                <w:lang w:val="fr-FR"/>
              </w:rPr>
            </w:pPr>
            <w:r w:rsidRPr="008900CE">
              <w:rPr>
                <w:lang w:val="fr-FR"/>
              </w:rPr>
              <w:lastRenderedPageBreak/>
              <w:t>On pourrait établir un règlement intérieur séparé pour le CP</w:t>
            </w:r>
            <w:r w:rsidRPr="008900CE">
              <w:rPr>
                <w:vertAlign w:val="superscript"/>
                <w:lang w:val="fr-FR"/>
              </w:rPr>
              <w:footnoteReference w:id="11"/>
            </w:r>
            <w:r w:rsidRPr="008900CE">
              <w:rPr>
                <w:lang w:val="fr-FR"/>
              </w:rPr>
              <w:t xml:space="preserve"> et, éventuellement le GEST, qui </w:t>
            </w:r>
            <w:r w:rsidRPr="008900CE">
              <w:rPr>
                <w:lang w:val="fr-FR"/>
              </w:rPr>
              <w:lastRenderedPageBreak/>
              <w:t>inclurait toute règle de procédure établie dans la Résolution XIII.4.</w:t>
            </w:r>
            <w:r w:rsidRPr="008900CE">
              <w:rPr>
                <w:vertAlign w:val="superscript"/>
                <w:lang w:val="fr-FR"/>
              </w:rPr>
              <w:footnoteReference w:id="12"/>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Ces dispositions pourraient, par exemple, inclure dans une annexe qui serait mise à jour après chaque session de la COP, toute exigence de procédure pertinente établie dans les résolutions de la COP concernant le GEST et d’autres organes subsidiaires officiels.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Les dispositions pourraient s’appliquer </w:t>
            </w:r>
            <w:r w:rsidRPr="008900CE">
              <w:rPr>
                <w:i/>
                <w:lang w:val="fr-FR"/>
              </w:rPr>
              <w:t>mutatis mutandis</w:t>
            </w:r>
            <w:r w:rsidRPr="008900CE">
              <w:rPr>
                <w:i/>
                <w:vertAlign w:val="superscript"/>
                <w:lang w:val="fr-FR"/>
              </w:rPr>
              <w:footnoteReference w:id="13"/>
            </w:r>
            <w:r w:rsidRPr="008900CE">
              <w:rPr>
                <w:i/>
                <w:lang w:val="fr-FR"/>
              </w:rPr>
              <w:t xml:space="preserve"> </w:t>
            </w:r>
            <w:r w:rsidRPr="008900CE">
              <w:rPr>
                <w:lang w:val="fr-FR"/>
              </w:rPr>
              <w:t xml:space="preserve">à d’autres organes subsidiaires, en fonction des exigences figurant dans l’annexe susmentionnée. La rédaction devrait être très claire et sans aucune ambigüité, afin d’éviter toute confusion relative à l’application </w:t>
            </w:r>
            <w:r w:rsidRPr="008900CE">
              <w:rPr>
                <w:i/>
                <w:lang w:val="fr-FR"/>
              </w:rPr>
              <w:t xml:space="preserve">mutatis mutandis </w:t>
            </w:r>
            <w:r w:rsidRPr="008900CE">
              <w:rPr>
                <w:lang w:val="fr-FR"/>
              </w:rPr>
              <w:t>des dispositions</w:t>
            </w:r>
            <w:r w:rsidRPr="008900CE">
              <w:rPr>
                <w:i/>
                <w:lang w:val="fr-FR"/>
              </w:rPr>
              <w:t xml:space="preserve"> </w:t>
            </w:r>
            <w:r w:rsidRPr="008900CE">
              <w:rPr>
                <w:lang w:val="fr-FR"/>
              </w:rPr>
              <w:t xml:space="preserve">à ces autres organes. </w:t>
            </w:r>
          </w:p>
        </w:tc>
      </w:tr>
      <w:tr w:rsidR="008900CE" w:rsidRPr="005B5B77" w:rsidTr="007954C9">
        <w:tc>
          <w:tcPr>
            <w:tcW w:w="580" w:type="dxa"/>
          </w:tcPr>
          <w:p w:rsidR="008900CE" w:rsidRPr="008900CE" w:rsidRDefault="008900CE" w:rsidP="008900CE">
            <w:pPr>
              <w:ind w:left="0" w:firstLine="0"/>
            </w:pPr>
            <w:r w:rsidRPr="008900CE">
              <w:lastRenderedPageBreak/>
              <w:t>2</w:t>
            </w:r>
          </w:p>
        </w:tc>
        <w:tc>
          <w:tcPr>
            <w:tcW w:w="1683" w:type="dxa"/>
          </w:tcPr>
          <w:p w:rsidR="008900CE" w:rsidRPr="008900CE" w:rsidRDefault="008900CE" w:rsidP="008900CE">
            <w:pPr>
              <w:ind w:left="0" w:firstLine="0"/>
              <w:rPr>
                <w:lang w:val="fr-FR"/>
              </w:rPr>
            </w:pPr>
            <w:r w:rsidRPr="008900CE">
              <w:rPr>
                <w:lang w:val="fr-FR"/>
              </w:rPr>
              <w:t>Article 4 : Dates des sessions</w:t>
            </w:r>
          </w:p>
        </w:tc>
        <w:tc>
          <w:tcPr>
            <w:tcW w:w="3402" w:type="dxa"/>
          </w:tcPr>
          <w:p w:rsidR="008900CE" w:rsidRPr="008900CE" w:rsidRDefault="008900CE" w:rsidP="008900CE">
            <w:pPr>
              <w:ind w:left="0" w:firstLine="0"/>
              <w:rPr>
                <w:lang w:val="fr-FR"/>
              </w:rPr>
            </w:pPr>
            <w:r w:rsidRPr="008900CE">
              <w:rPr>
                <w:lang w:val="fr-FR"/>
              </w:rPr>
              <w:t xml:space="preserve">Article 4.1 : Étant donné que le CP se réunit une fois par an (et trois fois durant l’année de la session de la COP), cette disposition n’est pas applicable.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Article 4.2 : De même, les dates et la durée de chaque réunion du CP</w:t>
            </w:r>
            <w:r w:rsidRPr="008900CE">
              <w:rPr>
                <w:vertAlign w:val="superscript"/>
                <w:lang w:val="fr-FR"/>
              </w:rPr>
              <w:footnoteReference w:id="14"/>
            </w:r>
            <w:r w:rsidRPr="008900CE">
              <w:rPr>
                <w:lang w:val="fr-FR"/>
              </w:rPr>
              <w:t>, ainsi que des réunions des autres organes subsidiaires</w:t>
            </w:r>
            <w:r w:rsidRPr="008900CE">
              <w:rPr>
                <w:vertAlign w:val="superscript"/>
                <w:lang w:val="fr-FR"/>
              </w:rPr>
              <w:footnoteReference w:id="15"/>
            </w:r>
            <w:r w:rsidRPr="008900CE">
              <w:rPr>
                <w:lang w:val="fr-FR"/>
              </w:rPr>
              <w:t xml:space="preserve">, ne sont pas déterminées à la première réunion consacrée aux questions </w:t>
            </w:r>
            <w:r w:rsidRPr="008900CE">
              <w:rPr>
                <w:lang w:val="fr-FR"/>
              </w:rPr>
              <w:lastRenderedPageBreak/>
              <w:t>de fond du CP qui se tient après chaque session de la COP.</w:t>
            </w:r>
          </w:p>
        </w:tc>
        <w:tc>
          <w:tcPr>
            <w:tcW w:w="3402" w:type="dxa"/>
          </w:tcPr>
          <w:p w:rsidR="008900CE" w:rsidRPr="008900CE" w:rsidRDefault="008900CE" w:rsidP="008900CE">
            <w:pPr>
              <w:ind w:left="0" w:firstLine="0"/>
              <w:rPr>
                <w:lang w:val="fr-FR"/>
              </w:rPr>
            </w:pPr>
            <w:r w:rsidRPr="008900CE">
              <w:rPr>
                <w:lang w:val="fr-FR"/>
              </w:rPr>
              <w:lastRenderedPageBreak/>
              <w:t>Voir la recommandation figurant dans la 1</w:t>
            </w:r>
            <w:r w:rsidRPr="008900CE">
              <w:rPr>
                <w:vertAlign w:val="superscript"/>
                <w:lang w:val="fr-FR"/>
              </w:rPr>
              <w:t>ère</w:t>
            </w:r>
            <w:r w:rsidRPr="008900CE">
              <w:rPr>
                <w:lang w:val="fr-FR"/>
              </w:rPr>
              <w:t xml:space="preserve"> colonne du Tableau 2. </w:t>
            </w:r>
          </w:p>
        </w:tc>
      </w:tr>
      <w:tr w:rsidR="008900CE" w:rsidRPr="005B5B77" w:rsidTr="007954C9">
        <w:tc>
          <w:tcPr>
            <w:tcW w:w="580" w:type="dxa"/>
          </w:tcPr>
          <w:p w:rsidR="008900CE" w:rsidRPr="008900CE" w:rsidRDefault="008900CE" w:rsidP="008900CE">
            <w:pPr>
              <w:ind w:left="0" w:firstLine="0"/>
            </w:pPr>
            <w:r w:rsidRPr="008900CE">
              <w:t>3</w:t>
            </w:r>
          </w:p>
        </w:tc>
        <w:tc>
          <w:tcPr>
            <w:tcW w:w="1683" w:type="dxa"/>
          </w:tcPr>
          <w:p w:rsidR="008900CE" w:rsidRPr="008900CE" w:rsidRDefault="008900CE" w:rsidP="008900CE">
            <w:pPr>
              <w:ind w:left="0" w:firstLine="0"/>
              <w:rPr>
                <w:lang w:val="fr-FR"/>
              </w:rPr>
            </w:pPr>
            <w:r w:rsidRPr="008900CE">
              <w:rPr>
                <w:lang w:val="fr-FR"/>
              </w:rPr>
              <w:t>Article 5 : Notification</w:t>
            </w:r>
          </w:p>
        </w:tc>
        <w:tc>
          <w:tcPr>
            <w:tcW w:w="3402" w:type="dxa"/>
          </w:tcPr>
          <w:p w:rsidR="008900CE" w:rsidRPr="008900CE" w:rsidRDefault="008900CE" w:rsidP="008900CE">
            <w:pPr>
              <w:ind w:left="0" w:firstLine="0"/>
              <w:rPr>
                <w:lang w:val="fr-FR"/>
              </w:rPr>
            </w:pPr>
            <w:r w:rsidRPr="008900CE">
              <w:rPr>
                <w:lang w:val="fr-FR"/>
              </w:rPr>
              <w:t>Article 5.1 : L’exigence d’informer toutes les Parties contractantes des dates, du lieu de réunion et de l’ordre du jour provisoire d’une session ordinaire, 12 mois au moins avant le début prévu de la session ne s’applique pas au CP</w:t>
            </w:r>
            <w:r w:rsidRPr="008900CE">
              <w:rPr>
                <w:vertAlign w:val="superscript"/>
                <w:lang w:val="fr-FR"/>
              </w:rPr>
              <w:footnoteReference w:id="16"/>
            </w:r>
            <w:r w:rsidRPr="008900CE">
              <w:rPr>
                <w:lang w:val="fr-FR"/>
              </w:rPr>
              <w:t xml:space="preserve">. Elle ne serait pas non plus applicable à d’autres organes subsidiaires.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tc>
      </w:tr>
      <w:tr w:rsidR="008900CE" w:rsidRPr="005B5B77" w:rsidTr="007954C9">
        <w:tc>
          <w:tcPr>
            <w:tcW w:w="580" w:type="dxa"/>
          </w:tcPr>
          <w:p w:rsidR="008900CE" w:rsidRPr="008900CE" w:rsidRDefault="008900CE" w:rsidP="008900CE">
            <w:pPr>
              <w:ind w:left="0" w:firstLine="0"/>
            </w:pPr>
            <w:r w:rsidRPr="008900CE">
              <w:t>4</w:t>
            </w:r>
          </w:p>
        </w:tc>
        <w:tc>
          <w:tcPr>
            <w:tcW w:w="1683" w:type="dxa"/>
          </w:tcPr>
          <w:p w:rsidR="008900CE" w:rsidRPr="008900CE" w:rsidRDefault="008900CE" w:rsidP="008900CE">
            <w:pPr>
              <w:ind w:left="0" w:firstLine="0"/>
              <w:rPr>
                <w:lang w:val="fr-FR"/>
              </w:rPr>
            </w:pPr>
            <w:r w:rsidRPr="008900CE">
              <w:rPr>
                <w:lang w:val="fr-FR"/>
              </w:rPr>
              <w:t>Article 6 et 7 : Observateurs</w:t>
            </w:r>
          </w:p>
        </w:tc>
        <w:tc>
          <w:tcPr>
            <w:tcW w:w="3402" w:type="dxa"/>
          </w:tcPr>
          <w:p w:rsidR="008900CE" w:rsidRPr="008900CE" w:rsidRDefault="008900CE" w:rsidP="008900CE">
            <w:pPr>
              <w:ind w:left="0" w:firstLine="0"/>
              <w:rPr>
                <w:lang w:val="fr-FR"/>
              </w:rPr>
            </w:pPr>
            <w:r w:rsidRPr="008900CE">
              <w:rPr>
                <w:lang w:val="fr-FR"/>
              </w:rPr>
              <w:t xml:space="preserve">On notera que, dans la Résolution XIII.4, les paragraphes 10 à 15 de l’annexe 1 définissent les observateurs qui peuvent être admis aux réunions du CP. On ne sait donc pas clairement si d’autres observateurs peuvent être admis à une réunion du CP conformément aux articles 6 et 7, ou si la procédure établie à l’article 7 s’applique à ces réunions.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On notera en outre que la Résolution XIII.8, à l’Annexe 3, stipule que les observateurs sont invités à participer aux réunions du GEST. La formulation montre clairement que les observateurs ne se limitent pas à la liste fournie (mais que pour être admis en qualité d’observateur, l’entité doit répondre, par ailleurs, à la définition générale figurant dans la liste susmentionnée). Toutefois, on ne sait pas clairement si les observateurs peuvent être admis à participer et assister à une réunion du GEST conformément à l’article 6, ou si la procédure établie à l’article 7 s’applique à ces réunions.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On ne sait pas clairement si les articles 6 et 7 s’appliquent aux </w:t>
            </w:r>
            <w:r w:rsidRPr="008900CE">
              <w:rPr>
                <w:lang w:val="fr-FR"/>
              </w:rPr>
              <w:lastRenderedPageBreak/>
              <w:t xml:space="preserve">réunions d’autres organes subsidiaires ou à des groupes de travail informels établis conformément à l’article 25.5.e) </w:t>
            </w:r>
            <w:r w:rsidRPr="008900CE">
              <w:rPr>
                <w:lang w:val="fr-FR"/>
              </w:rPr>
              <w:sym w:font="Symbol" w:char="F05B"/>
            </w:r>
            <w:r w:rsidRPr="008900CE">
              <w:rPr>
                <w:lang w:val="fr-FR"/>
              </w:rPr>
              <w:t>en notant que les groupes de travail informels établis conformément à l’article 25.5.e) ne sont pas des organes subsidiaires</w:t>
            </w:r>
            <w:r w:rsidRPr="008900CE">
              <w:rPr>
                <w:vertAlign w:val="superscript"/>
                <w:lang w:val="fr-FR"/>
              </w:rPr>
              <w:footnoteReference w:id="17"/>
            </w:r>
            <w:r w:rsidRPr="008900CE">
              <w:rPr>
                <w:lang w:val="fr-FR"/>
              </w:rPr>
              <w:sym w:font="Symbol" w:char="F05D"/>
            </w:r>
            <w:r w:rsidRPr="008900CE">
              <w:rPr>
                <w:lang w:val="fr-FR"/>
              </w:rPr>
              <w:t xml:space="preserve">. </w:t>
            </w:r>
          </w:p>
        </w:tc>
        <w:tc>
          <w:tcPr>
            <w:tcW w:w="3402" w:type="dxa"/>
          </w:tcPr>
          <w:p w:rsidR="008900CE" w:rsidRPr="008900CE" w:rsidRDefault="008900CE" w:rsidP="008900CE">
            <w:pPr>
              <w:ind w:left="0" w:firstLine="0"/>
              <w:rPr>
                <w:lang w:val="fr-FR"/>
              </w:rPr>
            </w:pPr>
            <w:r w:rsidRPr="008900CE">
              <w:rPr>
                <w:lang w:val="fr-FR"/>
              </w:rPr>
              <w:lastRenderedPageBreak/>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Il serait nécessaire de préciser ce point dans ces dispositions.</w:t>
            </w:r>
          </w:p>
        </w:tc>
      </w:tr>
      <w:tr w:rsidR="008900CE" w:rsidRPr="005B5B77" w:rsidTr="007954C9">
        <w:tc>
          <w:tcPr>
            <w:tcW w:w="580" w:type="dxa"/>
          </w:tcPr>
          <w:p w:rsidR="008900CE" w:rsidRPr="008900CE" w:rsidRDefault="008900CE" w:rsidP="008900CE">
            <w:pPr>
              <w:ind w:left="0" w:firstLine="0"/>
            </w:pPr>
            <w:r w:rsidRPr="008900CE">
              <w:t>5</w:t>
            </w:r>
          </w:p>
        </w:tc>
        <w:tc>
          <w:tcPr>
            <w:tcW w:w="1683" w:type="dxa"/>
          </w:tcPr>
          <w:p w:rsidR="008900CE" w:rsidRPr="008900CE" w:rsidRDefault="008900CE" w:rsidP="008900CE">
            <w:pPr>
              <w:ind w:left="0" w:firstLine="0"/>
              <w:rPr>
                <w:lang w:val="fr-FR"/>
              </w:rPr>
            </w:pPr>
            <w:r w:rsidRPr="008900CE">
              <w:rPr>
                <w:lang w:val="fr-FR"/>
              </w:rPr>
              <w:t>Article 8 : Préparation de l’ordre du jour provisoire</w:t>
            </w:r>
          </w:p>
        </w:tc>
        <w:tc>
          <w:tcPr>
            <w:tcW w:w="3402" w:type="dxa"/>
          </w:tcPr>
          <w:p w:rsidR="008900CE" w:rsidRPr="008900CE" w:rsidRDefault="008900CE" w:rsidP="008900CE">
            <w:pPr>
              <w:ind w:left="0" w:firstLine="0"/>
              <w:rPr>
                <w:lang w:val="fr-FR"/>
              </w:rPr>
            </w:pPr>
            <w:r w:rsidRPr="008900CE">
              <w:rPr>
                <w:lang w:val="fr-FR"/>
              </w:rPr>
              <w:t>Le Secrétariat devrait préparer l’ordre du jour provisoire afin qu’il soit examiné par le CP à sa réunion annuelle de l’année qui suit une session de la COP. Cela signifie que l’ordre du jour provisoire doit être préparé deux ans avant la COP. Logiquement, cela ne s’applique pas au CP ou aux autres organes subsidiaires. L’ordre du jour du CP est disponible trois mois avant la session suivante du CP.</w:t>
            </w:r>
            <w:r w:rsidRPr="008900CE">
              <w:rPr>
                <w:vertAlign w:val="superscript"/>
                <w:lang w:val="fr-FR"/>
              </w:rPr>
              <w:footnoteReference w:id="18"/>
            </w:r>
            <w:r w:rsidRPr="008900CE">
              <w:rPr>
                <w:lang w:val="fr-FR"/>
              </w:rPr>
              <w:t xml:space="preserve"> </w:t>
            </w:r>
          </w:p>
          <w:p w:rsidR="008900CE" w:rsidRPr="008900CE" w:rsidRDefault="008900CE" w:rsidP="008900CE">
            <w:pPr>
              <w:ind w:left="0" w:firstLine="0"/>
              <w:rPr>
                <w:lang w:val="fr-FR"/>
              </w:rPr>
            </w:pPr>
            <w:r w:rsidRPr="008900CE">
              <w:rPr>
                <w:lang w:val="fr-FR"/>
              </w:rPr>
              <w:t>Pour les réunions des autres organes subsidiaires, l’ordre du jour est déterminé conformément aux instructions de la COP ou du CP, ou des deux, et en consultation avec le président de l’organe concerné. Cette procédure n’est toutefois pas prévue dans le Règlement intérieur.</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Le </w:t>
            </w:r>
            <w:r w:rsidR="00404588" w:rsidRPr="008900CE">
              <w:rPr>
                <w:lang w:val="fr-FR"/>
              </w:rPr>
              <w:t>règlement</w:t>
            </w:r>
            <w:r w:rsidRPr="008900CE">
              <w:rPr>
                <w:lang w:val="fr-FR"/>
              </w:rPr>
              <w:t xml:space="preserve"> intérieur pourrait inclure des dispositions explicites sur la procédure qui est appliquée actuellement pour déterminer les points à inclure à l’ordre du jour provisoire des réunions des organes subsidiaires, ainsi que le calendrier approprié. </w:t>
            </w:r>
          </w:p>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pPr>
            <w:r w:rsidRPr="008900CE">
              <w:t>6</w:t>
            </w:r>
          </w:p>
        </w:tc>
        <w:tc>
          <w:tcPr>
            <w:tcW w:w="1683" w:type="dxa"/>
          </w:tcPr>
          <w:p w:rsidR="008900CE" w:rsidRPr="008900CE" w:rsidRDefault="008900CE" w:rsidP="008900CE">
            <w:pPr>
              <w:ind w:left="0" w:firstLine="0"/>
              <w:rPr>
                <w:lang w:val="fr-FR"/>
              </w:rPr>
            </w:pPr>
            <w:r w:rsidRPr="008900CE">
              <w:rPr>
                <w:lang w:val="fr-FR"/>
              </w:rPr>
              <w:t>Article 9 : Points de l’ordre du jour provisoire</w:t>
            </w:r>
          </w:p>
        </w:tc>
        <w:tc>
          <w:tcPr>
            <w:tcW w:w="3402" w:type="dxa"/>
          </w:tcPr>
          <w:p w:rsidR="008900CE" w:rsidRPr="008900CE" w:rsidRDefault="008900CE" w:rsidP="008900CE">
            <w:pPr>
              <w:ind w:left="0" w:firstLine="0"/>
              <w:rPr>
                <w:lang w:val="fr-FR"/>
              </w:rPr>
            </w:pPr>
            <w:r w:rsidRPr="008900CE">
              <w:rPr>
                <w:lang w:val="fr-FR"/>
              </w:rPr>
              <w:t xml:space="preserve">Cet article serait applicable aux réunions du CP.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Logiquement, il ne serait pas applicable aux réunions d'autres organes subsidiaires (vu la nature des sujets traités).</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Les points à inscrire à l'ordre du jour provisoire des réunions d'autres organes subsidiaires sont </w:t>
            </w:r>
            <w:r w:rsidRPr="008900CE">
              <w:rPr>
                <w:lang w:val="fr-FR"/>
              </w:rPr>
              <w:lastRenderedPageBreak/>
              <w:t>déterminés conformément aux instructions de la COP ou du CP, ou des deux, et en en consultation avec le président de l'organe compétent. Cependant, cette procédure n'est pas prévue dans le Règlement intérieur.</w:t>
            </w:r>
            <w:r w:rsidRPr="008900CE" w:rsidDel="0066305A">
              <w:rPr>
                <w:lang w:val="fr-FR"/>
              </w:rPr>
              <w:t xml:space="preserve"> </w:t>
            </w:r>
          </w:p>
        </w:tc>
        <w:tc>
          <w:tcPr>
            <w:tcW w:w="3402" w:type="dxa"/>
          </w:tcPr>
          <w:p w:rsidR="008900CE" w:rsidRPr="008900CE" w:rsidRDefault="008900CE" w:rsidP="008900CE">
            <w:pPr>
              <w:ind w:left="0" w:firstLine="0"/>
              <w:rPr>
                <w:lang w:val="fr-FR"/>
              </w:rPr>
            </w:pPr>
            <w:r w:rsidRPr="008900CE">
              <w:rPr>
                <w:lang w:val="fr-FR"/>
              </w:rPr>
              <w:lastRenderedPageBreak/>
              <w:t>Voir la recommandation figurant dans la 1</w:t>
            </w:r>
            <w:r w:rsidRPr="008900CE">
              <w:rPr>
                <w:vertAlign w:val="superscript"/>
                <w:lang w:val="fr-FR"/>
              </w:rPr>
              <w:t>ère</w:t>
            </w:r>
            <w:r w:rsidRPr="008900CE">
              <w:rPr>
                <w:lang w:val="fr-FR"/>
              </w:rPr>
              <w:t xml:space="preserve"> colonne du Tableau 2. </w:t>
            </w:r>
          </w:p>
          <w:p w:rsidR="008900CE" w:rsidRPr="0068025C" w:rsidRDefault="008900CE" w:rsidP="008900CE">
            <w:pPr>
              <w:ind w:left="0" w:firstLine="0"/>
              <w:rPr>
                <w:lang w:val="fr-FR"/>
              </w:rPr>
            </w:pPr>
          </w:p>
          <w:p w:rsidR="008900CE" w:rsidRPr="0068025C" w:rsidRDefault="008900CE" w:rsidP="008900CE">
            <w:pPr>
              <w:ind w:left="0" w:firstLine="0"/>
              <w:rPr>
                <w:lang w:val="fr-FR"/>
              </w:rPr>
            </w:pPr>
          </w:p>
          <w:p w:rsidR="008900CE" w:rsidRPr="0068025C" w:rsidRDefault="008900CE" w:rsidP="008900CE">
            <w:pPr>
              <w:ind w:left="0" w:firstLine="0"/>
              <w:rPr>
                <w:lang w:val="fr-FR"/>
              </w:rPr>
            </w:pPr>
          </w:p>
          <w:p w:rsidR="008900CE" w:rsidRPr="0068025C"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pPr>
            <w:r w:rsidRPr="008900CE">
              <w:t>7</w:t>
            </w:r>
          </w:p>
        </w:tc>
        <w:tc>
          <w:tcPr>
            <w:tcW w:w="1683" w:type="dxa"/>
          </w:tcPr>
          <w:p w:rsidR="008900CE" w:rsidRPr="008900CE" w:rsidRDefault="008900CE" w:rsidP="008900CE">
            <w:pPr>
              <w:ind w:left="0" w:firstLine="0"/>
            </w:pPr>
            <w:r w:rsidRPr="008900CE">
              <w:t>Article 10 : Distribution des documents</w:t>
            </w:r>
          </w:p>
        </w:tc>
        <w:tc>
          <w:tcPr>
            <w:tcW w:w="3402" w:type="dxa"/>
          </w:tcPr>
          <w:p w:rsidR="008900CE" w:rsidRPr="008900CE" w:rsidRDefault="008900CE" w:rsidP="008900CE">
            <w:pPr>
              <w:ind w:left="0" w:firstLine="0"/>
              <w:rPr>
                <w:lang w:val="fr-FR"/>
              </w:rPr>
            </w:pPr>
            <w:r w:rsidRPr="008900CE">
              <w:rPr>
                <w:lang w:val="fr-FR"/>
              </w:rPr>
              <w:t xml:space="preserve">Cet article serait applicable aux réunions du CP.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En principe, il pourrait s'appliquer aux réunions d'autres organes subsidiaires. Toutefois, les documents n’ont pas été distribués dans toutes les langues officielles pour le GEST, faute de budget à cet effet. En outre, le délai de trois mois pour la distribution des documents n’a pas été appliqué pour le GEST.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Toutefois, si les documents pour le GEST devaient être fournis dans les langues officielles, cette exigence aurait des implications budgétaires.</w:t>
            </w:r>
          </w:p>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pPr>
            <w:r w:rsidRPr="008900CE">
              <w:t>8</w:t>
            </w:r>
          </w:p>
        </w:tc>
        <w:tc>
          <w:tcPr>
            <w:tcW w:w="1683" w:type="dxa"/>
          </w:tcPr>
          <w:p w:rsidR="008900CE" w:rsidRPr="008900CE" w:rsidRDefault="008900CE" w:rsidP="008900CE">
            <w:pPr>
              <w:ind w:left="0" w:firstLine="0"/>
              <w:rPr>
                <w:lang w:val="fr-FR"/>
              </w:rPr>
            </w:pPr>
            <w:r w:rsidRPr="008900CE">
              <w:rPr>
                <w:lang w:val="fr-FR"/>
              </w:rPr>
              <w:t xml:space="preserve">Article 11 : Ordre du jour supplémentaire </w:t>
            </w:r>
          </w:p>
        </w:tc>
        <w:tc>
          <w:tcPr>
            <w:tcW w:w="3402" w:type="dxa"/>
          </w:tcPr>
          <w:p w:rsidR="008900CE" w:rsidRPr="008900CE" w:rsidRDefault="008900CE" w:rsidP="008900CE">
            <w:pPr>
              <w:ind w:left="0" w:firstLine="0"/>
              <w:rPr>
                <w:lang w:val="fr-FR"/>
              </w:rPr>
            </w:pPr>
            <w:r w:rsidRPr="008900CE">
              <w:rPr>
                <w:lang w:val="fr-FR"/>
              </w:rPr>
              <w:t xml:space="preserve">Cet article serait applicable aux réunions du CP.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Logiquement, il n’y a aucune raison qu’il ne s’applique pas aux réunions d’autres organes subsidiaires (sous réserve que « le président du CP » soit remplacé par « le président de l’organe subsidiaire X »).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rPr>
                <w:lang w:val="fr-FR"/>
              </w:rPr>
            </w:pPr>
            <w:r w:rsidRPr="008900CE">
              <w:rPr>
                <w:lang w:val="fr-FR"/>
              </w:rPr>
              <w:t>9</w:t>
            </w:r>
          </w:p>
        </w:tc>
        <w:tc>
          <w:tcPr>
            <w:tcW w:w="1683" w:type="dxa"/>
          </w:tcPr>
          <w:p w:rsidR="008900CE" w:rsidRPr="008900CE" w:rsidRDefault="008900CE" w:rsidP="008900CE">
            <w:pPr>
              <w:ind w:left="0" w:firstLine="0"/>
              <w:rPr>
                <w:lang w:val="fr-FR"/>
              </w:rPr>
            </w:pPr>
            <w:r w:rsidRPr="008900CE">
              <w:rPr>
                <w:lang w:val="fr-FR"/>
              </w:rPr>
              <w:t>Article 12 : Examen de l’ordre du jour provisoire</w:t>
            </w:r>
          </w:p>
        </w:tc>
        <w:tc>
          <w:tcPr>
            <w:tcW w:w="3402" w:type="dxa"/>
          </w:tcPr>
          <w:p w:rsidR="008900CE" w:rsidRPr="008900CE" w:rsidRDefault="008900CE" w:rsidP="008900CE">
            <w:pPr>
              <w:ind w:left="0" w:firstLine="0"/>
              <w:rPr>
                <w:lang w:val="fr-FR"/>
              </w:rPr>
            </w:pPr>
            <w:r w:rsidRPr="008900CE">
              <w:rPr>
                <w:lang w:val="fr-FR"/>
              </w:rPr>
              <w:t xml:space="preserve">Cet article serait applicable aux réunions du CP.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Logiquement, il n’y a aucune raison qu’il ne s’applique pas aux réunions d’autres organes subsidiaires.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10</w:t>
            </w:r>
          </w:p>
        </w:tc>
        <w:tc>
          <w:tcPr>
            <w:tcW w:w="1683" w:type="dxa"/>
          </w:tcPr>
          <w:p w:rsidR="008900CE" w:rsidRPr="008900CE" w:rsidRDefault="008900CE" w:rsidP="008900CE">
            <w:pPr>
              <w:ind w:left="0" w:firstLine="0"/>
              <w:rPr>
                <w:lang w:val="fr-FR"/>
              </w:rPr>
            </w:pPr>
            <w:r w:rsidRPr="008900CE">
              <w:rPr>
                <w:lang w:val="fr-FR"/>
              </w:rPr>
              <w:t xml:space="preserve">Articles 16 – 20 : </w:t>
            </w:r>
            <w:r w:rsidRPr="008900CE">
              <w:rPr>
                <w:lang w:val="fr-FR"/>
              </w:rPr>
              <w:lastRenderedPageBreak/>
              <w:t xml:space="preserve">Représentation et pouvoirs </w:t>
            </w:r>
          </w:p>
          <w:p w:rsidR="008900CE" w:rsidRPr="008900CE" w:rsidRDefault="008900CE" w:rsidP="008900CE">
            <w:pPr>
              <w:ind w:left="0" w:firstLine="0"/>
              <w:rPr>
                <w:lang w:val="fr-FR"/>
              </w:rPr>
            </w:pPr>
          </w:p>
        </w:tc>
        <w:tc>
          <w:tcPr>
            <w:tcW w:w="3402" w:type="dxa"/>
          </w:tcPr>
          <w:p w:rsidR="008900CE" w:rsidRPr="008900CE" w:rsidRDefault="008900CE" w:rsidP="008900CE">
            <w:pPr>
              <w:ind w:left="0" w:firstLine="0"/>
              <w:rPr>
                <w:lang w:val="fr-FR"/>
              </w:rPr>
            </w:pPr>
            <w:r w:rsidRPr="008900CE">
              <w:rPr>
                <w:lang w:val="fr-FR"/>
              </w:rPr>
              <w:lastRenderedPageBreak/>
              <w:t>Les articles relatifs aux pouvoirs ne semblent pas s’appliquer au CP</w:t>
            </w:r>
            <w:r w:rsidRPr="008900CE">
              <w:rPr>
                <w:vertAlign w:val="superscript"/>
                <w:lang w:val="fr-FR"/>
              </w:rPr>
              <w:footnoteReference w:id="19"/>
            </w:r>
            <w:r w:rsidRPr="008900CE">
              <w:rPr>
                <w:lang w:val="fr-FR"/>
              </w:rPr>
              <w:t xml:space="preserve"> </w:t>
            </w:r>
            <w:r w:rsidRPr="008900CE">
              <w:rPr>
                <w:lang w:val="fr-FR"/>
              </w:rPr>
              <w:lastRenderedPageBreak/>
              <w:t xml:space="preserve">ou à d’autres organes subsidiaires, en particulier parce que le Comité de vérification des pouvoirs est établi « sur proposition du Bureau de la Conférence. » Le Bureau de la Conférence est attaché à une session de la COP.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En outre, ces articles ne sont visiblement pas applicables au GEST, celui-ci n’étant pas constitué de représentants de pays proprement dits (et les articles concernant les pouvoirs s’appliquent manifestement aux délégués représentant une Partie contractante). On pourrait toutefois exiger des pouvoirs pour les observateurs représentant un État, et des documents équivalents aux pouvoirs pour les observateurs qui représentent une organisation.</w:t>
            </w:r>
          </w:p>
        </w:tc>
        <w:tc>
          <w:tcPr>
            <w:tcW w:w="3402" w:type="dxa"/>
          </w:tcPr>
          <w:p w:rsidR="008900CE" w:rsidRPr="008900CE" w:rsidRDefault="008900CE" w:rsidP="008900CE">
            <w:pPr>
              <w:ind w:left="0" w:firstLine="0"/>
              <w:rPr>
                <w:lang w:val="fr-FR"/>
              </w:rPr>
            </w:pPr>
            <w:r w:rsidRPr="008900CE">
              <w:rPr>
                <w:lang w:val="fr-FR"/>
              </w:rPr>
              <w:lastRenderedPageBreak/>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Il serait nécessaire de préciser dans ces articles si les exigences relatives aux pouvoirs s’appliquent au CP et aux autres organes subsidiaires.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On notera que la CITES exige des lettres de créances des représentants des États aux séances du CP, tant pour les membres du Comité que pour les observateurs. En outre, les organisations souhaitant être représentées doivent envoyer, avant la réunion, une notification formelle au Secrétariat indiquant le nom de leurs observateurs. On pourrait envisager une disposition similaire pour le CP Ramsar. </w:t>
            </w:r>
          </w:p>
          <w:p w:rsidR="008900CE" w:rsidRPr="008900CE" w:rsidRDefault="008900CE" w:rsidP="008900CE">
            <w:pPr>
              <w:ind w:left="0" w:firstLine="0"/>
              <w:rPr>
                <w:lang w:val="fr-FR"/>
              </w:rPr>
            </w:pPr>
          </w:p>
        </w:tc>
      </w:tr>
      <w:tr w:rsidR="008900CE" w:rsidRPr="008900CE" w:rsidTr="007954C9">
        <w:tc>
          <w:tcPr>
            <w:tcW w:w="580" w:type="dxa"/>
          </w:tcPr>
          <w:p w:rsidR="008900CE" w:rsidRPr="008900CE" w:rsidRDefault="008900CE" w:rsidP="008900CE">
            <w:pPr>
              <w:ind w:left="0" w:firstLine="0"/>
              <w:rPr>
                <w:lang w:val="fr-FR"/>
              </w:rPr>
            </w:pPr>
            <w:r w:rsidRPr="008900CE">
              <w:rPr>
                <w:lang w:val="fr-FR"/>
              </w:rPr>
              <w:lastRenderedPageBreak/>
              <w:t>11</w:t>
            </w:r>
          </w:p>
        </w:tc>
        <w:tc>
          <w:tcPr>
            <w:tcW w:w="1683" w:type="dxa"/>
          </w:tcPr>
          <w:p w:rsidR="008900CE" w:rsidRPr="008900CE" w:rsidRDefault="008900CE" w:rsidP="008900CE">
            <w:pPr>
              <w:ind w:left="0" w:firstLine="0"/>
              <w:rPr>
                <w:lang w:val="fr-FR"/>
              </w:rPr>
            </w:pPr>
            <w:r w:rsidRPr="008900CE">
              <w:rPr>
                <w:lang w:val="fr-FR"/>
              </w:rPr>
              <w:t>Article 21 : Bureau de la Conférence</w:t>
            </w:r>
          </w:p>
        </w:tc>
        <w:tc>
          <w:tcPr>
            <w:tcW w:w="3402" w:type="dxa"/>
          </w:tcPr>
          <w:p w:rsidR="008900CE" w:rsidRPr="008900CE" w:rsidRDefault="008900CE" w:rsidP="008900CE">
            <w:pPr>
              <w:ind w:left="0" w:firstLine="0"/>
              <w:rPr>
                <w:lang w:val="fr-FR"/>
              </w:rPr>
            </w:pPr>
            <w:r w:rsidRPr="008900CE">
              <w:rPr>
                <w:lang w:val="fr-FR"/>
              </w:rPr>
              <w:t>Le concept de Bureau de la Conférence ne s’applique pas au CP (sachant que le Bureau de la Conférence inclut le CP, conformément à l’article 21.1).</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L’article 21.1, qui porte sur l’élection des membres du Bureau de la Conférence, ne s’applique pas au CP.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w:t>
            </w:r>
          </w:p>
          <w:p w:rsidR="008900CE" w:rsidRPr="008900CE" w:rsidRDefault="008900CE" w:rsidP="008900CE">
            <w:pPr>
              <w:ind w:left="0" w:firstLine="0"/>
              <w:rPr>
                <w:lang w:val="fr-FR"/>
              </w:rPr>
            </w:pPr>
            <w:r w:rsidRPr="008900CE">
              <w:rPr>
                <w:lang w:val="fr-FR"/>
              </w:rPr>
              <w:t xml:space="preserve">du Tableau 2. </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12</w:t>
            </w:r>
          </w:p>
        </w:tc>
        <w:tc>
          <w:tcPr>
            <w:tcW w:w="1683" w:type="dxa"/>
          </w:tcPr>
          <w:p w:rsidR="008900CE" w:rsidRPr="008900CE" w:rsidRDefault="008900CE" w:rsidP="008900CE">
            <w:pPr>
              <w:ind w:left="0" w:firstLine="0"/>
              <w:rPr>
                <w:lang w:val="fr-FR"/>
              </w:rPr>
            </w:pPr>
            <w:r w:rsidRPr="008900CE">
              <w:rPr>
                <w:lang w:val="fr-FR"/>
              </w:rPr>
              <w:t>Article 22 : Rôle du Président</w:t>
            </w:r>
          </w:p>
        </w:tc>
        <w:tc>
          <w:tcPr>
            <w:tcW w:w="3402" w:type="dxa"/>
          </w:tcPr>
          <w:p w:rsidR="008900CE" w:rsidRPr="008900CE" w:rsidRDefault="008900CE" w:rsidP="008900CE">
            <w:pPr>
              <w:ind w:left="0" w:firstLine="0"/>
              <w:rPr>
                <w:highlight w:val="yellow"/>
                <w:lang w:val="fr-FR"/>
              </w:rPr>
            </w:pPr>
            <w:r w:rsidRPr="008900CE">
              <w:rPr>
                <w:lang w:val="fr-FR"/>
              </w:rPr>
              <w:t xml:space="preserve">On ne peut établir clairement si cet article s’applique au président du CP (ou au membre élu équivalant d’un organe subsidiaire).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Il serait nécessaire que ces dispositions établissent clairement le rôle et les tâches des membres élus de tous les organes subsidiaires.</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13</w:t>
            </w:r>
          </w:p>
        </w:tc>
        <w:tc>
          <w:tcPr>
            <w:tcW w:w="1683" w:type="dxa"/>
          </w:tcPr>
          <w:p w:rsidR="008900CE" w:rsidRPr="008900CE" w:rsidRDefault="008900CE" w:rsidP="008900CE">
            <w:pPr>
              <w:ind w:left="0" w:firstLine="0"/>
              <w:rPr>
                <w:lang w:val="fr-FR"/>
              </w:rPr>
            </w:pPr>
            <w:r w:rsidRPr="008900CE">
              <w:rPr>
                <w:lang w:val="fr-FR"/>
              </w:rPr>
              <w:t>Article 23 : Rôle du président suppléant</w:t>
            </w:r>
          </w:p>
        </w:tc>
        <w:tc>
          <w:tcPr>
            <w:tcW w:w="3402" w:type="dxa"/>
          </w:tcPr>
          <w:p w:rsidR="008900CE" w:rsidRPr="008900CE" w:rsidRDefault="008900CE" w:rsidP="008900CE">
            <w:pPr>
              <w:ind w:left="0" w:firstLine="0"/>
              <w:rPr>
                <w:highlight w:val="yellow"/>
                <w:lang w:val="fr-FR"/>
              </w:rPr>
            </w:pPr>
            <w:r w:rsidRPr="008900CE">
              <w:rPr>
                <w:lang w:val="fr-FR"/>
              </w:rPr>
              <w:t>On ne peut établir clairement si cet article s’applique au vice-président du CP (ou au membre élu équivalant d’un organe subsidiaire).</w:t>
            </w:r>
          </w:p>
        </w:tc>
        <w:tc>
          <w:tcPr>
            <w:tcW w:w="3402" w:type="dxa"/>
          </w:tcPr>
          <w:p w:rsidR="008900CE" w:rsidRPr="008900CE" w:rsidRDefault="008900CE" w:rsidP="008900CE">
            <w:pPr>
              <w:ind w:left="0" w:firstLine="0"/>
              <w:rPr>
                <w:lang w:val="fr-FR"/>
              </w:rPr>
            </w:pPr>
            <w:r w:rsidRPr="008900CE">
              <w:rPr>
                <w:lang w:val="fr-FR"/>
              </w:rPr>
              <w:t>Voir la recommandation figurant dans la 1ère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Il serait nécessaire que ces dispositions établissent clairement </w:t>
            </w:r>
            <w:r w:rsidRPr="008900CE">
              <w:rPr>
                <w:lang w:val="fr-FR"/>
              </w:rPr>
              <w:lastRenderedPageBreak/>
              <w:t>le rôle et les tâches des membres élus de tous les organes subsidiaires.</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lastRenderedPageBreak/>
              <w:t>14</w:t>
            </w:r>
          </w:p>
        </w:tc>
        <w:tc>
          <w:tcPr>
            <w:tcW w:w="1683" w:type="dxa"/>
          </w:tcPr>
          <w:p w:rsidR="008900CE" w:rsidRPr="008900CE" w:rsidRDefault="008900CE" w:rsidP="008900CE">
            <w:pPr>
              <w:ind w:left="0" w:firstLine="0"/>
              <w:rPr>
                <w:lang w:val="fr-FR"/>
              </w:rPr>
            </w:pPr>
            <w:r w:rsidRPr="008900CE">
              <w:rPr>
                <w:lang w:val="fr-FR"/>
              </w:rPr>
              <w:t xml:space="preserve">Article 24 : Remplacement d’un membre du Bureau </w:t>
            </w:r>
          </w:p>
        </w:tc>
        <w:tc>
          <w:tcPr>
            <w:tcW w:w="3402" w:type="dxa"/>
          </w:tcPr>
          <w:p w:rsidR="008900CE" w:rsidRPr="008900CE" w:rsidRDefault="008900CE" w:rsidP="008900CE">
            <w:pPr>
              <w:ind w:left="0" w:firstLine="0"/>
              <w:rPr>
                <w:lang w:val="fr-FR"/>
              </w:rPr>
            </w:pPr>
            <w:r w:rsidRPr="008900CE">
              <w:rPr>
                <w:lang w:val="fr-FR"/>
              </w:rPr>
              <w:t>On ne peut établir clairement si cet article s’applique à un membre du comité exécutif du CP (ou à un membre élu d’un organe subsidiaire).</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Il serait nécessaire que ces dispositions définissent clairement les circonstances dans lesquelles un membre peut être remplacé, et la procédure à suivre à cet égard. </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15</w:t>
            </w:r>
          </w:p>
        </w:tc>
        <w:tc>
          <w:tcPr>
            <w:tcW w:w="1683" w:type="dxa"/>
          </w:tcPr>
          <w:p w:rsidR="008900CE" w:rsidRPr="008900CE" w:rsidRDefault="008900CE" w:rsidP="008900CE">
            <w:pPr>
              <w:ind w:left="0" w:firstLine="0"/>
              <w:rPr>
                <w:lang w:val="fr-FR"/>
              </w:rPr>
            </w:pPr>
            <w:r w:rsidRPr="008900CE">
              <w:rPr>
                <w:lang w:val="fr-FR"/>
              </w:rPr>
              <w:t xml:space="preserve">Article 27 : Fonctions du Secrétariat </w:t>
            </w:r>
          </w:p>
        </w:tc>
        <w:tc>
          <w:tcPr>
            <w:tcW w:w="3402" w:type="dxa"/>
          </w:tcPr>
          <w:p w:rsidR="008900CE" w:rsidRPr="008900CE" w:rsidRDefault="008900CE" w:rsidP="008900CE">
            <w:pPr>
              <w:ind w:left="0" w:firstLine="0"/>
              <w:rPr>
                <w:lang w:val="fr-FR"/>
              </w:rPr>
            </w:pPr>
            <w:r w:rsidRPr="008900CE">
              <w:rPr>
                <w:lang w:val="fr-FR"/>
              </w:rPr>
              <w:t xml:space="preserve">L’article 27.f) charge le Secrétariat de rédiger le rapport de la session pour qu’il soit examiné par le Bureau de la Conférence. On ne peut établir clairement si le Secrétariat doit effectuer cette tâche pour le comité exécutif d’autres organes subsidiaires.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Ces dispositions devraient établir clairement le rôle du Secrétariat à l’égard de tous les organes subsidiaires. </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16</w:t>
            </w:r>
          </w:p>
        </w:tc>
        <w:tc>
          <w:tcPr>
            <w:tcW w:w="1683" w:type="dxa"/>
          </w:tcPr>
          <w:p w:rsidR="008900CE" w:rsidRPr="008900CE" w:rsidRDefault="008900CE" w:rsidP="008900CE">
            <w:pPr>
              <w:ind w:left="0" w:firstLine="0"/>
              <w:rPr>
                <w:lang w:val="fr-FR"/>
              </w:rPr>
            </w:pPr>
            <w:r w:rsidRPr="008900CE">
              <w:rPr>
                <w:lang w:val="fr-FR"/>
              </w:rPr>
              <w:t>Article 28 : Séances</w:t>
            </w:r>
          </w:p>
        </w:tc>
        <w:tc>
          <w:tcPr>
            <w:tcW w:w="3402" w:type="dxa"/>
          </w:tcPr>
          <w:p w:rsidR="008900CE" w:rsidRDefault="008900CE" w:rsidP="008900CE">
            <w:pPr>
              <w:ind w:left="0" w:firstLine="0"/>
              <w:rPr>
                <w:lang w:val="fr-FR"/>
              </w:rPr>
            </w:pPr>
            <w:r w:rsidRPr="008900CE">
              <w:rPr>
                <w:lang w:val="fr-FR"/>
              </w:rPr>
              <w:t>L’article 28.3 stipule que les délégations sont placées dans l’ordre alphabétique du nom de leur pays en langue anglaise. L’utilisation du terme « Parties contractantes » suggère que cela ne s’applique pas au GEST (celui-ci n’étant pas formé de Parties contractantes proprement dites mais d’experts des Parties contractantes). Toutefois, cela n’est pas tout à fait clair.</w:t>
            </w:r>
          </w:p>
          <w:p w:rsidR="00404588" w:rsidRPr="008900CE" w:rsidRDefault="00404588" w:rsidP="008900CE">
            <w:pPr>
              <w:ind w:left="0" w:firstLine="0"/>
              <w:rPr>
                <w:lang w:val="fr-FR"/>
              </w:rPr>
            </w:pPr>
          </w:p>
          <w:p w:rsidR="008900CE" w:rsidRPr="007954C9" w:rsidRDefault="008900CE" w:rsidP="008900CE">
            <w:pPr>
              <w:ind w:left="0" w:firstLine="0"/>
              <w:rPr>
                <w:i/>
                <w:lang w:val="fr-FR"/>
              </w:rPr>
            </w:pPr>
            <w:r w:rsidRPr="008900CE">
              <w:rPr>
                <w:i/>
                <w:lang w:val="fr-FR"/>
              </w:rPr>
              <w:t>Ne concerne pas le français où l’expression « Parties contractantes » a été remplacée par « pays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Ces dispositions devraient établir clairement quels sont les organes subsidiaires qui sont soumis à l’exigence liée aux places assignées. </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17</w:t>
            </w:r>
          </w:p>
        </w:tc>
        <w:tc>
          <w:tcPr>
            <w:tcW w:w="1683" w:type="dxa"/>
          </w:tcPr>
          <w:p w:rsidR="008900CE" w:rsidRPr="008900CE" w:rsidRDefault="008900CE" w:rsidP="008900CE">
            <w:pPr>
              <w:ind w:left="0" w:firstLine="0"/>
              <w:rPr>
                <w:lang w:val="fr-FR"/>
              </w:rPr>
            </w:pPr>
            <w:r w:rsidRPr="008900CE">
              <w:rPr>
                <w:lang w:val="fr-FR"/>
              </w:rPr>
              <w:t xml:space="preserve">Article 34 : Propositions et amendements aux propositions </w:t>
            </w:r>
          </w:p>
        </w:tc>
        <w:tc>
          <w:tcPr>
            <w:tcW w:w="3402" w:type="dxa"/>
          </w:tcPr>
          <w:p w:rsidR="008900CE" w:rsidRPr="008900CE" w:rsidRDefault="008900CE" w:rsidP="008900CE">
            <w:pPr>
              <w:ind w:left="0" w:firstLine="0"/>
              <w:rPr>
                <w:lang w:val="fr-FR"/>
              </w:rPr>
            </w:pPr>
            <w:r w:rsidRPr="008900CE">
              <w:rPr>
                <w:lang w:val="fr-FR"/>
              </w:rPr>
              <w:t xml:space="preserve">Certains de ces alinéas s’appliquent aux réunions du CP (articles 34.1, 34.2), et d’autres pas (articles 34.4, 34.5, 34.6).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L’article 34 ne serait pas applicable aux réunions d’autres organes subsidiaires. </w:t>
            </w:r>
          </w:p>
        </w:tc>
        <w:tc>
          <w:tcPr>
            <w:tcW w:w="3402" w:type="dxa"/>
          </w:tcPr>
          <w:p w:rsidR="008900CE" w:rsidRPr="008900CE" w:rsidRDefault="008900CE" w:rsidP="008900CE">
            <w:pPr>
              <w:ind w:left="0" w:firstLine="0"/>
              <w:rPr>
                <w:lang w:val="fr-FR"/>
              </w:rPr>
            </w:pPr>
            <w:r w:rsidRPr="008900CE">
              <w:rPr>
                <w:lang w:val="fr-FR"/>
              </w:rPr>
              <w:t>Voir la recommandation figurant dans la 1</w:t>
            </w:r>
            <w:r w:rsidRPr="008900CE">
              <w:rPr>
                <w:vertAlign w:val="superscript"/>
                <w:lang w:val="fr-FR"/>
              </w:rPr>
              <w:t>ère</w:t>
            </w:r>
            <w:r w:rsidRPr="008900CE">
              <w:rPr>
                <w:lang w:val="fr-FR"/>
              </w:rPr>
              <w:t xml:space="preserv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Ces dispositions devraient définir clairement le rôle et les tâches du CP en ce qui concerne les propositions et les amendements aux propositions. </w:t>
            </w:r>
          </w:p>
        </w:tc>
      </w:tr>
      <w:tr w:rsidR="008900CE" w:rsidRPr="005B5B77" w:rsidTr="007954C9">
        <w:tc>
          <w:tcPr>
            <w:tcW w:w="580" w:type="dxa"/>
          </w:tcPr>
          <w:p w:rsidR="008900CE" w:rsidRPr="008900CE" w:rsidRDefault="008900CE" w:rsidP="008900CE">
            <w:pPr>
              <w:ind w:left="0" w:firstLine="0"/>
              <w:rPr>
                <w:lang w:val="fr-FR"/>
              </w:rPr>
            </w:pPr>
            <w:r w:rsidRPr="008900CE">
              <w:rPr>
                <w:lang w:val="fr-FR"/>
              </w:rPr>
              <w:lastRenderedPageBreak/>
              <w:t>18</w:t>
            </w:r>
          </w:p>
        </w:tc>
        <w:tc>
          <w:tcPr>
            <w:tcW w:w="1683" w:type="dxa"/>
          </w:tcPr>
          <w:p w:rsidR="008900CE" w:rsidRPr="008900CE" w:rsidRDefault="008900CE" w:rsidP="008900CE">
            <w:pPr>
              <w:ind w:left="0" w:firstLine="0"/>
              <w:rPr>
                <w:lang w:val="fr-FR"/>
              </w:rPr>
            </w:pPr>
            <w:r w:rsidRPr="008900CE">
              <w:rPr>
                <w:lang w:val="fr-FR"/>
              </w:rPr>
              <w:t>Articles 39 – 45 : Vote</w:t>
            </w:r>
          </w:p>
        </w:tc>
        <w:tc>
          <w:tcPr>
            <w:tcW w:w="3402" w:type="dxa"/>
          </w:tcPr>
          <w:p w:rsidR="008900CE" w:rsidRPr="008900CE" w:rsidRDefault="008900CE" w:rsidP="008900CE">
            <w:pPr>
              <w:ind w:left="0" w:firstLine="0"/>
              <w:rPr>
                <w:lang w:val="fr-FR"/>
              </w:rPr>
            </w:pPr>
            <w:r w:rsidRPr="008900CE">
              <w:rPr>
                <w:lang w:val="fr-FR"/>
              </w:rPr>
              <w:t xml:space="preserve">Certains de ces alinéas sont applicables au CP et aux organes subsidiaires, et d’autres pas.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Par exemple, les articles 39.1, 39.2, 39.3, 39.4 et 39.5 sont applicables au CP et aux organes subsidiaires constitués de Parties contractantes, dans la mesure où ils doivent voter sur une question particulière. On remarquera que l’article 25.5.c) implique que les questions examinées par un organe subsidiaire peuvent donner lieu à un vote.</w:t>
            </w:r>
            <w:r w:rsidRPr="008900CE">
              <w:rPr>
                <w:vertAlign w:val="superscript"/>
                <w:lang w:val="fr-FR"/>
              </w:rPr>
              <w:footnoteReference w:id="20"/>
            </w:r>
            <w:r w:rsidRPr="008900CE">
              <w:rPr>
                <w:lang w:val="fr-FR"/>
              </w:rPr>
              <w:t xml:space="preserve">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Toutefois, le fait que l’expression « Parties contractantes » soit utilisée partout dans ces articles donne à penser que ces derniers ne sont pas applicables au GEST, celui-ci étant composé de délégués experts. En revanche, si ces dispositions s’appliquent </w:t>
            </w:r>
            <w:r w:rsidRPr="008900CE">
              <w:rPr>
                <w:i/>
                <w:lang w:val="fr-FR"/>
              </w:rPr>
              <w:t>mutatis mutandis</w:t>
            </w:r>
            <w:r w:rsidRPr="008900CE">
              <w:rPr>
                <w:lang w:val="fr-FR"/>
              </w:rPr>
              <w:t xml:space="preserve"> aux réunions du GEST, on pourrait remplacer les termes « Parties contractantes » par « délégués ». L’ambiguïté qui existe à ce sujet est néanmoins problématique.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Il ne semble pas que l’article 40 soit applicable au CP ou à d’autres organes subsidiaires, étant donné qu’il se réfère vraisemblablement au vote sur des propositions en vue de leur adoption par la COP. Toutefois, son libellé pourrait être modifié pour plus de clarté. </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Il ne semble pas que les articles 41 à 43 inclus s’appliquent au CP ou à d’autres organes subsidiaires, étant donné qu’ils concernent vraisemblablement le vote sur des </w:t>
            </w:r>
            <w:r w:rsidRPr="008900CE">
              <w:rPr>
                <w:lang w:val="fr-FR"/>
              </w:rPr>
              <w:lastRenderedPageBreak/>
              <w:t>propositions en vue de leur adoption par la COP. Cela est corroboré par l’existence d’autres articles liés à l’examen des propositions par le CP. Plus précisément, les articles 34.1 et 34.2 font explicitement référence aux amendements aux propositions dont l’examen a lieu lors de la réunion du CP chargée d’examiner les documents destinés à la session suivante de la COP. Toutefois, le libellé des articles 41 à 43 pourrait être modifié pour plus de clarté.</w:t>
            </w:r>
          </w:p>
          <w:p w:rsidR="008900CE" w:rsidRPr="008900CE" w:rsidRDefault="008900CE" w:rsidP="008900CE">
            <w:pPr>
              <w:ind w:left="0" w:firstLine="0"/>
              <w:rPr>
                <w:lang w:val="fr-FR"/>
              </w:rPr>
            </w:pPr>
          </w:p>
          <w:p w:rsidR="008900CE" w:rsidRPr="008900CE" w:rsidRDefault="008900CE" w:rsidP="008900CE">
            <w:pPr>
              <w:ind w:left="0" w:firstLine="0"/>
              <w:rPr>
                <w:lang w:val="fr-FR"/>
              </w:rPr>
            </w:pPr>
            <w:r w:rsidRPr="008900CE">
              <w:rPr>
                <w:lang w:val="fr-FR"/>
              </w:rPr>
              <w:t xml:space="preserve">L’article 44, qui concerne les procédures de vote, et l’article 45, qui porte sur la conduite du scrutin, seraient vraisemblablement applicables aux réunions du CP et des organes subsidiaires. </w:t>
            </w:r>
          </w:p>
        </w:tc>
        <w:tc>
          <w:tcPr>
            <w:tcW w:w="3402" w:type="dxa"/>
          </w:tcPr>
          <w:p w:rsidR="008900CE" w:rsidRPr="008900CE" w:rsidRDefault="008900CE" w:rsidP="008900CE">
            <w:pPr>
              <w:ind w:left="0" w:firstLine="0"/>
              <w:rPr>
                <w:lang w:val="fr-FR"/>
              </w:rPr>
            </w:pPr>
            <w:r w:rsidRPr="008900CE">
              <w:rPr>
                <w:lang w:val="fr-FR"/>
              </w:rPr>
              <w:lastRenderedPageBreak/>
              <w:t>Voir la recommandation figurant dans la 1</w:t>
            </w:r>
            <w:r w:rsidRPr="008900CE">
              <w:rPr>
                <w:vertAlign w:val="superscript"/>
                <w:lang w:val="fr-FR"/>
              </w:rPr>
              <w:t>ère</w:t>
            </w:r>
            <w:r w:rsidRPr="008900CE">
              <w:rPr>
                <w:lang w:val="fr-FR"/>
              </w:rPr>
              <w:t xml:space="preserve"> colonne du Tableau 2.</w:t>
            </w:r>
          </w:p>
          <w:p w:rsidR="008900CE" w:rsidRPr="008900CE" w:rsidRDefault="008900CE" w:rsidP="008900CE">
            <w:pPr>
              <w:ind w:left="0" w:firstLine="0"/>
              <w:rPr>
                <w:lang w:val="fr-FR"/>
              </w:rPr>
            </w:pPr>
          </w:p>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rPr>
                <w:lang w:val="fr-FR"/>
              </w:rPr>
            </w:pPr>
            <w:r w:rsidRPr="008900CE">
              <w:rPr>
                <w:lang w:val="fr-FR"/>
              </w:rPr>
              <w:t>19</w:t>
            </w:r>
          </w:p>
        </w:tc>
        <w:tc>
          <w:tcPr>
            <w:tcW w:w="1683" w:type="dxa"/>
          </w:tcPr>
          <w:p w:rsidR="008900CE" w:rsidRPr="008900CE" w:rsidRDefault="008900CE" w:rsidP="008900CE">
            <w:pPr>
              <w:ind w:left="0" w:firstLine="0"/>
              <w:rPr>
                <w:lang w:val="fr-FR"/>
              </w:rPr>
            </w:pPr>
            <w:r w:rsidRPr="008900CE">
              <w:rPr>
                <w:lang w:val="fr-FR"/>
              </w:rPr>
              <w:t>Articles 46 – 47 : Élections</w:t>
            </w:r>
          </w:p>
        </w:tc>
        <w:tc>
          <w:tcPr>
            <w:tcW w:w="3402" w:type="dxa"/>
          </w:tcPr>
          <w:p w:rsidR="008900CE" w:rsidRPr="008900CE" w:rsidRDefault="008900CE" w:rsidP="008900CE">
            <w:pPr>
              <w:ind w:left="0" w:firstLine="0"/>
              <w:rPr>
                <w:lang w:val="fr-FR"/>
              </w:rPr>
            </w:pPr>
            <w:r w:rsidRPr="008900CE">
              <w:rPr>
                <w:lang w:val="fr-FR"/>
              </w:rPr>
              <w:t xml:space="preserve">Ces dispositions seraient applicables au CP et à tout autre organe subsidiaire ayant des membres élus. </w:t>
            </w:r>
          </w:p>
        </w:tc>
        <w:tc>
          <w:tcPr>
            <w:tcW w:w="3402" w:type="dxa"/>
          </w:tcPr>
          <w:p w:rsidR="008900CE" w:rsidRPr="008900CE" w:rsidRDefault="008900CE" w:rsidP="008900CE">
            <w:pPr>
              <w:ind w:left="0" w:firstLine="0"/>
              <w:rPr>
                <w:lang w:val="fr-FR"/>
              </w:rPr>
            </w:pPr>
          </w:p>
        </w:tc>
      </w:tr>
      <w:tr w:rsidR="008900CE" w:rsidRPr="005B5B77" w:rsidTr="007954C9">
        <w:tc>
          <w:tcPr>
            <w:tcW w:w="580" w:type="dxa"/>
          </w:tcPr>
          <w:p w:rsidR="008900CE" w:rsidRPr="008900CE" w:rsidRDefault="008900CE" w:rsidP="008900CE">
            <w:pPr>
              <w:ind w:left="0" w:firstLine="0"/>
              <w:rPr>
                <w:lang w:val="fr-FR"/>
              </w:rPr>
            </w:pPr>
            <w:r w:rsidRPr="008900CE">
              <w:rPr>
                <w:lang w:val="fr-FR"/>
              </w:rPr>
              <w:t>20</w:t>
            </w:r>
          </w:p>
        </w:tc>
        <w:tc>
          <w:tcPr>
            <w:tcW w:w="1683" w:type="dxa"/>
          </w:tcPr>
          <w:p w:rsidR="008900CE" w:rsidRPr="008900CE" w:rsidRDefault="008900CE" w:rsidP="008900CE">
            <w:pPr>
              <w:ind w:left="0" w:firstLine="0"/>
              <w:rPr>
                <w:lang w:val="fr-FR"/>
              </w:rPr>
            </w:pPr>
            <w:r w:rsidRPr="008900CE">
              <w:rPr>
                <w:lang w:val="fr-FR"/>
              </w:rPr>
              <w:t>Article 49 : Interprétation</w:t>
            </w:r>
          </w:p>
        </w:tc>
        <w:tc>
          <w:tcPr>
            <w:tcW w:w="3402" w:type="dxa"/>
          </w:tcPr>
          <w:p w:rsidR="008900CE" w:rsidRPr="008900CE" w:rsidRDefault="008900CE" w:rsidP="008900CE">
            <w:pPr>
              <w:ind w:left="0" w:firstLine="0"/>
              <w:rPr>
                <w:lang w:val="fr-FR"/>
              </w:rPr>
            </w:pPr>
            <w:r w:rsidRPr="008900CE">
              <w:rPr>
                <w:lang w:val="fr-FR"/>
              </w:rPr>
              <w:t xml:space="preserve">L’article 25.5.d) est spécifiquement applicable au CP et aux autres organes subsidiaires en ce qui concerne l’interprétation. </w:t>
            </w:r>
          </w:p>
        </w:tc>
        <w:tc>
          <w:tcPr>
            <w:tcW w:w="3402" w:type="dxa"/>
          </w:tcPr>
          <w:p w:rsidR="008900CE" w:rsidRPr="008900CE" w:rsidRDefault="008900CE" w:rsidP="008900CE">
            <w:pPr>
              <w:ind w:left="0" w:firstLine="0"/>
              <w:rPr>
                <w:lang w:val="fr-FR"/>
              </w:rPr>
            </w:pPr>
          </w:p>
        </w:tc>
      </w:tr>
    </w:tbl>
    <w:p w:rsidR="008900CE" w:rsidRPr="008900CE" w:rsidRDefault="008900CE" w:rsidP="008900CE">
      <w:pPr>
        <w:rPr>
          <w:lang w:val="fr-FR"/>
        </w:rPr>
      </w:pPr>
    </w:p>
    <w:p w:rsidR="008900CE" w:rsidRPr="008900CE" w:rsidRDefault="008900CE" w:rsidP="008900CE">
      <w:pPr>
        <w:ind w:left="0" w:firstLine="0"/>
        <w:rPr>
          <w:rFonts w:cs="Arial"/>
          <w:i/>
          <w:lang w:val="fr-FR"/>
        </w:rPr>
      </w:pPr>
    </w:p>
    <w:p w:rsidR="008900CE" w:rsidRPr="008900CE" w:rsidRDefault="008900CE" w:rsidP="008900CE">
      <w:pPr>
        <w:rPr>
          <w:rFonts w:cs="Arial"/>
          <w:lang w:val="fr-FR"/>
        </w:rPr>
      </w:pPr>
    </w:p>
    <w:p w:rsidR="00F344DE" w:rsidRPr="0068025C" w:rsidRDefault="00F344DE" w:rsidP="00014168">
      <w:pPr>
        <w:rPr>
          <w:rFonts w:cs="Arial"/>
          <w:i/>
          <w:lang w:val="fr-FR"/>
        </w:rPr>
      </w:pPr>
    </w:p>
    <w:sectPr w:rsidR="00F344DE" w:rsidRPr="0068025C" w:rsidSect="0068025C">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DB" w:rsidRDefault="001559DB" w:rsidP="00DF2386">
      <w:r>
        <w:separator/>
      </w:r>
    </w:p>
  </w:endnote>
  <w:endnote w:type="continuationSeparator" w:id="0">
    <w:p w:rsidR="001559DB" w:rsidRDefault="001559D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CE" w:rsidRPr="00532491" w:rsidRDefault="00532491" w:rsidP="00532491">
    <w:pPr>
      <w:pStyle w:val="Header"/>
      <w:rPr>
        <w:noProof/>
      </w:rPr>
    </w:pPr>
    <w:r>
      <w:rPr>
        <w:sz w:val="20"/>
        <w:szCs w:val="20"/>
      </w:rPr>
      <w:t>SC57 Doc.13</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5B5B77">
          <w:rPr>
            <w:noProof/>
            <w:sz w:val="20"/>
            <w:szCs w:val="20"/>
          </w:rPr>
          <w:t>2</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DB" w:rsidRDefault="001559DB" w:rsidP="00DF2386">
      <w:r>
        <w:separator/>
      </w:r>
    </w:p>
  </w:footnote>
  <w:footnote w:type="continuationSeparator" w:id="0">
    <w:p w:rsidR="001559DB" w:rsidRDefault="001559DB" w:rsidP="00DF2386">
      <w:r>
        <w:continuationSeparator/>
      </w:r>
    </w:p>
  </w:footnote>
  <w:footnote w:id="1">
    <w:p w:rsidR="008900CE" w:rsidRPr="0068025C" w:rsidRDefault="008900CE" w:rsidP="00365E8E">
      <w:pPr>
        <w:pStyle w:val="NoSpacing"/>
        <w:ind w:left="0" w:firstLine="0"/>
        <w:rPr>
          <w:sz w:val="20"/>
          <w:szCs w:val="20"/>
          <w:lang w:val="fr-FR"/>
        </w:rPr>
      </w:pPr>
      <w:r w:rsidRPr="002A4DC1">
        <w:rPr>
          <w:rStyle w:val="FootnoteReference"/>
          <w:sz w:val="20"/>
          <w:szCs w:val="20"/>
        </w:rPr>
        <w:footnoteRef/>
      </w:r>
      <w:r w:rsidRPr="0068025C">
        <w:rPr>
          <w:sz w:val="20"/>
          <w:szCs w:val="20"/>
          <w:lang w:val="fr-FR"/>
        </w:rPr>
        <w:t xml:space="preserve"> </w:t>
      </w:r>
      <w:r w:rsidRPr="00D377FB">
        <w:rPr>
          <w:sz w:val="20"/>
          <w:szCs w:val="20"/>
          <w:lang w:val="fr-CH"/>
        </w:rPr>
        <w:t>Le contenu n’est plus valable ou ne s’applique plus</w:t>
      </w:r>
      <w:r>
        <w:rPr>
          <w:sz w:val="20"/>
          <w:szCs w:val="20"/>
          <w:lang w:val="fr-CH"/>
        </w:rPr>
        <w:t> ;</w:t>
      </w:r>
      <w:r w:rsidRPr="00D377FB">
        <w:rPr>
          <w:sz w:val="20"/>
          <w:szCs w:val="20"/>
          <w:lang w:val="fr-CH"/>
        </w:rPr>
        <w:t xml:space="preserve"> il est antinomique</w:t>
      </w:r>
      <w:r>
        <w:rPr>
          <w:sz w:val="20"/>
          <w:szCs w:val="20"/>
          <w:lang w:val="fr-CH"/>
        </w:rPr>
        <w:t> ;</w:t>
      </w:r>
      <w:r w:rsidRPr="00D377FB">
        <w:rPr>
          <w:sz w:val="20"/>
          <w:szCs w:val="20"/>
          <w:lang w:val="fr-CH"/>
        </w:rPr>
        <w:t xml:space="preserve"> incompatible avec les pratiques actuelles</w:t>
      </w:r>
      <w:r>
        <w:rPr>
          <w:sz w:val="20"/>
          <w:szCs w:val="20"/>
          <w:lang w:val="fr-CH"/>
        </w:rPr>
        <w:t xml:space="preserve"> de la Convention de Ramsar ;</w:t>
      </w:r>
      <w:r w:rsidRPr="00D377FB">
        <w:rPr>
          <w:sz w:val="20"/>
          <w:szCs w:val="20"/>
          <w:lang w:val="fr-CH"/>
        </w:rPr>
        <w:t xml:space="preserve"> ambig</w:t>
      </w:r>
      <w:r>
        <w:rPr>
          <w:sz w:val="20"/>
          <w:szCs w:val="20"/>
          <w:lang w:val="fr-CH"/>
        </w:rPr>
        <w:t>u ou mal rédigé</w:t>
      </w:r>
      <w:r w:rsidRPr="0068025C">
        <w:rPr>
          <w:sz w:val="20"/>
          <w:szCs w:val="20"/>
          <w:lang w:val="fr-FR"/>
        </w:rPr>
        <w:t xml:space="preserve">. </w:t>
      </w:r>
    </w:p>
  </w:footnote>
  <w:footnote w:id="2">
    <w:p w:rsidR="008900CE" w:rsidRPr="00D377FB" w:rsidRDefault="008900CE" w:rsidP="00365E8E">
      <w:pPr>
        <w:pStyle w:val="FootnoteText"/>
        <w:ind w:left="0" w:firstLine="0"/>
        <w:rPr>
          <w:lang w:val="fr-CH"/>
        </w:rPr>
      </w:pPr>
      <w:r>
        <w:rPr>
          <w:rStyle w:val="FootnoteReference"/>
        </w:rPr>
        <w:footnoteRef/>
      </w:r>
      <w:r w:rsidRPr="0068025C">
        <w:rPr>
          <w:lang w:val="fr-FR"/>
        </w:rPr>
        <w:t xml:space="preserve"> </w:t>
      </w:r>
      <w:r w:rsidRPr="00D377FB">
        <w:rPr>
          <w:lang w:val="fr-CH"/>
        </w:rPr>
        <w:t>Ce</w:t>
      </w:r>
      <w:r>
        <w:rPr>
          <w:lang w:val="fr-CH"/>
        </w:rPr>
        <w:t>tte recommandation</w:t>
      </w:r>
      <w:r w:rsidRPr="00D377FB">
        <w:rPr>
          <w:lang w:val="fr-CH"/>
        </w:rPr>
        <w:t xml:space="preserve"> est conforme au Règlement intérieur </w:t>
      </w:r>
      <w:r>
        <w:rPr>
          <w:lang w:val="fr-CH"/>
        </w:rPr>
        <w:t>que</w:t>
      </w:r>
      <w:r w:rsidRPr="00D377FB">
        <w:rPr>
          <w:lang w:val="fr-CH"/>
        </w:rPr>
        <w:t xml:space="preserve"> la CITES </w:t>
      </w:r>
      <w:r>
        <w:rPr>
          <w:lang w:val="fr-CH"/>
        </w:rPr>
        <w:t xml:space="preserve">applique à </w:t>
      </w:r>
      <w:r w:rsidRPr="00D377FB">
        <w:rPr>
          <w:lang w:val="fr-CH"/>
        </w:rPr>
        <w:t>son Comité permanent</w:t>
      </w:r>
      <w:r>
        <w:rPr>
          <w:lang w:val="fr-CH"/>
        </w:rPr>
        <w:t xml:space="preserve"> </w:t>
      </w:r>
      <w:r w:rsidRPr="00D377FB">
        <w:rPr>
          <w:lang w:val="fr-CH"/>
        </w:rPr>
        <w:t xml:space="preserve">(voir </w:t>
      </w:r>
      <w:r>
        <w:rPr>
          <w:lang w:val="fr-CH"/>
        </w:rPr>
        <w:t>a</w:t>
      </w:r>
      <w:r w:rsidRPr="00D377FB">
        <w:rPr>
          <w:lang w:val="fr-CH"/>
        </w:rPr>
        <w:t xml:space="preserve">rticle 17.4). </w:t>
      </w:r>
    </w:p>
  </w:footnote>
  <w:footnote w:id="3">
    <w:p w:rsidR="008900CE" w:rsidRPr="00564CEF" w:rsidRDefault="008900CE" w:rsidP="00365E8E">
      <w:pPr>
        <w:pStyle w:val="FootnoteText"/>
        <w:ind w:left="0" w:firstLine="0"/>
        <w:rPr>
          <w:lang w:val="fr-CH"/>
        </w:rPr>
      </w:pPr>
      <w:r w:rsidRPr="00D377FB">
        <w:rPr>
          <w:rStyle w:val="FootnoteReference"/>
          <w:lang w:val="fr-CH"/>
        </w:rPr>
        <w:footnoteRef/>
      </w:r>
      <w:r w:rsidRPr="00D377FB">
        <w:rPr>
          <w:lang w:val="fr-CH"/>
        </w:rPr>
        <w:t xml:space="preserve"> </w:t>
      </w:r>
      <w:r w:rsidRPr="00564CEF">
        <w:rPr>
          <w:lang w:val="fr-CH"/>
        </w:rPr>
        <w:t>Défini dans l’article 21.</w:t>
      </w:r>
      <w:r>
        <w:rPr>
          <w:lang w:val="fr-CH"/>
        </w:rPr>
        <w:t xml:space="preserve"> </w:t>
      </w:r>
    </w:p>
  </w:footnote>
  <w:footnote w:id="4">
    <w:p w:rsidR="008900CE" w:rsidRPr="00564CEF" w:rsidRDefault="008900CE" w:rsidP="00365E8E">
      <w:pPr>
        <w:pStyle w:val="FootnoteText"/>
        <w:ind w:left="0" w:firstLine="0"/>
        <w:rPr>
          <w:lang w:val="fr-CH"/>
        </w:rPr>
      </w:pPr>
      <w:r w:rsidRPr="00564CEF">
        <w:rPr>
          <w:rStyle w:val="FootnoteReference"/>
          <w:lang w:val="fr-CH"/>
        </w:rPr>
        <w:footnoteRef/>
      </w:r>
      <w:r w:rsidRPr="00564CEF">
        <w:rPr>
          <w:lang w:val="fr-CH"/>
        </w:rPr>
        <w:t xml:space="preserve"> Les articles 3, 4 et 5 se trouvent sous la rubrique </w:t>
      </w:r>
      <w:r>
        <w:rPr>
          <w:lang w:val="fr-CH"/>
        </w:rPr>
        <w:t>« s</w:t>
      </w:r>
      <w:r w:rsidRPr="00564CEF">
        <w:rPr>
          <w:lang w:val="fr-CH"/>
        </w:rPr>
        <w:t>essions</w:t>
      </w:r>
      <w:r>
        <w:rPr>
          <w:lang w:val="fr-CH"/>
        </w:rPr>
        <w:t> »</w:t>
      </w:r>
      <w:r w:rsidRPr="00564CEF">
        <w:rPr>
          <w:lang w:val="fr-CH"/>
        </w:rPr>
        <w:t xml:space="preserve">, terme qui, dans ce contexte, semble être utilisé </w:t>
      </w:r>
      <w:r>
        <w:rPr>
          <w:lang w:val="fr-CH"/>
        </w:rPr>
        <w:t xml:space="preserve">de façon interchangeable avec </w:t>
      </w:r>
      <w:r w:rsidRPr="00564CEF">
        <w:rPr>
          <w:lang w:val="fr-CH"/>
        </w:rPr>
        <w:t xml:space="preserve">le terme </w:t>
      </w:r>
      <w:r>
        <w:rPr>
          <w:lang w:val="fr-CH"/>
        </w:rPr>
        <w:t>« </w:t>
      </w:r>
      <w:r w:rsidRPr="00564CEF">
        <w:rPr>
          <w:lang w:val="fr-CH"/>
        </w:rPr>
        <w:t>réunions</w:t>
      </w:r>
      <w:r>
        <w:rPr>
          <w:lang w:val="fr-CH"/>
        </w:rPr>
        <w:t> »</w:t>
      </w:r>
      <w:r w:rsidRPr="00564CEF">
        <w:rPr>
          <w:lang w:val="fr-CH"/>
        </w:rPr>
        <w:t xml:space="preserve">. Toutefois, la manière dont il est employé aux articles 28.1 et 29 </w:t>
      </w:r>
      <w:r>
        <w:rPr>
          <w:lang w:val="fr-CH"/>
        </w:rPr>
        <w:t xml:space="preserve">permet de penser </w:t>
      </w:r>
      <w:r w:rsidRPr="00564CEF">
        <w:rPr>
          <w:lang w:val="fr-CH"/>
        </w:rPr>
        <w:t xml:space="preserve">qu'il </w:t>
      </w:r>
      <w:r>
        <w:rPr>
          <w:lang w:val="fr-CH"/>
        </w:rPr>
        <w:t>se réfère à</w:t>
      </w:r>
      <w:r w:rsidRPr="00564CEF">
        <w:rPr>
          <w:lang w:val="fr-CH"/>
        </w:rPr>
        <w:t xml:space="preserve"> la convocation des Parties dans le cadre d'une réunion générale</w:t>
      </w:r>
      <w:r>
        <w:rPr>
          <w:lang w:val="fr-CH"/>
        </w:rPr>
        <w:t>,</w:t>
      </w:r>
      <w:r w:rsidRPr="00564CEF">
        <w:rPr>
          <w:lang w:val="fr-CH"/>
        </w:rPr>
        <w:t xml:space="preserve"> </w:t>
      </w:r>
      <w:r>
        <w:rPr>
          <w:lang w:val="fr-CH"/>
        </w:rPr>
        <w:t>c</w:t>
      </w:r>
      <w:r w:rsidRPr="00564CEF">
        <w:rPr>
          <w:lang w:val="fr-CH"/>
        </w:rPr>
        <w:t xml:space="preserve">e </w:t>
      </w:r>
      <w:r>
        <w:rPr>
          <w:lang w:val="fr-CH"/>
        </w:rPr>
        <w:t xml:space="preserve">qui </w:t>
      </w:r>
      <w:r w:rsidRPr="00564CEF">
        <w:rPr>
          <w:lang w:val="fr-CH"/>
        </w:rPr>
        <w:t xml:space="preserve">est potentiellement contradictoire et, en tout état de cause, </w:t>
      </w:r>
      <w:r>
        <w:rPr>
          <w:lang w:val="fr-CH"/>
        </w:rPr>
        <w:t xml:space="preserve">peut créer </w:t>
      </w:r>
      <w:r w:rsidRPr="00564CEF">
        <w:rPr>
          <w:lang w:val="fr-CH"/>
        </w:rPr>
        <w:t>une certaine ambiguïté.</w:t>
      </w:r>
      <w:r>
        <w:rPr>
          <w:lang w:val="fr-CH"/>
        </w:rPr>
        <w:t xml:space="preserve"> </w:t>
      </w:r>
    </w:p>
  </w:footnote>
  <w:footnote w:id="5">
    <w:p w:rsidR="008900CE" w:rsidRPr="00564CEF" w:rsidRDefault="008900CE" w:rsidP="00365E8E">
      <w:pPr>
        <w:pStyle w:val="FootnoteText"/>
        <w:ind w:left="0" w:firstLine="0"/>
        <w:rPr>
          <w:lang w:val="fr-CH"/>
        </w:rPr>
      </w:pPr>
      <w:r w:rsidRPr="00564CEF">
        <w:rPr>
          <w:rStyle w:val="FootnoteReference"/>
          <w:lang w:val="fr-CH"/>
        </w:rPr>
        <w:footnoteRef/>
      </w:r>
      <w:r w:rsidRPr="00564CEF">
        <w:rPr>
          <w:lang w:val="fr-CH"/>
        </w:rPr>
        <w:t xml:space="preserve"> </w:t>
      </w:r>
      <w:r>
        <w:rPr>
          <w:lang w:val="fr-CH"/>
        </w:rPr>
        <w:t xml:space="preserve">L’article </w:t>
      </w:r>
      <w:r w:rsidRPr="00564CEF">
        <w:rPr>
          <w:lang w:val="fr-CH"/>
        </w:rPr>
        <w:t>2.g d</w:t>
      </w:r>
      <w:r>
        <w:rPr>
          <w:lang w:val="fr-CH"/>
        </w:rPr>
        <w:t>éfinit le terme « </w:t>
      </w:r>
      <w:r w:rsidRPr="00564CEF">
        <w:rPr>
          <w:lang w:val="fr-CH"/>
        </w:rPr>
        <w:t>propos</w:t>
      </w:r>
      <w:r>
        <w:rPr>
          <w:lang w:val="fr-CH"/>
        </w:rPr>
        <w:t>ition »</w:t>
      </w:r>
      <w:r w:rsidRPr="00564CEF">
        <w:rPr>
          <w:lang w:val="fr-CH"/>
        </w:rPr>
        <w:t xml:space="preserve"> </w:t>
      </w:r>
      <w:r>
        <w:rPr>
          <w:lang w:val="fr-CH"/>
        </w:rPr>
        <w:t>pour inclure une « </w:t>
      </w:r>
      <w:r w:rsidRPr="00564CEF">
        <w:rPr>
          <w:lang w:val="fr-CH"/>
        </w:rPr>
        <w:t>recomm</w:t>
      </w:r>
      <w:r>
        <w:rPr>
          <w:lang w:val="fr-CH"/>
        </w:rPr>
        <w:t>a</w:t>
      </w:r>
      <w:r w:rsidRPr="00564CEF">
        <w:rPr>
          <w:lang w:val="fr-CH"/>
        </w:rPr>
        <w:t>ndation</w:t>
      </w:r>
      <w:r>
        <w:rPr>
          <w:lang w:val="fr-CH"/>
        </w:rPr>
        <w:t> »</w:t>
      </w:r>
      <w:r w:rsidRPr="00564CEF">
        <w:rPr>
          <w:lang w:val="fr-CH"/>
        </w:rPr>
        <w:t xml:space="preserve">. </w:t>
      </w:r>
      <w:r>
        <w:rPr>
          <w:lang w:val="fr-CH"/>
        </w:rPr>
        <w:t>Toutefois, le terme « </w:t>
      </w:r>
      <w:r w:rsidRPr="00564CEF">
        <w:rPr>
          <w:lang w:val="fr-CH"/>
        </w:rPr>
        <w:t>recomm</w:t>
      </w:r>
      <w:r>
        <w:rPr>
          <w:lang w:val="fr-CH"/>
        </w:rPr>
        <w:t>a</w:t>
      </w:r>
      <w:r w:rsidRPr="00564CEF">
        <w:rPr>
          <w:lang w:val="fr-CH"/>
        </w:rPr>
        <w:t>ndation</w:t>
      </w:r>
      <w:r>
        <w:rPr>
          <w:lang w:val="fr-CH"/>
        </w:rPr>
        <w:t> »</w:t>
      </w:r>
      <w:r w:rsidRPr="00564CEF">
        <w:rPr>
          <w:lang w:val="fr-CH"/>
        </w:rPr>
        <w:t xml:space="preserve"> </w:t>
      </w:r>
      <w:r>
        <w:rPr>
          <w:lang w:val="fr-CH"/>
        </w:rPr>
        <w:t xml:space="preserve">n’est pas défini, bien </w:t>
      </w:r>
      <w:r w:rsidRPr="00834ED9">
        <w:rPr>
          <w:lang w:val="fr-CH"/>
        </w:rPr>
        <w:t>qu'il y soit fait référence tout au long du Règlement</w:t>
      </w:r>
      <w:r w:rsidRPr="00564CEF">
        <w:rPr>
          <w:lang w:val="fr-CH"/>
        </w:rPr>
        <w:t xml:space="preserve"> </w:t>
      </w:r>
      <w:r w:rsidRPr="00564CEF">
        <w:rPr>
          <w:lang w:val="fr-CH"/>
        </w:rPr>
        <w:sym w:font="Symbol" w:char="F05B"/>
      </w:r>
      <w:r>
        <w:rPr>
          <w:lang w:val="fr-CH"/>
        </w:rPr>
        <w:t>voir :</w:t>
      </w:r>
      <w:r w:rsidRPr="00564CEF">
        <w:rPr>
          <w:lang w:val="fr-CH"/>
        </w:rPr>
        <w:t xml:space="preserve"> </w:t>
      </w:r>
      <w:r>
        <w:rPr>
          <w:lang w:val="fr-CH"/>
        </w:rPr>
        <w:t xml:space="preserve">articles </w:t>
      </w:r>
      <w:r w:rsidRPr="00564CEF">
        <w:rPr>
          <w:lang w:val="fr-CH"/>
        </w:rPr>
        <w:t xml:space="preserve">5.1, 10, 19.3, 25.5.e), 34.3 </w:t>
      </w:r>
      <w:r>
        <w:rPr>
          <w:lang w:val="fr-CH"/>
        </w:rPr>
        <w:t>et</w:t>
      </w:r>
      <w:r w:rsidRPr="00564CEF">
        <w:rPr>
          <w:lang w:val="fr-CH"/>
        </w:rPr>
        <w:t xml:space="preserve"> 34.4</w:t>
      </w:r>
      <w:r w:rsidRPr="00564CEF">
        <w:rPr>
          <w:lang w:val="fr-CH"/>
        </w:rPr>
        <w:sym w:font="Symbol" w:char="F05D"/>
      </w:r>
      <w:r w:rsidRPr="00564CEF">
        <w:rPr>
          <w:lang w:val="fr-CH"/>
        </w:rPr>
        <w:t xml:space="preserve">. </w:t>
      </w:r>
      <w:r>
        <w:rPr>
          <w:lang w:val="fr-CH"/>
        </w:rPr>
        <w:t>On ne comprend pas de prime abord</w:t>
      </w:r>
      <w:r w:rsidRPr="00834ED9">
        <w:rPr>
          <w:lang w:val="fr-CH"/>
        </w:rPr>
        <w:t xml:space="preserve"> en quoi une</w:t>
      </w:r>
      <w:r>
        <w:rPr>
          <w:lang w:val="fr-CH"/>
        </w:rPr>
        <w:t xml:space="preserve"> « </w:t>
      </w:r>
      <w:r w:rsidRPr="00834ED9">
        <w:rPr>
          <w:lang w:val="fr-CH"/>
        </w:rPr>
        <w:t>recommandation</w:t>
      </w:r>
      <w:r>
        <w:rPr>
          <w:lang w:val="fr-CH"/>
        </w:rPr>
        <w:t> » </w:t>
      </w:r>
      <w:r w:rsidRPr="00834ED9">
        <w:rPr>
          <w:lang w:val="fr-CH"/>
        </w:rPr>
        <w:t>diffère d'un projet de résolution ou de décision</w:t>
      </w:r>
      <w:r w:rsidRPr="00564CEF">
        <w:rPr>
          <w:lang w:val="fr-CH"/>
        </w:rPr>
        <w:t xml:space="preserve">. </w:t>
      </w:r>
    </w:p>
  </w:footnote>
  <w:footnote w:id="6">
    <w:p w:rsidR="008900CE" w:rsidRPr="00564CEF" w:rsidRDefault="008900CE" w:rsidP="00365E8E">
      <w:pPr>
        <w:pStyle w:val="FootnoteText"/>
        <w:ind w:left="0" w:firstLine="0"/>
        <w:rPr>
          <w:lang w:val="fr-CH"/>
        </w:rPr>
      </w:pPr>
      <w:r w:rsidRPr="00564CEF">
        <w:rPr>
          <w:rStyle w:val="FootnoteReference"/>
          <w:lang w:val="fr-CH"/>
        </w:rPr>
        <w:footnoteRef/>
      </w:r>
      <w:r w:rsidRPr="00564CEF">
        <w:rPr>
          <w:lang w:val="fr-CH"/>
        </w:rPr>
        <w:t xml:space="preserve"> </w:t>
      </w:r>
      <w:r>
        <w:rPr>
          <w:lang w:val="fr-CH"/>
        </w:rPr>
        <w:t>Article</w:t>
      </w:r>
      <w:r w:rsidRPr="00564CEF">
        <w:rPr>
          <w:lang w:val="fr-CH"/>
        </w:rPr>
        <w:t xml:space="preserve"> 42. </w:t>
      </w:r>
    </w:p>
  </w:footnote>
  <w:footnote w:id="7">
    <w:p w:rsidR="008900CE" w:rsidRPr="00564CEF" w:rsidRDefault="008900CE" w:rsidP="00365E8E">
      <w:pPr>
        <w:pStyle w:val="FootnoteText"/>
        <w:ind w:left="0" w:firstLine="0"/>
        <w:rPr>
          <w:lang w:val="fr-CH"/>
        </w:rPr>
      </w:pPr>
      <w:r w:rsidRPr="00564CEF">
        <w:rPr>
          <w:rStyle w:val="FootnoteReference"/>
          <w:lang w:val="fr-CH"/>
        </w:rPr>
        <w:footnoteRef/>
      </w:r>
      <w:r w:rsidRPr="00564CEF">
        <w:rPr>
          <w:lang w:val="fr-CH"/>
        </w:rPr>
        <w:t xml:space="preserve"> </w:t>
      </w:r>
      <w:r>
        <w:rPr>
          <w:lang w:val="fr-CH"/>
        </w:rPr>
        <w:t>Article</w:t>
      </w:r>
      <w:r w:rsidRPr="00564CEF">
        <w:rPr>
          <w:lang w:val="fr-CH"/>
        </w:rPr>
        <w:t xml:space="preserve"> 7.5.</w:t>
      </w:r>
    </w:p>
  </w:footnote>
  <w:footnote w:id="8">
    <w:p w:rsidR="008900CE" w:rsidRPr="0068025C" w:rsidRDefault="008900CE" w:rsidP="00C30088">
      <w:pPr>
        <w:pStyle w:val="FootnoteText"/>
        <w:ind w:left="0" w:firstLine="0"/>
        <w:rPr>
          <w:lang w:val="fr-FR"/>
        </w:rPr>
      </w:pPr>
      <w:r>
        <w:rPr>
          <w:rStyle w:val="FootnoteReference"/>
        </w:rPr>
        <w:footnoteRef/>
      </w:r>
      <w:r w:rsidR="00C30088">
        <w:rPr>
          <w:lang w:val="fr-FR"/>
        </w:rPr>
        <w:t xml:space="preserve"> </w:t>
      </w:r>
      <w:r w:rsidRPr="003A7979">
        <w:rPr>
          <w:lang w:val="fr-CH"/>
        </w:rPr>
        <w:t xml:space="preserve">À la CITES, un projet d'ordre du jour est préparé pour examen par le </w:t>
      </w:r>
      <w:r>
        <w:rPr>
          <w:lang w:val="fr-CH"/>
        </w:rPr>
        <w:t>CP</w:t>
      </w:r>
      <w:r w:rsidRPr="003A7979">
        <w:rPr>
          <w:lang w:val="fr-CH"/>
        </w:rPr>
        <w:t xml:space="preserve"> lors de la </w:t>
      </w:r>
      <w:r>
        <w:rPr>
          <w:lang w:val="fr-CH"/>
        </w:rPr>
        <w:t>session</w:t>
      </w:r>
      <w:r w:rsidRPr="003A7979">
        <w:rPr>
          <w:lang w:val="fr-CH"/>
        </w:rPr>
        <w:t xml:space="preserve"> précédant la C</w:t>
      </w:r>
      <w:r>
        <w:rPr>
          <w:lang w:val="fr-CH"/>
        </w:rPr>
        <w:t>o</w:t>
      </w:r>
      <w:r w:rsidRPr="003A7979">
        <w:rPr>
          <w:lang w:val="fr-CH"/>
        </w:rPr>
        <w:t>P (c'est-à-dire l'année précédente). Toutefois, il ne contient que les points permanents et le suivi des décisions. Le Secrétariat doit ensuite ajouter tout</w:t>
      </w:r>
      <w:r>
        <w:rPr>
          <w:lang w:val="fr-CH"/>
        </w:rPr>
        <w:t xml:space="preserve"> nouveau point présenté </w:t>
      </w:r>
      <w:r w:rsidRPr="003A7979">
        <w:rPr>
          <w:lang w:val="fr-CH"/>
        </w:rPr>
        <w:t>par une Partie avant l</w:t>
      </w:r>
      <w:r>
        <w:rPr>
          <w:lang w:val="fr-CH"/>
        </w:rPr>
        <w:t>’expiration du</w:t>
      </w:r>
      <w:r w:rsidRPr="003A7979">
        <w:rPr>
          <w:lang w:val="fr-CH"/>
        </w:rPr>
        <w:t xml:space="preserve"> délai de 150 jours</w:t>
      </w:r>
      <w:r>
        <w:rPr>
          <w:lang w:val="fr-CH"/>
        </w:rPr>
        <w:t>.</w:t>
      </w:r>
    </w:p>
  </w:footnote>
  <w:footnote w:id="9">
    <w:p w:rsidR="008900CE" w:rsidRPr="00DA4028" w:rsidRDefault="008900CE" w:rsidP="00C30088">
      <w:pPr>
        <w:pStyle w:val="FootnoteText"/>
        <w:ind w:left="0" w:firstLine="0"/>
        <w:rPr>
          <w:lang w:val="fr-FR"/>
        </w:rPr>
      </w:pPr>
      <w:r>
        <w:rPr>
          <w:rStyle w:val="FootnoteReference"/>
        </w:rPr>
        <w:footnoteRef/>
      </w:r>
      <w:r>
        <w:rPr>
          <w:lang w:val="fr-FR"/>
        </w:rPr>
        <w:t xml:space="preserve"> </w:t>
      </w:r>
      <w:r w:rsidRPr="00DA4028">
        <w:rPr>
          <w:lang w:val="fr-FR"/>
        </w:rPr>
        <w:t xml:space="preserve">On notera que le Tableau 2 </w:t>
      </w:r>
      <w:r>
        <w:rPr>
          <w:lang w:val="fr-FR"/>
        </w:rPr>
        <w:t xml:space="preserve">accorde </w:t>
      </w:r>
      <w:r w:rsidRPr="00DA4028">
        <w:rPr>
          <w:lang w:val="fr-FR"/>
        </w:rPr>
        <w:t>la priorité aux articles qui donnent ou ont donné lieu à une certaine ambiguïté</w:t>
      </w:r>
      <w:r>
        <w:rPr>
          <w:lang w:val="fr-FR"/>
        </w:rPr>
        <w:t xml:space="preserve"> quant à </w:t>
      </w:r>
      <w:r w:rsidRPr="00DA4028">
        <w:rPr>
          <w:lang w:val="fr-FR"/>
        </w:rPr>
        <w:t xml:space="preserve">leur application aux organes subsidiaires. </w:t>
      </w:r>
      <w:r>
        <w:rPr>
          <w:lang w:val="fr-FR"/>
        </w:rPr>
        <w:t>Une analyse supplémentaire pourra être entreprise si les Parties contractantes l’estiment nécessaires à la 57</w:t>
      </w:r>
      <w:r w:rsidRPr="00DA4028">
        <w:rPr>
          <w:vertAlign w:val="superscript"/>
          <w:lang w:val="fr-FR"/>
        </w:rPr>
        <w:t>e</w:t>
      </w:r>
      <w:r>
        <w:rPr>
          <w:lang w:val="fr-FR"/>
        </w:rPr>
        <w:t xml:space="preserve"> Réunion du Comité permanent, et présentée avec les recommandations finales relatives au Règlement intérieur à la 58</w:t>
      </w:r>
      <w:r w:rsidRPr="00DA4028">
        <w:rPr>
          <w:vertAlign w:val="superscript"/>
          <w:lang w:val="fr-FR"/>
        </w:rPr>
        <w:t>e</w:t>
      </w:r>
      <w:r>
        <w:rPr>
          <w:lang w:val="fr-FR"/>
        </w:rPr>
        <w:t xml:space="preserve"> Réunion du Comité permanent</w:t>
      </w:r>
      <w:r w:rsidRPr="00DA4028">
        <w:rPr>
          <w:lang w:val="fr-FR"/>
        </w:rPr>
        <w:t xml:space="preserve">. </w:t>
      </w:r>
    </w:p>
  </w:footnote>
  <w:footnote w:id="10">
    <w:p w:rsidR="008900CE" w:rsidRPr="00DA4028" w:rsidRDefault="008900CE" w:rsidP="00C30088">
      <w:pPr>
        <w:pStyle w:val="FootnoteText"/>
        <w:ind w:left="0" w:firstLine="0"/>
        <w:rPr>
          <w:lang w:val="fr-FR"/>
        </w:rPr>
      </w:pPr>
      <w:r w:rsidRPr="00DA4028">
        <w:rPr>
          <w:rStyle w:val="FootnoteReference"/>
          <w:lang w:val="fr-FR"/>
        </w:rPr>
        <w:footnoteRef/>
      </w:r>
      <w:r w:rsidRPr="00DA4028">
        <w:rPr>
          <w:lang w:val="fr-FR"/>
        </w:rPr>
        <w:t xml:space="preserve"> </w:t>
      </w:r>
      <w:r>
        <w:rPr>
          <w:lang w:val="fr-FR"/>
        </w:rPr>
        <w:t xml:space="preserve">À l’exception de celles qui ont eu lieu directement avant et </w:t>
      </w:r>
      <w:r w:rsidRPr="00DA4028">
        <w:rPr>
          <w:lang w:val="fr-FR"/>
        </w:rPr>
        <w:t xml:space="preserve">après chaque session de la </w:t>
      </w:r>
      <w:r>
        <w:rPr>
          <w:lang w:val="fr-FR"/>
        </w:rPr>
        <w:t>COP</w:t>
      </w:r>
      <w:r w:rsidRPr="00DA4028">
        <w:rPr>
          <w:lang w:val="fr-FR"/>
        </w:rPr>
        <w:t>.</w:t>
      </w:r>
    </w:p>
  </w:footnote>
  <w:footnote w:id="11">
    <w:p w:rsidR="008900CE" w:rsidRPr="00DA4028" w:rsidRDefault="008900CE" w:rsidP="00C30088">
      <w:pPr>
        <w:pStyle w:val="FootnoteText"/>
        <w:ind w:left="0" w:firstLine="0"/>
        <w:rPr>
          <w:lang w:val="fr-FR"/>
        </w:rPr>
      </w:pPr>
      <w:r w:rsidRPr="00DA4028">
        <w:rPr>
          <w:rStyle w:val="FootnoteReference"/>
          <w:lang w:val="fr-FR"/>
        </w:rPr>
        <w:footnoteRef/>
      </w:r>
      <w:r w:rsidRPr="00DA4028">
        <w:rPr>
          <w:lang w:val="fr-FR"/>
        </w:rPr>
        <w:t xml:space="preserve"> </w:t>
      </w:r>
      <w:r>
        <w:rPr>
          <w:lang w:val="fr-FR"/>
        </w:rPr>
        <w:t>Cela n’est pas compatible avec d’autres c</w:t>
      </w:r>
      <w:r w:rsidRPr="00DA4028">
        <w:rPr>
          <w:lang w:val="fr-FR"/>
        </w:rPr>
        <w:t xml:space="preserve">onventions, y compris la CITES. </w:t>
      </w:r>
    </w:p>
  </w:footnote>
  <w:footnote w:id="12">
    <w:p w:rsidR="008900CE" w:rsidRPr="00DA4028" w:rsidRDefault="008900CE" w:rsidP="008900CE">
      <w:pPr>
        <w:ind w:left="0" w:firstLine="0"/>
        <w:outlineLvl w:val="0"/>
        <w:rPr>
          <w:rFonts w:eastAsia="Times New Roman" w:cstheme="majorHAnsi"/>
          <w:b/>
          <w:bCs/>
          <w:sz w:val="28"/>
          <w:szCs w:val="28"/>
          <w:lang w:val="fr-FR"/>
        </w:rPr>
      </w:pPr>
      <w:r w:rsidRPr="00DA4028">
        <w:rPr>
          <w:rStyle w:val="FootnoteReference"/>
          <w:lang w:val="fr-FR"/>
        </w:rPr>
        <w:footnoteRef/>
      </w:r>
      <w:r w:rsidRPr="00DA4028">
        <w:rPr>
          <w:lang w:val="fr-FR"/>
        </w:rPr>
        <w:t xml:space="preserve"> </w:t>
      </w:r>
      <w:r w:rsidRPr="00DA4028">
        <w:rPr>
          <w:rFonts w:eastAsia="Times New Roman" w:cstheme="majorHAnsi"/>
          <w:bCs/>
          <w:sz w:val="20"/>
          <w:szCs w:val="20"/>
          <w:lang w:val="fr-FR"/>
        </w:rPr>
        <w:t xml:space="preserve">Responsabilités, rôles </w:t>
      </w:r>
      <w:r>
        <w:rPr>
          <w:rFonts w:eastAsia="Times New Roman" w:cstheme="majorHAnsi"/>
          <w:bCs/>
          <w:sz w:val="20"/>
          <w:szCs w:val="20"/>
          <w:lang w:val="fr-FR"/>
        </w:rPr>
        <w:t xml:space="preserve">et </w:t>
      </w:r>
      <w:r w:rsidRPr="00DA4028">
        <w:rPr>
          <w:rFonts w:eastAsia="Times New Roman" w:cstheme="majorHAnsi"/>
          <w:bCs/>
          <w:sz w:val="20"/>
          <w:szCs w:val="20"/>
          <w:lang w:val="fr-FR"/>
        </w:rPr>
        <w:t xml:space="preserve">composition du Comité permanent </w:t>
      </w:r>
      <w:r>
        <w:rPr>
          <w:rFonts w:eastAsia="Times New Roman" w:cstheme="majorHAnsi"/>
          <w:bCs/>
          <w:sz w:val="20"/>
          <w:szCs w:val="20"/>
          <w:lang w:val="fr-FR"/>
        </w:rPr>
        <w:t xml:space="preserve">et répartition régionale des pays dans le cadre de la </w:t>
      </w:r>
      <w:r w:rsidRPr="00DA4028">
        <w:rPr>
          <w:rFonts w:eastAsia="Times New Roman" w:cstheme="majorHAnsi"/>
          <w:bCs/>
          <w:sz w:val="20"/>
          <w:szCs w:val="20"/>
          <w:lang w:val="fr-FR"/>
        </w:rPr>
        <w:t>Convention.</w:t>
      </w:r>
    </w:p>
  </w:footnote>
  <w:footnote w:id="13">
    <w:p w:rsidR="008900CE" w:rsidRPr="00DA4028" w:rsidRDefault="008900CE" w:rsidP="008900CE">
      <w:pPr>
        <w:pStyle w:val="FootnoteText"/>
        <w:rPr>
          <w:lang w:val="fr-FR"/>
        </w:rPr>
      </w:pPr>
      <w:r w:rsidRPr="00DA4028">
        <w:rPr>
          <w:rStyle w:val="FootnoteReference"/>
          <w:lang w:val="fr-FR"/>
        </w:rPr>
        <w:footnoteRef/>
      </w:r>
      <w:r w:rsidRPr="00DA4028">
        <w:rPr>
          <w:lang w:val="fr-FR"/>
        </w:rPr>
        <w:t xml:space="preserve"> </w:t>
      </w:r>
      <w:r>
        <w:rPr>
          <w:lang w:val="fr-FR"/>
        </w:rPr>
        <w:t xml:space="preserve">Cela est compatible avec le Règlement intérieur de la </w:t>
      </w:r>
      <w:r w:rsidRPr="00DA4028">
        <w:rPr>
          <w:lang w:val="fr-FR"/>
        </w:rPr>
        <w:t>CITES</w:t>
      </w:r>
      <w:r>
        <w:rPr>
          <w:lang w:val="fr-FR"/>
        </w:rPr>
        <w:t xml:space="preserve"> pour son </w:t>
      </w:r>
      <w:r w:rsidRPr="00DA4028">
        <w:rPr>
          <w:lang w:val="fr-FR"/>
        </w:rPr>
        <w:t>Comité permanent (</w:t>
      </w:r>
      <w:r>
        <w:rPr>
          <w:lang w:val="fr-FR"/>
        </w:rPr>
        <w:t>voir l’article</w:t>
      </w:r>
      <w:r w:rsidRPr="00DA4028">
        <w:rPr>
          <w:lang w:val="fr-FR"/>
        </w:rPr>
        <w:t xml:space="preserve"> 17.4).</w:t>
      </w:r>
    </w:p>
  </w:footnote>
  <w:footnote w:id="14">
    <w:p w:rsidR="008900CE" w:rsidRPr="0010047D" w:rsidRDefault="008900CE" w:rsidP="008900CE">
      <w:pPr>
        <w:pStyle w:val="FootnoteText"/>
        <w:ind w:left="142" w:hanging="142"/>
        <w:rPr>
          <w:lang w:val="fr-FR"/>
        </w:rPr>
      </w:pPr>
      <w:r w:rsidRPr="00D035F6">
        <w:rPr>
          <w:rStyle w:val="FootnoteReference"/>
        </w:rPr>
        <w:footnoteRef/>
      </w:r>
      <w:r w:rsidRPr="0068025C">
        <w:rPr>
          <w:lang w:val="fr-FR"/>
        </w:rPr>
        <w:t xml:space="preserve"> </w:t>
      </w:r>
      <w:r w:rsidRPr="0010047D">
        <w:rPr>
          <w:lang w:val="fr-FR"/>
        </w:rPr>
        <w:t xml:space="preserve">La Résolution XIII.4, </w:t>
      </w:r>
      <w:r>
        <w:rPr>
          <w:lang w:val="fr-FR"/>
        </w:rPr>
        <w:t xml:space="preserve">au </w:t>
      </w:r>
      <w:r w:rsidRPr="0010047D">
        <w:rPr>
          <w:lang w:val="fr-FR"/>
        </w:rPr>
        <w:t>paragraph</w:t>
      </w:r>
      <w:r>
        <w:rPr>
          <w:lang w:val="fr-FR"/>
        </w:rPr>
        <w:t>e</w:t>
      </w:r>
      <w:r w:rsidRPr="0010047D">
        <w:rPr>
          <w:lang w:val="fr-FR"/>
        </w:rPr>
        <w:t xml:space="preserve"> 11 </w:t>
      </w:r>
      <w:r>
        <w:rPr>
          <w:lang w:val="fr-FR"/>
        </w:rPr>
        <w:t xml:space="preserve">de l’Annexe </w:t>
      </w:r>
      <w:r w:rsidRPr="0010047D">
        <w:rPr>
          <w:lang w:val="fr-FR"/>
        </w:rPr>
        <w:t xml:space="preserve">1, </w:t>
      </w:r>
      <w:r>
        <w:rPr>
          <w:lang w:val="fr-FR"/>
        </w:rPr>
        <w:t>stipule que « </w:t>
      </w:r>
      <w:r w:rsidRPr="0010047D">
        <w:rPr>
          <w:lang w:val="fr-FR"/>
        </w:rPr>
        <w:t>Le Secrétariat continue de notifier toutes les Parties contractantes de la date et de l’ordre du</w:t>
      </w:r>
      <w:r>
        <w:rPr>
          <w:lang w:val="fr-FR"/>
        </w:rPr>
        <w:t xml:space="preserve"> </w:t>
      </w:r>
      <w:r w:rsidRPr="0010047D">
        <w:rPr>
          <w:lang w:val="fr-FR"/>
        </w:rPr>
        <w:t>jour des réunions du Comité permanent trois mois au moins avant chaque réunion afin qu’elles</w:t>
      </w:r>
      <w:r>
        <w:rPr>
          <w:lang w:val="fr-FR"/>
        </w:rPr>
        <w:t xml:space="preserve"> </w:t>
      </w:r>
      <w:r w:rsidRPr="0010047D">
        <w:rPr>
          <w:lang w:val="fr-FR"/>
        </w:rPr>
        <w:t>puissent, au besoin, prendre les dispositions nécessaires pour être représentées à la réunion en</w:t>
      </w:r>
      <w:r>
        <w:rPr>
          <w:lang w:val="fr-FR"/>
        </w:rPr>
        <w:t xml:space="preserve"> </w:t>
      </w:r>
      <w:r w:rsidRPr="0010047D">
        <w:rPr>
          <w:lang w:val="fr-FR"/>
        </w:rPr>
        <w:t>tant qu’observateurs</w:t>
      </w:r>
      <w:r>
        <w:rPr>
          <w:lang w:val="fr-FR"/>
        </w:rPr>
        <w:t>. »</w:t>
      </w:r>
      <w:r w:rsidRPr="0010047D">
        <w:rPr>
          <w:lang w:val="fr-FR"/>
        </w:rPr>
        <w:t xml:space="preserve"> </w:t>
      </w:r>
      <w:r>
        <w:rPr>
          <w:lang w:val="fr-FR"/>
        </w:rPr>
        <w:t xml:space="preserve">L’Annexe </w:t>
      </w:r>
      <w:r w:rsidRPr="0010047D">
        <w:rPr>
          <w:lang w:val="fr-FR"/>
        </w:rPr>
        <w:t xml:space="preserve">4 </w:t>
      </w:r>
      <w:r>
        <w:rPr>
          <w:lang w:val="fr-FR"/>
        </w:rPr>
        <w:t>de cette r</w:t>
      </w:r>
      <w:r w:rsidRPr="0010047D">
        <w:rPr>
          <w:lang w:val="fr-FR"/>
        </w:rPr>
        <w:t xml:space="preserve">ésolution </w:t>
      </w:r>
      <w:r>
        <w:rPr>
          <w:lang w:val="fr-FR"/>
        </w:rPr>
        <w:t xml:space="preserve">comporte en outre un programme indicatif des réunions du </w:t>
      </w:r>
      <w:r w:rsidRPr="0010047D">
        <w:rPr>
          <w:lang w:val="fr-FR"/>
        </w:rPr>
        <w:t xml:space="preserve">Comité permanent </w:t>
      </w:r>
      <w:r>
        <w:rPr>
          <w:lang w:val="fr-FR"/>
        </w:rPr>
        <w:t xml:space="preserve">entre </w:t>
      </w:r>
      <w:r w:rsidRPr="0010047D">
        <w:rPr>
          <w:lang w:val="fr-FR"/>
        </w:rPr>
        <w:t xml:space="preserve">2018 </w:t>
      </w:r>
      <w:r>
        <w:rPr>
          <w:lang w:val="fr-FR"/>
        </w:rPr>
        <w:t xml:space="preserve">et la </w:t>
      </w:r>
      <w:r w:rsidRPr="0010047D">
        <w:rPr>
          <w:lang w:val="fr-FR"/>
        </w:rPr>
        <w:t xml:space="preserve">COP14. </w:t>
      </w:r>
    </w:p>
  </w:footnote>
  <w:footnote w:id="15">
    <w:p w:rsidR="008900CE" w:rsidRPr="0010047D" w:rsidRDefault="008900CE" w:rsidP="008900CE">
      <w:pPr>
        <w:pStyle w:val="FootnoteText"/>
        <w:ind w:left="142" w:hanging="142"/>
        <w:rPr>
          <w:lang w:val="fr-FR"/>
        </w:rPr>
      </w:pPr>
      <w:r w:rsidRPr="0010047D">
        <w:rPr>
          <w:rStyle w:val="FootnoteReference"/>
          <w:lang w:val="fr-FR"/>
        </w:rPr>
        <w:footnoteRef/>
      </w:r>
      <w:r w:rsidRPr="0010047D">
        <w:rPr>
          <w:lang w:val="fr-FR"/>
        </w:rPr>
        <w:t xml:space="preserve"> Par exemple, </w:t>
      </w:r>
      <w:r>
        <w:rPr>
          <w:lang w:val="fr-FR"/>
        </w:rPr>
        <w:t xml:space="preserve">la </w:t>
      </w:r>
      <w:r w:rsidRPr="0010047D">
        <w:rPr>
          <w:lang w:val="fr-FR"/>
        </w:rPr>
        <w:t>Résolution XIII.8,</w:t>
      </w:r>
      <w:r>
        <w:rPr>
          <w:lang w:val="fr-FR"/>
        </w:rPr>
        <w:t xml:space="preserve"> au </w:t>
      </w:r>
      <w:r w:rsidRPr="0010047D">
        <w:rPr>
          <w:lang w:val="fr-FR"/>
        </w:rPr>
        <w:t>paragraph</w:t>
      </w:r>
      <w:r>
        <w:rPr>
          <w:lang w:val="fr-FR"/>
        </w:rPr>
        <w:t>e</w:t>
      </w:r>
      <w:r w:rsidRPr="0010047D">
        <w:rPr>
          <w:lang w:val="fr-FR"/>
        </w:rPr>
        <w:t xml:space="preserve"> 16</w:t>
      </w:r>
      <w:r>
        <w:rPr>
          <w:lang w:val="fr-FR"/>
        </w:rPr>
        <w:t>,</w:t>
      </w:r>
      <w:r w:rsidRPr="0010047D">
        <w:rPr>
          <w:lang w:val="fr-FR"/>
        </w:rPr>
        <w:t xml:space="preserve"> </w:t>
      </w:r>
      <w:r>
        <w:rPr>
          <w:lang w:val="fr-FR"/>
        </w:rPr>
        <w:t xml:space="preserve">demande au </w:t>
      </w:r>
      <w:r w:rsidRPr="0010047D">
        <w:rPr>
          <w:lang w:val="fr-FR"/>
        </w:rPr>
        <w:t xml:space="preserve">Secrétariat </w:t>
      </w:r>
      <w:r>
        <w:rPr>
          <w:lang w:val="fr-FR"/>
        </w:rPr>
        <w:t>de « </w:t>
      </w:r>
      <w:r w:rsidRPr="0010047D">
        <w:rPr>
          <w:lang w:val="fr-FR"/>
        </w:rPr>
        <w:t>programmer la deuxième réunion du GEST en conjonction avec la</w:t>
      </w:r>
      <w:r>
        <w:rPr>
          <w:lang w:val="fr-FR"/>
        </w:rPr>
        <w:t xml:space="preserve"> </w:t>
      </w:r>
      <w:r w:rsidRPr="0010047D">
        <w:rPr>
          <w:lang w:val="fr-FR"/>
        </w:rPr>
        <w:t>deuxième Réunion du Comité permanent dans la période triennale, à partir de la 58</w:t>
      </w:r>
      <w:r w:rsidRPr="00BA7552">
        <w:rPr>
          <w:vertAlign w:val="superscript"/>
          <w:lang w:val="fr-FR"/>
        </w:rPr>
        <w:t>e</w:t>
      </w:r>
      <w:r>
        <w:rPr>
          <w:lang w:val="fr-FR"/>
        </w:rPr>
        <w:t xml:space="preserve"> </w:t>
      </w:r>
      <w:r w:rsidRPr="0010047D">
        <w:rPr>
          <w:lang w:val="fr-FR"/>
        </w:rPr>
        <w:t>Réunion</w:t>
      </w:r>
      <w:r>
        <w:rPr>
          <w:lang w:val="fr-FR"/>
        </w:rPr>
        <w:t xml:space="preserve"> </w:t>
      </w:r>
      <w:r w:rsidRPr="0010047D">
        <w:rPr>
          <w:lang w:val="fr-FR"/>
        </w:rPr>
        <w:t>du Comité permanent et de poursuivre pendant les périodes triennales suivantes</w:t>
      </w:r>
      <w:r>
        <w:rPr>
          <w:lang w:val="fr-FR"/>
        </w:rPr>
        <w:t>…».</w:t>
      </w:r>
    </w:p>
  </w:footnote>
  <w:footnote w:id="16">
    <w:p w:rsidR="008900CE" w:rsidRPr="0010047D" w:rsidRDefault="008900CE" w:rsidP="008900CE">
      <w:pPr>
        <w:pStyle w:val="FootnoteText"/>
        <w:rPr>
          <w:lang w:val="fr-FR"/>
        </w:rPr>
      </w:pPr>
      <w:r w:rsidRPr="0010047D">
        <w:rPr>
          <w:rStyle w:val="FootnoteReference"/>
          <w:lang w:val="fr-FR"/>
        </w:rPr>
        <w:footnoteRef/>
      </w:r>
      <w:r w:rsidRPr="0010047D">
        <w:rPr>
          <w:lang w:val="fr-FR"/>
        </w:rPr>
        <w:t xml:space="preserve"> Ibid, Note 12. </w:t>
      </w:r>
    </w:p>
  </w:footnote>
  <w:footnote w:id="17">
    <w:p w:rsidR="008900CE" w:rsidRPr="00175AFC" w:rsidRDefault="008900CE" w:rsidP="008900CE">
      <w:pPr>
        <w:pStyle w:val="FootnoteText"/>
        <w:ind w:left="142" w:hanging="142"/>
        <w:rPr>
          <w:lang w:val="fr-FR"/>
        </w:rPr>
      </w:pPr>
      <w:r>
        <w:rPr>
          <w:rStyle w:val="FootnoteReference"/>
        </w:rPr>
        <w:footnoteRef/>
      </w:r>
      <w:r w:rsidRPr="0068025C">
        <w:rPr>
          <w:lang w:val="fr-FR"/>
        </w:rPr>
        <w:t xml:space="preserve"> </w:t>
      </w:r>
      <w:r w:rsidRPr="00175AFC">
        <w:rPr>
          <w:lang w:val="fr-FR"/>
        </w:rPr>
        <w:t xml:space="preserve">L’article 25.5(e) stipule que </w:t>
      </w:r>
      <w:r>
        <w:rPr>
          <w:lang w:val="fr-FR"/>
        </w:rPr>
        <w:t>« </w:t>
      </w:r>
      <w:r w:rsidRPr="00175AFC">
        <w:rPr>
          <w:lang w:val="fr-FR"/>
        </w:rPr>
        <w:t>Outre les organes subsidiaires, la Conférence des Parties peut établir de petits groupes de</w:t>
      </w:r>
      <w:r>
        <w:rPr>
          <w:lang w:val="fr-FR"/>
        </w:rPr>
        <w:t xml:space="preserve"> </w:t>
      </w:r>
      <w:r w:rsidRPr="00175AFC">
        <w:rPr>
          <w:lang w:val="fr-FR"/>
        </w:rPr>
        <w:t>travail informels</w:t>
      </w:r>
      <w:r>
        <w:rPr>
          <w:lang w:val="fr-FR"/>
        </w:rPr>
        <w:t>…». L’utilisation de l’expression « outre »</w:t>
      </w:r>
      <w:r w:rsidRPr="00175AFC">
        <w:rPr>
          <w:lang w:val="fr-FR"/>
        </w:rPr>
        <w:t xml:space="preserve"> </w:t>
      </w:r>
      <w:r>
        <w:rPr>
          <w:lang w:val="fr-FR"/>
        </w:rPr>
        <w:t>indique que ces groupes informels ne sont pas des organes subsidiaires</w:t>
      </w:r>
      <w:r w:rsidRPr="00175AFC">
        <w:rPr>
          <w:lang w:val="fr-FR"/>
        </w:rPr>
        <w:t xml:space="preserve">. </w:t>
      </w:r>
    </w:p>
  </w:footnote>
  <w:footnote w:id="18">
    <w:p w:rsidR="008900CE" w:rsidRPr="0068025C" w:rsidRDefault="008900CE" w:rsidP="008900CE">
      <w:pPr>
        <w:pStyle w:val="FootnoteText"/>
        <w:rPr>
          <w:lang w:val="fr-FR"/>
        </w:rPr>
      </w:pPr>
      <w:r>
        <w:rPr>
          <w:rStyle w:val="FootnoteReference"/>
        </w:rPr>
        <w:footnoteRef/>
      </w:r>
      <w:r w:rsidRPr="0068025C">
        <w:rPr>
          <w:lang w:val="fr-FR"/>
        </w:rPr>
        <w:t xml:space="preserve"> Ibid, note 12.</w:t>
      </w:r>
    </w:p>
  </w:footnote>
  <w:footnote w:id="19">
    <w:p w:rsidR="008900CE" w:rsidRPr="00BD0E7C" w:rsidRDefault="008900CE" w:rsidP="008900CE">
      <w:pPr>
        <w:pStyle w:val="FootnoteText"/>
        <w:ind w:left="142" w:hanging="142"/>
        <w:rPr>
          <w:lang w:val="fr-FR"/>
        </w:rPr>
      </w:pPr>
      <w:r w:rsidRPr="00BD0E7C">
        <w:rPr>
          <w:rStyle w:val="FootnoteReference"/>
          <w:lang w:val="fr-FR"/>
        </w:rPr>
        <w:footnoteRef/>
      </w:r>
      <w:r w:rsidRPr="00BD0E7C">
        <w:rPr>
          <w:lang w:val="fr-FR"/>
        </w:rPr>
        <w:t xml:space="preserve"> </w:t>
      </w:r>
      <w:r>
        <w:rPr>
          <w:lang w:val="fr-FR"/>
        </w:rPr>
        <w:t xml:space="preserve">On notera que la </w:t>
      </w:r>
      <w:r w:rsidRPr="00BD0E7C">
        <w:rPr>
          <w:lang w:val="fr-FR"/>
        </w:rPr>
        <w:t xml:space="preserve">Résolution XIII.4, </w:t>
      </w:r>
      <w:r>
        <w:rPr>
          <w:lang w:val="fr-FR"/>
        </w:rPr>
        <w:t>au paragraphe 9 de l’</w:t>
      </w:r>
      <w:r w:rsidRPr="00BD0E7C">
        <w:rPr>
          <w:lang w:val="fr-FR"/>
        </w:rPr>
        <w:t>Annex</w:t>
      </w:r>
      <w:r>
        <w:rPr>
          <w:lang w:val="fr-FR"/>
        </w:rPr>
        <w:t>e</w:t>
      </w:r>
      <w:r w:rsidRPr="00BD0E7C">
        <w:rPr>
          <w:lang w:val="fr-FR"/>
        </w:rPr>
        <w:t xml:space="preserve"> 1, </w:t>
      </w:r>
      <w:r>
        <w:rPr>
          <w:lang w:val="fr-FR"/>
        </w:rPr>
        <w:t>stipule ce qui suit</w:t>
      </w:r>
      <w:r w:rsidRPr="00BD0E7C">
        <w:rPr>
          <w:lang w:val="fr-FR"/>
        </w:rPr>
        <w:t>:</w:t>
      </w:r>
      <w:r>
        <w:rPr>
          <w:lang w:val="fr-FR"/>
        </w:rPr>
        <w:t xml:space="preserve"> « Les </w:t>
      </w:r>
      <w:r w:rsidRPr="00BD0E7C">
        <w:rPr>
          <w:lang w:val="fr-FR"/>
        </w:rPr>
        <w:t>Parties contractantes qui sont des membres du Comité permanent ayant le droit de vote</w:t>
      </w:r>
      <w:r>
        <w:rPr>
          <w:lang w:val="fr-FR"/>
        </w:rPr>
        <w:t xml:space="preserve"> </w:t>
      </w:r>
      <w:r w:rsidRPr="00BD0E7C">
        <w:rPr>
          <w:lang w:val="fr-FR"/>
        </w:rPr>
        <w:t>communiquent au Secrétariat, par voie diplomatique, le nom du ou des responsables de</w:t>
      </w:r>
      <w:r>
        <w:rPr>
          <w:lang w:val="fr-FR"/>
        </w:rPr>
        <w:t xml:space="preserve"> </w:t>
      </w:r>
      <w:r w:rsidRPr="00BD0E7C">
        <w:rPr>
          <w:lang w:val="fr-FR"/>
        </w:rPr>
        <w:t>l’Autorité administrative Ramsar désignée au niveau national qui seront leurs délégués au</w:t>
      </w:r>
      <w:r>
        <w:rPr>
          <w:lang w:val="fr-FR"/>
        </w:rPr>
        <w:t xml:space="preserve"> </w:t>
      </w:r>
      <w:r w:rsidRPr="00BD0E7C">
        <w:rPr>
          <w:lang w:val="fr-FR"/>
        </w:rPr>
        <w:t>Comité permanent ainsi que le nom de leurs remplaçants, le cas échéant.</w:t>
      </w:r>
      <w:r>
        <w:rPr>
          <w:lang w:val="fr-FR"/>
        </w:rPr>
        <w:t> »</w:t>
      </w:r>
    </w:p>
  </w:footnote>
  <w:footnote w:id="20">
    <w:p w:rsidR="008900CE" w:rsidRPr="00102177" w:rsidRDefault="008900CE" w:rsidP="008900CE">
      <w:pPr>
        <w:pStyle w:val="FootnoteText"/>
        <w:rPr>
          <w:lang w:val="fr-FR"/>
        </w:rPr>
      </w:pPr>
      <w:r>
        <w:rPr>
          <w:rStyle w:val="FootnoteReference"/>
        </w:rPr>
        <w:footnoteRef/>
      </w:r>
      <w:r w:rsidRPr="0068025C">
        <w:rPr>
          <w:lang w:val="fr-FR"/>
        </w:rPr>
        <w:t xml:space="preserve"> </w:t>
      </w:r>
      <w:r w:rsidRPr="00102177">
        <w:rPr>
          <w:lang w:val="fr-FR"/>
        </w:rPr>
        <w:t xml:space="preserve">Cet </w:t>
      </w:r>
      <w:r w:rsidRPr="00125106">
        <w:rPr>
          <w:lang w:val="fr-FR"/>
        </w:rPr>
        <w:t>alinéa</w:t>
      </w:r>
      <w:r w:rsidRPr="00102177">
        <w:rPr>
          <w:lang w:val="fr-FR"/>
        </w:rPr>
        <w:t xml:space="preserve"> stipule que </w:t>
      </w:r>
      <w:r>
        <w:rPr>
          <w:lang w:val="fr-FR"/>
        </w:rPr>
        <w:t>« le président de tout organe subsidiaire a le droit de vote.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CE" w:rsidRDefault="008900CE">
    <w:pPr>
      <w:pStyle w:val="Header"/>
    </w:pPr>
  </w:p>
  <w:p w:rsidR="008900CE" w:rsidRDefault="0089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50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9077E"/>
    <w:multiLevelType w:val="hybridMultilevel"/>
    <w:tmpl w:val="1AAE06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217ADA"/>
    <w:multiLevelType w:val="hybridMultilevel"/>
    <w:tmpl w:val="83AE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E56002E"/>
    <w:multiLevelType w:val="multilevel"/>
    <w:tmpl w:val="3B64D67E"/>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87B73"/>
    <w:multiLevelType w:val="hybridMultilevel"/>
    <w:tmpl w:val="8F1A6470"/>
    <w:lvl w:ilvl="0" w:tplc="45C8A13A">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6B51CED"/>
    <w:multiLevelType w:val="hybridMultilevel"/>
    <w:tmpl w:val="B052D3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1F68E2"/>
    <w:multiLevelType w:val="multilevel"/>
    <w:tmpl w:val="1A324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6465A48"/>
    <w:multiLevelType w:val="hybridMultilevel"/>
    <w:tmpl w:val="957E9C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953A89"/>
    <w:multiLevelType w:val="hybridMultilevel"/>
    <w:tmpl w:val="DA464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6334368"/>
    <w:multiLevelType w:val="multilevel"/>
    <w:tmpl w:val="7BDA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905F5E"/>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CBA2FB0"/>
    <w:multiLevelType w:val="hybridMultilevel"/>
    <w:tmpl w:val="8F1A6470"/>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615C4A9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1FE24D5"/>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A33457"/>
    <w:multiLevelType w:val="hybridMultilevel"/>
    <w:tmpl w:val="648A8F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7"/>
  </w:num>
  <w:num w:numId="13">
    <w:abstractNumId w:val="24"/>
  </w:num>
  <w:num w:numId="14">
    <w:abstractNumId w:val="17"/>
  </w:num>
  <w:num w:numId="15">
    <w:abstractNumId w:val="3"/>
  </w:num>
  <w:num w:numId="16">
    <w:abstractNumId w:val="20"/>
  </w:num>
  <w:num w:numId="17">
    <w:abstractNumId w:val="30"/>
  </w:num>
  <w:num w:numId="18">
    <w:abstractNumId w:val="42"/>
  </w:num>
  <w:num w:numId="19">
    <w:abstractNumId w:val="41"/>
  </w:num>
  <w:num w:numId="20">
    <w:abstractNumId w:val="32"/>
  </w:num>
  <w:num w:numId="21">
    <w:abstractNumId w:val="34"/>
  </w:num>
  <w:num w:numId="22">
    <w:abstractNumId w:val="21"/>
  </w:num>
  <w:num w:numId="23">
    <w:abstractNumId w:val="31"/>
  </w:num>
  <w:num w:numId="24">
    <w:abstractNumId w:val="27"/>
  </w:num>
  <w:num w:numId="25">
    <w:abstractNumId w:val="40"/>
  </w:num>
  <w:num w:numId="26">
    <w:abstractNumId w:val="13"/>
  </w:num>
  <w:num w:numId="27">
    <w:abstractNumId w:val="1"/>
  </w:num>
  <w:num w:numId="28">
    <w:abstractNumId w:val="16"/>
  </w:num>
  <w:num w:numId="29">
    <w:abstractNumId w:val="4"/>
  </w:num>
  <w:num w:numId="30">
    <w:abstractNumId w:val="11"/>
  </w:num>
  <w:num w:numId="31">
    <w:abstractNumId w:val="0"/>
  </w:num>
  <w:num w:numId="32">
    <w:abstractNumId w:val="5"/>
  </w:num>
  <w:num w:numId="33">
    <w:abstractNumId w:val="15"/>
  </w:num>
  <w:num w:numId="34">
    <w:abstractNumId w:val="28"/>
  </w:num>
  <w:num w:numId="35">
    <w:abstractNumId w:val="29"/>
  </w:num>
  <w:num w:numId="36">
    <w:abstractNumId w:val="35"/>
  </w:num>
  <w:num w:numId="37">
    <w:abstractNumId w:val="18"/>
  </w:num>
  <w:num w:numId="38">
    <w:abstractNumId w:val="25"/>
  </w:num>
  <w:num w:numId="39">
    <w:abstractNumId w:val="22"/>
  </w:num>
  <w:num w:numId="40">
    <w:abstractNumId w:val="38"/>
  </w:num>
  <w:num w:numId="41">
    <w:abstractNumId w:val="6"/>
  </w:num>
  <w:num w:numId="42">
    <w:abstractNumId w:val="2"/>
  </w:num>
  <w:num w:numId="43">
    <w:abstractNumId w:val="36"/>
  </w:num>
  <w:num w:numId="44">
    <w:abstractNumId w:val="9"/>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1E11"/>
    <w:rsid w:val="00007392"/>
    <w:rsid w:val="0001341E"/>
    <w:rsid w:val="00013DF9"/>
    <w:rsid w:val="00013E90"/>
    <w:rsid w:val="00014168"/>
    <w:rsid w:val="000153CD"/>
    <w:rsid w:val="00017A16"/>
    <w:rsid w:val="000204EA"/>
    <w:rsid w:val="00023AAE"/>
    <w:rsid w:val="000243A9"/>
    <w:rsid w:val="0002469F"/>
    <w:rsid w:val="000263BF"/>
    <w:rsid w:val="00026E09"/>
    <w:rsid w:val="00027178"/>
    <w:rsid w:val="00030844"/>
    <w:rsid w:val="00032720"/>
    <w:rsid w:val="00034B76"/>
    <w:rsid w:val="00035D64"/>
    <w:rsid w:val="0003663A"/>
    <w:rsid w:val="00036F15"/>
    <w:rsid w:val="00037CE0"/>
    <w:rsid w:val="00037DE3"/>
    <w:rsid w:val="00043308"/>
    <w:rsid w:val="00044C91"/>
    <w:rsid w:val="000528C0"/>
    <w:rsid w:val="00053929"/>
    <w:rsid w:val="00073558"/>
    <w:rsid w:val="00074DE8"/>
    <w:rsid w:val="00075715"/>
    <w:rsid w:val="00075802"/>
    <w:rsid w:val="00076DEA"/>
    <w:rsid w:val="0008177A"/>
    <w:rsid w:val="0008321E"/>
    <w:rsid w:val="000850CD"/>
    <w:rsid w:val="00096A7D"/>
    <w:rsid w:val="000A2227"/>
    <w:rsid w:val="000A3E3E"/>
    <w:rsid w:val="000A4EF9"/>
    <w:rsid w:val="000A7C39"/>
    <w:rsid w:val="000B39C5"/>
    <w:rsid w:val="000B7CCB"/>
    <w:rsid w:val="000C061B"/>
    <w:rsid w:val="000C2489"/>
    <w:rsid w:val="000C42A5"/>
    <w:rsid w:val="000C77F9"/>
    <w:rsid w:val="000D23A6"/>
    <w:rsid w:val="000D3CCB"/>
    <w:rsid w:val="000D5C76"/>
    <w:rsid w:val="000E2FA0"/>
    <w:rsid w:val="000E37B6"/>
    <w:rsid w:val="000E47E9"/>
    <w:rsid w:val="000E6513"/>
    <w:rsid w:val="000F2AFC"/>
    <w:rsid w:val="000F5169"/>
    <w:rsid w:val="001073D2"/>
    <w:rsid w:val="00107843"/>
    <w:rsid w:val="001126BE"/>
    <w:rsid w:val="00115408"/>
    <w:rsid w:val="0012096C"/>
    <w:rsid w:val="00123F03"/>
    <w:rsid w:val="00125571"/>
    <w:rsid w:val="0012637B"/>
    <w:rsid w:val="00127828"/>
    <w:rsid w:val="0013281C"/>
    <w:rsid w:val="001333EB"/>
    <w:rsid w:val="00133A74"/>
    <w:rsid w:val="001406FB"/>
    <w:rsid w:val="00144E6C"/>
    <w:rsid w:val="00150FCA"/>
    <w:rsid w:val="0015134F"/>
    <w:rsid w:val="00151628"/>
    <w:rsid w:val="001559DB"/>
    <w:rsid w:val="00155F3C"/>
    <w:rsid w:val="00155FB1"/>
    <w:rsid w:val="00155FB5"/>
    <w:rsid w:val="0015639E"/>
    <w:rsid w:val="00156AA1"/>
    <w:rsid w:val="00160993"/>
    <w:rsid w:val="00161BDA"/>
    <w:rsid w:val="001634AA"/>
    <w:rsid w:val="00163BAD"/>
    <w:rsid w:val="001665DA"/>
    <w:rsid w:val="00171618"/>
    <w:rsid w:val="00171C06"/>
    <w:rsid w:val="0017358B"/>
    <w:rsid w:val="001750E4"/>
    <w:rsid w:val="001772C8"/>
    <w:rsid w:val="00180BA9"/>
    <w:rsid w:val="00181737"/>
    <w:rsid w:val="001819B1"/>
    <w:rsid w:val="001823A5"/>
    <w:rsid w:val="00183710"/>
    <w:rsid w:val="001847B8"/>
    <w:rsid w:val="0019058C"/>
    <w:rsid w:val="00191368"/>
    <w:rsid w:val="00193760"/>
    <w:rsid w:val="0019394B"/>
    <w:rsid w:val="00193F58"/>
    <w:rsid w:val="001964CB"/>
    <w:rsid w:val="001A0474"/>
    <w:rsid w:val="001A25F2"/>
    <w:rsid w:val="001A2D10"/>
    <w:rsid w:val="001A510B"/>
    <w:rsid w:val="001A6869"/>
    <w:rsid w:val="001A72B8"/>
    <w:rsid w:val="001B0850"/>
    <w:rsid w:val="001B0C4D"/>
    <w:rsid w:val="001C25AA"/>
    <w:rsid w:val="001C5E41"/>
    <w:rsid w:val="001C77BC"/>
    <w:rsid w:val="001D000E"/>
    <w:rsid w:val="001D3551"/>
    <w:rsid w:val="001D36D7"/>
    <w:rsid w:val="001D48BB"/>
    <w:rsid w:val="001D6B27"/>
    <w:rsid w:val="001E00E3"/>
    <w:rsid w:val="001E011D"/>
    <w:rsid w:val="001E0DB7"/>
    <w:rsid w:val="001E25F2"/>
    <w:rsid w:val="001E6F1D"/>
    <w:rsid w:val="001E7FCF"/>
    <w:rsid w:val="001F2349"/>
    <w:rsid w:val="001F73D0"/>
    <w:rsid w:val="001F7BD1"/>
    <w:rsid w:val="002005D2"/>
    <w:rsid w:val="0020298B"/>
    <w:rsid w:val="00203478"/>
    <w:rsid w:val="00203954"/>
    <w:rsid w:val="00203EE2"/>
    <w:rsid w:val="00206111"/>
    <w:rsid w:val="00211242"/>
    <w:rsid w:val="002137E0"/>
    <w:rsid w:val="00213C5C"/>
    <w:rsid w:val="00217A3D"/>
    <w:rsid w:val="002210DF"/>
    <w:rsid w:val="00221AD5"/>
    <w:rsid w:val="002247AD"/>
    <w:rsid w:val="0022670B"/>
    <w:rsid w:val="00226F12"/>
    <w:rsid w:val="00233FB5"/>
    <w:rsid w:val="00237EF2"/>
    <w:rsid w:val="00242448"/>
    <w:rsid w:val="002434A0"/>
    <w:rsid w:val="002450DB"/>
    <w:rsid w:val="002509CE"/>
    <w:rsid w:val="00252475"/>
    <w:rsid w:val="00252F91"/>
    <w:rsid w:val="002613F1"/>
    <w:rsid w:val="002619C1"/>
    <w:rsid w:val="00262B37"/>
    <w:rsid w:val="002632D2"/>
    <w:rsid w:val="0026374C"/>
    <w:rsid w:val="00265669"/>
    <w:rsid w:val="0027418A"/>
    <w:rsid w:val="002741AC"/>
    <w:rsid w:val="00275F13"/>
    <w:rsid w:val="002818AE"/>
    <w:rsid w:val="002819C0"/>
    <w:rsid w:val="00284AFD"/>
    <w:rsid w:val="00295556"/>
    <w:rsid w:val="00295BB5"/>
    <w:rsid w:val="0029625E"/>
    <w:rsid w:val="00297187"/>
    <w:rsid w:val="002A0C40"/>
    <w:rsid w:val="002A187D"/>
    <w:rsid w:val="002A339C"/>
    <w:rsid w:val="002A4DC1"/>
    <w:rsid w:val="002A56B1"/>
    <w:rsid w:val="002A5A4D"/>
    <w:rsid w:val="002B2586"/>
    <w:rsid w:val="002B4262"/>
    <w:rsid w:val="002B457B"/>
    <w:rsid w:val="002B7F58"/>
    <w:rsid w:val="002C0B66"/>
    <w:rsid w:val="002C2D4C"/>
    <w:rsid w:val="002C39E3"/>
    <w:rsid w:val="002C7AB0"/>
    <w:rsid w:val="002D4635"/>
    <w:rsid w:val="002D522D"/>
    <w:rsid w:val="002D5A4D"/>
    <w:rsid w:val="002D77C9"/>
    <w:rsid w:val="002E0101"/>
    <w:rsid w:val="002E081C"/>
    <w:rsid w:val="002E22AF"/>
    <w:rsid w:val="002E2CFF"/>
    <w:rsid w:val="002F19E6"/>
    <w:rsid w:val="002F1F8C"/>
    <w:rsid w:val="002F20F5"/>
    <w:rsid w:val="002F4995"/>
    <w:rsid w:val="002F5471"/>
    <w:rsid w:val="002F6155"/>
    <w:rsid w:val="00300698"/>
    <w:rsid w:val="00305358"/>
    <w:rsid w:val="0030701A"/>
    <w:rsid w:val="00310A0B"/>
    <w:rsid w:val="003131FF"/>
    <w:rsid w:val="00313DE3"/>
    <w:rsid w:val="00316215"/>
    <w:rsid w:val="003176B4"/>
    <w:rsid w:val="003177A6"/>
    <w:rsid w:val="00324398"/>
    <w:rsid w:val="00331AA3"/>
    <w:rsid w:val="00332D72"/>
    <w:rsid w:val="003341E2"/>
    <w:rsid w:val="0033575D"/>
    <w:rsid w:val="0033715B"/>
    <w:rsid w:val="003443CF"/>
    <w:rsid w:val="00347755"/>
    <w:rsid w:val="00350467"/>
    <w:rsid w:val="00354CAE"/>
    <w:rsid w:val="00361F65"/>
    <w:rsid w:val="00362534"/>
    <w:rsid w:val="00365E8E"/>
    <w:rsid w:val="00366E6E"/>
    <w:rsid w:val="0036734D"/>
    <w:rsid w:val="0036762F"/>
    <w:rsid w:val="0037052C"/>
    <w:rsid w:val="00374DF6"/>
    <w:rsid w:val="0038230F"/>
    <w:rsid w:val="00384A5F"/>
    <w:rsid w:val="00384FC3"/>
    <w:rsid w:val="00386FEA"/>
    <w:rsid w:val="003905CB"/>
    <w:rsid w:val="003906DE"/>
    <w:rsid w:val="00392316"/>
    <w:rsid w:val="00392F85"/>
    <w:rsid w:val="003A1CD0"/>
    <w:rsid w:val="003A3804"/>
    <w:rsid w:val="003A3AFD"/>
    <w:rsid w:val="003A441D"/>
    <w:rsid w:val="003A52BE"/>
    <w:rsid w:val="003A5866"/>
    <w:rsid w:val="003A6E9F"/>
    <w:rsid w:val="003A7979"/>
    <w:rsid w:val="003B01C9"/>
    <w:rsid w:val="003B1F54"/>
    <w:rsid w:val="003C4F2F"/>
    <w:rsid w:val="003D00A1"/>
    <w:rsid w:val="003D07AF"/>
    <w:rsid w:val="003D11DA"/>
    <w:rsid w:val="003D15C2"/>
    <w:rsid w:val="003D1F16"/>
    <w:rsid w:val="003D4CD6"/>
    <w:rsid w:val="003D735D"/>
    <w:rsid w:val="003E0073"/>
    <w:rsid w:val="003E0861"/>
    <w:rsid w:val="003E3B57"/>
    <w:rsid w:val="003E3D1D"/>
    <w:rsid w:val="003E4829"/>
    <w:rsid w:val="003E7B99"/>
    <w:rsid w:val="003F1C11"/>
    <w:rsid w:val="003F3036"/>
    <w:rsid w:val="003F60E9"/>
    <w:rsid w:val="003F67D7"/>
    <w:rsid w:val="003F799C"/>
    <w:rsid w:val="00404588"/>
    <w:rsid w:val="00411114"/>
    <w:rsid w:val="00411EDC"/>
    <w:rsid w:val="00413C83"/>
    <w:rsid w:val="00414FD4"/>
    <w:rsid w:val="0041667B"/>
    <w:rsid w:val="00417545"/>
    <w:rsid w:val="0042047A"/>
    <w:rsid w:val="004228C7"/>
    <w:rsid w:val="0042798B"/>
    <w:rsid w:val="00432244"/>
    <w:rsid w:val="00433103"/>
    <w:rsid w:val="00433A91"/>
    <w:rsid w:val="004344C6"/>
    <w:rsid w:val="00434913"/>
    <w:rsid w:val="00436711"/>
    <w:rsid w:val="0044255C"/>
    <w:rsid w:val="00446575"/>
    <w:rsid w:val="004474F8"/>
    <w:rsid w:val="00451812"/>
    <w:rsid w:val="00451E86"/>
    <w:rsid w:val="004521F3"/>
    <w:rsid w:val="00452273"/>
    <w:rsid w:val="00456CA2"/>
    <w:rsid w:val="00457B83"/>
    <w:rsid w:val="00460CCE"/>
    <w:rsid w:val="00461991"/>
    <w:rsid w:val="00462548"/>
    <w:rsid w:val="00465267"/>
    <w:rsid w:val="00466B46"/>
    <w:rsid w:val="004674A9"/>
    <w:rsid w:val="00467C2D"/>
    <w:rsid w:val="00467CE0"/>
    <w:rsid w:val="00477550"/>
    <w:rsid w:val="00480A77"/>
    <w:rsid w:val="00482758"/>
    <w:rsid w:val="004844A8"/>
    <w:rsid w:val="00485415"/>
    <w:rsid w:val="00496803"/>
    <w:rsid w:val="004A1F93"/>
    <w:rsid w:val="004A3DC3"/>
    <w:rsid w:val="004A4757"/>
    <w:rsid w:val="004A5B96"/>
    <w:rsid w:val="004A6A0B"/>
    <w:rsid w:val="004A787A"/>
    <w:rsid w:val="004A7A85"/>
    <w:rsid w:val="004B34E6"/>
    <w:rsid w:val="004B36B9"/>
    <w:rsid w:val="004B417C"/>
    <w:rsid w:val="004B552A"/>
    <w:rsid w:val="004B6688"/>
    <w:rsid w:val="004B686D"/>
    <w:rsid w:val="004C11EE"/>
    <w:rsid w:val="004C4168"/>
    <w:rsid w:val="004C71AA"/>
    <w:rsid w:val="004D12AE"/>
    <w:rsid w:val="004D572F"/>
    <w:rsid w:val="004D6DD6"/>
    <w:rsid w:val="004E18EF"/>
    <w:rsid w:val="004E4E27"/>
    <w:rsid w:val="004F1AF1"/>
    <w:rsid w:val="004F508D"/>
    <w:rsid w:val="00502CE6"/>
    <w:rsid w:val="00516503"/>
    <w:rsid w:val="00521B11"/>
    <w:rsid w:val="00523DF8"/>
    <w:rsid w:val="005244A4"/>
    <w:rsid w:val="00527783"/>
    <w:rsid w:val="005316BF"/>
    <w:rsid w:val="005318EA"/>
    <w:rsid w:val="00531CE1"/>
    <w:rsid w:val="00532491"/>
    <w:rsid w:val="00533B9A"/>
    <w:rsid w:val="00535AA6"/>
    <w:rsid w:val="00536ACD"/>
    <w:rsid w:val="00541CB6"/>
    <w:rsid w:val="00542067"/>
    <w:rsid w:val="005442F9"/>
    <w:rsid w:val="00547657"/>
    <w:rsid w:val="005518EF"/>
    <w:rsid w:val="00552799"/>
    <w:rsid w:val="0055491D"/>
    <w:rsid w:val="0056321A"/>
    <w:rsid w:val="00563FA6"/>
    <w:rsid w:val="00564CEF"/>
    <w:rsid w:val="00564EDC"/>
    <w:rsid w:val="00566C4A"/>
    <w:rsid w:val="00570141"/>
    <w:rsid w:val="005706CE"/>
    <w:rsid w:val="00571875"/>
    <w:rsid w:val="00572128"/>
    <w:rsid w:val="00572C88"/>
    <w:rsid w:val="00574D9E"/>
    <w:rsid w:val="005814B5"/>
    <w:rsid w:val="00582D4B"/>
    <w:rsid w:val="00583DB0"/>
    <w:rsid w:val="00584154"/>
    <w:rsid w:val="005937EF"/>
    <w:rsid w:val="00593F65"/>
    <w:rsid w:val="005940BF"/>
    <w:rsid w:val="00595E5D"/>
    <w:rsid w:val="005A0F9B"/>
    <w:rsid w:val="005A285A"/>
    <w:rsid w:val="005B1CDA"/>
    <w:rsid w:val="005B44F7"/>
    <w:rsid w:val="005B5B77"/>
    <w:rsid w:val="005B7B61"/>
    <w:rsid w:val="005C50A1"/>
    <w:rsid w:val="005D3354"/>
    <w:rsid w:val="005D3E9D"/>
    <w:rsid w:val="005D4788"/>
    <w:rsid w:val="005D64E0"/>
    <w:rsid w:val="005E298D"/>
    <w:rsid w:val="005E51E5"/>
    <w:rsid w:val="005F0328"/>
    <w:rsid w:val="005F4487"/>
    <w:rsid w:val="00602AF0"/>
    <w:rsid w:val="00603158"/>
    <w:rsid w:val="00603953"/>
    <w:rsid w:val="00603AC2"/>
    <w:rsid w:val="006040F7"/>
    <w:rsid w:val="006072A6"/>
    <w:rsid w:val="0060761A"/>
    <w:rsid w:val="00611ADA"/>
    <w:rsid w:val="00617AB4"/>
    <w:rsid w:val="00621E52"/>
    <w:rsid w:val="00624A3C"/>
    <w:rsid w:val="006256D3"/>
    <w:rsid w:val="00627BB7"/>
    <w:rsid w:val="00631D3E"/>
    <w:rsid w:val="0063402D"/>
    <w:rsid w:val="006343BF"/>
    <w:rsid w:val="006371E3"/>
    <w:rsid w:val="006400BB"/>
    <w:rsid w:val="00644175"/>
    <w:rsid w:val="00644A13"/>
    <w:rsid w:val="0064703E"/>
    <w:rsid w:val="0065136E"/>
    <w:rsid w:val="00651EB6"/>
    <w:rsid w:val="00655097"/>
    <w:rsid w:val="0066207F"/>
    <w:rsid w:val="0066305A"/>
    <w:rsid w:val="00667012"/>
    <w:rsid w:val="0066776B"/>
    <w:rsid w:val="00670B26"/>
    <w:rsid w:val="00670D71"/>
    <w:rsid w:val="00672CA2"/>
    <w:rsid w:val="00675100"/>
    <w:rsid w:val="0067582F"/>
    <w:rsid w:val="006760FB"/>
    <w:rsid w:val="00676C61"/>
    <w:rsid w:val="0068025C"/>
    <w:rsid w:val="006916A1"/>
    <w:rsid w:val="006918A4"/>
    <w:rsid w:val="00695590"/>
    <w:rsid w:val="006A1EB8"/>
    <w:rsid w:val="006C1306"/>
    <w:rsid w:val="006C18CD"/>
    <w:rsid w:val="006C24BB"/>
    <w:rsid w:val="006C2C0F"/>
    <w:rsid w:val="006C3BB2"/>
    <w:rsid w:val="006C5965"/>
    <w:rsid w:val="006D09BD"/>
    <w:rsid w:val="006D0FEE"/>
    <w:rsid w:val="006D1B3C"/>
    <w:rsid w:val="006E7DCE"/>
    <w:rsid w:val="006E7F7E"/>
    <w:rsid w:val="006F2EA8"/>
    <w:rsid w:val="006F3D9A"/>
    <w:rsid w:val="006F4D54"/>
    <w:rsid w:val="0070088C"/>
    <w:rsid w:val="00701483"/>
    <w:rsid w:val="007014F2"/>
    <w:rsid w:val="007023EB"/>
    <w:rsid w:val="00702A9D"/>
    <w:rsid w:val="007050FF"/>
    <w:rsid w:val="00710D84"/>
    <w:rsid w:val="0072012D"/>
    <w:rsid w:val="00723DBD"/>
    <w:rsid w:val="00724AA9"/>
    <w:rsid w:val="00727937"/>
    <w:rsid w:val="007303A4"/>
    <w:rsid w:val="00735B35"/>
    <w:rsid w:val="0073734E"/>
    <w:rsid w:val="007379F7"/>
    <w:rsid w:val="00741487"/>
    <w:rsid w:val="007471DF"/>
    <w:rsid w:val="00747463"/>
    <w:rsid w:val="00752764"/>
    <w:rsid w:val="00753D28"/>
    <w:rsid w:val="0075417B"/>
    <w:rsid w:val="00754D7D"/>
    <w:rsid w:val="00755176"/>
    <w:rsid w:val="0075616D"/>
    <w:rsid w:val="007607CE"/>
    <w:rsid w:val="007651C8"/>
    <w:rsid w:val="00766962"/>
    <w:rsid w:val="00771CC8"/>
    <w:rsid w:val="007726E4"/>
    <w:rsid w:val="007729C9"/>
    <w:rsid w:val="00775287"/>
    <w:rsid w:val="007812E4"/>
    <w:rsid w:val="0078688F"/>
    <w:rsid w:val="0078793A"/>
    <w:rsid w:val="00793583"/>
    <w:rsid w:val="00794877"/>
    <w:rsid w:val="007954C9"/>
    <w:rsid w:val="00795DEF"/>
    <w:rsid w:val="007A4815"/>
    <w:rsid w:val="007A50AF"/>
    <w:rsid w:val="007A6234"/>
    <w:rsid w:val="007B2E15"/>
    <w:rsid w:val="007B5FB2"/>
    <w:rsid w:val="007D2A30"/>
    <w:rsid w:val="007D33F4"/>
    <w:rsid w:val="007D4070"/>
    <w:rsid w:val="007E5E0C"/>
    <w:rsid w:val="007F0335"/>
    <w:rsid w:val="007F09F5"/>
    <w:rsid w:val="007F283D"/>
    <w:rsid w:val="007F3ABE"/>
    <w:rsid w:val="007F6350"/>
    <w:rsid w:val="00800E0A"/>
    <w:rsid w:val="00806B7B"/>
    <w:rsid w:val="008108A2"/>
    <w:rsid w:val="0082186B"/>
    <w:rsid w:val="0082231B"/>
    <w:rsid w:val="0082241E"/>
    <w:rsid w:val="008250D7"/>
    <w:rsid w:val="00825910"/>
    <w:rsid w:val="008276B6"/>
    <w:rsid w:val="00830B5E"/>
    <w:rsid w:val="00831AF3"/>
    <w:rsid w:val="008328E9"/>
    <w:rsid w:val="00832EEF"/>
    <w:rsid w:val="00832FA8"/>
    <w:rsid w:val="00834ED9"/>
    <w:rsid w:val="00835BCB"/>
    <w:rsid w:val="00835CDC"/>
    <w:rsid w:val="008412FA"/>
    <w:rsid w:val="00841F0E"/>
    <w:rsid w:val="008451D4"/>
    <w:rsid w:val="00850B09"/>
    <w:rsid w:val="008534E9"/>
    <w:rsid w:val="00857483"/>
    <w:rsid w:val="00863308"/>
    <w:rsid w:val="00863A78"/>
    <w:rsid w:val="00863B9D"/>
    <w:rsid w:val="00863BE6"/>
    <w:rsid w:val="008642EA"/>
    <w:rsid w:val="008676A6"/>
    <w:rsid w:val="00874DD9"/>
    <w:rsid w:val="00875689"/>
    <w:rsid w:val="00877132"/>
    <w:rsid w:val="008775BC"/>
    <w:rsid w:val="008806EA"/>
    <w:rsid w:val="00882CF5"/>
    <w:rsid w:val="00882F1B"/>
    <w:rsid w:val="00883141"/>
    <w:rsid w:val="0088344C"/>
    <w:rsid w:val="00887B61"/>
    <w:rsid w:val="008900CE"/>
    <w:rsid w:val="0089303C"/>
    <w:rsid w:val="00893888"/>
    <w:rsid w:val="00894042"/>
    <w:rsid w:val="00895048"/>
    <w:rsid w:val="008A3447"/>
    <w:rsid w:val="008A5ABD"/>
    <w:rsid w:val="008A70CE"/>
    <w:rsid w:val="008B771D"/>
    <w:rsid w:val="008C1025"/>
    <w:rsid w:val="008C25E4"/>
    <w:rsid w:val="008C2DAE"/>
    <w:rsid w:val="008C5929"/>
    <w:rsid w:val="008C78E2"/>
    <w:rsid w:val="008D18D7"/>
    <w:rsid w:val="008D1987"/>
    <w:rsid w:val="008D47C0"/>
    <w:rsid w:val="008D6C53"/>
    <w:rsid w:val="008E117E"/>
    <w:rsid w:val="008E2738"/>
    <w:rsid w:val="008E49F8"/>
    <w:rsid w:val="008E4FF2"/>
    <w:rsid w:val="008E5BB9"/>
    <w:rsid w:val="008F3EF2"/>
    <w:rsid w:val="008F65BE"/>
    <w:rsid w:val="009004B0"/>
    <w:rsid w:val="009059A9"/>
    <w:rsid w:val="00910601"/>
    <w:rsid w:val="0091627B"/>
    <w:rsid w:val="0092001A"/>
    <w:rsid w:val="00923E70"/>
    <w:rsid w:val="0092515E"/>
    <w:rsid w:val="00940A8F"/>
    <w:rsid w:val="00941D67"/>
    <w:rsid w:val="00942FBD"/>
    <w:rsid w:val="0094394D"/>
    <w:rsid w:val="00945328"/>
    <w:rsid w:val="0094673D"/>
    <w:rsid w:val="00946F65"/>
    <w:rsid w:val="0094770B"/>
    <w:rsid w:val="009510F5"/>
    <w:rsid w:val="009515F1"/>
    <w:rsid w:val="00953011"/>
    <w:rsid w:val="00953484"/>
    <w:rsid w:val="00955405"/>
    <w:rsid w:val="009561C9"/>
    <w:rsid w:val="00961186"/>
    <w:rsid w:val="00962B36"/>
    <w:rsid w:val="009650C1"/>
    <w:rsid w:val="00967BD5"/>
    <w:rsid w:val="00972F4D"/>
    <w:rsid w:val="0097451C"/>
    <w:rsid w:val="0097702A"/>
    <w:rsid w:val="0098129D"/>
    <w:rsid w:val="00982D09"/>
    <w:rsid w:val="0098410D"/>
    <w:rsid w:val="009844C7"/>
    <w:rsid w:val="009A0F2D"/>
    <w:rsid w:val="009A2B29"/>
    <w:rsid w:val="009B2267"/>
    <w:rsid w:val="009B2549"/>
    <w:rsid w:val="009B5E5B"/>
    <w:rsid w:val="009C1E99"/>
    <w:rsid w:val="009C53E6"/>
    <w:rsid w:val="009C7A96"/>
    <w:rsid w:val="009D0006"/>
    <w:rsid w:val="009D141E"/>
    <w:rsid w:val="009D2F51"/>
    <w:rsid w:val="009E0016"/>
    <w:rsid w:val="009E03DA"/>
    <w:rsid w:val="009E0AE8"/>
    <w:rsid w:val="009E1E12"/>
    <w:rsid w:val="009E5374"/>
    <w:rsid w:val="009F345D"/>
    <w:rsid w:val="009F4543"/>
    <w:rsid w:val="009F62C5"/>
    <w:rsid w:val="009F6389"/>
    <w:rsid w:val="00A01D98"/>
    <w:rsid w:val="00A02ABF"/>
    <w:rsid w:val="00A054BE"/>
    <w:rsid w:val="00A05E17"/>
    <w:rsid w:val="00A100F1"/>
    <w:rsid w:val="00A10256"/>
    <w:rsid w:val="00A11DBF"/>
    <w:rsid w:val="00A13218"/>
    <w:rsid w:val="00A16348"/>
    <w:rsid w:val="00A21C1F"/>
    <w:rsid w:val="00A227A3"/>
    <w:rsid w:val="00A22C5F"/>
    <w:rsid w:val="00A23850"/>
    <w:rsid w:val="00A244A4"/>
    <w:rsid w:val="00A260E6"/>
    <w:rsid w:val="00A3017B"/>
    <w:rsid w:val="00A340E6"/>
    <w:rsid w:val="00A346B4"/>
    <w:rsid w:val="00A359AE"/>
    <w:rsid w:val="00A36977"/>
    <w:rsid w:val="00A36FF0"/>
    <w:rsid w:val="00A4007E"/>
    <w:rsid w:val="00A404E8"/>
    <w:rsid w:val="00A4091C"/>
    <w:rsid w:val="00A41A29"/>
    <w:rsid w:val="00A438A1"/>
    <w:rsid w:val="00A46B39"/>
    <w:rsid w:val="00A47BC0"/>
    <w:rsid w:val="00A57205"/>
    <w:rsid w:val="00A6095F"/>
    <w:rsid w:val="00A6098C"/>
    <w:rsid w:val="00A60B73"/>
    <w:rsid w:val="00A62192"/>
    <w:rsid w:val="00A62FEA"/>
    <w:rsid w:val="00A6439B"/>
    <w:rsid w:val="00A65F33"/>
    <w:rsid w:val="00A678B8"/>
    <w:rsid w:val="00A70CEA"/>
    <w:rsid w:val="00A721EE"/>
    <w:rsid w:val="00A7549A"/>
    <w:rsid w:val="00A77F26"/>
    <w:rsid w:val="00A77F86"/>
    <w:rsid w:val="00A80080"/>
    <w:rsid w:val="00A801E9"/>
    <w:rsid w:val="00A8145C"/>
    <w:rsid w:val="00A83450"/>
    <w:rsid w:val="00A85AC1"/>
    <w:rsid w:val="00A86772"/>
    <w:rsid w:val="00A9137E"/>
    <w:rsid w:val="00A9262D"/>
    <w:rsid w:val="00A977CB"/>
    <w:rsid w:val="00A97B25"/>
    <w:rsid w:val="00AA0CD5"/>
    <w:rsid w:val="00AA3AB8"/>
    <w:rsid w:val="00AA627A"/>
    <w:rsid w:val="00AA725B"/>
    <w:rsid w:val="00AA73BE"/>
    <w:rsid w:val="00AA7CBF"/>
    <w:rsid w:val="00AB1A06"/>
    <w:rsid w:val="00AB1F13"/>
    <w:rsid w:val="00AB25D4"/>
    <w:rsid w:val="00AB2BDC"/>
    <w:rsid w:val="00AB3536"/>
    <w:rsid w:val="00AB4951"/>
    <w:rsid w:val="00AB6D0E"/>
    <w:rsid w:val="00AB7211"/>
    <w:rsid w:val="00AB774E"/>
    <w:rsid w:val="00AB7D8F"/>
    <w:rsid w:val="00AC33E9"/>
    <w:rsid w:val="00AC37DE"/>
    <w:rsid w:val="00AD08D0"/>
    <w:rsid w:val="00AD0A2E"/>
    <w:rsid w:val="00AD15A3"/>
    <w:rsid w:val="00AD3C5C"/>
    <w:rsid w:val="00AD65E7"/>
    <w:rsid w:val="00AE1389"/>
    <w:rsid w:val="00AE2B36"/>
    <w:rsid w:val="00AE4BD1"/>
    <w:rsid w:val="00AE5849"/>
    <w:rsid w:val="00AF0942"/>
    <w:rsid w:val="00AF1BE1"/>
    <w:rsid w:val="00AF1F1D"/>
    <w:rsid w:val="00AF2CF9"/>
    <w:rsid w:val="00B04A3A"/>
    <w:rsid w:val="00B0587A"/>
    <w:rsid w:val="00B10E1E"/>
    <w:rsid w:val="00B10EE2"/>
    <w:rsid w:val="00B13EDF"/>
    <w:rsid w:val="00B157DC"/>
    <w:rsid w:val="00B20F69"/>
    <w:rsid w:val="00B22CB5"/>
    <w:rsid w:val="00B2401B"/>
    <w:rsid w:val="00B256C1"/>
    <w:rsid w:val="00B27308"/>
    <w:rsid w:val="00B27E08"/>
    <w:rsid w:val="00B315A0"/>
    <w:rsid w:val="00B34A18"/>
    <w:rsid w:val="00B3794F"/>
    <w:rsid w:val="00B41311"/>
    <w:rsid w:val="00B42683"/>
    <w:rsid w:val="00B426BD"/>
    <w:rsid w:val="00B468CE"/>
    <w:rsid w:val="00B46BFD"/>
    <w:rsid w:val="00B56681"/>
    <w:rsid w:val="00B5786C"/>
    <w:rsid w:val="00B579CB"/>
    <w:rsid w:val="00B625FB"/>
    <w:rsid w:val="00B626CD"/>
    <w:rsid w:val="00B70083"/>
    <w:rsid w:val="00B71818"/>
    <w:rsid w:val="00B73518"/>
    <w:rsid w:val="00B75E2D"/>
    <w:rsid w:val="00B77CDE"/>
    <w:rsid w:val="00B90AA3"/>
    <w:rsid w:val="00B911E5"/>
    <w:rsid w:val="00B91C81"/>
    <w:rsid w:val="00B945BF"/>
    <w:rsid w:val="00B94E46"/>
    <w:rsid w:val="00BA255B"/>
    <w:rsid w:val="00BA60E6"/>
    <w:rsid w:val="00BB1C32"/>
    <w:rsid w:val="00BB1C67"/>
    <w:rsid w:val="00BB2301"/>
    <w:rsid w:val="00BB28F6"/>
    <w:rsid w:val="00BB5177"/>
    <w:rsid w:val="00BB58B4"/>
    <w:rsid w:val="00BB5BA0"/>
    <w:rsid w:val="00BB62E4"/>
    <w:rsid w:val="00BB7F0B"/>
    <w:rsid w:val="00BC10E5"/>
    <w:rsid w:val="00BC2609"/>
    <w:rsid w:val="00BC35B2"/>
    <w:rsid w:val="00BC6243"/>
    <w:rsid w:val="00BC71DA"/>
    <w:rsid w:val="00BD174D"/>
    <w:rsid w:val="00BD1845"/>
    <w:rsid w:val="00BD2363"/>
    <w:rsid w:val="00BD4A0D"/>
    <w:rsid w:val="00BD51F4"/>
    <w:rsid w:val="00BE3B2B"/>
    <w:rsid w:val="00BE4B53"/>
    <w:rsid w:val="00BE7EED"/>
    <w:rsid w:val="00BF047D"/>
    <w:rsid w:val="00BF7408"/>
    <w:rsid w:val="00C024E5"/>
    <w:rsid w:val="00C02964"/>
    <w:rsid w:val="00C0528F"/>
    <w:rsid w:val="00C060AB"/>
    <w:rsid w:val="00C0685D"/>
    <w:rsid w:val="00C079C8"/>
    <w:rsid w:val="00C10A5F"/>
    <w:rsid w:val="00C13145"/>
    <w:rsid w:val="00C150C6"/>
    <w:rsid w:val="00C155E5"/>
    <w:rsid w:val="00C212D0"/>
    <w:rsid w:val="00C217B4"/>
    <w:rsid w:val="00C24C0E"/>
    <w:rsid w:val="00C30088"/>
    <w:rsid w:val="00C3227F"/>
    <w:rsid w:val="00C33737"/>
    <w:rsid w:val="00C408AD"/>
    <w:rsid w:val="00C44671"/>
    <w:rsid w:val="00C5469A"/>
    <w:rsid w:val="00C54A71"/>
    <w:rsid w:val="00C6086A"/>
    <w:rsid w:val="00C6467E"/>
    <w:rsid w:val="00C721FE"/>
    <w:rsid w:val="00C72963"/>
    <w:rsid w:val="00C84A87"/>
    <w:rsid w:val="00C90D6F"/>
    <w:rsid w:val="00C93025"/>
    <w:rsid w:val="00C94AAA"/>
    <w:rsid w:val="00C9572D"/>
    <w:rsid w:val="00C97C63"/>
    <w:rsid w:val="00CA39A2"/>
    <w:rsid w:val="00CA4C76"/>
    <w:rsid w:val="00CB31D9"/>
    <w:rsid w:val="00CB3F51"/>
    <w:rsid w:val="00CC1087"/>
    <w:rsid w:val="00CC3B83"/>
    <w:rsid w:val="00CC54A3"/>
    <w:rsid w:val="00CC5D7B"/>
    <w:rsid w:val="00CC65B1"/>
    <w:rsid w:val="00CD01AA"/>
    <w:rsid w:val="00CD25AB"/>
    <w:rsid w:val="00CD348E"/>
    <w:rsid w:val="00CE2535"/>
    <w:rsid w:val="00CE750F"/>
    <w:rsid w:val="00CE77E2"/>
    <w:rsid w:val="00CF3675"/>
    <w:rsid w:val="00D00100"/>
    <w:rsid w:val="00D01467"/>
    <w:rsid w:val="00D026BE"/>
    <w:rsid w:val="00D02740"/>
    <w:rsid w:val="00D035F6"/>
    <w:rsid w:val="00D05D30"/>
    <w:rsid w:val="00D101AE"/>
    <w:rsid w:val="00D12C48"/>
    <w:rsid w:val="00D1518F"/>
    <w:rsid w:val="00D160CB"/>
    <w:rsid w:val="00D21D93"/>
    <w:rsid w:val="00D22802"/>
    <w:rsid w:val="00D22B5B"/>
    <w:rsid w:val="00D245A1"/>
    <w:rsid w:val="00D258B9"/>
    <w:rsid w:val="00D25CE0"/>
    <w:rsid w:val="00D377FB"/>
    <w:rsid w:val="00D415E2"/>
    <w:rsid w:val="00D42055"/>
    <w:rsid w:val="00D429D4"/>
    <w:rsid w:val="00D444A0"/>
    <w:rsid w:val="00D44A77"/>
    <w:rsid w:val="00D4660A"/>
    <w:rsid w:val="00D50720"/>
    <w:rsid w:val="00D50999"/>
    <w:rsid w:val="00D560BE"/>
    <w:rsid w:val="00D60C50"/>
    <w:rsid w:val="00D647C3"/>
    <w:rsid w:val="00D653A5"/>
    <w:rsid w:val="00D65F6E"/>
    <w:rsid w:val="00D67DC4"/>
    <w:rsid w:val="00D7124D"/>
    <w:rsid w:val="00D72B34"/>
    <w:rsid w:val="00D73876"/>
    <w:rsid w:val="00D9157A"/>
    <w:rsid w:val="00D91CB3"/>
    <w:rsid w:val="00D9633A"/>
    <w:rsid w:val="00DA2149"/>
    <w:rsid w:val="00DB535E"/>
    <w:rsid w:val="00DB57C2"/>
    <w:rsid w:val="00DB6ACE"/>
    <w:rsid w:val="00DC5521"/>
    <w:rsid w:val="00DC7352"/>
    <w:rsid w:val="00DC7F17"/>
    <w:rsid w:val="00DD0EA7"/>
    <w:rsid w:val="00DD1158"/>
    <w:rsid w:val="00DD3FC6"/>
    <w:rsid w:val="00DD60AB"/>
    <w:rsid w:val="00DE09F5"/>
    <w:rsid w:val="00DE1E1D"/>
    <w:rsid w:val="00DE4500"/>
    <w:rsid w:val="00DE59D3"/>
    <w:rsid w:val="00DE70EE"/>
    <w:rsid w:val="00DF2386"/>
    <w:rsid w:val="00DF3C12"/>
    <w:rsid w:val="00DF50B6"/>
    <w:rsid w:val="00DF57D9"/>
    <w:rsid w:val="00DF74BF"/>
    <w:rsid w:val="00DF79F5"/>
    <w:rsid w:val="00DF7FE7"/>
    <w:rsid w:val="00E0340D"/>
    <w:rsid w:val="00E129EE"/>
    <w:rsid w:val="00E13918"/>
    <w:rsid w:val="00E16B76"/>
    <w:rsid w:val="00E2365C"/>
    <w:rsid w:val="00E32A4E"/>
    <w:rsid w:val="00E33D65"/>
    <w:rsid w:val="00E3744C"/>
    <w:rsid w:val="00E41713"/>
    <w:rsid w:val="00E41C48"/>
    <w:rsid w:val="00E4304A"/>
    <w:rsid w:val="00E4381D"/>
    <w:rsid w:val="00E43E1D"/>
    <w:rsid w:val="00E441AF"/>
    <w:rsid w:val="00E46367"/>
    <w:rsid w:val="00E511D1"/>
    <w:rsid w:val="00E53A08"/>
    <w:rsid w:val="00E61C63"/>
    <w:rsid w:val="00E63288"/>
    <w:rsid w:val="00E63474"/>
    <w:rsid w:val="00E63F0B"/>
    <w:rsid w:val="00E66F56"/>
    <w:rsid w:val="00E7043E"/>
    <w:rsid w:val="00E74330"/>
    <w:rsid w:val="00E7509B"/>
    <w:rsid w:val="00E77CE1"/>
    <w:rsid w:val="00E833DE"/>
    <w:rsid w:val="00E84F39"/>
    <w:rsid w:val="00E85EE4"/>
    <w:rsid w:val="00E90488"/>
    <w:rsid w:val="00E9222B"/>
    <w:rsid w:val="00E95276"/>
    <w:rsid w:val="00EA0805"/>
    <w:rsid w:val="00EA0A95"/>
    <w:rsid w:val="00EA1D74"/>
    <w:rsid w:val="00EA3A7F"/>
    <w:rsid w:val="00EA3DEC"/>
    <w:rsid w:val="00EA45C0"/>
    <w:rsid w:val="00EA52A1"/>
    <w:rsid w:val="00EA68A7"/>
    <w:rsid w:val="00EA69D8"/>
    <w:rsid w:val="00EA7640"/>
    <w:rsid w:val="00EC0835"/>
    <w:rsid w:val="00EC5B5C"/>
    <w:rsid w:val="00ED30C6"/>
    <w:rsid w:val="00ED3422"/>
    <w:rsid w:val="00ED4B3C"/>
    <w:rsid w:val="00EE1F01"/>
    <w:rsid w:val="00EE2E77"/>
    <w:rsid w:val="00EE4EF4"/>
    <w:rsid w:val="00EE7FF6"/>
    <w:rsid w:val="00EF68FA"/>
    <w:rsid w:val="00F004F1"/>
    <w:rsid w:val="00F00955"/>
    <w:rsid w:val="00F035C5"/>
    <w:rsid w:val="00F04981"/>
    <w:rsid w:val="00F04ECF"/>
    <w:rsid w:val="00F05697"/>
    <w:rsid w:val="00F078F1"/>
    <w:rsid w:val="00F07FCA"/>
    <w:rsid w:val="00F10AAE"/>
    <w:rsid w:val="00F119EA"/>
    <w:rsid w:val="00F1244A"/>
    <w:rsid w:val="00F13DB7"/>
    <w:rsid w:val="00F146B5"/>
    <w:rsid w:val="00F1628B"/>
    <w:rsid w:val="00F16326"/>
    <w:rsid w:val="00F20231"/>
    <w:rsid w:val="00F225E4"/>
    <w:rsid w:val="00F23531"/>
    <w:rsid w:val="00F23905"/>
    <w:rsid w:val="00F30A7B"/>
    <w:rsid w:val="00F31CA1"/>
    <w:rsid w:val="00F322DF"/>
    <w:rsid w:val="00F32D03"/>
    <w:rsid w:val="00F344DE"/>
    <w:rsid w:val="00F42D6A"/>
    <w:rsid w:val="00F43D99"/>
    <w:rsid w:val="00F530E7"/>
    <w:rsid w:val="00F57512"/>
    <w:rsid w:val="00F601A4"/>
    <w:rsid w:val="00F62CCF"/>
    <w:rsid w:val="00F639E6"/>
    <w:rsid w:val="00F6535D"/>
    <w:rsid w:val="00F65C11"/>
    <w:rsid w:val="00F66E6C"/>
    <w:rsid w:val="00F721AE"/>
    <w:rsid w:val="00F73D88"/>
    <w:rsid w:val="00F73E71"/>
    <w:rsid w:val="00F814BF"/>
    <w:rsid w:val="00F8795A"/>
    <w:rsid w:val="00F90623"/>
    <w:rsid w:val="00F90D96"/>
    <w:rsid w:val="00F97880"/>
    <w:rsid w:val="00FB7CBC"/>
    <w:rsid w:val="00FC2F58"/>
    <w:rsid w:val="00FC4DC7"/>
    <w:rsid w:val="00FC7759"/>
    <w:rsid w:val="00FD7395"/>
    <w:rsid w:val="00FD78CA"/>
    <w:rsid w:val="00FE030C"/>
    <w:rsid w:val="00FE55D5"/>
    <w:rsid w:val="00FF26D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13EA9"/>
  <w15:docId w15:val="{97A3B3FB-8F8D-4C40-B372-7C8E930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numbering" w:customStyle="1" w:styleId="Aucuneliste1">
    <w:name w:val="Aucune liste1"/>
    <w:next w:val="NoList"/>
    <w:uiPriority w:val="99"/>
    <w:semiHidden/>
    <w:unhideWhenUsed/>
    <w:rsid w:val="008900CE"/>
  </w:style>
  <w:style w:type="table" w:customStyle="1" w:styleId="Grilledutableau1">
    <w:name w:val="Grille du tableau1"/>
    <w:basedOn w:val="TableNormal"/>
    <w:next w:val="TableGrid"/>
    <w:uiPriority w:val="59"/>
    <w:rsid w:val="0089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B5B77"/>
    <w:pPr>
      <w:ind w:left="0" w:firstLine="0"/>
    </w:pPr>
    <w:rPr>
      <w:rFonts w:eastAsia="Times New Roman" w:cs="Calibri"/>
      <w:szCs w:val="21"/>
    </w:rPr>
  </w:style>
  <w:style w:type="character" w:customStyle="1" w:styleId="PlainTextChar">
    <w:name w:val="Plain Text Char"/>
    <w:basedOn w:val="DefaultParagraphFont"/>
    <w:link w:val="PlainText"/>
    <w:uiPriority w:val="99"/>
    <w:semiHidden/>
    <w:rsid w:val="005B5B77"/>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620">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5B6C-1205-41F3-BB1C-09DEFB69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5957</Words>
  <Characters>33956</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2019-04-08T08:58:00Z</cp:lastPrinted>
  <dcterms:created xsi:type="dcterms:W3CDTF">2019-04-15T14:29:00Z</dcterms:created>
  <dcterms:modified xsi:type="dcterms:W3CDTF">2019-04-15T14:29:00Z</dcterms:modified>
</cp:coreProperties>
</file>