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26DFC" w14:textId="77777777" w:rsidR="008473B6" w:rsidRPr="001E3F46" w:rsidRDefault="008473B6" w:rsidP="008473B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1E3F46">
        <w:rPr>
          <w:bCs/>
          <w:sz w:val="24"/>
          <w:szCs w:val="24"/>
          <w:lang w:val="fr-FR"/>
        </w:rPr>
        <w:t xml:space="preserve">CONVENTION DE RAMSAR SUR LES ZONES HUMIDES </w:t>
      </w:r>
    </w:p>
    <w:p w14:paraId="00822C46" w14:textId="77777777" w:rsidR="008473B6" w:rsidRPr="001E3F46" w:rsidRDefault="008473B6" w:rsidP="008473B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1E3F46">
        <w:rPr>
          <w:bCs/>
          <w:sz w:val="24"/>
          <w:szCs w:val="24"/>
          <w:lang w:val="fr-FR"/>
        </w:rPr>
        <w:t>57</w:t>
      </w:r>
      <w:r w:rsidRPr="001E3F46">
        <w:rPr>
          <w:bCs/>
          <w:sz w:val="24"/>
          <w:szCs w:val="24"/>
          <w:vertAlign w:val="superscript"/>
          <w:lang w:val="fr-FR"/>
        </w:rPr>
        <w:t>e</w:t>
      </w:r>
      <w:r w:rsidRPr="001E3F46">
        <w:rPr>
          <w:bCs/>
          <w:sz w:val="24"/>
          <w:szCs w:val="24"/>
          <w:lang w:val="fr-FR"/>
        </w:rPr>
        <w:t xml:space="preserve"> Réunion du Comité permanent</w:t>
      </w:r>
    </w:p>
    <w:p w14:paraId="771D6711" w14:textId="1CE93719" w:rsidR="009B1227" w:rsidRDefault="008473B6" w:rsidP="008473B6">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1E3F46">
        <w:rPr>
          <w:bCs/>
          <w:sz w:val="24"/>
          <w:szCs w:val="24"/>
          <w:lang w:val="fr-FR"/>
        </w:rPr>
        <w:t>Gland, Suisse, 24 au 28 juin 2019</w:t>
      </w:r>
    </w:p>
    <w:p w14:paraId="3E080132" w14:textId="77777777" w:rsidR="009B1227" w:rsidRPr="008B6E23" w:rsidRDefault="009B1227" w:rsidP="00383C45">
      <w:pPr>
        <w:outlineLvl w:val="0"/>
        <w:rPr>
          <w:b/>
          <w:sz w:val="28"/>
          <w:szCs w:val="28"/>
        </w:rPr>
      </w:pPr>
    </w:p>
    <w:p w14:paraId="5422A51E" w14:textId="77777777" w:rsidR="009B1227" w:rsidRPr="008B6E23" w:rsidRDefault="009B1227" w:rsidP="00383C45">
      <w:pPr>
        <w:jc w:val="right"/>
        <w:rPr>
          <w:rFonts w:cs="Arial"/>
          <w:sz w:val="28"/>
          <w:szCs w:val="28"/>
        </w:rPr>
      </w:pPr>
      <w:r w:rsidRPr="008B6E23">
        <w:rPr>
          <w:rFonts w:cs="Arial"/>
          <w:b/>
          <w:sz w:val="28"/>
          <w:szCs w:val="28"/>
        </w:rPr>
        <w:t>SC57</w:t>
      </w:r>
      <w:r>
        <w:rPr>
          <w:rFonts w:cs="Arial"/>
          <w:b/>
          <w:sz w:val="28"/>
          <w:szCs w:val="28"/>
        </w:rPr>
        <w:t xml:space="preserve"> Doc.12</w:t>
      </w:r>
    </w:p>
    <w:p w14:paraId="50255474" w14:textId="77777777" w:rsidR="009B1227" w:rsidRPr="008B6E23" w:rsidRDefault="009B1227" w:rsidP="00383C45">
      <w:pPr>
        <w:rPr>
          <w:rFonts w:cs="Arial"/>
          <w:b/>
          <w:sz w:val="28"/>
          <w:szCs w:val="28"/>
        </w:rPr>
      </w:pPr>
    </w:p>
    <w:p w14:paraId="4325B6D7" w14:textId="213BF875" w:rsidR="009B1227" w:rsidRPr="008473B6" w:rsidRDefault="008473B6" w:rsidP="00383C45">
      <w:pPr>
        <w:jc w:val="center"/>
        <w:rPr>
          <w:b/>
          <w:bCs/>
          <w:sz w:val="28"/>
          <w:szCs w:val="28"/>
          <w:lang w:val="fr-CH"/>
        </w:rPr>
      </w:pPr>
      <w:r w:rsidRPr="008473B6">
        <w:rPr>
          <w:b/>
          <w:bCs/>
          <w:sz w:val="28"/>
          <w:szCs w:val="28"/>
          <w:lang w:val="fr-CH"/>
        </w:rPr>
        <w:t>Mandat du Comité exécutif</w:t>
      </w:r>
    </w:p>
    <w:p w14:paraId="18E421A3" w14:textId="77777777" w:rsidR="009B1227" w:rsidRPr="008473B6" w:rsidRDefault="009B1227" w:rsidP="00383C45">
      <w:pPr>
        <w:jc w:val="center"/>
        <w:rPr>
          <w:rFonts w:cs="Arial"/>
          <w:b/>
          <w:sz w:val="28"/>
          <w:szCs w:val="28"/>
          <w:lang w:val="fr-CH"/>
        </w:rPr>
      </w:pPr>
    </w:p>
    <w:p w14:paraId="02EB214B" w14:textId="67C666D5" w:rsidR="009B1227" w:rsidRPr="008473B6" w:rsidRDefault="0018264B" w:rsidP="00383C45">
      <w:pPr>
        <w:autoSpaceDE w:val="0"/>
        <w:autoSpaceDN w:val="0"/>
        <w:adjustRightInd w:val="0"/>
        <w:rPr>
          <w:rFonts w:cs="Calibri-Bold"/>
          <w:b/>
          <w:bCs/>
          <w:lang w:val="fr-CH"/>
        </w:rPr>
      </w:pPr>
      <w:r w:rsidRPr="008473B6">
        <w:rPr>
          <w:noProof/>
          <w:lang w:eastAsia="en-GB"/>
        </w:rPr>
        <mc:AlternateContent>
          <mc:Choice Requires="wps">
            <w:drawing>
              <wp:inline distT="0" distB="0" distL="0" distR="0" wp14:anchorId="159AD04A" wp14:editId="6C6131F5">
                <wp:extent cx="5731510" cy="891540"/>
                <wp:effectExtent l="9525" t="8255" r="12065"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91540"/>
                        </a:xfrm>
                        <a:prstGeom prst="rect">
                          <a:avLst/>
                        </a:prstGeom>
                        <a:solidFill>
                          <a:srgbClr val="FFFFFF"/>
                        </a:solidFill>
                        <a:ln w="9525">
                          <a:solidFill>
                            <a:srgbClr val="000000"/>
                          </a:solidFill>
                          <a:miter lim="800000"/>
                          <a:headEnd/>
                          <a:tailEnd/>
                        </a:ln>
                      </wps:spPr>
                      <wps:txbx>
                        <w:txbxContent>
                          <w:p w14:paraId="0705CCF0" w14:textId="016FA872" w:rsidR="008F687D" w:rsidRPr="008473B6" w:rsidRDefault="008473B6" w:rsidP="009B1227">
                            <w:pPr>
                              <w:rPr>
                                <w:b/>
                                <w:bCs/>
                                <w:lang w:val="fr-CH"/>
                              </w:rPr>
                            </w:pPr>
                            <w:r w:rsidRPr="008473B6">
                              <w:rPr>
                                <w:b/>
                                <w:bCs/>
                                <w:lang w:val="fr-CH"/>
                              </w:rPr>
                              <w:t>Mesure requise :</w:t>
                            </w:r>
                          </w:p>
                          <w:p w14:paraId="0493C0F9" w14:textId="77777777" w:rsidR="008F687D" w:rsidRPr="008473B6" w:rsidRDefault="008F687D" w:rsidP="009B1227">
                            <w:pPr>
                              <w:pStyle w:val="ColorfulList-Accent11"/>
                              <w:ind w:left="0"/>
                              <w:rPr>
                                <w:lang w:val="fr-CH"/>
                              </w:rPr>
                            </w:pPr>
                          </w:p>
                          <w:p w14:paraId="335EC342" w14:textId="248347F7" w:rsidR="008F687D" w:rsidRPr="008473B6" w:rsidRDefault="008473B6" w:rsidP="009B1227">
                            <w:pPr>
                              <w:pStyle w:val="ColorfulList-Accent11"/>
                              <w:ind w:left="0" w:firstLine="0"/>
                              <w:rPr>
                                <w:lang w:val="fr-CH"/>
                              </w:rPr>
                            </w:pPr>
                            <w:r w:rsidRPr="008473B6">
                              <w:rPr>
                                <w:lang w:val="fr-CH"/>
                              </w:rPr>
                              <w:t>Le Comité permanent est invit</w:t>
                            </w:r>
                            <w:r>
                              <w:rPr>
                                <w:lang w:val="fr-CH"/>
                              </w:rPr>
                              <w:t>é</w:t>
                            </w:r>
                            <w:r w:rsidRPr="008473B6">
                              <w:rPr>
                                <w:lang w:val="fr-CH"/>
                              </w:rPr>
                              <w:t xml:space="preserve"> à approuver le mandat</w:t>
                            </w:r>
                            <w:r>
                              <w:rPr>
                                <w:lang w:val="fr-CH"/>
                              </w:rPr>
                              <w:t xml:space="preserve"> du Comité exécutif présenté dans l’annexe</w:t>
                            </w:r>
                            <w:r w:rsidR="008F687D" w:rsidRPr="008473B6">
                              <w:rPr>
                                <w:rFonts w:cs="Calibri"/>
                                <w:lang w:val="fr-CH"/>
                              </w:rPr>
                              <w:t>.</w:t>
                            </w:r>
                          </w:p>
                        </w:txbxContent>
                      </wps:txbx>
                      <wps:bodyPr rot="0" vert="horz" wrap="square" lIns="91440" tIns="45720" rIns="91440" bIns="45720" anchor="t" anchorCtr="0" upright="1">
                        <a:noAutofit/>
                      </wps:bodyPr>
                    </wps:wsp>
                  </a:graphicData>
                </a:graphic>
              </wp:inline>
            </w:drawing>
          </mc:Choice>
          <mc:Fallback>
            <w:pict>
              <v:shapetype w14:anchorId="159AD04A" id="_x0000_t202" coordsize="21600,21600" o:spt="202" path="m,l,21600r21600,l21600,xe">
                <v:stroke joinstyle="miter"/>
                <v:path gradientshapeok="t" o:connecttype="rect"/>
              </v:shapetype>
              <v:shape id="Text Box 1" o:spid="_x0000_s1026" type="#_x0000_t202" style="width:451.3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wvLAIAAFAEAAAOAAAAZHJzL2Uyb0RvYy54bWysVNuO0zAQfUfiHyy/0zSlYbdR09XSpQhp&#10;uUi7fIDjOImF7TG222T5esZOt0TAEyIPlsczc3zmzDjbm1ErchLOSzAVzRdLSoTh0EjTVfTr4+HV&#10;NSU+MNMwBUZU9El4erN7+WI72FKsoAfVCEcQxPhysBXtQ7BllnneC838Aqww6GzBaRbQdF3WODYg&#10;ulbZarl8kw3gGuuAC+/x9G5y0l3Cb1vBw+e29SIQVVHkFtLq0lrHNdttWdk5ZnvJzzTYP7DQTBq8&#10;9AJ1xwIjRyf/gNKSO/DQhgUHnUHbSi5SDVhNvvytmoeeWZFqQXG8vcjk/x8s/3T64ohssHeUGKax&#10;RY9iDOQtjCSP6gzWlxj0YDEsjHgcI2Ol3t4D/+aJgX3PTCdunYOhF6xBdikzm6VOOD6C1MNHaPAa&#10;dgyQgMbW6QiIYhBExy49XToTqXA8LK5e50WOLo6+601erFPrMlY+Z1vnw3sBmsRNRR12PqGz070P&#10;WAeGPock9qBkc5BKJcN19V45cmI4JYf0xdIxxc/DlCFDRTfFqpgEmPv8HGKZvr9BaBlw3JXUWMUl&#10;iJVRtnemScMYmFTTHu9XBmlEHaN0k4hhrMdzX2ponlBRB9NY4zPETQ/uByUDjnRF/fcjc4IS9cFg&#10;Vzb5GmUjIRnr4mqFhpt76rmHGY5QFQ2UTNt9mN7N0TrZ9XjTNAcGbrGTrUwiR6oTqzNvHNsk5PmJ&#10;xXcxt1PUrx/B7icAAAD//wMAUEsDBBQABgAIAAAAIQDGqq1n3AAAAAUBAAAPAAAAZHJzL2Rvd25y&#10;ZXYueG1sTI/BTsMwEETvSPyDtUhcUGtTotCGOBVCAsENSgVXN94mEfY6xG4a/p6FC1xGWs1o5m25&#10;nrwTIw6xC6Thcq5AINXBdtRo2L7ez5YgYjJkjQuEGr4wwro6PSlNYcORXnDcpEZwCcXCaGhT6gsp&#10;Y92iN3EeeiT29mHwJvE5NNIO5sjl3smFUrn0piNeaE2Pdy3WH5uD17DMHsf3+HT1/Fbne7dKF9fj&#10;w+eg9fnZdHsDIuGU/sLwg8/oUDHTLhzIRuE08CPpV9lbqUUOYsehTGUgq1L+p6++AQAA//8DAFBL&#10;AQItABQABgAIAAAAIQC2gziS/gAAAOEBAAATAAAAAAAAAAAAAAAAAAAAAABbQ29udGVudF9UeXBl&#10;c10ueG1sUEsBAi0AFAAGAAgAAAAhADj9If/WAAAAlAEAAAsAAAAAAAAAAAAAAAAALwEAAF9yZWxz&#10;Ly5yZWxzUEsBAi0AFAAGAAgAAAAhAKEWjC8sAgAAUAQAAA4AAAAAAAAAAAAAAAAALgIAAGRycy9l&#10;Mm9Eb2MueG1sUEsBAi0AFAAGAAgAAAAhAMaqrWfcAAAABQEAAA8AAAAAAAAAAAAAAAAAhgQAAGRy&#10;cy9kb3ducmV2LnhtbFBLBQYAAAAABAAEAPMAAACPBQAAAAA=&#10;">
                <v:textbox>
                  <w:txbxContent>
                    <w:p w14:paraId="0705CCF0" w14:textId="016FA872" w:rsidR="008F687D" w:rsidRPr="008473B6" w:rsidRDefault="008473B6" w:rsidP="009B1227">
                      <w:pPr>
                        <w:rPr>
                          <w:b/>
                          <w:bCs/>
                          <w:lang w:val="fr-CH"/>
                        </w:rPr>
                      </w:pPr>
                      <w:r w:rsidRPr="008473B6">
                        <w:rPr>
                          <w:b/>
                          <w:bCs/>
                          <w:lang w:val="fr-CH"/>
                        </w:rPr>
                        <w:t>Mesure requise :</w:t>
                      </w:r>
                    </w:p>
                    <w:p w14:paraId="0493C0F9" w14:textId="77777777" w:rsidR="008F687D" w:rsidRPr="008473B6" w:rsidRDefault="008F687D" w:rsidP="009B1227">
                      <w:pPr>
                        <w:pStyle w:val="ColorfulList-Accent11"/>
                        <w:ind w:left="0"/>
                        <w:rPr>
                          <w:lang w:val="fr-CH"/>
                        </w:rPr>
                      </w:pPr>
                    </w:p>
                    <w:p w14:paraId="335EC342" w14:textId="248347F7" w:rsidR="008F687D" w:rsidRPr="008473B6" w:rsidRDefault="008473B6" w:rsidP="009B1227">
                      <w:pPr>
                        <w:pStyle w:val="ColorfulList-Accent11"/>
                        <w:ind w:left="0" w:firstLine="0"/>
                        <w:rPr>
                          <w:lang w:val="fr-CH"/>
                        </w:rPr>
                      </w:pPr>
                      <w:r w:rsidRPr="008473B6">
                        <w:rPr>
                          <w:lang w:val="fr-CH"/>
                        </w:rPr>
                        <w:t>Le Comité permanent est invit</w:t>
                      </w:r>
                      <w:r>
                        <w:rPr>
                          <w:lang w:val="fr-CH"/>
                        </w:rPr>
                        <w:t>é</w:t>
                      </w:r>
                      <w:r w:rsidRPr="008473B6">
                        <w:rPr>
                          <w:lang w:val="fr-CH"/>
                        </w:rPr>
                        <w:t xml:space="preserve"> à approuver le mandat</w:t>
                      </w:r>
                      <w:r>
                        <w:rPr>
                          <w:lang w:val="fr-CH"/>
                        </w:rPr>
                        <w:t xml:space="preserve"> du Comité exécutif présenté dans l’annexe</w:t>
                      </w:r>
                      <w:r w:rsidR="008F687D" w:rsidRPr="008473B6">
                        <w:rPr>
                          <w:rFonts w:cs="Calibri"/>
                          <w:lang w:val="fr-CH"/>
                        </w:rPr>
                        <w:t>.</w:t>
                      </w:r>
                    </w:p>
                  </w:txbxContent>
                </v:textbox>
                <w10:anchorlock/>
              </v:shape>
            </w:pict>
          </mc:Fallback>
        </mc:AlternateContent>
      </w:r>
    </w:p>
    <w:p w14:paraId="1168DAC5" w14:textId="77777777" w:rsidR="009B1227" w:rsidRPr="008473B6" w:rsidRDefault="009B1227" w:rsidP="00383C45">
      <w:pPr>
        <w:rPr>
          <w:rFonts w:cs="Arial"/>
          <w:b/>
          <w:lang w:val="fr-CH"/>
        </w:rPr>
      </w:pPr>
    </w:p>
    <w:p w14:paraId="7E9D6499" w14:textId="77777777" w:rsidR="009B1227" w:rsidRPr="008473B6" w:rsidRDefault="009B1227" w:rsidP="00383C45">
      <w:pPr>
        <w:rPr>
          <w:rFonts w:cs="Arial"/>
          <w:b/>
          <w:lang w:val="fr-CH"/>
        </w:rPr>
      </w:pPr>
    </w:p>
    <w:p w14:paraId="772938CA" w14:textId="31FBAE84" w:rsidR="009B1227" w:rsidRPr="008473B6" w:rsidRDefault="00383C45" w:rsidP="00383C45">
      <w:pPr>
        <w:rPr>
          <w:lang w:val="fr-CH"/>
        </w:rPr>
      </w:pPr>
      <w:r w:rsidRPr="008473B6">
        <w:rPr>
          <w:rFonts w:cs="Arial"/>
          <w:lang w:val="fr-CH"/>
        </w:rPr>
        <w:t>1.</w:t>
      </w:r>
      <w:r w:rsidRPr="008473B6">
        <w:rPr>
          <w:rFonts w:cs="Arial"/>
          <w:lang w:val="fr-CH"/>
        </w:rPr>
        <w:tab/>
      </w:r>
      <w:r w:rsidR="008473B6">
        <w:rPr>
          <w:rFonts w:cs="Arial"/>
          <w:lang w:val="fr-CH"/>
        </w:rPr>
        <w:t>À sa 13</w:t>
      </w:r>
      <w:r w:rsidR="008473B6" w:rsidRPr="008473B6">
        <w:rPr>
          <w:rFonts w:cs="Arial"/>
          <w:vertAlign w:val="superscript"/>
          <w:lang w:val="fr-CH"/>
        </w:rPr>
        <w:t>e</w:t>
      </w:r>
      <w:r w:rsidR="008473B6">
        <w:rPr>
          <w:rFonts w:cs="Arial"/>
          <w:lang w:val="fr-CH"/>
        </w:rPr>
        <w:t xml:space="preserve"> session </w:t>
      </w:r>
      <w:r w:rsidR="009B1227" w:rsidRPr="008473B6">
        <w:rPr>
          <w:rFonts w:cs="Arial"/>
          <w:lang w:val="fr-CH"/>
        </w:rPr>
        <w:t>(COP13)</w:t>
      </w:r>
      <w:r w:rsidR="008473B6">
        <w:rPr>
          <w:rFonts w:cs="Arial"/>
          <w:lang w:val="fr-CH"/>
        </w:rPr>
        <w:t>, la Conférence des Parties contractantes, dans la Résolution </w:t>
      </w:r>
      <w:hyperlink r:id="rId7">
        <w:r w:rsidR="009B1227" w:rsidRPr="008473B6">
          <w:rPr>
            <w:rStyle w:val="EnlacedeInternet"/>
            <w:lang w:val="fr-CH"/>
          </w:rPr>
          <w:t>XIII.4</w:t>
        </w:r>
      </w:hyperlink>
      <w:r w:rsidR="009B1227" w:rsidRPr="008473B6">
        <w:rPr>
          <w:lang w:val="fr-CH"/>
        </w:rPr>
        <w:t>, paragraph</w:t>
      </w:r>
      <w:r w:rsidR="008473B6">
        <w:rPr>
          <w:lang w:val="fr-CH"/>
        </w:rPr>
        <w:t>e </w:t>
      </w:r>
      <w:r w:rsidR="009B1227" w:rsidRPr="008473B6">
        <w:rPr>
          <w:lang w:val="fr-CH"/>
        </w:rPr>
        <w:t xml:space="preserve">16, </w:t>
      </w:r>
      <w:r w:rsidR="008473B6">
        <w:rPr>
          <w:lang w:val="fr-CH"/>
        </w:rPr>
        <w:t>a demandé au Comité exécutif de définir son mandat pour approbation par le Comité permanent à sa 57</w:t>
      </w:r>
      <w:r w:rsidR="008473B6" w:rsidRPr="008473B6">
        <w:rPr>
          <w:vertAlign w:val="superscript"/>
          <w:lang w:val="fr-CH"/>
        </w:rPr>
        <w:t>e</w:t>
      </w:r>
      <w:r w:rsidR="008473B6">
        <w:rPr>
          <w:lang w:val="fr-CH"/>
        </w:rPr>
        <w:t> Réunion.</w:t>
      </w:r>
    </w:p>
    <w:p w14:paraId="03749D4A" w14:textId="77777777" w:rsidR="009B1227" w:rsidRPr="008473B6" w:rsidRDefault="009B1227" w:rsidP="00383C45">
      <w:pPr>
        <w:rPr>
          <w:rFonts w:cs="Arial"/>
          <w:lang w:val="fr-CH"/>
        </w:rPr>
      </w:pPr>
    </w:p>
    <w:p w14:paraId="2BC2D5C2" w14:textId="5FAD4468" w:rsidR="009B1227" w:rsidRPr="008473B6" w:rsidRDefault="00383C45" w:rsidP="00383C45">
      <w:pPr>
        <w:pStyle w:val="NoSpacing"/>
        <w:rPr>
          <w:lang w:val="fr-CH"/>
        </w:rPr>
      </w:pPr>
      <w:r w:rsidRPr="008473B6">
        <w:rPr>
          <w:lang w:val="fr-CH"/>
        </w:rPr>
        <w:t>2.</w:t>
      </w:r>
      <w:r w:rsidRPr="008473B6">
        <w:rPr>
          <w:lang w:val="fr-CH"/>
        </w:rPr>
        <w:tab/>
      </w:r>
      <w:r w:rsidR="008473B6">
        <w:rPr>
          <w:lang w:val="fr-CH"/>
        </w:rPr>
        <w:t>Le mandat proposé et l’information générale pertinente, soumis par le Comité exécutif en réponse à cette demande, avec l’appui de la Conseillère juridique de la Convention et du Secrétariat, sont présentés dans l’annexe.</w:t>
      </w:r>
    </w:p>
    <w:p w14:paraId="6C8F3DF4" w14:textId="3A941869" w:rsidR="002969F5" w:rsidRPr="008473B6" w:rsidRDefault="009B1227" w:rsidP="000B3D1F">
      <w:pPr>
        <w:rPr>
          <w:b/>
          <w:color w:val="000000"/>
          <w:sz w:val="24"/>
          <w:szCs w:val="24"/>
          <w:lang w:val="fr-CH"/>
        </w:rPr>
      </w:pPr>
      <w:bookmarkStart w:id="0" w:name="_GoBack"/>
      <w:bookmarkEnd w:id="0"/>
      <w:r w:rsidRPr="008473B6">
        <w:rPr>
          <w:b/>
          <w:color w:val="000000"/>
          <w:lang w:val="fr-CH"/>
        </w:rPr>
        <w:br w:type="page"/>
      </w:r>
      <w:r w:rsidR="00FF02A1" w:rsidRPr="008473B6">
        <w:rPr>
          <w:b/>
          <w:color w:val="000000"/>
          <w:sz w:val="24"/>
          <w:szCs w:val="24"/>
          <w:lang w:val="fr-CH"/>
        </w:rPr>
        <w:lastRenderedPageBreak/>
        <w:t>Annex</w:t>
      </w:r>
      <w:r w:rsidR="008473B6">
        <w:rPr>
          <w:b/>
          <w:color w:val="000000"/>
          <w:sz w:val="24"/>
          <w:szCs w:val="24"/>
          <w:lang w:val="fr-CH"/>
        </w:rPr>
        <w:t>e</w:t>
      </w:r>
      <w:r w:rsidR="000B3D1F" w:rsidRPr="008473B6">
        <w:rPr>
          <w:b/>
          <w:color w:val="000000"/>
          <w:sz w:val="24"/>
          <w:szCs w:val="24"/>
          <w:lang w:val="fr-CH"/>
        </w:rPr>
        <w:t xml:space="preserve"> 1</w:t>
      </w:r>
    </w:p>
    <w:p w14:paraId="547942F6" w14:textId="6D13A0D7" w:rsidR="006C4D8D" w:rsidRPr="008473B6" w:rsidRDefault="008473B6" w:rsidP="000B3D1F">
      <w:pPr>
        <w:rPr>
          <w:rFonts w:cs="Arial"/>
          <w:b/>
          <w:sz w:val="24"/>
          <w:szCs w:val="24"/>
          <w:lang w:val="fr-CH"/>
        </w:rPr>
      </w:pPr>
      <w:r>
        <w:rPr>
          <w:rFonts w:cs="Arial"/>
          <w:b/>
          <w:sz w:val="24"/>
          <w:szCs w:val="24"/>
          <w:lang w:val="fr-CH"/>
        </w:rPr>
        <w:t>Mandat proposé pour le Comité exécutif</w:t>
      </w:r>
      <w:r w:rsidR="00140434" w:rsidRPr="008473B6">
        <w:rPr>
          <w:rFonts w:cs="Arial"/>
          <w:b/>
          <w:sz w:val="24"/>
          <w:szCs w:val="24"/>
          <w:lang w:val="fr-CH"/>
        </w:rPr>
        <w:t xml:space="preserve"> </w:t>
      </w:r>
    </w:p>
    <w:p w14:paraId="4B0AAC7C" w14:textId="77777777" w:rsidR="006C4D8D" w:rsidRPr="008473B6" w:rsidRDefault="006C4D8D" w:rsidP="00383C45">
      <w:pPr>
        <w:rPr>
          <w:rFonts w:cs="Arial"/>
          <w:b/>
          <w:lang w:val="fr-CH"/>
        </w:rPr>
      </w:pPr>
    </w:p>
    <w:p w14:paraId="7387F812" w14:textId="2F3F8466" w:rsidR="006C4D8D" w:rsidRPr="008473B6" w:rsidRDefault="008473B6" w:rsidP="00383C45">
      <w:pPr>
        <w:rPr>
          <w:rFonts w:cs="Arial"/>
          <w:b/>
          <w:lang w:val="fr-CH"/>
        </w:rPr>
      </w:pPr>
      <w:r>
        <w:rPr>
          <w:rFonts w:cs="Arial"/>
          <w:b/>
          <w:lang w:val="fr-CH"/>
        </w:rPr>
        <w:t>Généralités</w:t>
      </w:r>
    </w:p>
    <w:p w14:paraId="4244C160" w14:textId="77777777" w:rsidR="006C4D8D" w:rsidRPr="008473B6" w:rsidRDefault="006C4D8D" w:rsidP="00383C45">
      <w:pPr>
        <w:rPr>
          <w:rFonts w:ascii="Garamond" w:hAnsi="Garamond" w:cs="Arial"/>
          <w:lang w:val="fr-CH"/>
        </w:rPr>
      </w:pPr>
    </w:p>
    <w:p w14:paraId="62BB5D02" w14:textId="55D215E2" w:rsidR="006C4D8D" w:rsidRPr="008473B6" w:rsidRDefault="00383C45" w:rsidP="004428D5">
      <w:pPr>
        <w:rPr>
          <w:lang w:val="fr-CH"/>
        </w:rPr>
      </w:pPr>
      <w:r w:rsidRPr="008473B6">
        <w:rPr>
          <w:lang w:val="fr-CH"/>
        </w:rPr>
        <w:t>1.</w:t>
      </w:r>
      <w:r w:rsidRPr="008473B6">
        <w:rPr>
          <w:lang w:val="fr-CH"/>
        </w:rPr>
        <w:tab/>
      </w:r>
      <w:r w:rsidR="004428D5" w:rsidRPr="008473B6">
        <w:rPr>
          <w:lang w:val="fr-CH"/>
        </w:rPr>
        <w:t>La Ré</w:t>
      </w:r>
      <w:r w:rsidR="00140434" w:rsidRPr="008473B6">
        <w:rPr>
          <w:lang w:val="fr-CH"/>
        </w:rPr>
        <w:t xml:space="preserve">solution </w:t>
      </w:r>
      <w:hyperlink r:id="rId8">
        <w:r w:rsidR="004D24D6" w:rsidRPr="008473B6">
          <w:rPr>
            <w:rStyle w:val="EnlacedeInternet"/>
            <w:lang w:val="fr-CH"/>
          </w:rPr>
          <w:t>XIII.4</w:t>
        </w:r>
      </w:hyperlink>
      <w:r w:rsidR="00140434" w:rsidRPr="008473B6">
        <w:rPr>
          <w:lang w:val="fr-CH"/>
        </w:rPr>
        <w:t xml:space="preserve">, </w:t>
      </w:r>
      <w:r w:rsidR="004428D5" w:rsidRPr="008473B6">
        <w:rPr>
          <w:i/>
          <w:lang w:val="fr-CH"/>
        </w:rPr>
        <w:t>Responsabilités, rôle et composition du Comité permanent et répartition régionale des pays dans le cadre de la Convention de Ramsar</w:t>
      </w:r>
      <w:r w:rsidR="00C270B5" w:rsidRPr="008473B6">
        <w:rPr>
          <w:lang w:val="fr-CH"/>
        </w:rPr>
        <w:t xml:space="preserve">, </w:t>
      </w:r>
      <w:r w:rsidR="004428D5" w:rsidRPr="008473B6">
        <w:rPr>
          <w:lang w:val="fr-CH"/>
        </w:rPr>
        <w:t>dans son</w:t>
      </w:r>
      <w:r w:rsidR="00C270B5" w:rsidRPr="008473B6">
        <w:rPr>
          <w:lang w:val="fr-CH"/>
        </w:rPr>
        <w:t xml:space="preserve"> </w:t>
      </w:r>
      <w:r w:rsidR="00140434" w:rsidRPr="008473B6">
        <w:rPr>
          <w:lang w:val="fr-CH"/>
        </w:rPr>
        <w:t>paragraph</w:t>
      </w:r>
      <w:r w:rsidR="004428D5" w:rsidRPr="008473B6">
        <w:rPr>
          <w:lang w:val="fr-CH"/>
        </w:rPr>
        <w:t>e</w:t>
      </w:r>
      <w:r w:rsidR="008473B6">
        <w:rPr>
          <w:lang w:val="fr-CH"/>
        </w:rPr>
        <w:t> </w:t>
      </w:r>
      <w:r w:rsidR="00140434" w:rsidRPr="008473B6">
        <w:rPr>
          <w:lang w:val="fr-CH"/>
        </w:rPr>
        <w:t>16</w:t>
      </w:r>
      <w:r w:rsidR="00C270B5" w:rsidRPr="008473B6">
        <w:rPr>
          <w:lang w:val="fr-CH"/>
        </w:rPr>
        <w:t>,</w:t>
      </w:r>
      <w:r w:rsidR="00140434" w:rsidRPr="008473B6">
        <w:rPr>
          <w:lang w:val="fr-CH"/>
        </w:rPr>
        <w:t xml:space="preserve"> </w:t>
      </w:r>
      <w:r w:rsidR="004428D5" w:rsidRPr="008473B6">
        <w:rPr>
          <w:lang w:val="fr-CH"/>
        </w:rPr>
        <w:t>« PRIE le Comité exécutif de définir son mandat pour approbation p</w:t>
      </w:r>
      <w:r w:rsidR="008473B6">
        <w:rPr>
          <w:lang w:val="fr-CH"/>
        </w:rPr>
        <w:t>ar le Comité permanent à sa 57</w:t>
      </w:r>
      <w:r w:rsidR="008473B6" w:rsidRPr="008473B6">
        <w:rPr>
          <w:vertAlign w:val="superscript"/>
          <w:lang w:val="fr-CH"/>
        </w:rPr>
        <w:t>e</w:t>
      </w:r>
      <w:r w:rsidR="008473B6">
        <w:rPr>
          <w:lang w:val="fr-CH"/>
        </w:rPr>
        <w:t> </w:t>
      </w:r>
      <w:r w:rsidR="004428D5" w:rsidRPr="008473B6">
        <w:rPr>
          <w:lang w:val="fr-CH"/>
        </w:rPr>
        <w:t>Réunion. »</w:t>
      </w:r>
    </w:p>
    <w:p w14:paraId="48EC0D76" w14:textId="77777777" w:rsidR="006C4D8D" w:rsidRPr="008473B6" w:rsidRDefault="006C4D8D" w:rsidP="00383C45">
      <w:pPr>
        <w:pStyle w:val="ListParagraph"/>
        <w:ind w:left="425"/>
        <w:rPr>
          <w:rFonts w:cs="Arial"/>
          <w:lang w:val="fr-CH"/>
        </w:rPr>
      </w:pPr>
    </w:p>
    <w:p w14:paraId="22CD4BC0" w14:textId="351EEE72" w:rsidR="00720A25" w:rsidRPr="008473B6" w:rsidRDefault="00383C45" w:rsidP="004428D5">
      <w:pPr>
        <w:rPr>
          <w:lang w:val="fr-CH"/>
        </w:rPr>
      </w:pPr>
      <w:r w:rsidRPr="008473B6">
        <w:rPr>
          <w:lang w:val="fr-CH"/>
        </w:rPr>
        <w:t>2.</w:t>
      </w:r>
      <w:r w:rsidRPr="008473B6">
        <w:rPr>
          <w:lang w:val="fr-CH"/>
        </w:rPr>
        <w:tab/>
      </w:r>
      <w:r w:rsidR="004428D5" w:rsidRPr="008473B6">
        <w:rPr>
          <w:lang w:val="fr-CH"/>
        </w:rPr>
        <w:t>Le</w:t>
      </w:r>
      <w:r w:rsidR="00140434" w:rsidRPr="008473B6">
        <w:rPr>
          <w:lang w:val="fr-CH"/>
        </w:rPr>
        <w:t xml:space="preserve"> </w:t>
      </w:r>
      <w:r w:rsidR="004428D5" w:rsidRPr="008473B6">
        <w:rPr>
          <w:u w:val="single"/>
          <w:lang w:val="fr-CH"/>
        </w:rPr>
        <w:t>rôle</w:t>
      </w:r>
      <w:r w:rsidR="00140434" w:rsidRPr="008473B6">
        <w:rPr>
          <w:b/>
          <w:u w:val="single"/>
          <w:lang w:val="fr-CH"/>
        </w:rPr>
        <w:t xml:space="preserve"> </w:t>
      </w:r>
      <w:r w:rsidR="004428D5" w:rsidRPr="008473B6">
        <w:rPr>
          <w:u w:val="single"/>
          <w:lang w:val="fr-CH"/>
        </w:rPr>
        <w:t>du Comité exécutif</w:t>
      </w:r>
      <w:r w:rsidR="004428D5" w:rsidRPr="008473B6">
        <w:rPr>
          <w:lang w:val="fr-CH"/>
        </w:rPr>
        <w:t xml:space="preserve"> e</w:t>
      </w:r>
      <w:r w:rsidR="00140434" w:rsidRPr="008473B6">
        <w:rPr>
          <w:lang w:val="fr-CH"/>
        </w:rPr>
        <w:t>s</w:t>
      </w:r>
      <w:r w:rsidR="004428D5" w:rsidRPr="008473B6">
        <w:rPr>
          <w:lang w:val="fr-CH"/>
        </w:rPr>
        <w:t>t</w:t>
      </w:r>
      <w:r w:rsidR="00140434" w:rsidRPr="008473B6">
        <w:rPr>
          <w:lang w:val="fr-CH"/>
        </w:rPr>
        <w:t xml:space="preserve"> </w:t>
      </w:r>
      <w:r w:rsidR="004428D5" w:rsidRPr="008473B6">
        <w:rPr>
          <w:lang w:val="fr-CH"/>
        </w:rPr>
        <w:t>énoncé dans la</w:t>
      </w:r>
      <w:r w:rsidR="00140434" w:rsidRPr="008473B6">
        <w:rPr>
          <w:lang w:val="fr-CH"/>
        </w:rPr>
        <w:t xml:space="preserve"> </w:t>
      </w:r>
      <w:r w:rsidR="004428D5" w:rsidRPr="008473B6">
        <w:rPr>
          <w:lang w:val="fr-CH"/>
        </w:rPr>
        <w:t>Résolution</w:t>
      </w:r>
      <w:r w:rsidR="00140434" w:rsidRPr="008473B6">
        <w:rPr>
          <w:lang w:val="fr-CH"/>
        </w:rPr>
        <w:t xml:space="preserve"> XIII.4, </w:t>
      </w:r>
      <w:r w:rsidR="004428D5" w:rsidRPr="008473B6">
        <w:rPr>
          <w:lang w:val="fr-CH"/>
        </w:rPr>
        <w:t>paragraphe</w:t>
      </w:r>
      <w:r w:rsidR="00140434" w:rsidRPr="008473B6">
        <w:rPr>
          <w:lang w:val="fr-CH"/>
        </w:rPr>
        <w:t xml:space="preserve"> 4</w:t>
      </w:r>
      <w:r w:rsidR="00C270B5" w:rsidRPr="008473B6">
        <w:rPr>
          <w:lang w:val="fr-CH"/>
        </w:rPr>
        <w:t>,</w:t>
      </w:r>
      <w:r w:rsidR="00140434" w:rsidRPr="008473B6">
        <w:rPr>
          <w:lang w:val="fr-CH"/>
        </w:rPr>
        <w:t xml:space="preserve"> </w:t>
      </w:r>
      <w:r w:rsidR="004428D5" w:rsidRPr="008473B6">
        <w:rPr>
          <w:lang w:val="fr-CH"/>
        </w:rPr>
        <w:t>qui</w:t>
      </w:r>
      <w:r w:rsidR="00140434" w:rsidRPr="008473B6">
        <w:rPr>
          <w:lang w:val="fr-CH"/>
        </w:rPr>
        <w:t xml:space="preserve"> </w:t>
      </w:r>
      <w:r w:rsidR="004428D5" w:rsidRPr="008473B6">
        <w:rPr>
          <w:lang w:val="fr-CH"/>
        </w:rPr>
        <w:t>note « que la supervision du Secrétariat par le Comité permanent est réalisée en son nom, entre les réunions du Comité permanent, par son Comité exécutif (président et vice-président du Comité permanent et président du Sous-groupe sur les finances) en collaboration avec la Secrétaire générale »</w:t>
      </w:r>
      <w:r w:rsidR="00140434" w:rsidRPr="008473B6">
        <w:rPr>
          <w:lang w:val="fr-CH"/>
        </w:rPr>
        <w:t xml:space="preserve">. </w:t>
      </w:r>
      <w:r w:rsidR="004428D5" w:rsidRPr="008473B6">
        <w:rPr>
          <w:lang w:val="fr-CH"/>
        </w:rPr>
        <w:t>Ces termes réitèrent la</w:t>
      </w:r>
      <w:r w:rsidR="00140434" w:rsidRPr="008473B6">
        <w:rPr>
          <w:lang w:val="fr-CH"/>
        </w:rPr>
        <w:t xml:space="preserve"> </w:t>
      </w:r>
      <w:r w:rsidR="004428D5" w:rsidRPr="008473B6">
        <w:rPr>
          <w:lang w:val="fr-CH"/>
        </w:rPr>
        <w:t>Résolution</w:t>
      </w:r>
      <w:r w:rsidR="00140434" w:rsidRPr="008473B6">
        <w:rPr>
          <w:lang w:val="fr-CH"/>
        </w:rPr>
        <w:t xml:space="preserve"> XI.19, </w:t>
      </w:r>
      <w:r w:rsidR="004428D5" w:rsidRPr="008473B6">
        <w:rPr>
          <w:i/>
          <w:lang w:val="fr-CH"/>
        </w:rPr>
        <w:t>Ajusteme</w:t>
      </w:r>
      <w:r w:rsidR="008473B6">
        <w:rPr>
          <w:i/>
          <w:lang w:val="fr-CH"/>
        </w:rPr>
        <w:t>nts des termes de la Résolution </w:t>
      </w:r>
      <w:r w:rsidR="004428D5" w:rsidRPr="008473B6">
        <w:rPr>
          <w:i/>
          <w:lang w:val="fr-CH"/>
        </w:rPr>
        <w:t>VII.1 sur la composition, le rôle et les responsabilités du Comité permanent et la répartition régionale des pays dans le cadre de la Convention</w:t>
      </w:r>
      <w:r w:rsidR="00720A25" w:rsidRPr="008473B6">
        <w:rPr>
          <w:i/>
          <w:lang w:val="fr-CH"/>
        </w:rPr>
        <w:t>,</w:t>
      </w:r>
      <w:r w:rsidR="00720A25" w:rsidRPr="008473B6">
        <w:rPr>
          <w:lang w:val="fr-CH"/>
        </w:rPr>
        <w:t xml:space="preserve"> </w:t>
      </w:r>
      <w:r w:rsidR="00140434" w:rsidRPr="008473B6">
        <w:rPr>
          <w:lang w:val="fr-CH"/>
        </w:rPr>
        <w:t>paragraph</w:t>
      </w:r>
      <w:r w:rsidR="004428D5" w:rsidRPr="008473B6">
        <w:rPr>
          <w:lang w:val="fr-CH"/>
        </w:rPr>
        <w:t>e</w:t>
      </w:r>
      <w:r w:rsidR="00140434" w:rsidRPr="008473B6">
        <w:rPr>
          <w:lang w:val="fr-CH"/>
        </w:rPr>
        <w:t xml:space="preserve"> 3</w:t>
      </w:r>
      <w:r w:rsidR="00720A25" w:rsidRPr="008473B6">
        <w:rPr>
          <w:lang w:val="fr-CH"/>
        </w:rPr>
        <w:t>,</w:t>
      </w:r>
      <w:r w:rsidR="00140434" w:rsidRPr="008473B6">
        <w:rPr>
          <w:lang w:val="fr-CH"/>
        </w:rPr>
        <w:t xml:space="preserve"> </w:t>
      </w:r>
      <w:r w:rsidR="004428D5" w:rsidRPr="008473B6">
        <w:rPr>
          <w:lang w:val="fr-CH"/>
        </w:rPr>
        <w:t>et la</w:t>
      </w:r>
      <w:r w:rsidR="00140434" w:rsidRPr="008473B6">
        <w:rPr>
          <w:lang w:val="fr-CH"/>
        </w:rPr>
        <w:t xml:space="preserve"> </w:t>
      </w:r>
      <w:r w:rsidR="004428D5" w:rsidRPr="008473B6">
        <w:rPr>
          <w:lang w:val="fr-CH"/>
        </w:rPr>
        <w:t>Résolution</w:t>
      </w:r>
      <w:r w:rsidR="008473B6">
        <w:rPr>
          <w:lang w:val="fr-CH"/>
        </w:rPr>
        <w:t> </w:t>
      </w:r>
      <w:r w:rsidR="00140434" w:rsidRPr="008473B6">
        <w:rPr>
          <w:lang w:val="fr-CH"/>
        </w:rPr>
        <w:t>XII.4,</w:t>
      </w:r>
      <w:r w:rsidR="00720A25" w:rsidRPr="008473B6">
        <w:rPr>
          <w:lang w:val="fr-CH"/>
        </w:rPr>
        <w:t xml:space="preserve"> </w:t>
      </w:r>
      <w:r w:rsidR="004428D5" w:rsidRPr="008473B6">
        <w:rPr>
          <w:i/>
          <w:lang w:val="fr-CH"/>
        </w:rPr>
        <w:t>Responsabilités, rôle et composition du Comité permanent et répartition régionale des pays dans le cadre de la Convention de Ramsar</w:t>
      </w:r>
      <w:r w:rsidR="00720A25" w:rsidRPr="008473B6">
        <w:rPr>
          <w:i/>
          <w:lang w:val="fr-CH"/>
        </w:rPr>
        <w:t xml:space="preserve">, </w:t>
      </w:r>
      <w:r w:rsidR="00140434" w:rsidRPr="008473B6">
        <w:rPr>
          <w:lang w:val="fr-CH"/>
        </w:rPr>
        <w:t>paragraph</w:t>
      </w:r>
      <w:r w:rsidR="004428D5" w:rsidRPr="008473B6">
        <w:rPr>
          <w:lang w:val="fr-CH"/>
        </w:rPr>
        <w:t>e</w:t>
      </w:r>
      <w:r w:rsidR="00140434" w:rsidRPr="008473B6">
        <w:rPr>
          <w:lang w:val="fr-CH"/>
        </w:rPr>
        <w:t xml:space="preserve"> 4, </w:t>
      </w:r>
      <w:r w:rsidR="004428D5" w:rsidRPr="008473B6">
        <w:rPr>
          <w:lang w:val="fr-CH"/>
        </w:rPr>
        <w:t>qui ont, toutes deux, été remplacées</w:t>
      </w:r>
      <w:r w:rsidR="00140434" w:rsidRPr="008473B6">
        <w:rPr>
          <w:lang w:val="fr-CH"/>
        </w:rPr>
        <w:t xml:space="preserve">. </w:t>
      </w:r>
    </w:p>
    <w:p w14:paraId="38DFBD19" w14:textId="77777777" w:rsidR="006C4D8D" w:rsidRPr="008473B6" w:rsidRDefault="006C4D8D" w:rsidP="00383C45">
      <w:pPr>
        <w:pStyle w:val="ListParagraph"/>
        <w:ind w:left="425"/>
        <w:rPr>
          <w:lang w:val="fr-CH"/>
        </w:rPr>
      </w:pPr>
    </w:p>
    <w:p w14:paraId="7A663255" w14:textId="493B7392" w:rsidR="006C4D8D" w:rsidRPr="008473B6" w:rsidRDefault="00383C45" w:rsidP="00383C45">
      <w:pPr>
        <w:rPr>
          <w:lang w:val="fr-CH"/>
        </w:rPr>
      </w:pPr>
      <w:r w:rsidRPr="008473B6">
        <w:rPr>
          <w:lang w:val="fr-CH"/>
        </w:rPr>
        <w:t>3.</w:t>
      </w:r>
      <w:r w:rsidRPr="008473B6">
        <w:rPr>
          <w:lang w:val="fr-CH"/>
        </w:rPr>
        <w:tab/>
      </w:r>
      <w:r w:rsidR="001045CD">
        <w:rPr>
          <w:lang w:val="fr-CH"/>
        </w:rPr>
        <w:t>Les</w:t>
      </w:r>
      <w:r w:rsidR="00140434" w:rsidRPr="008473B6">
        <w:rPr>
          <w:lang w:val="fr-CH"/>
        </w:rPr>
        <w:t xml:space="preserve"> </w:t>
      </w:r>
      <w:r w:rsidR="00140434" w:rsidRPr="008473B6">
        <w:rPr>
          <w:u w:val="single"/>
          <w:lang w:val="fr-CH"/>
        </w:rPr>
        <w:t>f</w:t>
      </w:r>
      <w:r w:rsidR="001045CD">
        <w:rPr>
          <w:u w:val="single"/>
          <w:lang w:val="fr-CH"/>
        </w:rPr>
        <w:t>onctions du Comité permanent</w:t>
      </w:r>
      <w:r w:rsidR="001045CD">
        <w:rPr>
          <w:lang w:val="fr-CH"/>
        </w:rPr>
        <w:t xml:space="preserve"> relatives à la supervision du Secrétariat sont énoncées dans la Résolution XIII.4, a</w:t>
      </w:r>
      <w:r w:rsidR="00140434" w:rsidRPr="008473B6">
        <w:rPr>
          <w:lang w:val="fr-CH"/>
        </w:rPr>
        <w:t>nnex</w:t>
      </w:r>
      <w:r w:rsidR="001045CD">
        <w:rPr>
          <w:lang w:val="fr-CH"/>
        </w:rPr>
        <w:t>e </w:t>
      </w:r>
      <w:r w:rsidR="00140434" w:rsidRPr="008473B6">
        <w:rPr>
          <w:lang w:val="fr-CH"/>
        </w:rPr>
        <w:t>1, paragraph</w:t>
      </w:r>
      <w:r w:rsidR="001045CD">
        <w:rPr>
          <w:lang w:val="fr-CH"/>
        </w:rPr>
        <w:t>e 19, alinéas</w:t>
      </w:r>
      <w:r w:rsidR="00140434" w:rsidRPr="008473B6">
        <w:rPr>
          <w:lang w:val="fr-CH"/>
        </w:rPr>
        <w:t xml:space="preserve"> a</w:t>
      </w:r>
      <w:r w:rsidR="001045CD">
        <w:rPr>
          <w:lang w:val="fr-CH"/>
        </w:rPr>
        <w:t>)</w:t>
      </w:r>
      <w:r w:rsidR="00140434" w:rsidRPr="008473B6">
        <w:rPr>
          <w:lang w:val="fr-CH"/>
        </w:rPr>
        <w:t>, c</w:t>
      </w:r>
      <w:r w:rsidR="001045CD">
        <w:rPr>
          <w:lang w:val="fr-CH"/>
        </w:rPr>
        <w:t>)</w:t>
      </w:r>
      <w:r w:rsidR="00140434" w:rsidRPr="008473B6">
        <w:rPr>
          <w:lang w:val="fr-CH"/>
        </w:rPr>
        <w:t xml:space="preserve"> </w:t>
      </w:r>
      <w:r w:rsidR="001045CD">
        <w:rPr>
          <w:lang w:val="fr-CH"/>
        </w:rPr>
        <w:t xml:space="preserve">et d). </w:t>
      </w:r>
      <w:r w:rsidR="00E65C0F">
        <w:rPr>
          <w:lang w:val="fr-CH"/>
        </w:rPr>
        <w:t xml:space="preserve">Ce sont donc les fonctions que le Comité exécutif conduirait au nom du Comité permanent, entre les </w:t>
      </w:r>
      <w:r w:rsidR="00E65C0F" w:rsidRPr="00C3193E">
        <w:rPr>
          <w:lang w:val="fr-CH"/>
        </w:rPr>
        <w:t>sessions</w:t>
      </w:r>
      <w:r w:rsidR="00E65C0F">
        <w:rPr>
          <w:lang w:val="fr-CH"/>
        </w:rPr>
        <w:t>, et plus précisément :</w:t>
      </w:r>
      <w:r w:rsidR="00140434" w:rsidRPr="008473B6">
        <w:rPr>
          <w:lang w:val="fr-CH"/>
        </w:rPr>
        <w:t xml:space="preserve"> </w:t>
      </w:r>
    </w:p>
    <w:p w14:paraId="3DA5E74E" w14:textId="77777777" w:rsidR="006C4D8D" w:rsidRPr="008473B6" w:rsidRDefault="006C4D8D" w:rsidP="00383C45">
      <w:pPr>
        <w:pStyle w:val="ListParagraph"/>
        <w:rPr>
          <w:lang w:val="fr-CH"/>
        </w:rPr>
      </w:pPr>
    </w:p>
    <w:p w14:paraId="20A78211" w14:textId="117444DF" w:rsidR="006C4D8D" w:rsidRPr="008473B6" w:rsidRDefault="00383C45" w:rsidP="00596952">
      <w:pPr>
        <w:ind w:left="850"/>
        <w:rPr>
          <w:lang w:val="fr-CH"/>
        </w:rPr>
      </w:pPr>
      <w:r w:rsidRPr="008473B6">
        <w:rPr>
          <w:lang w:val="fr-CH"/>
        </w:rPr>
        <w:t>3.1</w:t>
      </w:r>
      <w:r w:rsidRPr="008473B6">
        <w:rPr>
          <w:lang w:val="fr-CH"/>
        </w:rPr>
        <w:tab/>
      </w:r>
      <w:r w:rsidR="00E65C0F">
        <w:rPr>
          <w:lang w:val="fr-CH"/>
        </w:rPr>
        <w:t>L’alinéa a) précise que les fonctions du Comité permanent consistent à « </w:t>
      </w:r>
      <w:r w:rsidR="00596952" w:rsidRPr="00A63B52">
        <w:rPr>
          <w:lang w:val="fr-CH"/>
        </w:rPr>
        <w:t xml:space="preserve">mener à bien, dans l’intervalle entre deux sessions ordinaires de la Conférence des Parties contractantes, les activités intérimaires jugées nécessaires, au nom de la Conférence </w:t>
      </w:r>
      <w:r w:rsidR="00140434" w:rsidRPr="00A63B52">
        <w:rPr>
          <w:lang w:val="fr-CH"/>
        </w:rPr>
        <w:t>…</w:t>
      </w:r>
      <w:r w:rsidR="00E65C0F" w:rsidRPr="00A63B52">
        <w:rPr>
          <w:lang w:val="fr-CH"/>
        </w:rPr>
        <w:t> »</w:t>
      </w:r>
      <w:r w:rsidR="00140434" w:rsidRPr="00A63B52">
        <w:rPr>
          <w:lang w:val="fr-CH"/>
        </w:rPr>
        <w:t>.</w:t>
      </w:r>
      <w:r w:rsidR="00140434" w:rsidRPr="008473B6">
        <w:rPr>
          <w:lang w:val="fr-CH"/>
        </w:rPr>
        <w:t xml:space="preserve"> </w:t>
      </w:r>
      <w:r w:rsidR="00E65C0F">
        <w:rPr>
          <w:lang w:val="fr-CH"/>
        </w:rPr>
        <w:t>Le même principe visant à mener</w:t>
      </w:r>
      <w:r w:rsidR="00A63B52">
        <w:rPr>
          <w:lang w:val="fr-CH"/>
        </w:rPr>
        <w:t xml:space="preserve"> à bien</w:t>
      </w:r>
      <w:r w:rsidR="00E65C0F">
        <w:rPr>
          <w:lang w:val="fr-CH"/>
        </w:rPr>
        <w:t xml:space="preserve"> </w:t>
      </w:r>
      <w:r w:rsidR="003502BF">
        <w:rPr>
          <w:lang w:val="fr-CH"/>
        </w:rPr>
        <w:t>des</w:t>
      </w:r>
      <w:r w:rsidR="00E65C0F">
        <w:rPr>
          <w:lang w:val="fr-CH"/>
        </w:rPr>
        <w:t xml:space="preserve"> « activité</w:t>
      </w:r>
      <w:r w:rsidR="003502BF">
        <w:rPr>
          <w:lang w:val="fr-CH"/>
        </w:rPr>
        <w:t>s</w:t>
      </w:r>
      <w:r w:rsidR="00E65C0F">
        <w:rPr>
          <w:lang w:val="fr-CH"/>
        </w:rPr>
        <w:t xml:space="preserve"> intérimaire</w:t>
      </w:r>
      <w:r w:rsidR="003502BF">
        <w:rPr>
          <w:lang w:val="fr-CH"/>
        </w:rPr>
        <w:t>s</w:t>
      </w:r>
      <w:r w:rsidR="00E65C0F">
        <w:rPr>
          <w:lang w:val="fr-CH"/>
        </w:rPr>
        <w:t> » « jugée</w:t>
      </w:r>
      <w:r w:rsidR="003502BF">
        <w:rPr>
          <w:lang w:val="fr-CH"/>
        </w:rPr>
        <w:t>s</w:t>
      </w:r>
      <w:r w:rsidR="00E65C0F">
        <w:rPr>
          <w:lang w:val="fr-CH"/>
        </w:rPr>
        <w:t xml:space="preserve"> nécessaire</w:t>
      </w:r>
      <w:r w:rsidR="003502BF">
        <w:rPr>
          <w:lang w:val="fr-CH"/>
        </w:rPr>
        <w:t>s</w:t>
      </w:r>
      <w:r w:rsidR="00E65C0F">
        <w:rPr>
          <w:lang w:val="fr-CH"/>
        </w:rPr>
        <w:t xml:space="preserve"> » pourrait être appliqué au Comité exécutif </w:t>
      </w:r>
      <w:r w:rsidR="00E65C0F" w:rsidRPr="00A63B52">
        <w:rPr>
          <w:lang w:val="fr-CH"/>
        </w:rPr>
        <w:t>du point de vue</w:t>
      </w:r>
      <w:r w:rsidR="00E65C0F">
        <w:rPr>
          <w:lang w:val="fr-CH"/>
        </w:rPr>
        <w:t xml:space="preserve"> du Comité permanent. </w:t>
      </w:r>
    </w:p>
    <w:p w14:paraId="55357AC6" w14:textId="77777777" w:rsidR="006C4D8D" w:rsidRPr="008473B6" w:rsidRDefault="006C4D8D" w:rsidP="00383C45">
      <w:pPr>
        <w:pStyle w:val="ListParagraph"/>
        <w:ind w:left="850"/>
        <w:rPr>
          <w:lang w:val="fr-CH"/>
        </w:rPr>
      </w:pPr>
    </w:p>
    <w:p w14:paraId="7FB3EB65" w14:textId="1C3EE205" w:rsidR="006C4D8D" w:rsidRPr="008473B6" w:rsidRDefault="00383C45" w:rsidP="009009D9">
      <w:pPr>
        <w:ind w:left="850"/>
        <w:rPr>
          <w:lang w:val="fr-CH"/>
        </w:rPr>
      </w:pPr>
      <w:r w:rsidRPr="008473B6">
        <w:rPr>
          <w:lang w:val="fr-CH"/>
        </w:rPr>
        <w:t>3.2</w:t>
      </w:r>
      <w:r w:rsidRPr="008473B6">
        <w:rPr>
          <w:lang w:val="fr-CH"/>
        </w:rPr>
        <w:tab/>
      </w:r>
      <w:r w:rsidR="00E65C0F">
        <w:rPr>
          <w:lang w:val="fr-CH"/>
        </w:rPr>
        <w:t>L’alinéa a) précise en outre que le Comité permanent devra donner « </w:t>
      </w:r>
      <w:r w:rsidR="009009D9" w:rsidRPr="00A63B52">
        <w:rPr>
          <w:lang w:val="fr-CH"/>
        </w:rPr>
        <w:t>la priorité aux questions auxquelles la Conférence a déjà donné son accord, notant toutefois que le Comité permanent n’a pas pour mandat de prendre des décisions qui incombent habituellement à la Conférence des Parties contractantes ni d’amender quelque décision que soit ayant été prise par la Conférence des Parties contractantes</w:t>
      </w:r>
      <w:r w:rsidR="00E65C0F">
        <w:rPr>
          <w:lang w:val="fr-CH"/>
        </w:rPr>
        <w:t> »</w:t>
      </w:r>
      <w:r w:rsidR="00C3193E">
        <w:rPr>
          <w:lang w:val="fr-CH"/>
        </w:rPr>
        <w:t>. Le Comité exécutif pourrait donc appliquer les deux mêmes principes ; c’est-à</w:t>
      </w:r>
      <w:r w:rsidR="00C3193E">
        <w:rPr>
          <w:lang w:val="fr-CH"/>
        </w:rPr>
        <w:noBreakHyphen/>
        <w:t xml:space="preserve">dire </w:t>
      </w:r>
      <w:r w:rsidR="00A63B52">
        <w:rPr>
          <w:lang w:val="fr-CH"/>
        </w:rPr>
        <w:t>accorder</w:t>
      </w:r>
      <w:r w:rsidR="00C3193E">
        <w:rPr>
          <w:lang w:val="fr-CH"/>
        </w:rPr>
        <w:t xml:space="preserve"> la priorité aux questions auxquelles la Conférence des Parties </w:t>
      </w:r>
      <w:r w:rsidR="003502BF">
        <w:rPr>
          <w:lang w:val="fr-CH"/>
        </w:rPr>
        <w:t xml:space="preserve">contractantes </w:t>
      </w:r>
      <w:r w:rsidR="00C3193E">
        <w:rPr>
          <w:lang w:val="fr-CH"/>
        </w:rPr>
        <w:t xml:space="preserve">ou le Comité permanent a donné son accord et adhérer aux politiques et orientations établies par la Conférence des Parties </w:t>
      </w:r>
      <w:r w:rsidR="003502BF">
        <w:rPr>
          <w:lang w:val="fr-CH"/>
        </w:rPr>
        <w:t xml:space="preserve">contractantes </w:t>
      </w:r>
      <w:r w:rsidR="00C3193E">
        <w:rPr>
          <w:lang w:val="fr-CH"/>
        </w:rPr>
        <w:t>ou le Comité permanent.</w:t>
      </w:r>
    </w:p>
    <w:p w14:paraId="345A905B" w14:textId="77777777" w:rsidR="006C4D8D" w:rsidRPr="008473B6" w:rsidRDefault="006C4D8D" w:rsidP="00383C45">
      <w:pPr>
        <w:ind w:left="850"/>
        <w:rPr>
          <w:lang w:val="fr-CH"/>
        </w:rPr>
      </w:pPr>
    </w:p>
    <w:p w14:paraId="1160C6E8" w14:textId="694E3527" w:rsidR="006C4D8D" w:rsidRPr="008473B6" w:rsidRDefault="00383C45" w:rsidP="00383C45">
      <w:pPr>
        <w:ind w:left="850"/>
        <w:rPr>
          <w:lang w:val="fr-CH"/>
        </w:rPr>
      </w:pPr>
      <w:r w:rsidRPr="008473B6">
        <w:rPr>
          <w:lang w:val="fr-CH"/>
        </w:rPr>
        <w:t>3.3</w:t>
      </w:r>
      <w:r w:rsidRPr="008473B6">
        <w:rPr>
          <w:lang w:val="fr-CH"/>
        </w:rPr>
        <w:tab/>
      </w:r>
      <w:r w:rsidR="009009D9" w:rsidRPr="00A63B52">
        <w:rPr>
          <w:lang w:val="fr-CH"/>
        </w:rPr>
        <w:t>L’alinéa c) stipule que le Comité permanent devra « superviser, en tant que représentant de la COP, l’application des activités par le Secrétariat, l’exécution du budget du Secrétariat et la conduite des programmes du Secrétariat »</w:t>
      </w:r>
      <w:r w:rsidR="00140434" w:rsidRPr="00A63B52">
        <w:rPr>
          <w:lang w:val="fr-CH"/>
        </w:rPr>
        <w:t>.</w:t>
      </w:r>
    </w:p>
    <w:p w14:paraId="48BB6F93" w14:textId="77777777" w:rsidR="006C4D8D" w:rsidRPr="008473B6" w:rsidRDefault="006C4D8D" w:rsidP="00383C45">
      <w:pPr>
        <w:ind w:left="850"/>
        <w:rPr>
          <w:lang w:val="fr-CH"/>
        </w:rPr>
      </w:pPr>
    </w:p>
    <w:p w14:paraId="59B42435" w14:textId="6EB90754" w:rsidR="006C4D8D" w:rsidRPr="008473B6" w:rsidRDefault="00383C45" w:rsidP="00383C45">
      <w:pPr>
        <w:ind w:left="850"/>
        <w:rPr>
          <w:lang w:val="fr-CH"/>
        </w:rPr>
      </w:pPr>
      <w:r w:rsidRPr="008473B6">
        <w:rPr>
          <w:lang w:val="fr-CH"/>
        </w:rPr>
        <w:t>3.4</w:t>
      </w:r>
      <w:r w:rsidRPr="008473B6">
        <w:rPr>
          <w:lang w:val="fr-CH"/>
        </w:rPr>
        <w:tab/>
      </w:r>
      <w:r w:rsidR="009009D9" w:rsidRPr="00A63B52">
        <w:rPr>
          <w:lang w:val="fr-CH"/>
        </w:rPr>
        <w:t>L’alinéa d) stipule que le Comité permanent devra « fournir des orientations et des avis au Secrétariat sur l’application de la Convention, la préparation des réunions et sur toute autre question en rapport avec l’exercice de ses fonctions que lui soumettrait le Secrétariat »</w:t>
      </w:r>
      <w:r w:rsidR="00140434" w:rsidRPr="00A63B52">
        <w:rPr>
          <w:lang w:val="fr-CH"/>
        </w:rPr>
        <w:t>.</w:t>
      </w:r>
      <w:r w:rsidR="00140434" w:rsidRPr="008473B6">
        <w:rPr>
          <w:lang w:val="fr-CH"/>
        </w:rPr>
        <w:t xml:space="preserve"> </w:t>
      </w:r>
    </w:p>
    <w:p w14:paraId="6EDDDBDE" w14:textId="77777777" w:rsidR="006C4D8D" w:rsidRPr="008473B6" w:rsidRDefault="006C4D8D" w:rsidP="00383C45">
      <w:pPr>
        <w:pStyle w:val="ListParagraph"/>
        <w:ind w:left="850"/>
        <w:rPr>
          <w:lang w:val="fr-CH"/>
        </w:rPr>
      </w:pPr>
    </w:p>
    <w:p w14:paraId="5048D2F3" w14:textId="3998017A" w:rsidR="006C4D8D" w:rsidRPr="008473B6" w:rsidRDefault="00383C45" w:rsidP="00383C45">
      <w:pPr>
        <w:ind w:left="850"/>
        <w:rPr>
          <w:lang w:val="fr-CH"/>
        </w:rPr>
      </w:pPr>
      <w:r w:rsidRPr="008473B6">
        <w:rPr>
          <w:lang w:val="fr-CH"/>
        </w:rPr>
        <w:lastRenderedPageBreak/>
        <w:t>3.5</w:t>
      </w:r>
      <w:r w:rsidRPr="008473B6">
        <w:rPr>
          <w:lang w:val="fr-CH"/>
        </w:rPr>
        <w:tab/>
      </w:r>
      <w:r w:rsidR="00E65C0F">
        <w:rPr>
          <w:lang w:val="fr-CH"/>
        </w:rPr>
        <w:t xml:space="preserve">Le Comité exécutif pourrait en conséquence, au nom du Comité permanent, assumer les fonctions énoncées dans les paragraphes c) et d) entre les </w:t>
      </w:r>
      <w:r w:rsidR="00C3193E">
        <w:rPr>
          <w:lang w:val="fr-CH"/>
        </w:rPr>
        <w:t>sessions</w:t>
      </w:r>
      <w:r w:rsidR="00E65C0F">
        <w:rPr>
          <w:lang w:val="fr-CH"/>
        </w:rPr>
        <w:t xml:space="preserve"> du Comité permanent, si nécessaire.  </w:t>
      </w:r>
      <w:r w:rsidR="00140434" w:rsidRPr="008473B6">
        <w:rPr>
          <w:lang w:val="fr-CH"/>
        </w:rPr>
        <w:t xml:space="preserve"> </w:t>
      </w:r>
    </w:p>
    <w:p w14:paraId="14D1A57F" w14:textId="77777777" w:rsidR="00CA2D1D" w:rsidRPr="008473B6" w:rsidRDefault="00CA2D1D" w:rsidP="00383C45">
      <w:pPr>
        <w:pStyle w:val="ListParagraph"/>
        <w:rPr>
          <w:lang w:val="fr-CH"/>
        </w:rPr>
      </w:pPr>
    </w:p>
    <w:p w14:paraId="49C6BE38" w14:textId="1F8F7FEA" w:rsidR="0038371F" w:rsidRPr="008473B6" w:rsidRDefault="00383C45" w:rsidP="00383C45">
      <w:pPr>
        <w:rPr>
          <w:lang w:val="fr-CH"/>
        </w:rPr>
      </w:pPr>
      <w:r w:rsidRPr="008473B6">
        <w:rPr>
          <w:lang w:val="fr-CH"/>
        </w:rPr>
        <w:t>4.</w:t>
      </w:r>
      <w:r w:rsidRPr="008473B6">
        <w:rPr>
          <w:lang w:val="fr-CH"/>
        </w:rPr>
        <w:tab/>
      </w:r>
      <w:r w:rsidR="00E65C0F">
        <w:rPr>
          <w:lang w:val="fr-CH"/>
        </w:rPr>
        <w:t xml:space="preserve">Le Comité permanent pourrait aussi inclure dans le mandat du Comité exécutif </w:t>
      </w:r>
      <w:r w:rsidR="00A63B52">
        <w:rPr>
          <w:lang w:val="fr-CH"/>
        </w:rPr>
        <w:t>d</w:t>
      </w:r>
      <w:r w:rsidR="00E65C0F">
        <w:rPr>
          <w:lang w:val="fr-CH"/>
        </w:rPr>
        <w:t>es obligations de rapport équivalentes à celles qui sont décrites dans l’alinéa 19 k) de l’annexe 1 de la Résolution. Ainsi, le Comité exécutif pourrait rendre compte au Comité permanent</w:t>
      </w:r>
      <w:r w:rsidR="00A63B52">
        <w:rPr>
          <w:lang w:val="fr-CH"/>
        </w:rPr>
        <w:t>,</w:t>
      </w:r>
      <w:r w:rsidR="00E65C0F">
        <w:rPr>
          <w:lang w:val="fr-CH"/>
        </w:rPr>
        <w:t xml:space="preserve"> par l’intermédiaire de son </w:t>
      </w:r>
      <w:r w:rsidR="00A63B52">
        <w:rPr>
          <w:lang w:val="fr-CH"/>
        </w:rPr>
        <w:t>p</w:t>
      </w:r>
      <w:r w:rsidR="00E65C0F">
        <w:rPr>
          <w:lang w:val="fr-CH"/>
        </w:rPr>
        <w:t>résident</w:t>
      </w:r>
      <w:r w:rsidR="00A63B52">
        <w:rPr>
          <w:lang w:val="fr-CH"/>
        </w:rPr>
        <w:t>,</w:t>
      </w:r>
      <w:r w:rsidR="00E65C0F">
        <w:rPr>
          <w:lang w:val="fr-CH"/>
        </w:rPr>
        <w:t xml:space="preserve"> </w:t>
      </w:r>
      <w:r w:rsidR="00A63B52">
        <w:rPr>
          <w:lang w:val="fr-CH"/>
        </w:rPr>
        <w:t>des</w:t>
      </w:r>
      <w:r w:rsidR="00E65C0F">
        <w:rPr>
          <w:lang w:val="fr-CH"/>
        </w:rPr>
        <w:t xml:space="preserve"> activités réalisées par le Comité exécutif entre les réunions ordinaires du Comité permanent.</w:t>
      </w:r>
    </w:p>
    <w:p w14:paraId="687C5650" w14:textId="77777777" w:rsidR="0038371F" w:rsidRPr="008473B6" w:rsidRDefault="0038371F" w:rsidP="00383C45">
      <w:pPr>
        <w:rPr>
          <w:lang w:val="fr-CH"/>
        </w:rPr>
      </w:pPr>
    </w:p>
    <w:p w14:paraId="05083174" w14:textId="5946973A" w:rsidR="00CA2D1D" w:rsidRPr="008473B6" w:rsidRDefault="00383C45" w:rsidP="009009D9">
      <w:pPr>
        <w:rPr>
          <w:lang w:val="fr-CH"/>
        </w:rPr>
      </w:pPr>
      <w:r w:rsidRPr="008473B6">
        <w:rPr>
          <w:lang w:val="fr-CH"/>
        </w:rPr>
        <w:t>5.</w:t>
      </w:r>
      <w:r w:rsidRPr="008473B6">
        <w:rPr>
          <w:lang w:val="fr-CH"/>
        </w:rPr>
        <w:tab/>
      </w:r>
      <w:r w:rsidR="00C3193E">
        <w:rPr>
          <w:lang w:val="fr-CH"/>
        </w:rPr>
        <w:t xml:space="preserve">Il convient de noter qu’en assumant le rôle du Comité permanent qui consiste à </w:t>
      </w:r>
      <w:r w:rsidR="009009D9" w:rsidRPr="00A63B52">
        <w:rPr>
          <w:lang w:val="fr-CH"/>
        </w:rPr>
        <w:t>« superviser … l’exécution du budget du Secrétariat »</w:t>
      </w:r>
      <w:r w:rsidR="009009D9" w:rsidRPr="008473B6">
        <w:rPr>
          <w:lang w:val="fr-CH"/>
        </w:rPr>
        <w:t xml:space="preserve"> </w:t>
      </w:r>
      <w:r w:rsidR="00857073">
        <w:rPr>
          <w:rFonts w:cs="Calibri"/>
          <w:lang w:val="fr-CH"/>
        </w:rPr>
        <w:t>[</w:t>
      </w:r>
      <w:r w:rsidR="00C3193E" w:rsidRPr="008473B6">
        <w:rPr>
          <w:lang w:val="fr-CH"/>
        </w:rPr>
        <w:t>Résolution</w:t>
      </w:r>
      <w:r w:rsidR="00CA2D1D" w:rsidRPr="008473B6">
        <w:rPr>
          <w:lang w:val="fr-CH"/>
        </w:rPr>
        <w:t xml:space="preserve"> XIII.4, </w:t>
      </w:r>
      <w:r w:rsidR="00C3193E">
        <w:rPr>
          <w:lang w:val="fr-CH"/>
        </w:rPr>
        <w:t>a</w:t>
      </w:r>
      <w:r w:rsidR="00CA2D1D" w:rsidRPr="008473B6">
        <w:rPr>
          <w:lang w:val="fr-CH"/>
        </w:rPr>
        <w:t>nnex</w:t>
      </w:r>
      <w:r w:rsidR="00C3193E">
        <w:rPr>
          <w:lang w:val="fr-CH"/>
        </w:rPr>
        <w:t>e </w:t>
      </w:r>
      <w:r w:rsidR="00CA2D1D" w:rsidRPr="008473B6">
        <w:rPr>
          <w:lang w:val="fr-CH"/>
        </w:rPr>
        <w:t>1, paragraph</w:t>
      </w:r>
      <w:r w:rsidR="00C3193E">
        <w:rPr>
          <w:lang w:val="fr-CH"/>
        </w:rPr>
        <w:t>e </w:t>
      </w:r>
      <w:r w:rsidR="00CA2D1D" w:rsidRPr="008473B6">
        <w:rPr>
          <w:lang w:val="fr-CH"/>
        </w:rPr>
        <w:t xml:space="preserve">19, </w:t>
      </w:r>
      <w:r w:rsidR="00C3193E">
        <w:rPr>
          <w:lang w:val="fr-CH"/>
        </w:rPr>
        <w:t>alinéa </w:t>
      </w:r>
      <w:r w:rsidR="00CA2D1D" w:rsidRPr="008473B6">
        <w:rPr>
          <w:lang w:val="fr-CH"/>
        </w:rPr>
        <w:t>c</w:t>
      </w:r>
      <w:r w:rsidR="00584449" w:rsidRPr="008473B6">
        <w:rPr>
          <w:lang w:val="fr-CH"/>
        </w:rPr>
        <w:t>)</w:t>
      </w:r>
      <w:r w:rsidR="00857073">
        <w:rPr>
          <w:rFonts w:cs="Calibri"/>
          <w:lang w:val="fr-CH"/>
        </w:rPr>
        <w:t>]</w:t>
      </w:r>
      <w:r w:rsidR="008607E4" w:rsidRPr="008473B6">
        <w:rPr>
          <w:lang w:val="fr-CH"/>
        </w:rPr>
        <w:t xml:space="preserve">, </w:t>
      </w:r>
      <w:r w:rsidR="00C3193E">
        <w:rPr>
          <w:lang w:val="fr-CH"/>
        </w:rPr>
        <w:t>le Comité exécutif devrait tenir compte du rôle et des responsabilités du Sous</w:t>
      </w:r>
      <w:r w:rsidR="00C3193E">
        <w:rPr>
          <w:lang w:val="fr-CH"/>
        </w:rPr>
        <w:noBreakHyphen/>
        <w:t>groupe sur les finances, précisés dans la Résolution </w:t>
      </w:r>
      <w:r w:rsidR="00AC1EA0" w:rsidRPr="008473B6">
        <w:rPr>
          <w:lang w:val="fr-CH"/>
        </w:rPr>
        <w:t>VI.17</w:t>
      </w:r>
      <w:r w:rsidR="00C3193E">
        <w:rPr>
          <w:lang w:val="fr-CH"/>
        </w:rPr>
        <w:t>,</w:t>
      </w:r>
      <w:r w:rsidR="00652D72" w:rsidRPr="008473B6">
        <w:rPr>
          <w:lang w:val="fr-CH"/>
        </w:rPr>
        <w:t xml:space="preserve"> </w:t>
      </w:r>
      <w:r w:rsidR="00C3193E">
        <w:rPr>
          <w:i/>
          <w:lang w:val="fr-CH"/>
        </w:rPr>
        <w:t>Questions financières et budgétaires</w:t>
      </w:r>
      <w:r w:rsidR="00652D72" w:rsidRPr="008473B6">
        <w:rPr>
          <w:lang w:val="fr-CH"/>
        </w:rPr>
        <w:t>,</w:t>
      </w:r>
      <w:r w:rsidR="00AC1EA0" w:rsidRPr="008473B6">
        <w:rPr>
          <w:lang w:val="fr-CH"/>
        </w:rPr>
        <w:t xml:space="preserve"> paragraph</w:t>
      </w:r>
      <w:r w:rsidR="00C3193E">
        <w:rPr>
          <w:lang w:val="fr-CH"/>
        </w:rPr>
        <w:t>e </w:t>
      </w:r>
      <w:r w:rsidR="00AC1EA0" w:rsidRPr="008473B6">
        <w:rPr>
          <w:lang w:val="fr-CH"/>
        </w:rPr>
        <w:t>11</w:t>
      </w:r>
      <w:r w:rsidR="00652D72" w:rsidRPr="008473B6">
        <w:rPr>
          <w:lang w:val="fr-CH"/>
        </w:rPr>
        <w:t>,</w:t>
      </w:r>
      <w:r w:rsidR="00AC1EA0" w:rsidRPr="008473B6">
        <w:rPr>
          <w:lang w:val="fr-CH"/>
        </w:rPr>
        <w:t xml:space="preserve"> </w:t>
      </w:r>
      <w:r w:rsidR="00C3193E">
        <w:rPr>
          <w:lang w:val="fr-CH"/>
        </w:rPr>
        <w:t>et notamment que</w:t>
      </w:r>
      <w:r w:rsidR="0038371F" w:rsidRPr="008473B6">
        <w:rPr>
          <w:lang w:val="fr-CH"/>
        </w:rPr>
        <w:t xml:space="preserve"> </w:t>
      </w:r>
      <w:r w:rsidR="00A75DF1" w:rsidRPr="00A63B52">
        <w:rPr>
          <w:lang w:val="fr-CH"/>
        </w:rPr>
        <w:t>« le</w:t>
      </w:r>
      <w:r w:rsidR="008A22BD" w:rsidRPr="00A63B52">
        <w:rPr>
          <w:lang w:val="fr-CH"/>
        </w:rPr>
        <w:t xml:space="preserve"> Président du Sous-groupe, au besoin en consultation avec le Président du Comité permanent, et si nécessaire l’ensemble du Sous-groupe, fournit des avis et des conseils au Secrétaire général dans l’exercice de ses fonctions relatives à l’administration des finances de la Convention </w:t>
      </w:r>
      <w:r w:rsidR="0038371F" w:rsidRPr="00A63B52">
        <w:rPr>
          <w:lang w:val="fr-CH"/>
        </w:rPr>
        <w:t>…</w:t>
      </w:r>
      <w:r w:rsidR="00A75DF1" w:rsidRPr="00A63B52">
        <w:rPr>
          <w:lang w:val="fr-CH"/>
        </w:rPr>
        <w:t> »</w:t>
      </w:r>
      <w:r w:rsidR="0038371F" w:rsidRPr="00A63B52">
        <w:rPr>
          <w:lang w:val="fr-CH"/>
        </w:rPr>
        <w:t>.</w:t>
      </w:r>
      <w:r w:rsidR="008607E4" w:rsidRPr="008473B6">
        <w:rPr>
          <w:lang w:val="fr-CH"/>
        </w:rPr>
        <w:t xml:space="preserve"> </w:t>
      </w:r>
      <w:r w:rsidR="00C3193E">
        <w:rPr>
          <w:lang w:val="fr-CH"/>
        </w:rPr>
        <w:t>Ces responsabilités sont réaffirmées dans la Résolution </w:t>
      </w:r>
      <w:r w:rsidR="003502BF">
        <w:rPr>
          <w:lang w:val="fr-CH"/>
        </w:rPr>
        <w:t>X</w:t>
      </w:r>
      <w:r w:rsidR="00A7146C" w:rsidRPr="008473B6">
        <w:rPr>
          <w:lang w:val="fr-CH"/>
        </w:rPr>
        <w:t xml:space="preserve">III.2, </w:t>
      </w:r>
      <w:r w:rsidR="00C3193E">
        <w:rPr>
          <w:i/>
          <w:lang w:val="fr-CH"/>
        </w:rPr>
        <w:t>Questions financières et budgétaires</w:t>
      </w:r>
      <w:r w:rsidR="00A7146C" w:rsidRPr="008473B6">
        <w:rPr>
          <w:lang w:val="fr-CH"/>
        </w:rPr>
        <w:t>, paragraph</w:t>
      </w:r>
      <w:r w:rsidR="00C3193E">
        <w:rPr>
          <w:lang w:val="fr-CH"/>
        </w:rPr>
        <w:t>e </w:t>
      </w:r>
      <w:r w:rsidR="00A7146C" w:rsidRPr="008473B6">
        <w:rPr>
          <w:lang w:val="fr-CH"/>
        </w:rPr>
        <w:t>12</w:t>
      </w:r>
      <w:r w:rsidR="00DC4BD3" w:rsidRPr="008473B6">
        <w:rPr>
          <w:lang w:val="fr-CH"/>
        </w:rPr>
        <w:t xml:space="preserve">. </w:t>
      </w:r>
      <w:r w:rsidR="00C3193E">
        <w:rPr>
          <w:lang w:val="fr-CH"/>
        </w:rPr>
        <w:t xml:space="preserve">Ces dernières années, la pratique voulait que le Comité exécutif examine les demandes du </w:t>
      </w:r>
      <w:r w:rsidR="003502BF">
        <w:rPr>
          <w:lang w:val="fr-CH"/>
        </w:rPr>
        <w:t>s</w:t>
      </w:r>
      <w:r w:rsidR="00C3193E">
        <w:rPr>
          <w:lang w:val="fr-CH"/>
        </w:rPr>
        <w:t xml:space="preserve">ecrétaire général et </w:t>
      </w:r>
      <w:r w:rsidR="00046603">
        <w:rPr>
          <w:lang w:val="fr-CH"/>
        </w:rPr>
        <w:t>détermine</w:t>
      </w:r>
      <w:r w:rsidR="00C3193E">
        <w:rPr>
          <w:lang w:val="fr-CH"/>
        </w:rPr>
        <w:t xml:space="preserve"> si la question devait être traitée par le Comité exécutif ou s’il était nécessaire de la renvoyer au Sous</w:t>
      </w:r>
      <w:r w:rsidR="00C3193E">
        <w:rPr>
          <w:lang w:val="fr-CH"/>
        </w:rPr>
        <w:noBreakHyphen/>
        <w:t>groupe sur les finances</w:t>
      </w:r>
      <w:r w:rsidR="00271CFF">
        <w:rPr>
          <w:lang w:val="fr-CH"/>
        </w:rPr>
        <w:t>,</w:t>
      </w:r>
      <w:r w:rsidR="00C3193E">
        <w:rPr>
          <w:lang w:val="fr-CH"/>
        </w:rPr>
        <w:t xml:space="preserve"> auquel cas, le </w:t>
      </w:r>
      <w:r w:rsidR="003502BF">
        <w:rPr>
          <w:lang w:val="fr-CH"/>
        </w:rPr>
        <w:t>p</w:t>
      </w:r>
      <w:r w:rsidR="00C3193E">
        <w:rPr>
          <w:lang w:val="fr-CH"/>
        </w:rPr>
        <w:t>résident du Sous</w:t>
      </w:r>
      <w:r w:rsidR="00C3193E">
        <w:rPr>
          <w:lang w:val="fr-CH"/>
        </w:rPr>
        <w:noBreakHyphen/>
        <w:t>groupe env</w:t>
      </w:r>
      <w:r w:rsidR="00046603">
        <w:rPr>
          <w:lang w:val="fr-CH"/>
        </w:rPr>
        <w:t>oyait</w:t>
      </w:r>
      <w:r w:rsidR="00C3193E">
        <w:rPr>
          <w:lang w:val="fr-CH"/>
        </w:rPr>
        <w:t xml:space="preserve"> la demande à l’ensemble du Sous</w:t>
      </w:r>
      <w:r w:rsidR="00C3193E">
        <w:rPr>
          <w:lang w:val="fr-CH"/>
        </w:rPr>
        <w:noBreakHyphen/>
        <w:t xml:space="preserve">groupe. </w:t>
      </w:r>
    </w:p>
    <w:p w14:paraId="265DE252" w14:textId="77777777" w:rsidR="006C4D8D" w:rsidRPr="008473B6" w:rsidRDefault="006C4D8D" w:rsidP="00383C45">
      <w:pPr>
        <w:rPr>
          <w:lang w:val="fr-CH"/>
        </w:rPr>
      </w:pPr>
    </w:p>
    <w:p w14:paraId="7AC01996" w14:textId="05EAEBD3" w:rsidR="006C4D8D" w:rsidRPr="008473B6" w:rsidRDefault="00383C45" w:rsidP="00383C45">
      <w:pPr>
        <w:rPr>
          <w:lang w:val="fr-CH"/>
        </w:rPr>
      </w:pPr>
      <w:r w:rsidRPr="008473B6">
        <w:rPr>
          <w:lang w:val="fr-CH"/>
        </w:rPr>
        <w:t>6.</w:t>
      </w:r>
      <w:r w:rsidRPr="008473B6">
        <w:rPr>
          <w:lang w:val="fr-CH"/>
        </w:rPr>
        <w:tab/>
      </w:r>
      <w:r w:rsidR="00FC4A60">
        <w:rPr>
          <w:lang w:val="fr-CH"/>
        </w:rPr>
        <w:t>Il convient aussi de noter qu</w:t>
      </w:r>
      <w:r w:rsidR="00645FB0">
        <w:rPr>
          <w:lang w:val="fr-CH"/>
        </w:rPr>
        <w:t>e</w:t>
      </w:r>
      <w:r w:rsidR="00347562">
        <w:rPr>
          <w:lang w:val="fr-CH"/>
        </w:rPr>
        <w:t>, parfois,</w:t>
      </w:r>
      <w:r w:rsidR="00FC4A60">
        <w:rPr>
          <w:lang w:val="fr-CH"/>
        </w:rPr>
        <w:t xml:space="preserve"> une question </w:t>
      </w:r>
      <w:r w:rsidR="00347562">
        <w:rPr>
          <w:lang w:val="fr-CH"/>
        </w:rPr>
        <w:t xml:space="preserve">se </w:t>
      </w:r>
      <w:r w:rsidR="00FC4A60">
        <w:rPr>
          <w:lang w:val="fr-CH"/>
        </w:rPr>
        <w:t xml:space="preserve">pose pour laquelle il n’y a pas de décision enregistrée de la COP ou du Comité permanent et une décision </w:t>
      </w:r>
      <w:r w:rsidR="00347562">
        <w:rPr>
          <w:lang w:val="fr-CH"/>
        </w:rPr>
        <w:t>doit être prise</w:t>
      </w:r>
      <w:r w:rsidR="00FC4A60">
        <w:rPr>
          <w:lang w:val="fr-CH"/>
        </w:rPr>
        <w:t xml:space="preserve"> avant la réunion</w:t>
      </w:r>
      <w:r w:rsidR="00347562">
        <w:rPr>
          <w:lang w:val="fr-CH"/>
        </w:rPr>
        <w:t xml:space="preserve"> suivante</w:t>
      </w:r>
      <w:r w:rsidR="00FC4A60">
        <w:rPr>
          <w:lang w:val="fr-CH"/>
        </w:rPr>
        <w:t xml:space="preserve"> du Comité permanent. Dans de tels cas, ces dernières années, le Secrétariat </w:t>
      </w:r>
      <w:r w:rsidR="00347562">
        <w:rPr>
          <w:lang w:val="fr-CH"/>
        </w:rPr>
        <w:t xml:space="preserve">a </w:t>
      </w:r>
      <w:r w:rsidR="00FC4A60">
        <w:rPr>
          <w:lang w:val="fr-CH"/>
        </w:rPr>
        <w:t>contact</w:t>
      </w:r>
      <w:r w:rsidR="00347562">
        <w:rPr>
          <w:lang w:val="fr-CH"/>
        </w:rPr>
        <w:t>é</w:t>
      </w:r>
      <w:r w:rsidR="00FC4A60">
        <w:rPr>
          <w:lang w:val="fr-CH"/>
        </w:rPr>
        <w:t xml:space="preserve"> directement </w:t>
      </w:r>
      <w:r w:rsidR="00347562">
        <w:rPr>
          <w:lang w:val="fr-CH"/>
        </w:rPr>
        <w:t xml:space="preserve">le Comité permanent, </w:t>
      </w:r>
      <w:r w:rsidR="00FC4A60">
        <w:rPr>
          <w:lang w:val="fr-CH"/>
        </w:rPr>
        <w:t>par courrie</w:t>
      </w:r>
      <w:r w:rsidR="00347562">
        <w:rPr>
          <w:lang w:val="fr-CH"/>
        </w:rPr>
        <w:t>l,</w:t>
      </w:r>
      <w:r w:rsidR="00FC4A60">
        <w:rPr>
          <w:lang w:val="fr-CH"/>
        </w:rPr>
        <w:t xml:space="preserve"> concernant </w:t>
      </w:r>
      <w:r w:rsidR="00347562">
        <w:rPr>
          <w:lang w:val="fr-CH"/>
        </w:rPr>
        <w:t>cette</w:t>
      </w:r>
      <w:r w:rsidR="00FC4A60">
        <w:rPr>
          <w:lang w:val="fr-CH"/>
        </w:rPr>
        <w:t xml:space="preserve"> question</w:t>
      </w:r>
      <w:r w:rsidR="00347562">
        <w:rPr>
          <w:lang w:val="fr-CH"/>
        </w:rPr>
        <w:t>,</w:t>
      </w:r>
      <w:r w:rsidR="00FC4A60">
        <w:rPr>
          <w:lang w:val="fr-CH"/>
        </w:rPr>
        <w:t xml:space="preserve"> et le Comité permanent, à son tour, </w:t>
      </w:r>
      <w:r w:rsidR="00347562">
        <w:rPr>
          <w:lang w:val="fr-CH"/>
        </w:rPr>
        <w:t>a pris</w:t>
      </w:r>
      <w:r w:rsidR="00FC4A60">
        <w:rPr>
          <w:lang w:val="fr-CH"/>
        </w:rPr>
        <w:t xml:space="preserve"> une décision par communication électronique. Cette procédure a bien fonctionné dans plusieurs cas (par exemple, </w:t>
      </w:r>
      <w:r w:rsidR="00347562">
        <w:rPr>
          <w:lang w:val="fr-CH"/>
        </w:rPr>
        <w:t>pour</w:t>
      </w:r>
      <w:r w:rsidR="00FC4A60">
        <w:rPr>
          <w:lang w:val="fr-CH"/>
        </w:rPr>
        <w:t xml:space="preserve"> la signature du mémorandum d’entente avec la Plateforme intergouvernementale, scientifique et politique, sur la biodiversité et les services écosystémiques, connue également comme IPBES). Dans les cas en question, le Comité exécutif a pu contacter le Comité permanent pour obtenir sa décision. </w:t>
      </w:r>
    </w:p>
    <w:p w14:paraId="36A2795E" w14:textId="48B0F7DE" w:rsidR="006C4D8D" w:rsidRPr="008473B6" w:rsidRDefault="006C4D8D" w:rsidP="00383C45">
      <w:pPr>
        <w:rPr>
          <w:lang w:val="fr-CH"/>
        </w:rPr>
      </w:pPr>
    </w:p>
    <w:p w14:paraId="1216D7F4" w14:textId="415CD63F" w:rsidR="006C4D8D" w:rsidRPr="008473B6" w:rsidRDefault="00383C45" w:rsidP="00383C45">
      <w:pPr>
        <w:rPr>
          <w:lang w:val="fr-CH"/>
        </w:rPr>
      </w:pPr>
      <w:r w:rsidRPr="008473B6">
        <w:rPr>
          <w:lang w:val="fr-CH"/>
        </w:rPr>
        <w:t>7.</w:t>
      </w:r>
      <w:r w:rsidRPr="008473B6">
        <w:rPr>
          <w:lang w:val="fr-CH"/>
        </w:rPr>
        <w:tab/>
      </w:r>
      <w:r w:rsidR="00A3349D">
        <w:rPr>
          <w:lang w:val="fr-CH"/>
        </w:rPr>
        <w:t xml:space="preserve">D’autres fonctions qui, par le passé, avaient été assignées au Comité exécutif en raison de circonstances exceptionnelles, ont été supprimées par les résolutions de la COP13. </w:t>
      </w:r>
      <w:r w:rsidR="00347562">
        <w:rPr>
          <w:lang w:val="fr-CH"/>
        </w:rPr>
        <w:t>En conséquence,</w:t>
      </w:r>
      <w:r w:rsidR="00A3349D">
        <w:rPr>
          <w:lang w:val="fr-CH"/>
        </w:rPr>
        <w:t xml:space="preserve"> le mandat proposé ci</w:t>
      </w:r>
      <w:r w:rsidR="00A3349D">
        <w:rPr>
          <w:lang w:val="fr-CH"/>
        </w:rPr>
        <w:noBreakHyphen/>
        <w:t>dessous s’appuie sur deux Résolutions seulement qui sont en vigueur et pertinentes, à savoir les Résolutions </w:t>
      </w:r>
      <w:r w:rsidR="00140434" w:rsidRPr="008473B6">
        <w:rPr>
          <w:lang w:val="fr-CH"/>
        </w:rPr>
        <w:t xml:space="preserve">XIII.2 </w:t>
      </w:r>
      <w:r w:rsidR="00A3349D">
        <w:rPr>
          <w:lang w:val="fr-CH"/>
        </w:rPr>
        <w:t>et </w:t>
      </w:r>
      <w:r w:rsidR="00140434" w:rsidRPr="008473B6">
        <w:rPr>
          <w:lang w:val="fr-CH"/>
        </w:rPr>
        <w:t xml:space="preserve">XIII.4.  </w:t>
      </w:r>
    </w:p>
    <w:p w14:paraId="11676616" w14:textId="77777777" w:rsidR="006C4D8D" w:rsidRPr="008473B6" w:rsidRDefault="006C4D8D" w:rsidP="00383C45">
      <w:pPr>
        <w:ind w:left="0" w:firstLine="0"/>
        <w:rPr>
          <w:lang w:val="fr-CH"/>
        </w:rPr>
      </w:pPr>
    </w:p>
    <w:p w14:paraId="46C4278B" w14:textId="67C7097A" w:rsidR="004D24D6" w:rsidRDefault="00383C45" w:rsidP="00383C45">
      <w:pPr>
        <w:rPr>
          <w:i/>
          <w:lang w:val="fr-CH"/>
        </w:rPr>
      </w:pPr>
      <w:r w:rsidRPr="008473B6">
        <w:rPr>
          <w:lang w:val="fr-CH"/>
        </w:rPr>
        <w:t>8.</w:t>
      </w:r>
      <w:r w:rsidRPr="008473B6">
        <w:rPr>
          <w:lang w:val="fr-CH"/>
        </w:rPr>
        <w:tab/>
      </w:r>
      <w:r w:rsidR="00A3349D">
        <w:rPr>
          <w:lang w:val="fr-CH"/>
        </w:rPr>
        <w:t xml:space="preserve">Enfin, sachant que les fonctions du Comité exécutif </w:t>
      </w:r>
      <w:r w:rsidR="00507862">
        <w:rPr>
          <w:lang w:val="fr-CH"/>
        </w:rPr>
        <w:t xml:space="preserve">consistent à fournir au Secrétariat la supervision, les orientations et les avis qui pourraient être nécessaires entre les sessions du Comité permanent, </w:t>
      </w:r>
      <w:r w:rsidR="00E825CA">
        <w:rPr>
          <w:lang w:val="fr-CH"/>
        </w:rPr>
        <w:t xml:space="preserve">le Comité exécutif devrait fonctionner </w:t>
      </w:r>
      <w:r w:rsidR="00F84E69">
        <w:rPr>
          <w:lang w:val="fr-CH"/>
        </w:rPr>
        <w:t>conformément : premièrement, aux résolutions adoptées par la Conférence des Parties sur la gestion du Secrétariat ; et deuxiè</w:t>
      </w:r>
      <w:r w:rsidR="00A94FF9">
        <w:rPr>
          <w:lang w:val="fr-CH"/>
        </w:rPr>
        <w:t>me</w:t>
      </w:r>
      <w:r w:rsidR="00F84E69">
        <w:rPr>
          <w:lang w:val="fr-CH"/>
        </w:rPr>
        <w:t xml:space="preserve">ment, </w:t>
      </w:r>
      <w:r w:rsidR="00347562">
        <w:rPr>
          <w:lang w:val="fr-CH"/>
        </w:rPr>
        <w:t xml:space="preserve">à </w:t>
      </w:r>
      <w:r w:rsidR="00F84E69">
        <w:rPr>
          <w:lang w:val="fr-CH"/>
        </w:rPr>
        <w:t>la « Délégation d’autorité au Secrétaire général de la Convention sur les zones humides et sa Note supplémentaire ». En outre</w:t>
      </w:r>
      <w:r w:rsidR="00140434" w:rsidRPr="008473B6">
        <w:rPr>
          <w:lang w:val="fr-CH"/>
        </w:rPr>
        <w:t xml:space="preserve">, </w:t>
      </w:r>
      <w:r w:rsidR="00F84E69">
        <w:rPr>
          <w:lang w:val="fr-CH"/>
        </w:rPr>
        <w:t xml:space="preserve">le Comité exécutif étant un organe subsidiaire de la Convention, le règlement intérieur adopté à la COP13 devrait s’appliquer à son fonctionnement </w:t>
      </w:r>
      <w:r w:rsidR="00140434" w:rsidRPr="008473B6">
        <w:rPr>
          <w:i/>
          <w:lang w:val="fr-CH"/>
        </w:rPr>
        <w:t>mutatis mutandi</w:t>
      </w:r>
      <w:r w:rsidR="008A5BEE" w:rsidRPr="008473B6">
        <w:rPr>
          <w:i/>
          <w:lang w:val="fr-CH"/>
        </w:rPr>
        <w:t>s</w:t>
      </w:r>
      <w:r w:rsidR="00140434" w:rsidRPr="008473B6">
        <w:rPr>
          <w:i/>
          <w:lang w:val="fr-CH"/>
        </w:rPr>
        <w:t>.</w:t>
      </w:r>
    </w:p>
    <w:p w14:paraId="59C38667" w14:textId="77777777" w:rsidR="004D24D6" w:rsidRDefault="004D24D6">
      <w:pPr>
        <w:ind w:left="0" w:firstLine="0"/>
        <w:rPr>
          <w:i/>
          <w:lang w:val="fr-CH"/>
        </w:rPr>
      </w:pPr>
      <w:r>
        <w:rPr>
          <w:i/>
          <w:lang w:val="fr-CH"/>
        </w:rPr>
        <w:br w:type="page"/>
      </w:r>
    </w:p>
    <w:p w14:paraId="75763A05" w14:textId="4C63D47D" w:rsidR="002969F5" w:rsidRPr="000649BC" w:rsidRDefault="000649BC" w:rsidP="002969F5">
      <w:pPr>
        <w:keepNext/>
        <w:jc w:val="center"/>
        <w:rPr>
          <w:b/>
          <w:lang w:val="fr-CH"/>
        </w:rPr>
      </w:pPr>
      <w:r>
        <w:rPr>
          <w:b/>
          <w:lang w:val="fr-CH"/>
        </w:rPr>
        <w:t>Projet de mandat pour le Comité exécutif</w:t>
      </w:r>
    </w:p>
    <w:p w14:paraId="539CCA4D" w14:textId="77777777" w:rsidR="002969F5" w:rsidRPr="000649BC" w:rsidRDefault="002969F5" w:rsidP="002969F5">
      <w:pPr>
        <w:keepNext/>
        <w:jc w:val="center"/>
        <w:rPr>
          <w:lang w:val="fr-CH"/>
        </w:rPr>
      </w:pPr>
    </w:p>
    <w:p w14:paraId="4109C8CF" w14:textId="3532C78A" w:rsidR="002969F5" w:rsidRPr="000649BC" w:rsidRDefault="00140434" w:rsidP="002969F5">
      <w:pPr>
        <w:keepNext/>
        <w:rPr>
          <w:lang w:val="fr-CH"/>
        </w:rPr>
      </w:pPr>
      <w:r w:rsidRPr="000649BC">
        <w:rPr>
          <w:b/>
          <w:lang w:val="fr-CH"/>
        </w:rPr>
        <w:t>Memb</w:t>
      </w:r>
      <w:r w:rsidR="000649BC">
        <w:rPr>
          <w:b/>
          <w:lang w:val="fr-CH"/>
        </w:rPr>
        <w:t>res du Comité exécutif</w:t>
      </w:r>
      <w:r w:rsidRPr="000649BC">
        <w:rPr>
          <w:lang w:val="fr-CH"/>
        </w:rPr>
        <w:t xml:space="preserve"> </w:t>
      </w:r>
    </w:p>
    <w:p w14:paraId="2F698910" w14:textId="77777777" w:rsidR="002969F5" w:rsidRPr="000649BC" w:rsidRDefault="002969F5" w:rsidP="002969F5">
      <w:pPr>
        <w:keepNext/>
        <w:rPr>
          <w:lang w:val="fr-CH"/>
        </w:rPr>
      </w:pPr>
    </w:p>
    <w:p w14:paraId="7EBBF8CF" w14:textId="6B9DF319" w:rsidR="006C4D8D" w:rsidRPr="000649BC" w:rsidRDefault="00192281" w:rsidP="00383C45">
      <w:pPr>
        <w:rPr>
          <w:lang w:val="fr-CH"/>
        </w:rPr>
      </w:pPr>
      <w:r w:rsidRPr="000649BC">
        <w:rPr>
          <w:lang w:val="fr-CH"/>
        </w:rPr>
        <w:t>1.</w:t>
      </w:r>
      <w:r w:rsidRPr="000649BC">
        <w:rPr>
          <w:lang w:val="fr-CH"/>
        </w:rPr>
        <w:tab/>
      </w:r>
      <w:r w:rsidR="000649BC">
        <w:rPr>
          <w:lang w:val="fr-CH"/>
        </w:rPr>
        <w:t>Le président et le vice-président du Comité permanent et le président du Sous</w:t>
      </w:r>
      <w:r w:rsidR="000649BC">
        <w:rPr>
          <w:lang w:val="fr-CH"/>
        </w:rPr>
        <w:noBreakHyphen/>
        <w:t xml:space="preserve">groupe sur les finances. </w:t>
      </w:r>
    </w:p>
    <w:p w14:paraId="0C4520C7" w14:textId="77777777" w:rsidR="006C4D8D" w:rsidRPr="000649BC" w:rsidRDefault="006C4D8D" w:rsidP="00383C45">
      <w:pPr>
        <w:rPr>
          <w:lang w:val="fr-CH"/>
        </w:rPr>
      </w:pPr>
    </w:p>
    <w:p w14:paraId="53072445" w14:textId="0DE66DE0" w:rsidR="006C4D8D" w:rsidRPr="000649BC" w:rsidRDefault="0002317C" w:rsidP="00383C45">
      <w:pPr>
        <w:rPr>
          <w:b/>
          <w:lang w:val="fr-CH"/>
        </w:rPr>
      </w:pPr>
      <w:r w:rsidRPr="000649BC">
        <w:rPr>
          <w:b/>
          <w:lang w:val="fr-CH"/>
        </w:rPr>
        <w:t>Rôle</w:t>
      </w:r>
      <w:r w:rsidR="00140434" w:rsidRPr="000649BC">
        <w:rPr>
          <w:b/>
          <w:lang w:val="fr-CH"/>
        </w:rPr>
        <w:t xml:space="preserve"> </w:t>
      </w:r>
      <w:r w:rsidRPr="000649BC">
        <w:rPr>
          <w:b/>
          <w:lang w:val="fr-CH"/>
        </w:rPr>
        <w:t>et</w:t>
      </w:r>
      <w:r w:rsidR="00140434" w:rsidRPr="000649BC">
        <w:rPr>
          <w:b/>
          <w:lang w:val="fr-CH"/>
        </w:rPr>
        <w:t xml:space="preserve"> </w:t>
      </w:r>
      <w:r w:rsidRPr="000649BC">
        <w:rPr>
          <w:b/>
          <w:lang w:val="fr-CH"/>
        </w:rPr>
        <w:t>fonctions</w:t>
      </w:r>
    </w:p>
    <w:p w14:paraId="54074AD3" w14:textId="77777777" w:rsidR="00192281" w:rsidRPr="000649BC" w:rsidRDefault="00192281" w:rsidP="00383C45">
      <w:pPr>
        <w:rPr>
          <w:lang w:val="fr-CH"/>
        </w:rPr>
      </w:pPr>
    </w:p>
    <w:p w14:paraId="36CE5FBD" w14:textId="40A77D72" w:rsidR="006C4D8D" w:rsidRPr="000649BC" w:rsidRDefault="00192281" w:rsidP="00383C45">
      <w:pPr>
        <w:rPr>
          <w:lang w:val="fr-CH"/>
        </w:rPr>
      </w:pPr>
      <w:r w:rsidRPr="000649BC">
        <w:rPr>
          <w:lang w:val="fr-CH"/>
        </w:rPr>
        <w:t>2.</w:t>
      </w:r>
      <w:r w:rsidRPr="000649BC">
        <w:rPr>
          <w:lang w:val="fr-CH"/>
        </w:rPr>
        <w:tab/>
      </w:r>
      <w:r w:rsidR="0002317C" w:rsidRPr="000649BC">
        <w:rPr>
          <w:lang w:val="fr-CH"/>
        </w:rPr>
        <w:t>« La supervision du Secrétariat par le Comité permanent est réalisée en son nom, entre les réunions du Comité permanent, par son Comité exécutif (président et vice-président du Comité permanent et président du Sous-groupe sur les finances) en collaboration avec la Secrétaire générale »</w:t>
      </w:r>
      <w:r w:rsidR="00140434" w:rsidRPr="000649BC">
        <w:rPr>
          <w:lang w:val="fr-CH"/>
        </w:rPr>
        <w:t xml:space="preserve"> (</w:t>
      </w:r>
      <w:r w:rsidR="0002317C" w:rsidRPr="000649BC">
        <w:rPr>
          <w:lang w:val="fr-CH"/>
        </w:rPr>
        <w:t>Résolution</w:t>
      </w:r>
      <w:r w:rsidR="00140434" w:rsidRPr="000649BC">
        <w:rPr>
          <w:lang w:val="fr-CH"/>
        </w:rPr>
        <w:t xml:space="preserve"> XIII.4, </w:t>
      </w:r>
      <w:r w:rsidR="0002317C" w:rsidRPr="000649BC">
        <w:rPr>
          <w:lang w:val="fr-CH"/>
        </w:rPr>
        <w:t>paragraphe</w:t>
      </w:r>
      <w:r w:rsidR="00140434" w:rsidRPr="000649BC">
        <w:rPr>
          <w:lang w:val="fr-CH"/>
        </w:rPr>
        <w:t xml:space="preserve"> 4).</w:t>
      </w:r>
    </w:p>
    <w:p w14:paraId="263B9C65" w14:textId="77777777" w:rsidR="006C4D8D" w:rsidRPr="000649BC" w:rsidRDefault="006C4D8D" w:rsidP="00383C45">
      <w:pPr>
        <w:rPr>
          <w:lang w:val="fr-CH"/>
        </w:rPr>
      </w:pPr>
    </w:p>
    <w:p w14:paraId="57EB9426" w14:textId="6354866C" w:rsidR="006C4D8D" w:rsidRPr="000649BC" w:rsidRDefault="00192281" w:rsidP="00383C45">
      <w:pPr>
        <w:rPr>
          <w:lang w:val="fr-CH"/>
        </w:rPr>
      </w:pPr>
      <w:r w:rsidRPr="000649BC">
        <w:rPr>
          <w:lang w:val="fr-CH"/>
        </w:rPr>
        <w:t>3.</w:t>
      </w:r>
      <w:r w:rsidRPr="000649BC">
        <w:rPr>
          <w:lang w:val="fr-CH"/>
        </w:rPr>
        <w:tab/>
      </w:r>
      <w:r w:rsidR="000649BC">
        <w:rPr>
          <w:lang w:val="fr-CH"/>
        </w:rPr>
        <w:t xml:space="preserve">Dans le </w:t>
      </w:r>
      <w:r w:rsidR="00373C94">
        <w:rPr>
          <w:lang w:val="fr-CH"/>
        </w:rPr>
        <w:t>contexte</w:t>
      </w:r>
      <w:r w:rsidR="000649BC">
        <w:rPr>
          <w:lang w:val="fr-CH"/>
        </w:rPr>
        <w:t xml:space="preserve"> des politiques convenues par la Conférence des Parties et le Comité permanent, le Comité exécutif a pour fonction de mener, entre les réunions ordinaires du Comité permanent, et au nom du Comité permanent, les activités intérimaires jugées nécessaires, en </w:t>
      </w:r>
      <w:r w:rsidR="00373C94">
        <w:rPr>
          <w:lang w:val="fr-CH"/>
        </w:rPr>
        <w:t>accordant</w:t>
      </w:r>
      <w:r w:rsidR="000649BC">
        <w:rPr>
          <w:lang w:val="fr-CH"/>
        </w:rPr>
        <w:t xml:space="preserve"> la priorité aux questions auxquelles la Conférence des Parties et le Comité permanent ont déjà donné leur accord dans le cadre des Résolutions de la Conférence des Parties et des décisions du Comité permanent, et en notant que le Comité exécutif n’a pas mandat soit de prendre des décisions qui doivent normalement être prises par la Conférence des Parties et le Comité permanent, soit d’amender toute décision prise par la Conférence des Parties ou le Comité permanent </w:t>
      </w:r>
      <w:r w:rsidR="000649BC">
        <w:rPr>
          <w:rFonts w:cs="Calibri"/>
          <w:lang w:val="fr-CH"/>
        </w:rPr>
        <w:t>[</w:t>
      </w:r>
      <w:r w:rsidR="000649BC">
        <w:rPr>
          <w:lang w:val="fr-CH"/>
        </w:rPr>
        <w:t>adapté de la Résolution XIII.4, a</w:t>
      </w:r>
      <w:r w:rsidR="00140434" w:rsidRPr="000649BC">
        <w:rPr>
          <w:lang w:val="fr-CH"/>
        </w:rPr>
        <w:t>nnex</w:t>
      </w:r>
      <w:r w:rsidR="000649BC">
        <w:rPr>
          <w:lang w:val="fr-CH"/>
        </w:rPr>
        <w:t>e </w:t>
      </w:r>
      <w:r w:rsidR="00140434" w:rsidRPr="000649BC">
        <w:rPr>
          <w:lang w:val="fr-CH"/>
        </w:rPr>
        <w:t>1, paragraph</w:t>
      </w:r>
      <w:r w:rsidR="000649BC">
        <w:rPr>
          <w:lang w:val="fr-CH"/>
        </w:rPr>
        <w:t>e </w:t>
      </w:r>
      <w:r w:rsidR="00140434" w:rsidRPr="000649BC">
        <w:rPr>
          <w:lang w:val="fr-CH"/>
        </w:rPr>
        <w:t xml:space="preserve">19, </w:t>
      </w:r>
      <w:r w:rsidR="000649BC">
        <w:rPr>
          <w:lang w:val="fr-CH"/>
        </w:rPr>
        <w:t>alinéa a)</w:t>
      </w:r>
      <w:r w:rsidR="000649BC">
        <w:rPr>
          <w:rFonts w:cs="Calibri"/>
          <w:lang w:val="fr-CH"/>
        </w:rPr>
        <w:t>]</w:t>
      </w:r>
      <w:r w:rsidR="000649BC">
        <w:rPr>
          <w:lang w:val="fr-CH"/>
        </w:rPr>
        <w:t>.</w:t>
      </w:r>
      <w:r w:rsidR="00140434" w:rsidRPr="000649BC">
        <w:rPr>
          <w:lang w:val="fr-CH"/>
        </w:rPr>
        <w:t xml:space="preserve">  </w:t>
      </w:r>
    </w:p>
    <w:p w14:paraId="039F5E42" w14:textId="77777777" w:rsidR="006C4D8D" w:rsidRPr="000649BC" w:rsidRDefault="006C4D8D" w:rsidP="00383C45">
      <w:pPr>
        <w:ind w:left="0" w:firstLine="0"/>
        <w:rPr>
          <w:lang w:val="fr-CH"/>
        </w:rPr>
      </w:pPr>
    </w:p>
    <w:p w14:paraId="13EFC566" w14:textId="04246038" w:rsidR="006C4D8D" w:rsidRPr="000649BC" w:rsidRDefault="00192281" w:rsidP="00383C45">
      <w:pPr>
        <w:rPr>
          <w:lang w:val="fr-CH"/>
        </w:rPr>
      </w:pPr>
      <w:r w:rsidRPr="000649BC">
        <w:rPr>
          <w:lang w:val="fr-CH"/>
        </w:rPr>
        <w:t>4.</w:t>
      </w:r>
      <w:r w:rsidRPr="000649BC">
        <w:rPr>
          <w:lang w:val="fr-CH"/>
        </w:rPr>
        <w:tab/>
      </w:r>
      <w:r w:rsidR="00917EB4">
        <w:rPr>
          <w:lang w:val="fr-CH"/>
        </w:rPr>
        <w:t xml:space="preserve">Dans ce contexte, les fonctions précises que devra </w:t>
      </w:r>
      <w:r w:rsidR="00373C94">
        <w:rPr>
          <w:lang w:val="fr-CH"/>
        </w:rPr>
        <w:t>assumer</w:t>
      </w:r>
      <w:r w:rsidR="00917EB4">
        <w:rPr>
          <w:lang w:val="fr-CH"/>
        </w:rPr>
        <w:t xml:space="preserve"> le Comité exécutif au nom du Comité permanent, sur une base intérimaire, si nécessaire</w:t>
      </w:r>
      <w:r w:rsidR="003502BF">
        <w:rPr>
          <w:lang w:val="fr-CH"/>
        </w:rPr>
        <w:t>,</w:t>
      </w:r>
      <w:r w:rsidR="00917EB4">
        <w:rPr>
          <w:lang w:val="fr-CH"/>
        </w:rPr>
        <w:t xml:space="preserve"> entre les réunions du Comité permanent sont les suivantes :</w:t>
      </w:r>
    </w:p>
    <w:p w14:paraId="70748F1A" w14:textId="77777777" w:rsidR="006C4D8D" w:rsidRPr="000649BC" w:rsidRDefault="006C4D8D" w:rsidP="00383C45">
      <w:pPr>
        <w:ind w:left="0" w:firstLine="0"/>
        <w:rPr>
          <w:lang w:val="fr-CH"/>
        </w:rPr>
      </w:pPr>
    </w:p>
    <w:p w14:paraId="42A2C95D" w14:textId="0207DCED" w:rsidR="006C4D8D" w:rsidRPr="000649BC" w:rsidRDefault="00140434" w:rsidP="00192281">
      <w:pPr>
        <w:pStyle w:val="ListParagraph"/>
        <w:numPr>
          <w:ilvl w:val="0"/>
          <w:numId w:val="3"/>
        </w:numPr>
        <w:ind w:left="850" w:hanging="425"/>
        <w:rPr>
          <w:lang w:val="fr-CH"/>
        </w:rPr>
      </w:pPr>
      <w:r w:rsidRPr="000649BC">
        <w:rPr>
          <w:lang w:val="fr-CH"/>
        </w:rPr>
        <w:t>supervise</w:t>
      </w:r>
      <w:r w:rsidR="00F82A26">
        <w:rPr>
          <w:lang w:val="fr-CH"/>
        </w:rPr>
        <w:t>r</w:t>
      </w:r>
      <w:r w:rsidRPr="000649BC">
        <w:rPr>
          <w:lang w:val="fr-CH"/>
        </w:rPr>
        <w:t xml:space="preserve">, </w:t>
      </w:r>
      <w:r w:rsidR="00F82A26">
        <w:rPr>
          <w:lang w:val="fr-CH"/>
        </w:rPr>
        <w:t xml:space="preserve">en tant que représentant du Comité permanent, l’application des activités par le Secrétariat, l’exécution du budget du Secrétariat, et la conduite des programmes de travail du Secrétariat </w:t>
      </w:r>
      <w:r w:rsidR="00F82A26">
        <w:rPr>
          <w:rFonts w:cs="Calibri"/>
          <w:lang w:val="fr-CH"/>
        </w:rPr>
        <w:t>[</w:t>
      </w:r>
      <w:r w:rsidR="00F82A26">
        <w:rPr>
          <w:lang w:val="fr-CH"/>
        </w:rPr>
        <w:t>adapté de la Résolution XIII.4, a</w:t>
      </w:r>
      <w:r w:rsidRPr="000649BC">
        <w:rPr>
          <w:lang w:val="fr-CH"/>
        </w:rPr>
        <w:t>nnex</w:t>
      </w:r>
      <w:r w:rsidR="00F82A26">
        <w:rPr>
          <w:lang w:val="fr-CH"/>
        </w:rPr>
        <w:t>e </w:t>
      </w:r>
      <w:r w:rsidRPr="000649BC">
        <w:rPr>
          <w:lang w:val="fr-CH"/>
        </w:rPr>
        <w:t>1, paragraph</w:t>
      </w:r>
      <w:r w:rsidR="00F82A26">
        <w:rPr>
          <w:lang w:val="fr-CH"/>
        </w:rPr>
        <w:t>e </w:t>
      </w:r>
      <w:r w:rsidRPr="000649BC">
        <w:rPr>
          <w:lang w:val="fr-CH"/>
        </w:rPr>
        <w:t xml:space="preserve">19, </w:t>
      </w:r>
      <w:r w:rsidR="00F82A26">
        <w:rPr>
          <w:lang w:val="fr-CH"/>
        </w:rPr>
        <w:t>alinéa </w:t>
      </w:r>
      <w:r w:rsidRPr="000649BC">
        <w:rPr>
          <w:lang w:val="fr-CH"/>
        </w:rPr>
        <w:t>c)</w:t>
      </w:r>
      <w:r w:rsidR="00F82A26">
        <w:rPr>
          <w:rFonts w:cs="Calibri"/>
          <w:lang w:val="fr-CH"/>
        </w:rPr>
        <w:t>] </w:t>
      </w:r>
      <w:r w:rsidRPr="000649BC">
        <w:rPr>
          <w:lang w:val="fr-CH"/>
        </w:rPr>
        <w:t xml:space="preserve">; </w:t>
      </w:r>
      <w:r w:rsidR="00F82A26">
        <w:rPr>
          <w:lang w:val="fr-CH"/>
        </w:rPr>
        <w:t>et</w:t>
      </w:r>
    </w:p>
    <w:p w14:paraId="7A13C46E" w14:textId="77777777" w:rsidR="00192281" w:rsidRPr="000649BC" w:rsidRDefault="00192281" w:rsidP="00192281">
      <w:pPr>
        <w:ind w:left="850"/>
        <w:rPr>
          <w:lang w:val="fr-CH"/>
        </w:rPr>
      </w:pPr>
    </w:p>
    <w:p w14:paraId="6363B362" w14:textId="170B69C0" w:rsidR="006C4D8D" w:rsidRPr="000649BC" w:rsidRDefault="00F82A26" w:rsidP="00192281">
      <w:pPr>
        <w:pStyle w:val="ListParagraph"/>
        <w:numPr>
          <w:ilvl w:val="0"/>
          <w:numId w:val="3"/>
        </w:numPr>
        <w:ind w:left="850" w:hanging="425"/>
        <w:rPr>
          <w:lang w:val="fr-CH"/>
        </w:rPr>
      </w:pPr>
      <w:r>
        <w:rPr>
          <w:lang w:val="fr-CH"/>
        </w:rPr>
        <w:t xml:space="preserve">fournir des orientations et des avis au Secrétariat sur l’application de la Convention, la préparation des </w:t>
      </w:r>
      <w:r w:rsidR="00373C94">
        <w:rPr>
          <w:lang w:val="fr-CH"/>
        </w:rPr>
        <w:t>réunions</w:t>
      </w:r>
      <w:r>
        <w:rPr>
          <w:lang w:val="fr-CH"/>
        </w:rPr>
        <w:t xml:space="preserve">, et sur toute autre question relative à l’exercice de ses fonctions </w:t>
      </w:r>
      <w:r w:rsidR="00DF1982">
        <w:rPr>
          <w:lang w:val="fr-CH"/>
        </w:rPr>
        <w:t xml:space="preserve">que lui soumettrait le Secrétariat </w:t>
      </w:r>
      <w:r w:rsidR="00DF1982">
        <w:rPr>
          <w:rFonts w:cs="Calibri"/>
          <w:lang w:val="fr-CH"/>
        </w:rPr>
        <w:t>[</w:t>
      </w:r>
      <w:r w:rsidR="00DF1982">
        <w:rPr>
          <w:lang w:val="fr-CH"/>
        </w:rPr>
        <w:t>adapté de la Résolution XIII.4, a</w:t>
      </w:r>
      <w:r w:rsidR="00140434" w:rsidRPr="000649BC">
        <w:rPr>
          <w:lang w:val="fr-CH"/>
        </w:rPr>
        <w:t>nnex</w:t>
      </w:r>
      <w:r w:rsidR="00DF1982">
        <w:rPr>
          <w:lang w:val="fr-CH"/>
        </w:rPr>
        <w:t>e </w:t>
      </w:r>
      <w:r w:rsidR="00140434" w:rsidRPr="000649BC">
        <w:rPr>
          <w:lang w:val="fr-CH"/>
        </w:rPr>
        <w:t>1, paragraph</w:t>
      </w:r>
      <w:r w:rsidR="00DF1982">
        <w:rPr>
          <w:lang w:val="fr-CH"/>
        </w:rPr>
        <w:t>e </w:t>
      </w:r>
      <w:r w:rsidR="00140434" w:rsidRPr="000649BC">
        <w:rPr>
          <w:lang w:val="fr-CH"/>
        </w:rPr>
        <w:t xml:space="preserve">19, </w:t>
      </w:r>
      <w:r w:rsidR="00DF1982">
        <w:rPr>
          <w:lang w:val="fr-CH"/>
        </w:rPr>
        <w:t>alinéa </w:t>
      </w:r>
      <w:r w:rsidR="00140434" w:rsidRPr="000649BC">
        <w:rPr>
          <w:lang w:val="fr-CH"/>
        </w:rPr>
        <w:t>d)</w:t>
      </w:r>
      <w:r w:rsidR="00DF1982">
        <w:rPr>
          <w:rFonts w:cs="Calibri"/>
          <w:lang w:val="fr-CH"/>
        </w:rPr>
        <w:t>]</w:t>
      </w:r>
      <w:r w:rsidR="00140434" w:rsidRPr="000649BC">
        <w:rPr>
          <w:lang w:val="fr-CH"/>
        </w:rPr>
        <w:t xml:space="preserve">. </w:t>
      </w:r>
    </w:p>
    <w:p w14:paraId="02E5A786" w14:textId="77777777" w:rsidR="0062266B" w:rsidRPr="000649BC" w:rsidRDefault="0062266B" w:rsidP="00383C45">
      <w:pPr>
        <w:ind w:left="360" w:firstLine="0"/>
        <w:rPr>
          <w:lang w:val="fr-CH"/>
        </w:rPr>
      </w:pPr>
    </w:p>
    <w:p w14:paraId="3F5868E4" w14:textId="4E952620" w:rsidR="0062266B" w:rsidRPr="000649BC" w:rsidRDefault="00192281" w:rsidP="00192281">
      <w:pPr>
        <w:rPr>
          <w:lang w:val="fr-CH"/>
        </w:rPr>
      </w:pPr>
      <w:r w:rsidRPr="000649BC">
        <w:rPr>
          <w:lang w:val="fr-CH"/>
        </w:rPr>
        <w:t>5.</w:t>
      </w:r>
      <w:r w:rsidRPr="000649BC">
        <w:rPr>
          <w:lang w:val="fr-CH"/>
        </w:rPr>
        <w:tab/>
      </w:r>
      <w:r w:rsidR="00C710FA">
        <w:rPr>
          <w:lang w:val="fr-CH"/>
        </w:rPr>
        <w:t>En s’acquittant de la fonction a) ci</w:t>
      </w:r>
      <w:r w:rsidR="00C710FA">
        <w:rPr>
          <w:lang w:val="fr-CH"/>
        </w:rPr>
        <w:noBreakHyphen/>
        <w:t>dessus, et en particulier concernant la supervision de l’exécution du budget du Secrétariat, le Comité exécutif tient compte des rôles et responsabilités du Sous</w:t>
      </w:r>
      <w:r w:rsidR="00C710FA">
        <w:rPr>
          <w:lang w:val="fr-CH"/>
        </w:rPr>
        <w:noBreakHyphen/>
        <w:t>groupe sur les finances précisés dans la Résolution </w:t>
      </w:r>
      <w:r w:rsidR="0062266B" w:rsidRPr="000649BC">
        <w:rPr>
          <w:lang w:val="fr-CH"/>
        </w:rPr>
        <w:t>VI.17</w:t>
      </w:r>
      <w:r w:rsidR="00551E31" w:rsidRPr="000649BC">
        <w:rPr>
          <w:lang w:val="fr-CH"/>
        </w:rPr>
        <w:t>,</w:t>
      </w:r>
      <w:r w:rsidR="0062266B" w:rsidRPr="000649BC">
        <w:rPr>
          <w:lang w:val="fr-CH"/>
        </w:rPr>
        <w:t xml:space="preserve"> </w:t>
      </w:r>
      <w:r w:rsidR="00C710FA">
        <w:rPr>
          <w:i/>
          <w:lang w:val="fr-CH"/>
        </w:rPr>
        <w:t>Questions financières et budgétaires</w:t>
      </w:r>
      <w:r w:rsidR="00F2408A" w:rsidRPr="000649BC">
        <w:rPr>
          <w:lang w:val="fr-CH"/>
        </w:rPr>
        <w:t xml:space="preserve">, </w:t>
      </w:r>
      <w:r w:rsidR="0062266B" w:rsidRPr="000649BC">
        <w:rPr>
          <w:lang w:val="fr-CH"/>
        </w:rPr>
        <w:t>paragraph</w:t>
      </w:r>
      <w:r w:rsidR="00C710FA">
        <w:rPr>
          <w:lang w:val="fr-CH"/>
        </w:rPr>
        <w:t>e </w:t>
      </w:r>
      <w:r w:rsidR="0062266B" w:rsidRPr="000649BC">
        <w:rPr>
          <w:lang w:val="fr-CH"/>
        </w:rPr>
        <w:t xml:space="preserve">11, </w:t>
      </w:r>
      <w:r w:rsidR="00C710FA">
        <w:rPr>
          <w:lang w:val="fr-CH"/>
        </w:rPr>
        <w:t>et en particulier que</w:t>
      </w:r>
      <w:r w:rsidR="0062266B" w:rsidRPr="000649BC">
        <w:rPr>
          <w:lang w:val="fr-CH"/>
        </w:rPr>
        <w:t xml:space="preserve"> </w:t>
      </w:r>
      <w:r w:rsidR="0002317C" w:rsidRPr="00373C94">
        <w:rPr>
          <w:lang w:val="fr-CH"/>
        </w:rPr>
        <w:t>« le Président du Sous-groupe, au besoin en consultation avec le Président du Comité permanent, et si nécessaire l’ensemble du Sous-groupe, fournit des avis et des conseils au Secrétaire général dans l’exercice de ses fonctions relatives à l’administration des finances de la Convention … ».</w:t>
      </w:r>
      <w:r w:rsidR="0002317C" w:rsidRPr="000649BC">
        <w:rPr>
          <w:lang w:val="fr-CH"/>
        </w:rPr>
        <w:t xml:space="preserve"> </w:t>
      </w:r>
      <w:r w:rsidR="00C710FA">
        <w:rPr>
          <w:lang w:val="fr-CH"/>
        </w:rPr>
        <w:t>Ces responsabilités sont réaffirmées dans la Résolution </w:t>
      </w:r>
      <w:r w:rsidR="008F687D" w:rsidRPr="000649BC">
        <w:rPr>
          <w:lang w:val="fr-CH"/>
        </w:rPr>
        <w:t>XIII.2</w:t>
      </w:r>
      <w:r w:rsidR="00C710FA">
        <w:rPr>
          <w:lang w:val="fr-CH"/>
        </w:rPr>
        <w:t>,</w:t>
      </w:r>
      <w:r w:rsidR="008F687D" w:rsidRPr="000649BC">
        <w:rPr>
          <w:lang w:val="fr-CH"/>
        </w:rPr>
        <w:t xml:space="preserve"> </w:t>
      </w:r>
      <w:r w:rsidR="00C710FA">
        <w:rPr>
          <w:i/>
          <w:lang w:val="fr-CH"/>
        </w:rPr>
        <w:t>Questions financières et budgétaires</w:t>
      </w:r>
      <w:r w:rsidR="008F687D" w:rsidRPr="000649BC">
        <w:rPr>
          <w:lang w:val="fr-CH"/>
        </w:rPr>
        <w:t>, paragraph</w:t>
      </w:r>
      <w:r w:rsidR="00C710FA">
        <w:rPr>
          <w:lang w:val="fr-CH"/>
        </w:rPr>
        <w:t>e </w:t>
      </w:r>
      <w:r w:rsidR="008F687D" w:rsidRPr="000649BC">
        <w:rPr>
          <w:lang w:val="fr-CH"/>
        </w:rPr>
        <w:t xml:space="preserve">12. </w:t>
      </w:r>
      <w:r w:rsidR="00C710FA">
        <w:rPr>
          <w:lang w:val="fr-CH"/>
        </w:rPr>
        <w:t xml:space="preserve">Pour </w:t>
      </w:r>
      <w:r w:rsidR="00373C94">
        <w:rPr>
          <w:lang w:val="fr-CH"/>
        </w:rPr>
        <w:t>exécuter</w:t>
      </w:r>
      <w:r w:rsidR="00C710FA">
        <w:rPr>
          <w:lang w:val="fr-CH"/>
        </w:rPr>
        <w:t xml:space="preserve"> cette tâche, le Comité exécutif examinera si une demande particulière </w:t>
      </w:r>
      <w:r w:rsidR="00C710FA" w:rsidRPr="004A6F2E">
        <w:rPr>
          <w:lang w:val="fr-CH"/>
        </w:rPr>
        <w:t xml:space="preserve">du </w:t>
      </w:r>
      <w:r w:rsidR="003502BF">
        <w:rPr>
          <w:lang w:val="fr-CH"/>
        </w:rPr>
        <w:t>s</w:t>
      </w:r>
      <w:r w:rsidR="00C710FA" w:rsidRPr="004A6F2E">
        <w:rPr>
          <w:lang w:val="fr-CH"/>
        </w:rPr>
        <w:t>ecrétaire général</w:t>
      </w:r>
      <w:r w:rsidR="00C710FA">
        <w:rPr>
          <w:lang w:val="fr-CH"/>
        </w:rPr>
        <w:t xml:space="preserve"> peut être traitée par le Comité ou s’il doit la renvoyer au Sous</w:t>
      </w:r>
      <w:r w:rsidR="00C710FA">
        <w:rPr>
          <w:lang w:val="fr-CH"/>
        </w:rPr>
        <w:noBreakHyphen/>
        <w:t>groupe sur les finances.</w:t>
      </w:r>
      <w:r w:rsidR="0062266B" w:rsidRPr="000649BC">
        <w:rPr>
          <w:lang w:val="fr-CH"/>
        </w:rPr>
        <w:t xml:space="preserve"> </w:t>
      </w:r>
      <w:commentRangeStart w:id="1"/>
      <w:commentRangeEnd w:id="1"/>
    </w:p>
    <w:p w14:paraId="3DBCC8EC" w14:textId="77777777" w:rsidR="0062266B" w:rsidRPr="000649BC" w:rsidRDefault="0062266B" w:rsidP="00383C45">
      <w:pPr>
        <w:ind w:left="0" w:firstLine="0"/>
        <w:rPr>
          <w:lang w:val="fr-CH"/>
        </w:rPr>
      </w:pPr>
    </w:p>
    <w:p w14:paraId="0E74EB44" w14:textId="2D6749DE" w:rsidR="006C4D8D" w:rsidRPr="000649BC" w:rsidRDefault="00192281" w:rsidP="00383C45">
      <w:pPr>
        <w:rPr>
          <w:lang w:val="fr-CH"/>
        </w:rPr>
      </w:pPr>
      <w:r w:rsidRPr="000649BC">
        <w:rPr>
          <w:lang w:val="fr-CH"/>
        </w:rPr>
        <w:t>6.</w:t>
      </w:r>
      <w:r w:rsidRPr="000649BC">
        <w:rPr>
          <w:lang w:val="fr-CH"/>
        </w:rPr>
        <w:tab/>
      </w:r>
      <w:r w:rsidR="00132FC1">
        <w:rPr>
          <w:lang w:val="fr-CH"/>
        </w:rPr>
        <w:t>Pour toute question qui se pose dans la période intersessions et pour laquelle le Comité permanent n’a pas encore pris de décision, ou lorsqu’une question n’</w:t>
      </w:r>
      <w:r w:rsidR="00D03198">
        <w:rPr>
          <w:lang w:val="fr-CH"/>
        </w:rPr>
        <w:t>entre pas dans les</w:t>
      </w:r>
      <w:r w:rsidR="00132FC1">
        <w:rPr>
          <w:lang w:val="fr-CH"/>
        </w:rPr>
        <w:t xml:space="preserve"> </w:t>
      </w:r>
      <w:r w:rsidR="00132FC1">
        <w:rPr>
          <w:lang w:val="fr-CH"/>
        </w:rPr>
        <w:lastRenderedPageBreak/>
        <w:t xml:space="preserve">politiques et orientations déjà fournies par la Conférence des Parties et le Comité permanent, le Comité exécutif demande au Secrétariat de contacter le Comité permanent et de lui demander </w:t>
      </w:r>
      <w:r w:rsidR="00D03198">
        <w:rPr>
          <w:lang w:val="fr-CH"/>
        </w:rPr>
        <w:t>sa</w:t>
      </w:r>
      <w:r w:rsidR="00132FC1">
        <w:rPr>
          <w:lang w:val="fr-CH"/>
        </w:rPr>
        <w:t xml:space="preserve"> décision concernant cette question</w:t>
      </w:r>
      <w:r w:rsidR="00D03198">
        <w:rPr>
          <w:lang w:val="fr-CH"/>
        </w:rPr>
        <w:t>,</w:t>
      </w:r>
      <w:r w:rsidR="00D03198" w:rsidRPr="00D03198">
        <w:rPr>
          <w:lang w:val="fr-CH"/>
        </w:rPr>
        <w:t xml:space="preserve"> </w:t>
      </w:r>
      <w:r w:rsidR="00D03198">
        <w:rPr>
          <w:lang w:val="fr-CH"/>
        </w:rPr>
        <w:t>par communication électronique</w:t>
      </w:r>
      <w:r w:rsidR="00132FC1">
        <w:rPr>
          <w:lang w:val="fr-CH"/>
        </w:rPr>
        <w:t xml:space="preserve">, dès que possible. </w:t>
      </w:r>
    </w:p>
    <w:p w14:paraId="367247E6" w14:textId="77777777" w:rsidR="003837B7" w:rsidRPr="000649BC" w:rsidRDefault="003837B7" w:rsidP="00383C45">
      <w:pPr>
        <w:rPr>
          <w:b/>
          <w:lang w:val="fr-CH"/>
        </w:rPr>
      </w:pPr>
    </w:p>
    <w:p w14:paraId="593D253C" w14:textId="22F192A4" w:rsidR="003837B7" w:rsidRPr="000649BC" w:rsidRDefault="00132FC1" w:rsidP="00383C45">
      <w:pPr>
        <w:rPr>
          <w:b/>
          <w:lang w:val="fr-CH"/>
        </w:rPr>
      </w:pPr>
      <w:r>
        <w:rPr>
          <w:b/>
          <w:lang w:val="fr-CH"/>
        </w:rPr>
        <w:t>Fonctionnement</w:t>
      </w:r>
    </w:p>
    <w:p w14:paraId="19CA511B" w14:textId="77777777" w:rsidR="00192281" w:rsidRPr="000649BC" w:rsidRDefault="00192281" w:rsidP="00383C45">
      <w:pPr>
        <w:rPr>
          <w:lang w:val="fr-CH"/>
        </w:rPr>
      </w:pPr>
    </w:p>
    <w:p w14:paraId="01963847" w14:textId="55F66F1E" w:rsidR="003837B7" w:rsidRPr="000649BC" w:rsidRDefault="00192281" w:rsidP="00383C45">
      <w:pPr>
        <w:rPr>
          <w:lang w:val="fr-CH"/>
        </w:rPr>
      </w:pPr>
      <w:r w:rsidRPr="000649BC">
        <w:rPr>
          <w:lang w:val="fr-CH"/>
        </w:rPr>
        <w:t>7.</w:t>
      </w:r>
      <w:r w:rsidRPr="000649BC">
        <w:rPr>
          <w:lang w:val="fr-CH"/>
        </w:rPr>
        <w:tab/>
      </w:r>
      <w:r w:rsidR="00132FC1">
        <w:rPr>
          <w:lang w:val="fr-CH"/>
        </w:rPr>
        <w:t xml:space="preserve">Le Comité exécutif fonctionne conformément aux résolutions adoptées par la Conférence des Parties et aux décisions du Comité permanent </w:t>
      </w:r>
      <w:r w:rsidR="00132FC1">
        <w:rPr>
          <w:rFonts w:cs="Calibri"/>
          <w:lang w:val="fr-CH"/>
        </w:rPr>
        <w:t>[</w:t>
      </w:r>
      <w:r w:rsidR="00132FC1">
        <w:rPr>
          <w:lang w:val="fr-CH"/>
        </w:rPr>
        <w:t>Résolution XIII.4, a</w:t>
      </w:r>
      <w:r w:rsidR="003837B7" w:rsidRPr="000649BC">
        <w:rPr>
          <w:lang w:val="fr-CH"/>
        </w:rPr>
        <w:t>nnex</w:t>
      </w:r>
      <w:r w:rsidR="00132FC1">
        <w:rPr>
          <w:lang w:val="fr-CH"/>
        </w:rPr>
        <w:t>e </w:t>
      </w:r>
      <w:r w:rsidR="003837B7" w:rsidRPr="000649BC">
        <w:rPr>
          <w:lang w:val="fr-CH"/>
        </w:rPr>
        <w:t>1, 19</w:t>
      </w:r>
      <w:r w:rsidR="00132FC1">
        <w:rPr>
          <w:lang w:val="fr-CH"/>
        </w:rPr>
        <w:t> </w:t>
      </w:r>
      <w:r w:rsidR="003837B7" w:rsidRPr="000649BC">
        <w:rPr>
          <w:lang w:val="fr-CH"/>
        </w:rPr>
        <w:t>a)</w:t>
      </w:r>
      <w:r w:rsidR="00132FC1">
        <w:rPr>
          <w:rFonts w:cs="Calibri"/>
          <w:lang w:val="fr-CH"/>
        </w:rPr>
        <w:t>]</w:t>
      </w:r>
      <w:r w:rsidR="003837B7" w:rsidRPr="000649BC">
        <w:rPr>
          <w:lang w:val="fr-CH"/>
        </w:rPr>
        <w:t xml:space="preserve"> </w:t>
      </w:r>
      <w:r w:rsidR="00132FC1">
        <w:rPr>
          <w:lang w:val="fr-CH"/>
        </w:rPr>
        <w:t>sur la gestion du Secrétariat et dans le contexte de la « Délégation d’autorité au Secrétaire général de la Convention sur les zones humides et sa Note supplémentaire »</w:t>
      </w:r>
      <w:r w:rsidR="003837B7" w:rsidRPr="000649BC">
        <w:rPr>
          <w:lang w:val="fr-CH"/>
        </w:rPr>
        <w:t xml:space="preserve">. </w:t>
      </w:r>
      <w:r w:rsidR="00132FC1">
        <w:rPr>
          <w:lang w:val="fr-CH"/>
        </w:rPr>
        <w:t xml:space="preserve">Le Comité exécutif étant un organe subsidiaire de la Conférence des Parties contractantes, le règlement intérieur adopté par la Conférence des Parties s’applique à son fonctionnement </w:t>
      </w:r>
      <w:r w:rsidR="003837B7" w:rsidRPr="000649BC">
        <w:rPr>
          <w:i/>
          <w:lang w:val="fr-CH"/>
        </w:rPr>
        <w:t>mutatis mutandi</w:t>
      </w:r>
      <w:r w:rsidR="00AC179F" w:rsidRPr="000649BC">
        <w:rPr>
          <w:i/>
          <w:lang w:val="fr-CH"/>
        </w:rPr>
        <w:t>s</w:t>
      </w:r>
      <w:r w:rsidR="003837B7" w:rsidRPr="000649BC">
        <w:rPr>
          <w:lang w:val="fr-CH"/>
        </w:rPr>
        <w:t>.</w:t>
      </w:r>
    </w:p>
    <w:p w14:paraId="7AF9A97F" w14:textId="77777777" w:rsidR="006C4D8D" w:rsidRPr="000649BC" w:rsidRDefault="006C4D8D" w:rsidP="00383C45">
      <w:pPr>
        <w:ind w:left="0" w:firstLine="0"/>
        <w:rPr>
          <w:lang w:val="fr-CH"/>
        </w:rPr>
      </w:pPr>
    </w:p>
    <w:p w14:paraId="56E865B2" w14:textId="42526AB4" w:rsidR="006C4D8D" w:rsidRPr="000649BC" w:rsidRDefault="00132FC1" w:rsidP="00192281">
      <w:pPr>
        <w:keepNext/>
        <w:rPr>
          <w:b/>
          <w:lang w:val="fr-CH"/>
        </w:rPr>
      </w:pPr>
      <w:r>
        <w:rPr>
          <w:b/>
          <w:lang w:val="fr-CH"/>
        </w:rPr>
        <w:t>Établissement de rapport</w:t>
      </w:r>
    </w:p>
    <w:p w14:paraId="2C924D15" w14:textId="77777777" w:rsidR="006C4D8D" w:rsidRPr="000649BC" w:rsidRDefault="006C4D8D" w:rsidP="00192281">
      <w:pPr>
        <w:keepNext/>
        <w:rPr>
          <w:lang w:val="fr-CH"/>
        </w:rPr>
      </w:pPr>
    </w:p>
    <w:p w14:paraId="03A3FC4B" w14:textId="6E89976C" w:rsidR="006C4D8D" w:rsidRPr="000649BC" w:rsidRDefault="00192281" w:rsidP="00383C45">
      <w:pPr>
        <w:rPr>
          <w:lang w:val="fr-CH"/>
        </w:rPr>
      </w:pPr>
      <w:r w:rsidRPr="000649BC">
        <w:rPr>
          <w:lang w:val="fr-CH"/>
        </w:rPr>
        <w:t>8.</w:t>
      </w:r>
      <w:r w:rsidRPr="000649BC">
        <w:rPr>
          <w:lang w:val="fr-CH"/>
        </w:rPr>
        <w:tab/>
      </w:r>
      <w:r w:rsidR="00132FC1">
        <w:rPr>
          <w:lang w:val="fr-CH"/>
        </w:rPr>
        <w:t xml:space="preserve">À chaque réunion ordinaire du Comité permanent, le Comité exécutif fait rapport au Comité sur les activités menées depuis la précédente réunion ordinaire </w:t>
      </w:r>
      <w:r w:rsidR="00132FC1">
        <w:rPr>
          <w:rFonts w:cs="Calibri"/>
          <w:lang w:val="fr-CH"/>
        </w:rPr>
        <w:t>[</w:t>
      </w:r>
      <w:r w:rsidR="00132FC1">
        <w:rPr>
          <w:lang w:val="fr-CH"/>
        </w:rPr>
        <w:t>adapté de la Résolution XIII.4, a</w:t>
      </w:r>
      <w:r w:rsidR="00140434" w:rsidRPr="000649BC">
        <w:rPr>
          <w:lang w:val="fr-CH"/>
        </w:rPr>
        <w:t>nnex</w:t>
      </w:r>
      <w:r w:rsidR="00132FC1">
        <w:rPr>
          <w:lang w:val="fr-CH"/>
        </w:rPr>
        <w:t>e </w:t>
      </w:r>
      <w:r w:rsidR="00140434" w:rsidRPr="000649BC">
        <w:rPr>
          <w:lang w:val="fr-CH"/>
        </w:rPr>
        <w:t>1, paragraph</w:t>
      </w:r>
      <w:r w:rsidR="00132FC1">
        <w:rPr>
          <w:lang w:val="fr-CH"/>
        </w:rPr>
        <w:t>e </w:t>
      </w:r>
      <w:r w:rsidR="00140434" w:rsidRPr="000649BC">
        <w:rPr>
          <w:lang w:val="fr-CH"/>
        </w:rPr>
        <w:t xml:space="preserve">19, </w:t>
      </w:r>
      <w:r w:rsidR="00132FC1">
        <w:rPr>
          <w:lang w:val="fr-CH"/>
        </w:rPr>
        <w:t>alinéa </w:t>
      </w:r>
      <w:r w:rsidR="00140434" w:rsidRPr="000649BC">
        <w:rPr>
          <w:lang w:val="fr-CH"/>
        </w:rPr>
        <w:t>k)</w:t>
      </w:r>
      <w:r w:rsidR="00132FC1">
        <w:rPr>
          <w:rFonts w:cs="Calibri"/>
          <w:lang w:val="fr-CH"/>
        </w:rPr>
        <w:t>]</w:t>
      </w:r>
      <w:r w:rsidRPr="000649BC">
        <w:rPr>
          <w:lang w:val="fr-CH"/>
        </w:rPr>
        <w:t>.</w:t>
      </w:r>
    </w:p>
    <w:p w14:paraId="45127EAC" w14:textId="77777777" w:rsidR="006C4D8D" w:rsidRPr="000649BC" w:rsidRDefault="006C4D8D" w:rsidP="00383C45">
      <w:pPr>
        <w:rPr>
          <w:lang w:val="fr-CH"/>
        </w:rPr>
      </w:pPr>
    </w:p>
    <w:p w14:paraId="71925384" w14:textId="77777777" w:rsidR="006C4D8D" w:rsidRDefault="006C4D8D" w:rsidP="00383C45"/>
    <w:sectPr w:rsidR="006C4D8D" w:rsidSect="00B82DA1">
      <w:footerReference w:type="default" r:id="rId9"/>
      <w:pgSz w:w="11906" w:h="16838"/>
      <w:pgMar w:top="1440" w:right="1440" w:bottom="1440" w:left="1440" w:header="731" w:footer="731" w:gutter="0"/>
      <w:cols w:space="720"/>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CF0B7" w16cid:durableId="204F48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6EE7" w14:textId="77777777" w:rsidR="008D128F" w:rsidRDefault="008D128F">
      <w:r>
        <w:separator/>
      </w:r>
    </w:p>
  </w:endnote>
  <w:endnote w:type="continuationSeparator" w:id="0">
    <w:p w14:paraId="38C41CD1" w14:textId="77777777" w:rsidR="008D128F" w:rsidRDefault="008D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4D"/>
    <w:family w:val="roman"/>
    <w:notTrueType/>
    <w:pitch w:val="variable"/>
    <w:sig w:usb0="00000003" w:usb1="00000000" w:usb2="00000000" w:usb3="00000000" w:csb0="00000001" w:csb1="00000000"/>
  </w:font>
  <w:font w:name="Calibri-Bold">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9658" w14:textId="1757B995" w:rsidR="008F687D" w:rsidRPr="009B1227" w:rsidRDefault="008F687D">
    <w:pPr>
      <w:pStyle w:val="Footer"/>
      <w:rPr>
        <w:sz w:val="20"/>
        <w:szCs w:val="20"/>
      </w:rPr>
    </w:pPr>
    <w:r>
      <w:rPr>
        <w:sz w:val="20"/>
        <w:szCs w:val="20"/>
      </w:rPr>
      <w:t>SC57 Doc.12</w:t>
    </w:r>
    <w:r w:rsidRPr="005E457A">
      <w:rPr>
        <w:sz w:val="20"/>
        <w:szCs w:val="20"/>
      </w:rPr>
      <w:tab/>
    </w:r>
    <w:r w:rsidRPr="005E457A">
      <w:rPr>
        <w:sz w:val="20"/>
        <w:szCs w:val="20"/>
      </w:rPr>
      <w:tab/>
    </w:r>
    <w:r w:rsidR="00C94298">
      <w:rPr>
        <w:noProof/>
        <w:sz w:val="20"/>
        <w:szCs w:val="20"/>
      </w:rPr>
      <w:fldChar w:fldCharType="begin"/>
    </w:r>
    <w:r w:rsidR="00C94298">
      <w:rPr>
        <w:noProof/>
        <w:sz w:val="20"/>
        <w:szCs w:val="20"/>
      </w:rPr>
      <w:instrText xml:space="preserve"> PAGE   \* MERGEFORMAT </w:instrText>
    </w:r>
    <w:r w:rsidR="00C94298">
      <w:rPr>
        <w:noProof/>
        <w:sz w:val="20"/>
        <w:szCs w:val="20"/>
      </w:rPr>
      <w:fldChar w:fldCharType="separate"/>
    </w:r>
    <w:r w:rsidR="00BC54BE">
      <w:rPr>
        <w:noProof/>
        <w:sz w:val="20"/>
        <w:szCs w:val="20"/>
      </w:rPr>
      <w:t>5</w:t>
    </w:r>
    <w:r w:rsidR="00C9429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D483" w14:textId="77777777" w:rsidR="008D128F" w:rsidRDefault="008D128F">
      <w:r>
        <w:separator/>
      </w:r>
    </w:p>
  </w:footnote>
  <w:footnote w:type="continuationSeparator" w:id="0">
    <w:p w14:paraId="50F8155C" w14:textId="77777777" w:rsidR="008D128F" w:rsidRDefault="008D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55FB3"/>
    <w:multiLevelType w:val="multilevel"/>
    <w:tmpl w:val="8C320050"/>
    <w:lvl w:ilvl="0">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455A3EF7"/>
    <w:multiLevelType w:val="multilevel"/>
    <w:tmpl w:val="9A706A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7E94D2E"/>
    <w:multiLevelType w:val="hybridMultilevel"/>
    <w:tmpl w:val="6A78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E37D9"/>
    <w:multiLevelType w:val="hybridMultilevel"/>
    <w:tmpl w:val="6FB84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D0AF9"/>
    <w:multiLevelType w:val="multilevel"/>
    <w:tmpl w:val="38127E70"/>
    <w:lvl w:ilvl="0">
      <w:start w:val="1"/>
      <w:numFmt w:val="decimal"/>
      <w:lvlText w:val="%1."/>
      <w:lvlJc w:val="left"/>
      <w:pPr>
        <w:ind w:left="789" w:hanging="429"/>
      </w:pPr>
    </w:lvl>
    <w:lvl w:ilvl="1">
      <w:start w:val="1"/>
      <w:numFmt w:val="decimal"/>
      <w:lvlText w:val="%1.%2."/>
      <w:lvlJc w:val="left"/>
      <w:pPr>
        <w:ind w:left="789" w:hanging="360"/>
      </w:pPr>
      <w:rPr>
        <w:lang w:val="en-US"/>
      </w:rPr>
    </w:lvl>
    <w:lvl w:ilvl="2">
      <w:start w:val="1"/>
      <w:numFmt w:val="decimal"/>
      <w:lvlText w:val="%1.%2.%3."/>
      <w:lvlJc w:val="left"/>
      <w:pPr>
        <w:ind w:left="1218" w:hanging="720"/>
      </w:pPr>
    </w:lvl>
    <w:lvl w:ilvl="3">
      <w:start w:val="1"/>
      <w:numFmt w:val="decimal"/>
      <w:lvlText w:val="%1.%2.%3.%4."/>
      <w:lvlJc w:val="left"/>
      <w:pPr>
        <w:ind w:left="1287" w:hanging="720"/>
      </w:pPr>
    </w:lvl>
    <w:lvl w:ilvl="4">
      <w:start w:val="1"/>
      <w:numFmt w:val="decimal"/>
      <w:lvlText w:val="%1.%2.%3.%4.%5."/>
      <w:lvlJc w:val="left"/>
      <w:pPr>
        <w:ind w:left="1716" w:hanging="1080"/>
      </w:pPr>
    </w:lvl>
    <w:lvl w:ilvl="5">
      <w:start w:val="1"/>
      <w:numFmt w:val="decimal"/>
      <w:lvlText w:val="%1.%2.%3.%4.%5.%6."/>
      <w:lvlJc w:val="left"/>
      <w:pPr>
        <w:ind w:left="1785" w:hanging="1080"/>
      </w:pPr>
    </w:lvl>
    <w:lvl w:ilvl="6">
      <w:start w:val="1"/>
      <w:numFmt w:val="decimal"/>
      <w:lvlText w:val="%1.%2.%3.%4.%5.%6.%7."/>
      <w:lvlJc w:val="left"/>
      <w:pPr>
        <w:ind w:left="2214" w:hanging="1440"/>
      </w:pPr>
    </w:lvl>
    <w:lvl w:ilvl="7">
      <w:start w:val="1"/>
      <w:numFmt w:val="decimal"/>
      <w:lvlText w:val="%1.%2.%3.%4.%5.%6.%7.%8."/>
      <w:lvlJc w:val="left"/>
      <w:pPr>
        <w:ind w:left="2283" w:hanging="1440"/>
      </w:pPr>
    </w:lvl>
    <w:lvl w:ilvl="8">
      <w:start w:val="1"/>
      <w:numFmt w:val="decimal"/>
      <w:lvlText w:val="%1.%2.%3.%4.%5.%6.%7.%8.%9."/>
      <w:lvlJc w:val="left"/>
      <w:pPr>
        <w:ind w:left="2712" w:hanging="1800"/>
      </w:pPr>
    </w:lvl>
  </w:abstractNum>
  <w:abstractNum w:abstractNumId="5" w15:restartNumberingAfterBreak="0">
    <w:nsid w:val="756C71FA"/>
    <w:multiLevelType w:val="multilevel"/>
    <w:tmpl w:val="B48E5B0E"/>
    <w:lvl w:ilvl="0">
      <w:start w:val="3"/>
      <w:numFmt w:val="decimal"/>
      <w:lvlText w:val="%1."/>
      <w:lvlJc w:val="left"/>
      <w:pPr>
        <w:ind w:left="360" w:hanging="360"/>
      </w:pPr>
    </w:lvl>
    <w:lvl w:ilvl="1">
      <w:start w:val="4"/>
      <w:numFmt w:val="decimal"/>
      <w:lvlText w:val="%1.%2."/>
      <w:lvlJc w:val="left"/>
      <w:pPr>
        <w:ind w:left="789" w:hanging="360"/>
      </w:pPr>
    </w:lvl>
    <w:lvl w:ilvl="2">
      <w:start w:val="1"/>
      <w:numFmt w:val="decimal"/>
      <w:lvlText w:val="%1.%2.%3."/>
      <w:lvlJc w:val="left"/>
      <w:pPr>
        <w:ind w:left="1578" w:hanging="720"/>
      </w:pPr>
    </w:lvl>
    <w:lvl w:ilvl="3">
      <w:start w:val="1"/>
      <w:numFmt w:val="decimal"/>
      <w:lvlText w:val="%1.%2.%3.%4."/>
      <w:lvlJc w:val="left"/>
      <w:pPr>
        <w:ind w:left="2007" w:hanging="720"/>
      </w:pPr>
    </w:lvl>
    <w:lvl w:ilvl="4">
      <w:start w:val="1"/>
      <w:numFmt w:val="decimal"/>
      <w:lvlText w:val="%1.%2.%3.%4.%5."/>
      <w:lvlJc w:val="left"/>
      <w:pPr>
        <w:ind w:left="2796" w:hanging="1080"/>
      </w:pPr>
    </w:lvl>
    <w:lvl w:ilvl="5">
      <w:start w:val="1"/>
      <w:numFmt w:val="decimal"/>
      <w:lvlText w:val="%1.%2.%3.%4.%5.%6."/>
      <w:lvlJc w:val="left"/>
      <w:pPr>
        <w:ind w:left="3225" w:hanging="1080"/>
      </w:pPr>
    </w:lvl>
    <w:lvl w:ilvl="6">
      <w:start w:val="1"/>
      <w:numFmt w:val="decimal"/>
      <w:lvlText w:val="%1.%2.%3.%4.%5.%6.%7."/>
      <w:lvlJc w:val="left"/>
      <w:pPr>
        <w:ind w:left="4014" w:hanging="1440"/>
      </w:pPr>
    </w:lvl>
    <w:lvl w:ilvl="7">
      <w:start w:val="1"/>
      <w:numFmt w:val="decimal"/>
      <w:lvlText w:val="%1.%2.%3.%4.%5.%6.%7.%8."/>
      <w:lvlJc w:val="left"/>
      <w:pPr>
        <w:ind w:left="4443" w:hanging="1440"/>
      </w:pPr>
    </w:lvl>
    <w:lvl w:ilvl="8">
      <w:start w:val="1"/>
      <w:numFmt w:val="decimal"/>
      <w:lvlText w:val="%1.%2.%3.%4.%5.%6.%7.%8.%9."/>
      <w:lvlJc w:val="left"/>
      <w:pPr>
        <w:ind w:left="5232" w:hanging="180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8D"/>
    <w:rsid w:val="00013D6E"/>
    <w:rsid w:val="0002317C"/>
    <w:rsid w:val="00043B8F"/>
    <w:rsid w:val="00046603"/>
    <w:rsid w:val="00047FB6"/>
    <w:rsid w:val="000649BC"/>
    <w:rsid w:val="0007307A"/>
    <w:rsid w:val="00087933"/>
    <w:rsid w:val="000B3D1F"/>
    <w:rsid w:val="000C01B9"/>
    <w:rsid w:val="000E4794"/>
    <w:rsid w:val="001045CD"/>
    <w:rsid w:val="0011199B"/>
    <w:rsid w:val="001152A5"/>
    <w:rsid w:val="00132FC1"/>
    <w:rsid w:val="00135C63"/>
    <w:rsid w:val="00140434"/>
    <w:rsid w:val="00146050"/>
    <w:rsid w:val="00161D14"/>
    <w:rsid w:val="0016313B"/>
    <w:rsid w:val="0018264B"/>
    <w:rsid w:val="00192281"/>
    <w:rsid w:val="001A7DA0"/>
    <w:rsid w:val="001E36E1"/>
    <w:rsid w:val="001F2BB1"/>
    <w:rsid w:val="00204707"/>
    <w:rsid w:val="00205292"/>
    <w:rsid w:val="00214DF9"/>
    <w:rsid w:val="00242710"/>
    <w:rsid w:val="002571D0"/>
    <w:rsid w:val="00260A5A"/>
    <w:rsid w:val="00271CFF"/>
    <w:rsid w:val="00285604"/>
    <w:rsid w:val="002969F5"/>
    <w:rsid w:val="00347562"/>
    <w:rsid w:val="003502BF"/>
    <w:rsid w:val="00373C94"/>
    <w:rsid w:val="0038371F"/>
    <w:rsid w:val="003837B7"/>
    <w:rsid w:val="00383C45"/>
    <w:rsid w:val="00394123"/>
    <w:rsid w:val="003C0341"/>
    <w:rsid w:val="003C2EBC"/>
    <w:rsid w:val="003D7FC0"/>
    <w:rsid w:val="003F57A1"/>
    <w:rsid w:val="004136CF"/>
    <w:rsid w:val="00423C8E"/>
    <w:rsid w:val="004428D5"/>
    <w:rsid w:val="00447BFC"/>
    <w:rsid w:val="00466564"/>
    <w:rsid w:val="00475FF8"/>
    <w:rsid w:val="004A6F2E"/>
    <w:rsid w:val="004D24D6"/>
    <w:rsid w:val="004F3413"/>
    <w:rsid w:val="00507862"/>
    <w:rsid w:val="00510F04"/>
    <w:rsid w:val="00531DBB"/>
    <w:rsid w:val="00551E31"/>
    <w:rsid w:val="00575F45"/>
    <w:rsid w:val="005805FA"/>
    <w:rsid w:val="00584449"/>
    <w:rsid w:val="00596952"/>
    <w:rsid w:val="005A1121"/>
    <w:rsid w:val="005A2CB1"/>
    <w:rsid w:val="005C5B8A"/>
    <w:rsid w:val="005E796D"/>
    <w:rsid w:val="005F3CF1"/>
    <w:rsid w:val="005F6D93"/>
    <w:rsid w:val="006106E4"/>
    <w:rsid w:val="0062266B"/>
    <w:rsid w:val="00623D8C"/>
    <w:rsid w:val="00645FB0"/>
    <w:rsid w:val="00652D72"/>
    <w:rsid w:val="006665B4"/>
    <w:rsid w:val="00676BF7"/>
    <w:rsid w:val="00677DBA"/>
    <w:rsid w:val="00684B3F"/>
    <w:rsid w:val="006C4D8D"/>
    <w:rsid w:val="006D1585"/>
    <w:rsid w:val="006D2475"/>
    <w:rsid w:val="006D4CA1"/>
    <w:rsid w:val="007055BA"/>
    <w:rsid w:val="00720A25"/>
    <w:rsid w:val="0074142D"/>
    <w:rsid w:val="007754A8"/>
    <w:rsid w:val="00844886"/>
    <w:rsid w:val="008473B6"/>
    <w:rsid w:val="00857073"/>
    <w:rsid w:val="008607E4"/>
    <w:rsid w:val="00883412"/>
    <w:rsid w:val="008A22BD"/>
    <w:rsid w:val="008A5BEE"/>
    <w:rsid w:val="008B4298"/>
    <w:rsid w:val="008C15FA"/>
    <w:rsid w:val="008D128F"/>
    <w:rsid w:val="008F687D"/>
    <w:rsid w:val="009009D9"/>
    <w:rsid w:val="00917EB4"/>
    <w:rsid w:val="009B1227"/>
    <w:rsid w:val="009D73BE"/>
    <w:rsid w:val="00A3349D"/>
    <w:rsid w:val="00A63B52"/>
    <w:rsid w:val="00A7146C"/>
    <w:rsid w:val="00A75DF1"/>
    <w:rsid w:val="00A83464"/>
    <w:rsid w:val="00A94FF9"/>
    <w:rsid w:val="00AA466A"/>
    <w:rsid w:val="00AC179F"/>
    <w:rsid w:val="00AC1EA0"/>
    <w:rsid w:val="00AF095A"/>
    <w:rsid w:val="00AF1FE5"/>
    <w:rsid w:val="00B82DA1"/>
    <w:rsid w:val="00B96A26"/>
    <w:rsid w:val="00BC54BE"/>
    <w:rsid w:val="00BF0EBE"/>
    <w:rsid w:val="00BF3448"/>
    <w:rsid w:val="00C05DC5"/>
    <w:rsid w:val="00C101AE"/>
    <w:rsid w:val="00C270B5"/>
    <w:rsid w:val="00C3193E"/>
    <w:rsid w:val="00C509CD"/>
    <w:rsid w:val="00C710FA"/>
    <w:rsid w:val="00C83967"/>
    <w:rsid w:val="00C857D5"/>
    <w:rsid w:val="00C94298"/>
    <w:rsid w:val="00CA2D1D"/>
    <w:rsid w:val="00CA769D"/>
    <w:rsid w:val="00CF709E"/>
    <w:rsid w:val="00D03198"/>
    <w:rsid w:val="00D041AD"/>
    <w:rsid w:val="00D514D8"/>
    <w:rsid w:val="00D53429"/>
    <w:rsid w:val="00D60D24"/>
    <w:rsid w:val="00D75CDF"/>
    <w:rsid w:val="00D76AC4"/>
    <w:rsid w:val="00D93623"/>
    <w:rsid w:val="00DC0866"/>
    <w:rsid w:val="00DC4BD3"/>
    <w:rsid w:val="00DF1982"/>
    <w:rsid w:val="00E071C4"/>
    <w:rsid w:val="00E07794"/>
    <w:rsid w:val="00E65C0F"/>
    <w:rsid w:val="00E77FE2"/>
    <w:rsid w:val="00E825CA"/>
    <w:rsid w:val="00EA5FBD"/>
    <w:rsid w:val="00EB2E36"/>
    <w:rsid w:val="00ED2F0F"/>
    <w:rsid w:val="00F03D89"/>
    <w:rsid w:val="00F20480"/>
    <w:rsid w:val="00F2408A"/>
    <w:rsid w:val="00F451C9"/>
    <w:rsid w:val="00F5152A"/>
    <w:rsid w:val="00F65B59"/>
    <w:rsid w:val="00F82A26"/>
    <w:rsid w:val="00F84E69"/>
    <w:rsid w:val="00F922A8"/>
    <w:rsid w:val="00FC4A60"/>
    <w:rsid w:val="00FF02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FDB7F"/>
  <w15:docId w15:val="{CF4C7B1C-25CF-4F22-AF19-6FE8C23D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sz w:val="22"/>
        <w:szCs w:val="22"/>
        <w:lang w:val="en-GB"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41"/>
    <w:pPr>
      <w:ind w:left="425" w:hanging="425"/>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rsid w:val="003C0341"/>
    <w:rPr>
      <w:rFonts w:ascii="Calibri" w:eastAsia="Calibri" w:hAnsi="Calibri" w:cs="Times New Roman"/>
      <w:sz w:val="20"/>
      <w:szCs w:val="20"/>
    </w:rPr>
  </w:style>
  <w:style w:type="character" w:styleId="FootnoteReference">
    <w:name w:val="footnote reference"/>
    <w:basedOn w:val="DefaultParagraphFont"/>
    <w:qFormat/>
    <w:rsid w:val="003C0341"/>
    <w:rPr>
      <w:vertAlign w:val="superscript"/>
    </w:rPr>
  </w:style>
  <w:style w:type="character" w:styleId="CommentReference">
    <w:name w:val="annotation reference"/>
    <w:basedOn w:val="DefaultParagraphFont"/>
    <w:qFormat/>
    <w:rsid w:val="003C0341"/>
    <w:rPr>
      <w:sz w:val="16"/>
      <w:szCs w:val="16"/>
    </w:rPr>
  </w:style>
  <w:style w:type="character" w:customStyle="1" w:styleId="CommentTextChar">
    <w:name w:val="Comment Text Char"/>
    <w:basedOn w:val="DefaultParagraphFont"/>
    <w:qFormat/>
    <w:rsid w:val="003C0341"/>
    <w:rPr>
      <w:rFonts w:ascii="Calibri" w:eastAsia="Calibri" w:hAnsi="Calibri" w:cs="Times New Roman"/>
      <w:sz w:val="20"/>
      <w:szCs w:val="20"/>
    </w:rPr>
  </w:style>
  <w:style w:type="character" w:customStyle="1" w:styleId="CommentSubjectChar">
    <w:name w:val="Comment Subject Char"/>
    <w:basedOn w:val="CommentTextChar"/>
    <w:qFormat/>
    <w:rsid w:val="003C0341"/>
    <w:rPr>
      <w:rFonts w:ascii="Calibri" w:eastAsia="Calibri" w:hAnsi="Calibri" w:cs="Times New Roman"/>
      <w:b/>
      <w:bCs/>
      <w:sz w:val="20"/>
      <w:szCs w:val="20"/>
    </w:rPr>
  </w:style>
  <w:style w:type="character" w:customStyle="1" w:styleId="BalloonTextChar">
    <w:name w:val="Balloon Text Char"/>
    <w:basedOn w:val="DefaultParagraphFont"/>
    <w:qFormat/>
    <w:rsid w:val="003C0341"/>
    <w:rPr>
      <w:rFonts w:ascii="Tahoma" w:eastAsia="Calibri" w:hAnsi="Tahoma" w:cs="Tahoma"/>
      <w:sz w:val="16"/>
      <w:szCs w:val="16"/>
    </w:rPr>
  </w:style>
  <w:style w:type="character" w:customStyle="1" w:styleId="HeaderChar">
    <w:name w:val="Header Char"/>
    <w:basedOn w:val="DefaultParagraphFont"/>
    <w:qFormat/>
    <w:rsid w:val="003C0341"/>
    <w:rPr>
      <w:rFonts w:ascii="Calibri" w:eastAsia="Calibri" w:hAnsi="Calibri" w:cs="Times New Roman"/>
    </w:rPr>
  </w:style>
  <w:style w:type="character" w:customStyle="1" w:styleId="FooterChar">
    <w:name w:val="Footer Char"/>
    <w:basedOn w:val="DefaultParagraphFont"/>
    <w:uiPriority w:val="99"/>
    <w:qFormat/>
    <w:rsid w:val="003C0341"/>
    <w:rPr>
      <w:rFonts w:ascii="Calibri" w:eastAsia="Calibri" w:hAnsi="Calibri" w:cs="Times New Roman"/>
    </w:rPr>
  </w:style>
  <w:style w:type="character" w:customStyle="1" w:styleId="EnlacedeInternet">
    <w:name w:val="Enlace de Internet"/>
    <w:basedOn w:val="DefaultParagraphFont"/>
    <w:rsid w:val="003C0341"/>
    <w:rPr>
      <w:color w:val="0000FF"/>
      <w:u w:val="single"/>
    </w:rPr>
  </w:style>
  <w:style w:type="character" w:customStyle="1" w:styleId="xmsohyperlink">
    <w:name w:val="x_msohyperlink"/>
    <w:basedOn w:val="DefaultParagraphFont"/>
    <w:qFormat/>
    <w:rsid w:val="003C0341"/>
    <w:rPr>
      <w:color w:val="0000FF"/>
      <w:u w:val="single"/>
    </w:rPr>
  </w:style>
  <w:style w:type="character" w:customStyle="1" w:styleId="ListLabel1">
    <w:name w:val="ListLabel 1"/>
    <w:qFormat/>
    <w:rsid w:val="003C0341"/>
    <w:rPr>
      <w:b w:val="0"/>
      <w:i w:val="0"/>
    </w:rPr>
  </w:style>
  <w:style w:type="character" w:customStyle="1" w:styleId="ListLabel2">
    <w:name w:val="ListLabel 2"/>
    <w:qFormat/>
    <w:rsid w:val="003C0341"/>
    <w:rPr>
      <w:b w:val="0"/>
      <w:bCs w:val="0"/>
    </w:rPr>
  </w:style>
  <w:style w:type="character" w:customStyle="1" w:styleId="ListLabel3">
    <w:name w:val="ListLabel 3"/>
    <w:qFormat/>
    <w:rsid w:val="003C0341"/>
    <w:rPr>
      <w:rFonts w:cs="Courier New"/>
    </w:rPr>
  </w:style>
  <w:style w:type="character" w:customStyle="1" w:styleId="ListLabel4">
    <w:name w:val="ListLabel 4"/>
    <w:qFormat/>
    <w:rsid w:val="003C0341"/>
    <w:rPr>
      <w:rFonts w:eastAsia="Calibri" w:cs="Times New Roman"/>
    </w:rPr>
  </w:style>
  <w:style w:type="character" w:customStyle="1" w:styleId="ListLabel5">
    <w:name w:val="ListLabel 5"/>
    <w:qFormat/>
    <w:rsid w:val="003C0341"/>
    <w:rPr>
      <w:sz w:val="22"/>
    </w:rPr>
  </w:style>
  <w:style w:type="character" w:customStyle="1" w:styleId="ListLabel6">
    <w:name w:val="ListLabel 6"/>
    <w:qFormat/>
    <w:rsid w:val="003C0341"/>
    <w:rPr>
      <w:lang w:val="en-US"/>
    </w:rPr>
  </w:style>
  <w:style w:type="paragraph" w:styleId="Title">
    <w:name w:val="Title"/>
    <w:basedOn w:val="Normal"/>
    <w:next w:val="BodyText"/>
    <w:uiPriority w:val="10"/>
    <w:qFormat/>
    <w:rsid w:val="003C0341"/>
    <w:pPr>
      <w:keepNext/>
      <w:spacing w:before="240" w:after="120"/>
    </w:pPr>
    <w:rPr>
      <w:rFonts w:ascii="Arial" w:eastAsia="Microsoft YaHei" w:hAnsi="Arial" w:cs="Arial"/>
      <w:sz w:val="28"/>
      <w:szCs w:val="28"/>
    </w:rPr>
  </w:style>
  <w:style w:type="paragraph" w:styleId="BodyText">
    <w:name w:val="Body Text"/>
    <w:basedOn w:val="Normal"/>
    <w:rsid w:val="003C0341"/>
    <w:pPr>
      <w:spacing w:after="120"/>
    </w:pPr>
  </w:style>
  <w:style w:type="paragraph" w:styleId="List">
    <w:name w:val="List"/>
    <w:basedOn w:val="BodyText"/>
    <w:rsid w:val="003C0341"/>
    <w:rPr>
      <w:rFonts w:cs="Arial"/>
    </w:rPr>
  </w:style>
  <w:style w:type="paragraph" w:styleId="Caption">
    <w:name w:val="caption"/>
    <w:basedOn w:val="Normal"/>
    <w:qFormat/>
    <w:rsid w:val="003C0341"/>
    <w:pPr>
      <w:suppressLineNumbers/>
      <w:spacing w:before="120" w:after="120"/>
    </w:pPr>
    <w:rPr>
      <w:rFonts w:cs="Arial"/>
      <w:i/>
      <w:iCs/>
      <w:sz w:val="24"/>
      <w:szCs w:val="24"/>
    </w:rPr>
  </w:style>
  <w:style w:type="paragraph" w:customStyle="1" w:styleId="ndice">
    <w:name w:val="Índice"/>
    <w:basedOn w:val="Normal"/>
    <w:qFormat/>
    <w:rsid w:val="003C0341"/>
    <w:pPr>
      <w:suppressLineNumbers/>
    </w:pPr>
    <w:rPr>
      <w:rFonts w:cs="Arial"/>
    </w:rPr>
  </w:style>
  <w:style w:type="paragraph" w:styleId="FootnoteText">
    <w:name w:val="footnote text"/>
    <w:basedOn w:val="Normal"/>
    <w:qFormat/>
    <w:rsid w:val="003C0341"/>
    <w:pPr>
      <w:ind w:left="0" w:firstLine="0"/>
    </w:pPr>
    <w:rPr>
      <w:sz w:val="20"/>
      <w:szCs w:val="20"/>
    </w:rPr>
  </w:style>
  <w:style w:type="paragraph" w:styleId="ListParagraph">
    <w:name w:val="List Paragraph"/>
    <w:basedOn w:val="Normal"/>
    <w:uiPriority w:val="34"/>
    <w:qFormat/>
    <w:rsid w:val="003C0341"/>
    <w:pPr>
      <w:ind w:left="720"/>
    </w:pPr>
  </w:style>
  <w:style w:type="paragraph" w:styleId="CommentText">
    <w:name w:val="annotation text"/>
    <w:basedOn w:val="Normal"/>
    <w:qFormat/>
    <w:rsid w:val="003C0341"/>
    <w:pPr>
      <w:ind w:left="0" w:firstLine="0"/>
    </w:pPr>
    <w:rPr>
      <w:sz w:val="20"/>
      <w:szCs w:val="20"/>
    </w:rPr>
  </w:style>
  <w:style w:type="paragraph" w:styleId="CommentSubject">
    <w:name w:val="annotation subject"/>
    <w:basedOn w:val="CommentText"/>
    <w:qFormat/>
    <w:rsid w:val="003C0341"/>
    <w:rPr>
      <w:b/>
      <w:bCs/>
    </w:rPr>
  </w:style>
  <w:style w:type="paragraph" w:styleId="BalloonText">
    <w:name w:val="Balloon Text"/>
    <w:basedOn w:val="Normal"/>
    <w:qFormat/>
    <w:rsid w:val="003C0341"/>
    <w:pPr>
      <w:ind w:left="0" w:firstLine="0"/>
    </w:pPr>
    <w:rPr>
      <w:rFonts w:ascii="Tahoma" w:hAnsi="Tahoma" w:cs="Tahoma"/>
      <w:sz w:val="16"/>
      <w:szCs w:val="16"/>
    </w:rPr>
  </w:style>
  <w:style w:type="paragraph" w:styleId="Revision">
    <w:name w:val="Revision"/>
    <w:qFormat/>
    <w:rsid w:val="003C0341"/>
    <w:pPr>
      <w:ind w:left="425" w:hanging="425"/>
    </w:pPr>
    <w:rPr>
      <w:rFonts w:eastAsia="Calibri" w:cs="Times New Roman"/>
    </w:rPr>
  </w:style>
  <w:style w:type="paragraph" w:styleId="Header">
    <w:name w:val="header"/>
    <w:basedOn w:val="Normal"/>
    <w:rsid w:val="003C0341"/>
    <w:pPr>
      <w:suppressLineNumbers/>
      <w:tabs>
        <w:tab w:val="center" w:pos="4513"/>
        <w:tab w:val="right" w:pos="9026"/>
      </w:tabs>
      <w:ind w:left="0" w:firstLine="0"/>
    </w:pPr>
  </w:style>
  <w:style w:type="paragraph" w:styleId="Footer">
    <w:name w:val="footer"/>
    <w:basedOn w:val="Normal"/>
    <w:uiPriority w:val="99"/>
    <w:rsid w:val="003C0341"/>
    <w:pPr>
      <w:suppressLineNumbers/>
      <w:tabs>
        <w:tab w:val="center" w:pos="4513"/>
        <w:tab w:val="right" w:pos="9026"/>
      </w:tabs>
      <w:ind w:left="0" w:firstLine="0"/>
    </w:pPr>
  </w:style>
  <w:style w:type="paragraph" w:customStyle="1" w:styleId="ColorfulList-Accent11">
    <w:name w:val="Colorful List - Accent 11"/>
    <w:basedOn w:val="Normal"/>
    <w:uiPriority w:val="34"/>
    <w:qFormat/>
    <w:rsid w:val="003C0341"/>
    <w:pPr>
      <w:ind w:left="720"/>
    </w:pPr>
  </w:style>
  <w:style w:type="paragraph" w:styleId="NoSpacing">
    <w:name w:val="No Spacing"/>
    <w:uiPriority w:val="1"/>
    <w:qFormat/>
    <w:rsid w:val="003C0341"/>
    <w:pPr>
      <w:ind w:left="425" w:hanging="425"/>
    </w:pPr>
    <w:rPr>
      <w:rFonts w:eastAsia="Calibri" w:cs="Times New Roman"/>
    </w:rPr>
  </w:style>
  <w:style w:type="paragraph" w:styleId="NormalWeb">
    <w:name w:val="Normal (Web)"/>
    <w:basedOn w:val="Normal"/>
    <w:uiPriority w:val="99"/>
    <w:rsid w:val="00720A25"/>
    <w:pPr>
      <w:spacing w:beforeLines="1" w:afterLines="1"/>
      <w:ind w:left="0" w:firstLine="0"/>
    </w:pPr>
    <w:rPr>
      <w:rFonts w:ascii="Times" w:eastAsia="SimSu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730">
      <w:bodyDiv w:val="1"/>
      <w:marLeft w:val="0"/>
      <w:marRight w:val="0"/>
      <w:marTop w:val="0"/>
      <w:marBottom w:val="0"/>
      <w:divBdr>
        <w:top w:val="none" w:sz="0" w:space="0" w:color="auto"/>
        <w:left w:val="none" w:sz="0" w:space="0" w:color="auto"/>
        <w:bottom w:val="none" w:sz="0" w:space="0" w:color="auto"/>
        <w:right w:val="none" w:sz="0" w:space="0" w:color="auto"/>
      </w:divBdr>
      <w:divsChild>
        <w:div w:id="865556630">
          <w:marLeft w:val="0"/>
          <w:marRight w:val="0"/>
          <w:marTop w:val="0"/>
          <w:marBottom w:val="0"/>
          <w:divBdr>
            <w:top w:val="none" w:sz="0" w:space="0" w:color="auto"/>
            <w:left w:val="none" w:sz="0" w:space="0" w:color="auto"/>
            <w:bottom w:val="none" w:sz="0" w:space="0" w:color="auto"/>
            <w:right w:val="none" w:sz="0" w:space="0" w:color="auto"/>
          </w:divBdr>
          <w:divsChild>
            <w:div w:id="1214464383">
              <w:marLeft w:val="0"/>
              <w:marRight w:val="0"/>
              <w:marTop w:val="0"/>
              <w:marBottom w:val="0"/>
              <w:divBdr>
                <w:top w:val="none" w:sz="0" w:space="0" w:color="auto"/>
                <w:left w:val="none" w:sz="0" w:space="0" w:color="auto"/>
                <w:bottom w:val="none" w:sz="0" w:space="0" w:color="auto"/>
                <w:right w:val="none" w:sz="0" w:space="0" w:color="auto"/>
              </w:divBdr>
              <w:divsChild>
                <w:div w:id="15645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6022">
      <w:bodyDiv w:val="1"/>
      <w:marLeft w:val="0"/>
      <w:marRight w:val="0"/>
      <w:marTop w:val="0"/>
      <w:marBottom w:val="0"/>
      <w:divBdr>
        <w:top w:val="none" w:sz="0" w:space="0" w:color="auto"/>
        <w:left w:val="none" w:sz="0" w:space="0" w:color="auto"/>
        <w:bottom w:val="none" w:sz="0" w:space="0" w:color="auto"/>
        <w:right w:val="none" w:sz="0" w:space="0" w:color="auto"/>
      </w:divBdr>
      <w:divsChild>
        <w:div w:id="1600480238">
          <w:marLeft w:val="0"/>
          <w:marRight w:val="0"/>
          <w:marTop w:val="0"/>
          <w:marBottom w:val="0"/>
          <w:divBdr>
            <w:top w:val="none" w:sz="0" w:space="0" w:color="auto"/>
            <w:left w:val="none" w:sz="0" w:space="0" w:color="auto"/>
            <w:bottom w:val="none" w:sz="0" w:space="0" w:color="auto"/>
            <w:right w:val="none" w:sz="0" w:space="0" w:color="auto"/>
          </w:divBdr>
          <w:divsChild>
            <w:div w:id="685788491">
              <w:marLeft w:val="0"/>
              <w:marRight w:val="0"/>
              <w:marTop w:val="0"/>
              <w:marBottom w:val="0"/>
              <w:divBdr>
                <w:top w:val="none" w:sz="0" w:space="0" w:color="auto"/>
                <w:left w:val="none" w:sz="0" w:space="0" w:color="auto"/>
                <w:bottom w:val="none" w:sz="0" w:space="0" w:color="auto"/>
                <w:right w:val="none" w:sz="0" w:space="0" w:color="auto"/>
              </w:divBdr>
              <w:divsChild>
                <w:div w:id="4320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4_sc_roles_f.pdf" TargetMode="External"/><Relationship Id="rId3" Type="http://schemas.openxmlformats.org/officeDocument/2006/relationships/settings" Target="settings.xml"/><Relationship Id="rId7" Type="http://schemas.openxmlformats.org/officeDocument/2006/relationships/hyperlink" Target="https://www.ramsar.org/sites/default/files/documents/library/xiii.4_sc_roles_f.pdf"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10069</Characters>
  <Application>Microsoft Office Word</Application>
  <DocSecurity>4</DocSecurity>
  <Lines>189</Lines>
  <Paragraphs>46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2019-04-05T12:50:00Z</dcterms:created>
  <dcterms:modified xsi:type="dcterms:W3CDTF">2019-04-05T12:50:00Z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IUCN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