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FF9D4" w14:textId="77777777" w:rsidR="009B1227" w:rsidRDefault="009B1227" w:rsidP="00383C45">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CONVENTION ON WETLANDS </w:t>
      </w:r>
    </w:p>
    <w:p w14:paraId="1EEFF882" w14:textId="77777777" w:rsidR="009B1227" w:rsidRDefault="009B1227" w:rsidP="00383C45">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57th Meeting of the Standing Committee</w:t>
      </w:r>
    </w:p>
    <w:p w14:paraId="771D6711" w14:textId="77777777" w:rsidR="009B1227" w:rsidRDefault="009B1227" w:rsidP="00383C45">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Gland, Switzerland, 24 – 28 June 2019</w:t>
      </w:r>
    </w:p>
    <w:p w14:paraId="3E080132" w14:textId="77777777" w:rsidR="009B1227" w:rsidRPr="008B6E23" w:rsidRDefault="009B1227" w:rsidP="00383C45">
      <w:pPr>
        <w:outlineLvl w:val="0"/>
        <w:rPr>
          <w:b/>
          <w:sz w:val="28"/>
          <w:szCs w:val="28"/>
        </w:rPr>
      </w:pPr>
    </w:p>
    <w:p w14:paraId="5422A51E" w14:textId="77777777" w:rsidR="009B1227" w:rsidRPr="008B6E23" w:rsidRDefault="009B1227" w:rsidP="00383C45">
      <w:pPr>
        <w:jc w:val="right"/>
        <w:rPr>
          <w:rFonts w:cs="Arial"/>
          <w:sz w:val="28"/>
          <w:szCs w:val="28"/>
        </w:rPr>
      </w:pPr>
      <w:r w:rsidRPr="008B6E23">
        <w:rPr>
          <w:rFonts w:cs="Arial"/>
          <w:b/>
          <w:sz w:val="28"/>
          <w:szCs w:val="28"/>
        </w:rPr>
        <w:t>SC57</w:t>
      </w:r>
      <w:r>
        <w:rPr>
          <w:rFonts w:cs="Arial"/>
          <w:b/>
          <w:sz w:val="28"/>
          <w:szCs w:val="28"/>
        </w:rPr>
        <w:t xml:space="preserve"> Doc.12</w:t>
      </w:r>
    </w:p>
    <w:p w14:paraId="50255474" w14:textId="77777777" w:rsidR="009B1227" w:rsidRPr="008B6E23" w:rsidRDefault="009B1227" w:rsidP="00383C45">
      <w:pPr>
        <w:rPr>
          <w:rFonts w:cs="Arial"/>
          <w:b/>
          <w:sz w:val="28"/>
          <w:szCs w:val="28"/>
        </w:rPr>
      </w:pPr>
    </w:p>
    <w:p w14:paraId="4325B6D7" w14:textId="77777777" w:rsidR="009B1227" w:rsidRPr="009B1227" w:rsidRDefault="009B1227" w:rsidP="00383C45">
      <w:pPr>
        <w:jc w:val="center"/>
        <w:rPr>
          <w:b/>
          <w:bCs/>
          <w:sz w:val="28"/>
          <w:szCs w:val="28"/>
        </w:rPr>
      </w:pPr>
      <w:r w:rsidRPr="009B1227">
        <w:rPr>
          <w:b/>
          <w:bCs/>
          <w:sz w:val="28"/>
          <w:szCs w:val="28"/>
        </w:rPr>
        <w:t>Terms of reference of the Executive Team</w:t>
      </w:r>
    </w:p>
    <w:p w14:paraId="18E421A3" w14:textId="77777777" w:rsidR="009B1227" w:rsidRPr="004E6A35" w:rsidRDefault="009B1227" w:rsidP="00383C45">
      <w:pPr>
        <w:jc w:val="center"/>
        <w:rPr>
          <w:rFonts w:cs="Arial"/>
          <w:b/>
          <w:sz w:val="28"/>
          <w:szCs w:val="28"/>
        </w:rPr>
      </w:pPr>
    </w:p>
    <w:p w14:paraId="02EB214B" w14:textId="67C666D5" w:rsidR="009B1227" w:rsidRDefault="0018264B" w:rsidP="00383C45">
      <w:pPr>
        <w:autoSpaceDE w:val="0"/>
        <w:autoSpaceDN w:val="0"/>
        <w:adjustRightInd w:val="0"/>
        <w:rPr>
          <w:rFonts w:cs="Calibri-Bold"/>
          <w:b/>
          <w:bCs/>
        </w:rPr>
      </w:pPr>
      <w:r>
        <w:rPr>
          <w:noProof/>
          <w:lang w:eastAsia="en-GB"/>
        </w:rPr>
        <mc:AlternateContent>
          <mc:Choice Requires="wps">
            <w:drawing>
              <wp:inline distT="0" distB="0" distL="0" distR="0" wp14:anchorId="159AD04A" wp14:editId="6C6131F5">
                <wp:extent cx="5731510" cy="891540"/>
                <wp:effectExtent l="9525" t="8255" r="12065" b="50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91540"/>
                        </a:xfrm>
                        <a:prstGeom prst="rect">
                          <a:avLst/>
                        </a:prstGeom>
                        <a:solidFill>
                          <a:srgbClr val="FFFFFF"/>
                        </a:solidFill>
                        <a:ln w="9525">
                          <a:solidFill>
                            <a:srgbClr val="000000"/>
                          </a:solidFill>
                          <a:miter lim="800000"/>
                          <a:headEnd/>
                          <a:tailEnd/>
                        </a:ln>
                      </wps:spPr>
                      <wps:txbx>
                        <w:txbxContent>
                          <w:p w14:paraId="0705CCF0" w14:textId="77777777" w:rsidR="008F687D" w:rsidRDefault="008F687D" w:rsidP="009B1227">
                            <w:pPr>
                              <w:rPr>
                                <w:b/>
                                <w:bCs/>
                              </w:rPr>
                            </w:pPr>
                            <w:r>
                              <w:rPr>
                                <w:b/>
                                <w:bCs/>
                              </w:rPr>
                              <w:t xml:space="preserve">Actions requested: </w:t>
                            </w:r>
                          </w:p>
                          <w:p w14:paraId="0493C0F9" w14:textId="77777777" w:rsidR="008F687D" w:rsidRDefault="008F687D" w:rsidP="009B1227">
                            <w:pPr>
                              <w:pStyle w:val="ColorfulList-Accent11"/>
                              <w:ind w:left="0"/>
                            </w:pPr>
                          </w:p>
                          <w:p w14:paraId="335EC342" w14:textId="77777777" w:rsidR="008F687D" w:rsidRDefault="008F687D" w:rsidP="009B1227">
                            <w:pPr>
                              <w:pStyle w:val="ColorfulList-Accent11"/>
                              <w:ind w:left="0" w:firstLine="0"/>
                            </w:pPr>
                            <w:r>
                              <w:t xml:space="preserve">The Standing Committee is </w:t>
                            </w:r>
                            <w:r>
                              <w:rPr>
                                <w:rFonts w:cs="Calibri"/>
                              </w:rPr>
                              <w:t>invited to approve the terms of reference of the Executive Team presented in the Annex.</w:t>
                            </w:r>
                          </w:p>
                        </w:txbxContent>
                      </wps:txbx>
                      <wps:bodyPr rot="0" vert="horz" wrap="square" lIns="91440" tIns="45720" rIns="91440" bIns="45720" anchor="t" anchorCtr="0" upright="1">
                        <a:noAutofit/>
                      </wps:bodyPr>
                    </wps:wsp>
                  </a:graphicData>
                </a:graphic>
              </wp:inline>
            </w:drawing>
          </mc:Choice>
          <mc:Fallback>
            <w:pict>
              <v:shapetype w14:anchorId="159AD04A" id="_x0000_t202" coordsize="21600,21600" o:spt="202" path="m,l,21600r21600,l21600,xe">
                <v:stroke joinstyle="miter"/>
                <v:path gradientshapeok="t" o:connecttype="rect"/>
              </v:shapetype>
              <v:shape id="Text Box 1" o:spid="_x0000_s1026" type="#_x0000_t202" style="width:451.3pt;height: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wvLAIAAFAEAAAOAAAAZHJzL2Uyb0RvYy54bWysVNuO0zAQfUfiHyy/0zSlYbdR09XSpQhp&#10;uUi7fIDjOImF7TG222T5esZOt0TAEyIPlsczc3zmzDjbm1ErchLOSzAVzRdLSoTh0EjTVfTr4+HV&#10;NSU+MNMwBUZU9El4erN7+WI72FKsoAfVCEcQxPhysBXtQ7BllnneC838Aqww6GzBaRbQdF3WODYg&#10;ulbZarl8kw3gGuuAC+/x9G5y0l3Cb1vBw+e29SIQVVHkFtLq0lrHNdttWdk5ZnvJzzTYP7DQTBq8&#10;9AJ1xwIjRyf/gNKSO/DQhgUHnUHbSi5SDVhNvvytmoeeWZFqQXG8vcjk/x8s/3T64ohssHeUGKax&#10;RY9iDOQtjCSP6gzWlxj0YDEsjHgcI2Ol3t4D/+aJgX3PTCdunYOhF6xBdikzm6VOOD6C1MNHaPAa&#10;dgyQgMbW6QiIYhBExy49XToTqXA8LK5e50WOLo6+601erFPrMlY+Z1vnw3sBmsRNRR12PqGz070P&#10;WAeGPock9qBkc5BKJcN19V45cmI4JYf0xdIxxc/DlCFDRTfFqpgEmPv8HGKZvr9BaBlw3JXUWMUl&#10;iJVRtnemScMYmFTTHu9XBmlEHaN0k4hhrMdzX2ponlBRB9NY4zPETQ/uByUDjnRF/fcjc4IS9cFg&#10;Vzb5GmUjIRnr4mqFhpt76rmHGY5QFQ2UTNt9mN7N0TrZ9XjTNAcGbrGTrUwiR6oTqzNvHNsk5PmJ&#10;xXcxt1PUrx/B7icAAAD//wMAUEsDBBQABgAIAAAAIQDGqq1n3AAAAAUBAAAPAAAAZHJzL2Rvd25y&#10;ZXYueG1sTI/BTsMwEETvSPyDtUhcUGtTotCGOBVCAsENSgVXN94mEfY6xG4a/p6FC1xGWs1o5m25&#10;nrwTIw6xC6Thcq5AINXBdtRo2L7ez5YgYjJkjQuEGr4wwro6PSlNYcORXnDcpEZwCcXCaGhT6gsp&#10;Y92iN3EeeiT29mHwJvE5NNIO5sjl3smFUrn0piNeaE2Pdy3WH5uD17DMHsf3+HT1/Fbne7dKF9fj&#10;w+eg9fnZdHsDIuGU/sLwg8/oUDHTLhzIRuE08CPpV9lbqUUOYsehTGUgq1L+p6++AQAA//8DAFBL&#10;AQItABQABgAIAAAAIQC2gziS/gAAAOEBAAATAAAAAAAAAAAAAAAAAAAAAABbQ29udGVudF9UeXBl&#10;c10ueG1sUEsBAi0AFAAGAAgAAAAhADj9If/WAAAAlAEAAAsAAAAAAAAAAAAAAAAALwEAAF9yZWxz&#10;Ly5yZWxzUEsBAi0AFAAGAAgAAAAhAKEWjC8sAgAAUAQAAA4AAAAAAAAAAAAAAAAALgIAAGRycy9l&#10;Mm9Eb2MueG1sUEsBAi0AFAAGAAgAAAAhAMaqrWfcAAAABQEAAA8AAAAAAAAAAAAAAAAAhgQAAGRy&#10;cy9kb3ducmV2LnhtbFBLBQYAAAAABAAEAPMAAACPBQAAAAA=&#10;">
                <v:textbox>
                  <w:txbxContent>
                    <w:p w14:paraId="0705CCF0" w14:textId="77777777" w:rsidR="008F687D" w:rsidRDefault="008F687D" w:rsidP="009B1227">
                      <w:pPr>
                        <w:rPr>
                          <w:b/>
                          <w:bCs/>
                        </w:rPr>
                      </w:pPr>
                      <w:r>
                        <w:rPr>
                          <w:b/>
                          <w:bCs/>
                        </w:rPr>
                        <w:t xml:space="preserve">Actions requested: </w:t>
                      </w:r>
                    </w:p>
                    <w:p w14:paraId="0493C0F9" w14:textId="77777777" w:rsidR="008F687D" w:rsidRDefault="008F687D" w:rsidP="009B1227">
                      <w:pPr>
                        <w:pStyle w:val="ColorfulList-Accent11"/>
                        <w:ind w:left="0"/>
                      </w:pPr>
                    </w:p>
                    <w:p w14:paraId="335EC342" w14:textId="77777777" w:rsidR="008F687D" w:rsidRDefault="008F687D" w:rsidP="009B1227">
                      <w:pPr>
                        <w:pStyle w:val="ColorfulList-Accent11"/>
                        <w:ind w:left="0" w:firstLine="0"/>
                      </w:pPr>
                      <w:r>
                        <w:t xml:space="preserve">The Standing Committee is </w:t>
                      </w:r>
                      <w:r>
                        <w:rPr>
                          <w:rFonts w:cs="Calibri"/>
                        </w:rPr>
                        <w:t>invited to approve the terms of reference of the Executive Team presented in the Annex.</w:t>
                      </w:r>
                    </w:p>
                  </w:txbxContent>
                </v:textbox>
                <w10:anchorlock/>
              </v:shape>
            </w:pict>
          </mc:Fallback>
        </mc:AlternateContent>
      </w:r>
    </w:p>
    <w:p w14:paraId="1168DAC5" w14:textId="77777777" w:rsidR="009B1227" w:rsidRDefault="009B1227" w:rsidP="00383C45">
      <w:pPr>
        <w:rPr>
          <w:rFonts w:cs="Arial"/>
          <w:b/>
        </w:rPr>
      </w:pPr>
    </w:p>
    <w:p w14:paraId="7E9D6499" w14:textId="77777777" w:rsidR="009B1227" w:rsidRDefault="009B1227" w:rsidP="00383C45">
      <w:pPr>
        <w:rPr>
          <w:rFonts w:cs="Arial"/>
          <w:b/>
        </w:rPr>
      </w:pPr>
    </w:p>
    <w:p w14:paraId="772938CA" w14:textId="77777777" w:rsidR="009B1227" w:rsidRDefault="00383C45" w:rsidP="00383C45">
      <w:r>
        <w:rPr>
          <w:rFonts w:cs="Arial"/>
        </w:rPr>
        <w:t>1.</w:t>
      </w:r>
      <w:r>
        <w:rPr>
          <w:rFonts w:cs="Arial"/>
        </w:rPr>
        <w:tab/>
      </w:r>
      <w:r w:rsidR="009B1227" w:rsidRPr="00383C45">
        <w:rPr>
          <w:rFonts w:cs="Arial"/>
        </w:rPr>
        <w:t xml:space="preserve">At its 13th meeting (COP13) the Conference of </w:t>
      </w:r>
      <w:r w:rsidR="00FF02A1">
        <w:rPr>
          <w:rFonts w:cs="Arial"/>
        </w:rPr>
        <w:t xml:space="preserve">the </w:t>
      </w:r>
      <w:r w:rsidR="009B1227" w:rsidRPr="00383C45">
        <w:rPr>
          <w:rFonts w:cs="Arial"/>
        </w:rPr>
        <w:t xml:space="preserve">Contracting Parties, through </w:t>
      </w:r>
      <w:r w:rsidR="009B1227">
        <w:t xml:space="preserve">Resolution </w:t>
      </w:r>
      <w:hyperlink r:id="rId7">
        <w:r w:rsidR="009B1227">
          <w:rPr>
            <w:rStyle w:val="EnlacedeInternet"/>
          </w:rPr>
          <w:t>XIII.4</w:t>
        </w:r>
      </w:hyperlink>
      <w:r w:rsidR="009B1227">
        <w:t>, paragraph</w:t>
      </w:r>
      <w:r>
        <w:t xml:space="preserve"> </w:t>
      </w:r>
      <w:r w:rsidR="009B1227">
        <w:t>16, requested the Executive Team to define its terms of reference for approval by the Standing Committee at its 57th meeting.</w:t>
      </w:r>
    </w:p>
    <w:p w14:paraId="03749D4A" w14:textId="77777777" w:rsidR="009B1227" w:rsidRPr="00275F13" w:rsidRDefault="009B1227" w:rsidP="00383C45">
      <w:pPr>
        <w:rPr>
          <w:rFonts w:cs="Arial"/>
        </w:rPr>
      </w:pPr>
    </w:p>
    <w:p w14:paraId="2BC2D5C2" w14:textId="77777777" w:rsidR="009B1227" w:rsidRPr="00275F13" w:rsidRDefault="00383C45" w:rsidP="00383C45">
      <w:pPr>
        <w:pStyle w:val="NoSpacing"/>
      </w:pPr>
      <w:r>
        <w:t>2.</w:t>
      </w:r>
      <w:r>
        <w:tab/>
      </w:r>
      <w:r w:rsidR="009B1227">
        <w:t>Proposed terms of reference</w:t>
      </w:r>
      <w:r w:rsidR="00B82DA1">
        <w:t xml:space="preserve"> and relevant background information</w:t>
      </w:r>
      <w:r w:rsidR="009B1227">
        <w:t>, submitted by the Executive Team in response to this request with support from the</w:t>
      </w:r>
      <w:r w:rsidR="00B82DA1">
        <w:t xml:space="preserve"> Convention’s</w:t>
      </w:r>
      <w:r w:rsidR="009B1227">
        <w:t xml:space="preserve"> Legal Advisor and the Secretariat, are </w:t>
      </w:r>
      <w:r w:rsidR="00FF02A1">
        <w:t>presented in the Annex</w:t>
      </w:r>
      <w:r w:rsidR="009B1227" w:rsidRPr="008B6E23">
        <w:t>.</w:t>
      </w:r>
    </w:p>
    <w:p w14:paraId="6C8F3DF4" w14:textId="11F97021" w:rsidR="002969F5" w:rsidRPr="000B3D1F" w:rsidRDefault="009B1227" w:rsidP="000B3D1F">
      <w:pPr>
        <w:rPr>
          <w:b/>
          <w:color w:val="000000"/>
          <w:sz w:val="24"/>
          <w:szCs w:val="24"/>
        </w:rPr>
      </w:pPr>
      <w:r>
        <w:rPr>
          <w:b/>
          <w:color w:val="000000"/>
        </w:rPr>
        <w:br w:type="page"/>
      </w:r>
      <w:r w:rsidR="00FF02A1" w:rsidRPr="000B3D1F">
        <w:rPr>
          <w:b/>
          <w:color w:val="000000"/>
          <w:sz w:val="24"/>
          <w:szCs w:val="24"/>
        </w:rPr>
        <w:lastRenderedPageBreak/>
        <w:t>Annex</w:t>
      </w:r>
      <w:r w:rsidR="000B3D1F">
        <w:rPr>
          <w:b/>
          <w:color w:val="000000"/>
          <w:sz w:val="24"/>
          <w:szCs w:val="24"/>
        </w:rPr>
        <w:t xml:space="preserve"> 1</w:t>
      </w:r>
    </w:p>
    <w:p w14:paraId="547942F6" w14:textId="77777777" w:rsidR="006C4D8D" w:rsidRPr="000B3D1F" w:rsidRDefault="006665B4" w:rsidP="000B3D1F">
      <w:pPr>
        <w:rPr>
          <w:rFonts w:cs="Arial"/>
          <w:b/>
          <w:sz w:val="24"/>
          <w:szCs w:val="24"/>
        </w:rPr>
      </w:pPr>
      <w:r w:rsidRPr="000B3D1F">
        <w:rPr>
          <w:rFonts w:cs="Arial"/>
          <w:b/>
          <w:sz w:val="24"/>
          <w:szCs w:val="24"/>
        </w:rPr>
        <w:t>Proposed T</w:t>
      </w:r>
      <w:r w:rsidR="00140434" w:rsidRPr="000B3D1F">
        <w:rPr>
          <w:rFonts w:cs="Arial"/>
          <w:b/>
          <w:sz w:val="24"/>
          <w:szCs w:val="24"/>
        </w:rPr>
        <w:t xml:space="preserve">erms of Reference of the Executive Team </w:t>
      </w:r>
    </w:p>
    <w:p w14:paraId="4B0AAC7C" w14:textId="77777777" w:rsidR="006C4D8D" w:rsidRDefault="006C4D8D" w:rsidP="00383C45">
      <w:pPr>
        <w:rPr>
          <w:rFonts w:cs="Arial"/>
          <w:b/>
        </w:rPr>
      </w:pPr>
    </w:p>
    <w:p w14:paraId="7387F812" w14:textId="77777777" w:rsidR="006C4D8D" w:rsidRDefault="00140434" w:rsidP="00383C45">
      <w:pPr>
        <w:rPr>
          <w:rFonts w:cs="Arial"/>
          <w:b/>
        </w:rPr>
      </w:pPr>
      <w:r>
        <w:rPr>
          <w:rFonts w:cs="Arial"/>
          <w:b/>
        </w:rPr>
        <w:t>Background</w:t>
      </w:r>
    </w:p>
    <w:p w14:paraId="4244C160" w14:textId="77777777" w:rsidR="006C4D8D" w:rsidRDefault="006C4D8D" w:rsidP="00383C45">
      <w:pPr>
        <w:rPr>
          <w:rFonts w:ascii="Garamond" w:hAnsi="Garamond" w:cs="Arial"/>
        </w:rPr>
      </w:pPr>
    </w:p>
    <w:p w14:paraId="62BB5D02" w14:textId="77777777" w:rsidR="006C4D8D" w:rsidRDefault="00383C45" w:rsidP="00383C45">
      <w:r>
        <w:t>1.</w:t>
      </w:r>
      <w:r>
        <w:tab/>
      </w:r>
      <w:r w:rsidR="00140434">
        <w:t xml:space="preserve">Resolution </w:t>
      </w:r>
      <w:hyperlink r:id="rId8">
        <w:r w:rsidR="00140434">
          <w:rPr>
            <w:rStyle w:val="EnlacedeInternet"/>
          </w:rPr>
          <w:t>XIII.4</w:t>
        </w:r>
      </w:hyperlink>
      <w:r w:rsidR="00140434">
        <w:t xml:space="preserve">, </w:t>
      </w:r>
      <w:r w:rsidR="00C270B5">
        <w:t xml:space="preserve">on </w:t>
      </w:r>
      <w:r w:rsidR="00C270B5">
        <w:rPr>
          <w:i/>
        </w:rPr>
        <w:t>Responsibilities, roles and composition of the Standing Committee and regional categorization of countries under the Convention</w:t>
      </w:r>
      <w:r w:rsidR="00C270B5">
        <w:t xml:space="preserve">, in </w:t>
      </w:r>
      <w:r w:rsidR="00140434">
        <w:t>paragraph</w:t>
      </w:r>
      <w:r>
        <w:t xml:space="preserve"> </w:t>
      </w:r>
      <w:r w:rsidR="00140434">
        <w:t>16</w:t>
      </w:r>
      <w:r w:rsidR="00C270B5">
        <w:t>,</w:t>
      </w:r>
      <w:r w:rsidR="00140434">
        <w:t xml:space="preserve"> “REQUESTS the Executive Team to define its terms of reference for approval by the Standing Committee at its 57th meeting.”</w:t>
      </w:r>
    </w:p>
    <w:p w14:paraId="48EC0D76" w14:textId="77777777" w:rsidR="006C4D8D" w:rsidRDefault="006C4D8D" w:rsidP="00383C45">
      <w:pPr>
        <w:pStyle w:val="ListParagraph"/>
        <w:ind w:left="425"/>
        <w:rPr>
          <w:rFonts w:cs="Arial"/>
        </w:rPr>
      </w:pPr>
    </w:p>
    <w:p w14:paraId="22CD4BC0" w14:textId="77777777" w:rsidR="00720A25" w:rsidRDefault="00383C45" w:rsidP="00383C45">
      <w:r>
        <w:t>2.</w:t>
      </w:r>
      <w:r>
        <w:tab/>
      </w:r>
      <w:r w:rsidR="00140434">
        <w:t xml:space="preserve">The </w:t>
      </w:r>
      <w:r w:rsidR="00140434" w:rsidRPr="00383C45">
        <w:rPr>
          <w:u w:val="single"/>
        </w:rPr>
        <w:t>role</w:t>
      </w:r>
      <w:r w:rsidR="00140434" w:rsidRPr="00383C45">
        <w:rPr>
          <w:b/>
          <w:u w:val="single"/>
        </w:rPr>
        <w:t xml:space="preserve"> </w:t>
      </w:r>
      <w:r w:rsidR="00140434" w:rsidRPr="00383C45">
        <w:rPr>
          <w:u w:val="single"/>
        </w:rPr>
        <w:t>of the Executive Team</w:t>
      </w:r>
      <w:r w:rsidR="00140434">
        <w:t xml:space="preserve"> is set out in Resolution XIII.4, paragraph 4</w:t>
      </w:r>
      <w:r w:rsidR="00C270B5">
        <w:t>,</w:t>
      </w:r>
      <w:r w:rsidR="00140434">
        <w:t xml:space="preserve"> which notes “that the Standing Committee’s oversight of the Secretariat is conducted on its behalf between meetings of the Standing Committee by its Executive Team (Chair, Vice chair, and Chair of the Subgroup on Finance) with the Secretary General”. This is a reiteration of Resolutions XI.19, </w:t>
      </w:r>
      <w:r w:rsidR="00720A25">
        <w:t xml:space="preserve">on </w:t>
      </w:r>
      <w:r w:rsidR="00720A25" w:rsidRPr="00720A25">
        <w:rPr>
          <w:i/>
        </w:rPr>
        <w:t>Adjustments to the terms of Resolution VII.1 on the composition, roles, and responsibilities of the Standing Committee and regional categorization of countries under the Convention</w:t>
      </w:r>
      <w:r w:rsidR="00720A25">
        <w:rPr>
          <w:i/>
        </w:rPr>
        <w:t>,</w:t>
      </w:r>
      <w:r w:rsidR="00720A25">
        <w:t xml:space="preserve"> </w:t>
      </w:r>
      <w:r w:rsidR="00140434">
        <w:t>paragraph 3</w:t>
      </w:r>
      <w:r w:rsidR="00720A25">
        <w:t>,</w:t>
      </w:r>
      <w:r w:rsidR="00140434">
        <w:t xml:space="preserve"> and Resolution XII.4,</w:t>
      </w:r>
      <w:r w:rsidR="00720A25">
        <w:t xml:space="preserve"> on </w:t>
      </w:r>
      <w:r w:rsidR="00720A25" w:rsidRPr="00720A25">
        <w:rPr>
          <w:i/>
        </w:rPr>
        <w:t>The responsibilities, roles and composition of the Standing Committee and regional categorization of countries under the Ramsar Convention</w:t>
      </w:r>
      <w:r w:rsidR="00720A25">
        <w:rPr>
          <w:i/>
        </w:rPr>
        <w:t xml:space="preserve">, </w:t>
      </w:r>
      <w:r w:rsidR="00140434" w:rsidRPr="00383C45">
        <w:rPr>
          <w:lang w:val="en-US"/>
        </w:rPr>
        <w:t xml:space="preserve">paragraph 4, both of which have been superseded. </w:t>
      </w:r>
    </w:p>
    <w:p w14:paraId="38DFBD19" w14:textId="77777777" w:rsidR="006C4D8D" w:rsidRDefault="006C4D8D" w:rsidP="00383C45">
      <w:pPr>
        <w:pStyle w:val="ListParagraph"/>
        <w:ind w:left="425"/>
      </w:pPr>
    </w:p>
    <w:p w14:paraId="7A663255" w14:textId="77777777" w:rsidR="006C4D8D" w:rsidRDefault="00383C45" w:rsidP="00383C45">
      <w:r>
        <w:t>3.</w:t>
      </w:r>
      <w:r>
        <w:tab/>
      </w:r>
      <w:r w:rsidR="00140434">
        <w:t xml:space="preserve">The </w:t>
      </w:r>
      <w:r w:rsidR="00140434" w:rsidRPr="00383C45">
        <w:rPr>
          <w:u w:val="single"/>
        </w:rPr>
        <w:t>functions of the Standing Committee</w:t>
      </w:r>
      <w:r w:rsidR="00140434">
        <w:t xml:space="preserve"> that relate to the oversight of the Secretariat are set out in Resolution XIII.4, Annex 1, paragraph 19, subparagraphs a, c and d. These are therefore the functions that the Executive Team would conduct on behalf of the Standing Committee between sessions. Specifically: </w:t>
      </w:r>
    </w:p>
    <w:p w14:paraId="3DA5E74E" w14:textId="77777777" w:rsidR="006C4D8D" w:rsidRDefault="006C4D8D" w:rsidP="00383C45">
      <w:pPr>
        <w:pStyle w:val="ListParagraph"/>
      </w:pPr>
    </w:p>
    <w:p w14:paraId="20A78211" w14:textId="77777777" w:rsidR="006C4D8D" w:rsidRDefault="00383C45" w:rsidP="00383C45">
      <w:pPr>
        <w:ind w:left="850"/>
      </w:pPr>
      <w:r>
        <w:t>3.1</w:t>
      </w:r>
      <w:r>
        <w:tab/>
      </w:r>
      <w:r w:rsidR="00140434">
        <w:t>Subparagraph a. specifies that the function of the Standing Committee is to “carry out, between one ordinary meeting of the Conference of the Parties and the next, such interim activity on behalf of the Conference as may be necessary… ”. The same principle of carrying out “interim activity” “as may be necessary” could be applied to the Executive Team in relation to the Standing Committee.</w:t>
      </w:r>
    </w:p>
    <w:p w14:paraId="55357AC6" w14:textId="77777777" w:rsidR="006C4D8D" w:rsidRDefault="006C4D8D" w:rsidP="00383C45">
      <w:pPr>
        <w:pStyle w:val="ListParagraph"/>
        <w:ind w:left="850"/>
      </w:pPr>
    </w:p>
    <w:p w14:paraId="7FB3EB65" w14:textId="77777777" w:rsidR="006C4D8D" w:rsidRDefault="00383C45" w:rsidP="00383C45">
      <w:pPr>
        <w:ind w:left="850"/>
      </w:pPr>
      <w:r>
        <w:t>3.2</w:t>
      </w:r>
      <w:r>
        <w:tab/>
      </w:r>
      <w:r w:rsidR="00140434">
        <w:t xml:space="preserve">Subparagraph a. further specifies that the Standing Committee is to give “priority to matters on which the Conference has previously recorded its approval and noting that the Standing Committee is not mandated either to take decisions that would normally be taken by the Conference of the </w:t>
      </w:r>
      <w:r w:rsidR="00161D14">
        <w:t xml:space="preserve">Contracting </w:t>
      </w:r>
      <w:r w:rsidR="00140434">
        <w:t>Parties or to amend any decision taken by the Conference of the Parties”. The Executive Team could therefore apply the same two principles</w:t>
      </w:r>
      <w:r w:rsidR="00D60D24">
        <w:t>;</w:t>
      </w:r>
      <w:r w:rsidR="00140434">
        <w:t xml:space="preserve"> that is, give priority to matters for which there is approval from the Conference of the Parties or Standing Committee, and </w:t>
      </w:r>
      <w:r w:rsidR="00C05DC5">
        <w:t xml:space="preserve">adhere to the policies and guidance established </w:t>
      </w:r>
      <w:r w:rsidR="00140434">
        <w:t xml:space="preserve">by the Conference of the Parties or the Standing Committee. </w:t>
      </w:r>
    </w:p>
    <w:p w14:paraId="345A905B" w14:textId="77777777" w:rsidR="006C4D8D" w:rsidRDefault="006C4D8D" w:rsidP="00383C45">
      <w:pPr>
        <w:ind w:left="850"/>
      </w:pPr>
    </w:p>
    <w:p w14:paraId="1160C6E8" w14:textId="77777777" w:rsidR="006C4D8D" w:rsidRDefault="00383C45" w:rsidP="00383C45">
      <w:pPr>
        <w:ind w:left="850"/>
      </w:pPr>
      <w:r>
        <w:t>3.3</w:t>
      </w:r>
      <w:r>
        <w:tab/>
      </w:r>
      <w:r w:rsidR="00140434">
        <w:t xml:space="preserve">Subparagraph c. states that the Standing Committee will “supervise, as a representative of the </w:t>
      </w:r>
      <w:r w:rsidR="00146050">
        <w:t>COP</w:t>
      </w:r>
      <w:r w:rsidR="00140434">
        <w:t>, the implementation of activities by the Secretariat, the execution of the Secretariat’s budget, and conduct of the Secretariat’s programmes”.</w:t>
      </w:r>
    </w:p>
    <w:p w14:paraId="48BB6F93" w14:textId="77777777" w:rsidR="006C4D8D" w:rsidRDefault="006C4D8D" w:rsidP="00383C45">
      <w:pPr>
        <w:ind w:left="850"/>
      </w:pPr>
    </w:p>
    <w:p w14:paraId="59B42435" w14:textId="77777777" w:rsidR="006C4D8D" w:rsidRDefault="00383C45" w:rsidP="00383C45">
      <w:pPr>
        <w:ind w:left="850"/>
      </w:pPr>
      <w:r>
        <w:t>3.4</w:t>
      </w:r>
      <w:r>
        <w:tab/>
      </w:r>
      <w:r w:rsidR="00140434">
        <w:t xml:space="preserve">Subparagraph d. states that the Standing Committee will “provide guidance and advice to the Secretariat on the implementation of the Convention, on the preparation of meetings, and on any other matters relating to the exercise of its functions brought to it by the Secretariat”. </w:t>
      </w:r>
    </w:p>
    <w:p w14:paraId="6EDDDBDE" w14:textId="77777777" w:rsidR="006C4D8D" w:rsidRDefault="006C4D8D" w:rsidP="00383C45">
      <w:pPr>
        <w:pStyle w:val="ListParagraph"/>
        <w:ind w:left="850"/>
      </w:pPr>
    </w:p>
    <w:p w14:paraId="5048D2F3" w14:textId="77777777" w:rsidR="006C4D8D" w:rsidRDefault="00383C45" w:rsidP="00383C45">
      <w:pPr>
        <w:ind w:left="850"/>
      </w:pPr>
      <w:r>
        <w:lastRenderedPageBreak/>
        <w:t>3.5</w:t>
      </w:r>
      <w:r>
        <w:tab/>
      </w:r>
      <w:r w:rsidR="00140434">
        <w:t>The Executive Team could therefore</w:t>
      </w:r>
      <w:r w:rsidR="00146050">
        <w:t>, on behalf of the Standing Committee,</w:t>
      </w:r>
      <w:r w:rsidR="00140434">
        <w:t xml:space="preserve"> carry out the functions stated in paragraphs c. and d.  between sessions of the Standing Committee as may be necessary.</w:t>
      </w:r>
    </w:p>
    <w:p w14:paraId="14D1A57F" w14:textId="77777777" w:rsidR="00CA2D1D" w:rsidRDefault="00CA2D1D" w:rsidP="00383C45">
      <w:pPr>
        <w:pStyle w:val="ListParagraph"/>
      </w:pPr>
    </w:p>
    <w:p w14:paraId="49C6BE38" w14:textId="77777777" w:rsidR="0038371F" w:rsidRDefault="00383C45" w:rsidP="00383C45">
      <w:r>
        <w:t>4.</w:t>
      </w:r>
      <w:r>
        <w:tab/>
      </w:r>
      <w:r w:rsidR="00140434">
        <w:t xml:space="preserve">The </w:t>
      </w:r>
      <w:r w:rsidR="003F57A1">
        <w:t xml:space="preserve">Standing Committee </w:t>
      </w:r>
      <w:r w:rsidR="00140434">
        <w:t xml:space="preserve">could also include in </w:t>
      </w:r>
      <w:r w:rsidR="003F57A1">
        <w:t>the</w:t>
      </w:r>
      <w:r w:rsidR="00140434">
        <w:t xml:space="preserve"> Terms of Reference </w:t>
      </w:r>
      <w:r w:rsidR="00AF095A">
        <w:t xml:space="preserve">of the Executive Team </w:t>
      </w:r>
      <w:r w:rsidR="00140434">
        <w:t xml:space="preserve">the </w:t>
      </w:r>
      <w:r w:rsidR="00140434" w:rsidRPr="00383C45">
        <w:t>reporting</w:t>
      </w:r>
      <w:r w:rsidR="00140434">
        <w:t xml:space="preserve"> requirement </w:t>
      </w:r>
      <w:r w:rsidR="00242710">
        <w:t xml:space="preserve">equivalent to that </w:t>
      </w:r>
      <w:r w:rsidR="00140434">
        <w:t xml:space="preserve">stipulated in subparagraph </w:t>
      </w:r>
      <w:r w:rsidR="00242710">
        <w:t>19.</w:t>
      </w:r>
      <w:r w:rsidR="00140434">
        <w:t>k</w:t>
      </w:r>
      <w:r w:rsidR="00242710">
        <w:t xml:space="preserve"> of Annex 1 of the Resolution</w:t>
      </w:r>
      <w:r w:rsidR="00140434">
        <w:t>. That is, the Executive Team could report to the Standing Committee</w:t>
      </w:r>
      <w:r w:rsidR="006665B4">
        <w:t xml:space="preserve"> </w:t>
      </w:r>
      <w:r w:rsidR="004F3413">
        <w:t xml:space="preserve">through its Chair </w:t>
      </w:r>
      <w:r w:rsidR="00140434">
        <w:t>on the activities it has carried out between ordinary meetings of the Standing Committee.</w:t>
      </w:r>
    </w:p>
    <w:p w14:paraId="687C5650" w14:textId="77777777" w:rsidR="0038371F" w:rsidRDefault="0038371F" w:rsidP="00383C45"/>
    <w:p w14:paraId="05083174" w14:textId="77777777" w:rsidR="00CA2D1D" w:rsidRDefault="00383C45" w:rsidP="00383C45">
      <w:r>
        <w:t>5.</w:t>
      </w:r>
      <w:r>
        <w:tab/>
      </w:r>
      <w:r w:rsidR="00CA2D1D">
        <w:t xml:space="preserve">It should be noted that in </w:t>
      </w:r>
      <w:r w:rsidR="00AC1EA0">
        <w:t>carrying out</w:t>
      </w:r>
      <w:r w:rsidR="00CA2D1D">
        <w:t xml:space="preserve"> the Standing Committee’s role of  “supervising……,</w:t>
      </w:r>
      <w:r w:rsidR="00F5152A">
        <w:t xml:space="preserve"> </w:t>
      </w:r>
      <w:r w:rsidR="00CA2D1D">
        <w:t>the execution of the Secretariat’s budget” (Resolution XIII.4, Annex 1, paragraph 19, subparagraph</w:t>
      </w:r>
      <w:r w:rsidR="00C101AE">
        <w:t> </w:t>
      </w:r>
      <w:r w:rsidR="00CA2D1D">
        <w:t>c</w:t>
      </w:r>
      <w:r w:rsidR="00584449">
        <w:t>)</w:t>
      </w:r>
      <w:r w:rsidR="008607E4">
        <w:t xml:space="preserve">, the Executive Team would have to </w:t>
      </w:r>
      <w:r w:rsidR="00AC1EA0">
        <w:t>take into account the roles and responsibilities of the Subgroup on Finance specified in Resolution VI.17</w:t>
      </w:r>
      <w:r w:rsidR="00652D72">
        <w:t xml:space="preserve"> on </w:t>
      </w:r>
      <w:r w:rsidR="00652D72">
        <w:rPr>
          <w:i/>
        </w:rPr>
        <w:t>Financial and budgetary matters</w:t>
      </w:r>
      <w:r w:rsidR="00652D72">
        <w:t>,</w:t>
      </w:r>
      <w:r w:rsidR="00AC1EA0">
        <w:t xml:space="preserve"> paragraph 11</w:t>
      </w:r>
      <w:r w:rsidR="00652D72">
        <w:t>,</w:t>
      </w:r>
      <w:r w:rsidR="00AC1EA0">
        <w:t xml:space="preserve"> in particular </w:t>
      </w:r>
      <w:r w:rsidR="0038371F">
        <w:t>that “the Subgroup Chair, in consultation as appropriate with the Chair of the Standing Committee and, when so required, the Subgroup as a whole, shall provide guidance and advice to the Secretary General in the discharge of his/her duties in connection with the administration of the finances of the Convention…”.</w:t>
      </w:r>
      <w:r w:rsidR="008607E4">
        <w:t xml:space="preserve"> </w:t>
      </w:r>
      <w:r w:rsidR="00DC4BD3">
        <w:t xml:space="preserve">These responsibilities are reaffirmed in </w:t>
      </w:r>
      <w:r w:rsidR="00A7146C">
        <w:t xml:space="preserve">Resolution XIII.2, on </w:t>
      </w:r>
      <w:r w:rsidR="00A7146C">
        <w:rPr>
          <w:i/>
        </w:rPr>
        <w:t>Financial and budgetary matters</w:t>
      </w:r>
      <w:r w:rsidR="00A7146C">
        <w:t>, paragraph 12</w:t>
      </w:r>
      <w:r w:rsidR="00DC4BD3">
        <w:t xml:space="preserve">. </w:t>
      </w:r>
      <w:r w:rsidR="008607E4">
        <w:t xml:space="preserve">The practice in </w:t>
      </w:r>
      <w:r w:rsidR="00D93623">
        <w:t>recent</w:t>
      </w:r>
      <w:r w:rsidR="008607E4">
        <w:t xml:space="preserve"> years </w:t>
      </w:r>
      <w:r w:rsidR="00D93623">
        <w:t>was</w:t>
      </w:r>
      <w:r w:rsidR="008607E4">
        <w:t xml:space="preserve"> that the Executive Team would consider requests from the Secretary General and decide whether the issue could be dealt</w:t>
      </w:r>
      <w:r w:rsidR="0007307A">
        <w:t xml:space="preserve"> with</w:t>
      </w:r>
      <w:r w:rsidR="008607E4">
        <w:t xml:space="preserve"> by the Team or </w:t>
      </w:r>
      <w:r w:rsidR="0007307A">
        <w:t>whether</w:t>
      </w:r>
      <w:r w:rsidR="008607E4">
        <w:t xml:space="preserve"> it needed to be referred to the Subgroup on Finance, in which case, the Chair of the Subgroup would send the request to the whole Subgroup.</w:t>
      </w:r>
    </w:p>
    <w:p w14:paraId="265DE252" w14:textId="77777777" w:rsidR="006C4D8D" w:rsidRDefault="006C4D8D" w:rsidP="00383C45"/>
    <w:p w14:paraId="7AC01996" w14:textId="089CFBE6" w:rsidR="006C4D8D" w:rsidRDefault="00383C45" w:rsidP="00383C45">
      <w:r>
        <w:t>6.</w:t>
      </w:r>
      <w:r>
        <w:tab/>
      </w:r>
      <w:r w:rsidR="00140434">
        <w:t>It should be</w:t>
      </w:r>
      <w:r w:rsidR="0038371F">
        <w:t xml:space="preserve"> </w:t>
      </w:r>
      <w:r w:rsidR="00140434">
        <w:t xml:space="preserve">noted that there </w:t>
      </w:r>
      <w:r w:rsidR="00013D6E">
        <w:t xml:space="preserve">have been </w:t>
      </w:r>
      <w:r w:rsidR="00140434">
        <w:t xml:space="preserve">instances where a matter </w:t>
      </w:r>
      <w:r w:rsidR="00013D6E">
        <w:t xml:space="preserve">has </w:t>
      </w:r>
      <w:r w:rsidR="00140434">
        <w:t>arise</w:t>
      </w:r>
      <w:r w:rsidR="00013D6E">
        <w:t>n</w:t>
      </w:r>
      <w:r w:rsidR="00140434">
        <w:t xml:space="preserve"> for which there are no recorded decisions from </w:t>
      </w:r>
      <w:r w:rsidR="00013D6E">
        <w:t xml:space="preserve">the </w:t>
      </w:r>
      <w:r w:rsidR="00140434">
        <w:t xml:space="preserve">COP or Standing Committee and for which a decision </w:t>
      </w:r>
      <w:r w:rsidR="00013D6E">
        <w:t>was</w:t>
      </w:r>
      <w:r w:rsidR="00140434">
        <w:t xml:space="preserve"> required before the next meeting of the Standing Committee. The practice in recent years in such cases has been </w:t>
      </w:r>
      <w:r w:rsidR="004136CF">
        <w:t xml:space="preserve">for the </w:t>
      </w:r>
      <w:r w:rsidR="005F3CF1">
        <w:t xml:space="preserve">Secretariat </w:t>
      </w:r>
      <w:r w:rsidR="00140434">
        <w:t>to contact the Standing Committee directly via email regarding the matter in question, and for the Standing Committee</w:t>
      </w:r>
      <w:r w:rsidR="003C2EBC">
        <w:t>,</w:t>
      </w:r>
      <w:r w:rsidR="00140434">
        <w:t xml:space="preserve"> in turn</w:t>
      </w:r>
      <w:r w:rsidR="003C2EBC">
        <w:t>, to</w:t>
      </w:r>
      <w:r w:rsidR="00140434">
        <w:t xml:space="preserve"> take a decision </w:t>
      </w:r>
      <w:r w:rsidR="003C2EBC">
        <w:t>through electronic communication</w:t>
      </w:r>
      <w:r w:rsidR="00140434">
        <w:t xml:space="preserve">. This has worked well in several instances (for example </w:t>
      </w:r>
      <w:r w:rsidR="00EA5FBD">
        <w:t xml:space="preserve">regarding the signature of </w:t>
      </w:r>
      <w:r w:rsidR="00140434">
        <w:t xml:space="preserve">the Memorandum of Understanding with the </w:t>
      </w:r>
      <w:r w:rsidR="00140434" w:rsidRPr="00383C45">
        <w:t xml:space="preserve">Intergovernmental Science-Policy Platform on Biodiversity and Ecosystem Services, also known as </w:t>
      </w:r>
      <w:r w:rsidR="00140434">
        <w:t>IPBES). In such cases the Executive Team could contact the Standing Committee for its decision.</w:t>
      </w:r>
    </w:p>
    <w:p w14:paraId="36A2795E" w14:textId="77777777" w:rsidR="006C4D8D" w:rsidRDefault="00140434" w:rsidP="00383C45">
      <w:r>
        <w:t xml:space="preserve">  </w:t>
      </w:r>
    </w:p>
    <w:p w14:paraId="1216D7F4" w14:textId="77777777" w:rsidR="006C4D8D" w:rsidRDefault="00383C45" w:rsidP="00383C45">
      <w:r>
        <w:t>7.</w:t>
      </w:r>
      <w:r>
        <w:tab/>
      </w:r>
      <w:r w:rsidR="00140434">
        <w:t xml:space="preserve">Other functions that </w:t>
      </w:r>
      <w:r w:rsidR="00043B8F">
        <w:t>have</w:t>
      </w:r>
      <w:r w:rsidR="00140434">
        <w:t xml:space="preserve"> historically been assigned to the Executive Team </w:t>
      </w:r>
      <w:r w:rsidR="00043B8F">
        <w:t xml:space="preserve">because </w:t>
      </w:r>
      <w:r w:rsidR="00140434">
        <w:t xml:space="preserve">of exceptional circumstances have been superseded by the resolutions of COP13. </w:t>
      </w:r>
      <w:r w:rsidR="00043B8F">
        <w:t>For these reasons</w:t>
      </w:r>
      <w:r w:rsidR="00140434">
        <w:t>, the proposed Terms of Reference (T</w:t>
      </w:r>
      <w:r w:rsidR="002571D0">
        <w:t>o</w:t>
      </w:r>
      <w:r w:rsidR="00140434">
        <w:t xml:space="preserve">R) </w:t>
      </w:r>
      <w:r w:rsidR="00F65B59">
        <w:t xml:space="preserve">below </w:t>
      </w:r>
      <w:r w:rsidR="00140434">
        <w:t xml:space="preserve">are based on the only two Resolutions that are current and </w:t>
      </w:r>
      <w:r w:rsidR="00F65B59">
        <w:t>relevant</w:t>
      </w:r>
      <w:r w:rsidR="00140434">
        <w:t xml:space="preserve">, namely Resolutions XIII.2 and XIII.4.  </w:t>
      </w:r>
    </w:p>
    <w:p w14:paraId="11676616" w14:textId="77777777" w:rsidR="006C4D8D" w:rsidRDefault="006C4D8D" w:rsidP="00383C45">
      <w:pPr>
        <w:ind w:left="0" w:firstLine="0"/>
      </w:pPr>
    </w:p>
    <w:p w14:paraId="46C4278B" w14:textId="77777777" w:rsidR="006C4D8D" w:rsidRDefault="00383C45" w:rsidP="00383C45">
      <w:r>
        <w:t>8.</w:t>
      </w:r>
      <w:r>
        <w:tab/>
      </w:r>
      <w:r w:rsidR="00140434">
        <w:t>Finally, given that the functions of the Executive Team are to provide the Secretariat with supervision, guidance and advice as may be necessary in between sessions of the Standing Committee, it should operate in accordance with</w:t>
      </w:r>
      <w:r w:rsidR="00F65B59">
        <w:t>:</w:t>
      </w:r>
      <w:r w:rsidR="00140434">
        <w:t xml:space="preserve"> first</w:t>
      </w:r>
      <w:r w:rsidR="00F65B59">
        <w:t>ly</w:t>
      </w:r>
      <w:r w:rsidR="00140434">
        <w:t xml:space="preserve">, the resolutions </w:t>
      </w:r>
      <w:r w:rsidR="00F65B59">
        <w:t>adop</w:t>
      </w:r>
      <w:r w:rsidR="00844886">
        <w:t>t</w:t>
      </w:r>
      <w:r w:rsidR="00F65B59">
        <w:t>ed</w:t>
      </w:r>
      <w:r w:rsidR="00140434">
        <w:t xml:space="preserve"> by the Conference of the Parties on the management of the Secretariat</w:t>
      </w:r>
      <w:r w:rsidR="00F65B59">
        <w:t>;</w:t>
      </w:r>
      <w:r w:rsidR="00140434">
        <w:t xml:space="preserve"> and second</w:t>
      </w:r>
      <w:r w:rsidR="00F65B59">
        <w:t>ly</w:t>
      </w:r>
      <w:r w:rsidR="00140434">
        <w:t xml:space="preserve">, the “Delegation of Authority to the Secretary General of the Convention on Wetlands and its Supplementary Note”. Further, </w:t>
      </w:r>
      <w:r w:rsidR="008A5BEE">
        <w:t xml:space="preserve">as the Executive Team is </w:t>
      </w:r>
      <w:r w:rsidR="00140434">
        <w:t xml:space="preserve">a subsidiary body of the Convention, the Rules of Procedure adopted by COP13 would apply </w:t>
      </w:r>
      <w:r w:rsidR="008A5BEE">
        <w:t>to</w:t>
      </w:r>
      <w:r w:rsidR="00140434">
        <w:t xml:space="preserve"> its operations </w:t>
      </w:r>
      <w:r w:rsidR="00140434" w:rsidRPr="00383C45">
        <w:rPr>
          <w:i/>
        </w:rPr>
        <w:t>mutatis mutandi</w:t>
      </w:r>
      <w:r w:rsidR="008A5BEE">
        <w:rPr>
          <w:i/>
        </w:rPr>
        <w:t>s</w:t>
      </w:r>
      <w:r w:rsidR="00140434" w:rsidRPr="00383C45">
        <w:rPr>
          <w:i/>
        </w:rPr>
        <w:t>.</w:t>
      </w:r>
    </w:p>
    <w:p w14:paraId="60DFDDB2" w14:textId="77777777" w:rsidR="00724644" w:rsidRDefault="00724644">
      <w:pPr>
        <w:ind w:left="0" w:firstLine="0"/>
        <w:rPr>
          <w:b/>
        </w:rPr>
      </w:pPr>
      <w:r>
        <w:rPr>
          <w:b/>
        </w:rPr>
        <w:br w:type="page"/>
      </w:r>
    </w:p>
    <w:p w14:paraId="75763A05" w14:textId="2EF3FA8E" w:rsidR="002969F5" w:rsidRDefault="00140434" w:rsidP="002969F5">
      <w:pPr>
        <w:keepNext/>
        <w:jc w:val="center"/>
        <w:rPr>
          <w:b/>
        </w:rPr>
      </w:pPr>
      <w:bookmarkStart w:id="0" w:name="_GoBack"/>
      <w:bookmarkEnd w:id="0"/>
      <w:r>
        <w:rPr>
          <w:b/>
        </w:rPr>
        <w:t>Draft Terms of Reference for the Executive Team</w:t>
      </w:r>
    </w:p>
    <w:p w14:paraId="539CCA4D" w14:textId="77777777" w:rsidR="002969F5" w:rsidRDefault="002969F5" w:rsidP="002969F5">
      <w:pPr>
        <w:keepNext/>
        <w:jc w:val="center"/>
      </w:pPr>
    </w:p>
    <w:p w14:paraId="4109C8CF" w14:textId="77777777" w:rsidR="002969F5" w:rsidRDefault="00140434" w:rsidP="002969F5">
      <w:pPr>
        <w:keepNext/>
      </w:pPr>
      <w:r>
        <w:rPr>
          <w:b/>
        </w:rPr>
        <w:t>Members of the Executive Team</w:t>
      </w:r>
      <w:r>
        <w:t xml:space="preserve"> </w:t>
      </w:r>
    </w:p>
    <w:p w14:paraId="2F698910" w14:textId="77777777" w:rsidR="002969F5" w:rsidRDefault="002969F5" w:rsidP="002969F5">
      <w:pPr>
        <w:keepNext/>
      </w:pPr>
    </w:p>
    <w:p w14:paraId="7EBBF8CF" w14:textId="77777777" w:rsidR="006C4D8D" w:rsidRDefault="00192281" w:rsidP="00383C45">
      <w:r>
        <w:t>1.</w:t>
      </w:r>
      <w:r>
        <w:tab/>
      </w:r>
      <w:r w:rsidR="00140434">
        <w:t>Chair</w:t>
      </w:r>
      <w:r w:rsidR="00C857D5">
        <w:t xml:space="preserve"> and</w:t>
      </w:r>
      <w:r w:rsidR="00140434">
        <w:t xml:space="preserve"> Vice </w:t>
      </w:r>
      <w:r w:rsidR="00C857D5">
        <w:t>C</w:t>
      </w:r>
      <w:r w:rsidR="00140434">
        <w:t>hair</w:t>
      </w:r>
      <w:r w:rsidR="00C857D5">
        <w:t xml:space="preserve"> of the Standing Committee</w:t>
      </w:r>
      <w:r w:rsidR="00140434">
        <w:t>, and Chair of the Subgroup on Finance.</w:t>
      </w:r>
    </w:p>
    <w:p w14:paraId="0C4520C7" w14:textId="77777777" w:rsidR="006C4D8D" w:rsidRDefault="006C4D8D" w:rsidP="00383C45"/>
    <w:p w14:paraId="53072445" w14:textId="77777777" w:rsidR="006C4D8D" w:rsidRDefault="00140434" w:rsidP="00383C45">
      <w:pPr>
        <w:rPr>
          <w:b/>
        </w:rPr>
      </w:pPr>
      <w:r>
        <w:rPr>
          <w:b/>
        </w:rPr>
        <w:t>Role and functions</w:t>
      </w:r>
    </w:p>
    <w:p w14:paraId="54074AD3" w14:textId="77777777" w:rsidR="00192281" w:rsidRDefault="00192281" w:rsidP="00383C45"/>
    <w:p w14:paraId="36CE5FBD" w14:textId="77777777" w:rsidR="006C4D8D" w:rsidRDefault="00192281" w:rsidP="00383C45">
      <w:r>
        <w:t>2.</w:t>
      </w:r>
      <w:r>
        <w:tab/>
      </w:r>
      <w:r w:rsidR="00140434">
        <w:t xml:space="preserve">“The Standing Committee’s oversight of the Secretariat is conducted on its behalf between meetings of the Standing Committee by its Executive Team (Chair, Vice </w:t>
      </w:r>
      <w:r w:rsidR="00EB2E36">
        <w:t>C</w:t>
      </w:r>
      <w:r w:rsidR="00140434">
        <w:t>hair, and Chair of the Subgroup on Finance) with the Secretary General” (Resolution XIII.4, paragraph 4).</w:t>
      </w:r>
    </w:p>
    <w:p w14:paraId="263B9C65" w14:textId="77777777" w:rsidR="006C4D8D" w:rsidRDefault="006C4D8D" w:rsidP="00383C45"/>
    <w:p w14:paraId="57EB9426" w14:textId="77777777" w:rsidR="006C4D8D" w:rsidRDefault="00192281" w:rsidP="00383C45">
      <w:r>
        <w:t>3.</w:t>
      </w:r>
      <w:r>
        <w:tab/>
      </w:r>
      <w:r w:rsidR="00140434">
        <w:t xml:space="preserve">Within the policies agreed by the Conference of the Parties and the Standing Committee, the function of the Executive Team </w:t>
      </w:r>
      <w:r w:rsidR="001F2BB1">
        <w:t>is</w:t>
      </w:r>
      <w:r w:rsidR="00140434">
        <w:t xml:space="preserve"> to carry out, between ordinary meeting</w:t>
      </w:r>
      <w:r w:rsidR="001F2BB1">
        <w:t>s</w:t>
      </w:r>
      <w:r w:rsidR="00140434">
        <w:t xml:space="preserve"> of the Standing Committee, such interim activity on behalf of the Standing Committee as may be necessary, giving priority to matters on which the Conference of the Parties and the Standing Committee have previously recorded their approval </w:t>
      </w:r>
      <w:r w:rsidR="0062266B">
        <w:t xml:space="preserve">through Resolutions </w:t>
      </w:r>
      <w:r w:rsidR="007754A8">
        <w:t>of</w:t>
      </w:r>
      <w:r w:rsidR="0062266B">
        <w:t xml:space="preserve"> the Conference of the Parties and decisions </w:t>
      </w:r>
      <w:r w:rsidR="007754A8">
        <w:t>of</w:t>
      </w:r>
      <w:r w:rsidR="0062266B">
        <w:t xml:space="preserve"> the Standing Committee</w:t>
      </w:r>
      <w:r w:rsidR="007754A8">
        <w:t>,</w:t>
      </w:r>
      <w:r w:rsidR="0062266B">
        <w:t xml:space="preserve"> </w:t>
      </w:r>
      <w:r w:rsidR="00140434">
        <w:t xml:space="preserve">and noting that the Executive Team is not mandated either to take decisions that would normally be taken by the Conference of the Parties and the Standing Committee or to amend any decision taken by the Conference of the Parties or the Standing Committee (adapted from Resolution XIII.4, Annex 1, paragraph 19, subparagraph a).  </w:t>
      </w:r>
    </w:p>
    <w:p w14:paraId="039F5E42" w14:textId="77777777" w:rsidR="006C4D8D" w:rsidRDefault="006C4D8D" w:rsidP="00383C45">
      <w:pPr>
        <w:ind w:left="0" w:firstLine="0"/>
      </w:pPr>
    </w:p>
    <w:p w14:paraId="13EFC566" w14:textId="77777777" w:rsidR="006C4D8D" w:rsidRDefault="00192281" w:rsidP="00383C45">
      <w:r>
        <w:t>4.</w:t>
      </w:r>
      <w:r>
        <w:tab/>
      </w:r>
      <w:r w:rsidR="00140434">
        <w:t>Within this context, specific functions to be carried out by the Executive Team on behalf of the Standing Committee</w:t>
      </w:r>
      <w:r w:rsidR="000E4794">
        <w:t>,</w:t>
      </w:r>
      <w:r w:rsidR="00140434">
        <w:t xml:space="preserve"> on an interim basis</w:t>
      </w:r>
      <w:r w:rsidR="000E4794">
        <w:t>,</w:t>
      </w:r>
      <w:r w:rsidR="00140434">
        <w:t xml:space="preserve"> as may be necessary between </w:t>
      </w:r>
      <w:r w:rsidR="000E4794">
        <w:t>meetings</w:t>
      </w:r>
      <w:r w:rsidR="00140434">
        <w:t xml:space="preserve"> of the Standing Committee are the following:</w:t>
      </w:r>
    </w:p>
    <w:p w14:paraId="70748F1A" w14:textId="77777777" w:rsidR="006C4D8D" w:rsidRDefault="006C4D8D" w:rsidP="00383C45">
      <w:pPr>
        <w:ind w:left="0" w:firstLine="0"/>
      </w:pPr>
    </w:p>
    <w:p w14:paraId="42A2C95D" w14:textId="77777777" w:rsidR="006C4D8D" w:rsidRDefault="00140434" w:rsidP="00192281">
      <w:pPr>
        <w:pStyle w:val="ListParagraph"/>
        <w:numPr>
          <w:ilvl w:val="0"/>
          <w:numId w:val="3"/>
        </w:numPr>
        <w:ind w:left="850" w:hanging="425"/>
      </w:pPr>
      <w:r>
        <w:t xml:space="preserve">supervise, as representative of the Standing Committee, the implementation of activities by the Secretariat, the execution of the Secretariat’s budget, and </w:t>
      </w:r>
      <w:r w:rsidR="00575F45">
        <w:t xml:space="preserve">the </w:t>
      </w:r>
      <w:r>
        <w:t xml:space="preserve">conduct of the Secretariat’s </w:t>
      </w:r>
      <w:r w:rsidR="00575F45">
        <w:t xml:space="preserve">work </w:t>
      </w:r>
      <w:r>
        <w:t>programmes (adapted from Resolution XIII.4, Annex 1, paragraph 19, subparagraph c); and</w:t>
      </w:r>
    </w:p>
    <w:p w14:paraId="7A13C46E" w14:textId="77777777" w:rsidR="00192281" w:rsidRDefault="00192281" w:rsidP="00192281">
      <w:pPr>
        <w:ind w:left="850"/>
      </w:pPr>
    </w:p>
    <w:p w14:paraId="6363B362" w14:textId="77777777" w:rsidR="006C4D8D" w:rsidRDefault="00140434" w:rsidP="00192281">
      <w:pPr>
        <w:pStyle w:val="ListParagraph"/>
        <w:numPr>
          <w:ilvl w:val="0"/>
          <w:numId w:val="3"/>
        </w:numPr>
        <w:ind w:left="850" w:hanging="425"/>
      </w:pPr>
      <w:r>
        <w:t xml:space="preserve">provide guidance and advice to the Secretariat on the implementation of the Convention, on the preparation of meetings, and on any other matters relating to the exercise of its functions brought to it by the Secretariat (adapted from Resolution XIII.4, Annex 1, paragraph 19, subparagraph d). </w:t>
      </w:r>
    </w:p>
    <w:p w14:paraId="02E5A786" w14:textId="77777777" w:rsidR="0062266B" w:rsidRDefault="0062266B" w:rsidP="00383C45">
      <w:pPr>
        <w:ind w:left="360" w:firstLine="0"/>
      </w:pPr>
    </w:p>
    <w:p w14:paraId="3F5868E4" w14:textId="77777777" w:rsidR="0062266B" w:rsidRDefault="00192281" w:rsidP="00192281">
      <w:r>
        <w:t>5.</w:t>
      </w:r>
      <w:r>
        <w:tab/>
      </w:r>
      <w:r w:rsidR="0062266B">
        <w:t>In carrying out function a. above and</w:t>
      </w:r>
      <w:r w:rsidR="003837B7">
        <w:t>,</w:t>
      </w:r>
      <w:r w:rsidR="0062266B">
        <w:t xml:space="preserve"> in particular</w:t>
      </w:r>
      <w:r w:rsidR="003837B7">
        <w:t>,</w:t>
      </w:r>
      <w:r w:rsidR="0062266B">
        <w:t xml:space="preserve"> regarding the supervision of the execution of the Secretariat’s budget, the Executive Team will take into account the roles and responsibilities of the Subgroup on Finance specified in Resolution VI.17</w:t>
      </w:r>
      <w:r w:rsidR="00551E31">
        <w:t>,</w:t>
      </w:r>
      <w:r w:rsidR="0062266B">
        <w:t xml:space="preserve"> </w:t>
      </w:r>
      <w:r w:rsidR="00F2408A">
        <w:t xml:space="preserve">on </w:t>
      </w:r>
      <w:r w:rsidR="00F2408A">
        <w:rPr>
          <w:i/>
        </w:rPr>
        <w:t>Financial and budgetary matters</w:t>
      </w:r>
      <w:r w:rsidR="00F2408A">
        <w:t xml:space="preserve">, </w:t>
      </w:r>
      <w:r w:rsidR="0062266B">
        <w:t xml:space="preserve">paragraph 11, in particular, that “the Subgroup Chair, in consultation as appropriate with the Chair of the Standing Committee and, when so required, the Subgroup as a whole, shall provide guidance and advice to the Secretary General in the discharge of his/her duties in connection with the administration of the finances of the Convention…”. </w:t>
      </w:r>
      <w:r w:rsidR="0074142D">
        <w:t xml:space="preserve"> </w:t>
      </w:r>
      <w:r w:rsidR="008F687D">
        <w:t xml:space="preserve">These responsibilities are reaffirmed in Resolution XIII.2 on </w:t>
      </w:r>
      <w:r w:rsidR="008F687D">
        <w:rPr>
          <w:i/>
        </w:rPr>
        <w:t>Financial and budgetary matters</w:t>
      </w:r>
      <w:r w:rsidR="008F687D">
        <w:t xml:space="preserve">, paragraph 12. </w:t>
      </w:r>
      <w:r w:rsidR="0074142D">
        <w:t xml:space="preserve">To implement this, </w:t>
      </w:r>
      <w:r w:rsidR="0062266B">
        <w:t xml:space="preserve">the Executive Team </w:t>
      </w:r>
      <w:r w:rsidR="0074142D">
        <w:t>will</w:t>
      </w:r>
      <w:r w:rsidR="0062266B">
        <w:t xml:space="preserve"> consider </w:t>
      </w:r>
      <w:r w:rsidR="00475FF8">
        <w:t xml:space="preserve">whether any </w:t>
      </w:r>
      <w:r w:rsidR="0062266B">
        <w:t xml:space="preserve">request from the Secretary General could be dealt </w:t>
      </w:r>
      <w:r w:rsidR="00475FF8">
        <w:t xml:space="preserve">with </w:t>
      </w:r>
      <w:r w:rsidR="0062266B">
        <w:t xml:space="preserve">by the Team or </w:t>
      </w:r>
      <w:r w:rsidR="00475FF8">
        <w:t xml:space="preserve">whether </w:t>
      </w:r>
      <w:r w:rsidR="0074142D">
        <w:t>it needs</w:t>
      </w:r>
      <w:r w:rsidR="0062266B">
        <w:t xml:space="preserve"> to be referred to the Subgroup on Finance</w:t>
      </w:r>
      <w:r w:rsidR="00475FF8">
        <w:t>.</w:t>
      </w:r>
      <w:r w:rsidR="0062266B">
        <w:t xml:space="preserve"> </w:t>
      </w:r>
    </w:p>
    <w:p w14:paraId="3DBCC8EC" w14:textId="77777777" w:rsidR="0062266B" w:rsidRDefault="0062266B" w:rsidP="00383C45">
      <w:pPr>
        <w:ind w:left="0" w:firstLine="0"/>
      </w:pPr>
    </w:p>
    <w:p w14:paraId="0E74EB44" w14:textId="77777777" w:rsidR="006C4D8D" w:rsidRDefault="00192281" w:rsidP="00383C45">
      <w:r>
        <w:t>6.</w:t>
      </w:r>
      <w:r>
        <w:tab/>
      </w:r>
      <w:r w:rsidR="00140434">
        <w:t>For any matter that arises intersessionally and for which the Standing Committee has not already taken a decision</w:t>
      </w:r>
      <w:r w:rsidR="00DC0866" w:rsidRPr="00DC0866">
        <w:t xml:space="preserve">, or </w:t>
      </w:r>
      <w:r w:rsidR="00394123">
        <w:t>where the matter falls outside the policies and guidance already provided by the Conference of the Parties and the Standing Committee</w:t>
      </w:r>
      <w:r w:rsidR="00140434">
        <w:t xml:space="preserve">, the Executive Team </w:t>
      </w:r>
      <w:r w:rsidR="00394123">
        <w:lastRenderedPageBreak/>
        <w:t xml:space="preserve">shall </w:t>
      </w:r>
      <w:r w:rsidR="0018264B">
        <w:t xml:space="preserve">request the Secretariat to </w:t>
      </w:r>
      <w:r w:rsidR="00394123">
        <w:t xml:space="preserve">contact the Standing Committee to ask for </w:t>
      </w:r>
      <w:r w:rsidR="00140434">
        <w:t xml:space="preserve"> a decision </w:t>
      </w:r>
      <w:r w:rsidR="00394123">
        <w:t xml:space="preserve">to be taken </w:t>
      </w:r>
      <w:r w:rsidR="008B4298">
        <w:t xml:space="preserve">through </w:t>
      </w:r>
      <w:r w:rsidR="00140434">
        <w:t>electronic</w:t>
      </w:r>
      <w:r w:rsidR="008B4298">
        <w:t xml:space="preserve"> communication</w:t>
      </w:r>
      <w:r w:rsidR="00140434">
        <w:t xml:space="preserve"> regarding that matter as soon as practicable.</w:t>
      </w:r>
    </w:p>
    <w:p w14:paraId="367247E6" w14:textId="77777777" w:rsidR="003837B7" w:rsidRDefault="003837B7" w:rsidP="00383C45">
      <w:pPr>
        <w:rPr>
          <w:b/>
        </w:rPr>
      </w:pPr>
    </w:p>
    <w:p w14:paraId="593D253C" w14:textId="77777777" w:rsidR="003837B7" w:rsidRDefault="003837B7" w:rsidP="00383C45">
      <w:pPr>
        <w:rPr>
          <w:b/>
        </w:rPr>
      </w:pPr>
      <w:r>
        <w:rPr>
          <w:b/>
        </w:rPr>
        <w:t>Operation</w:t>
      </w:r>
    </w:p>
    <w:p w14:paraId="19CA511B" w14:textId="77777777" w:rsidR="00192281" w:rsidRDefault="00192281" w:rsidP="00383C45"/>
    <w:p w14:paraId="01963847" w14:textId="77777777" w:rsidR="003837B7" w:rsidRDefault="00192281" w:rsidP="00383C45">
      <w:r>
        <w:t>7.</w:t>
      </w:r>
      <w:r>
        <w:tab/>
      </w:r>
      <w:r w:rsidR="003837B7">
        <w:t xml:space="preserve">The Executive Team operates in accordance with the resolutions </w:t>
      </w:r>
      <w:r w:rsidR="00AC179F">
        <w:t>adopted</w:t>
      </w:r>
      <w:r w:rsidR="003837B7">
        <w:t xml:space="preserve"> by the Conference of the Parties and decisions of the Standing Committee (Resolution XIII.4, Annex 1, 19a) on the management of the Secretariat and within the context of the “Delegation of Authority to the Secretary General of the Convention on Wetlands and its Supplementary Note”. </w:t>
      </w:r>
      <w:r w:rsidR="00AC179F">
        <w:t xml:space="preserve">As the Executive Team is </w:t>
      </w:r>
      <w:r w:rsidR="003837B7">
        <w:t xml:space="preserve">a subsidiary body of the </w:t>
      </w:r>
      <w:r w:rsidR="00AC179F">
        <w:t>Conference of the Contracting Parties</w:t>
      </w:r>
      <w:r w:rsidR="003837B7">
        <w:t xml:space="preserve">, the Rules of Procedure adopted by </w:t>
      </w:r>
      <w:r w:rsidR="00AC179F">
        <w:t>the Conference of the Parties</w:t>
      </w:r>
      <w:r w:rsidR="003837B7">
        <w:t xml:space="preserve"> apply </w:t>
      </w:r>
      <w:r w:rsidR="00AC179F">
        <w:t xml:space="preserve">to </w:t>
      </w:r>
      <w:r w:rsidR="003837B7">
        <w:t xml:space="preserve">its operations </w:t>
      </w:r>
      <w:r w:rsidR="003837B7" w:rsidRPr="00383C45">
        <w:rPr>
          <w:i/>
        </w:rPr>
        <w:t>mutatis mutandi</w:t>
      </w:r>
      <w:r w:rsidR="00AC179F">
        <w:rPr>
          <w:i/>
        </w:rPr>
        <w:t>s</w:t>
      </w:r>
      <w:r w:rsidR="003837B7" w:rsidRPr="00383C45">
        <w:t>.</w:t>
      </w:r>
    </w:p>
    <w:p w14:paraId="7AF9A97F" w14:textId="77777777" w:rsidR="006C4D8D" w:rsidRDefault="006C4D8D" w:rsidP="00383C45">
      <w:pPr>
        <w:ind w:left="0" w:firstLine="0"/>
      </w:pPr>
    </w:p>
    <w:p w14:paraId="56E865B2" w14:textId="77777777" w:rsidR="006C4D8D" w:rsidRDefault="00140434" w:rsidP="00192281">
      <w:pPr>
        <w:keepNext/>
        <w:rPr>
          <w:b/>
        </w:rPr>
      </w:pPr>
      <w:r>
        <w:rPr>
          <w:b/>
        </w:rPr>
        <w:t>Reporting</w:t>
      </w:r>
    </w:p>
    <w:p w14:paraId="2C924D15" w14:textId="77777777" w:rsidR="006C4D8D" w:rsidRDefault="006C4D8D" w:rsidP="00192281">
      <w:pPr>
        <w:keepNext/>
      </w:pPr>
    </w:p>
    <w:p w14:paraId="03A3FC4B" w14:textId="77777777" w:rsidR="006C4D8D" w:rsidRDefault="00192281" w:rsidP="00383C45">
      <w:r>
        <w:t>8.</w:t>
      </w:r>
      <w:r>
        <w:tab/>
      </w:r>
      <w:r w:rsidR="00260A5A">
        <w:t>At each ordinary meeting of the Standing Committee, t</w:t>
      </w:r>
      <w:r w:rsidR="00140434">
        <w:t xml:space="preserve">he Executive Team will report to the Committee on the activities it has carried out </w:t>
      </w:r>
      <w:r w:rsidR="00260A5A">
        <w:t>since the previous</w:t>
      </w:r>
      <w:r w:rsidR="00140434">
        <w:t xml:space="preserve"> ordinary meeting (adapted from Resolution XIII.4, Annex 1, paragraph 19, subparagraph k)</w:t>
      </w:r>
      <w:r>
        <w:t>.</w:t>
      </w:r>
    </w:p>
    <w:p w14:paraId="45127EAC" w14:textId="77777777" w:rsidR="006C4D8D" w:rsidRDefault="006C4D8D" w:rsidP="00383C45"/>
    <w:p w14:paraId="71925384" w14:textId="77777777" w:rsidR="006C4D8D" w:rsidRDefault="006C4D8D" w:rsidP="00383C45"/>
    <w:sectPr w:rsidR="006C4D8D" w:rsidSect="00B82DA1">
      <w:footerReference w:type="default" r:id="rId9"/>
      <w:pgSz w:w="11906" w:h="16838"/>
      <w:pgMar w:top="1440" w:right="1440" w:bottom="1440" w:left="1440" w:header="731" w:footer="731" w:gutter="0"/>
      <w:cols w:space="720"/>
      <w:formProt w:val="0"/>
      <w:titlePg/>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1D617" w16cid:durableId="20323AEA"/>
  <w16cid:commentId w16cid:paraId="3E1617FB" w16cid:durableId="20323B02"/>
  <w16cid:commentId w16cid:paraId="483D9BF7" w16cid:durableId="20323B18"/>
  <w16cid:commentId w16cid:paraId="03B09853" w16cid:durableId="20323B36"/>
  <w16cid:commentId w16cid:paraId="5A2F0D58" w16cid:durableId="20323B7F"/>
  <w16cid:commentId w16cid:paraId="56EAE2C1" w16cid:durableId="2030C2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3FAB1" w14:textId="77777777" w:rsidR="00BF3448" w:rsidRDefault="00BF3448">
      <w:r>
        <w:separator/>
      </w:r>
    </w:p>
  </w:endnote>
  <w:endnote w:type="continuationSeparator" w:id="0">
    <w:p w14:paraId="544EA1FC" w14:textId="77777777" w:rsidR="00BF3448" w:rsidRDefault="00BF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imes">
    <w:panose1 w:val="02020603050405020304"/>
    <w:charset w:val="4D"/>
    <w:family w:val="roman"/>
    <w:notTrueType/>
    <w:pitch w:val="variable"/>
    <w:sig w:usb0="00000003" w:usb1="00000000" w:usb2="00000000" w:usb3="00000000" w:csb0="00000001" w:csb1="00000000"/>
  </w:font>
  <w:font w:name="Calibri-Bold">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9658" w14:textId="4652CA31" w:rsidR="008F687D" w:rsidRPr="009B1227" w:rsidRDefault="008F687D">
    <w:pPr>
      <w:pStyle w:val="Footer"/>
      <w:rPr>
        <w:sz w:val="20"/>
        <w:szCs w:val="20"/>
      </w:rPr>
    </w:pPr>
    <w:r>
      <w:rPr>
        <w:sz w:val="20"/>
        <w:szCs w:val="20"/>
      </w:rPr>
      <w:t>SC57 Doc.12</w:t>
    </w:r>
    <w:r w:rsidRPr="005E457A">
      <w:rPr>
        <w:sz w:val="20"/>
        <w:szCs w:val="20"/>
      </w:rPr>
      <w:tab/>
    </w:r>
    <w:r w:rsidRPr="005E457A">
      <w:rPr>
        <w:sz w:val="20"/>
        <w:szCs w:val="20"/>
      </w:rPr>
      <w:tab/>
    </w:r>
    <w:r w:rsidR="00C94298">
      <w:rPr>
        <w:noProof/>
        <w:sz w:val="20"/>
        <w:szCs w:val="20"/>
      </w:rPr>
      <w:fldChar w:fldCharType="begin"/>
    </w:r>
    <w:r w:rsidR="00C94298">
      <w:rPr>
        <w:noProof/>
        <w:sz w:val="20"/>
        <w:szCs w:val="20"/>
      </w:rPr>
      <w:instrText xml:space="preserve"> PAGE   \* MERGEFORMAT </w:instrText>
    </w:r>
    <w:r w:rsidR="00C94298">
      <w:rPr>
        <w:noProof/>
        <w:sz w:val="20"/>
        <w:szCs w:val="20"/>
      </w:rPr>
      <w:fldChar w:fldCharType="separate"/>
    </w:r>
    <w:r w:rsidR="00724644">
      <w:rPr>
        <w:noProof/>
        <w:sz w:val="20"/>
        <w:szCs w:val="20"/>
      </w:rPr>
      <w:t>2</w:t>
    </w:r>
    <w:r w:rsidR="00C9429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6E143" w14:textId="77777777" w:rsidR="00BF3448" w:rsidRDefault="00BF3448">
      <w:r>
        <w:separator/>
      </w:r>
    </w:p>
  </w:footnote>
  <w:footnote w:type="continuationSeparator" w:id="0">
    <w:p w14:paraId="181736AD" w14:textId="77777777" w:rsidR="00BF3448" w:rsidRDefault="00BF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455A3EF7"/>
    <w:multiLevelType w:val="multilevel"/>
    <w:tmpl w:val="9A706A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7E94D2E"/>
    <w:multiLevelType w:val="hybridMultilevel"/>
    <w:tmpl w:val="6A78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5E37D9"/>
    <w:multiLevelType w:val="hybridMultilevel"/>
    <w:tmpl w:val="6FB84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5D0AF9"/>
    <w:multiLevelType w:val="multilevel"/>
    <w:tmpl w:val="38127E70"/>
    <w:lvl w:ilvl="0">
      <w:start w:val="1"/>
      <w:numFmt w:val="decimal"/>
      <w:lvlText w:val="%1."/>
      <w:lvlJc w:val="left"/>
      <w:pPr>
        <w:ind w:left="789" w:hanging="429"/>
      </w:pPr>
    </w:lvl>
    <w:lvl w:ilvl="1">
      <w:start w:val="1"/>
      <w:numFmt w:val="decimal"/>
      <w:lvlText w:val="%1.%2."/>
      <w:lvlJc w:val="left"/>
      <w:pPr>
        <w:ind w:left="789" w:hanging="360"/>
      </w:pPr>
      <w:rPr>
        <w:lang w:val="en-US"/>
      </w:rPr>
    </w:lvl>
    <w:lvl w:ilvl="2">
      <w:start w:val="1"/>
      <w:numFmt w:val="decimal"/>
      <w:lvlText w:val="%1.%2.%3."/>
      <w:lvlJc w:val="left"/>
      <w:pPr>
        <w:ind w:left="1218" w:hanging="720"/>
      </w:pPr>
    </w:lvl>
    <w:lvl w:ilvl="3">
      <w:start w:val="1"/>
      <w:numFmt w:val="decimal"/>
      <w:lvlText w:val="%1.%2.%3.%4."/>
      <w:lvlJc w:val="left"/>
      <w:pPr>
        <w:ind w:left="1287" w:hanging="720"/>
      </w:pPr>
    </w:lvl>
    <w:lvl w:ilvl="4">
      <w:start w:val="1"/>
      <w:numFmt w:val="decimal"/>
      <w:lvlText w:val="%1.%2.%3.%4.%5."/>
      <w:lvlJc w:val="left"/>
      <w:pPr>
        <w:ind w:left="1716" w:hanging="1080"/>
      </w:pPr>
    </w:lvl>
    <w:lvl w:ilvl="5">
      <w:start w:val="1"/>
      <w:numFmt w:val="decimal"/>
      <w:lvlText w:val="%1.%2.%3.%4.%5.%6."/>
      <w:lvlJc w:val="left"/>
      <w:pPr>
        <w:ind w:left="1785" w:hanging="1080"/>
      </w:pPr>
    </w:lvl>
    <w:lvl w:ilvl="6">
      <w:start w:val="1"/>
      <w:numFmt w:val="decimal"/>
      <w:lvlText w:val="%1.%2.%3.%4.%5.%6.%7."/>
      <w:lvlJc w:val="left"/>
      <w:pPr>
        <w:ind w:left="2214" w:hanging="1440"/>
      </w:pPr>
    </w:lvl>
    <w:lvl w:ilvl="7">
      <w:start w:val="1"/>
      <w:numFmt w:val="decimal"/>
      <w:lvlText w:val="%1.%2.%3.%4.%5.%6.%7.%8."/>
      <w:lvlJc w:val="left"/>
      <w:pPr>
        <w:ind w:left="2283" w:hanging="1440"/>
      </w:pPr>
    </w:lvl>
    <w:lvl w:ilvl="8">
      <w:start w:val="1"/>
      <w:numFmt w:val="decimal"/>
      <w:lvlText w:val="%1.%2.%3.%4.%5.%6.%7.%8.%9."/>
      <w:lvlJc w:val="left"/>
      <w:pPr>
        <w:ind w:left="2712" w:hanging="1800"/>
      </w:pPr>
    </w:lvl>
  </w:abstractNum>
  <w:abstractNum w:abstractNumId="5" w15:restartNumberingAfterBreak="0">
    <w:nsid w:val="756C71FA"/>
    <w:multiLevelType w:val="multilevel"/>
    <w:tmpl w:val="B48E5B0E"/>
    <w:lvl w:ilvl="0">
      <w:start w:val="3"/>
      <w:numFmt w:val="decimal"/>
      <w:lvlText w:val="%1."/>
      <w:lvlJc w:val="left"/>
      <w:pPr>
        <w:ind w:left="360" w:hanging="360"/>
      </w:pPr>
    </w:lvl>
    <w:lvl w:ilvl="1">
      <w:start w:val="4"/>
      <w:numFmt w:val="decimal"/>
      <w:lvlText w:val="%1.%2."/>
      <w:lvlJc w:val="left"/>
      <w:pPr>
        <w:ind w:left="789" w:hanging="360"/>
      </w:pPr>
    </w:lvl>
    <w:lvl w:ilvl="2">
      <w:start w:val="1"/>
      <w:numFmt w:val="decimal"/>
      <w:lvlText w:val="%1.%2.%3."/>
      <w:lvlJc w:val="left"/>
      <w:pPr>
        <w:ind w:left="1578" w:hanging="720"/>
      </w:pPr>
    </w:lvl>
    <w:lvl w:ilvl="3">
      <w:start w:val="1"/>
      <w:numFmt w:val="decimal"/>
      <w:lvlText w:val="%1.%2.%3.%4."/>
      <w:lvlJc w:val="left"/>
      <w:pPr>
        <w:ind w:left="2007" w:hanging="720"/>
      </w:pPr>
    </w:lvl>
    <w:lvl w:ilvl="4">
      <w:start w:val="1"/>
      <w:numFmt w:val="decimal"/>
      <w:lvlText w:val="%1.%2.%3.%4.%5."/>
      <w:lvlJc w:val="left"/>
      <w:pPr>
        <w:ind w:left="2796" w:hanging="1080"/>
      </w:pPr>
    </w:lvl>
    <w:lvl w:ilvl="5">
      <w:start w:val="1"/>
      <w:numFmt w:val="decimal"/>
      <w:lvlText w:val="%1.%2.%3.%4.%5.%6."/>
      <w:lvlJc w:val="left"/>
      <w:pPr>
        <w:ind w:left="3225" w:hanging="1080"/>
      </w:pPr>
    </w:lvl>
    <w:lvl w:ilvl="6">
      <w:start w:val="1"/>
      <w:numFmt w:val="decimal"/>
      <w:lvlText w:val="%1.%2.%3.%4.%5.%6.%7."/>
      <w:lvlJc w:val="left"/>
      <w:pPr>
        <w:ind w:left="4014" w:hanging="1440"/>
      </w:pPr>
    </w:lvl>
    <w:lvl w:ilvl="7">
      <w:start w:val="1"/>
      <w:numFmt w:val="decimal"/>
      <w:lvlText w:val="%1.%2.%3.%4.%5.%6.%7.%8."/>
      <w:lvlJc w:val="left"/>
      <w:pPr>
        <w:ind w:left="4443" w:hanging="1440"/>
      </w:pPr>
    </w:lvl>
    <w:lvl w:ilvl="8">
      <w:start w:val="1"/>
      <w:numFmt w:val="decimal"/>
      <w:lvlText w:val="%1.%2.%3.%4.%5.%6.%7.%8.%9."/>
      <w:lvlJc w:val="left"/>
      <w:pPr>
        <w:ind w:left="5232" w:hanging="180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8D"/>
    <w:rsid w:val="00013D6E"/>
    <w:rsid w:val="00043B8F"/>
    <w:rsid w:val="0007307A"/>
    <w:rsid w:val="00087933"/>
    <w:rsid w:val="000B3D1F"/>
    <w:rsid w:val="000C01B9"/>
    <w:rsid w:val="000E4794"/>
    <w:rsid w:val="0011199B"/>
    <w:rsid w:val="001152A5"/>
    <w:rsid w:val="00140434"/>
    <w:rsid w:val="00146050"/>
    <w:rsid w:val="00161D14"/>
    <w:rsid w:val="0016313B"/>
    <w:rsid w:val="0018264B"/>
    <w:rsid w:val="00192281"/>
    <w:rsid w:val="001A7DA0"/>
    <w:rsid w:val="001E36E1"/>
    <w:rsid w:val="001F2BB1"/>
    <w:rsid w:val="00204707"/>
    <w:rsid w:val="00205292"/>
    <w:rsid w:val="00214DF9"/>
    <w:rsid w:val="00242710"/>
    <w:rsid w:val="002571D0"/>
    <w:rsid w:val="00260A5A"/>
    <w:rsid w:val="00285604"/>
    <w:rsid w:val="002969F5"/>
    <w:rsid w:val="0038371F"/>
    <w:rsid w:val="003837B7"/>
    <w:rsid w:val="00383C45"/>
    <w:rsid w:val="00394123"/>
    <w:rsid w:val="003C0341"/>
    <w:rsid w:val="003C2EBC"/>
    <w:rsid w:val="003D7FC0"/>
    <w:rsid w:val="003F57A1"/>
    <w:rsid w:val="004136CF"/>
    <w:rsid w:val="00423C8E"/>
    <w:rsid w:val="00447BFC"/>
    <w:rsid w:val="00466564"/>
    <w:rsid w:val="00475FF8"/>
    <w:rsid w:val="004F3413"/>
    <w:rsid w:val="00510F04"/>
    <w:rsid w:val="00531DBB"/>
    <w:rsid w:val="00551E31"/>
    <w:rsid w:val="00575F45"/>
    <w:rsid w:val="005805FA"/>
    <w:rsid w:val="00584449"/>
    <w:rsid w:val="005A2CB1"/>
    <w:rsid w:val="005C5B8A"/>
    <w:rsid w:val="005F3CF1"/>
    <w:rsid w:val="006106E4"/>
    <w:rsid w:val="0062266B"/>
    <w:rsid w:val="00623D8C"/>
    <w:rsid w:val="00652D72"/>
    <w:rsid w:val="006665B4"/>
    <w:rsid w:val="00676BF7"/>
    <w:rsid w:val="00684B3F"/>
    <w:rsid w:val="006C4D8D"/>
    <w:rsid w:val="006D2475"/>
    <w:rsid w:val="006D4CA1"/>
    <w:rsid w:val="007055BA"/>
    <w:rsid w:val="00720A25"/>
    <w:rsid w:val="00724644"/>
    <w:rsid w:val="0074142D"/>
    <w:rsid w:val="007754A8"/>
    <w:rsid w:val="007A1FCA"/>
    <w:rsid w:val="00844886"/>
    <w:rsid w:val="008607E4"/>
    <w:rsid w:val="00883412"/>
    <w:rsid w:val="008A5BEE"/>
    <w:rsid w:val="008B4298"/>
    <w:rsid w:val="008C15FA"/>
    <w:rsid w:val="008F687D"/>
    <w:rsid w:val="009B1227"/>
    <w:rsid w:val="009D73BE"/>
    <w:rsid w:val="00A7146C"/>
    <w:rsid w:val="00A83464"/>
    <w:rsid w:val="00AA466A"/>
    <w:rsid w:val="00AC179F"/>
    <w:rsid w:val="00AC1EA0"/>
    <w:rsid w:val="00AF095A"/>
    <w:rsid w:val="00AF1FE5"/>
    <w:rsid w:val="00B82DA1"/>
    <w:rsid w:val="00B96A26"/>
    <w:rsid w:val="00BF3448"/>
    <w:rsid w:val="00C05DC5"/>
    <w:rsid w:val="00C101AE"/>
    <w:rsid w:val="00C270B5"/>
    <w:rsid w:val="00C509CD"/>
    <w:rsid w:val="00C83967"/>
    <w:rsid w:val="00C857D5"/>
    <w:rsid w:val="00C94298"/>
    <w:rsid w:val="00CA2D1D"/>
    <w:rsid w:val="00CF709E"/>
    <w:rsid w:val="00D041AD"/>
    <w:rsid w:val="00D514D8"/>
    <w:rsid w:val="00D53429"/>
    <w:rsid w:val="00D60D24"/>
    <w:rsid w:val="00D75CDF"/>
    <w:rsid w:val="00D76AC4"/>
    <w:rsid w:val="00D93623"/>
    <w:rsid w:val="00DC0866"/>
    <w:rsid w:val="00DC4BD3"/>
    <w:rsid w:val="00E071C4"/>
    <w:rsid w:val="00E07794"/>
    <w:rsid w:val="00E77FE2"/>
    <w:rsid w:val="00EA5FBD"/>
    <w:rsid w:val="00EB2E36"/>
    <w:rsid w:val="00ED2F0F"/>
    <w:rsid w:val="00F03D89"/>
    <w:rsid w:val="00F20480"/>
    <w:rsid w:val="00F2408A"/>
    <w:rsid w:val="00F451C9"/>
    <w:rsid w:val="00F5152A"/>
    <w:rsid w:val="00F65B59"/>
    <w:rsid w:val="00F922A8"/>
    <w:rsid w:val="00FF02A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3FDB7F"/>
  <w15:docId w15:val="{BF5D23A6-33A6-42D7-A758-CF7B1DEA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sz w:val="22"/>
        <w:szCs w:val="22"/>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41"/>
    <w:pPr>
      <w:ind w:left="425" w:hanging="425"/>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qFormat/>
    <w:rsid w:val="003C0341"/>
    <w:rPr>
      <w:rFonts w:ascii="Calibri" w:eastAsia="Calibri" w:hAnsi="Calibri" w:cs="Times New Roman"/>
      <w:sz w:val="20"/>
      <w:szCs w:val="20"/>
    </w:rPr>
  </w:style>
  <w:style w:type="character" w:styleId="FootnoteReference">
    <w:name w:val="footnote reference"/>
    <w:basedOn w:val="DefaultParagraphFont"/>
    <w:qFormat/>
    <w:rsid w:val="003C0341"/>
    <w:rPr>
      <w:vertAlign w:val="superscript"/>
    </w:rPr>
  </w:style>
  <w:style w:type="character" w:styleId="CommentReference">
    <w:name w:val="annotation reference"/>
    <w:basedOn w:val="DefaultParagraphFont"/>
    <w:qFormat/>
    <w:rsid w:val="003C0341"/>
    <w:rPr>
      <w:sz w:val="16"/>
      <w:szCs w:val="16"/>
    </w:rPr>
  </w:style>
  <w:style w:type="character" w:customStyle="1" w:styleId="CommentTextChar">
    <w:name w:val="Comment Text Char"/>
    <w:basedOn w:val="DefaultParagraphFont"/>
    <w:qFormat/>
    <w:rsid w:val="003C0341"/>
    <w:rPr>
      <w:rFonts w:ascii="Calibri" w:eastAsia="Calibri" w:hAnsi="Calibri" w:cs="Times New Roman"/>
      <w:sz w:val="20"/>
      <w:szCs w:val="20"/>
    </w:rPr>
  </w:style>
  <w:style w:type="character" w:customStyle="1" w:styleId="CommentSubjectChar">
    <w:name w:val="Comment Subject Char"/>
    <w:basedOn w:val="CommentTextChar"/>
    <w:qFormat/>
    <w:rsid w:val="003C0341"/>
    <w:rPr>
      <w:rFonts w:ascii="Calibri" w:eastAsia="Calibri" w:hAnsi="Calibri" w:cs="Times New Roman"/>
      <w:b/>
      <w:bCs/>
      <w:sz w:val="20"/>
      <w:szCs w:val="20"/>
    </w:rPr>
  </w:style>
  <w:style w:type="character" w:customStyle="1" w:styleId="BalloonTextChar">
    <w:name w:val="Balloon Text Char"/>
    <w:basedOn w:val="DefaultParagraphFont"/>
    <w:qFormat/>
    <w:rsid w:val="003C0341"/>
    <w:rPr>
      <w:rFonts w:ascii="Tahoma" w:eastAsia="Calibri" w:hAnsi="Tahoma" w:cs="Tahoma"/>
      <w:sz w:val="16"/>
      <w:szCs w:val="16"/>
    </w:rPr>
  </w:style>
  <w:style w:type="character" w:customStyle="1" w:styleId="HeaderChar">
    <w:name w:val="Header Char"/>
    <w:basedOn w:val="DefaultParagraphFont"/>
    <w:qFormat/>
    <w:rsid w:val="003C0341"/>
    <w:rPr>
      <w:rFonts w:ascii="Calibri" w:eastAsia="Calibri" w:hAnsi="Calibri" w:cs="Times New Roman"/>
    </w:rPr>
  </w:style>
  <w:style w:type="character" w:customStyle="1" w:styleId="FooterChar">
    <w:name w:val="Footer Char"/>
    <w:basedOn w:val="DefaultParagraphFont"/>
    <w:uiPriority w:val="99"/>
    <w:qFormat/>
    <w:rsid w:val="003C0341"/>
    <w:rPr>
      <w:rFonts w:ascii="Calibri" w:eastAsia="Calibri" w:hAnsi="Calibri" w:cs="Times New Roman"/>
    </w:rPr>
  </w:style>
  <w:style w:type="character" w:customStyle="1" w:styleId="EnlacedeInternet">
    <w:name w:val="Enlace de Internet"/>
    <w:basedOn w:val="DefaultParagraphFont"/>
    <w:rsid w:val="003C0341"/>
    <w:rPr>
      <w:color w:val="0000FF"/>
      <w:u w:val="single"/>
    </w:rPr>
  </w:style>
  <w:style w:type="character" w:customStyle="1" w:styleId="xmsohyperlink">
    <w:name w:val="x_msohyperlink"/>
    <w:basedOn w:val="DefaultParagraphFont"/>
    <w:qFormat/>
    <w:rsid w:val="003C0341"/>
    <w:rPr>
      <w:color w:val="0000FF"/>
      <w:u w:val="single"/>
    </w:rPr>
  </w:style>
  <w:style w:type="character" w:customStyle="1" w:styleId="ListLabel1">
    <w:name w:val="ListLabel 1"/>
    <w:qFormat/>
    <w:rsid w:val="003C0341"/>
    <w:rPr>
      <w:b w:val="0"/>
      <w:i w:val="0"/>
    </w:rPr>
  </w:style>
  <w:style w:type="character" w:customStyle="1" w:styleId="ListLabel2">
    <w:name w:val="ListLabel 2"/>
    <w:qFormat/>
    <w:rsid w:val="003C0341"/>
    <w:rPr>
      <w:b w:val="0"/>
      <w:bCs w:val="0"/>
    </w:rPr>
  </w:style>
  <w:style w:type="character" w:customStyle="1" w:styleId="ListLabel3">
    <w:name w:val="ListLabel 3"/>
    <w:qFormat/>
    <w:rsid w:val="003C0341"/>
    <w:rPr>
      <w:rFonts w:cs="Courier New"/>
    </w:rPr>
  </w:style>
  <w:style w:type="character" w:customStyle="1" w:styleId="ListLabel4">
    <w:name w:val="ListLabel 4"/>
    <w:qFormat/>
    <w:rsid w:val="003C0341"/>
    <w:rPr>
      <w:rFonts w:eastAsia="Calibri" w:cs="Times New Roman"/>
    </w:rPr>
  </w:style>
  <w:style w:type="character" w:customStyle="1" w:styleId="ListLabel5">
    <w:name w:val="ListLabel 5"/>
    <w:qFormat/>
    <w:rsid w:val="003C0341"/>
    <w:rPr>
      <w:sz w:val="22"/>
    </w:rPr>
  </w:style>
  <w:style w:type="character" w:customStyle="1" w:styleId="ListLabel6">
    <w:name w:val="ListLabel 6"/>
    <w:qFormat/>
    <w:rsid w:val="003C0341"/>
    <w:rPr>
      <w:lang w:val="en-US"/>
    </w:rPr>
  </w:style>
  <w:style w:type="paragraph" w:styleId="Title">
    <w:name w:val="Title"/>
    <w:basedOn w:val="Normal"/>
    <w:next w:val="BodyText"/>
    <w:uiPriority w:val="10"/>
    <w:qFormat/>
    <w:rsid w:val="003C0341"/>
    <w:pPr>
      <w:keepNext/>
      <w:spacing w:before="240" w:after="120"/>
    </w:pPr>
    <w:rPr>
      <w:rFonts w:ascii="Arial" w:eastAsia="Microsoft YaHei" w:hAnsi="Arial" w:cs="Arial"/>
      <w:sz w:val="28"/>
      <w:szCs w:val="28"/>
    </w:rPr>
  </w:style>
  <w:style w:type="paragraph" w:styleId="BodyText">
    <w:name w:val="Body Text"/>
    <w:basedOn w:val="Normal"/>
    <w:rsid w:val="003C0341"/>
    <w:pPr>
      <w:spacing w:after="120"/>
    </w:pPr>
  </w:style>
  <w:style w:type="paragraph" w:styleId="List">
    <w:name w:val="List"/>
    <w:basedOn w:val="BodyText"/>
    <w:rsid w:val="003C0341"/>
    <w:rPr>
      <w:rFonts w:cs="Arial"/>
    </w:rPr>
  </w:style>
  <w:style w:type="paragraph" w:styleId="Caption">
    <w:name w:val="caption"/>
    <w:basedOn w:val="Normal"/>
    <w:qFormat/>
    <w:rsid w:val="003C0341"/>
    <w:pPr>
      <w:suppressLineNumbers/>
      <w:spacing w:before="120" w:after="120"/>
    </w:pPr>
    <w:rPr>
      <w:rFonts w:cs="Arial"/>
      <w:i/>
      <w:iCs/>
      <w:sz w:val="24"/>
      <w:szCs w:val="24"/>
    </w:rPr>
  </w:style>
  <w:style w:type="paragraph" w:customStyle="1" w:styleId="ndice">
    <w:name w:val="Índice"/>
    <w:basedOn w:val="Normal"/>
    <w:qFormat/>
    <w:rsid w:val="003C0341"/>
    <w:pPr>
      <w:suppressLineNumbers/>
    </w:pPr>
    <w:rPr>
      <w:rFonts w:cs="Arial"/>
    </w:rPr>
  </w:style>
  <w:style w:type="paragraph" w:styleId="FootnoteText">
    <w:name w:val="footnote text"/>
    <w:basedOn w:val="Normal"/>
    <w:qFormat/>
    <w:rsid w:val="003C0341"/>
    <w:pPr>
      <w:ind w:left="0" w:firstLine="0"/>
    </w:pPr>
    <w:rPr>
      <w:sz w:val="20"/>
      <w:szCs w:val="20"/>
    </w:rPr>
  </w:style>
  <w:style w:type="paragraph" w:styleId="ListParagraph">
    <w:name w:val="List Paragraph"/>
    <w:basedOn w:val="Normal"/>
    <w:uiPriority w:val="34"/>
    <w:qFormat/>
    <w:rsid w:val="003C0341"/>
    <w:pPr>
      <w:ind w:left="720"/>
    </w:pPr>
  </w:style>
  <w:style w:type="paragraph" w:styleId="CommentText">
    <w:name w:val="annotation text"/>
    <w:basedOn w:val="Normal"/>
    <w:qFormat/>
    <w:rsid w:val="003C0341"/>
    <w:pPr>
      <w:ind w:left="0" w:firstLine="0"/>
    </w:pPr>
    <w:rPr>
      <w:sz w:val="20"/>
      <w:szCs w:val="20"/>
    </w:rPr>
  </w:style>
  <w:style w:type="paragraph" w:styleId="CommentSubject">
    <w:name w:val="annotation subject"/>
    <w:basedOn w:val="CommentText"/>
    <w:qFormat/>
    <w:rsid w:val="003C0341"/>
    <w:rPr>
      <w:b/>
      <w:bCs/>
    </w:rPr>
  </w:style>
  <w:style w:type="paragraph" w:styleId="BalloonText">
    <w:name w:val="Balloon Text"/>
    <w:basedOn w:val="Normal"/>
    <w:qFormat/>
    <w:rsid w:val="003C0341"/>
    <w:pPr>
      <w:ind w:left="0" w:firstLine="0"/>
    </w:pPr>
    <w:rPr>
      <w:rFonts w:ascii="Tahoma" w:hAnsi="Tahoma" w:cs="Tahoma"/>
      <w:sz w:val="16"/>
      <w:szCs w:val="16"/>
    </w:rPr>
  </w:style>
  <w:style w:type="paragraph" w:styleId="Revision">
    <w:name w:val="Revision"/>
    <w:qFormat/>
    <w:rsid w:val="003C0341"/>
    <w:pPr>
      <w:ind w:left="425" w:hanging="425"/>
    </w:pPr>
    <w:rPr>
      <w:rFonts w:eastAsia="Calibri" w:cs="Times New Roman"/>
    </w:rPr>
  </w:style>
  <w:style w:type="paragraph" w:styleId="Header">
    <w:name w:val="header"/>
    <w:basedOn w:val="Normal"/>
    <w:rsid w:val="003C0341"/>
    <w:pPr>
      <w:suppressLineNumbers/>
      <w:tabs>
        <w:tab w:val="center" w:pos="4513"/>
        <w:tab w:val="right" w:pos="9026"/>
      </w:tabs>
      <w:ind w:left="0" w:firstLine="0"/>
    </w:pPr>
  </w:style>
  <w:style w:type="paragraph" w:styleId="Footer">
    <w:name w:val="footer"/>
    <w:basedOn w:val="Normal"/>
    <w:uiPriority w:val="99"/>
    <w:rsid w:val="003C0341"/>
    <w:pPr>
      <w:suppressLineNumbers/>
      <w:tabs>
        <w:tab w:val="center" w:pos="4513"/>
        <w:tab w:val="right" w:pos="9026"/>
      </w:tabs>
      <w:ind w:left="0" w:firstLine="0"/>
    </w:pPr>
  </w:style>
  <w:style w:type="paragraph" w:customStyle="1" w:styleId="ColorfulList-Accent11">
    <w:name w:val="Colorful List - Accent 11"/>
    <w:basedOn w:val="Normal"/>
    <w:uiPriority w:val="34"/>
    <w:qFormat/>
    <w:rsid w:val="003C0341"/>
    <w:pPr>
      <w:ind w:left="720"/>
    </w:pPr>
  </w:style>
  <w:style w:type="paragraph" w:styleId="NoSpacing">
    <w:name w:val="No Spacing"/>
    <w:uiPriority w:val="1"/>
    <w:qFormat/>
    <w:rsid w:val="003C0341"/>
    <w:pPr>
      <w:ind w:left="425" w:hanging="425"/>
    </w:pPr>
    <w:rPr>
      <w:rFonts w:eastAsia="Calibri" w:cs="Times New Roman"/>
    </w:rPr>
  </w:style>
  <w:style w:type="paragraph" w:styleId="NormalWeb">
    <w:name w:val="Normal (Web)"/>
    <w:basedOn w:val="Normal"/>
    <w:uiPriority w:val="99"/>
    <w:rsid w:val="00720A25"/>
    <w:pPr>
      <w:spacing w:beforeLines="1" w:afterLines="1"/>
      <w:ind w:left="0" w:firstLine="0"/>
    </w:pPr>
    <w:rPr>
      <w:rFonts w:ascii="Times" w:eastAsia="SimSun"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0730">
      <w:bodyDiv w:val="1"/>
      <w:marLeft w:val="0"/>
      <w:marRight w:val="0"/>
      <w:marTop w:val="0"/>
      <w:marBottom w:val="0"/>
      <w:divBdr>
        <w:top w:val="none" w:sz="0" w:space="0" w:color="auto"/>
        <w:left w:val="none" w:sz="0" w:space="0" w:color="auto"/>
        <w:bottom w:val="none" w:sz="0" w:space="0" w:color="auto"/>
        <w:right w:val="none" w:sz="0" w:space="0" w:color="auto"/>
      </w:divBdr>
      <w:divsChild>
        <w:div w:id="865556630">
          <w:marLeft w:val="0"/>
          <w:marRight w:val="0"/>
          <w:marTop w:val="0"/>
          <w:marBottom w:val="0"/>
          <w:divBdr>
            <w:top w:val="none" w:sz="0" w:space="0" w:color="auto"/>
            <w:left w:val="none" w:sz="0" w:space="0" w:color="auto"/>
            <w:bottom w:val="none" w:sz="0" w:space="0" w:color="auto"/>
            <w:right w:val="none" w:sz="0" w:space="0" w:color="auto"/>
          </w:divBdr>
          <w:divsChild>
            <w:div w:id="1214464383">
              <w:marLeft w:val="0"/>
              <w:marRight w:val="0"/>
              <w:marTop w:val="0"/>
              <w:marBottom w:val="0"/>
              <w:divBdr>
                <w:top w:val="none" w:sz="0" w:space="0" w:color="auto"/>
                <w:left w:val="none" w:sz="0" w:space="0" w:color="auto"/>
                <w:bottom w:val="none" w:sz="0" w:space="0" w:color="auto"/>
                <w:right w:val="none" w:sz="0" w:space="0" w:color="auto"/>
              </w:divBdr>
              <w:divsChild>
                <w:div w:id="15645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06022">
      <w:bodyDiv w:val="1"/>
      <w:marLeft w:val="0"/>
      <w:marRight w:val="0"/>
      <w:marTop w:val="0"/>
      <w:marBottom w:val="0"/>
      <w:divBdr>
        <w:top w:val="none" w:sz="0" w:space="0" w:color="auto"/>
        <w:left w:val="none" w:sz="0" w:space="0" w:color="auto"/>
        <w:bottom w:val="none" w:sz="0" w:space="0" w:color="auto"/>
        <w:right w:val="none" w:sz="0" w:space="0" w:color="auto"/>
      </w:divBdr>
      <w:divsChild>
        <w:div w:id="1600480238">
          <w:marLeft w:val="0"/>
          <w:marRight w:val="0"/>
          <w:marTop w:val="0"/>
          <w:marBottom w:val="0"/>
          <w:divBdr>
            <w:top w:val="none" w:sz="0" w:space="0" w:color="auto"/>
            <w:left w:val="none" w:sz="0" w:space="0" w:color="auto"/>
            <w:bottom w:val="none" w:sz="0" w:space="0" w:color="auto"/>
            <w:right w:val="none" w:sz="0" w:space="0" w:color="auto"/>
          </w:divBdr>
          <w:divsChild>
            <w:div w:id="685788491">
              <w:marLeft w:val="0"/>
              <w:marRight w:val="0"/>
              <w:marTop w:val="0"/>
              <w:marBottom w:val="0"/>
              <w:divBdr>
                <w:top w:val="none" w:sz="0" w:space="0" w:color="auto"/>
                <w:left w:val="none" w:sz="0" w:space="0" w:color="auto"/>
                <w:bottom w:val="none" w:sz="0" w:space="0" w:color="auto"/>
                <w:right w:val="none" w:sz="0" w:space="0" w:color="auto"/>
              </w:divBdr>
              <w:divsChild>
                <w:div w:id="4320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xiii.4_sc_roles_e.pdf" TargetMode="External"/><Relationship Id="rId3" Type="http://schemas.openxmlformats.org/officeDocument/2006/relationships/settings" Target="settings.xml"/><Relationship Id="rId7" Type="http://schemas.openxmlformats.org/officeDocument/2006/relationships/hyperlink" Target="https://www.ramsar.org/sites/default/files/documents/library/xiii.4_sc_roles_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9836</Characters>
  <Application>Microsoft Office Word</Application>
  <DocSecurity>0</DocSecurity>
  <Lines>756</Lines>
  <Paragraphs>558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dc:description/>
  <cp:lastModifiedBy>JENNINGS Edmund</cp:lastModifiedBy>
  <cp:revision>2</cp:revision>
  <cp:lastPrinted>2016-10-06T13:08:00Z</cp:lastPrinted>
  <dcterms:created xsi:type="dcterms:W3CDTF">2019-04-05T12:39:00Z</dcterms:created>
  <dcterms:modified xsi:type="dcterms:W3CDTF">2019-04-05T12:39:00Z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IUCN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