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595D1" w14:textId="77777777" w:rsidR="00BD5230" w:rsidRPr="001E3F46" w:rsidRDefault="00BD5230" w:rsidP="00BD5230">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1E3F46">
        <w:rPr>
          <w:bCs/>
          <w:sz w:val="24"/>
          <w:szCs w:val="24"/>
          <w:lang w:val="fr-FR"/>
        </w:rPr>
        <w:t xml:space="preserve">CONVENTION DE RAMSAR SUR LES ZONES HUMIDES </w:t>
      </w:r>
    </w:p>
    <w:p w14:paraId="0D7124D5" w14:textId="77777777" w:rsidR="00BD5230" w:rsidRPr="001E3F46" w:rsidRDefault="00BD5230" w:rsidP="00BD5230">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1E3F46">
        <w:rPr>
          <w:bCs/>
          <w:sz w:val="24"/>
          <w:szCs w:val="24"/>
          <w:lang w:val="fr-FR"/>
        </w:rPr>
        <w:t>57</w:t>
      </w:r>
      <w:r w:rsidRPr="001E3F46">
        <w:rPr>
          <w:bCs/>
          <w:sz w:val="24"/>
          <w:szCs w:val="24"/>
          <w:vertAlign w:val="superscript"/>
          <w:lang w:val="fr-FR"/>
        </w:rPr>
        <w:t>e</w:t>
      </w:r>
      <w:r w:rsidRPr="001E3F46">
        <w:rPr>
          <w:bCs/>
          <w:sz w:val="24"/>
          <w:szCs w:val="24"/>
          <w:lang w:val="fr-FR"/>
        </w:rPr>
        <w:t xml:space="preserve"> Réunion du Comité permanent</w:t>
      </w:r>
    </w:p>
    <w:p w14:paraId="489EB1CE" w14:textId="77777777" w:rsidR="00BD5230" w:rsidRPr="001E3F46" w:rsidRDefault="00BD5230" w:rsidP="00BD5230">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1E3F46">
        <w:rPr>
          <w:bCs/>
          <w:sz w:val="24"/>
          <w:szCs w:val="24"/>
          <w:lang w:val="fr-FR"/>
        </w:rPr>
        <w:t>Gland, Suisse, 24 au 28 juin 2019</w:t>
      </w:r>
    </w:p>
    <w:p w14:paraId="0B180F0B" w14:textId="77777777" w:rsidR="00BD5230" w:rsidRPr="001D732E" w:rsidRDefault="00BD5230" w:rsidP="00BD5230">
      <w:pPr>
        <w:spacing w:after="0" w:line="240" w:lineRule="auto"/>
        <w:outlineLvl w:val="0"/>
        <w:rPr>
          <w:b/>
          <w:sz w:val="28"/>
          <w:szCs w:val="28"/>
          <w:lang w:val="fr-CA"/>
        </w:rPr>
      </w:pPr>
    </w:p>
    <w:p w14:paraId="3505DF5B" w14:textId="08B4E2DD" w:rsidR="00BD5230" w:rsidRPr="001D732E" w:rsidRDefault="00BD5230" w:rsidP="00BD5230">
      <w:pPr>
        <w:spacing w:after="0" w:line="240" w:lineRule="auto"/>
        <w:jc w:val="right"/>
        <w:rPr>
          <w:rFonts w:cs="Arial"/>
          <w:sz w:val="28"/>
          <w:szCs w:val="28"/>
          <w:lang w:val="fr-CA"/>
        </w:rPr>
      </w:pPr>
      <w:r w:rsidRPr="001D732E">
        <w:rPr>
          <w:rFonts w:cs="Arial"/>
          <w:b/>
          <w:sz w:val="28"/>
          <w:szCs w:val="28"/>
          <w:lang w:val="fr-CA"/>
        </w:rPr>
        <w:t xml:space="preserve">SC57 Doc.11.3 </w:t>
      </w:r>
    </w:p>
    <w:p w14:paraId="3D566F0A" w14:textId="77777777" w:rsidR="00BD5230" w:rsidRPr="00017981" w:rsidRDefault="00BD5230" w:rsidP="00BD5230">
      <w:pPr>
        <w:spacing w:after="0" w:line="240" w:lineRule="auto"/>
        <w:rPr>
          <w:rFonts w:cs="Arial"/>
          <w:b/>
          <w:sz w:val="28"/>
          <w:szCs w:val="28"/>
          <w:lang w:val="fr-FR"/>
        </w:rPr>
      </w:pPr>
    </w:p>
    <w:p w14:paraId="37EEA953" w14:textId="77777777" w:rsidR="00BD5230" w:rsidRPr="008B0A95" w:rsidRDefault="00BD5230" w:rsidP="00BD5230">
      <w:pPr>
        <w:spacing w:after="0" w:line="240" w:lineRule="auto"/>
        <w:jc w:val="center"/>
        <w:rPr>
          <w:rFonts w:cs="Arial"/>
          <w:b/>
          <w:sz w:val="28"/>
          <w:szCs w:val="28"/>
          <w:lang w:val="fr-FR"/>
        </w:rPr>
      </w:pPr>
      <w:r w:rsidRPr="008B0A95">
        <w:rPr>
          <w:rFonts w:cs="Arial"/>
          <w:b/>
          <w:sz w:val="28"/>
          <w:szCs w:val="28"/>
          <w:lang w:val="fr-FR"/>
        </w:rPr>
        <w:t>Rapports finals des présidents des groupes de travail supprimés :</w:t>
      </w:r>
    </w:p>
    <w:p w14:paraId="59E2B50F" w14:textId="7863B594" w:rsidR="00BD5230" w:rsidRPr="008B0A95" w:rsidRDefault="00BD5230" w:rsidP="00BD5230">
      <w:pPr>
        <w:spacing w:after="0" w:line="240" w:lineRule="auto"/>
        <w:jc w:val="center"/>
        <w:rPr>
          <w:rFonts w:cs="Arial"/>
          <w:b/>
          <w:sz w:val="28"/>
          <w:szCs w:val="28"/>
          <w:lang w:val="fr-FR"/>
        </w:rPr>
      </w:pPr>
      <w:bookmarkStart w:id="0" w:name="_Hlk4502539"/>
      <w:r w:rsidRPr="008B0A95">
        <w:rPr>
          <w:rFonts w:cs="Arial"/>
          <w:b/>
          <w:sz w:val="28"/>
          <w:szCs w:val="28"/>
          <w:lang w:val="fr-FR"/>
        </w:rPr>
        <w:t>Groupe de travail sur l</w:t>
      </w:r>
      <w:r>
        <w:rPr>
          <w:rFonts w:cs="Arial"/>
          <w:b/>
          <w:sz w:val="28"/>
          <w:szCs w:val="28"/>
          <w:lang w:val="fr-FR"/>
        </w:rPr>
        <w:t>’application de la CESP</w:t>
      </w:r>
    </w:p>
    <w:bookmarkEnd w:id="0"/>
    <w:p w14:paraId="6948ED78" w14:textId="77777777" w:rsidR="00BD5230" w:rsidRPr="008B0A95" w:rsidRDefault="00BD5230" w:rsidP="00BD5230">
      <w:pPr>
        <w:spacing w:after="0" w:line="240" w:lineRule="auto"/>
        <w:rPr>
          <w:rFonts w:cstheme="minorHAnsi"/>
          <w:sz w:val="28"/>
          <w:szCs w:val="28"/>
          <w:lang w:val="fr-FR"/>
        </w:rPr>
      </w:pPr>
    </w:p>
    <w:p w14:paraId="2DCAF973" w14:textId="77777777" w:rsidR="00BD5230" w:rsidRPr="008B0A95" w:rsidRDefault="00BD5230" w:rsidP="00BD5230">
      <w:pPr>
        <w:autoSpaceDE w:val="0"/>
        <w:autoSpaceDN w:val="0"/>
        <w:adjustRightInd w:val="0"/>
        <w:spacing w:after="0" w:line="240" w:lineRule="auto"/>
        <w:rPr>
          <w:rFonts w:cs="Calibri-Bold"/>
          <w:b/>
          <w:bCs/>
          <w:lang w:val="fr-FR"/>
        </w:rPr>
      </w:pPr>
      <w:r w:rsidRPr="008B0A95">
        <w:rPr>
          <w:noProof/>
          <w:lang w:eastAsia="en-GB"/>
        </w:rPr>
        <mc:AlternateContent>
          <mc:Choice Requires="wps">
            <w:drawing>
              <wp:inline distT="0" distB="0" distL="0" distR="0" wp14:anchorId="56F69969" wp14:editId="4D682BE2">
                <wp:extent cx="5731510" cy="696035"/>
                <wp:effectExtent l="0" t="0" r="21590" b="279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96035"/>
                        </a:xfrm>
                        <a:prstGeom prst="rect">
                          <a:avLst/>
                        </a:prstGeom>
                        <a:solidFill>
                          <a:srgbClr val="FFFFFF"/>
                        </a:solidFill>
                        <a:ln w="9525">
                          <a:solidFill>
                            <a:srgbClr val="000000"/>
                          </a:solidFill>
                          <a:miter lim="800000"/>
                          <a:headEnd/>
                          <a:tailEnd/>
                        </a:ln>
                      </wps:spPr>
                      <wps:txbx>
                        <w:txbxContent>
                          <w:p w14:paraId="1F7F08EF" w14:textId="77777777" w:rsidR="00BD5230" w:rsidRPr="008B0A95" w:rsidRDefault="00BD5230" w:rsidP="00BD5230">
                            <w:pPr>
                              <w:spacing w:after="0" w:line="240" w:lineRule="auto"/>
                              <w:rPr>
                                <w:b/>
                                <w:bCs/>
                                <w:lang w:val="fr-FR"/>
                              </w:rPr>
                            </w:pPr>
                            <w:r w:rsidRPr="008B0A95">
                              <w:rPr>
                                <w:b/>
                                <w:bCs/>
                                <w:lang w:val="fr-FR"/>
                              </w:rPr>
                              <w:t xml:space="preserve">Mesure requise : </w:t>
                            </w:r>
                          </w:p>
                          <w:p w14:paraId="67868553" w14:textId="77777777" w:rsidR="00BD5230" w:rsidRPr="008B0A95" w:rsidRDefault="00BD5230" w:rsidP="00BD5230">
                            <w:pPr>
                              <w:pStyle w:val="ColorfulList-Accent11"/>
                              <w:ind w:left="0"/>
                              <w:rPr>
                                <w:lang w:val="fr-FR"/>
                              </w:rPr>
                            </w:pPr>
                          </w:p>
                          <w:p w14:paraId="2EB5AC73" w14:textId="77777777" w:rsidR="00BD5230" w:rsidRPr="00017981" w:rsidRDefault="00BD5230" w:rsidP="00BD5230">
                            <w:pPr>
                              <w:pStyle w:val="ColorfulList-Accent11"/>
                              <w:ind w:left="0" w:firstLine="0"/>
                              <w:rPr>
                                <w:lang w:val="fr-FR"/>
                              </w:rPr>
                            </w:pPr>
                            <w:r w:rsidRPr="008B0A95">
                              <w:rPr>
                                <w:lang w:val="fr-FR"/>
                              </w:rPr>
                              <w:t xml:space="preserve">Le Comité est </w:t>
                            </w:r>
                            <w:r w:rsidRPr="008B0A95">
                              <w:rPr>
                                <w:rFonts w:cs="Calibri"/>
                                <w:lang w:val="fr-FR"/>
                              </w:rPr>
                              <w:t>invité à prendre note du rapport.</w:t>
                            </w:r>
                          </w:p>
                        </w:txbxContent>
                      </wps:txbx>
                      <wps:bodyPr rot="0" vert="horz" wrap="square" lIns="91440" tIns="45720" rIns="91440" bIns="45720" anchor="t" anchorCtr="0" upright="1">
                        <a:noAutofit/>
                      </wps:bodyPr>
                    </wps:wsp>
                  </a:graphicData>
                </a:graphic>
              </wp:inline>
            </w:drawing>
          </mc:Choice>
          <mc:Fallback>
            <w:pict>
              <v:shapetype w14:anchorId="56F69969" id="_x0000_t202" coordsize="21600,21600" o:spt="202" path="m,l,21600r21600,l21600,xe">
                <v:stroke joinstyle="miter"/>
                <v:path gradientshapeok="t" o:connecttype="rect"/>
              </v:shapetype>
              <v:shape id="Text Box 1" o:spid="_x0000_s1026" type="#_x0000_t202" style="width:451.3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">
                <v:textbox>
                  <w:txbxContent>
                    <w:p w14:paraId="1F7F08EF" w14:textId="77777777" w:rsidR="00BD5230" w:rsidRPr="008B0A95" w:rsidRDefault="00BD5230" w:rsidP="00BD5230">
                      <w:pPr>
                        <w:spacing w:after="0" w:line="240" w:lineRule="auto"/>
                        <w:rPr>
                          <w:b/>
                          <w:bCs/>
                          <w:lang w:val="fr-FR"/>
                        </w:rPr>
                      </w:pPr>
                      <w:r w:rsidRPr="008B0A95">
                        <w:rPr>
                          <w:b/>
                          <w:bCs/>
                          <w:lang w:val="fr-FR"/>
                        </w:rPr>
                        <w:t xml:space="preserve">Mesure requise : </w:t>
                      </w:r>
                    </w:p>
                    <w:p w14:paraId="67868553" w14:textId="77777777" w:rsidR="00BD5230" w:rsidRPr="008B0A95" w:rsidRDefault="00BD5230" w:rsidP="00BD5230">
                      <w:pPr>
                        <w:pStyle w:val="ColorfulList-Accent11"/>
                        <w:ind w:left="0"/>
                        <w:rPr>
                          <w:lang w:val="fr-FR"/>
                        </w:rPr>
                      </w:pPr>
                    </w:p>
                    <w:p w14:paraId="2EB5AC73" w14:textId="77777777" w:rsidR="00BD5230" w:rsidRPr="00017981" w:rsidRDefault="00BD5230" w:rsidP="00BD5230">
                      <w:pPr>
                        <w:pStyle w:val="ColorfulList-Accent11"/>
                        <w:ind w:left="0" w:firstLine="0"/>
                        <w:rPr>
                          <w:lang w:val="fr-FR"/>
                        </w:rPr>
                      </w:pPr>
                      <w:r w:rsidRPr="008B0A95">
                        <w:rPr>
                          <w:lang w:val="fr-FR"/>
                        </w:rPr>
                        <w:t xml:space="preserve">Le Comité est </w:t>
                      </w:r>
                      <w:r w:rsidRPr="008B0A95">
                        <w:rPr>
                          <w:rFonts w:cs="Calibri"/>
                          <w:lang w:val="fr-FR"/>
                        </w:rPr>
                        <w:t>invité à prendre note du rapport.</w:t>
                      </w:r>
                    </w:p>
                  </w:txbxContent>
                </v:textbox>
                <w10:anchorlock/>
              </v:shape>
            </w:pict>
          </mc:Fallback>
        </mc:AlternateContent>
      </w:r>
    </w:p>
    <w:p w14:paraId="5ED076FC" w14:textId="77777777" w:rsidR="00BD5230" w:rsidRPr="008B0A95" w:rsidRDefault="00BD5230" w:rsidP="00BD5230">
      <w:pPr>
        <w:spacing w:after="0" w:line="240" w:lineRule="auto"/>
        <w:rPr>
          <w:rFonts w:cs="Arial"/>
          <w:b/>
          <w:lang w:val="fr-FR"/>
        </w:rPr>
      </w:pPr>
    </w:p>
    <w:p w14:paraId="7E7182F3" w14:textId="77777777" w:rsidR="00BD5230" w:rsidRPr="008B0A95" w:rsidRDefault="00BD5230" w:rsidP="00BD5230">
      <w:pPr>
        <w:spacing w:after="0" w:line="240" w:lineRule="auto"/>
        <w:rPr>
          <w:rFonts w:cs="Arial"/>
          <w:b/>
          <w:lang w:val="fr-FR"/>
        </w:rPr>
      </w:pPr>
    </w:p>
    <w:p w14:paraId="63B9A993" w14:textId="15CC42EE" w:rsidR="00BD5230" w:rsidRPr="008B0A95" w:rsidRDefault="00BD5230" w:rsidP="00BD5230">
      <w:pPr>
        <w:spacing w:after="0" w:line="240" w:lineRule="auto"/>
        <w:ind w:left="425" w:hanging="425"/>
        <w:rPr>
          <w:rFonts w:cs="Arial"/>
          <w:lang w:val="fr-FR"/>
        </w:rPr>
      </w:pPr>
      <w:r w:rsidRPr="008B0A95">
        <w:rPr>
          <w:rFonts w:cs="Arial"/>
          <w:lang w:val="fr-FR"/>
        </w:rPr>
        <w:t>1.</w:t>
      </w:r>
      <w:r w:rsidRPr="008B0A95">
        <w:rPr>
          <w:rFonts w:cs="Arial"/>
          <w:lang w:val="fr-FR"/>
        </w:rPr>
        <w:tab/>
        <w:t>À sa 13</w:t>
      </w:r>
      <w:r w:rsidRPr="008B0A95">
        <w:rPr>
          <w:rFonts w:cs="Arial"/>
          <w:vertAlign w:val="superscript"/>
          <w:lang w:val="fr-FR"/>
        </w:rPr>
        <w:t>e</w:t>
      </w:r>
      <w:r w:rsidRPr="008B0A95">
        <w:rPr>
          <w:rFonts w:cs="Arial"/>
          <w:lang w:val="fr-FR"/>
        </w:rPr>
        <w:t xml:space="preserve"> session (COP13)</w:t>
      </w:r>
      <w:r w:rsidR="001D732E">
        <w:rPr>
          <w:rFonts w:cs="Arial"/>
          <w:lang w:val="fr-FR"/>
        </w:rPr>
        <w:t>,</w:t>
      </w:r>
      <w:r w:rsidRPr="008B0A95">
        <w:rPr>
          <w:rFonts w:cs="Arial"/>
          <w:lang w:val="fr-FR"/>
        </w:rPr>
        <w:t xml:space="preserve"> la Conférence des Parties contractant</w:t>
      </w:r>
      <w:r w:rsidR="001D732E">
        <w:rPr>
          <w:rFonts w:cs="Arial"/>
          <w:lang w:val="fr-FR"/>
        </w:rPr>
        <w:t>es a décidé, dans la Résolution </w:t>
      </w:r>
      <w:r w:rsidRPr="008B0A95">
        <w:rPr>
          <w:rFonts w:cs="Arial"/>
          <w:lang w:val="fr-FR"/>
        </w:rPr>
        <w:t xml:space="preserve">XIII.3, </w:t>
      </w:r>
      <w:r w:rsidRPr="008B0A95">
        <w:rPr>
          <w:i/>
          <w:lang w:val="fr-FR"/>
        </w:rPr>
        <w:t>Gouvernance de la Convention</w:t>
      </w:r>
      <w:r w:rsidRPr="008B0A95">
        <w:rPr>
          <w:lang w:val="fr-FR"/>
        </w:rPr>
        <w:t>, de supprimer les groupes de travail énumérés en annexe 1 de la même Résolution, et a invité les présidents de ces organes subsidiaires, le cas échéant, à remettre un rapport final au Comité permanent sur les résultats des travaux de leur organe subsidiaire, pour publication sur le site web de la Convention avant la 57</w:t>
      </w:r>
      <w:r w:rsidRPr="008B0A95">
        <w:rPr>
          <w:vertAlign w:val="superscript"/>
          <w:lang w:val="fr-FR"/>
        </w:rPr>
        <w:t>e</w:t>
      </w:r>
      <w:r w:rsidRPr="008B0A95">
        <w:rPr>
          <w:lang w:val="fr-FR"/>
        </w:rPr>
        <w:t xml:space="preserve"> </w:t>
      </w:r>
      <w:r w:rsidR="001D732E">
        <w:rPr>
          <w:lang w:val="fr-FR"/>
        </w:rPr>
        <w:t>Réunion</w:t>
      </w:r>
      <w:r w:rsidRPr="008B0A95">
        <w:rPr>
          <w:lang w:val="fr-FR"/>
        </w:rPr>
        <w:t xml:space="preserve"> du Comité permanent</w:t>
      </w:r>
      <w:r w:rsidRPr="008B0A95">
        <w:rPr>
          <w:rFonts w:cs="Arial"/>
          <w:lang w:val="fr-FR"/>
        </w:rPr>
        <w:t xml:space="preserve">. </w:t>
      </w:r>
    </w:p>
    <w:p w14:paraId="64AB4BA2" w14:textId="77777777" w:rsidR="00BD5230" w:rsidRPr="008B0A95" w:rsidRDefault="00BD5230" w:rsidP="00BD5230">
      <w:pPr>
        <w:pStyle w:val="ListParagraph"/>
        <w:spacing w:after="0" w:line="240" w:lineRule="auto"/>
        <w:ind w:left="426"/>
        <w:rPr>
          <w:rFonts w:cs="Arial"/>
          <w:lang w:val="fr-FR"/>
        </w:rPr>
      </w:pPr>
    </w:p>
    <w:p w14:paraId="1A8180E3" w14:textId="26D2D8EE" w:rsidR="00BD5230" w:rsidRPr="00017981" w:rsidRDefault="00BD5230" w:rsidP="00BD5230">
      <w:pPr>
        <w:pStyle w:val="NoSpacing"/>
        <w:rPr>
          <w:lang w:val="fr-FR"/>
        </w:rPr>
      </w:pPr>
      <w:r w:rsidRPr="008B0A95">
        <w:rPr>
          <w:lang w:val="fr-FR"/>
        </w:rPr>
        <w:t>2.</w:t>
      </w:r>
      <w:r w:rsidRPr="008B0A95">
        <w:rPr>
          <w:lang w:val="fr-FR"/>
        </w:rPr>
        <w:tab/>
        <w:t xml:space="preserve">Le rapport final </w:t>
      </w:r>
      <w:bookmarkStart w:id="1" w:name="_Hlk4502653"/>
      <w:r w:rsidRPr="008B0A95">
        <w:rPr>
          <w:lang w:val="fr-FR"/>
        </w:rPr>
        <w:t xml:space="preserve">du Groupe de travail sur </w:t>
      </w:r>
      <w:r>
        <w:rPr>
          <w:lang w:val="fr-FR"/>
        </w:rPr>
        <w:t>l’application de la CESP</w:t>
      </w:r>
      <w:r w:rsidRPr="008B0A95">
        <w:rPr>
          <w:lang w:val="fr-FR"/>
        </w:rPr>
        <w:t xml:space="preserve"> </w:t>
      </w:r>
      <w:bookmarkEnd w:id="1"/>
      <w:r w:rsidRPr="008B0A95">
        <w:rPr>
          <w:lang w:val="fr-FR"/>
        </w:rPr>
        <w:t>se trouve ci-joint.</w:t>
      </w:r>
    </w:p>
    <w:p w14:paraId="753A41AE" w14:textId="77777777" w:rsidR="00BD5230" w:rsidRPr="001D732E" w:rsidRDefault="00BD5230" w:rsidP="00BD5230">
      <w:pPr>
        <w:spacing w:after="0" w:line="240" w:lineRule="auto"/>
        <w:rPr>
          <w:rFonts w:ascii="Times New Roman" w:hAnsi="Times New Roman" w:cs="Times New Roman"/>
          <w:b/>
          <w:color w:val="000000"/>
          <w:sz w:val="24"/>
          <w:szCs w:val="24"/>
          <w:lang w:val="fr-CA"/>
        </w:rPr>
      </w:pPr>
      <w:r w:rsidRPr="001D732E">
        <w:rPr>
          <w:b/>
          <w:color w:val="000000"/>
          <w:lang w:val="fr-CA"/>
        </w:rPr>
        <w:br w:type="page"/>
      </w:r>
    </w:p>
    <w:p w14:paraId="043F8D4B" w14:textId="00CD2D23" w:rsidR="0085019B" w:rsidRPr="00EA2422" w:rsidRDefault="00EA2422" w:rsidP="0085019B">
      <w:pPr>
        <w:spacing w:after="0"/>
        <w:rPr>
          <w:b/>
          <w:lang w:val="fr-FR"/>
        </w:rPr>
      </w:pPr>
      <w:r w:rsidRPr="00EA2422">
        <w:rPr>
          <w:b/>
          <w:lang w:val="fr-FR"/>
        </w:rPr>
        <w:t>Rapport final du Groupe de travail sur l’application de la CESP</w:t>
      </w:r>
    </w:p>
    <w:p w14:paraId="57DADE28" w14:textId="4A3D06B8" w:rsidR="00B10153" w:rsidRPr="001D732E" w:rsidRDefault="0028187A" w:rsidP="0085019B">
      <w:pPr>
        <w:spacing w:after="0"/>
        <w:rPr>
          <w:b/>
          <w:lang w:val="fr-CA"/>
        </w:rPr>
      </w:pPr>
      <w:r w:rsidRPr="001D732E">
        <w:rPr>
          <w:b/>
          <w:lang w:val="fr-CA"/>
        </w:rPr>
        <w:t xml:space="preserve">20 </w:t>
      </w:r>
      <w:r w:rsidR="00EA2422" w:rsidRPr="001D732E">
        <w:rPr>
          <w:b/>
          <w:lang w:val="fr-CA"/>
        </w:rPr>
        <w:t>mars</w:t>
      </w:r>
      <w:r w:rsidR="00B10153" w:rsidRPr="001D732E">
        <w:rPr>
          <w:b/>
          <w:lang w:val="fr-CA"/>
        </w:rPr>
        <w:t xml:space="preserve"> 2019</w:t>
      </w:r>
    </w:p>
    <w:p w14:paraId="59CA6077" w14:textId="77777777" w:rsidR="00B10153" w:rsidRPr="001D732E" w:rsidRDefault="00B10153" w:rsidP="0085019B">
      <w:pPr>
        <w:spacing w:after="0"/>
        <w:rPr>
          <w:lang w:val="fr-CA"/>
        </w:rPr>
      </w:pPr>
    </w:p>
    <w:p w14:paraId="71E16DC0" w14:textId="1C0348AC" w:rsidR="0085019B" w:rsidRPr="001D732E" w:rsidRDefault="00EA2422" w:rsidP="0085019B">
      <w:pPr>
        <w:spacing w:after="0"/>
        <w:rPr>
          <w:lang w:val="fr-CA"/>
        </w:rPr>
      </w:pPr>
      <w:r w:rsidRPr="00A42064">
        <w:rPr>
          <w:lang w:val="fr-FR"/>
        </w:rPr>
        <w:t>La Ré</w:t>
      </w:r>
      <w:r w:rsidR="00AF4862" w:rsidRPr="00A42064">
        <w:rPr>
          <w:lang w:val="fr-FR"/>
        </w:rPr>
        <w:t xml:space="preserve">solution XII.9 </w:t>
      </w:r>
      <w:r w:rsidR="00A42064" w:rsidRPr="00A42064">
        <w:rPr>
          <w:lang w:val="fr-FR"/>
        </w:rPr>
        <w:t xml:space="preserve">demandait au Comité permanent de créer, </w:t>
      </w:r>
      <w:r w:rsidR="00CA1683">
        <w:rPr>
          <w:lang w:val="fr-FR"/>
        </w:rPr>
        <w:t>à</w:t>
      </w:r>
      <w:r w:rsidR="00A42064" w:rsidRPr="00A42064">
        <w:rPr>
          <w:lang w:val="fr-FR"/>
        </w:rPr>
        <w:t xml:space="preserve"> sa 51</w:t>
      </w:r>
      <w:r w:rsidR="00A42064" w:rsidRPr="007733AF">
        <w:rPr>
          <w:vertAlign w:val="superscript"/>
          <w:lang w:val="fr-FR"/>
        </w:rPr>
        <w:t>e</w:t>
      </w:r>
      <w:r w:rsidR="00A42064" w:rsidRPr="00A42064">
        <w:rPr>
          <w:lang w:val="fr-FR"/>
        </w:rPr>
        <w:t xml:space="preserve"> Réunion, un mécanisme associant les Parties contractantes et le Secrétariat</w:t>
      </w:r>
      <w:r w:rsidR="007733AF">
        <w:rPr>
          <w:lang w:val="fr-FR"/>
        </w:rPr>
        <w:t xml:space="preserve"> pour </w:t>
      </w:r>
      <w:r w:rsidR="00A42064" w:rsidRPr="00A42064">
        <w:rPr>
          <w:lang w:val="fr-FR"/>
        </w:rPr>
        <w:t>guider les activités de communication du Secrétariat, notamment l’établissement de priorités et la supervision de la préparation du Plan d’action de CESP du Secrétariat, contrôler l’efficacité du Plan et faire rapport au Groupe de travail sur la gestion à chacune de ses réunions</w:t>
      </w:r>
      <w:r w:rsidR="00CA1683">
        <w:rPr>
          <w:lang w:val="fr-FR"/>
        </w:rPr>
        <w:t>,</w:t>
      </w:r>
      <w:r w:rsidR="007733AF">
        <w:rPr>
          <w:lang w:val="fr-FR"/>
        </w:rPr>
        <w:t xml:space="preserve"> et demandait aussi</w:t>
      </w:r>
      <w:r w:rsidR="00A42064" w:rsidRPr="00A42064">
        <w:rPr>
          <w:lang w:val="fr-FR"/>
        </w:rPr>
        <w:t xml:space="preserve"> que le mécanisme ainsi créé vise à élaborer, avec l’avis du Groupe d’évaluation scientifique et technique (GEST), une nouvelle approche, apportant conseils et soutien à la CESP dans le cadre de la Convention, à soumettre à la 13</w:t>
      </w:r>
      <w:r w:rsidR="00A42064" w:rsidRPr="007733AF">
        <w:rPr>
          <w:vertAlign w:val="superscript"/>
          <w:lang w:val="fr-FR"/>
        </w:rPr>
        <w:t>e</w:t>
      </w:r>
      <w:r w:rsidR="00A42064" w:rsidRPr="00A42064">
        <w:rPr>
          <w:lang w:val="fr-FR"/>
        </w:rPr>
        <w:t xml:space="preserve"> Session de la Conférence des Parties (COP13)</w:t>
      </w:r>
      <w:r w:rsidR="007733AF">
        <w:rPr>
          <w:lang w:val="fr-FR"/>
        </w:rPr>
        <w:t>.</w:t>
      </w:r>
    </w:p>
    <w:p w14:paraId="55F13586" w14:textId="2C0B2BE2" w:rsidR="0085019B" w:rsidRPr="001D732E" w:rsidRDefault="0085019B" w:rsidP="006B10AA">
      <w:pPr>
        <w:spacing w:after="0"/>
        <w:rPr>
          <w:lang w:val="fr-CA"/>
        </w:rPr>
      </w:pPr>
    </w:p>
    <w:p w14:paraId="1C7A234E" w14:textId="1976A429" w:rsidR="000234AA" w:rsidRPr="001D732E" w:rsidRDefault="001D732E" w:rsidP="00DF2EF1">
      <w:pPr>
        <w:spacing w:after="0"/>
        <w:rPr>
          <w:lang w:val="fr-CH"/>
        </w:rPr>
      </w:pPr>
      <w:r w:rsidRPr="001D732E">
        <w:rPr>
          <w:lang w:val="fr-CH"/>
        </w:rPr>
        <w:t>À sa 51</w:t>
      </w:r>
      <w:r w:rsidRPr="001D732E">
        <w:rPr>
          <w:vertAlign w:val="superscript"/>
          <w:lang w:val="fr-CH"/>
        </w:rPr>
        <w:t>e</w:t>
      </w:r>
      <w:r w:rsidRPr="001D732E">
        <w:rPr>
          <w:lang w:val="fr-CH"/>
        </w:rPr>
        <w:t xml:space="preserve"> Réunion, le Comité permanent a créé un </w:t>
      </w:r>
      <w:r w:rsidR="00CB55D4">
        <w:rPr>
          <w:lang w:val="fr-CH"/>
        </w:rPr>
        <w:t>G</w:t>
      </w:r>
      <w:r w:rsidRPr="001D732E">
        <w:rPr>
          <w:lang w:val="fr-CH"/>
        </w:rPr>
        <w:t>roupe de travail à composition non limitée sur l’application de la CESP</w:t>
      </w:r>
      <w:r w:rsidR="00AF4862" w:rsidRPr="001D732E">
        <w:rPr>
          <w:lang w:val="fr-CH"/>
        </w:rPr>
        <w:t xml:space="preserve">. </w:t>
      </w:r>
      <w:r>
        <w:rPr>
          <w:lang w:val="fr-CH"/>
        </w:rPr>
        <w:t>Le g</w:t>
      </w:r>
      <w:r w:rsidRPr="001D732E">
        <w:rPr>
          <w:lang w:val="fr-CH"/>
        </w:rPr>
        <w:t>roupe était ouvert à toutes les Parties et présidé par l’Afrique du Sud.</w:t>
      </w:r>
      <w:r w:rsidR="00137FAA">
        <w:rPr>
          <w:lang w:val="fr-CH"/>
        </w:rPr>
        <w:t xml:space="preserve"> </w:t>
      </w:r>
      <w:r w:rsidRPr="001D732E">
        <w:rPr>
          <w:lang w:val="fr-CA"/>
        </w:rPr>
        <w:t xml:space="preserve">À la même réunion, le Secrétariat a présenté son </w:t>
      </w:r>
      <w:hyperlink r:id="rId7" w:history="1">
        <w:r>
          <w:rPr>
            <w:rStyle w:val="Hyperlink"/>
            <w:lang w:val="fr-CH"/>
          </w:rPr>
          <w:t>Plan d’acti</w:t>
        </w:r>
        <w:r>
          <w:rPr>
            <w:rStyle w:val="Hyperlink"/>
            <w:lang w:val="fr-CH"/>
          </w:rPr>
          <w:t>o</w:t>
        </w:r>
        <w:r>
          <w:rPr>
            <w:rStyle w:val="Hyperlink"/>
            <w:lang w:val="fr-CH"/>
          </w:rPr>
          <w:t xml:space="preserve">n de CESP pour le Secrétariat Ramsar </w:t>
        </w:r>
        <w:r>
          <w:rPr>
            <w:rStyle w:val="Hyperlink"/>
            <w:lang w:val="fr-CA"/>
          </w:rPr>
          <w:t>2016</w:t>
        </w:r>
        <w:r>
          <w:rPr>
            <w:rStyle w:val="Hyperlink"/>
            <w:lang w:val="fr-CA"/>
          </w:rPr>
          <w:noBreakHyphen/>
        </w:r>
        <w:r w:rsidR="00EA4B6C" w:rsidRPr="001D732E">
          <w:rPr>
            <w:rStyle w:val="Hyperlink"/>
            <w:lang w:val="fr-CA"/>
          </w:rPr>
          <w:t>2024</w:t>
        </w:r>
      </w:hyperlink>
      <w:r w:rsidR="00EA4B6C" w:rsidRPr="001D732E">
        <w:rPr>
          <w:lang w:val="fr-CA"/>
        </w:rPr>
        <w:t xml:space="preserve"> </w:t>
      </w:r>
      <w:r w:rsidR="00091CBA" w:rsidRPr="001D732E">
        <w:rPr>
          <w:lang w:val="fr-CH"/>
        </w:rPr>
        <w:t>(Doc.</w:t>
      </w:r>
      <w:r>
        <w:rPr>
          <w:lang w:val="fr-CH"/>
        </w:rPr>
        <w:t> SC51</w:t>
      </w:r>
      <w:r>
        <w:rPr>
          <w:lang w:val="fr-CH"/>
        </w:rPr>
        <w:noBreakHyphen/>
      </w:r>
      <w:r w:rsidR="00091CBA" w:rsidRPr="001D732E">
        <w:rPr>
          <w:lang w:val="fr-CH"/>
        </w:rPr>
        <w:t>14)</w:t>
      </w:r>
      <w:r>
        <w:rPr>
          <w:lang w:val="fr-CH"/>
        </w:rPr>
        <w:t>.</w:t>
      </w:r>
    </w:p>
    <w:p w14:paraId="42D6535F" w14:textId="77777777" w:rsidR="00EA4B6C" w:rsidRPr="001D732E" w:rsidRDefault="00EA4B6C" w:rsidP="00DF2EF1">
      <w:pPr>
        <w:spacing w:after="0"/>
        <w:rPr>
          <w:lang w:val="fr-CA"/>
        </w:rPr>
      </w:pPr>
    </w:p>
    <w:p w14:paraId="768ED156" w14:textId="55C9EBB4" w:rsidR="000234AA" w:rsidRPr="001D732E" w:rsidRDefault="00B95212" w:rsidP="000234AA">
      <w:pPr>
        <w:spacing w:after="0"/>
        <w:rPr>
          <w:lang w:val="fr-CH"/>
        </w:rPr>
      </w:pPr>
      <w:r w:rsidRPr="00CA1683">
        <w:rPr>
          <w:lang w:val="fr-CH"/>
        </w:rPr>
        <w:t>La Dé</w:t>
      </w:r>
      <w:r w:rsidR="000234AA" w:rsidRPr="00CA1683">
        <w:rPr>
          <w:lang w:val="fr-CH"/>
        </w:rPr>
        <w:t xml:space="preserve">cision SC51-21 </w:t>
      </w:r>
      <w:r w:rsidRPr="00CA1683">
        <w:rPr>
          <w:lang w:val="fr-CH"/>
        </w:rPr>
        <w:t>donnait instruction au Secrétariat de présenter, pour examen à sa 52</w:t>
      </w:r>
      <w:r w:rsidRPr="00CA1683">
        <w:rPr>
          <w:vertAlign w:val="superscript"/>
          <w:lang w:val="fr-CH"/>
        </w:rPr>
        <w:t>e</w:t>
      </w:r>
      <w:r w:rsidRPr="00CA1683">
        <w:rPr>
          <w:lang w:val="fr-CH"/>
        </w:rPr>
        <w:t xml:space="preserve"> Réunion, un Plan d’action de CESP </w:t>
      </w:r>
      <w:r w:rsidR="00291947" w:rsidRPr="00CA1683">
        <w:rPr>
          <w:lang w:val="fr-CH"/>
        </w:rPr>
        <w:t>révisé (</w:t>
      </w:r>
      <w:r w:rsidRPr="00CA1683">
        <w:rPr>
          <w:lang w:val="fr-CH"/>
        </w:rPr>
        <w:t>plus court</w:t>
      </w:r>
      <w:r w:rsidR="00291947" w:rsidRPr="00CA1683">
        <w:rPr>
          <w:lang w:val="fr-CH"/>
        </w:rPr>
        <w:t>)</w:t>
      </w:r>
      <w:r w:rsidRPr="00CA1683">
        <w:rPr>
          <w:lang w:val="fr-CH"/>
        </w:rPr>
        <w:t xml:space="preserve"> en tenant compte de tout commentaire communiqué par écrit par les Parties contractantes</w:t>
      </w:r>
      <w:r w:rsidR="000234AA" w:rsidRPr="00CA1683">
        <w:rPr>
          <w:lang w:val="fr-CH"/>
        </w:rPr>
        <w:t>.</w:t>
      </w:r>
      <w:r w:rsidRPr="001D732E">
        <w:rPr>
          <w:lang w:val="fr-CH"/>
        </w:rPr>
        <w:t xml:space="preserve"> </w:t>
      </w:r>
      <w:r w:rsidR="001D732E" w:rsidRPr="001D732E">
        <w:rPr>
          <w:lang w:val="fr-CH"/>
        </w:rPr>
        <w:t>Le Groupe de travail sur l’application de la CESP a été prié de fournir des orientations</w:t>
      </w:r>
      <w:r w:rsidR="001D732E">
        <w:rPr>
          <w:lang w:val="fr-CH"/>
        </w:rPr>
        <w:t xml:space="preserve"> au Secrétariat pour élaborer un plan d’action de CESP plus focalisé et le présenter à la 52</w:t>
      </w:r>
      <w:r w:rsidR="001D732E" w:rsidRPr="001D732E">
        <w:rPr>
          <w:vertAlign w:val="superscript"/>
          <w:lang w:val="fr-CH"/>
        </w:rPr>
        <w:t>e</w:t>
      </w:r>
      <w:r w:rsidR="001D732E">
        <w:rPr>
          <w:lang w:val="fr-CH"/>
        </w:rPr>
        <w:t> Réunion du Comité permanent.</w:t>
      </w:r>
      <w:r w:rsidR="001D732E" w:rsidRPr="001D732E">
        <w:rPr>
          <w:lang w:val="fr-CH"/>
        </w:rPr>
        <w:t xml:space="preserve"> </w:t>
      </w:r>
    </w:p>
    <w:p w14:paraId="5A885245" w14:textId="77777777" w:rsidR="00091CBA" w:rsidRPr="001D732E" w:rsidRDefault="00091CBA" w:rsidP="00DF2EF1">
      <w:pPr>
        <w:spacing w:after="0"/>
        <w:rPr>
          <w:lang w:val="fr-CH"/>
        </w:rPr>
      </w:pPr>
    </w:p>
    <w:p w14:paraId="13F37CFF" w14:textId="0A40F4E5" w:rsidR="00AC7B32" w:rsidRPr="001D732E" w:rsidRDefault="00137FAA" w:rsidP="00AC7B32">
      <w:pPr>
        <w:spacing w:after="0"/>
        <w:rPr>
          <w:lang w:val="fr-CH"/>
        </w:rPr>
      </w:pPr>
      <w:r>
        <w:rPr>
          <w:lang w:val="fr-CA"/>
        </w:rPr>
        <w:t>Le Président du G</w:t>
      </w:r>
      <w:r w:rsidR="001D732E" w:rsidRPr="001D732E">
        <w:rPr>
          <w:lang w:val="fr-CA"/>
        </w:rPr>
        <w:t>roupe de travail a fait rapport à la 52</w:t>
      </w:r>
      <w:r w:rsidR="001D732E" w:rsidRPr="001D732E">
        <w:rPr>
          <w:vertAlign w:val="superscript"/>
          <w:lang w:val="fr-CA"/>
        </w:rPr>
        <w:t>e</w:t>
      </w:r>
      <w:r w:rsidR="001D732E" w:rsidRPr="001D732E">
        <w:rPr>
          <w:lang w:val="fr-CA"/>
        </w:rPr>
        <w:t xml:space="preserve"> Réunion du Comité permanent sur les progrès d’élaboration d’un </w:t>
      </w:r>
      <w:hyperlink r:id="rId8" w:history="1">
        <w:r w:rsidR="001D732E" w:rsidRPr="001D732E">
          <w:rPr>
            <w:rStyle w:val="Hyperlink"/>
            <w:lang w:val="fr-CA"/>
          </w:rPr>
          <w:t xml:space="preserve">Plan d’action de </w:t>
        </w:r>
        <w:r w:rsidR="001D732E">
          <w:rPr>
            <w:rStyle w:val="Hyperlink"/>
            <w:lang w:val="fr-CA"/>
          </w:rPr>
          <w:t>CESP révisé</w:t>
        </w:r>
      </w:hyperlink>
      <w:r w:rsidR="00091CBA" w:rsidRPr="001D732E">
        <w:rPr>
          <w:lang w:val="fr-CA"/>
        </w:rPr>
        <w:t xml:space="preserve"> (</w:t>
      </w:r>
      <w:r w:rsidR="001D732E">
        <w:rPr>
          <w:lang w:val="fr-CA"/>
        </w:rPr>
        <w:t>SC52</w:t>
      </w:r>
      <w:r w:rsidR="001D732E">
        <w:rPr>
          <w:lang w:val="fr-CA"/>
        </w:rPr>
        <w:noBreakHyphen/>
      </w:r>
      <w:r w:rsidR="00091CBA" w:rsidRPr="001D732E">
        <w:rPr>
          <w:lang w:val="fr-CA"/>
        </w:rPr>
        <w:t>23)</w:t>
      </w:r>
      <w:r w:rsidR="00CA1683">
        <w:rPr>
          <w:lang w:val="fr-CA"/>
        </w:rPr>
        <w:t xml:space="preserve">, son </w:t>
      </w:r>
      <w:r w:rsidR="001D732E">
        <w:rPr>
          <w:lang w:val="fr-CA"/>
        </w:rPr>
        <w:t>intégration dans le plan de travail triennal et</w:t>
      </w:r>
      <w:r w:rsidR="00CA1683">
        <w:rPr>
          <w:lang w:val="fr-CA"/>
        </w:rPr>
        <w:t xml:space="preserve"> son</w:t>
      </w:r>
      <w:r w:rsidR="001D732E">
        <w:rPr>
          <w:lang w:val="fr-CA"/>
        </w:rPr>
        <w:t xml:space="preserve"> application par le Secrétariat. </w:t>
      </w:r>
      <w:r w:rsidR="001D732E" w:rsidRPr="001D732E">
        <w:rPr>
          <w:lang w:val="fr-CA"/>
        </w:rPr>
        <w:t xml:space="preserve">Le Comité permanent a approuvé le Plan d’action de CESP révisé pour le Secrétariat </w:t>
      </w:r>
      <w:r w:rsidR="001D732E">
        <w:rPr>
          <w:lang w:val="fr-CA"/>
        </w:rPr>
        <w:t xml:space="preserve">Ramsar pour </w:t>
      </w:r>
      <w:r w:rsidR="001D732E">
        <w:rPr>
          <w:lang w:val="fr-CH"/>
        </w:rPr>
        <w:t>2016</w:t>
      </w:r>
      <w:r w:rsidR="001D732E">
        <w:rPr>
          <w:lang w:val="fr-CH"/>
        </w:rPr>
        <w:noBreakHyphen/>
      </w:r>
      <w:r w:rsidR="00AC7B32" w:rsidRPr="001D732E">
        <w:rPr>
          <w:lang w:val="fr-CH"/>
        </w:rPr>
        <w:t>2018 (</w:t>
      </w:r>
      <w:r w:rsidR="001D732E">
        <w:rPr>
          <w:lang w:val="fr-CH"/>
        </w:rPr>
        <w:t>Décision</w:t>
      </w:r>
      <w:r w:rsidR="00AC7B32" w:rsidRPr="001D732E">
        <w:rPr>
          <w:lang w:val="fr-CH"/>
        </w:rPr>
        <w:t xml:space="preserve"> SC52</w:t>
      </w:r>
      <w:r w:rsidR="001D732E">
        <w:rPr>
          <w:lang w:val="fr-CH"/>
        </w:rPr>
        <w:noBreakHyphen/>
      </w:r>
      <w:r w:rsidR="00AC7B32" w:rsidRPr="001D732E">
        <w:rPr>
          <w:lang w:val="fr-CH"/>
        </w:rPr>
        <w:t xml:space="preserve">14). </w:t>
      </w:r>
    </w:p>
    <w:p w14:paraId="13FC07A5" w14:textId="77777777" w:rsidR="00AC7B32" w:rsidRPr="001D732E" w:rsidRDefault="00AC7B32" w:rsidP="00DF2EF1">
      <w:pPr>
        <w:spacing w:after="0"/>
        <w:rPr>
          <w:lang w:val="fr-CH"/>
        </w:rPr>
      </w:pPr>
    </w:p>
    <w:p w14:paraId="44E592E9" w14:textId="7FC7D953" w:rsidR="00AC7B32" w:rsidRPr="001D732E" w:rsidRDefault="001D732E" w:rsidP="00AC7B32">
      <w:pPr>
        <w:spacing w:after="0"/>
        <w:rPr>
          <w:lang w:val="fr-CH"/>
        </w:rPr>
      </w:pPr>
      <w:r w:rsidRPr="001D732E">
        <w:rPr>
          <w:lang w:val="fr-CH"/>
        </w:rPr>
        <w:t xml:space="preserve">Avec l’approbation </w:t>
      </w:r>
      <w:r w:rsidR="00CA1683">
        <w:rPr>
          <w:lang w:val="fr-CH"/>
        </w:rPr>
        <w:t>du Plan d’action de CESP révisé</w:t>
      </w:r>
      <w:r w:rsidR="00CA1683" w:rsidRPr="001D732E">
        <w:rPr>
          <w:lang w:val="fr-CH"/>
        </w:rPr>
        <w:t xml:space="preserve"> </w:t>
      </w:r>
      <w:r w:rsidRPr="001D732E">
        <w:rPr>
          <w:lang w:val="fr-CH"/>
        </w:rPr>
        <w:t>par la 52</w:t>
      </w:r>
      <w:r w:rsidRPr="001D732E">
        <w:rPr>
          <w:vertAlign w:val="superscript"/>
          <w:lang w:val="fr-CH"/>
        </w:rPr>
        <w:t>e </w:t>
      </w:r>
      <w:r w:rsidRPr="001D732E">
        <w:rPr>
          <w:lang w:val="fr-CH"/>
        </w:rPr>
        <w:t xml:space="preserve">Réunion du Comité </w:t>
      </w:r>
      <w:r>
        <w:rPr>
          <w:lang w:val="fr-CH"/>
        </w:rPr>
        <w:t xml:space="preserve">permanent, le Groupe de travail de CESP </w:t>
      </w:r>
      <w:r w:rsidR="00137FAA">
        <w:rPr>
          <w:lang w:val="fr-CH"/>
        </w:rPr>
        <w:t xml:space="preserve">a </w:t>
      </w:r>
      <w:r w:rsidR="00CA1683">
        <w:rPr>
          <w:lang w:val="fr-CH"/>
        </w:rPr>
        <w:t>conclu</w:t>
      </w:r>
      <w:r w:rsidR="00137FAA">
        <w:rPr>
          <w:lang w:val="fr-CH"/>
        </w:rPr>
        <w:t xml:space="preserve"> un aspect majeur des tâches qui lui </w:t>
      </w:r>
      <w:r w:rsidR="00CA1683">
        <w:rPr>
          <w:lang w:val="fr-CH"/>
        </w:rPr>
        <w:t>étaient</w:t>
      </w:r>
      <w:r w:rsidR="00137FAA">
        <w:rPr>
          <w:lang w:val="fr-CH"/>
        </w:rPr>
        <w:t xml:space="preserve"> assignées. </w:t>
      </w:r>
      <w:r w:rsidRPr="001D732E">
        <w:rPr>
          <w:lang w:val="fr-CH"/>
        </w:rPr>
        <w:t xml:space="preserve"> </w:t>
      </w:r>
    </w:p>
    <w:p w14:paraId="3641D587" w14:textId="77777777" w:rsidR="00AC7B32" w:rsidRPr="001D732E" w:rsidRDefault="00AC7B32" w:rsidP="00AC7B32">
      <w:pPr>
        <w:spacing w:after="0"/>
        <w:rPr>
          <w:lang w:val="fr-CH"/>
        </w:rPr>
      </w:pPr>
    </w:p>
    <w:p w14:paraId="3F200B29" w14:textId="3F56CE17" w:rsidR="00AC7B32" w:rsidRPr="001D732E" w:rsidRDefault="00137FAA" w:rsidP="00AC7B32">
      <w:pPr>
        <w:spacing w:after="0"/>
        <w:rPr>
          <w:lang w:val="fr-CH"/>
        </w:rPr>
      </w:pPr>
      <w:r>
        <w:rPr>
          <w:lang w:val="fr-CH"/>
        </w:rPr>
        <w:t>Le 30 mai 2017, à la 53</w:t>
      </w:r>
      <w:r w:rsidRPr="00137FAA">
        <w:rPr>
          <w:vertAlign w:val="superscript"/>
          <w:lang w:val="fr-CH"/>
        </w:rPr>
        <w:t>e</w:t>
      </w:r>
      <w:r>
        <w:rPr>
          <w:lang w:val="fr-CH"/>
        </w:rPr>
        <w:t xml:space="preserve"> Réunion du Comité permanent, le Président du Groupe de travail </w:t>
      </w:r>
      <w:r w:rsidR="00CA1683">
        <w:rPr>
          <w:lang w:val="fr-CH"/>
        </w:rPr>
        <w:t>et</w:t>
      </w:r>
      <w:r>
        <w:rPr>
          <w:lang w:val="fr-CH"/>
        </w:rPr>
        <w:t xml:space="preserve"> le Président du Groupe de surveillance des activités de CESP </w:t>
      </w:r>
      <w:r w:rsidR="00CA1683">
        <w:rPr>
          <w:lang w:val="fr-CH"/>
        </w:rPr>
        <w:t>se sont rencontrés pour</w:t>
      </w:r>
      <w:r>
        <w:rPr>
          <w:lang w:val="fr-CH"/>
        </w:rPr>
        <w:t xml:space="preserve"> discuter de leurs rôles respectifs en matière de CESP et de la tâche d’élaboration d’une nouvelle approche pour conseiller et soutenir la CESP au sein de la Convention </w:t>
      </w:r>
      <w:r w:rsidR="00BC0D4B" w:rsidRPr="001D732E">
        <w:rPr>
          <w:lang w:val="fr-CH"/>
        </w:rPr>
        <w:t>(</w:t>
      </w:r>
      <w:hyperlink r:id="rId9" w:history="1">
        <w:r w:rsidR="00BC0D4B" w:rsidRPr="001D732E">
          <w:rPr>
            <w:rStyle w:val="Hyperlink"/>
            <w:lang w:val="fr-CH"/>
          </w:rPr>
          <w:t>r</w:t>
        </w:r>
        <w:r>
          <w:rPr>
            <w:rStyle w:val="Hyperlink"/>
            <w:lang w:val="fr-CH"/>
          </w:rPr>
          <w:t>ap</w:t>
        </w:r>
        <w:r w:rsidR="00BC0D4B" w:rsidRPr="001D732E">
          <w:rPr>
            <w:rStyle w:val="Hyperlink"/>
            <w:lang w:val="fr-CH"/>
          </w:rPr>
          <w:t>por</w:t>
        </w:r>
        <w:r w:rsidR="00BC0D4B" w:rsidRPr="001D732E">
          <w:rPr>
            <w:rStyle w:val="Hyperlink"/>
            <w:lang w:val="fr-CH"/>
          </w:rPr>
          <w:t>t</w:t>
        </w:r>
        <w:r w:rsidR="00BC0D4B" w:rsidRPr="001D732E">
          <w:rPr>
            <w:rStyle w:val="Hyperlink"/>
            <w:lang w:val="fr-CH"/>
          </w:rPr>
          <w:t xml:space="preserve"> </w:t>
        </w:r>
        <w:r>
          <w:rPr>
            <w:rStyle w:val="Hyperlink"/>
            <w:lang w:val="fr-CH"/>
          </w:rPr>
          <w:t>de</w:t>
        </w:r>
        <w:r>
          <w:rPr>
            <w:rStyle w:val="Hyperlink"/>
            <w:lang w:val="fr-CH"/>
          </w:rPr>
          <w:t xml:space="preserve"> </w:t>
        </w:r>
        <w:r>
          <w:rPr>
            <w:rStyle w:val="Hyperlink"/>
            <w:lang w:val="fr-CH"/>
          </w:rPr>
          <w:t>la réunion</w:t>
        </w:r>
      </w:hyperlink>
      <w:r w:rsidR="00BC0D4B" w:rsidRPr="001D732E">
        <w:rPr>
          <w:lang w:val="fr-CH"/>
        </w:rPr>
        <w:t>)</w:t>
      </w:r>
      <w:r w:rsidR="00AC7B32" w:rsidRPr="001D732E">
        <w:rPr>
          <w:lang w:val="fr-CH"/>
        </w:rPr>
        <w:t>. I</w:t>
      </w:r>
      <w:r>
        <w:rPr>
          <w:lang w:val="fr-CH"/>
        </w:rPr>
        <w:t>l a été convenu que le Groupe de surveillance des activités de CESP fournirait des avis sur l’approche fu</w:t>
      </w:r>
      <w:r w:rsidR="00AC7B32" w:rsidRPr="001D732E">
        <w:rPr>
          <w:lang w:val="fr-CH"/>
        </w:rPr>
        <w:t>t</w:t>
      </w:r>
      <w:r>
        <w:rPr>
          <w:lang w:val="fr-CH"/>
        </w:rPr>
        <w:t xml:space="preserve">ure en matière de CESP et que ces questions seraient revues avant la COP13. </w:t>
      </w:r>
      <w:r w:rsidR="00AC7B32" w:rsidRPr="001D732E">
        <w:rPr>
          <w:lang w:val="fr-CH"/>
        </w:rPr>
        <w:t xml:space="preserve"> </w:t>
      </w:r>
    </w:p>
    <w:p w14:paraId="4B59041A" w14:textId="77777777" w:rsidR="00AC7B32" w:rsidRPr="001D732E" w:rsidRDefault="00AC7B32" w:rsidP="00AC7B32">
      <w:pPr>
        <w:spacing w:after="0"/>
        <w:rPr>
          <w:lang w:val="fr-CH"/>
        </w:rPr>
      </w:pPr>
    </w:p>
    <w:p w14:paraId="4AACBA30" w14:textId="6E1C44C4" w:rsidR="00AC7B32" w:rsidRPr="001D732E" w:rsidRDefault="00137FAA" w:rsidP="00AC7B32">
      <w:pPr>
        <w:spacing w:after="0"/>
        <w:rPr>
          <w:lang w:val="fr-CH"/>
        </w:rPr>
      </w:pPr>
      <w:r>
        <w:rPr>
          <w:lang w:val="fr-CH"/>
        </w:rPr>
        <w:t xml:space="preserve">Le Groupe de surveillance des activités de CESP a examiné les questions et s’est réuni par téléconférence le 31 août 2017 pour </w:t>
      </w:r>
      <w:r w:rsidR="00CA1683">
        <w:rPr>
          <w:lang w:val="fr-CH"/>
        </w:rPr>
        <w:t>définir</w:t>
      </w:r>
      <w:r>
        <w:rPr>
          <w:lang w:val="fr-CH"/>
        </w:rPr>
        <w:t xml:space="preserve"> des recommandations et des orientations. Ces orientations ont été fournies au Président du Groupe de travail, au Président du Comité permanent et à la Secrétaire générale, le 7 novembre 2017. </w:t>
      </w:r>
    </w:p>
    <w:p w14:paraId="5F6FB181" w14:textId="77777777" w:rsidR="00AC7B32" w:rsidRPr="001D732E" w:rsidRDefault="00AC7B32" w:rsidP="00AC7B32">
      <w:pPr>
        <w:spacing w:after="0"/>
        <w:rPr>
          <w:lang w:val="fr-CH"/>
        </w:rPr>
      </w:pPr>
    </w:p>
    <w:p w14:paraId="34D1231A" w14:textId="1A598101" w:rsidR="00AC7B32" w:rsidRPr="001D732E" w:rsidRDefault="00137FAA" w:rsidP="00AC7B32">
      <w:pPr>
        <w:spacing w:after="0"/>
        <w:rPr>
          <w:lang w:val="fr-CH"/>
        </w:rPr>
      </w:pPr>
      <w:r>
        <w:rPr>
          <w:lang w:val="fr-CH"/>
        </w:rPr>
        <w:t>Plus précisément, concernant les questions de gouvernance en matière de CESP, le Groupe de surveillance des activités de CESP et le Groupe de travail ont convenu que pour parvenir à une supervision la plus efficace possible</w:t>
      </w:r>
      <w:r w:rsidR="00CA1683">
        <w:rPr>
          <w:lang w:val="fr-CH"/>
        </w:rPr>
        <w:t>,</w:t>
      </w:r>
      <w:r>
        <w:rPr>
          <w:lang w:val="fr-CH"/>
        </w:rPr>
        <w:t xml:space="preserve"> à long terme</w:t>
      </w:r>
      <w:r w:rsidR="00CA1683">
        <w:rPr>
          <w:lang w:val="fr-CH"/>
        </w:rPr>
        <w:t>,</w:t>
      </w:r>
      <w:r>
        <w:rPr>
          <w:lang w:val="fr-CH"/>
        </w:rPr>
        <w:t xml:space="preserve"> des activités de CESP au sein de la Convention, il serait souhaitable que le Groupe de surveillance des activités de CESP poursuive ses travaux de surveillance de la CESP et que le Groupe de travail sur l’application de la CESP soit supprimé.</w:t>
      </w:r>
      <w:r w:rsidR="0028187A" w:rsidRPr="001D732E">
        <w:rPr>
          <w:lang w:val="fr-CH"/>
        </w:rPr>
        <w:t xml:space="preserve"> </w:t>
      </w:r>
    </w:p>
    <w:p w14:paraId="04346CEA" w14:textId="332B591C" w:rsidR="00AC7B32" w:rsidRPr="001D732E" w:rsidRDefault="00AC7B32" w:rsidP="00DF2EF1">
      <w:pPr>
        <w:spacing w:after="0"/>
        <w:rPr>
          <w:lang w:val="fr-CH"/>
        </w:rPr>
      </w:pPr>
    </w:p>
    <w:p w14:paraId="14810AC6" w14:textId="0FFEB77F" w:rsidR="009F5FB2" w:rsidRPr="001D732E" w:rsidRDefault="00137FAA" w:rsidP="00A6068C">
      <w:pPr>
        <w:spacing w:after="0"/>
        <w:rPr>
          <w:lang w:val="fr-CH"/>
        </w:rPr>
      </w:pPr>
      <w:r>
        <w:rPr>
          <w:lang w:val="fr-CH"/>
        </w:rPr>
        <w:t>La Résolution XIII.3 a supprimé le Groupe de travail sur l’application de la CESP considérant que son mandat était achevé.</w:t>
      </w:r>
      <w:r w:rsidR="009F5FB2" w:rsidRPr="001D732E">
        <w:rPr>
          <w:lang w:val="fr-CH"/>
        </w:rPr>
        <w:t xml:space="preserve"> </w:t>
      </w:r>
    </w:p>
    <w:p w14:paraId="51524BE1" w14:textId="77777777" w:rsidR="009F5FB2" w:rsidRPr="001D732E" w:rsidRDefault="009F5FB2" w:rsidP="00A6068C">
      <w:pPr>
        <w:spacing w:after="0"/>
        <w:rPr>
          <w:lang w:val="fr-CH"/>
        </w:rPr>
      </w:pPr>
    </w:p>
    <w:p w14:paraId="0A2095F7" w14:textId="560B816F" w:rsidR="00D32C3B" w:rsidRPr="001D732E" w:rsidRDefault="00137FAA" w:rsidP="009C019E">
      <w:pPr>
        <w:spacing w:after="0"/>
        <w:rPr>
          <w:lang w:val="fr-CH"/>
        </w:rPr>
      </w:pPr>
      <w:r>
        <w:rPr>
          <w:lang w:val="fr-CH"/>
        </w:rPr>
        <w:t>Le Président souhaite remercier les membres du Groupe de travail sur l’application de la CESP pour leur contribution précieuse aux travaux du groupe.</w:t>
      </w:r>
      <w:r w:rsidR="00657C77" w:rsidRPr="001D732E">
        <w:rPr>
          <w:lang w:val="fr-CH"/>
        </w:rPr>
        <w:t xml:space="preserve"> </w:t>
      </w:r>
    </w:p>
    <w:sectPr w:rsidR="00D32C3B" w:rsidRPr="001D732E" w:rsidSect="0005523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2A188" w14:textId="77777777" w:rsidR="005876B1" w:rsidRDefault="005876B1" w:rsidP="00FC0500">
      <w:pPr>
        <w:spacing w:after="0" w:line="240" w:lineRule="auto"/>
      </w:pPr>
      <w:r>
        <w:separator/>
      </w:r>
    </w:p>
  </w:endnote>
  <w:endnote w:type="continuationSeparator" w:id="0">
    <w:p w14:paraId="053DB4F2" w14:textId="77777777" w:rsidR="005876B1" w:rsidRDefault="005876B1" w:rsidP="00FC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F46D" w14:textId="77777777" w:rsidR="00055230" w:rsidRDefault="00055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14ABB" w14:textId="13DC82A2" w:rsidR="00055230" w:rsidRPr="00055230" w:rsidRDefault="00055230" w:rsidP="00055230">
    <w:pPr>
      <w:tabs>
        <w:tab w:val="right" w:pos="8647"/>
      </w:tabs>
      <w:spacing w:after="0" w:line="240" w:lineRule="auto"/>
      <w:rPr>
        <w:rFonts w:cs="Arial"/>
        <w:sz w:val="20"/>
        <w:szCs w:val="20"/>
      </w:rPr>
    </w:pPr>
    <w:r w:rsidRPr="00FC0500">
      <w:rPr>
        <w:rFonts w:cs="Arial"/>
        <w:sz w:val="20"/>
        <w:szCs w:val="20"/>
      </w:rPr>
      <w:t>SC57 Doc.11.3</w:t>
    </w:r>
    <w:r>
      <w:rPr>
        <w:rFonts w:cs="Arial"/>
        <w:sz w:val="20"/>
        <w:szCs w:val="20"/>
      </w:rPr>
      <w:tab/>
    </w:r>
    <w:r w:rsidRPr="00337A71">
      <w:rPr>
        <w:rFonts w:cs="Arial"/>
        <w:sz w:val="20"/>
        <w:szCs w:val="20"/>
      </w:rPr>
      <w:fldChar w:fldCharType="begin"/>
    </w:r>
    <w:r w:rsidRPr="00337A71">
      <w:rPr>
        <w:rFonts w:cs="Arial"/>
        <w:sz w:val="20"/>
        <w:szCs w:val="20"/>
      </w:rPr>
      <w:instrText xml:space="preserve"> PAGE   \* MERGEFORMAT </w:instrText>
    </w:r>
    <w:r w:rsidRPr="00337A71">
      <w:rPr>
        <w:rFonts w:cs="Arial"/>
        <w:sz w:val="20"/>
        <w:szCs w:val="20"/>
      </w:rPr>
      <w:fldChar w:fldCharType="separate"/>
    </w:r>
    <w:r w:rsidR="008E1B4C">
      <w:rPr>
        <w:rFonts w:cs="Arial"/>
        <w:noProof/>
        <w:sz w:val="20"/>
        <w:szCs w:val="20"/>
      </w:rPr>
      <w:t>3</w:t>
    </w:r>
    <w:r w:rsidRPr="00337A71">
      <w:rPr>
        <w:rFonts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8193E" w14:textId="23355AB1" w:rsidR="00FC0500" w:rsidRPr="008E1B4C" w:rsidRDefault="00FC0500" w:rsidP="008E1B4C">
    <w:pPr>
      <w:pStyle w:val="Footer"/>
    </w:pP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8A042" w14:textId="77777777" w:rsidR="005876B1" w:rsidRDefault="005876B1" w:rsidP="00FC0500">
      <w:pPr>
        <w:spacing w:after="0" w:line="240" w:lineRule="auto"/>
      </w:pPr>
      <w:r>
        <w:separator/>
      </w:r>
    </w:p>
  </w:footnote>
  <w:footnote w:type="continuationSeparator" w:id="0">
    <w:p w14:paraId="52848FC6" w14:textId="77777777" w:rsidR="005876B1" w:rsidRDefault="005876B1" w:rsidP="00FC0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CE7B1" w14:textId="77777777" w:rsidR="00055230" w:rsidRDefault="00055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E480F" w14:textId="77777777" w:rsidR="00055230" w:rsidRDefault="00055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9B045" w14:textId="77777777" w:rsidR="00055230" w:rsidRDefault="00055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3B"/>
    <w:rsid w:val="000234AA"/>
    <w:rsid w:val="00052BF4"/>
    <w:rsid w:val="00055230"/>
    <w:rsid w:val="00074F89"/>
    <w:rsid w:val="00091CBA"/>
    <w:rsid w:val="000C5BAD"/>
    <w:rsid w:val="00137FAA"/>
    <w:rsid w:val="00146789"/>
    <w:rsid w:val="001D732E"/>
    <w:rsid w:val="001E2E4B"/>
    <w:rsid w:val="00246B81"/>
    <w:rsid w:val="0028187A"/>
    <w:rsid w:val="00291947"/>
    <w:rsid w:val="002B410F"/>
    <w:rsid w:val="003166C4"/>
    <w:rsid w:val="00337A71"/>
    <w:rsid w:val="005876B1"/>
    <w:rsid w:val="005D142E"/>
    <w:rsid w:val="00657C77"/>
    <w:rsid w:val="006B10AA"/>
    <w:rsid w:val="006D05F7"/>
    <w:rsid w:val="00704EB2"/>
    <w:rsid w:val="007733AF"/>
    <w:rsid w:val="007E6B7F"/>
    <w:rsid w:val="00801FB8"/>
    <w:rsid w:val="0085019B"/>
    <w:rsid w:val="008C2681"/>
    <w:rsid w:val="008E1B4C"/>
    <w:rsid w:val="00926358"/>
    <w:rsid w:val="009C019E"/>
    <w:rsid w:val="009F5FB2"/>
    <w:rsid w:val="00A413CC"/>
    <w:rsid w:val="00A42064"/>
    <w:rsid w:val="00A6068C"/>
    <w:rsid w:val="00AC2A35"/>
    <w:rsid w:val="00AC7B32"/>
    <w:rsid w:val="00AF4862"/>
    <w:rsid w:val="00B10153"/>
    <w:rsid w:val="00B71466"/>
    <w:rsid w:val="00B800B4"/>
    <w:rsid w:val="00B95212"/>
    <w:rsid w:val="00BC0D4B"/>
    <w:rsid w:val="00BD5230"/>
    <w:rsid w:val="00C4409D"/>
    <w:rsid w:val="00CA1683"/>
    <w:rsid w:val="00CB55D4"/>
    <w:rsid w:val="00D12683"/>
    <w:rsid w:val="00D32C3B"/>
    <w:rsid w:val="00DE2E4B"/>
    <w:rsid w:val="00DF2EF1"/>
    <w:rsid w:val="00E25906"/>
    <w:rsid w:val="00E4712B"/>
    <w:rsid w:val="00EA2422"/>
    <w:rsid w:val="00EA4B6C"/>
    <w:rsid w:val="00EC25B8"/>
    <w:rsid w:val="00EE204B"/>
    <w:rsid w:val="00F1409F"/>
    <w:rsid w:val="00F43FDC"/>
    <w:rsid w:val="00FC0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E24EE"/>
  <w15:docId w15:val="{F0FEDB79-5DBA-47CB-AE2B-A4CC229D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789"/>
    <w:rPr>
      <w:color w:val="0000FF"/>
      <w:u w:val="single"/>
    </w:rPr>
  </w:style>
  <w:style w:type="paragraph" w:styleId="BalloonText">
    <w:name w:val="Balloon Text"/>
    <w:basedOn w:val="Normal"/>
    <w:link w:val="BalloonTextChar"/>
    <w:uiPriority w:val="99"/>
    <w:semiHidden/>
    <w:unhideWhenUsed/>
    <w:rsid w:val="00A41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3CC"/>
    <w:rPr>
      <w:rFonts w:ascii="Segoe UI" w:hAnsi="Segoe UI" w:cs="Segoe UI"/>
      <w:sz w:val="18"/>
      <w:szCs w:val="18"/>
    </w:rPr>
  </w:style>
  <w:style w:type="character" w:styleId="CommentReference">
    <w:name w:val="annotation reference"/>
    <w:basedOn w:val="DefaultParagraphFont"/>
    <w:uiPriority w:val="99"/>
    <w:semiHidden/>
    <w:unhideWhenUsed/>
    <w:rsid w:val="00E4712B"/>
    <w:rPr>
      <w:sz w:val="16"/>
      <w:szCs w:val="16"/>
    </w:rPr>
  </w:style>
  <w:style w:type="paragraph" w:styleId="CommentText">
    <w:name w:val="annotation text"/>
    <w:basedOn w:val="Normal"/>
    <w:link w:val="CommentTextChar"/>
    <w:uiPriority w:val="99"/>
    <w:semiHidden/>
    <w:unhideWhenUsed/>
    <w:rsid w:val="00E4712B"/>
    <w:pPr>
      <w:spacing w:line="240" w:lineRule="auto"/>
    </w:pPr>
    <w:rPr>
      <w:sz w:val="20"/>
      <w:szCs w:val="20"/>
    </w:rPr>
  </w:style>
  <w:style w:type="character" w:customStyle="1" w:styleId="CommentTextChar">
    <w:name w:val="Comment Text Char"/>
    <w:basedOn w:val="DefaultParagraphFont"/>
    <w:link w:val="CommentText"/>
    <w:uiPriority w:val="99"/>
    <w:semiHidden/>
    <w:rsid w:val="00E4712B"/>
    <w:rPr>
      <w:sz w:val="20"/>
      <w:szCs w:val="20"/>
    </w:rPr>
  </w:style>
  <w:style w:type="paragraph" w:styleId="CommentSubject">
    <w:name w:val="annotation subject"/>
    <w:basedOn w:val="CommentText"/>
    <w:next w:val="CommentText"/>
    <w:link w:val="CommentSubjectChar"/>
    <w:uiPriority w:val="99"/>
    <w:semiHidden/>
    <w:unhideWhenUsed/>
    <w:rsid w:val="00E4712B"/>
    <w:rPr>
      <w:b/>
      <w:bCs/>
    </w:rPr>
  </w:style>
  <w:style w:type="character" w:customStyle="1" w:styleId="CommentSubjectChar">
    <w:name w:val="Comment Subject Char"/>
    <w:basedOn w:val="CommentTextChar"/>
    <w:link w:val="CommentSubject"/>
    <w:uiPriority w:val="99"/>
    <w:semiHidden/>
    <w:rsid w:val="00E4712B"/>
    <w:rPr>
      <w:b/>
      <w:bCs/>
      <w:sz w:val="20"/>
      <w:szCs w:val="20"/>
    </w:rPr>
  </w:style>
  <w:style w:type="character" w:styleId="FollowedHyperlink">
    <w:name w:val="FollowedHyperlink"/>
    <w:basedOn w:val="DefaultParagraphFont"/>
    <w:uiPriority w:val="99"/>
    <w:semiHidden/>
    <w:unhideWhenUsed/>
    <w:rsid w:val="00AC2A35"/>
    <w:rPr>
      <w:color w:val="954F72" w:themeColor="followedHyperlink"/>
      <w:u w:val="single"/>
    </w:rPr>
  </w:style>
  <w:style w:type="paragraph" w:styleId="ListParagraph">
    <w:name w:val="List Paragraph"/>
    <w:basedOn w:val="Normal"/>
    <w:uiPriority w:val="34"/>
    <w:qFormat/>
    <w:rsid w:val="00FC0500"/>
    <w:pPr>
      <w:spacing w:after="200" w:line="276" w:lineRule="auto"/>
      <w:ind w:left="720"/>
      <w:contextualSpacing/>
    </w:pPr>
    <w:rPr>
      <w:lang w:val="en-US"/>
    </w:rPr>
  </w:style>
  <w:style w:type="paragraph" w:customStyle="1" w:styleId="ColorfulList-Accent11">
    <w:name w:val="Colorful List - Accent 11"/>
    <w:basedOn w:val="Normal"/>
    <w:uiPriority w:val="34"/>
    <w:qFormat/>
    <w:rsid w:val="00FC0500"/>
    <w:pPr>
      <w:spacing w:after="0" w:line="240" w:lineRule="auto"/>
      <w:ind w:left="720" w:hanging="425"/>
      <w:contextualSpacing/>
    </w:pPr>
    <w:rPr>
      <w:rFonts w:ascii="Calibri" w:eastAsia="Calibri" w:hAnsi="Calibri" w:cs="Times New Roman"/>
    </w:rPr>
  </w:style>
  <w:style w:type="paragraph" w:styleId="NoSpacing">
    <w:name w:val="No Spacing"/>
    <w:uiPriority w:val="1"/>
    <w:qFormat/>
    <w:rsid w:val="00FC0500"/>
    <w:pPr>
      <w:spacing w:after="0" w:line="240" w:lineRule="auto"/>
      <w:ind w:left="425" w:hanging="425"/>
    </w:pPr>
    <w:rPr>
      <w:rFonts w:ascii="Calibri" w:eastAsia="Calibri" w:hAnsi="Calibri" w:cs="Times New Roman"/>
    </w:rPr>
  </w:style>
  <w:style w:type="paragraph" w:styleId="Header">
    <w:name w:val="header"/>
    <w:basedOn w:val="Normal"/>
    <w:link w:val="HeaderChar"/>
    <w:uiPriority w:val="99"/>
    <w:unhideWhenUsed/>
    <w:rsid w:val="00FC0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500"/>
  </w:style>
  <w:style w:type="paragraph" w:styleId="Footer">
    <w:name w:val="footer"/>
    <w:basedOn w:val="Normal"/>
    <w:link w:val="FooterChar"/>
    <w:uiPriority w:val="99"/>
    <w:unhideWhenUsed/>
    <w:rsid w:val="00FC0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sites/default/files/documents/library/sc52-23_cepa_sec_action_plan_201618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ramsar.org/sites/default/files/documents/library/sc51_14_cepa_action_plan_f_0.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amsar.org/sites/default/files/documents/library/cepa_chairs_of_wg_and_op_e.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8E2EB-E10F-432A-8D15-480AE4C1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4206</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LUCZAK Magdalena</dc:creator>
  <cp:lastModifiedBy>JENNINGS Edmund</cp:lastModifiedBy>
  <cp:revision>2</cp:revision>
  <cp:lastPrinted>2019-03-20T09:48:00Z</cp:lastPrinted>
  <dcterms:created xsi:type="dcterms:W3CDTF">2019-04-05T09:58:00Z</dcterms:created>
  <dcterms:modified xsi:type="dcterms:W3CDTF">2019-04-05T09:58:00Z</dcterms:modified>
</cp:coreProperties>
</file>