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2CCF1" w14:textId="1C00587E" w:rsidR="00FC0500" w:rsidRDefault="00FC0500"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14:paraId="3D7D095A" w14:textId="77777777" w:rsidR="00FC0500" w:rsidRDefault="00FC0500"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14:paraId="00DC8655" w14:textId="77777777" w:rsidR="00FC0500" w:rsidRDefault="00FC0500"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14:paraId="271A2D0B" w14:textId="77777777" w:rsidR="00FC0500" w:rsidRPr="008B6E23" w:rsidRDefault="00FC0500" w:rsidP="00FC0500">
      <w:pPr>
        <w:spacing w:after="0" w:line="240" w:lineRule="auto"/>
        <w:outlineLvl w:val="0"/>
        <w:rPr>
          <w:b/>
          <w:sz w:val="28"/>
          <w:szCs w:val="28"/>
        </w:rPr>
      </w:pPr>
    </w:p>
    <w:p w14:paraId="323EC163" w14:textId="45F4E5AA" w:rsidR="00FC0500" w:rsidRPr="008B6E23" w:rsidRDefault="00FC0500" w:rsidP="00FC0500">
      <w:pPr>
        <w:spacing w:after="0" w:line="240" w:lineRule="auto"/>
        <w:jc w:val="right"/>
        <w:rPr>
          <w:rFonts w:cs="Arial"/>
          <w:sz w:val="28"/>
          <w:szCs w:val="28"/>
        </w:rPr>
      </w:pPr>
      <w:r w:rsidRPr="008B6E23">
        <w:rPr>
          <w:rFonts w:cs="Arial"/>
          <w:b/>
          <w:sz w:val="28"/>
          <w:szCs w:val="28"/>
        </w:rPr>
        <w:t>SC57</w:t>
      </w:r>
      <w:r>
        <w:rPr>
          <w:rFonts w:cs="Arial"/>
          <w:b/>
          <w:sz w:val="28"/>
          <w:szCs w:val="28"/>
        </w:rPr>
        <w:t xml:space="preserve"> Doc.11.3</w:t>
      </w:r>
    </w:p>
    <w:p w14:paraId="2C8DAF65" w14:textId="77777777" w:rsidR="00FC0500" w:rsidRPr="008B6E23" w:rsidRDefault="00FC0500" w:rsidP="00FC0500">
      <w:pPr>
        <w:spacing w:after="0" w:line="240" w:lineRule="auto"/>
        <w:rPr>
          <w:rFonts w:cs="Arial"/>
          <w:b/>
          <w:sz w:val="28"/>
          <w:szCs w:val="28"/>
        </w:rPr>
      </w:pPr>
    </w:p>
    <w:p w14:paraId="528E8F44" w14:textId="77777777" w:rsidR="00FC0500" w:rsidRDefault="00FC0500" w:rsidP="00FC0500">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14:paraId="243C3414" w14:textId="31311FB0" w:rsidR="00FC0500" w:rsidRDefault="00FC0500" w:rsidP="00FC0500">
      <w:pPr>
        <w:spacing w:after="0" w:line="240" w:lineRule="auto"/>
        <w:jc w:val="center"/>
        <w:rPr>
          <w:rFonts w:cs="Arial"/>
          <w:b/>
          <w:sz w:val="28"/>
          <w:szCs w:val="28"/>
        </w:rPr>
      </w:pPr>
      <w:r w:rsidRPr="00FC0500">
        <w:rPr>
          <w:rFonts w:cs="Arial"/>
          <w:b/>
          <w:sz w:val="28"/>
          <w:szCs w:val="28"/>
        </w:rPr>
        <w:t>Working Group on CEPA Implementation</w:t>
      </w:r>
    </w:p>
    <w:p w14:paraId="4499779B" w14:textId="77777777" w:rsidR="00FC0500" w:rsidRPr="008B6E23" w:rsidRDefault="00FC0500" w:rsidP="00FC0500">
      <w:pPr>
        <w:spacing w:after="0" w:line="240" w:lineRule="auto"/>
        <w:rPr>
          <w:rFonts w:cstheme="minorHAnsi"/>
          <w:sz w:val="28"/>
          <w:szCs w:val="28"/>
        </w:rPr>
      </w:pPr>
    </w:p>
    <w:p w14:paraId="34A6A07C" w14:textId="77777777" w:rsidR="00FC0500" w:rsidRDefault="00FC0500" w:rsidP="00FC0500">
      <w:pPr>
        <w:autoSpaceDE w:val="0"/>
        <w:autoSpaceDN w:val="0"/>
        <w:adjustRightInd w:val="0"/>
        <w:spacing w:after="0" w:line="240" w:lineRule="auto"/>
        <w:rPr>
          <w:rFonts w:cs="Calibri-Bold"/>
          <w:b/>
          <w:bCs/>
        </w:rPr>
      </w:pPr>
      <w:r>
        <w:rPr>
          <w:noProof/>
          <w:lang w:eastAsia="en-GB"/>
        </w:rPr>
        <mc:AlternateContent>
          <mc:Choice Requires="wps">
            <w:drawing>
              <wp:inline distT="0" distB="0" distL="0" distR="0" wp14:anchorId="05B5D45E" wp14:editId="2BA0D68B">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232B1ACC" w14:textId="77777777" w:rsidR="00FC0500" w:rsidRDefault="00FC0500" w:rsidP="00FC0500">
                            <w:pPr>
                              <w:spacing w:after="0" w:line="240" w:lineRule="auto"/>
                              <w:rPr>
                                <w:b/>
                                <w:bCs/>
                              </w:rPr>
                            </w:pPr>
                            <w:r>
                              <w:rPr>
                                <w:b/>
                                <w:bCs/>
                              </w:rPr>
                              <w:t xml:space="preserve">Actions requested: </w:t>
                            </w:r>
                          </w:p>
                          <w:p w14:paraId="47AFCD8A" w14:textId="77777777" w:rsidR="00FC0500" w:rsidRDefault="00FC0500" w:rsidP="00FC0500">
                            <w:pPr>
                              <w:pStyle w:val="ColorfulList-Accent11"/>
                              <w:ind w:left="0"/>
                            </w:pPr>
                          </w:p>
                          <w:p w14:paraId="3E6D0146" w14:textId="77777777" w:rsidR="00FC0500" w:rsidRDefault="00FC0500" w:rsidP="00FC0500">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05B5D45E"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232B1ACC" w14:textId="77777777" w:rsidR="00FC0500" w:rsidRDefault="00FC0500" w:rsidP="00FC0500">
                      <w:pPr>
                        <w:spacing w:after="0" w:line="240" w:lineRule="auto"/>
                        <w:rPr>
                          <w:b/>
                          <w:bCs/>
                        </w:rPr>
                      </w:pPr>
                      <w:r>
                        <w:rPr>
                          <w:b/>
                          <w:bCs/>
                        </w:rPr>
                        <w:t xml:space="preserve">Actions requested: </w:t>
                      </w:r>
                    </w:p>
                    <w:p w14:paraId="47AFCD8A" w14:textId="77777777" w:rsidR="00FC0500" w:rsidRDefault="00FC0500" w:rsidP="00FC0500">
                      <w:pPr>
                        <w:pStyle w:val="ColorfulList-Accent11"/>
                        <w:ind w:left="0"/>
                      </w:pPr>
                    </w:p>
                    <w:p w14:paraId="3E6D0146" w14:textId="77777777" w:rsidR="00FC0500" w:rsidRDefault="00FC0500" w:rsidP="00FC0500">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14:paraId="776777E1" w14:textId="77777777" w:rsidR="00FC0500" w:rsidRDefault="00FC0500" w:rsidP="00FC0500">
      <w:pPr>
        <w:spacing w:after="0" w:line="240" w:lineRule="auto"/>
        <w:rPr>
          <w:rFonts w:cs="Arial"/>
          <w:b/>
        </w:rPr>
      </w:pPr>
    </w:p>
    <w:p w14:paraId="576EF3D7" w14:textId="77777777" w:rsidR="00FC0500" w:rsidRDefault="00FC0500" w:rsidP="00FC0500">
      <w:pPr>
        <w:spacing w:after="0" w:line="240" w:lineRule="auto"/>
        <w:rPr>
          <w:rFonts w:cs="Arial"/>
          <w:b/>
        </w:rPr>
      </w:pPr>
    </w:p>
    <w:p w14:paraId="568D57BF" w14:textId="77777777" w:rsidR="00FC0500" w:rsidRPr="00275F13" w:rsidRDefault="00FC0500" w:rsidP="00FC0500">
      <w:pPr>
        <w:spacing w:after="0" w:line="240" w:lineRule="auto"/>
        <w:ind w:left="425" w:hanging="425"/>
        <w:rPr>
          <w:rFonts w:cs="Arial"/>
        </w:rPr>
      </w:pPr>
      <w:r>
        <w:rPr>
          <w:rFonts w:cs="Arial"/>
        </w:rPr>
        <w:t>1.</w:t>
      </w:r>
      <w:r>
        <w:rPr>
          <w:rFonts w:cs="Arial"/>
        </w:rPr>
        <w:tab/>
        <w:t xml:space="preserve">At its 13th meeting (COP13) the Conference of Contracting Parties, through Resolution XIII.3 on </w:t>
      </w:r>
      <w:r w:rsidRPr="008B6E23">
        <w:rPr>
          <w:i/>
        </w:rPr>
        <w:t>Governance of the Convention</w:t>
      </w:r>
      <w:r w:rsidRPr="008B6E23">
        <w:t>,</w:t>
      </w:r>
      <w:r>
        <w:t xml:space="preserve"> decided to retire the working groups listed in Annex 1 of the same Resolution, and invited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14:paraId="076C0FA9" w14:textId="77777777" w:rsidR="00FC0500" w:rsidRDefault="00FC0500" w:rsidP="00FC0500">
      <w:pPr>
        <w:pStyle w:val="ListParagraph"/>
        <w:spacing w:after="0" w:line="240" w:lineRule="auto"/>
        <w:ind w:left="426"/>
        <w:rPr>
          <w:rFonts w:cs="Arial"/>
        </w:rPr>
      </w:pPr>
    </w:p>
    <w:p w14:paraId="57A16EA1" w14:textId="5023E11F" w:rsidR="00FC0500" w:rsidRPr="00275F13" w:rsidRDefault="00FC0500" w:rsidP="00FC0500">
      <w:pPr>
        <w:pStyle w:val="NoSpacing"/>
      </w:pPr>
      <w:r>
        <w:t>2.</w:t>
      </w:r>
      <w:r>
        <w:tab/>
        <w:t xml:space="preserve">The final report of the </w:t>
      </w:r>
      <w:r w:rsidR="00337A71" w:rsidRPr="00337A71">
        <w:t>Working Group on CEPA Implementation</w:t>
      </w:r>
      <w:r w:rsidR="00337A71">
        <w:t xml:space="preserve"> </w:t>
      </w:r>
      <w:r>
        <w:t>is overleaf</w:t>
      </w:r>
      <w:r w:rsidRPr="008B6E23">
        <w:t>.</w:t>
      </w:r>
    </w:p>
    <w:p w14:paraId="0A1BAB3D" w14:textId="77777777" w:rsidR="00FC0500" w:rsidRDefault="00FC0500" w:rsidP="00FC0500">
      <w:pPr>
        <w:spacing w:after="0" w:line="240" w:lineRule="auto"/>
        <w:rPr>
          <w:b/>
          <w:color w:val="000000"/>
        </w:rPr>
        <w:sectPr w:rsidR="00FC0500" w:rsidSect="00FC0500">
          <w:footerReference w:type="first" r:id="rId7"/>
          <w:pgSz w:w="11906" w:h="16838"/>
          <w:pgMar w:top="1440" w:right="1440" w:bottom="1440" w:left="1440" w:header="709" w:footer="709" w:gutter="0"/>
          <w:cols w:space="708"/>
          <w:docGrid w:linePitch="360"/>
        </w:sectPr>
      </w:pPr>
      <w:r>
        <w:rPr>
          <w:b/>
          <w:color w:val="000000"/>
        </w:rPr>
        <w:br w:type="page"/>
      </w:r>
    </w:p>
    <w:p w14:paraId="043F8D4B" w14:textId="6A0A079F" w:rsidR="0085019B" w:rsidRPr="009F5FB2" w:rsidRDefault="00B10153" w:rsidP="0085019B">
      <w:pPr>
        <w:spacing w:after="0"/>
        <w:rPr>
          <w:b/>
        </w:rPr>
      </w:pPr>
      <w:r w:rsidRPr="009F5FB2">
        <w:rPr>
          <w:b/>
        </w:rPr>
        <w:lastRenderedPageBreak/>
        <w:t>Final Report of the Working Group on CEPA Implementation</w:t>
      </w:r>
    </w:p>
    <w:p w14:paraId="57DADE28" w14:textId="71A0764D" w:rsidR="00B10153" w:rsidRPr="009F5FB2" w:rsidRDefault="0028187A" w:rsidP="0085019B">
      <w:pPr>
        <w:spacing w:after="0"/>
        <w:rPr>
          <w:b/>
        </w:rPr>
      </w:pPr>
      <w:r>
        <w:rPr>
          <w:b/>
        </w:rPr>
        <w:t>20 M</w:t>
      </w:r>
      <w:r w:rsidR="00B10153" w:rsidRPr="009F5FB2">
        <w:rPr>
          <w:b/>
        </w:rPr>
        <w:t>arch 2019</w:t>
      </w:r>
    </w:p>
    <w:p w14:paraId="59CA6077" w14:textId="77777777" w:rsidR="00B10153" w:rsidRDefault="00B10153" w:rsidP="0085019B">
      <w:pPr>
        <w:spacing w:after="0"/>
      </w:pPr>
    </w:p>
    <w:p w14:paraId="1B632DC6" w14:textId="515F320D" w:rsidR="0085019B" w:rsidRDefault="00AF4862" w:rsidP="0085019B">
      <w:pPr>
        <w:spacing w:after="0"/>
      </w:pPr>
      <w:r>
        <w:t xml:space="preserve">Resolution XII.9 requested </w:t>
      </w:r>
      <w:r w:rsidR="0085019B">
        <w:t xml:space="preserve">the Standing Committee at its 51st Meeting </w:t>
      </w:r>
      <w:r>
        <w:t xml:space="preserve">to establish a mechanism of the </w:t>
      </w:r>
      <w:r w:rsidR="0085019B">
        <w:t>Contracting Parties and the Secretariat which will guide the communication activities of the</w:t>
      </w:r>
    </w:p>
    <w:p w14:paraId="46DFCFC8" w14:textId="77777777" w:rsidR="0085019B" w:rsidRDefault="0085019B" w:rsidP="0085019B">
      <w:pPr>
        <w:spacing w:after="0"/>
      </w:pPr>
      <w:r>
        <w:t>Secretariat, including setting priorities and guiding the design of the Secretariat’s CEPA Action</w:t>
      </w:r>
    </w:p>
    <w:p w14:paraId="1333171B" w14:textId="77777777" w:rsidR="0085019B" w:rsidRDefault="0085019B" w:rsidP="0085019B">
      <w:pPr>
        <w:spacing w:after="0"/>
      </w:pPr>
      <w:r>
        <w:t>Plan, monitor the effectiveness of the Plan, and report to the Management Working Group at</w:t>
      </w:r>
    </w:p>
    <w:p w14:paraId="2A0A2C6B" w14:textId="4CC05015" w:rsidR="0085019B" w:rsidRDefault="0085019B" w:rsidP="0085019B">
      <w:pPr>
        <w:spacing w:after="0"/>
      </w:pPr>
      <w:r>
        <w:t xml:space="preserve">each of its meetings, and </w:t>
      </w:r>
      <w:r w:rsidR="00AF4862">
        <w:t>further requested</w:t>
      </w:r>
      <w:r>
        <w:t xml:space="preserve"> that the resulting mechanism work to develop</w:t>
      </w:r>
    </w:p>
    <w:p w14:paraId="6356D4E5" w14:textId="77777777" w:rsidR="0085019B" w:rsidRDefault="0085019B" w:rsidP="0085019B">
      <w:pPr>
        <w:spacing w:after="0"/>
      </w:pPr>
      <w:r>
        <w:t>with advice of the Scientific and Technical Review Panel (STRP) a new approach for advising and</w:t>
      </w:r>
    </w:p>
    <w:p w14:paraId="15322EBC" w14:textId="77777777" w:rsidR="0085019B" w:rsidRDefault="0085019B" w:rsidP="0085019B">
      <w:pPr>
        <w:spacing w:after="0"/>
      </w:pPr>
      <w:r>
        <w:t>supporting CEPA in the Convention to be submitted to the 13th meeting of the Conference of</w:t>
      </w:r>
    </w:p>
    <w:p w14:paraId="71E16DC0" w14:textId="41379818" w:rsidR="0085019B" w:rsidRDefault="0085019B" w:rsidP="0085019B">
      <w:pPr>
        <w:spacing w:after="0"/>
      </w:pPr>
      <w:r>
        <w:t>Parties (COP13).</w:t>
      </w:r>
    </w:p>
    <w:p w14:paraId="55F13586" w14:textId="2C0B2BE2" w:rsidR="0085019B" w:rsidRDefault="0085019B" w:rsidP="006B10AA">
      <w:pPr>
        <w:spacing w:after="0"/>
      </w:pPr>
    </w:p>
    <w:p w14:paraId="439F38AB" w14:textId="5343CAE0" w:rsidR="00AF4862" w:rsidRDefault="00AF4862" w:rsidP="006B10AA">
      <w:pPr>
        <w:spacing w:after="0"/>
      </w:pPr>
      <w:r>
        <w:t>At its 51</w:t>
      </w:r>
      <w:r w:rsidRPr="00AF4862">
        <w:rPr>
          <w:vertAlign w:val="superscript"/>
        </w:rPr>
        <w:t>st</w:t>
      </w:r>
      <w:r>
        <w:t xml:space="preserve"> meeting, the Standing Committee established an open-ended Working G</w:t>
      </w:r>
      <w:r w:rsidR="00DE2E4B">
        <w:t>roup on CEPA Implementation</w:t>
      </w:r>
      <w:r>
        <w:t xml:space="preserve">. The group was open to all Parties </w:t>
      </w:r>
      <w:r w:rsidR="000C5BAD">
        <w:t xml:space="preserve">and was chaired by South Africa. </w:t>
      </w:r>
    </w:p>
    <w:p w14:paraId="1C7A234E" w14:textId="028731A6" w:rsidR="000234AA" w:rsidRDefault="00EA4B6C" w:rsidP="00DF2EF1">
      <w:pPr>
        <w:spacing w:after="0"/>
      </w:pPr>
      <w:r>
        <w:t xml:space="preserve">At the same meeting the Secretariat presented its </w:t>
      </w:r>
      <w:hyperlink r:id="rId8" w:history="1">
        <w:r w:rsidRPr="00EA4B6C">
          <w:rPr>
            <w:rStyle w:val="Hyperlink"/>
          </w:rPr>
          <w:t>CEPA Action Plan for the Ramsar Secretariat 2016-2024.</w:t>
        </w:r>
      </w:hyperlink>
      <w:r>
        <w:t xml:space="preserve"> </w:t>
      </w:r>
      <w:r w:rsidR="00091CBA">
        <w:t>(Doc. SC51-14)</w:t>
      </w:r>
    </w:p>
    <w:p w14:paraId="42D6535F" w14:textId="77777777" w:rsidR="00EA4B6C" w:rsidRDefault="00EA4B6C" w:rsidP="00DF2EF1">
      <w:pPr>
        <w:spacing w:after="0"/>
      </w:pPr>
    </w:p>
    <w:p w14:paraId="54A10081" w14:textId="2467EDD9" w:rsidR="000234AA" w:rsidRDefault="000234AA" w:rsidP="000234AA">
      <w:pPr>
        <w:spacing w:after="0"/>
      </w:pPr>
      <w:r>
        <w:t>Decision SC51-21 instructed the Secretariat to present a revised (shorter) CEPA Action</w:t>
      </w:r>
    </w:p>
    <w:p w14:paraId="4DF276C0" w14:textId="44139902" w:rsidR="000234AA" w:rsidRDefault="000234AA" w:rsidP="000234AA">
      <w:pPr>
        <w:spacing w:after="0"/>
      </w:pPr>
      <w:r>
        <w:t>Plan to SC52, taking into account any written comments received from Contracting Parties.</w:t>
      </w:r>
    </w:p>
    <w:p w14:paraId="768ED156" w14:textId="0C1BC884" w:rsidR="000234AA" w:rsidRDefault="000234AA" w:rsidP="000234AA">
      <w:pPr>
        <w:spacing w:after="0"/>
      </w:pPr>
      <w:r>
        <w:t xml:space="preserve">The Working Group on </w:t>
      </w:r>
      <w:r w:rsidR="0028187A">
        <w:t>CEPA Implementation was asked to provide guidance to the Secretariat to develop</w:t>
      </w:r>
      <w:r>
        <w:t xml:space="preserve"> </w:t>
      </w:r>
      <w:r w:rsidR="00EA4B6C">
        <w:t>a more focused</w:t>
      </w:r>
      <w:r>
        <w:t xml:space="preserve"> CEPA Action plan and present </w:t>
      </w:r>
      <w:r w:rsidR="00EA4B6C">
        <w:t xml:space="preserve">it to SC52. </w:t>
      </w:r>
    </w:p>
    <w:p w14:paraId="5A885245" w14:textId="77777777" w:rsidR="00091CBA" w:rsidRDefault="00091CBA" w:rsidP="00DF2EF1">
      <w:pPr>
        <w:spacing w:after="0"/>
      </w:pPr>
    </w:p>
    <w:p w14:paraId="13F37CFF" w14:textId="2FB5E94C" w:rsidR="00AC7B32" w:rsidRDefault="00091CBA" w:rsidP="00AC7B32">
      <w:pPr>
        <w:spacing w:after="0"/>
      </w:pPr>
      <w:r>
        <w:t>T</w:t>
      </w:r>
      <w:r w:rsidR="000234AA" w:rsidRPr="000234AA">
        <w:t xml:space="preserve">he Chair </w:t>
      </w:r>
      <w:r>
        <w:t xml:space="preserve">of the WG reported to the SC52 </w:t>
      </w:r>
      <w:r w:rsidR="000234AA" w:rsidRPr="000234AA">
        <w:t>on the progress made in the</w:t>
      </w:r>
      <w:r w:rsidR="0028187A">
        <w:t xml:space="preserve"> development</w:t>
      </w:r>
      <w:r w:rsidR="00EC25B8">
        <w:t xml:space="preserve"> of a</w:t>
      </w:r>
      <w:r>
        <w:t xml:space="preserve"> </w:t>
      </w:r>
      <w:hyperlink r:id="rId9" w:history="1">
        <w:r w:rsidRPr="00091CBA">
          <w:rPr>
            <w:rStyle w:val="Hyperlink"/>
          </w:rPr>
          <w:t>revised CEPA Action Plan</w:t>
        </w:r>
      </w:hyperlink>
      <w:r>
        <w:t xml:space="preserve"> (</w:t>
      </w:r>
      <w:r w:rsidRPr="00091CBA">
        <w:t>SC52-23</w:t>
      </w:r>
      <w:r>
        <w:t xml:space="preserve">) </w:t>
      </w:r>
      <w:r w:rsidR="005D142E">
        <w:t>including</w:t>
      </w:r>
      <w:r w:rsidRPr="000234AA">
        <w:t xml:space="preserve"> integration into the triennial work plan</w:t>
      </w:r>
      <w:r>
        <w:t xml:space="preserve"> and its implementation by the Secretariat</w:t>
      </w:r>
      <w:r w:rsidR="00AC7B32">
        <w:t>.</w:t>
      </w:r>
      <w:r w:rsidR="00AC7B32" w:rsidRPr="00AC7B32">
        <w:t xml:space="preserve"> </w:t>
      </w:r>
      <w:r w:rsidR="00AC7B32">
        <w:t xml:space="preserve">The Standing Committee approved the revised CEPA Action Plan for the Ramsar Secretariat for 2016-2018 (Decision SC52-14). </w:t>
      </w:r>
    </w:p>
    <w:p w14:paraId="13FC07A5" w14:textId="77777777" w:rsidR="00AC7B32" w:rsidRDefault="00AC7B32" w:rsidP="00DF2EF1">
      <w:pPr>
        <w:spacing w:after="0"/>
      </w:pPr>
    </w:p>
    <w:p w14:paraId="44E592E9" w14:textId="1C82D36F" w:rsidR="00AC7B32" w:rsidRDefault="00DE2E4B" w:rsidP="00AC7B32">
      <w:pPr>
        <w:spacing w:after="0"/>
      </w:pPr>
      <w:r>
        <w:t>With approval of</w:t>
      </w:r>
      <w:r w:rsidR="00AC7B32">
        <w:t xml:space="preserve"> the </w:t>
      </w:r>
      <w:r w:rsidR="00AC7B32" w:rsidRPr="00AC7B32">
        <w:t xml:space="preserve">revised CEPA Action Plan </w:t>
      </w:r>
      <w:r>
        <w:t xml:space="preserve">by SC52, </w:t>
      </w:r>
      <w:r w:rsidR="00AC7B32">
        <w:t>the CEPA Working G</w:t>
      </w:r>
      <w:r w:rsidR="00F1409F">
        <w:t xml:space="preserve">roup completed </w:t>
      </w:r>
      <w:r w:rsidR="00C4409D">
        <w:t xml:space="preserve">a major aspect of its </w:t>
      </w:r>
      <w:r w:rsidR="00F1409F">
        <w:t>assigned task</w:t>
      </w:r>
      <w:r w:rsidR="00AC7B32">
        <w:t xml:space="preserve">. </w:t>
      </w:r>
    </w:p>
    <w:p w14:paraId="3641D587" w14:textId="77777777" w:rsidR="00AC7B32" w:rsidRDefault="00AC7B32" w:rsidP="00AC7B32">
      <w:pPr>
        <w:spacing w:after="0"/>
      </w:pPr>
    </w:p>
    <w:p w14:paraId="3F200B29" w14:textId="1E26A29A" w:rsidR="00AC7B32" w:rsidRDefault="00F1409F" w:rsidP="00AC7B32">
      <w:pPr>
        <w:spacing w:after="0"/>
      </w:pPr>
      <w:r>
        <w:t>On 30 May 2017 at SC53 t</w:t>
      </w:r>
      <w:r w:rsidR="00AC7B32">
        <w:t>he Chair of the Working Group met with the Chair of the CEPA Oversight Panel to discuss the respective roles of the Oversight Panel and the Working Group and the assigned task of developing a new approach for advising on and supporting CEPA in the Convention</w:t>
      </w:r>
      <w:r w:rsidR="00BC0D4B">
        <w:t xml:space="preserve"> (</w:t>
      </w:r>
      <w:hyperlink r:id="rId10" w:history="1">
        <w:r w:rsidR="00BC0D4B" w:rsidRPr="00BC0D4B">
          <w:rPr>
            <w:rStyle w:val="Hyperlink"/>
          </w:rPr>
          <w:t>report of the me</w:t>
        </w:r>
        <w:bookmarkStart w:id="0" w:name="_GoBack"/>
        <w:bookmarkEnd w:id="0"/>
        <w:r w:rsidR="00BC0D4B" w:rsidRPr="00BC0D4B">
          <w:rPr>
            <w:rStyle w:val="Hyperlink"/>
          </w:rPr>
          <w:t>e</w:t>
        </w:r>
        <w:r w:rsidR="00BC0D4B" w:rsidRPr="00BC0D4B">
          <w:rPr>
            <w:rStyle w:val="Hyperlink"/>
          </w:rPr>
          <w:t>ting</w:t>
        </w:r>
      </w:hyperlink>
      <w:r w:rsidR="00BC0D4B">
        <w:t>)</w:t>
      </w:r>
      <w:r w:rsidR="00AC7B32">
        <w:t>. It was agreed that the Oversight Panel would provide advice on the f</w:t>
      </w:r>
      <w:r w:rsidR="005D142E">
        <w:t>uture approach to CEPA and that</w:t>
      </w:r>
      <w:r w:rsidR="00AC7B32">
        <w:t xml:space="preserve"> these issues</w:t>
      </w:r>
      <w:r w:rsidR="005D142E">
        <w:t xml:space="preserve"> would be reviewed</w:t>
      </w:r>
      <w:r w:rsidR="00AC7B32">
        <w:t xml:space="preserve"> ahead </w:t>
      </w:r>
      <w:r w:rsidR="00AC7B32" w:rsidRPr="00BC0D4B">
        <w:t>of COP13.</w:t>
      </w:r>
      <w:r w:rsidR="00BC0D4B">
        <w:t xml:space="preserve"> </w:t>
      </w:r>
    </w:p>
    <w:p w14:paraId="4B59041A" w14:textId="77777777" w:rsidR="00AC7B32" w:rsidRDefault="00AC7B32" w:rsidP="00AC7B32">
      <w:pPr>
        <w:spacing w:after="0"/>
      </w:pPr>
    </w:p>
    <w:p w14:paraId="30FF3BFA" w14:textId="77777777" w:rsidR="00AC7B32" w:rsidRDefault="00AC7B32" w:rsidP="00AC7B32">
      <w:pPr>
        <w:spacing w:after="0"/>
      </w:pPr>
      <w:r>
        <w:t>The Oversight Panel reviewed the issues and met by teleconference on 31 August 2017 to</w:t>
      </w:r>
    </w:p>
    <w:p w14:paraId="4AACBA30" w14:textId="0C934B79" w:rsidR="00AC7B32" w:rsidRDefault="00C4409D" w:rsidP="00AC7B32">
      <w:pPr>
        <w:spacing w:after="0"/>
      </w:pPr>
      <w:r>
        <w:t>i</w:t>
      </w:r>
      <w:r w:rsidR="00AC7B32">
        <w:t>dentify recommendations and guidance. This guidance was provided to the Chair of the Working Group, the Chair of the Standing Committee and the Secretary General on 7 November 2017.</w:t>
      </w:r>
    </w:p>
    <w:p w14:paraId="5F6FB181" w14:textId="77777777" w:rsidR="00AC7B32" w:rsidRDefault="00AC7B32" w:rsidP="00AC7B32">
      <w:pPr>
        <w:spacing w:after="0"/>
      </w:pPr>
    </w:p>
    <w:p w14:paraId="5AF99B8C" w14:textId="41A41411" w:rsidR="00AC7B32" w:rsidRDefault="00AC7B32" w:rsidP="00AC7B32">
      <w:pPr>
        <w:spacing w:after="0"/>
      </w:pPr>
      <w:r>
        <w:t>Specifically, with respect to governance of CEPA issues, the Oversight Panel and the Working Group both agreed that to achieve most effective and efficient long-term oversight of CEPA</w:t>
      </w:r>
    </w:p>
    <w:p w14:paraId="34D1231A" w14:textId="4C6D560E" w:rsidR="00AC7B32" w:rsidRDefault="00AC7B32" w:rsidP="00AC7B32">
      <w:pPr>
        <w:spacing w:after="0"/>
      </w:pPr>
      <w:r>
        <w:t xml:space="preserve">Implementation within the Convention </w:t>
      </w:r>
      <w:r w:rsidRPr="00AC2A35">
        <w:t xml:space="preserve">it would be advisable that </w:t>
      </w:r>
      <w:r w:rsidR="00AC2A35">
        <w:t>th</w:t>
      </w:r>
      <w:r w:rsidR="0028187A">
        <w:t>e CEPA Oversight Panel continue to oversee</w:t>
      </w:r>
      <w:r w:rsidR="00AC2A35">
        <w:t xml:space="preserve"> CEPA </w:t>
      </w:r>
      <w:r w:rsidR="0028187A">
        <w:t xml:space="preserve">and that the CEPA Working Group be retired. </w:t>
      </w:r>
    </w:p>
    <w:p w14:paraId="04346CEA" w14:textId="332B591C" w:rsidR="00AC7B32" w:rsidRDefault="00AC7B32" w:rsidP="00DF2EF1">
      <w:pPr>
        <w:spacing w:after="0"/>
      </w:pPr>
    </w:p>
    <w:p w14:paraId="14810AC6" w14:textId="42543101" w:rsidR="009F5FB2" w:rsidRDefault="009F5FB2" w:rsidP="00A6068C">
      <w:pPr>
        <w:spacing w:after="0"/>
      </w:pPr>
      <w:r>
        <w:t xml:space="preserve">Resolution XIII.3 retired the CEPA Working Group considering </w:t>
      </w:r>
      <w:r w:rsidR="0028187A">
        <w:t xml:space="preserve">that </w:t>
      </w:r>
      <w:r>
        <w:t xml:space="preserve">its work was completed. </w:t>
      </w:r>
    </w:p>
    <w:p w14:paraId="51524BE1" w14:textId="77777777" w:rsidR="009F5FB2" w:rsidRDefault="009F5FB2" w:rsidP="00A6068C">
      <w:pPr>
        <w:spacing w:after="0"/>
      </w:pPr>
    </w:p>
    <w:p w14:paraId="0A2095F7" w14:textId="7CAC5D79" w:rsidR="00D32C3B" w:rsidRDefault="00657C77" w:rsidP="009C019E">
      <w:pPr>
        <w:spacing w:after="0"/>
      </w:pPr>
      <w:r>
        <w:t xml:space="preserve">The Chair would like to thank the CEPA Working Group members for their valuable contribution to the group’s work. </w:t>
      </w:r>
    </w:p>
    <w:sectPr w:rsidR="00D32C3B" w:rsidSect="00FC0500">
      <w:pgSz w:w="11906" w:h="16838"/>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A23B" w14:textId="77777777" w:rsidR="00FC0500" w:rsidRDefault="00FC0500" w:rsidP="00FC0500">
      <w:pPr>
        <w:spacing w:after="0" w:line="240" w:lineRule="auto"/>
      </w:pPr>
      <w:r>
        <w:separator/>
      </w:r>
    </w:p>
  </w:endnote>
  <w:endnote w:type="continuationSeparator" w:id="0">
    <w:p w14:paraId="5A1750BD" w14:textId="77777777" w:rsidR="00FC0500" w:rsidRDefault="00FC0500" w:rsidP="00FC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193E" w14:textId="78687697" w:rsidR="00FC0500" w:rsidRPr="00FC0500" w:rsidRDefault="00FC0500" w:rsidP="00FC0500">
    <w:pPr>
      <w:tabs>
        <w:tab w:val="right" w:pos="8647"/>
      </w:tabs>
      <w:spacing w:after="0" w:line="240" w:lineRule="auto"/>
      <w:rPr>
        <w:rFonts w:cs="Arial"/>
        <w:sz w:val="20"/>
        <w:szCs w:val="20"/>
      </w:rPr>
    </w:pPr>
    <w:r w:rsidRPr="00FC0500">
      <w:rPr>
        <w:rFonts w:cs="Arial"/>
        <w:sz w:val="20"/>
        <w:szCs w:val="20"/>
      </w:rPr>
      <w:t>SC57 Doc.11.3</w:t>
    </w:r>
    <w:r w:rsidR="00337A71">
      <w:rPr>
        <w:rFonts w:cs="Arial"/>
        <w:sz w:val="20"/>
        <w:szCs w:val="20"/>
      </w:rPr>
      <w:tab/>
    </w:r>
    <w:r w:rsidR="00337A71" w:rsidRPr="00337A71">
      <w:rPr>
        <w:rFonts w:cs="Arial"/>
        <w:sz w:val="20"/>
        <w:szCs w:val="20"/>
      </w:rPr>
      <w:fldChar w:fldCharType="begin"/>
    </w:r>
    <w:r w:rsidR="00337A71" w:rsidRPr="00337A71">
      <w:rPr>
        <w:rFonts w:cs="Arial"/>
        <w:sz w:val="20"/>
        <w:szCs w:val="20"/>
      </w:rPr>
      <w:instrText xml:space="preserve"> PAGE   \* MERGEFORMAT </w:instrText>
    </w:r>
    <w:r w:rsidR="00337A71" w:rsidRPr="00337A71">
      <w:rPr>
        <w:rFonts w:cs="Arial"/>
        <w:sz w:val="20"/>
        <w:szCs w:val="20"/>
      </w:rPr>
      <w:fldChar w:fldCharType="separate"/>
    </w:r>
    <w:r w:rsidR="00F43FDC">
      <w:rPr>
        <w:rFonts w:cs="Arial"/>
        <w:noProof/>
        <w:sz w:val="20"/>
        <w:szCs w:val="20"/>
      </w:rPr>
      <w:t>2</w:t>
    </w:r>
    <w:r w:rsidR="00337A71" w:rsidRPr="00337A71">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4D0A" w14:textId="77777777" w:rsidR="00FC0500" w:rsidRDefault="00FC0500" w:rsidP="00FC0500">
      <w:pPr>
        <w:spacing w:after="0" w:line="240" w:lineRule="auto"/>
      </w:pPr>
      <w:r>
        <w:separator/>
      </w:r>
    </w:p>
  </w:footnote>
  <w:footnote w:type="continuationSeparator" w:id="0">
    <w:p w14:paraId="715664DD" w14:textId="77777777" w:rsidR="00FC0500" w:rsidRDefault="00FC0500" w:rsidP="00FC0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3B"/>
    <w:rsid w:val="000234AA"/>
    <w:rsid w:val="00074F89"/>
    <w:rsid w:val="00091CBA"/>
    <w:rsid w:val="000C5BAD"/>
    <w:rsid w:val="00146789"/>
    <w:rsid w:val="0028187A"/>
    <w:rsid w:val="002B410F"/>
    <w:rsid w:val="003166C4"/>
    <w:rsid w:val="00337A71"/>
    <w:rsid w:val="005D142E"/>
    <w:rsid w:val="00657C77"/>
    <w:rsid w:val="006B10AA"/>
    <w:rsid w:val="0085019B"/>
    <w:rsid w:val="009C019E"/>
    <w:rsid w:val="009F5FB2"/>
    <w:rsid w:val="00A413CC"/>
    <w:rsid w:val="00A6068C"/>
    <w:rsid w:val="00AC2A35"/>
    <w:rsid w:val="00AC7B32"/>
    <w:rsid w:val="00AF4862"/>
    <w:rsid w:val="00B10153"/>
    <w:rsid w:val="00B71466"/>
    <w:rsid w:val="00B800B4"/>
    <w:rsid w:val="00BC0D4B"/>
    <w:rsid w:val="00C4409D"/>
    <w:rsid w:val="00D32C3B"/>
    <w:rsid w:val="00DE2E4B"/>
    <w:rsid w:val="00DF2EF1"/>
    <w:rsid w:val="00E4712B"/>
    <w:rsid w:val="00EA4B6C"/>
    <w:rsid w:val="00EC25B8"/>
    <w:rsid w:val="00EE204B"/>
    <w:rsid w:val="00F1409F"/>
    <w:rsid w:val="00F43FDC"/>
    <w:rsid w:val="00FC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E24EE"/>
  <w15:chartTrackingRefBased/>
  <w15:docId w15:val="{0CAB521D-3257-4993-86AA-6E1A31E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89"/>
    <w:rPr>
      <w:color w:val="0000FF"/>
      <w:u w:val="single"/>
    </w:rPr>
  </w:style>
  <w:style w:type="paragraph" w:styleId="BalloonText">
    <w:name w:val="Balloon Text"/>
    <w:basedOn w:val="Normal"/>
    <w:link w:val="BalloonTextChar"/>
    <w:uiPriority w:val="99"/>
    <w:semiHidden/>
    <w:unhideWhenUsed/>
    <w:rsid w:val="00A4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CC"/>
    <w:rPr>
      <w:rFonts w:ascii="Segoe UI" w:hAnsi="Segoe UI" w:cs="Segoe UI"/>
      <w:sz w:val="18"/>
      <w:szCs w:val="18"/>
    </w:rPr>
  </w:style>
  <w:style w:type="character" w:styleId="CommentReference">
    <w:name w:val="annotation reference"/>
    <w:basedOn w:val="DefaultParagraphFont"/>
    <w:uiPriority w:val="99"/>
    <w:semiHidden/>
    <w:unhideWhenUsed/>
    <w:rsid w:val="00E4712B"/>
    <w:rPr>
      <w:sz w:val="16"/>
      <w:szCs w:val="16"/>
    </w:rPr>
  </w:style>
  <w:style w:type="paragraph" w:styleId="CommentText">
    <w:name w:val="annotation text"/>
    <w:basedOn w:val="Normal"/>
    <w:link w:val="CommentTextChar"/>
    <w:uiPriority w:val="99"/>
    <w:semiHidden/>
    <w:unhideWhenUsed/>
    <w:rsid w:val="00E4712B"/>
    <w:pPr>
      <w:spacing w:line="240" w:lineRule="auto"/>
    </w:pPr>
    <w:rPr>
      <w:sz w:val="20"/>
      <w:szCs w:val="20"/>
    </w:rPr>
  </w:style>
  <w:style w:type="character" w:customStyle="1" w:styleId="CommentTextChar">
    <w:name w:val="Comment Text Char"/>
    <w:basedOn w:val="DefaultParagraphFont"/>
    <w:link w:val="CommentText"/>
    <w:uiPriority w:val="99"/>
    <w:semiHidden/>
    <w:rsid w:val="00E4712B"/>
    <w:rPr>
      <w:sz w:val="20"/>
      <w:szCs w:val="20"/>
    </w:rPr>
  </w:style>
  <w:style w:type="paragraph" w:styleId="CommentSubject">
    <w:name w:val="annotation subject"/>
    <w:basedOn w:val="CommentText"/>
    <w:next w:val="CommentText"/>
    <w:link w:val="CommentSubjectChar"/>
    <w:uiPriority w:val="99"/>
    <w:semiHidden/>
    <w:unhideWhenUsed/>
    <w:rsid w:val="00E4712B"/>
    <w:rPr>
      <w:b/>
      <w:bCs/>
    </w:rPr>
  </w:style>
  <w:style w:type="character" w:customStyle="1" w:styleId="CommentSubjectChar">
    <w:name w:val="Comment Subject Char"/>
    <w:basedOn w:val="CommentTextChar"/>
    <w:link w:val="CommentSubject"/>
    <w:uiPriority w:val="99"/>
    <w:semiHidden/>
    <w:rsid w:val="00E4712B"/>
    <w:rPr>
      <w:b/>
      <w:bCs/>
      <w:sz w:val="20"/>
      <w:szCs w:val="20"/>
    </w:rPr>
  </w:style>
  <w:style w:type="character" w:styleId="FollowedHyperlink">
    <w:name w:val="FollowedHyperlink"/>
    <w:basedOn w:val="DefaultParagraphFont"/>
    <w:uiPriority w:val="99"/>
    <w:semiHidden/>
    <w:unhideWhenUsed/>
    <w:rsid w:val="00AC2A35"/>
    <w:rPr>
      <w:color w:val="954F72" w:themeColor="followedHyperlink"/>
      <w:u w:val="single"/>
    </w:rPr>
  </w:style>
  <w:style w:type="paragraph" w:styleId="ListParagraph">
    <w:name w:val="List Paragraph"/>
    <w:basedOn w:val="Normal"/>
    <w:uiPriority w:val="34"/>
    <w:qFormat/>
    <w:rsid w:val="00FC0500"/>
    <w:pPr>
      <w:spacing w:after="200" w:line="276" w:lineRule="auto"/>
      <w:ind w:left="720"/>
      <w:contextualSpacing/>
    </w:pPr>
    <w:rPr>
      <w:lang w:val="en-US"/>
    </w:rPr>
  </w:style>
  <w:style w:type="paragraph" w:customStyle="1" w:styleId="ColorfulList-Accent11">
    <w:name w:val="Colorful List - Accent 11"/>
    <w:basedOn w:val="Normal"/>
    <w:uiPriority w:val="34"/>
    <w:qFormat/>
    <w:rsid w:val="00FC0500"/>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FC0500"/>
    <w:pPr>
      <w:spacing w:after="0" w:line="240" w:lineRule="auto"/>
      <w:ind w:left="425" w:hanging="425"/>
    </w:pPr>
    <w:rPr>
      <w:rFonts w:ascii="Calibri" w:eastAsia="Calibri" w:hAnsi="Calibri" w:cs="Times New Roman"/>
    </w:rPr>
  </w:style>
  <w:style w:type="paragraph" w:styleId="Header">
    <w:name w:val="header"/>
    <w:basedOn w:val="Normal"/>
    <w:link w:val="HeaderChar"/>
    <w:uiPriority w:val="99"/>
    <w:unhideWhenUsed/>
    <w:rsid w:val="00FC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00"/>
  </w:style>
  <w:style w:type="paragraph" w:styleId="Footer">
    <w:name w:val="footer"/>
    <w:basedOn w:val="Normal"/>
    <w:link w:val="FooterChar"/>
    <w:uiPriority w:val="99"/>
    <w:unhideWhenUsed/>
    <w:rsid w:val="00FC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sc51_14_cepa_action_plan_e.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amsar.org/sites/default/files/documents/library/cepa_chairs_of_wg_and_op_e.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sc52-23_cepa_sec_action_plan_201618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B6BF-D0BC-4DCA-99E5-FD0A724D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LUCZAK Magdalena</dc:creator>
  <cp:keywords/>
  <dc:description/>
  <cp:lastModifiedBy>JENNINGS Edmund</cp:lastModifiedBy>
  <cp:revision>3</cp:revision>
  <cp:lastPrinted>2019-03-20T09:48:00Z</cp:lastPrinted>
  <dcterms:created xsi:type="dcterms:W3CDTF">2019-04-02T13:31:00Z</dcterms:created>
  <dcterms:modified xsi:type="dcterms:W3CDTF">2019-04-02T15:18:00Z</dcterms:modified>
</cp:coreProperties>
</file>