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E50"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14:paraId="66E74478"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14:paraId="513A8E87"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14:paraId="4E7AB034" w14:textId="77777777" w:rsidR="00FD3AF9" w:rsidRPr="008B6E23" w:rsidRDefault="00FD3AF9" w:rsidP="00FD3AF9">
      <w:pPr>
        <w:spacing w:after="0" w:line="240" w:lineRule="auto"/>
        <w:outlineLvl w:val="0"/>
        <w:rPr>
          <w:b/>
          <w:sz w:val="28"/>
          <w:szCs w:val="28"/>
        </w:rPr>
      </w:pPr>
    </w:p>
    <w:p w14:paraId="53C68897" w14:textId="1864B006" w:rsidR="00FD3AF9" w:rsidRPr="008B6E23" w:rsidRDefault="00FD3AF9" w:rsidP="00FD3AF9">
      <w:pPr>
        <w:spacing w:after="0" w:line="240" w:lineRule="auto"/>
        <w:jc w:val="right"/>
        <w:rPr>
          <w:rFonts w:cs="Arial"/>
          <w:sz w:val="28"/>
          <w:szCs w:val="28"/>
        </w:rPr>
      </w:pPr>
      <w:r w:rsidRPr="008B6E23">
        <w:rPr>
          <w:rFonts w:cs="Arial"/>
          <w:b/>
          <w:sz w:val="28"/>
          <w:szCs w:val="28"/>
        </w:rPr>
        <w:t>SC57</w:t>
      </w:r>
      <w:r w:rsidR="008B6E23">
        <w:rPr>
          <w:rFonts w:cs="Arial"/>
          <w:b/>
          <w:sz w:val="28"/>
          <w:szCs w:val="28"/>
        </w:rPr>
        <w:t xml:space="preserve"> Doc.11.2</w:t>
      </w:r>
      <w:r w:rsidRPr="008B6E23">
        <w:rPr>
          <w:rFonts w:cs="Arial"/>
          <w:b/>
          <w:sz w:val="28"/>
          <w:szCs w:val="28"/>
        </w:rPr>
        <w:t xml:space="preserve"> </w:t>
      </w:r>
    </w:p>
    <w:p w14:paraId="0272F08F" w14:textId="77777777" w:rsidR="00FD3AF9" w:rsidRPr="008B6E23" w:rsidRDefault="00FD3AF9" w:rsidP="00FD3AF9">
      <w:pPr>
        <w:spacing w:after="0" w:line="240" w:lineRule="auto"/>
        <w:rPr>
          <w:rFonts w:cs="Arial"/>
          <w:b/>
          <w:sz w:val="28"/>
          <w:szCs w:val="28"/>
        </w:rPr>
      </w:pPr>
    </w:p>
    <w:p w14:paraId="61167A68" w14:textId="3B760384" w:rsidR="00FD3AF9" w:rsidRDefault="008B6E23" w:rsidP="008B6E23">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14:paraId="3971A22B" w14:textId="6E1AD11F" w:rsidR="008B6E23" w:rsidRPr="008B6E23" w:rsidRDefault="008B6E23" w:rsidP="008B6E23">
      <w:pPr>
        <w:spacing w:after="0" w:line="240" w:lineRule="auto"/>
        <w:jc w:val="center"/>
        <w:rPr>
          <w:rFonts w:cs="Arial"/>
          <w:b/>
          <w:sz w:val="28"/>
          <w:szCs w:val="28"/>
        </w:rPr>
      </w:pPr>
      <w:r w:rsidRPr="008B6E23">
        <w:rPr>
          <w:rFonts w:cs="Arial"/>
          <w:b/>
          <w:sz w:val="28"/>
          <w:szCs w:val="28"/>
        </w:rPr>
        <w:t>Resource Mobilization Working Group</w:t>
      </w:r>
    </w:p>
    <w:p w14:paraId="48AD9B28" w14:textId="77777777" w:rsidR="008B6E23" w:rsidRPr="008B6E23" w:rsidRDefault="008B6E23" w:rsidP="00FD3AF9">
      <w:pPr>
        <w:spacing w:after="0" w:line="240" w:lineRule="auto"/>
        <w:rPr>
          <w:rFonts w:cstheme="minorHAnsi"/>
          <w:sz w:val="28"/>
          <w:szCs w:val="28"/>
        </w:rPr>
      </w:pPr>
    </w:p>
    <w:p w14:paraId="3662C598" w14:textId="77777777" w:rsidR="00FD3AF9" w:rsidRDefault="00FD3AF9" w:rsidP="00FD3AF9">
      <w:pPr>
        <w:autoSpaceDE w:val="0"/>
        <w:autoSpaceDN w:val="0"/>
        <w:adjustRightInd w:val="0"/>
        <w:spacing w:after="0" w:line="240" w:lineRule="auto"/>
        <w:rPr>
          <w:rFonts w:cs="Calibri-Bold"/>
          <w:b/>
          <w:bCs/>
        </w:rPr>
      </w:pPr>
      <w:r>
        <w:rPr>
          <w:noProof/>
          <w:lang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14:paraId="06431B95" w14:textId="77777777" w:rsidR="00FD3AF9" w:rsidRDefault="00FD3AF9" w:rsidP="00FD3AF9">
      <w:pPr>
        <w:spacing w:after="0" w:line="240" w:lineRule="auto"/>
        <w:rPr>
          <w:rFonts w:cs="Arial"/>
          <w:b/>
        </w:rPr>
      </w:pPr>
    </w:p>
    <w:p w14:paraId="5785E1EB" w14:textId="77777777" w:rsidR="00FD3AF9" w:rsidRDefault="00FD3AF9" w:rsidP="00FD3AF9">
      <w:pPr>
        <w:spacing w:after="0" w:line="240" w:lineRule="auto"/>
        <w:rPr>
          <w:rFonts w:cs="Arial"/>
          <w:b/>
        </w:rPr>
      </w:pPr>
    </w:p>
    <w:p w14:paraId="3337D33F" w14:textId="470FED42" w:rsidR="00FD3AF9" w:rsidRPr="00275F13" w:rsidRDefault="00FD3AF9" w:rsidP="00427AC0">
      <w:pPr>
        <w:spacing w:after="0" w:line="240" w:lineRule="auto"/>
        <w:ind w:left="425" w:hanging="425"/>
        <w:rPr>
          <w:rFonts w:cs="Arial"/>
        </w:rPr>
      </w:pPr>
      <w:r>
        <w:rPr>
          <w:rFonts w:cs="Arial"/>
        </w:rPr>
        <w:t>1.</w:t>
      </w:r>
      <w:r>
        <w:rPr>
          <w:rFonts w:cs="Arial"/>
        </w:rPr>
        <w:tab/>
      </w:r>
      <w:r w:rsidR="008B6E23">
        <w:rPr>
          <w:rFonts w:cs="Arial"/>
        </w:rPr>
        <w:t xml:space="preserve">At its 13th meeting (COP13) the Conference of Contracting Parties, through Resolution XIII.3 on </w:t>
      </w:r>
      <w:r w:rsidR="008B6E23" w:rsidRPr="008B6E23">
        <w:rPr>
          <w:i/>
        </w:rPr>
        <w:t>Governance of the Convention</w:t>
      </w:r>
      <w:r w:rsidR="008B6E23" w:rsidRPr="008B6E23">
        <w:t>,</w:t>
      </w:r>
      <w:r w:rsidR="008B6E23">
        <w:t xml:space="preserve"> decided</w:t>
      </w:r>
      <w:r w:rsidR="008B6E23">
        <w:t xml:space="preserve"> to retire the working groups listed in Annex 1 of the </w:t>
      </w:r>
      <w:r w:rsidR="008B6E23">
        <w:t>same</w:t>
      </w:r>
      <w:r w:rsidR="008B6E23">
        <w:t xml:space="preserve"> Resolution, and invite</w:t>
      </w:r>
      <w:r w:rsidR="008B6E23">
        <w:t>d</w:t>
      </w:r>
      <w:r w:rsidR="008B6E23">
        <w:t xml:space="preserve">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14:paraId="7FAFE8F5" w14:textId="77777777" w:rsidR="00FD3AF9" w:rsidRDefault="00FD3AF9" w:rsidP="00FD3AF9">
      <w:pPr>
        <w:pStyle w:val="ListParagraph"/>
        <w:spacing w:after="0" w:line="240" w:lineRule="auto"/>
        <w:ind w:left="426"/>
        <w:rPr>
          <w:rFonts w:cs="Arial"/>
        </w:rPr>
      </w:pPr>
    </w:p>
    <w:p w14:paraId="1A88ED60" w14:textId="3B370359" w:rsidR="00FD3AF9" w:rsidRPr="00275F13" w:rsidRDefault="00FD3AF9" w:rsidP="00FD3AF9">
      <w:pPr>
        <w:pStyle w:val="NoSpacing"/>
      </w:pPr>
      <w:r>
        <w:t>2.</w:t>
      </w:r>
      <w:r>
        <w:tab/>
      </w:r>
      <w:r w:rsidR="008B6E23">
        <w:t xml:space="preserve">The final report of the </w:t>
      </w:r>
      <w:r w:rsidR="008B6E23" w:rsidRPr="008B6E23">
        <w:t>Resource Mobilization Working Group</w:t>
      </w:r>
      <w:r w:rsidR="008B6E23">
        <w:t xml:space="preserve"> is </w:t>
      </w:r>
      <w:r w:rsidR="005E457A">
        <w:t>overleaf</w:t>
      </w:r>
      <w:r w:rsidRPr="008B6E23">
        <w:t>.</w:t>
      </w:r>
    </w:p>
    <w:p w14:paraId="0FC0F168" w14:textId="77777777" w:rsidR="00FD3AF9" w:rsidRDefault="00FD3AF9" w:rsidP="00FD3AF9">
      <w:pPr>
        <w:spacing w:after="0" w:line="240" w:lineRule="auto"/>
        <w:rPr>
          <w:rFonts w:ascii="Times New Roman" w:hAnsi="Times New Roman" w:cs="Times New Roman"/>
          <w:b/>
          <w:color w:val="000000"/>
          <w:sz w:val="24"/>
          <w:szCs w:val="24"/>
        </w:rPr>
      </w:pPr>
      <w:r>
        <w:rPr>
          <w:b/>
          <w:color w:val="000000"/>
        </w:rPr>
        <w:br w:type="page"/>
      </w:r>
    </w:p>
    <w:p w14:paraId="1B3C8ADB" w14:textId="128191BE" w:rsidR="005A2FCD" w:rsidRPr="00352079" w:rsidRDefault="00C20A6C" w:rsidP="00590E1B">
      <w:pPr>
        <w:pStyle w:val="NormalWeb"/>
        <w:spacing w:before="0" w:beforeAutospacing="0" w:after="0" w:afterAutospacing="0"/>
        <w:rPr>
          <w:b/>
          <w:color w:val="000000"/>
        </w:rPr>
      </w:pPr>
      <w:r w:rsidRPr="00352079">
        <w:rPr>
          <w:b/>
          <w:color w:val="000000"/>
        </w:rPr>
        <w:lastRenderedPageBreak/>
        <w:t xml:space="preserve">Final </w:t>
      </w:r>
      <w:r w:rsidR="005A2FCD" w:rsidRPr="00352079">
        <w:rPr>
          <w:b/>
          <w:color w:val="000000"/>
        </w:rPr>
        <w:t>Report of the Resource Mobilization Working Group</w:t>
      </w:r>
      <w:r w:rsidR="00520C90">
        <w:rPr>
          <w:b/>
          <w:color w:val="000000"/>
        </w:rPr>
        <w:t xml:space="preserve"> – 14 March 2019</w:t>
      </w:r>
    </w:p>
    <w:p w14:paraId="7CA7C6E0" w14:textId="77777777" w:rsidR="005A2FCD" w:rsidRPr="00352079" w:rsidRDefault="005A2FCD" w:rsidP="00590E1B">
      <w:pPr>
        <w:pStyle w:val="NormalWeb"/>
        <w:spacing w:before="0" w:beforeAutospacing="0" w:after="0" w:afterAutospacing="0"/>
        <w:rPr>
          <w:color w:val="000000"/>
        </w:rPr>
      </w:pPr>
    </w:p>
    <w:p w14:paraId="4B857EFA" w14:textId="124112AF" w:rsidR="00590E1B" w:rsidRPr="00352079" w:rsidRDefault="00397ED7" w:rsidP="00590E1B">
      <w:pPr>
        <w:pStyle w:val="NormalWeb"/>
        <w:spacing w:before="0" w:beforeAutospacing="0" w:after="0" w:afterAutospacing="0"/>
      </w:pPr>
      <w:r w:rsidRPr="00352079">
        <w:rPr>
          <w:color w:val="000000"/>
        </w:rPr>
        <w:t>Resolution XII.7, paragraph 13, request</w:t>
      </w:r>
      <w:r w:rsidR="00C20A6C" w:rsidRPr="00352079">
        <w:rPr>
          <w:color w:val="000000"/>
        </w:rPr>
        <w:t>ed</w:t>
      </w:r>
      <w:r w:rsidRPr="00352079">
        <w:rPr>
          <w:color w:val="000000"/>
        </w:rPr>
        <w:t xml:space="preserve"> </w:t>
      </w:r>
      <w:r w:rsidR="00590E1B" w:rsidRPr="00352079">
        <w:rPr>
          <w:color w:val="000000"/>
        </w:rPr>
        <w:t xml:space="preserve">that the Standing Committee establish a mechanism of the Contracting Parties and Secretariat to develop a Resource Mobilization and Partnership Framework and Work Plan, to include development of fundraising targets and timetables for the Secretariat to deliver on the non-core priorities identified by the Parties </w:t>
      </w:r>
      <w:r w:rsidR="00DC2827" w:rsidRPr="00352079">
        <w:rPr>
          <w:color w:val="000000"/>
        </w:rPr>
        <w:t>in Annex 3 of Resolution XII.1.</w:t>
      </w:r>
      <w:r w:rsidR="00590E1B" w:rsidRPr="00352079">
        <w:rPr>
          <w:color w:val="000000"/>
        </w:rPr>
        <w:t xml:space="preserve"> </w:t>
      </w:r>
      <w:r w:rsidR="00C20A6C" w:rsidRPr="00352079">
        <w:rPr>
          <w:color w:val="000000"/>
        </w:rPr>
        <w:t xml:space="preserve"> </w:t>
      </w:r>
      <w:r w:rsidR="00590E1B" w:rsidRPr="00352079">
        <w:rPr>
          <w:color w:val="000000"/>
        </w:rPr>
        <w:t>At its 50</w:t>
      </w:r>
      <w:r w:rsidR="00590E1B" w:rsidRPr="00352079">
        <w:rPr>
          <w:color w:val="000000"/>
          <w:vertAlign w:val="superscript"/>
        </w:rPr>
        <w:t>th</w:t>
      </w:r>
      <w:r w:rsidR="00590E1B" w:rsidRPr="00352079">
        <w:rPr>
          <w:color w:val="000000"/>
        </w:rPr>
        <w:t xml:space="preserve"> meeting, the Standing Commi</w:t>
      </w:r>
      <w:r w:rsidR="00352079" w:rsidRPr="00352079">
        <w:rPr>
          <w:color w:val="000000"/>
        </w:rPr>
        <w:t>ttee established an open-ended R</w:t>
      </w:r>
      <w:r w:rsidR="00590E1B" w:rsidRPr="00352079">
        <w:rPr>
          <w:color w:val="000000"/>
        </w:rPr>
        <w:t xml:space="preserve">esource </w:t>
      </w:r>
      <w:r w:rsidR="00352079" w:rsidRPr="00352079">
        <w:rPr>
          <w:color w:val="000000"/>
        </w:rPr>
        <w:t>M</w:t>
      </w:r>
      <w:r w:rsidR="00590E1B" w:rsidRPr="00352079">
        <w:rPr>
          <w:color w:val="000000"/>
        </w:rPr>
        <w:t xml:space="preserve">obilization </w:t>
      </w:r>
      <w:r w:rsidR="00352079" w:rsidRPr="00352079">
        <w:rPr>
          <w:color w:val="000000"/>
        </w:rPr>
        <w:t>W</w:t>
      </w:r>
      <w:r w:rsidR="00590E1B" w:rsidRPr="00352079">
        <w:rPr>
          <w:color w:val="000000"/>
        </w:rPr>
        <w:t xml:space="preserve">orking </w:t>
      </w:r>
      <w:r w:rsidR="00352079" w:rsidRPr="00352079">
        <w:rPr>
          <w:color w:val="000000"/>
        </w:rPr>
        <w:t>G</w:t>
      </w:r>
      <w:r w:rsidR="00590E1B" w:rsidRPr="00352079">
        <w:rPr>
          <w:color w:val="000000"/>
        </w:rPr>
        <w:t>roup to review resource mobilization and the partnership framework and plan.</w:t>
      </w:r>
    </w:p>
    <w:p w14:paraId="5B65238C" w14:textId="0C4944D4" w:rsidR="00590E1B" w:rsidRPr="00352079" w:rsidRDefault="00590E1B" w:rsidP="00590E1B">
      <w:pPr>
        <w:pStyle w:val="NormalWeb"/>
        <w:spacing w:before="0" w:beforeAutospacing="0" w:after="0" w:afterAutospacing="0"/>
      </w:pPr>
    </w:p>
    <w:p w14:paraId="52118CD2" w14:textId="4BABED6A" w:rsidR="006B4375" w:rsidRPr="00352079" w:rsidRDefault="00590E1B" w:rsidP="00590E1B">
      <w:pPr>
        <w:pStyle w:val="NormalWeb"/>
        <w:spacing w:before="0" w:beforeAutospacing="0" w:after="0" w:afterAutospacing="0"/>
        <w:rPr>
          <w:color w:val="000000"/>
          <w:lang w:val="en-GB"/>
        </w:rPr>
      </w:pPr>
      <w:r w:rsidRPr="00352079">
        <w:rPr>
          <w:color w:val="000000"/>
          <w:lang w:val="en-GB"/>
        </w:rPr>
        <w:t>The Resource Mobilization Working Group convened at SC52</w:t>
      </w:r>
      <w:r w:rsidR="00397ED7" w:rsidRPr="00352079">
        <w:rPr>
          <w:color w:val="000000"/>
          <w:lang w:val="en-GB"/>
        </w:rPr>
        <w:t xml:space="preserve">. </w:t>
      </w:r>
      <w:r w:rsidR="00C20A6C" w:rsidRPr="00352079">
        <w:rPr>
          <w:color w:val="000000"/>
          <w:lang w:val="en-GB"/>
        </w:rPr>
        <w:t xml:space="preserve"> </w:t>
      </w:r>
      <w:r w:rsidR="00D573B2" w:rsidRPr="00352079">
        <w:rPr>
          <w:color w:val="000000"/>
          <w:lang w:val="en-GB"/>
        </w:rPr>
        <w:t xml:space="preserve">The United States chaired the group, and </w:t>
      </w:r>
      <w:r w:rsidR="00352079">
        <w:rPr>
          <w:color w:val="000000"/>
          <w:lang w:val="en-GB"/>
        </w:rPr>
        <w:t xml:space="preserve">Colombia, </w:t>
      </w:r>
      <w:r w:rsidR="00DC2827" w:rsidRPr="00352079">
        <w:rPr>
          <w:color w:val="000000"/>
          <w:lang w:val="en-GB"/>
        </w:rPr>
        <w:t xml:space="preserve">Finland, Japan, Kenya, Senegal, Seychelles, South Africa, </w:t>
      </w:r>
      <w:r w:rsidR="00D573B2" w:rsidRPr="00352079">
        <w:rPr>
          <w:color w:val="000000"/>
          <w:lang w:val="en-GB"/>
        </w:rPr>
        <w:t xml:space="preserve">and </w:t>
      </w:r>
      <w:r w:rsidR="00DC2827" w:rsidRPr="00352079">
        <w:rPr>
          <w:color w:val="000000"/>
          <w:lang w:val="en-GB"/>
        </w:rPr>
        <w:t xml:space="preserve">United Arab Emirates participated in the working group. </w:t>
      </w:r>
      <w:r w:rsidR="00C20A6C" w:rsidRPr="00352079">
        <w:rPr>
          <w:color w:val="000000"/>
          <w:lang w:val="en-GB"/>
        </w:rPr>
        <w:t xml:space="preserve"> </w:t>
      </w:r>
      <w:r w:rsidR="00DC2827" w:rsidRPr="00352079">
        <w:rPr>
          <w:color w:val="000000"/>
          <w:lang w:val="en-GB"/>
        </w:rPr>
        <w:t>The group</w:t>
      </w:r>
      <w:r w:rsidR="00AA1C5A" w:rsidRPr="00352079">
        <w:rPr>
          <w:color w:val="000000"/>
          <w:lang w:val="en-GB"/>
        </w:rPr>
        <w:t xml:space="preserve"> discussed</w:t>
      </w:r>
      <w:r w:rsidRPr="00352079">
        <w:rPr>
          <w:color w:val="000000"/>
          <w:lang w:val="en-GB"/>
        </w:rPr>
        <w:t xml:space="preserve"> an overarching </w:t>
      </w:r>
      <w:r w:rsidR="00AA1C5A" w:rsidRPr="00352079">
        <w:rPr>
          <w:color w:val="000000"/>
          <w:lang w:val="en-GB"/>
        </w:rPr>
        <w:t>set</w:t>
      </w:r>
      <w:r w:rsidRPr="00352079">
        <w:rPr>
          <w:color w:val="000000"/>
          <w:lang w:val="en-GB"/>
        </w:rPr>
        <w:t xml:space="preserve"> of principles to guide the Secretariat’s resource mobilization efforts</w:t>
      </w:r>
      <w:r w:rsidR="00DC2827" w:rsidRPr="00352079">
        <w:rPr>
          <w:color w:val="000000"/>
          <w:lang w:val="en-GB"/>
        </w:rPr>
        <w:t xml:space="preserve"> and developed a draft resource mobilization work plan </w:t>
      </w:r>
      <w:r w:rsidR="00B20410" w:rsidRPr="00352079">
        <w:rPr>
          <w:color w:val="000000"/>
          <w:lang w:val="en-GB"/>
        </w:rPr>
        <w:t xml:space="preserve">framework </w:t>
      </w:r>
      <w:r w:rsidR="00DC2827" w:rsidRPr="00352079">
        <w:rPr>
          <w:color w:val="000000"/>
          <w:lang w:val="en-GB"/>
        </w:rPr>
        <w:t>on that basis</w:t>
      </w:r>
      <w:r w:rsidRPr="00352079">
        <w:rPr>
          <w:color w:val="000000"/>
          <w:lang w:val="en-GB"/>
        </w:rPr>
        <w:t>.</w:t>
      </w:r>
      <w:r w:rsidR="006B4375" w:rsidRPr="00352079">
        <w:rPr>
          <w:color w:val="000000"/>
          <w:lang w:val="en-GB"/>
        </w:rPr>
        <w:t xml:space="preserve">  </w:t>
      </w:r>
      <w:r w:rsidR="00A448CB" w:rsidRPr="00352079">
        <w:t>The group also offered to advise the new Secretary General</w:t>
      </w:r>
      <w:r w:rsidR="003018DA" w:rsidRPr="00352079">
        <w:t xml:space="preserve"> on the job description for the new resource mobilization staff</w:t>
      </w:r>
      <w:r w:rsidR="00A448CB" w:rsidRPr="00352079">
        <w:t xml:space="preserve"> position, and to provide advice and guidance to t</w:t>
      </w:r>
      <w:r w:rsidR="003018DA" w:rsidRPr="00352079">
        <w:t>he new hire as s/he developed</w:t>
      </w:r>
      <w:r w:rsidR="00A448CB" w:rsidRPr="00352079">
        <w:t xml:space="preserve"> the Resource Mobilization Work Plan with a view toward recommending its adoption at SC53 if possible.  The Standing Committee reflected these recommendations in Decision 52-23 and the resource mobilization plan framework is available as Annex 4 to the Report and Decisions of the 52</w:t>
      </w:r>
      <w:r w:rsidR="00A448CB" w:rsidRPr="00352079">
        <w:rPr>
          <w:vertAlign w:val="superscript"/>
        </w:rPr>
        <w:t>nd</w:t>
      </w:r>
      <w:r w:rsidR="00A448CB" w:rsidRPr="00352079">
        <w:t xml:space="preserve"> Mee</w:t>
      </w:r>
      <w:r w:rsidR="00352079">
        <w:t>ting of the Standing Committee.</w:t>
      </w:r>
    </w:p>
    <w:p w14:paraId="065441C3" w14:textId="77777777" w:rsidR="00A448CB" w:rsidRPr="00352079" w:rsidRDefault="00A448CB" w:rsidP="00590E1B">
      <w:pPr>
        <w:pStyle w:val="NormalWeb"/>
        <w:spacing w:before="0" w:beforeAutospacing="0" w:after="0" w:afterAutospacing="0"/>
        <w:rPr>
          <w:color w:val="000000"/>
          <w:lang w:val="en-GB"/>
        </w:rPr>
      </w:pPr>
    </w:p>
    <w:p w14:paraId="696B97C6" w14:textId="1DBFE3E3" w:rsidR="00A448CB" w:rsidRPr="00352079" w:rsidRDefault="00A448CB" w:rsidP="00590E1B">
      <w:pPr>
        <w:pStyle w:val="NormalWeb"/>
        <w:spacing w:before="0" w:beforeAutospacing="0" w:after="0" w:afterAutospacing="0"/>
        <w:rPr>
          <w:color w:val="000000"/>
          <w:lang w:val="en-GB"/>
        </w:rPr>
      </w:pPr>
      <w:r w:rsidRPr="00352079">
        <w:rPr>
          <w:color w:val="000000"/>
          <w:lang w:val="en-GB"/>
        </w:rPr>
        <w:t xml:space="preserve">The working group provided feedback </w:t>
      </w:r>
      <w:r w:rsidR="003018DA" w:rsidRPr="00352079">
        <w:rPr>
          <w:color w:val="000000"/>
          <w:lang w:val="en-GB"/>
        </w:rPr>
        <w:t xml:space="preserve">intersessionally via electronic communications </w:t>
      </w:r>
      <w:r w:rsidRPr="00352079">
        <w:rPr>
          <w:color w:val="000000"/>
          <w:lang w:val="en-GB"/>
        </w:rPr>
        <w:t xml:space="preserve">to the Secretary General regarding filling the position </w:t>
      </w:r>
      <w:r w:rsidR="003018DA" w:rsidRPr="00352079">
        <w:rPr>
          <w:color w:val="000000"/>
          <w:lang w:val="en-GB"/>
        </w:rPr>
        <w:t xml:space="preserve">in 2016, and later provided feedback to the new Director of Resource Mobilization and Outreach on a draft resource mobilization work plan.  </w:t>
      </w:r>
      <w:r w:rsidR="00D573B2" w:rsidRPr="00352079">
        <w:rPr>
          <w:color w:val="000000"/>
          <w:lang w:val="en-GB"/>
        </w:rPr>
        <w:t>At SC54, t</w:t>
      </w:r>
      <w:r w:rsidR="003018DA" w:rsidRPr="00352079">
        <w:rPr>
          <w:color w:val="000000"/>
          <w:lang w:val="en-GB"/>
        </w:rPr>
        <w:t xml:space="preserve">he Secretariat presented the resource mobilization </w:t>
      </w:r>
      <w:r w:rsidR="00D573B2" w:rsidRPr="00352079">
        <w:rPr>
          <w:color w:val="000000"/>
          <w:lang w:val="en-GB"/>
        </w:rPr>
        <w:t>work plan, which the Standing Committee noted and requested to be updated with new priorities following the 13</w:t>
      </w:r>
      <w:r w:rsidR="00D573B2" w:rsidRPr="00352079">
        <w:rPr>
          <w:color w:val="000000"/>
          <w:vertAlign w:val="superscript"/>
          <w:lang w:val="en-GB"/>
        </w:rPr>
        <w:t>th</w:t>
      </w:r>
      <w:r w:rsidR="00D573B2" w:rsidRPr="00352079">
        <w:rPr>
          <w:color w:val="000000"/>
          <w:lang w:val="en-GB"/>
        </w:rPr>
        <w:t xml:space="preserve"> Conference of the Parties and submitted to SC57 for adoption.</w:t>
      </w:r>
    </w:p>
    <w:p w14:paraId="5FAA8123" w14:textId="77777777" w:rsidR="00D573B2" w:rsidRPr="00352079" w:rsidRDefault="00D573B2" w:rsidP="00590E1B">
      <w:pPr>
        <w:pStyle w:val="NormalWeb"/>
        <w:spacing w:before="0" w:beforeAutospacing="0" w:after="0" w:afterAutospacing="0"/>
        <w:rPr>
          <w:color w:val="000000"/>
          <w:lang w:val="en-GB"/>
        </w:rPr>
      </w:pPr>
    </w:p>
    <w:p w14:paraId="2B28FF5F" w14:textId="77777777" w:rsidR="00D573B2" w:rsidRPr="00352079" w:rsidRDefault="00D573B2" w:rsidP="00590E1B">
      <w:pPr>
        <w:pStyle w:val="NormalWeb"/>
        <w:spacing w:before="0" w:beforeAutospacing="0" w:after="0" w:afterAutospacing="0"/>
        <w:rPr>
          <w:color w:val="000000"/>
          <w:lang w:val="en-GB"/>
        </w:rPr>
      </w:pPr>
      <w:r w:rsidRPr="00352079">
        <w:rPr>
          <w:color w:val="000000"/>
          <w:lang w:val="en-GB"/>
        </w:rPr>
        <w:t xml:space="preserve">The Resource Mobilization Working Group concluded its work at SC54.  The Chair would like to thank the working group members for their valuable contributions to the group’s work. </w:t>
      </w:r>
    </w:p>
    <w:p w14:paraId="5ED9A951" w14:textId="77777777" w:rsidR="003972D5" w:rsidRPr="00352079" w:rsidRDefault="003972D5" w:rsidP="00D573B2">
      <w:pPr>
        <w:rPr>
          <w:rFonts w:ascii="Times New Roman" w:hAnsi="Times New Roman" w:cs="Times New Roman"/>
          <w:sz w:val="24"/>
          <w:szCs w:val="24"/>
        </w:rPr>
      </w:pPr>
      <w:bookmarkStart w:id="0" w:name="_GoBack"/>
      <w:bookmarkEnd w:id="0"/>
    </w:p>
    <w:sectPr w:rsidR="003972D5" w:rsidRPr="00352079" w:rsidSect="005E457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EADB" w14:textId="77777777" w:rsidR="005E457A" w:rsidRDefault="005E457A" w:rsidP="005E457A">
      <w:pPr>
        <w:spacing w:after="0" w:line="240" w:lineRule="auto"/>
      </w:pPr>
      <w:r>
        <w:separator/>
      </w:r>
    </w:p>
  </w:endnote>
  <w:endnote w:type="continuationSeparator" w:id="0">
    <w:p w14:paraId="610502DF" w14:textId="77777777" w:rsidR="005E457A" w:rsidRDefault="005E457A"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431ED228" w:rsidR="005E457A" w:rsidRPr="005E457A" w:rsidRDefault="005E457A">
    <w:pPr>
      <w:pStyle w:val="Footer"/>
      <w:rPr>
        <w:sz w:val="20"/>
        <w:szCs w:val="20"/>
        <w:lang w:val="en-GB"/>
      </w:rPr>
    </w:pPr>
    <w:r w:rsidRPr="005E457A">
      <w:rPr>
        <w:sz w:val="20"/>
        <w:szCs w:val="20"/>
        <w:lang w:val="en-GB"/>
      </w:rPr>
      <w:t>SC57 Doc.11.2</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D814" w14:textId="77777777" w:rsidR="005E457A" w:rsidRDefault="005E457A" w:rsidP="005E457A">
      <w:pPr>
        <w:spacing w:after="0" w:line="240" w:lineRule="auto"/>
      </w:pPr>
      <w:r>
        <w:separator/>
      </w:r>
    </w:p>
  </w:footnote>
  <w:footnote w:type="continuationSeparator" w:id="0">
    <w:p w14:paraId="62930B27" w14:textId="77777777" w:rsidR="005E457A" w:rsidRDefault="005E457A" w:rsidP="005E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B"/>
    <w:rsid w:val="0003724E"/>
    <w:rsid w:val="001E4F1D"/>
    <w:rsid w:val="003018DA"/>
    <w:rsid w:val="00352079"/>
    <w:rsid w:val="00393F93"/>
    <w:rsid w:val="003972D5"/>
    <w:rsid w:val="00397ED7"/>
    <w:rsid w:val="00427AC0"/>
    <w:rsid w:val="00520C90"/>
    <w:rsid w:val="00590E1B"/>
    <w:rsid w:val="005A2FCD"/>
    <w:rsid w:val="005E17F6"/>
    <w:rsid w:val="005E3505"/>
    <w:rsid w:val="005E457A"/>
    <w:rsid w:val="00645DBC"/>
    <w:rsid w:val="006A3128"/>
    <w:rsid w:val="006B4375"/>
    <w:rsid w:val="008B6E23"/>
    <w:rsid w:val="009F0523"/>
    <w:rsid w:val="00A448CB"/>
    <w:rsid w:val="00AA1C5A"/>
    <w:rsid w:val="00AB1A06"/>
    <w:rsid w:val="00B20410"/>
    <w:rsid w:val="00C20A6C"/>
    <w:rsid w:val="00C44374"/>
    <w:rsid w:val="00D573B2"/>
    <w:rsid w:val="00DA3D6C"/>
    <w:rsid w:val="00DC2827"/>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512"/>
  <w15:docId w15:val="{8F78A7B6-CB59-4E9A-990D-95D320C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2019-03-26T12:48:00Z</dcterms:created>
  <dcterms:modified xsi:type="dcterms:W3CDTF">2019-03-26T12:48:00Z</dcterms:modified>
</cp:coreProperties>
</file>