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FA54" w14:textId="77777777" w:rsidR="00BE7538" w:rsidRPr="00214CBC" w:rsidRDefault="00A7563C"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214CBC">
        <w:rPr>
          <w:rFonts w:asciiTheme="majorHAnsi" w:hAnsiTheme="majorHAnsi"/>
          <w:bCs/>
        </w:rPr>
        <w:t>RAMSAR CONVENTION ON WETLANDS</w:t>
      </w:r>
    </w:p>
    <w:p w14:paraId="19A425CF" w14:textId="77777777" w:rsidR="00BE7538" w:rsidRPr="00214CBC" w:rsidRDefault="00BE7538"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214CBC">
        <w:rPr>
          <w:rFonts w:asciiTheme="majorHAnsi" w:hAnsiTheme="majorHAnsi"/>
          <w:bCs/>
        </w:rPr>
        <w:t>5</w:t>
      </w:r>
      <w:r w:rsidR="0072408E" w:rsidRPr="00214CBC">
        <w:rPr>
          <w:rFonts w:asciiTheme="majorHAnsi" w:hAnsiTheme="majorHAnsi"/>
          <w:bCs/>
        </w:rPr>
        <w:t>5</w:t>
      </w:r>
      <w:r w:rsidR="00E4250A" w:rsidRPr="00214CBC">
        <w:rPr>
          <w:rFonts w:asciiTheme="majorHAnsi" w:hAnsiTheme="majorHAnsi"/>
          <w:bCs/>
        </w:rPr>
        <w:t>th</w:t>
      </w:r>
      <w:r w:rsidRPr="00214CBC">
        <w:rPr>
          <w:rFonts w:asciiTheme="majorHAnsi" w:hAnsiTheme="majorHAnsi"/>
          <w:bCs/>
        </w:rPr>
        <w:t xml:space="preserve"> Meeting of the Standing Committee</w:t>
      </w:r>
    </w:p>
    <w:p w14:paraId="494B4001" w14:textId="77777777" w:rsidR="00BE7538" w:rsidRPr="00214CBC" w:rsidRDefault="0072408E" w:rsidP="00F52F7A">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214CBC">
        <w:rPr>
          <w:rFonts w:asciiTheme="majorHAnsi" w:hAnsiTheme="majorHAnsi"/>
          <w:bCs/>
        </w:rPr>
        <w:t>Dubai, United Arab Emirates, 21 October</w:t>
      </w:r>
      <w:r w:rsidR="00BE7538" w:rsidRPr="00214CBC">
        <w:rPr>
          <w:rFonts w:asciiTheme="majorHAnsi" w:hAnsiTheme="majorHAnsi"/>
          <w:bCs/>
        </w:rPr>
        <w:t xml:space="preserve"> </w:t>
      </w:r>
      <w:r w:rsidR="00E4250A" w:rsidRPr="00214CBC">
        <w:rPr>
          <w:rFonts w:asciiTheme="majorHAnsi" w:hAnsiTheme="majorHAnsi"/>
          <w:bCs/>
        </w:rPr>
        <w:t>2018</w:t>
      </w:r>
    </w:p>
    <w:p w14:paraId="66E33CFA" w14:textId="77777777" w:rsidR="00BE7538" w:rsidRPr="00214CBC" w:rsidRDefault="00BE7538" w:rsidP="00F52F7A">
      <w:pPr>
        <w:spacing w:after="0" w:line="240" w:lineRule="auto"/>
        <w:rPr>
          <w:rFonts w:asciiTheme="majorHAnsi" w:hAnsiTheme="majorHAnsi"/>
          <w:b/>
        </w:rPr>
      </w:pPr>
    </w:p>
    <w:p w14:paraId="36A74220" w14:textId="77777777" w:rsidR="00A7563C" w:rsidRPr="00214CBC" w:rsidRDefault="00A7563C" w:rsidP="00F52F7A">
      <w:pPr>
        <w:spacing w:after="0" w:line="240" w:lineRule="auto"/>
        <w:rPr>
          <w:b/>
          <w:sz w:val="28"/>
          <w:szCs w:val="28"/>
        </w:rPr>
      </w:pPr>
    </w:p>
    <w:p w14:paraId="49A09067" w14:textId="4BD5129B" w:rsidR="00BE7538" w:rsidRPr="00214CBC" w:rsidRDefault="00F613BD" w:rsidP="00F52F7A">
      <w:pPr>
        <w:spacing w:after="0" w:line="240" w:lineRule="auto"/>
        <w:jc w:val="center"/>
        <w:rPr>
          <w:rFonts w:asciiTheme="majorHAnsi" w:hAnsiTheme="majorHAnsi"/>
          <w:b/>
        </w:rPr>
      </w:pPr>
      <w:r w:rsidRPr="00214CBC">
        <w:rPr>
          <w:b/>
          <w:sz w:val="28"/>
          <w:szCs w:val="28"/>
        </w:rPr>
        <w:t xml:space="preserve">Report and </w:t>
      </w:r>
      <w:r w:rsidR="00430E57">
        <w:rPr>
          <w:b/>
          <w:sz w:val="28"/>
          <w:szCs w:val="28"/>
        </w:rPr>
        <w:t>d</w:t>
      </w:r>
      <w:r w:rsidRPr="00214CBC">
        <w:rPr>
          <w:b/>
          <w:sz w:val="28"/>
          <w:szCs w:val="28"/>
        </w:rPr>
        <w:t>ecisions of the 5</w:t>
      </w:r>
      <w:r w:rsidR="0072408E" w:rsidRPr="00214CBC">
        <w:rPr>
          <w:b/>
          <w:sz w:val="28"/>
          <w:szCs w:val="28"/>
        </w:rPr>
        <w:t>5</w:t>
      </w:r>
      <w:r w:rsidRPr="00214CBC">
        <w:rPr>
          <w:b/>
          <w:sz w:val="28"/>
          <w:szCs w:val="28"/>
        </w:rPr>
        <w:t xml:space="preserve">th </w:t>
      </w:r>
      <w:r w:rsidR="00430E57">
        <w:rPr>
          <w:b/>
          <w:sz w:val="28"/>
          <w:szCs w:val="28"/>
        </w:rPr>
        <w:t>m</w:t>
      </w:r>
      <w:bookmarkStart w:id="0" w:name="_GoBack"/>
      <w:bookmarkEnd w:id="0"/>
      <w:r w:rsidRPr="00214CBC">
        <w:rPr>
          <w:b/>
          <w:sz w:val="28"/>
          <w:szCs w:val="28"/>
        </w:rPr>
        <w:t xml:space="preserve">eeting </w:t>
      </w:r>
      <w:r w:rsidR="00375B9A" w:rsidRPr="00214CBC">
        <w:rPr>
          <w:b/>
          <w:sz w:val="28"/>
          <w:szCs w:val="28"/>
        </w:rPr>
        <w:br/>
      </w:r>
      <w:r w:rsidRPr="00214CBC">
        <w:rPr>
          <w:b/>
          <w:sz w:val="28"/>
          <w:szCs w:val="28"/>
        </w:rPr>
        <w:t>of the Standing Committee</w:t>
      </w:r>
    </w:p>
    <w:p w14:paraId="2FD0A3E6" w14:textId="77777777" w:rsidR="00F613BD" w:rsidRPr="00214CBC" w:rsidRDefault="00F613BD" w:rsidP="00F52F7A">
      <w:pPr>
        <w:spacing w:after="0" w:line="240" w:lineRule="auto"/>
        <w:rPr>
          <w:rFonts w:asciiTheme="majorHAnsi" w:hAnsiTheme="majorHAnsi"/>
          <w:b/>
        </w:rPr>
      </w:pPr>
    </w:p>
    <w:p w14:paraId="722C7848" w14:textId="77777777" w:rsidR="00A7563C" w:rsidRPr="00214CBC" w:rsidRDefault="00A7563C" w:rsidP="00F52F7A">
      <w:pPr>
        <w:spacing w:after="0" w:line="240" w:lineRule="auto"/>
        <w:outlineLvl w:val="0"/>
        <w:rPr>
          <w:rFonts w:asciiTheme="majorHAnsi" w:hAnsiTheme="majorHAnsi"/>
          <w:b/>
        </w:rPr>
      </w:pPr>
    </w:p>
    <w:p w14:paraId="2F0F582B" w14:textId="77777777" w:rsidR="00D04017" w:rsidRPr="00214CBC" w:rsidRDefault="0072408E" w:rsidP="00F52F7A">
      <w:pPr>
        <w:spacing w:after="0" w:line="240" w:lineRule="auto"/>
        <w:outlineLvl w:val="0"/>
        <w:rPr>
          <w:b/>
        </w:rPr>
      </w:pPr>
      <w:r w:rsidRPr="00214CBC">
        <w:rPr>
          <w:b/>
        </w:rPr>
        <w:t>Sunday 21 October</w:t>
      </w:r>
      <w:r w:rsidR="00DB5749" w:rsidRPr="00214CBC">
        <w:rPr>
          <w:b/>
        </w:rPr>
        <w:t xml:space="preserve"> 2018</w:t>
      </w:r>
    </w:p>
    <w:p w14:paraId="7AB646C1" w14:textId="77777777" w:rsidR="00D04017" w:rsidRPr="00214CBC" w:rsidRDefault="00D04017" w:rsidP="00F52F7A">
      <w:pPr>
        <w:spacing w:after="0" w:line="240" w:lineRule="auto"/>
        <w:rPr>
          <w:b/>
        </w:rPr>
      </w:pPr>
    </w:p>
    <w:p w14:paraId="3DC551D9" w14:textId="77777777" w:rsidR="00D04017" w:rsidRPr="00214CBC" w:rsidRDefault="0072408E" w:rsidP="00F52F7A">
      <w:pPr>
        <w:spacing w:after="0" w:line="240" w:lineRule="auto"/>
        <w:rPr>
          <w:b/>
          <w:bCs/>
        </w:rPr>
      </w:pPr>
      <w:r w:rsidRPr="00214CBC">
        <w:rPr>
          <w:b/>
        </w:rPr>
        <w:t>10.15</w:t>
      </w:r>
      <w:r w:rsidR="00D04017" w:rsidRPr="00214CBC">
        <w:rPr>
          <w:b/>
        </w:rPr>
        <w:t xml:space="preserve"> – </w:t>
      </w:r>
      <w:r w:rsidR="00DD109A" w:rsidRPr="00214CBC">
        <w:rPr>
          <w:b/>
        </w:rPr>
        <w:t>14:00</w:t>
      </w:r>
      <w:r w:rsidR="00D04017" w:rsidRPr="00214CBC">
        <w:rPr>
          <w:b/>
        </w:rPr>
        <w:t xml:space="preserve"> </w:t>
      </w:r>
      <w:r w:rsidR="00D04017" w:rsidRPr="00214CBC">
        <w:rPr>
          <w:b/>
        </w:rPr>
        <w:tab/>
        <w:t>Plenary Session</w:t>
      </w:r>
      <w:r w:rsidR="00D04017" w:rsidRPr="00214CBC">
        <w:rPr>
          <w:bCs/>
        </w:rPr>
        <w:t xml:space="preserve"> </w:t>
      </w:r>
      <w:r w:rsidR="00D04017" w:rsidRPr="00214CBC">
        <w:rPr>
          <w:b/>
          <w:bCs/>
        </w:rPr>
        <w:t>of the Standing Committee</w:t>
      </w:r>
    </w:p>
    <w:p w14:paraId="55E1D5DC" w14:textId="77777777" w:rsidR="003E31E3" w:rsidRPr="00214CBC" w:rsidRDefault="003E31E3" w:rsidP="00F52F7A">
      <w:pPr>
        <w:spacing w:after="0" w:line="240" w:lineRule="auto"/>
        <w:rPr>
          <w:b/>
          <w:bCs/>
        </w:rPr>
      </w:pPr>
    </w:p>
    <w:p w14:paraId="53D64591" w14:textId="77777777" w:rsidR="00D04017" w:rsidRPr="00214CBC" w:rsidRDefault="00BE7538"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w:t>
      </w:r>
      <w:r w:rsidR="00D04017" w:rsidRPr="00214CBC">
        <w:rPr>
          <w:rFonts w:cs="Calibri"/>
          <w:bCs/>
        </w:rPr>
        <w:t>1</w:t>
      </w:r>
      <w:r w:rsidR="000F5F52" w:rsidRPr="00214CBC">
        <w:rPr>
          <w:rFonts w:cs="Calibri"/>
          <w:bCs/>
        </w:rPr>
        <w:t>:</w:t>
      </w:r>
      <w:r w:rsidR="00D04017" w:rsidRPr="00214CBC">
        <w:rPr>
          <w:rFonts w:cs="Calibri"/>
          <w:bCs/>
        </w:rPr>
        <w:t xml:space="preserve"> Opening statements</w:t>
      </w:r>
    </w:p>
    <w:p w14:paraId="5E37B40D" w14:textId="77777777" w:rsidR="00F14265" w:rsidRPr="00214CBC" w:rsidRDefault="00F14265" w:rsidP="00F52F7A">
      <w:pPr>
        <w:spacing w:after="0" w:line="240" w:lineRule="auto"/>
        <w:rPr>
          <w:bCs/>
        </w:rPr>
      </w:pPr>
    </w:p>
    <w:p w14:paraId="1A03318A" w14:textId="77777777" w:rsidR="00F613BD" w:rsidRPr="00214CBC" w:rsidRDefault="00A7563C" w:rsidP="00F52F7A">
      <w:pPr>
        <w:spacing w:after="0" w:line="240" w:lineRule="auto"/>
        <w:ind w:left="567" w:hanging="567"/>
        <w:rPr>
          <w:bCs/>
        </w:rPr>
      </w:pPr>
      <w:r w:rsidRPr="00214CBC">
        <w:rPr>
          <w:bCs/>
        </w:rPr>
        <w:t>1.</w:t>
      </w:r>
      <w:r w:rsidRPr="00214CBC">
        <w:rPr>
          <w:bCs/>
        </w:rPr>
        <w:tab/>
      </w:r>
      <w:r w:rsidR="00F613BD" w:rsidRPr="00214CBC">
        <w:rPr>
          <w:bCs/>
        </w:rPr>
        <w:t>Opening statements were made by</w:t>
      </w:r>
      <w:r w:rsidRPr="00214CBC">
        <w:rPr>
          <w:bCs/>
        </w:rPr>
        <w:t>:</w:t>
      </w:r>
    </w:p>
    <w:p w14:paraId="0790344F" w14:textId="77777777" w:rsidR="00D04017" w:rsidRPr="00214CBC" w:rsidRDefault="00407297" w:rsidP="00F52F7A">
      <w:pPr>
        <w:pStyle w:val="ListParagraph"/>
        <w:numPr>
          <w:ilvl w:val="0"/>
          <w:numId w:val="15"/>
        </w:numPr>
        <w:spacing w:after="0" w:line="240" w:lineRule="auto"/>
        <w:ind w:left="992" w:hanging="425"/>
        <w:rPr>
          <w:bCs/>
        </w:rPr>
      </w:pPr>
      <w:r w:rsidRPr="00214CBC">
        <w:rPr>
          <w:bCs/>
        </w:rPr>
        <w:t>Mr Jorge Rucks, Uruguay, Chair of the Standing Committee</w:t>
      </w:r>
      <w:r w:rsidR="00976D40" w:rsidRPr="00214CBC">
        <w:rPr>
          <w:bCs/>
        </w:rPr>
        <w:t>;</w:t>
      </w:r>
    </w:p>
    <w:p w14:paraId="42335E84" w14:textId="77777777" w:rsidR="00D04017" w:rsidRPr="00214CBC" w:rsidRDefault="004376AA" w:rsidP="00F52F7A">
      <w:pPr>
        <w:pStyle w:val="ListParagraph"/>
        <w:numPr>
          <w:ilvl w:val="0"/>
          <w:numId w:val="15"/>
        </w:numPr>
        <w:spacing w:after="0" w:line="240" w:lineRule="auto"/>
        <w:ind w:left="992" w:hanging="425"/>
        <w:rPr>
          <w:bCs/>
        </w:rPr>
      </w:pPr>
      <w:r w:rsidRPr="00214CBC">
        <w:rPr>
          <w:bCs/>
        </w:rPr>
        <w:t>H</w:t>
      </w:r>
      <w:r w:rsidR="00976D40" w:rsidRPr="00214CBC">
        <w:rPr>
          <w:bCs/>
        </w:rPr>
        <w:t xml:space="preserve">is </w:t>
      </w:r>
      <w:r w:rsidRPr="00214CBC">
        <w:rPr>
          <w:bCs/>
        </w:rPr>
        <w:t>E</w:t>
      </w:r>
      <w:r w:rsidR="00976D40" w:rsidRPr="00214CBC">
        <w:rPr>
          <w:bCs/>
        </w:rPr>
        <w:t>xcellency</w:t>
      </w:r>
      <w:r w:rsidRPr="00214CBC">
        <w:rPr>
          <w:bCs/>
        </w:rPr>
        <w:t xml:space="preserve"> Mr Mohamed Al Afkham,</w:t>
      </w:r>
      <w:r w:rsidR="00976D40" w:rsidRPr="00214CBC">
        <w:rPr>
          <w:bCs/>
        </w:rPr>
        <w:t xml:space="preserve"> </w:t>
      </w:r>
      <w:r w:rsidRPr="00214CBC">
        <w:rPr>
          <w:bCs/>
        </w:rPr>
        <w:t xml:space="preserve">Director General Fujairah Municipality, </w:t>
      </w:r>
      <w:r w:rsidR="003B7701">
        <w:rPr>
          <w:bCs/>
        </w:rPr>
        <w:t xml:space="preserve">the United Arab Emirates, </w:t>
      </w:r>
      <w:r w:rsidRPr="00214CBC">
        <w:rPr>
          <w:bCs/>
        </w:rPr>
        <w:t>the r</w:t>
      </w:r>
      <w:r w:rsidR="0072408E" w:rsidRPr="00214CBC">
        <w:rPr>
          <w:bCs/>
        </w:rPr>
        <w:t>epresentat</w:t>
      </w:r>
      <w:r w:rsidRPr="00214CBC">
        <w:rPr>
          <w:bCs/>
        </w:rPr>
        <w:t>ive of the Host Country</w:t>
      </w:r>
      <w:r w:rsidR="00976D40" w:rsidRPr="00214CBC">
        <w:rPr>
          <w:bCs/>
        </w:rPr>
        <w:t>.</w:t>
      </w:r>
    </w:p>
    <w:p w14:paraId="47BDC10C" w14:textId="77777777" w:rsidR="00B36C41" w:rsidRPr="00214CBC" w:rsidRDefault="00B36C41" w:rsidP="00F52F7A">
      <w:pPr>
        <w:spacing w:after="0" w:line="240" w:lineRule="auto"/>
        <w:rPr>
          <w:bCs/>
        </w:rPr>
      </w:pPr>
    </w:p>
    <w:p w14:paraId="55A3D40E" w14:textId="77777777" w:rsidR="00D04017" w:rsidRPr="00214CBC" w:rsidRDefault="00BE7538"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w:t>
      </w:r>
      <w:r w:rsidR="00D04017" w:rsidRPr="00214CBC">
        <w:rPr>
          <w:rFonts w:cs="Calibri"/>
          <w:bCs/>
        </w:rPr>
        <w:t>2</w:t>
      </w:r>
      <w:r w:rsidR="000F5F52" w:rsidRPr="00214CBC">
        <w:rPr>
          <w:rFonts w:cs="Calibri"/>
          <w:bCs/>
        </w:rPr>
        <w:t>:</w:t>
      </w:r>
      <w:r w:rsidR="00D04017" w:rsidRPr="00214CBC">
        <w:rPr>
          <w:rFonts w:cs="Calibri"/>
          <w:bCs/>
        </w:rPr>
        <w:t xml:space="preserve"> </w:t>
      </w:r>
      <w:r w:rsidR="00DB5749" w:rsidRPr="00214CBC">
        <w:rPr>
          <w:rFonts w:cs="Calibri"/>
          <w:bCs/>
        </w:rPr>
        <w:t>A</w:t>
      </w:r>
      <w:r w:rsidR="00D04017" w:rsidRPr="00214CBC">
        <w:rPr>
          <w:rFonts w:cs="Calibri"/>
          <w:bCs/>
        </w:rPr>
        <w:t>do</w:t>
      </w:r>
      <w:r w:rsidR="00821DFD" w:rsidRPr="00214CBC">
        <w:rPr>
          <w:rFonts w:cs="Calibri"/>
          <w:bCs/>
        </w:rPr>
        <w:t>ption of the provisional a</w:t>
      </w:r>
      <w:r w:rsidR="00C5157E" w:rsidRPr="00214CBC">
        <w:rPr>
          <w:rFonts w:cs="Calibri"/>
          <w:bCs/>
        </w:rPr>
        <w:t>genda</w:t>
      </w:r>
    </w:p>
    <w:p w14:paraId="090B101B" w14:textId="77777777" w:rsidR="00D04017" w:rsidRPr="00214CBC" w:rsidRDefault="00D04017" w:rsidP="004B3BBD">
      <w:pPr>
        <w:tabs>
          <w:tab w:val="center" w:pos="4680"/>
        </w:tabs>
        <w:spacing w:after="0" w:line="240" w:lineRule="auto"/>
        <w:ind w:firstLine="720"/>
        <w:rPr>
          <w:bCs/>
        </w:rPr>
      </w:pPr>
    </w:p>
    <w:p w14:paraId="08758852" w14:textId="77777777" w:rsidR="0072408E" w:rsidRPr="004B3BBD" w:rsidRDefault="00A7563C" w:rsidP="004B3BBD">
      <w:pPr>
        <w:spacing w:after="0" w:line="240" w:lineRule="auto"/>
        <w:ind w:left="567" w:hanging="567"/>
        <w:rPr>
          <w:bCs/>
        </w:rPr>
      </w:pPr>
      <w:r w:rsidRPr="00214CBC">
        <w:rPr>
          <w:bCs/>
        </w:rPr>
        <w:t>2.</w:t>
      </w:r>
      <w:r w:rsidRPr="00214CBC">
        <w:rPr>
          <w:bCs/>
        </w:rPr>
        <w:tab/>
      </w:r>
      <w:r w:rsidR="00F613BD" w:rsidRPr="00214CBC">
        <w:rPr>
          <w:bCs/>
        </w:rPr>
        <w:t xml:space="preserve">The </w:t>
      </w:r>
      <w:r w:rsidR="00F613BD" w:rsidRPr="004B3BBD">
        <w:rPr>
          <w:b/>
          <w:bCs/>
        </w:rPr>
        <w:t>Chair</w:t>
      </w:r>
      <w:r w:rsidR="00F613BD" w:rsidRPr="00214CBC">
        <w:rPr>
          <w:bCs/>
        </w:rPr>
        <w:t xml:space="preserve"> </w:t>
      </w:r>
      <w:r w:rsidR="0072408E" w:rsidRPr="00214CBC">
        <w:rPr>
          <w:bCs/>
        </w:rPr>
        <w:t xml:space="preserve">introduced </w:t>
      </w:r>
      <w:r w:rsidR="00C907E0">
        <w:rPr>
          <w:bCs/>
        </w:rPr>
        <w:t xml:space="preserve">document </w:t>
      </w:r>
      <w:r w:rsidR="003B7701" w:rsidRPr="004B3BBD">
        <w:rPr>
          <w:bCs/>
        </w:rPr>
        <w:t>SC55 Doc.</w:t>
      </w:r>
      <w:r w:rsidR="0072408E" w:rsidRPr="004B3BBD">
        <w:rPr>
          <w:bCs/>
        </w:rPr>
        <w:t xml:space="preserve">2 </w:t>
      </w:r>
      <w:r w:rsidR="0072408E" w:rsidRPr="004B3BBD">
        <w:rPr>
          <w:bCs/>
          <w:i/>
        </w:rPr>
        <w:t>Provisional agenda</w:t>
      </w:r>
      <w:r w:rsidR="0072408E" w:rsidRPr="004B3BBD">
        <w:rPr>
          <w:bCs/>
        </w:rPr>
        <w:t xml:space="preserve">. </w:t>
      </w:r>
    </w:p>
    <w:p w14:paraId="1FFB6139" w14:textId="77777777" w:rsidR="0072408E" w:rsidRPr="00214CBC" w:rsidRDefault="0072408E" w:rsidP="00F52F7A">
      <w:pPr>
        <w:tabs>
          <w:tab w:val="left" w:pos="975"/>
        </w:tabs>
        <w:spacing w:after="0" w:line="240" w:lineRule="auto"/>
        <w:rPr>
          <w:rFonts w:asciiTheme="majorHAnsi" w:hAnsiTheme="majorHAnsi"/>
          <w:bCs/>
        </w:rPr>
      </w:pPr>
    </w:p>
    <w:p w14:paraId="09CD7A5D" w14:textId="77777777" w:rsidR="00800166" w:rsidRPr="00214CBC" w:rsidRDefault="004376AA" w:rsidP="00F52F7A">
      <w:pPr>
        <w:tabs>
          <w:tab w:val="left" w:pos="720"/>
          <w:tab w:val="center" w:pos="4680"/>
        </w:tabs>
        <w:spacing w:after="0" w:line="240" w:lineRule="auto"/>
        <w:contextualSpacing/>
        <w:rPr>
          <w:bCs/>
        </w:rPr>
      </w:pPr>
      <w:r w:rsidRPr="00214CBC">
        <w:rPr>
          <w:b/>
        </w:rPr>
        <w:t>Decision SC55-01: T</w:t>
      </w:r>
      <w:r w:rsidR="00800166" w:rsidRPr="00214CBC">
        <w:rPr>
          <w:b/>
        </w:rPr>
        <w:t xml:space="preserve">he Standing Committee </w:t>
      </w:r>
      <w:r w:rsidR="00927A7A" w:rsidRPr="00214CBC">
        <w:rPr>
          <w:b/>
        </w:rPr>
        <w:t>adopted</w:t>
      </w:r>
      <w:r w:rsidR="00800166" w:rsidRPr="00214CBC">
        <w:rPr>
          <w:b/>
        </w:rPr>
        <w:t xml:space="preserve"> the </w:t>
      </w:r>
      <w:r w:rsidR="00F613BD" w:rsidRPr="00214CBC">
        <w:rPr>
          <w:b/>
        </w:rPr>
        <w:t>p</w:t>
      </w:r>
      <w:r w:rsidR="00497733" w:rsidRPr="00214CBC">
        <w:rPr>
          <w:b/>
        </w:rPr>
        <w:t>rovisional a</w:t>
      </w:r>
      <w:r w:rsidR="00800166" w:rsidRPr="00214CBC">
        <w:rPr>
          <w:b/>
        </w:rPr>
        <w:t>genda.</w:t>
      </w:r>
    </w:p>
    <w:p w14:paraId="2ADBED2C" w14:textId="77777777" w:rsidR="00DB5749" w:rsidRPr="00214CBC" w:rsidRDefault="00DB5749" w:rsidP="00F52F7A">
      <w:pPr>
        <w:spacing w:after="0" w:line="240" w:lineRule="auto"/>
        <w:rPr>
          <w:bCs/>
        </w:rPr>
      </w:pPr>
    </w:p>
    <w:p w14:paraId="52266AFA" w14:textId="77777777" w:rsidR="00DB5749" w:rsidRPr="00214CBC" w:rsidRDefault="00821DFD"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Agenda item 3</w:t>
      </w:r>
      <w:r w:rsidR="000F5F52" w:rsidRPr="00214CBC">
        <w:rPr>
          <w:rFonts w:cs="Calibri"/>
          <w:bCs/>
        </w:rPr>
        <w:t>:</w:t>
      </w:r>
      <w:r w:rsidRPr="00214CBC">
        <w:rPr>
          <w:rFonts w:cs="Calibri"/>
          <w:bCs/>
        </w:rPr>
        <w:t xml:space="preserve"> </w:t>
      </w:r>
      <w:r w:rsidR="00211F01" w:rsidRPr="00214CBC">
        <w:rPr>
          <w:rFonts w:cs="Calibri"/>
          <w:bCs/>
        </w:rPr>
        <w:t>Admission of Observers</w:t>
      </w:r>
    </w:p>
    <w:p w14:paraId="26E2E94A" w14:textId="77777777" w:rsidR="00DB5749" w:rsidRPr="00214CBC" w:rsidRDefault="00DB5749" w:rsidP="00F52F7A">
      <w:pPr>
        <w:tabs>
          <w:tab w:val="left" w:pos="720"/>
          <w:tab w:val="center" w:pos="4680"/>
        </w:tabs>
        <w:spacing w:after="0" w:line="240" w:lineRule="auto"/>
        <w:rPr>
          <w:bCs/>
        </w:rPr>
      </w:pPr>
    </w:p>
    <w:p w14:paraId="6A1C8802" w14:textId="77777777" w:rsidR="0077033F" w:rsidRPr="00214CBC" w:rsidRDefault="00A7563C" w:rsidP="00F52F7A">
      <w:pPr>
        <w:spacing w:after="0" w:line="240" w:lineRule="auto"/>
        <w:ind w:left="567" w:hanging="567"/>
        <w:rPr>
          <w:bCs/>
        </w:rPr>
      </w:pPr>
      <w:r w:rsidRPr="00214CBC">
        <w:rPr>
          <w:bCs/>
        </w:rPr>
        <w:t>3.</w:t>
      </w:r>
      <w:r w:rsidRPr="00214CBC">
        <w:rPr>
          <w:bCs/>
        </w:rPr>
        <w:tab/>
      </w:r>
      <w:r w:rsidR="00F613BD" w:rsidRPr="00214CBC">
        <w:rPr>
          <w:bCs/>
        </w:rPr>
        <w:t xml:space="preserve">The </w:t>
      </w:r>
      <w:r w:rsidR="0072408E" w:rsidRPr="00214CBC">
        <w:rPr>
          <w:b/>
          <w:bCs/>
        </w:rPr>
        <w:t>Secretariat</w:t>
      </w:r>
      <w:r w:rsidR="00F613BD" w:rsidRPr="00214CBC">
        <w:rPr>
          <w:bCs/>
        </w:rPr>
        <w:t xml:space="preserve"> </w:t>
      </w:r>
      <w:r w:rsidR="00393F1D">
        <w:rPr>
          <w:bCs/>
        </w:rPr>
        <w:t xml:space="preserve">referred to document </w:t>
      </w:r>
      <w:r w:rsidR="0019498F" w:rsidRPr="00214CBC">
        <w:rPr>
          <w:bCs/>
        </w:rPr>
        <w:t>COP</w:t>
      </w:r>
      <w:r w:rsidR="0072408E" w:rsidRPr="00214CBC">
        <w:rPr>
          <w:bCs/>
        </w:rPr>
        <w:t>13 Doc.7</w:t>
      </w:r>
      <w:r w:rsidR="00DB5749" w:rsidRPr="00214CBC">
        <w:rPr>
          <w:bCs/>
        </w:rPr>
        <w:t xml:space="preserve"> </w:t>
      </w:r>
      <w:r w:rsidR="00895148" w:rsidRPr="00214CBC">
        <w:rPr>
          <w:rFonts w:asciiTheme="majorHAnsi" w:hAnsiTheme="majorHAnsi"/>
          <w:bCs/>
          <w:i/>
        </w:rPr>
        <w:t>Admission of Observers</w:t>
      </w:r>
      <w:r w:rsidR="003B7701" w:rsidRPr="003B7701">
        <w:rPr>
          <w:bCs/>
        </w:rPr>
        <w:t>, noting that</w:t>
      </w:r>
      <w:r w:rsidR="00393F1D">
        <w:rPr>
          <w:bCs/>
        </w:rPr>
        <w:t>, with regard to</w:t>
      </w:r>
      <w:r w:rsidR="003B7701">
        <w:rPr>
          <w:bCs/>
          <w:i/>
        </w:rPr>
        <w:t xml:space="preserve"> </w:t>
      </w:r>
      <w:r w:rsidR="00895148" w:rsidRPr="00214CBC">
        <w:rPr>
          <w:bCs/>
        </w:rPr>
        <w:t xml:space="preserve">the list of </w:t>
      </w:r>
      <w:r w:rsidR="00393F1D">
        <w:rPr>
          <w:bCs/>
        </w:rPr>
        <w:t xml:space="preserve">organizations requesting to be represented by </w:t>
      </w:r>
      <w:r w:rsidR="00895148" w:rsidRPr="00214CBC">
        <w:rPr>
          <w:bCs/>
        </w:rPr>
        <w:t xml:space="preserve">observers under </w:t>
      </w:r>
      <w:r w:rsidR="0019498F" w:rsidRPr="00214CBC">
        <w:rPr>
          <w:bCs/>
        </w:rPr>
        <w:t>paragraph</w:t>
      </w:r>
      <w:r w:rsidR="00895148" w:rsidRPr="00214CBC">
        <w:rPr>
          <w:bCs/>
        </w:rPr>
        <w:t xml:space="preserve"> 7</w:t>
      </w:r>
      <w:r w:rsidR="00393F1D">
        <w:rPr>
          <w:bCs/>
        </w:rPr>
        <w:t>, the Secretariat was still clarifying some documentation issues</w:t>
      </w:r>
      <w:r w:rsidR="00211F01" w:rsidRPr="00214CBC">
        <w:rPr>
          <w:bCs/>
        </w:rPr>
        <w:t>. It</w:t>
      </w:r>
      <w:r w:rsidR="00895148" w:rsidRPr="00214CBC">
        <w:rPr>
          <w:bCs/>
        </w:rPr>
        <w:t xml:space="preserve"> suggest</w:t>
      </w:r>
      <w:r w:rsidR="00211F01" w:rsidRPr="00214CBC">
        <w:rPr>
          <w:bCs/>
        </w:rPr>
        <w:t>ed</w:t>
      </w:r>
      <w:r w:rsidR="00895148" w:rsidRPr="00214CBC">
        <w:rPr>
          <w:bCs/>
        </w:rPr>
        <w:t xml:space="preserve"> the provisional a</w:t>
      </w:r>
      <w:r w:rsidR="00211F01" w:rsidRPr="00214CBC">
        <w:rPr>
          <w:bCs/>
        </w:rPr>
        <w:t>cceptance</w:t>
      </w:r>
      <w:r w:rsidR="00895148" w:rsidRPr="00214CBC">
        <w:rPr>
          <w:bCs/>
        </w:rPr>
        <w:t xml:space="preserve"> of this list </w:t>
      </w:r>
      <w:r w:rsidR="003B7701">
        <w:rPr>
          <w:bCs/>
        </w:rPr>
        <w:t>for the purposes of</w:t>
      </w:r>
      <w:r w:rsidR="00211F01" w:rsidRPr="00214CBC">
        <w:rPr>
          <w:bCs/>
        </w:rPr>
        <w:t xml:space="preserve"> </w:t>
      </w:r>
      <w:r w:rsidR="00393F1D">
        <w:rPr>
          <w:bCs/>
        </w:rPr>
        <w:t xml:space="preserve">admitting observers at </w:t>
      </w:r>
      <w:r w:rsidR="00211F01" w:rsidRPr="00214CBC">
        <w:rPr>
          <w:bCs/>
        </w:rPr>
        <w:t>SC55.</w:t>
      </w:r>
    </w:p>
    <w:p w14:paraId="639AA38B" w14:textId="77777777" w:rsidR="0077033F" w:rsidRPr="00214CBC" w:rsidRDefault="0077033F" w:rsidP="00F52F7A">
      <w:pPr>
        <w:tabs>
          <w:tab w:val="left" w:pos="720"/>
          <w:tab w:val="center" w:pos="4680"/>
        </w:tabs>
        <w:spacing w:after="0" w:line="240" w:lineRule="auto"/>
        <w:ind w:left="567" w:hanging="567"/>
      </w:pPr>
    </w:p>
    <w:p w14:paraId="3E80FE23" w14:textId="77777777" w:rsidR="00211F01" w:rsidRPr="00214CBC" w:rsidRDefault="00D761E0" w:rsidP="00F52F7A">
      <w:pPr>
        <w:spacing w:after="0" w:line="240" w:lineRule="auto"/>
        <w:contextualSpacing/>
        <w:rPr>
          <w:b/>
        </w:rPr>
      </w:pPr>
      <w:r w:rsidRPr="00214CBC">
        <w:rPr>
          <w:b/>
        </w:rPr>
        <w:t xml:space="preserve">Decision SC55-02: </w:t>
      </w:r>
      <w:r w:rsidR="00211F01" w:rsidRPr="00214CBC">
        <w:rPr>
          <w:b/>
        </w:rPr>
        <w:t xml:space="preserve">The Standing Committee </w:t>
      </w:r>
      <w:r w:rsidR="003B7701">
        <w:rPr>
          <w:b/>
        </w:rPr>
        <w:t xml:space="preserve">provisionally accepted the list of </w:t>
      </w:r>
      <w:r w:rsidR="004E1076">
        <w:rPr>
          <w:b/>
        </w:rPr>
        <w:t xml:space="preserve">bodies and agencies listed in paragraphs 6 and 7 of document </w:t>
      </w:r>
      <w:r w:rsidR="003B7701">
        <w:rPr>
          <w:b/>
        </w:rPr>
        <w:t>COP13 Doc.7</w:t>
      </w:r>
      <w:r w:rsidR="003B005A">
        <w:rPr>
          <w:b/>
        </w:rPr>
        <w:t xml:space="preserve"> for the purposes of </w:t>
      </w:r>
      <w:r w:rsidR="004E1076">
        <w:rPr>
          <w:b/>
        </w:rPr>
        <w:t xml:space="preserve">admitting observers at </w:t>
      </w:r>
      <w:r w:rsidR="003B005A">
        <w:rPr>
          <w:b/>
        </w:rPr>
        <w:t>SC55</w:t>
      </w:r>
      <w:r w:rsidR="008C2AA9" w:rsidRPr="00214CBC">
        <w:rPr>
          <w:b/>
        </w:rPr>
        <w:t>.</w:t>
      </w:r>
    </w:p>
    <w:p w14:paraId="75A25B1B" w14:textId="77777777" w:rsidR="00B36C41" w:rsidRPr="00214CBC" w:rsidRDefault="00B36C41" w:rsidP="00F52F7A">
      <w:pPr>
        <w:tabs>
          <w:tab w:val="left" w:pos="720"/>
          <w:tab w:val="center" w:pos="4680"/>
        </w:tabs>
        <w:spacing w:after="0" w:line="240" w:lineRule="auto"/>
        <w:rPr>
          <w:bCs/>
        </w:rPr>
      </w:pPr>
    </w:p>
    <w:p w14:paraId="708E0534" w14:textId="77777777" w:rsidR="00D04017" w:rsidRPr="00214CBC" w:rsidRDefault="00BE7538"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w:t>
      </w:r>
      <w:r w:rsidR="00DB5749" w:rsidRPr="00214CBC">
        <w:rPr>
          <w:rFonts w:cs="Calibri"/>
          <w:bCs/>
        </w:rPr>
        <w:t>4</w:t>
      </w:r>
      <w:r w:rsidR="00400E2C" w:rsidRPr="00214CBC">
        <w:rPr>
          <w:rFonts w:cs="Calibri"/>
          <w:bCs/>
        </w:rPr>
        <w:t>.1</w:t>
      </w:r>
      <w:r w:rsidR="000F5F52" w:rsidRPr="00214CBC">
        <w:rPr>
          <w:rFonts w:cs="Calibri"/>
          <w:bCs/>
        </w:rPr>
        <w:t>:</w:t>
      </w:r>
      <w:r w:rsidR="00C5157E" w:rsidRPr="00214CBC">
        <w:rPr>
          <w:rFonts w:cs="Calibri"/>
          <w:bCs/>
        </w:rPr>
        <w:t xml:space="preserve"> </w:t>
      </w:r>
      <w:r w:rsidR="00211F01" w:rsidRPr="00214CBC">
        <w:rPr>
          <w:rFonts w:cs="Calibri"/>
          <w:bCs/>
        </w:rPr>
        <w:t>Arrang</w:t>
      </w:r>
      <w:r w:rsidR="00D761E0" w:rsidRPr="00214CBC">
        <w:rPr>
          <w:rFonts w:cs="Calibri"/>
          <w:bCs/>
        </w:rPr>
        <w:t>e</w:t>
      </w:r>
      <w:r w:rsidR="00211F01" w:rsidRPr="00214CBC">
        <w:rPr>
          <w:rFonts w:cs="Calibri"/>
          <w:bCs/>
        </w:rPr>
        <w:t>ment</w:t>
      </w:r>
      <w:r w:rsidR="00D761E0" w:rsidRPr="00214CBC">
        <w:rPr>
          <w:rFonts w:cs="Calibri"/>
          <w:bCs/>
        </w:rPr>
        <w:t>s</w:t>
      </w:r>
      <w:r w:rsidR="00211F01" w:rsidRPr="00214CBC">
        <w:rPr>
          <w:rFonts w:cs="Calibri"/>
          <w:bCs/>
        </w:rPr>
        <w:t xml:space="preserve"> for </w:t>
      </w:r>
      <w:r w:rsidR="0019498F" w:rsidRPr="00214CBC">
        <w:rPr>
          <w:rFonts w:cs="Calibri"/>
          <w:bCs/>
        </w:rPr>
        <w:t>COP</w:t>
      </w:r>
      <w:r w:rsidR="00211F01" w:rsidRPr="00214CBC">
        <w:rPr>
          <w:rFonts w:cs="Calibri"/>
          <w:bCs/>
        </w:rPr>
        <w:t xml:space="preserve">13 </w:t>
      </w:r>
      <w:r w:rsidR="00400E2C" w:rsidRPr="00214CBC">
        <w:rPr>
          <w:rFonts w:cs="Calibri"/>
          <w:bCs/>
        </w:rPr>
        <w:t xml:space="preserve">- </w:t>
      </w:r>
      <w:r w:rsidR="00400E2C" w:rsidRPr="00214CBC">
        <w:rPr>
          <w:rFonts w:asciiTheme="majorHAnsi" w:hAnsiTheme="majorHAnsi"/>
          <w:bCs/>
        </w:rPr>
        <w:t>Review of the provisional agenda and working programme</w:t>
      </w:r>
    </w:p>
    <w:p w14:paraId="136A9966" w14:textId="77777777" w:rsidR="004376AA" w:rsidRPr="00214CBC" w:rsidRDefault="004376AA" w:rsidP="00F52F7A">
      <w:pPr>
        <w:spacing w:after="0" w:line="240" w:lineRule="auto"/>
        <w:rPr>
          <w:bCs/>
        </w:rPr>
      </w:pPr>
    </w:p>
    <w:p w14:paraId="7B8B9B1E" w14:textId="77777777" w:rsidR="003B005A" w:rsidRDefault="00400E2C" w:rsidP="00F52F7A">
      <w:pPr>
        <w:spacing w:after="0" w:line="240" w:lineRule="auto"/>
        <w:ind w:left="567" w:hanging="567"/>
        <w:rPr>
          <w:bCs/>
        </w:rPr>
      </w:pPr>
      <w:r w:rsidRPr="00214CBC">
        <w:rPr>
          <w:bCs/>
        </w:rPr>
        <w:t>4.</w:t>
      </w:r>
      <w:r w:rsidRPr="00214CBC">
        <w:rPr>
          <w:bCs/>
        </w:rPr>
        <w:tab/>
      </w:r>
      <w:r w:rsidR="00211F01" w:rsidRPr="00214CBC">
        <w:rPr>
          <w:bCs/>
        </w:rPr>
        <w:t xml:space="preserve">The </w:t>
      </w:r>
      <w:r w:rsidR="00211F01" w:rsidRPr="00214CBC">
        <w:rPr>
          <w:b/>
          <w:bCs/>
        </w:rPr>
        <w:t>Chair</w:t>
      </w:r>
      <w:r w:rsidR="00211F01" w:rsidRPr="00214CBC">
        <w:rPr>
          <w:bCs/>
        </w:rPr>
        <w:t xml:space="preserve"> introduced</w:t>
      </w:r>
      <w:r w:rsidR="0019498F" w:rsidRPr="00214CBC">
        <w:rPr>
          <w:bCs/>
        </w:rPr>
        <w:t xml:space="preserve"> </w:t>
      </w:r>
      <w:r w:rsidR="00C1132D" w:rsidRPr="00214CBC">
        <w:rPr>
          <w:bCs/>
        </w:rPr>
        <w:t xml:space="preserve">documents </w:t>
      </w:r>
      <w:r w:rsidR="0019498F" w:rsidRPr="00214CBC">
        <w:rPr>
          <w:bCs/>
        </w:rPr>
        <w:t>COP</w:t>
      </w:r>
      <w:r w:rsidR="00211F01" w:rsidRPr="00214CBC">
        <w:rPr>
          <w:bCs/>
        </w:rPr>
        <w:t xml:space="preserve">13 </w:t>
      </w:r>
      <w:r w:rsidR="004B6F17">
        <w:rPr>
          <w:bCs/>
        </w:rPr>
        <w:t>Doc.</w:t>
      </w:r>
      <w:r w:rsidR="00211F01" w:rsidRPr="00214CBC">
        <w:rPr>
          <w:bCs/>
        </w:rPr>
        <w:t xml:space="preserve">3.1 Rev.1 and </w:t>
      </w:r>
      <w:r w:rsidR="0019498F" w:rsidRPr="00214CBC">
        <w:rPr>
          <w:bCs/>
        </w:rPr>
        <w:t>COP</w:t>
      </w:r>
      <w:r w:rsidR="00211F01" w:rsidRPr="00214CBC">
        <w:rPr>
          <w:bCs/>
        </w:rPr>
        <w:t xml:space="preserve">13 </w:t>
      </w:r>
      <w:r w:rsidR="004B6F17">
        <w:rPr>
          <w:bCs/>
        </w:rPr>
        <w:t>Doc.</w:t>
      </w:r>
      <w:r w:rsidR="00211F01" w:rsidRPr="00214CBC">
        <w:rPr>
          <w:bCs/>
        </w:rPr>
        <w:t>3.2</w:t>
      </w:r>
      <w:r w:rsidR="00C1132D" w:rsidRPr="00214CBC">
        <w:rPr>
          <w:bCs/>
        </w:rPr>
        <w:t xml:space="preserve">. </w:t>
      </w:r>
    </w:p>
    <w:p w14:paraId="35CACF86" w14:textId="77777777" w:rsidR="003B005A" w:rsidRDefault="003B005A" w:rsidP="00F52F7A">
      <w:pPr>
        <w:spacing w:after="0" w:line="240" w:lineRule="auto"/>
        <w:ind w:left="567" w:hanging="567"/>
        <w:rPr>
          <w:bCs/>
        </w:rPr>
      </w:pPr>
    </w:p>
    <w:p w14:paraId="40882ACF" w14:textId="77777777" w:rsidR="00211F01" w:rsidRDefault="003B005A" w:rsidP="00F52F7A">
      <w:pPr>
        <w:spacing w:after="0" w:line="240" w:lineRule="auto"/>
        <w:ind w:left="567" w:hanging="567"/>
        <w:rPr>
          <w:bCs/>
        </w:rPr>
      </w:pPr>
      <w:r>
        <w:rPr>
          <w:bCs/>
        </w:rPr>
        <w:t>5.</w:t>
      </w:r>
      <w:r>
        <w:rPr>
          <w:bCs/>
        </w:rPr>
        <w:tab/>
      </w:r>
      <w:r w:rsidR="00C1132D" w:rsidRPr="00214CBC">
        <w:rPr>
          <w:bCs/>
        </w:rPr>
        <w:t xml:space="preserve">In response to a query from the </w:t>
      </w:r>
      <w:r w:rsidR="00C1132D" w:rsidRPr="00214CBC">
        <w:rPr>
          <w:b/>
          <w:bCs/>
        </w:rPr>
        <w:t>Republic of Korea</w:t>
      </w:r>
      <w:r w:rsidR="00C1132D" w:rsidRPr="00214CBC">
        <w:rPr>
          <w:bCs/>
        </w:rPr>
        <w:t>, the Secretariat clarified that the W</w:t>
      </w:r>
      <w:r w:rsidR="00D761E0" w:rsidRPr="00214CBC">
        <w:rPr>
          <w:bCs/>
        </w:rPr>
        <w:t xml:space="preserve">etland </w:t>
      </w:r>
      <w:r w:rsidR="00C1132D" w:rsidRPr="00214CBC">
        <w:rPr>
          <w:bCs/>
        </w:rPr>
        <w:t>C</w:t>
      </w:r>
      <w:r w:rsidR="00D761E0" w:rsidRPr="00214CBC">
        <w:rPr>
          <w:bCs/>
        </w:rPr>
        <w:t xml:space="preserve">ity </w:t>
      </w:r>
      <w:r w:rsidR="00C1132D" w:rsidRPr="00214CBC">
        <w:rPr>
          <w:bCs/>
        </w:rPr>
        <w:t>A</w:t>
      </w:r>
      <w:r w:rsidR="00D761E0" w:rsidRPr="00214CBC">
        <w:rPr>
          <w:bCs/>
        </w:rPr>
        <w:t>ccreditation</w:t>
      </w:r>
      <w:r w:rsidR="00C1132D" w:rsidRPr="00214CBC">
        <w:rPr>
          <w:bCs/>
        </w:rPr>
        <w:t xml:space="preserve"> would be discussed under item 11</w:t>
      </w:r>
      <w:r>
        <w:rPr>
          <w:bCs/>
        </w:rPr>
        <w:t xml:space="preserve"> of the SC55 agenda</w:t>
      </w:r>
      <w:r w:rsidR="00C1132D" w:rsidRPr="00214CBC">
        <w:rPr>
          <w:bCs/>
        </w:rPr>
        <w:t>.</w:t>
      </w:r>
    </w:p>
    <w:p w14:paraId="42DF2CF4" w14:textId="77777777" w:rsidR="006459C0" w:rsidRDefault="006459C0" w:rsidP="00F52F7A">
      <w:pPr>
        <w:spacing w:after="0" w:line="240" w:lineRule="auto"/>
        <w:ind w:left="567" w:hanging="567"/>
        <w:rPr>
          <w:bCs/>
        </w:rPr>
      </w:pPr>
    </w:p>
    <w:p w14:paraId="06CC59BF" w14:textId="77777777" w:rsidR="00EA52A0" w:rsidRPr="004B3BBD" w:rsidRDefault="006459C0" w:rsidP="006459C0">
      <w:pPr>
        <w:spacing w:after="0" w:line="240" w:lineRule="auto"/>
        <w:contextualSpacing/>
        <w:rPr>
          <w:b/>
        </w:rPr>
      </w:pPr>
      <w:r w:rsidRPr="004B3BBD">
        <w:rPr>
          <w:b/>
        </w:rPr>
        <w:t xml:space="preserve">Decision SC55-03: The Standing Committee approved </w:t>
      </w:r>
      <w:r w:rsidR="00337435">
        <w:rPr>
          <w:b/>
        </w:rPr>
        <w:t xml:space="preserve">documents </w:t>
      </w:r>
      <w:r w:rsidRPr="004B3BBD">
        <w:rPr>
          <w:b/>
        </w:rPr>
        <w:t>COP13 Doc.3.1 Rev. 1 and COP13 Doc.3.2 to be forwarded to COP13, subject to any proposals that might arise under agenda item 11 of the present meeting.</w:t>
      </w:r>
    </w:p>
    <w:p w14:paraId="35FC8109" w14:textId="77777777" w:rsidR="00C07B9B" w:rsidRPr="00214CBC" w:rsidRDefault="00C07B9B" w:rsidP="00C07B9B">
      <w:pPr>
        <w:tabs>
          <w:tab w:val="left" w:pos="720"/>
          <w:tab w:val="center" w:pos="4680"/>
        </w:tabs>
        <w:spacing w:after="0" w:line="240" w:lineRule="auto"/>
        <w:rPr>
          <w:bCs/>
        </w:rPr>
      </w:pPr>
    </w:p>
    <w:p w14:paraId="32EF1189" w14:textId="77777777" w:rsidR="00C07B9B" w:rsidRPr="00214CBC" w:rsidRDefault="00C07B9B" w:rsidP="00C07B9B">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Agenda item 4.</w:t>
      </w:r>
      <w:r>
        <w:rPr>
          <w:rFonts w:cs="Calibri"/>
          <w:bCs/>
        </w:rPr>
        <w:t>2</w:t>
      </w:r>
      <w:r w:rsidRPr="00214CBC">
        <w:rPr>
          <w:rFonts w:cs="Calibri"/>
          <w:bCs/>
        </w:rPr>
        <w:t xml:space="preserve">: Arrangements for COP13 - </w:t>
      </w:r>
      <w:r w:rsidRPr="004B3BBD">
        <w:rPr>
          <w:rFonts w:asciiTheme="majorHAnsi" w:hAnsiTheme="majorHAnsi"/>
          <w:bCs/>
        </w:rPr>
        <w:t>Process for reviewing draft resolutions</w:t>
      </w:r>
    </w:p>
    <w:p w14:paraId="18807164" w14:textId="77777777" w:rsidR="00C07B9B" w:rsidRPr="00214CBC" w:rsidRDefault="00C07B9B" w:rsidP="00C07B9B">
      <w:pPr>
        <w:keepNext/>
        <w:spacing w:after="0" w:line="240" w:lineRule="auto"/>
        <w:rPr>
          <w:bCs/>
        </w:rPr>
      </w:pPr>
    </w:p>
    <w:p w14:paraId="128ABAC9" w14:textId="77777777" w:rsidR="003B005A" w:rsidRPr="004B3BBD" w:rsidRDefault="00F076DC" w:rsidP="00F52F7A">
      <w:pPr>
        <w:spacing w:after="0" w:line="240" w:lineRule="auto"/>
        <w:ind w:left="567" w:hanging="567"/>
        <w:rPr>
          <w:rFonts w:asciiTheme="majorHAnsi" w:hAnsiTheme="majorHAnsi"/>
          <w:bCs/>
        </w:rPr>
      </w:pPr>
      <w:r w:rsidRPr="004B3BBD">
        <w:rPr>
          <w:rFonts w:asciiTheme="majorHAnsi" w:hAnsiTheme="majorHAnsi"/>
          <w:bCs/>
        </w:rPr>
        <w:t>6</w:t>
      </w:r>
      <w:r w:rsidR="00400E2C" w:rsidRPr="004B3BBD">
        <w:rPr>
          <w:rFonts w:asciiTheme="majorHAnsi" w:hAnsiTheme="majorHAnsi"/>
          <w:bCs/>
        </w:rPr>
        <w:t>.</w:t>
      </w:r>
      <w:r w:rsidR="00400E2C" w:rsidRPr="004B3BBD">
        <w:rPr>
          <w:rFonts w:asciiTheme="majorHAnsi" w:hAnsiTheme="majorHAnsi"/>
          <w:bCs/>
        </w:rPr>
        <w:tab/>
      </w:r>
      <w:r w:rsidR="009401F6" w:rsidRPr="004B3BBD">
        <w:rPr>
          <w:rFonts w:asciiTheme="majorHAnsi" w:hAnsiTheme="majorHAnsi"/>
          <w:bCs/>
        </w:rPr>
        <w:t xml:space="preserve">The </w:t>
      </w:r>
      <w:r w:rsidR="009401F6" w:rsidRPr="004B3BBD">
        <w:rPr>
          <w:rFonts w:asciiTheme="majorHAnsi" w:hAnsiTheme="majorHAnsi"/>
          <w:b/>
          <w:bCs/>
        </w:rPr>
        <w:t>Chair</w:t>
      </w:r>
      <w:r w:rsidR="009401F6" w:rsidRPr="004B3BBD">
        <w:rPr>
          <w:rFonts w:asciiTheme="majorHAnsi" w:hAnsiTheme="majorHAnsi"/>
          <w:bCs/>
        </w:rPr>
        <w:t xml:space="preserve"> introduced</w:t>
      </w:r>
      <w:r w:rsidR="00982A31" w:rsidRPr="004B3BBD">
        <w:rPr>
          <w:rFonts w:asciiTheme="majorHAnsi" w:hAnsiTheme="majorHAnsi"/>
          <w:bCs/>
        </w:rPr>
        <w:t xml:space="preserve"> </w:t>
      </w:r>
      <w:r w:rsidR="00F4236B">
        <w:rPr>
          <w:rFonts w:asciiTheme="majorHAnsi" w:hAnsiTheme="majorHAnsi"/>
          <w:bCs/>
        </w:rPr>
        <w:t xml:space="preserve">document </w:t>
      </w:r>
      <w:r w:rsidR="00982A31" w:rsidRPr="004B3BBD">
        <w:rPr>
          <w:rFonts w:asciiTheme="majorHAnsi" w:hAnsiTheme="majorHAnsi"/>
          <w:bCs/>
        </w:rPr>
        <w:t>SC55 Doc.4.2</w:t>
      </w:r>
      <w:r w:rsidR="003B005A" w:rsidRPr="004B3BBD">
        <w:rPr>
          <w:rFonts w:asciiTheme="majorHAnsi" w:hAnsiTheme="majorHAnsi"/>
          <w:bCs/>
        </w:rPr>
        <w:t>,</w:t>
      </w:r>
      <w:r w:rsidR="00982A31" w:rsidRPr="004B3BBD">
        <w:rPr>
          <w:rFonts w:asciiTheme="majorHAnsi" w:hAnsiTheme="majorHAnsi"/>
          <w:bCs/>
        </w:rPr>
        <w:t xml:space="preserve"> </w:t>
      </w:r>
      <w:r w:rsidR="00F4236B">
        <w:rPr>
          <w:rFonts w:asciiTheme="majorHAnsi" w:hAnsiTheme="majorHAnsi"/>
          <w:bCs/>
        </w:rPr>
        <w:t>which</w:t>
      </w:r>
      <w:r w:rsidR="00982A31" w:rsidRPr="004B3BBD">
        <w:rPr>
          <w:rFonts w:asciiTheme="majorHAnsi" w:hAnsiTheme="majorHAnsi"/>
          <w:bCs/>
        </w:rPr>
        <w:t xml:space="preserve"> </w:t>
      </w:r>
      <w:r w:rsidR="003B005A" w:rsidRPr="004B3BBD">
        <w:rPr>
          <w:rFonts w:asciiTheme="majorHAnsi" w:hAnsiTheme="majorHAnsi"/>
          <w:bCs/>
        </w:rPr>
        <w:t>had been prepared in response</w:t>
      </w:r>
      <w:r w:rsidR="00982A31" w:rsidRPr="004B3BBD">
        <w:rPr>
          <w:rFonts w:asciiTheme="majorHAnsi" w:hAnsiTheme="majorHAnsi"/>
          <w:bCs/>
        </w:rPr>
        <w:t xml:space="preserve"> to Decision SC54-11</w:t>
      </w:r>
      <w:r w:rsidR="009401F6" w:rsidRPr="004B3BBD">
        <w:rPr>
          <w:rFonts w:asciiTheme="majorHAnsi" w:hAnsiTheme="majorHAnsi"/>
          <w:bCs/>
        </w:rPr>
        <w:t xml:space="preserve">. </w:t>
      </w:r>
    </w:p>
    <w:p w14:paraId="6F2C5FFF" w14:textId="77777777" w:rsidR="003B005A" w:rsidRPr="004B3BBD" w:rsidRDefault="003B005A" w:rsidP="00F52F7A">
      <w:pPr>
        <w:spacing w:after="0" w:line="240" w:lineRule="auto"/>
        <w:ind w:left="567" w:hanging="567"/>
        <w:rPr>
          <w:rFonts w:asciiTheme="majorHAnsi" w:hAnsiTheme="majorHAnsi"/>
          <w:bCs/>
        </w:rPr>
      </w:pPr>
    </w:p>
    <w:p w14:paraId="146BB592" w14:textId="77777777" w:rsidR="00D53004" w:rsidRPr="004B3BBD" w:rsidRDefault="00F076DC" w:rsidP="00F52F7A">
      <w:pPr>
        <w:spacing w:after="0" w:line="240" w:lineRule="auto"/>
        <w:ind w:left="567" w:hanging="567"/>
        <w:rPr>
          <w:rFonts w:asciiTheme="majorHAnsi" w:hAnsiTheme="majorHAnsi"/>
          <w:bCs/>
        </w:rPr>
      </w:pPr>
      <w:r w:rsidRPr="004B3BBD">
        <w:rPr>
          <w:rFonts w:asciiTheme="majorHAnsi" w:hAnsiTheme="majorHAnsi"/>
          <w:bCs/>
        </w:rPr>
        <w:t>7</w:t>
      </w:r>
      <w:r w:rsidR="003B005A" w:rsidRPr="004B3BBD">
        <w:rPr>
          <w:rFonts w:asciiTheme="majorHAnsi" w:hAnsiTheme="majorHAnsi"/>
          <w:bCs/>
        </w:rPr>
        <w:t>.</w:t>
      </w:r>
      <w:r w:rsidR="003B005A" w:rsidRPr="004B3BBD">
        <w:rPr>
          <w:rFonts w:asciiTheme="majorHAnsi" w:hAnsiTheme="majorHAnsi"/>
          <w:b/>
          <w:bCs/>
        </w:rPr>
        <w:tab/>
      </w:r>
      <w:r w:rsidR="003B005A" w:rsidRPr="004B3BBD">
        <w:rPr>
          <w:rFonts w:asciiTheme="majorHAnsi" w:hAnsiTheme="majorHAnsi"/>
          <w:bCs/>
        </w:rPr>
        <w:t>In response to points raised by</w:t>
      </w:r>
      <w:r w:rsidR="003B005A" w:rsidRPr="004B3BBD">
        <w:rPr>
          <w:rFonts w:asciiTheme="majorHAnsi" w:hAnsiTheme="majorHAnsi"/>
          <w:b/>
          <w:bCs/>
        </w:rPr>
        <w:t xml:space="preserve"> </w:t>
      </w:r>
      <w:r w:rsidR="009401F6" w:rsidRPr="004B3BBD">
        <w:rPr>
          <w:rFonts w:asciiTheme="majorHAnsi" w:hAnsiTheme="majorHAnsi"/>
          <w:b/>
          <w:bCs/>
        </w:rPr>
        <w:t>Senegal</w:t>
      </w:r>
      <w:r w:rsidR="009401F6" w:rsidRPr="004B3BBD">
        <w:rPr>
          <w:rFonts w:asciiTheme="majorHAnsi" w:hAnsiTheme="majorHAnsi"/>
          <w:bCs/>
        </w:rPr>
        <w:t xml:space="preserve"> </w:t>
      </w:r>
      <w:r w:rsidR="003B005A" w:rsidRPr="004B3BBD">
        <w:rPr>
          <w:rFonts w:asciiTheme="majorHAnsi" w:hAnsiTheme="majorHAnsi"/>
          <w:bCs/>
        </w:rPr>
        <w:t xml:space="preserve">and </w:t>
      </w:r>
      <w:r w:rsidR="004376AA" w:rsidRPr="004B3BBD">
        <w:rPr>
          <w:rFonts w:asciiTheme="majorHAnsi" w:hAnsiTheme="majorHAnsi"/>
          <w:b/>
          <w:bCs/>
        </w:rPr>
        <w:t>Sweden</w:t>
      </w:r>
      <w:r w:rsidR="00F64506" w:rsidRPr="004B3BBD">
        <w:rPr>
          <w:rFonts w:asciiTheme="majorHAnsi" w:hAnsiTheme="majorHAnsi"/>
          <w:bCs/>
        </w:rPr>
        <w:t>,</w:t>
      </w:r>
      <w:r w:rsidR="004376AA" w:rsidRPr="004B3BBD">
        <w:rPr>
          <w:rFonts w:asciiTheme="majorHAnsi" w:hAnsiTheme="majorHAnsi"/>
          <w:bCs/>
        </w:rPr>
        <w:t xml:space="preserve"> the Secretariat confirmed that a proposed running order for the consideration of </w:t>
      </w:r>
      <w:r w:rsidR="00D53004" w:rsidRPr="004B3BBD">
        <w:rPr>
          <w:rFonts w:asciiTheme="majorHAnsi" w:hAnsiTheme="majorHAnsi"/>
          <w:bCs/>
        </w:rPr>
        <w:t>draft resolutions</w:t>
      </w:r>
      <w:r w:rsidR="00982A31" w:rsidRPr="004B3BBD">
        <w:rPr>
          <w:rFonts w:asciiTheme="majorHAnsi" w:hAnsiTheme="majorHAnsi"/>
          <w:bCs/>
        </w:rPr>
        <w:t xml:space="preserve"> would be </w:t>
      </w:r>
      <w:r w:rsidR="00D53004" w:rsidRPr="004B3BBD">
        <w:rPr>
          <w:rFonts w:asciiTheme="majorHAnsi" w:hAnsiTheme="majorHAnsi"/>
          <w:bCs/>
        </w:rPr>
        <w:t>submitted</w:t>
      </w:r>
      <w:r w:rsidR="00982A31" w:rsidRPr="004B3BBD">
        <w:rPr>
          <w:rFonts w:asciiTheme="majorHAnsi" w:hAnsiTheme="majorHAnsi"/>
          <w:bCs/>
        </w:rPr>
        <w:t xml:space="preserve"> to</w:t>
      </w:r>
      <w:r w:rsidR="004376AA" w:rsidRPr="004B3BBD">
        <w:rPr>
          <w:rFonts w:asciiTheme="majorHAnsi" w:hAnsiTheme="majorHAnsi"/>
          <w:bCs/>
        </w:rPr>
        <w:t xml:space="preserve"> the Conference Bureau. </w:t>
      </w:r>
    </w:p>
    <w:p w14:paraId="0321664E" w14:textId="77777777" w:rsidR="00D53004" w:rsidRPr="004B3BBD" w:rsidRDefault="00D53004" w:rsidP="00F52F7A">
      <w:pPr>
        <w:spacing w:after="0" w:line="240" w:lineRule="auto"/>
        <w:ind w:left="567" w:hanging="567"/>
        <w:rPr>
          <w:rFonts w:asciiTheme="majorHAnsi" w:hAnsiTheme="majorHAnsi"/>
          <w:bCs/>
        </w:rPr>
      </w:pPr>
    </w:p>
    <w:p w14:paraId="335E5DA8" w14:textId="77777777" w:rsidR="00C77E72" w:rsidRDefault="00F076DC" w:rsidP="00F52F7A">
      <w:pPr>
        <w:spacing w:after="0" w:line="240" w:lineRule="auto"/>
        <w:ind w:left="567" w:hanging="567"/>
        <w:rPr>
          <w:rFonts w:asciiTheme="majorHAnsi" w:hAnsiTheme="majorHAnsi"/>
          <w:bCs/>
        </w:rPr>
      </w:pPr>
      <w:r w:rsidRPr="004B3BBD">
        <w:rPr>
          <w:rFonts w:asciiTheme="majorHAnsi" w:hAnsiTheme="majorHAnsi"/>
          <w:bCs/>
        </w:rPr>
        <w:t>8</w:t>
      </w:r>
      <w:r w:rsidR="00D53004" w:rsidRPr="004B3BBD">
        <w:rPr>
          <w:rFonts w:asciiTheme="majorHAnsi" w:hAnsiTheme="majorHAnsi"/>
          <w:bCs/>
        </w:rPr>
        <w:t>.</w:t>
      </w:r>
      <w:r w:rsidR="00D53004" w:rsidRPr="004B3BBD">
        <w:rPr>
          <w:rFonts w:asciiTheme="majorHAnsi" w:hAnsiTheme="majorHAnsi"/>
          <w:bCs/>
        </w:rPr>
        <w:tab/>
      </w:r>
      <w:r w:rsidR="00354577" w:rsidRPr="004B3BBD">
        <w:rPr>
          <w:rFonts w:asciiTheme="majorHAnsi" w:hAnsiTheme="majorHAnsi"/>
          <w:bCs/>
        </w:rPr>
        <w:t xml:space="preserve">The </w:t>
      </w:r>
      <w:r w:rsidR="00354577" w:rsidRPr="004B3BBD">
        <w:rPr>
          <w:rFonts w:asciiTheme="majorHAnsi" w:hAnsiTheme="majorHAnsi"/>
          <w:b/>
          <w:bCs/>
        </w:rPr>
        <w:t>United States</w:t>
      </w:r>
      <w:r w:rsidR="00F64506" w:rsidRPr="004B3BBD">
        <w:rPr>
          <w:rFonts w:asciiTheme="majorHAnsi" w:hAnsiTheme="majorHAnsi"/>
          <w:b/>
          <w:bCs/>
        </w:rPr>
        <w:t xml:space="preserve"> of America</w:t>
      </w:r>
      <w:r w:rsidR="00354577" w:rsidRPr="004B3BBD">
        <w:rPr>
          <w:rFonts w:asciiTheme="majorHAnsi" w:hAnsiTheme="majorHAnsi"/>
          <w:bCs/>
        </w:rPr>
        <w:t xml:space="preserve">, supported by </w:t>
      </w:r>
      <w:r w:rsidR="00354577" w:rsidRPr="004B3BBD">
        <w:rPr>
          <w:rFonts w:asciiTheme="majorHAnsi" w:hAnsiTheme="majorHAnsi"/>
          <w:b/>
          <w:bCs/>
        </w:rPr>
        <w:t>Australia</w:t>
      </w:r>
      <w:r w:rsidR="000B3BED">
        <w:rPr>
          <w:rFonts w:asciiTheme="majorHAnsi" w:hAnsiTheme="majorHAnsi"/>
          <w:b/>
          <w:bCs/>
        </w:rPr>
        <w:t>,</w:t>
      </w:r>
      <w:r w:rsidR="00354577" w:rsidRPr="004B3BBD">
        <w:rPr>
          <w:rFonts w:asciiTheme="majorHAnsi" w:hAnsiTheme="majorHAnsi"/>
          <w:b/>
          <w:bCs/>
        </w:rPr>
        <w:t xml:space="preserve"> </w:t>
      </w:r>
      <w:r w:rsidR="00354577" w:rsidRPr="004B3BBD">
        <w:rPr>
          <w:rFonts w:asciiTheme="majorHAnsi" w:hAnsiTheme="majorHAnsi"/>
          <w:bCs/>
        </w:rPr>
        <w:t>and</w:t>
      </w:r>
      <w:r w:rsidR="000B3BED">
        <w:rPr>
          <w:rFonts w:asciiTheme="majorHAnsi" w:hAnsiTheme="majorHAnsi"/>
          <w:bCs/>
        </w:rPr>
        <w:t xml:space="preserve"> by</w:t>
      </w:r>
      <w:r w:rsidR="00354577" w:rsidRPr="004B3BBD">
        <w:rPr>
          <w:rFonts w:asciiTheme="majorHAnsi" w:hAnsiTheme="majorHAnsi"/>
          <w:bCs/>
        </w:rPr>
        <w:t xml:space="preserve"> </w:t>
      </w:r>
      <w:r w:rsidR="00354577" w:rsidRPr="004B3BBD">
        <w:rPr>
          <w:rFonts w:asciiTheme="majorHAnsi" w:hAnsiTheme="majorHAnsi"/>
          <w:b/>
          <w:bCs/>
        </w:rPr>
        <w:t>France on behalf of the European</w:t>
      </w:r>
      <w:r w:rsidR="00354577" w:rsidRPr="00214CBC">
        <w:rPr>
          <w:rFonts w:asciiTheme="majorHAnsi" w:hAnsiTheme="majorHAnsi"/>
          <w:b/>
          <w:bCs/>
        </w:rPr>
        <w:t xml:space="preserve"> Union</w:t>
      </w:r>
      <w:r w:rsidR="00354577" w:rsidRPr="00214CBC">
        <w:rPr>
          <w:rFonts w:asciiTheme="majorHAnsi" w:hAnsiTheme="majorHAnsi"/>
          <w:bCs/>
        </w:rPr>
        <w:t>,</w:t>
      </w:r>
      <w:r w:rsidR="00354577" w:rsidRPr="00214CBC">
        <w:rPr>
          <w:rFonts w:asciiTheme="majorHAnsi" w:hAnsiTheme="majorHAnsi"/>
          <w:b/>
          <w:bCs/>
        </w:rPr>
        <w:t xml:space="preserve"> </w:t>
      </w:r>
      <w:r w:rsidR="00354577" w:rsidRPr="00214CBC">
        <w:rPr>
          <w:rFonts w:asciiTheme="majorHAnsi" w:hAnsiTheme="majorHAnsi"/>
          <w:bCs/>
        </w:rPr>
        <w:t xml:space="preserve">agreed with the principle that minor edits could be dealt with by the Secretariat </w:t>
      </w:r>
      <w:r w:rsidR="00DC7B58">
        <w:rPr>
          <w:rFonts w:asciiTheme="majorHAnsi" w:hAnsiTheme="majorHAnsi"/>
          <w:bCs/>
        </w:rPr>
        <w:t>and concurred</w:t>
      </w:r>
      <w:r w:rsidR="00354577" w:rsidRPr="00214CBC">
        <w:rPr>
          <w:rFonts w:asciiTheme="majorHAnsi" w:hAnsiTheme="majorHAnsi"/>
          <w:bCs/>
        </w:rPr>
        <w:t xml:space="preserve"> with the suggestion that the Conference Bureau could delegate some of this work to </w:t>
      </w:r>
      <w:r w:rsidR="00FA6D17" w:rsidRPr="00214CBC">
        <w:rPr>
          <w:rFonts w:asciiTheme="majorHAnsi" w:hAnsiTheme="majorHAnsi"/>
          <w:bCs/>
        </w:rPr>
        <w:t xml:space="preserve">working groups </w:t>
      </w:r>
      <w:r w:rsidR="00354577" w:rsidRPr="00214CBC">
        <w:rPr>
          <w:rFonts w:asciiTheme="majorHAnsi" w:hAnsiTheme="majorHAnsi"/>
          <w:bCs/>
        </w:rPr>
        <w:t xml:space="preserve">or </w:t>
      </w:r>
      <w:r w:rsidR="00FA6D17" w:rsidRPr="00214CBC">
        <w:rPr>
          <w:rFonts w:asciiTheme="majorHAnsi" w:hAnsiTheme="majorHAnsi"/>
          <w:bCs/>
        </w:rPr>
        <w:t>“f</w:t>
      </w:r>
      <w:r w:rsidR="00354577" w:rsidRPr="00214CBC">
        <w:rPr>
          <w:rFonts w:asciiTheme="majorHAnsi" w:hAnsiTheme="majorHAnsi"/>
          <w:bCs/>
        </w:rPr>
        <w:t>riends of the Chair</w:t>
      </w:r>
      <w:r w:rsidR="00FA6D17" w:rsidRPr="00214CBC">
        <w:rPr>
          <w:rFonts w:asciiTheme="majorHAnsi" w:hAnsiTheme="majorHAnsi"/>
          <w:bCs/>
        </w:rPr>
        <w:t>” group</w:t>
      </w:r>
      <w:r w:rsidR="00DC7B58">
        <w:rPr>
          <w:rFonts w:asciiTheme="majorHAnsi" w:hAnsiTheme="majorHAnsi"/>
          <w:bCs/>
        </w:rPr>
        <w:t>s</w:t>
      </w:r>
      <w:r w:rsidR="00354577" w:rsidRPr="00214CBC">
        <w:rPr>
          <w:rFonts w:asciiTheme="majorHAnsi" w:hAnsiTheme="majorHAnsi"/>
          <w:bCs/>
        </w:rPr>
        <w:t xml:space="preserve">. </w:t>
      </w:r>
    </w:p>
    <w:p w14:paraId="463BCD06" w14:textId="77777777" w:rsidR="00C77E72" w:rsidRDefault="00C77E72" w:rsidP="00F52F7A">
      <w:pPr>
        <w:spacing w:after="0" w:line="240" w:lineRule="auto"/>
        <w:ind w:left="567" w:hanging="567"/>
        <w:rPr>
          <w:rFonts w:asciiTheme="majorHAnsi" w:hAnsiTheme="majorHAnsi"/>
          <w:bCs/>
        </w:rPr>
      </w:pPr>
    </w:p>
    <w:p w14:paraId="7F354B99" w14:textId="77777777" w:rsidR="000417D0" w:rsidRPr="00214CBC" w:rsidRDefault="00F076DC" w:rsidP="00F52F7A">
      <w:pPr>
        <w:spacing w:after="0" w:line="240" w:lineRule="auto"/>
        <w:ind w:left="567" w:hanging="567"/>
        <w:rPr>
          <w:rFonts w:asciiTheme="majorHAnsi" w:hAnsiTheme="majorHAnsi"/>
          <w:bCs/>
        </w:rPr>
      </w:pPr>
      <w:r>
        <w:rPr>
          <w:rFonts w:asciiTheme="majorHAnsi" w:hAnsiTheme="majorHAnsi"/>
          <w:bCs/>
        </w:rPr>
        <w:t>9</w:t>
      </w:r>
      <w:r w:rsidR="00C77E72">
        <w:rPr>
          <w:rFonts w:asciiTheme="majorHAnsi" w:hAnsiTheme="majorHAnsi"/>
          <w:bCs/>
        </w:rPr>
        <w:t>.</w:t>
      </w:r>
      <w:r w:rsidR="00C77E72">
        <w:rPr>
          <w:rFonts w:asciiTheme="majorHAnsi" w:hAnsiTheme="majorHAnsi"/>
          <w:bCs/>
        </w:rPr>
        <w:tab/>
      </w:r>
      <w:r w:rsidR="00354577" w:rsidRPr="00C77E72">
        <w:rPr>
          <w:rFonts w:asciiTheme="majorHAnsi" w:hAnsiTheme="majorHAnsi"/>
          <w:bCs/>
        </w:rPr>
        <w:t>The</w:t>
      </w:r>
      <w:r w:rsidR="00354577" w:rsidRPr="00214CBC">
        <w:rPr>
          <w:rFonts w:asciiTheme="majorHAnsi" w:hAnsiTheme="majorHAnsi"/>
          <w:b/>
          <w:bCs/>
        </w:rPr>
        <w:t xml:space="preserve"> Secretar</w:t>
      </w:r>
      <w:r w:rsidR="00C77E72">
        <w:rPr>
          <w:rFonts w:asciiTheme="majorHAnsi" w:hAnsiTheme="majorHAnsi"/>
          <w:b/>
          <w:bCs/>
        </w:rPr>
        <w:t>y General</w:t>
      </w:r>
      <w:r w:rsidR="00354577" w:rsidRPr="00214CBC">
        <w:rPr>
          <w:rFonts w:asciiTheme="majorHAnsi" w:hAnsiTheme="majorHAnsi"/>
          <w:bCs/>
        </w:rPr>
        <w:t xml:space="preserve"> not</w:t>
      </w:r>
      <w:r w:rsidR="00C77E72">
        <w:rPr>
          <w:rFonts w:asciiTheme="majorHAnsi" w:hAnsiTheme="majorHAnsi"/>
          <w:bCs/>
        </w:rPr>
        <w:t>ed</w:t>
      </w:r>
      <w:r w:rsidR="00354577" w:rsidRPr="00214CBC">
        <w:rPr>
          <w:rFonts w:asciiTheme="majorHAnsi" w:hAnsiTheme="majorHAnsi"/>
          <w:bCs/>
        </w:rPr>
        <w:t xml:space="preserve"> </w:t>
      </w:r>
      <w:r w:rsidR="002B1826">
        <w:rPr>
          <w:rFonts w:asciiTheme="majorHAnsi" w:hAnsiTheme="majorHAnsi"/>
          <w:bCs/>
        </w:rPr>
        <w:t>an</w:t>
      </w:r>
      <w:r w:rsidR="00C77E72">
        <w:rPr>
          <w:rFonts w:asciiTheme="majorHAnsi" w:hAnsiTheme="majorHAnsi"/>
          <w:bCs/>
        </w:rPr>
        <w:t xml:space="preserve"> absence of support</w:t>
      </w:r>
      <w:r w:rsidR="00354577" w:rsidRPr="00214CBC">
        <w:rPr>
          <w:rFonts w:asciiTheme="majorHAnsi" w:hAnsiTheme="majorHAnsi"/>
          <w:bCs/>
        </w:rPr>
        <w:t xml:space="preserve"> for </w:t>
      </w:r>
      <w:r w:rsidR="00C77E72">
        <w:rPr>
          <w:rFonts w:asciiTheme="majorHAnsi" w:hAnsiTheme="majorHAnsi"/>
          <w:bCs/>
        </w:rPr>
        <w:t>amending</w:t>
      </w:r>
      <w:r w:rsidR="00354577" w:rsidRPr="00214CBC">
        <w:rPr>
          <w:rFonts w:asciiTheme="majorHAnsi" w:hAnsiTheme="majorHAnsi"/>
          <w:bCs/>
        </w:rPr>
        <w:t xml:space="preserve"> the Rules of Procedure</w:t>
      </w:r>
      <w:r w:rsidR="00C77E72">
        <w:rPr>
          <w:rFonts w:asciiTheme="majorHAnsi" w:hAnsiTheme="majorHAnsi"/>
          <w:bCs/>
        </w:rPr>
        <w:t xml:space="preserve"> (as proposed in paragraph 21 of document </w:t>
      </w:r>
      <w:r w:rsidR="00C77E72" w:rsidRPr="00214CBC">
        <w:rPr>
          <w:rFonts w:asciiTheme="majorHAnsi" w:hAnsiTheme="majorHAnsi"/>
          <w:bCs/>
        </w:rPr>
        <w:t>SC55 Doc.4.2</w:t>
      </w:r>
      <w:r w:rsidR="00BE074A">
        <w:rPr>
          <w:rFonts w:asciiTheme="majorHAnsi" w:hAnsiTheme="majorHAnsi"/>
          <w:bCs/>
        </w:rPr>
        <w:t>)</w:t>
      </w:r>
      <w:r w:rsidR="00C77E72">
        <w:rPr>
          <w:rFonts w:asciiTheme="majorHAnsi" w:hAnsiTheme="majorHAnsi"/>
          <w:bCs/>
        </w:rPr>
        <w:t>. She</w:t>
      </w:r>
      <w:r w:rsidR="00354577" w:rsidRPr="00214CBC">
        <w:rPr>
          <w:rFonts w:asciiTheme="majorHAnsi" w:hAnsiTheme="majorHAnsi"/>
          <w:bCs/>
        </w:rPr>
        <w:t xml:space="preserve"> </w:t>
      </w:r>
      <w:r w:rsidR="008A1EF1" w:rsidRPr="00214CBC">
        <w:rPr>
          <w:rFonts w:asciiTheme="majorHAnsi" w:hAnsiTheme="majorHAnsi"/>
          <w:bCs/>
        </w:rPr>
        <w:t>emphasised</w:t>
      </w:r>
      <w:r w:rsidR="00354577" w:rsidRPr="00214CBC">
        <w:rPr>
          <w:rFonts w:asciiTheme="majorHAnsi" w:hAnsiTheme="majorHAnsi"/>
          <w:bCs/>
        </w:rPr>
        <w:t xml:space="preserve"> the importance of the timely </w:t>
      </w:r>
      <w:r w:rsidR="008A1EF1" w:rsidRPr="00214CBC">
        <w:rPr>
          <w:rFonts w:asciiTheme="majorHAnsi" w:hAnsiTheme="majorHAnsi"/>
          <w:bCs/>
        </w:rPr>
        <w:t xml:space="preserve">delivery of </w:t>
      </w:r>
      <w:r w:rsidR="00992130" w:rsidRPr="00214CBC">
        <w:rPr>
          <w:rFonts w:asciiTheme="majorHAnsi" w:hAnsiTheme="majorHAnsi"/>
          <w:bCs/>
        </w:rPr>
        <w:t xml:space="preserve">revised </w:t>
      </w:r>
      <w:r w:rsidR="00C77E72">
        <w:rPr>
          <w:rFonts w:asciiTheme="majorHAnsi" w:hAnsiTheme="majorHAnsi"/>
          <w:bCs/>
        </w:rPr>
        <w:t>texts of draft resolutions,</w:t>
      </w:r>
      <w:r w:rsidR="00992130" w:rsidRPr="00214CBC">
        <w:rPr>
          <w:rFonts w:asciiTheme="majorHAnsi" w:hAnsiTheme="majorHAnsi"/>
          <w:bCs/>
        </w:rPr>
        <w:t xml:space="preserve"> </w:t>
      </w:r>
      <w:r w:rsidR="008A1EF1" w:rsidRPr="00214CBC">
        <w:rPr>
          <w:rFonts w:asciiTheme="majorHAnsi" w:hAnsiTheme="majorHAnsi"/>
          <w:bCs/>
        </w:rPr>
        <w:t xml:space="preserve">and </w:t>
      </w:r>
      <w:r w:rsidR="00992130" w:rsidRPr="00214CBC">
        <w:rPr>
          <w:rFonts w:asciiTheme="majorHAnsi" w:hAnsiTheme="majorHAnsi"/>
          <w:bCs/>
        </w:rPr>
        <w:t xml:space="preserve">urged Parties to meet the </w:t>
      </w:r>
      <w:r w:rsidR="008A1EF1" w:rsidRPr="00214CBC">
        <w:rPr>
          <w:rFonts w:asciiTheme="majorHAnsi" w:hAnsiTheme="majorHAnsi"/>
          <w:bCs/>
        </w:rPr>
        <w:t>deadline of 26</w:t>
      </w:r>
      <w:r w:rsidR="00F64506" w:rsidRPr="00214CBC">
        <w:rPr>
          <w:rFonts w:asciiTheme="majorHAnsi" w:hAnsiTheme="majorHAnsi"/>
          <w:bCs/>
        </w:rPr>
        <w:t xml:space="preserve"> </w:t>
      </w:r>
      <w:r w:rsidR="008A1EF1" w:rsidRPr="00214CBC">
        <w:rPr>
          <w:rFonts w:asciiTheme="majorHAnsi" w:hAnsiTheme="majorHAnsi"/>
          <w:bCs/>
        </w:rPr>
        <w:t xml:space="preserve">October in order </w:t>
      </w:r>
      <w:r w:rsidR="00C77E72">
        <w:rPr>
          <w:rFonts w:asciiTheme="majorHAnsi" w:hAnsiTheme="majorHAnsi"/>
          <w:bCs/>
        </w:rPr>
        <w:t>that</w:t>
      </w:r>
      <w:r w:rsidR="008A1EF1" w:rsidRPr="00214CBC">
        <w:rPr>
          <w:rFonts w:asciiTheme="majorHAnsi" w:hAnsiTheme="majorHAnsi"/>
          <w:bCs/>
        </w:rPr>
        <w:t xml:space="preserve"> </w:t>
      </w:r>
      <w:r w:rsidR="00B44A0F">
        <w:rPr>
          <w:rFonts w:asciiTheme="majorHAnsi" w:hAnsiTheme="majorHAnsi"/>
          <w:bCs/>
        </w:rPr>
        <w:t xml:space="preserve">documents </w:t>
      </w:r>
      <w:r w:rsidR="00C77E72">
        <w:rPr>
          <w:rFonts w:asciiTheme="majorHAnsi" w:hAnsiTheme="majorHAnsi"/>
          <w:bCs/>
        </w:rPr>
        <w:t xml:space="preserve">might </w:t>
      </w:r>
      <w:r w:rsidR="008A1EF1" w:rsidRPr="00214CBC">
        <w:rPr>
          <w:rFonts w:asciiTheme="majorHAnsi" w:hAnsiTheme="majorHAnsi"/>
          <w:bCs/>
        </w:rPr>
        <w:t>all be translated</w:t>
      </w:r>
      <w:r w:rsidR="00992130" w:rsidRPr="00214CBC">
        <w:rPr>
          <w:rFonts w:asciiTheme="majorHAnsi" w:hAnsiTheme="majorHAnsi"/>
          <w:bCs/>
        </w:rPr>
        <w:t xml:space="preserve"> </w:t>
      </w:r>
      <w:r w:rsidR="00C77E72">
        <w:rPr>
          <w:rFonts w:asciiTheme="majorHAnsi" w:hAnsiTheme="majorHAnsi"/>
          <w:bCs/>
        </w:rPr>
        <w:t>in good time prior to their final consideration</w:t>
      </w:r>
      <w:r w:rsidR="00992130" w:rsidRPr="00214CBC">
        <w:rPr>
          <w:rFonts w:asciiTheme="majorHAnsi" w:hAnsiTheme="majorHAnsi"/>
          <w:bCs/>
        </w:rPr>
        <w:t>.</w:t>
      </w:r>
      <w:r w:rsidR="000417D0" w:rsidRPr="00214CBC">
        <w:rPr>
          <w:rFonts w:asciiTheme="majorHAnsi" w:hAnsiTheme="majorHAnsi"/>
          <w:bCs/>
        </w:rPr>
        <w:t xml:space="preserve"> </w:t>
      </w:r>
    </w:p>
    <w:p w14:paraId="3AA2266B" w14:textId="77777777" w:rsidR="000417D0" w:rsidRPr="00214CBC" w:rsidRDefault="000417D0" w:rsidP="00F52F7A">
      <w:pPr>
        <w:spacing w:after="0" w:line="240" w:lineRule="auto"/>
        <w:ind w:left="567" w:hanging="567"/>
        <w:rPr>
          <w:rFonts w:asciiTheme="majorHAnsi" w:hAnsiTheme="majorHAnsi"/>
          <w:bCs/>
        </w:rPr>
      </w:pPr>
    </w:p>
    <w:p w14:paraId="79A897D5" w14:textId="3F289DDB" w:rsidR="00800166" w:rsidRPr="00214CBC" w:rsidRDefault="00982A31" w:rsidP="00F52F7A">
      <w:pPr>
        <w:spacing w:after="0" w:line="240" w:lineRule="auto"/>
        <w:contextualSpacing/>
        <w:rPr>
          <w:b/>
        </w:rPr>
      </w:pPr>
      <w:r w:rsidRPr="00214CBC">
        <w:rPr>
          <w:b/>
        </w:rPr>
        <w:t>Decision SC55-0</w:t>
      </w:r>
      <w:r w:rsidR="000B678B">
        <w:rPr>
          <w:b/>
        </w:rPr>
        <w:t>4</w:t>
      </w:r>
      <w:r w:rsidRPr="00214CBC">
        <w:rPr>
          <w:b/>
        </w:rPr>
        <w:t xml:space="preserve">: </w:t>
      </w:r>
      <w:r w:rsidR="00800166" w:rsidRPr="00214CBC">
        <w:rPr>
          <w:b/>
        </w:rPr>
        <w:t xml:space="preserve">The Standing Committee </w:t>
      </w:r>
      <w:r w:rsidR="002B1826">
        <w:rPr>
          <w:b/>
        </w:rPr>
        <w:t xml:space="preserve">instructed the Secretariat to prepare a </w:t>
      </w:r>
      <w:r w:rsidR="00B44A0F">
        <w:rPr>
          <w:b/>
        </w:rPr>
        <w:t xml:space="preserve">process </w:t>
      </w:r>
      <w:r w:rsidR="002B1826">
        <w:rPr>
          <w:b/>
        </w:rPr>
        <w:t xml:space="preserve">for the consideration of </w:t>
      </w:r>
      <w:r w:rsidR="00BE074A">
        <w:rPr>
          <w:b/>
        </w:rPr>
        <w:t xml:space="preserve">draft resolutions by </w:t>
      </w:r>
      <w:r w:rsidR="002B1826">
        <w:rPr>
          <w:b/>
        </w:rPr>
        <w:t>Parties at COP13, taking into accounts the comments made</w:t>
      </w:r>
      <w:r w:rsidR="008C2AA9" w:rsidRPr="00214CBC">
        <w:rPr>
          <w:b/>
        </w:rPr>
        <w:t>.</w:t>
      </w:r>
    </w:p>
    <w:p w14:paraId="53D5B2B9" w14:textId="77777777" w:rsidR="00576B24" w:rsidRPr="00214CBC" w:rsidRDefault="00576B24" w:rsidP="00F52F7A">
      <w:pPr>
        <w:spacing w:after="0" w:line="240" w:lineRule="auto"/>
        <w:rPr>
          <w:bCs/>
        </w:rPr>
      </w:pPr>
    </w:p>
    <w:p w14:paraId="48365639" w14:textId="77777777" w:rsidR="00D04017" w:rsidRPr="00214CBC" w:rsidRDefault="00BE7538"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w:t>
      </w:r>
      <w:r w:rsidR="00DB5749" w:rsidRPr="00214CBC">
        <w:rPr>
          <w:rFonts w:cs="Calibri"/>
          <w:bCs/>
        </w:rPr>
        <w:t>5</w:t>
      </w:r>
      <w:r w:rsidR="0020657E" w:rsidRPr="00214CBC">
        <w:rPr>
          <w:rFonts w:cs="Calibri"/>
          <w:bCs/>
        </w:rPr>
        <w:t>:</w:t>
      </w:r>
      <w:r w:rsidR="0020657E" w:rsidRPr="00214CBC">
        <w:t xml:space="preserve"> </w:t>
      </w:r>
      <w:r w:rsidR="0020657E" w:rsidRPr="00214CBC">
        <w:rPr>
          <w:rFonts w:cs="Calibri"/>
          <w:bCs/>
        </w:rPr>
        <w:t>Nomination of COP13 President and Vice-Presidents</w:t>
      </w:r>
    </w:p>
    <w:p w14:paraId="67969B93" w14:textId="77777777" w:rsidR="00D04017" w:rsidRPr="00214CBC" w:rsidRDefault="00D04017" w:rsidP="00F52F7A">
      <w:pPr>
        <w:spacing w:after="0" w:line="240" w:lineRule="auto"/>
        <w:ind w:left="426" w:hanging="426"/>
        <w:rPr>
          <w:bCs/>
        </w:rPr>
      </w:pPr>
    </w:p>
    <w:p w14:paraId="17DB5290" w14:textId="77777777" w:rsidR="00F076DC" w:rsidRDefault="00F076DC" w:rsidP="00F52F7A">
      <w:pPr>
        <w:spacing w:after="0" w:line="240" w:lineRule="auto"/>
        <w:ind w:left="567" w:hanging="567"/>
        <w:rPr>
          <w:bCs/>
        </w:rPr>
      </w:pPr>
      <w:r>
        <w:rPr>
          <w:bCs/>
        </w:rPr>
        <w:t>10</w:t>
      </w:r>
      <w:r w:rsidR="00D30017" w:rsidRPr="00214CBC">
        <w:rPr>
          <w:bCs/>
        </w:rPr>
        <w:t>.</w:t>
      </w:r>
      <w:r w:rsidR="00D30017" w:rsidRPr="00214CBC">
        <w:rPr>
          <w:bCs/>
        </w:rPr>
        <w:tab/>
      </w:r>
      <w:r w:rsidR="00566340" w:rsidRPr="00214CBC">
        <w:rPr>
          <w:bCs/>
        </w:rPr>
        <w:t xml:space="preserve">The </w:t>
      </w:r>
      <w:r w:rsidR="00566340" w:rsidRPr="00214CBC">
        <w:rPr>
          <w:b/>
          <w:bCs/>
        </w:rPr>
        <w:t>Chair</w:t>
      </w:r>
      <w:r w:rsidR="00566340" w:rsidRPr="00214CBC">
        <w:rPr>
          <w:bCs/>
        </w:rPr>
        <w:t xml:space="preserve"> </w:t>
      </w:r>
      <w:r>
        <w:rPr>
          <w:bCs/>
        </w:rPr>
        <w:t>recalled Rule 21.1, and invited</w:t>
      </w:r>
      <w:r w:rsidR="00566340" w:rsidRPr="00214CBC">
        <w:rPr>
          <w:bCs/>
        </w:rPr>
        <w:t xml:space="preserve"> nominations for President, Alternate President and </w:t>
      </w:r>
      <w:r w:rsidR="00046965" w:rsidRPr="00214CBC">
        <w:rPr>
          <w:bCs/>
        </w:rPr>
        <w:t xml:space="preserve">two </w:t>
      </w:r>
      <w:r w:rsidR="00566340" w:rsidRPr="00214CBC">
        <w:rPr>
          <w:bCs/>
        </w:rPr>
        <w:t xml:space="preserve">Vice-Presidents, </w:t>
      </w:r>
      <w:r>
        <w:rPr>
          <w:bCs/>
        </w:rPr>
        <w:t>noting the need to</w:t>
      </w:r>
      <w:r w:rsidR="00566340" w:rsidRPr="00214CBC">
        <w:rPr>
          <w:bCs/>
        </w:rPr>
        <w:t xml:space="preserve"> bear in mind </w:t>
      </w:r>
      <w:r w:rsidR="00E72654" w:rsidRPr="00214CBC">
        <w:rPr>
          <w:bCs/>
        </w:rPr>
        <w:t xml:space="preserve">regional </w:t>
      </w:r>
      <w:r>
        <w:rPr>
          <w:bCs/>
        </w:rPr>
        <w:t>balance</w:t>
      </w:r>
      <w:r w:rsidR="00566340" w:rsidRPr="00214CBC">
        <w:rPr>
          <w:bCs/>
        </w:rPr>
        <w:t xml:space="preserve">. </w:t>
      </w:r>
    </w:p>
    <w:p w14:paraId="53FB10F7" w14:textId="77777777" w:rsidR="00F076DC" w:rsidRDefault="00F076DC" w:rsidP="00F52F7A">
      <w:pPr>
        <w:spacing w:after="0" w:line="240" w:lineRule="auto"/>
        <w:ind w:left="567" w:hanging="567"/>
        <w:rPr>
          <w:bCs/>
        </w:rPr>
      </w:pPr>
    </w:p>
    <w:p w14:paraId="61C6A57A" w14:textId="77777777" w:rsidR="00F076DC" w:rsidRDefault="00F076DC" w:rsidP="00F52F7A">
      <w:pPr>
        <w:spacing w:after="0" w:line="240" w:lineRule="auto"/>
        <w:ind w:left="567" w:hanging="567"/>
        <w:rPr>
          <w:bCs/>
        </w:rPr>
      </w:pPr>
      <w:r>
        <w:rPr>
          <w:bCs/>
        </w:rPr>
        <w:t>11.</w:t>
      </w:r>
      <w:r>
        <w:rPr>
          <w:bCs/>
        </w:rPr>
        <w:tab/>
      </w:r>
      <w:r w:rsidR="00566340" w:rsidRPr="00214CBC">
        <w:rPr>
          <w:bCs/>
        </w:rPr>
        <w:t xml:space="preserve">As host country, the </w:t>
      </w:r>
      <w:r w:rsidR="00566340" w:rsidRPr="00214CBC">
        <w:rPr>
          <w:b/>
          <w:bCs/>
        </w:rPr>
        <w:t xml:space="preserve">United Arab Emirates </w:t>
      </w:r>
      <w:r w:rsidR="00566340" w:rsidRPr="00214CBC">
        <w:rPr>
          <w:bCs/>
        </w:rPr>
        <w:t>nominated</w:t>
      </w:r>
      <w:r w:rsidR="005055C1">
        <w:rPr>
          <w:bCs/>
        </w:rPr>
        <w:t>:</w:t>
      </w:r>
      <w:r w:rsidR="00566340" w:rsidRPr="00214CBC">
        <w:rPr>
          <w:bCs/>
        </w:rPr>
        <w:t xml:space="preserve"> </w:t>
      </w:r>
      <w:r w:rsidRPr="00214CBC">
        <w:rPr>
          <w:bCs/>
        </w:rPr>
        <w:t xml:space="preserve">as President </w:t>
      </w:r>
      <w:r w:rsidR="004376AA" w:rsidRPr="00214CBC">
        <w:rPr>
          <w:bCs/>
        </w:rPr>
        <w:t xml:space="preserve">His Excellency Dr Thani Al Zeyoudi, Minister of Climate Change </w:t>
      </w:r>
      <w:r>
        <w:rPr>
          <w:bCs/>
        </w:rPr>
        <w:t>and Environment;</w:t>
      </w:r>
      <w:r w:rsidR="00566340" w:rsidRPr="00214CBC">
        <w:rPr>
          <w:bCs/>
        </w:rPr>
        <w:t xml:space="preserve"> </w:t>
      </w:r>
      <w:r w:rsidRPr="00214CBC">
        <w:rPr>
          <w:bCs/>
        </w:rPr>
        <w:t xml:space="preserve">as Alternate </w:t>
      </w:r>
      <w:r>
        <w:rPr>
          <w:bCs/>
        </w:rPr>
        <w:t xml:space="preserve">President </w:t>
      </w:r>
      <w:r w:rsidR="004376AA" w:rsidRPr="00214CBC">
        <w:rPr>
          <w:bCs/>
        </w:rPr>
        <w:t xml:space="preserve">His Excellency </w:t>
      </w:r>
      <w:r w:rsidR="001038E7">
        <w:rPr>
          <w:bCs/>
        </w:rPr>
        <w:t>Eng</w:t>
      </w:r>
      <w:r w:rsidR="004376AA" w:rsidRPr="00214CBC">
        <w:rPr>
          <w:bCs/>
        </w:rPr>
        <w:t xml:space="preserve">. Mohamed </w:t>
      </w:r>
      <w:r w:rsidR="001038E7">
        <w:rPr>
          <w:bCs/>
        </w:rPr>
        <w:t xml:space="preserve">Saif </w:t>
      </w:r>
      <w:r w:rsidR="004376AA" w:rsidRPr="00214CBC">
        <w:rPr>
          <w:bCs/>
        </w:rPr>
        <w:t>Al Afkham, Director General Fujairah Municipality</w:t>
      </w:r>
      <w:r>
        <w:rPr>
          <w:bCs/>
        </w:rPr>
        <w:t>;</w:t>
      </w:r>
      <w:r w:rsidR="004376AA" w:rsidRPr="00214CBC">
        <w:rPr>
          <w:bCs/>
        </w:rPr>
        <w:t xml:space="preserve"> and </w:t>
      </w:r>
      <w:r w:rsidRPr="00214CBC">
        <w:rPr>
          <w:bCs/>
        </w:rPr>
        <w:t xml:space="preserve">as Vice-President </w:t>
      </w:r>
      <w:r>
        <w:rPr>
          <w:bCs/>
        </w:rPr>
        <w:t xml:space="preserve">Mr </w:t>
      </w:r>
      <w:r w:rsidR="00566340" w:rsidRPr="00214CBC">
        <w:rPr>
          <w:bCs/>
        </w:rPr>
        <w:t>Eric Alvare</w:t>
      </w:r>
      <w:r w:rsidR="0020657E" w:rsidRPr="00214CBC">
        <w:rPr>
          <w:bCs/>
        </w:rPr>
        <w:t>s</w:t>
      </w:r>
      <w:r w:rsidR="00566340" w:rsidRPr="00214CBC">
        <w:rPr>
          <w:bCs/>
        </w:rPr>
        <w:t xml:space="preserve"> of the </w:t>
      </w:r>
      <w:r w:rsidR="00566340" w:rsidRPr="00214CBC">
        <w:rPr>
          <w:b/>
          <w:bCs/>
        </w:rPr>
        <w:t xml:space="preserve">United States </w:t>
      </w:r>
      <w:r w:rsidR="00E72654" w:rsidRPr="00214CBC">
        <w:rPr>
          <w:b/>
          <w:bCs/>
        </w:rPr>
        <w:t>of America</w:t>
      </w:r>
      <w:r w:rsidR="00566340" w:rsidRPr="00214CBC">
        <w:rPr>
          <w:bCs/>
        </w:rPr>
        <w:t xml:space="preserve">. </w:t>
      </w:r>
    </w:p>
    <w:p w14:paraId="1CC719AE" w14:textId="77777777" w:rsidR="00F076DC" w:rsidRDefault="00F076DC" w:rsidP="00F52F7A">
      <w:pPr>
        <w:spacing w:after="0" w:line="240" w:lineRule="auto"/>
        <w:ind w:left="567" w:hanging="567"/>
        <w:rPr>
          <w:bCs/>
        </w:rPr>
      </w:pPr>
    </w:p>
    <w:p w14:paraId="1D30F251" w14:textId="77777777" w:rsidR="00F076DC" w:rsidRDefault="00F076DC" w:rsidP="00F52F7A">
      <w:pPr>
        <w:spacing w:after="0" w:line="240" w:lineRule="auto"/>
        <w:ind w:left="567" w:hanging="567"/>
        <w:rPr>
          <w:bCs/>
        </w:rPr>
      </w:pPr>
      <w:r>
        <w:rPr>
          <w:bCs/>
        </w:rPr>
        <w:t>12.</w:t>
      </w:r>
      <w:r>
        <w:rPr>
          <w:bCs/>
        </w:rPr>
        <w:tab/>
      </w:r>
      <w:r w:rsidR="00566340" w:rsidRPr="00214CBC">
        <w:rPr>
          <w:bCs/>
        </w:rPr>
        <w:t xml:space="preserve">Following further discussion, the </w:t>
      </w:r>
      <w:r w:rsidR="00566340" w:rsidRPr="00214CBC">
        <w:rPr>
          <w:b/>
          <w:bCs/>
        </w:rPr>
        <w:t xml:space="preserve">Chair </w:t>
      </w:r>
      <w:r>
        <w:rPr>
          <w:bCs/>
        </w:rPr>
        <w:t>recognized that it would be desirable to enable the regions</w:t>
      </w:r>
      <w:r w:rsidR="00566340" w:rsidRPr="00214CBC">
        <w:rPr>
          <w:bCs/>
        </w:rPr>
        <w:t xml:space="preserve"> </w:t>
      </w:r>
      <w:r>
        <w:rPr>
          <w:bCs/>
        </w:rPr>
        <w:t xml:space="preserve">to discuss </w:t>
      </w:r>
      <w:r w:rsidR="00566340" w:rsidRPr="00214CBC">
        <w:rPr>
          <w:bCs/>
        </w:rPr>
        <w:t xml:space="preserve">nominations </w:t>
      </w:r>
      <w:r w:rsidR="002129FA" w:rsidRPr="00214CBC">
        <w:rPr>
          <w:bCs/>
        </w:rPr>
        <w:t xml:space="preserve">for the second </w:t>
      </w:r>
      <w:r>
        <w:rPr>
          <w:bCs/>
        </w:rPr>
        <w:t xml:space="preserve">position of </w:t>
      </w:r>
      <w:r w:rsidR="002129FA" w:rsidRPr="00214CBC">
        <w:rPr>
          <w:bCs/>
        </w:rPr>
        <w:t>Vice-President</w:t>
      </w:r>
      <w:r w:rsidR="0020657E" w:rsidRPr="00214CBC">
        <w:rPr>
          <w:bCs/>
        </w:rPr>
        <w:t>.</w:t>
      </w:r>
      <w:r w:rsidR="0019498F" w:rsidRPr="00214CBC">
        <w:rPr>
          <w:bCs/>
        </w:rPr>
        <w:t xml:space="preserve"> </w:t>
      </w:r>
    </w:p>
    <w:p w14:paraId="79CCD98D" w14:textId="77777777" w:rsidR="00F076DC" w:rsidRDefault="00F076DC" w:rsidP="00F52F7A">
      <w:pPr>
        <w:spacing w:after="0" w:line="240" w:lineRule="auto"/>
        <w:ind w:left="567" w:hanging="567"/>
        <w:rPr>
          <w:bCs/>
        </w:rPr>
      </w:pPr>
    </w:p>
    <w:p w14:paraId="42C2E50B" w14:textId="77777777" w:rsidR="00E4250A" w:rsidRPr="00214CBC" w:rsidRDefault="00F076DC" w:rsidP="00F52F7A">
      <w:pPr>
        <w:spacing w:after="0" w:line="240" w:lineRule="auto"/>
        <w:ind w:left="567" w:hanging="567"/>
        <w:rPr>
          <w:rFonts w:asciiTheme="majorHAnsi" w:hAnsiTheme="majorHAnsi"/>
          <w:bCs/>
        </w:rPr>
      </w:pPr>
      <w:r>
        <w:rPr>
          <w:bCs/>
        </w:rPr>
        <w:t>13.</w:t>
      </w:r>
      <w:r>
        <w:rPr>
          <w:bCs/>
        </w:rPr>
        <w:tab/>
      </w:r>
      <w:r w:rsidR="0020657E" w:rsidRPr="00214CBC">
        <w:rPr>
          <w:rFonts w:asciiTheme="majorHAnsi" w:hAnsiTheme="majorHAnsi"/>
          <w:b/>
          <w:bCs/>
        </w:rPr>
        <w:t>Australia</w:t>
      </w:r>
      <w:r w:rsidR="0020657E" w:rsidRPr="00214CBC">
        <w:rPr>
          <w:rFonts w:asciiTheme="majorHAnsi" w:hAnsiTheme="majorHAnsi"/>
          <w:bCs/>
        </w:rPr>
        <w:t>, in its capacity as Vice-Chair</w:t>
      </w:r>
      <w:r w:rsidR="004376AA" w:rsidRPr="00214CBC">
        <w:rPr>
          <w:rFonts w:asciiTheme="majorHAnsi" w:hAnsiTheme="majorHAnsi"/>
          <w:bCs/>
        </w:rPr>
        <w:t xml:space="preserve"> of the Standing Committee</w:t>
      </w:r>
      <w:r w:rsidR="0020657E" w:rsidRPr="00214CBC">
        <w:rPr>
          <w:rFonts w:asciiTheme="majorHAnsi" w:hAnsiTheme="majorHAnsi"/>
          <w:bCs/>
        </w:rPr>
        <w:t xml:space="preserve">, suggested </w:t>
      </w:r>
      <w:r w:rsidR="008C2AA9" w:rsidRPr="00214CBC">
        <w:rPr>
          <w:rFonts w:asciiTheme="majorHAnsi" w:hAnsiTheme="majorHAnsi"/>
          <w:bCs/>
        </w:rPr>
        <w:t>that the</w:t>
      </w:r>
      <w:r w:rsidR="0020657E" w:rsidRPr="00214CBC">
        <w:rPr>
          <w:rFonts w:asciiTheme="majorHAnsi" w:hAnsiTheme="majorHAnsi"/>
          <w:bCs/>
        </w:rPr>
        <w:t xml:space="preserve"> Standing Committee </w:t>
      </w:r>
      <w:r w:rsidR="001F79B6">
        <w:rPr>
          <w:rFonts w:asciiTheme="majorHAnsi" w:hAnsiTheme="majorHAnsi"/>
          <w:bCs/>
        </w:rPr>
        <w:t xml:space="preserve">discuss this issue when it </w:t>
      </w:r>
      <w:r w:rsidR="008C2AA9" w:rsidRPr="00214CBC">
        <w:rPr>
          <w:rFonts w:asciiTheme="majorHAnsi" w:hAnsiTheme="majorHAnsi"/>
          <w:bCs/>
        </w:rPr>
        <w:t>reconvene</w:t>
      </w:r>
      <w:r w:rsidR="001F79B6">
        <w:rPr>
          <w:rFonts w:asciiTheme="majorHAnsi" w:hAnsiTheme="majorHAnsi"/>
          <w:bCs/>
        </w:rPr>
        <w:t>s</w:t>
      </w:r>
      <w:r w:rsidR="008C2AA9" w:rsidRPr="00214CBC">
        <w:rPr>
          <w:rFonts w:asciiTheme="majorHAnsi" w:hAnsiTheme="majorHAnsi"/>
          <w:bCs/>
        </w:rPr>
        <w:t xml:space="preserve"> </w:t>
      </w:r>
      <w:r w:rsidR="0020657E" w:rsidRPr="00214CBC">
        <w:rPr>
          <w:rFonts w:asciiTheme="majorHAnsi" w:hAnsiTheme="majorHAnsi"/>
          <w:bCs/>
        </w:rPr>
        <w:t>on Tuesday morning</w:t>
      </w:r>
      <w:r w:rsidR="001F79B6">
        <w:rPr>
          <w:rFonts w:asciiTheme="majorHAnsi" w:hAnsiTheme="majorHAnsi"/>
          <w:bCs/>
        </w:rPr>
        <w:t xml:space="preserve"> as </w:t>
      </w:r>
      <w:r w:rsidR="0020657E" w:rsidRPr="00214CBC">
        <w:rPr>
          <w:rFonts w:asciiTheme="majorHAnsi" w:hAnsiTheme="majorHAnsi"/>
          <w:bCs/>
        </w:rPr>
        <w:t>the Conference Bureau</w:t>
      </w:r>
      <w:r w:rsidR="008C2AA9" w:rsidRPr="00214CBC">
        <w:rPr>
          <w:rFonts w:asciiTheme="majorHAnsi" w:hAnsiTheme="majorHAnsi"/>
          <w:bCs/>
        </w:rPr>
        <w:t>,</w:t>
      </w:r>
      <w:r w:rsidR="0020657E" w:rsidRPr="00214CBC">
        <w:rPr>
          <w:rFonts w:asciiTheme="majorHAnsi" w:hAnsiTheme="majorHAnsi"/>
          <w:bCs/>
        </w:rPr>
        <w:t xml:space="preserve"> to </w:t>
      </w:r>
      <w:r w:rsidR="000E7BA3">
        <w:rPr>
          <w:rFonts w:asciiTheme="majorHAnsi" w:hAnsiTheme="majorHAnsi"/>
          <w:bCs/>
        </w:rPr>
        <w:t>receive</w:t>
      </w:r>
      <w:r w:rsidR="0020657E" w:rsidRPr="00214CBC">
        <w:rPr>
          <w:rFonts w:asciiTheme="majorHAnsi" w:hAnsiTheme="majorHAnsi"/>
          <w:bCs/>
        </w:rPr>
        <w:t xml:space="preserve"> nominations</w:t>
      </w:r>
      <w:r w:rsidR="000E7BA3">
        <w:rPr>
          <w:rFonts w:asciiTheme="majorHAnsi" w:hAnsiTheme="majorHAnsi"/>
          <w:bCs/>
        </w:rPr>
        <w:t xml:space="preserve"> </w:t>
      </w:r>
      <w:r w:rsidR="000E7BA3" w:rsidRPr="00214CBC">
        <w:rPr>
          <w:bCs/>
        </w:rPr>
        <w:t xml:space="preserve">for the second </w:t>
      </w:r>
      <w:r w:rsidR="000E7BA3">
        <w:rPr>
          <w:bCs/>
        </w:rPr>
        <w:t xml:space="preserve">position of </w:t>
      </w:r>
      <w:r w:rsidR="000E7BA3" w:rsidRPr="00214CBC">
        <w:rPr>
          <w:bCs/>
        </w:rPr>
        <w:t>Vice-President</w:t>
      </w:r>
      <w:r w:rsidR="0020657E" w:rsidRPr="00214CBC">
        <w:rPr>
          <w:rFonts w:asciiTheme="majorHAnsi" w:hAnsiTheme="majorHAnsi"/>
          <w:bCs/>
        </w:rPr>
        <w:t>.</w:t>
      </w:r>
      <w:r w:rsidR="0019498F" w:rsidRPr="00214CBC">
        <w:rPr>
          <w:rFonts w:asciiTheme="majorHAnsi" w:hAnsiTheme="majorHAnsi"/>
          <w:bCs/>
        </w:rPr>
        <w:t xml:space="preserve"> </w:t>
      </w:r>
    </w:p>
    <w:p w14:paraId="49D9A359" w14:textId="77777777" w:rsidR="008C2AA9" w:rsidRPr="00214CBC" w:rsidRDefault="008C2AA9" w:rsidP="00F52F7A">
      <w:pPr>
        <w:spacing w:after="0" w:line="240" w:lineRule="auto"/>
        <w:rPr>
          <w:rFonts w:asciiTheme="majorHAnsi" w:hAnsiTheme="majorHAnsi"/>
          <w:bCs/>
        </w:rPr>
      </w:pPr>
    </w:p>
    <w:p w14:paraId="3D5C6AB1" w14:textId="77777777" w:rsidR="008C2AA9" w:rsidRPr="00214CBC" w:rsidRDefault="008C2AA9" w:rsidP="00F52F7A">
      <w:pPr>
        <w:spacing w:after="0" w:line="240" w:lineRule="auto"/>
        <w:contextualSpacing/>
        <w:rPr>
          <w:b/>
        </w:rPr>
      </w:pPr>
      <w:r w:rsidRPr="00214CBC">
        <w:rPr>
          <w:b/>
        </w:rPr>
        <w:t>Decision SC55-0</w:t>
      </w:r>
      <w:r w:rsidR="000B678B">
        <w:rPr>
          <w:b/>
        </w:rPr>
        <w:t>5</w:t>
      </w:r>
      <w:r w:rsidRPr="00214CBC">
        <w:rPr>
          <w:b/>
        </w:rPr>
        <w:t xml:space="preserve">: The Standing Committee </w:t>
      </w:r>
      <w:r w:rsidR="002129FA" w:rsidRPr="00214CBC">
        <w:rPr>
          <w:b/>
        </w:rPr>
        <w:t xml:space="preserve">agreed to forward to the Conference Bureau the three nominations </w:t>
      </w:r>
      <w:r w:rsidR="000E7BA3">
        <w:rPr>
          <w:b/>
        </w:rPr>
        <w:t xml:space="preserve">received, and to </w:t>
      </w:r>
      <w:r w:rsidR="008A578E">
        <w:rPr>
          <w:b/>
        </w:rPr>
        <w:t xml:space="preserve">complete discussions when it </w:t>
      </w:r>
      <w:r w:rsidR="000E7BA3">
        <w:rPr>
          <w:b/>
        </w:rPr>
        <w:t xml:space="preserve">reconvene on 23 October to receive </w:t>
      </w:r>
      <w:r w:rsidR="000E7BA3" w:rsidRPr="000E7BA3">
        <w:rPr>
          <w:b/>
        </w:rPr>
        <w:t>nominations for the second position of Vice-President</w:t>
      </w:r>
      <w:r w:rsidRPr="00214CBC">
        <w:rPr>
          <w:b/>
        </w:rPr>
        <w:t>.</w:t>
      </w:r>
    </w:p>
    <w:p w14:paraId="1D75EE95" w14:textId="77777777" w:rsidR="00B36C41" w:rsidRPr="00214CBC" w:rsidRDefault="00B36C41" w:rsidP="00F52F7A">
      <w:pPr>
        <w:spacing w:after="0" w:line="240" w:lineRule="auto"/>
        <w:rPr>
          <w:bCs/>
        </w:rPr>
      </w:pPr>
    </w:p>
    <w:p w14:paraId="504E7B48" w14:textId="77777777" w:rsidR="00D04017" w:rsidRPr="00214CBC" w:rsidRDefault="00BE7538"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w:t>
      </w:r>
      <w:r w:rsidR="00DB5749" w:rsidRPr="00214CBC">
        <w:rPr>
          <w:rFonts w:cs="Calibri"/>
          <w:bCs/>
        </w:rPr>
        <w:t>6</w:t>
      </w:r>
      <w:r w:rsidR="00D30017" w:rsidRPr="00214CBC">
        <w:rPr>
          <w:rFonts w:cs="Calibri"/>
          <w:bCs/>
        </w:rPr>
        <w:t>.1</w:t>
      </w:r>
      <w:r w:rsidR="000F5F52" w:rsidRPr="00214CBC">
        <w:rPr>
          <w:rFonts w:cs="Calibri"/>
          <w:bCs/>
        </w:rPr>
        <w:t>:</w:t>
      </w:r>
      <w:r w:rsidR="00D04017" w:rsidRPr="00214CBC">
        <w:rPr>
          <w:rFonts w:cs="Calibri"/>
          <w:bCs/>
        </w:rPr>
        <w:t xml:space="preserve"> </w:t>
      </w:r>
      <w:r w:rsidR="0020657E" w:rsidRPr="00214CBC">
        <w:rPr>
          <w:rFonts w:cs="Calibri"/>
          <w:bCs/>
        </w:rPr>
        <w:t>Establishment of COP13 committees</w:t>
      </w:r>
      <w:r w:rsidR="00D30017" w:rsidRPr="00214CBC">
        <w:rPr>
          <w:rFonts w:cs="Calibri"/>
          <w:bCs/>
        </w:rPr>
        <w:t xml:space="preserve"> - </w:t>
      </w:r>
      <w:r w:rsidR="00D30017" w:rsidRPr="00214CBC">
        <w:rPr>
          <w:bCs/>
        </w:rPr>
        <w:t>Committee on Finance and Budget</w:t>
      </w:r>
    </w:p>
    <w:p w14:paraId="6DDC58FD" w14:textId="77777777" w:rsidR="00D04017" w:rsidRPr="00214CBC" w:rsidRDefault="00D04017" w:rsidP="00F52F7A">
      <w:pPr>
        <w:spacing w:after="0" w:line="240" w:lineRule="auto"/>
        <w:rPr>
          <w:bCs/>
        </w:rPr>
      </w:pPr>
    </w:p>
    <w:p w14:paraId="394EC7F7" w14:textId="77777777" w:rsidR="0020657E" w:rsidRPr="00214CBC" w:rsidRDefault="000E7BA3" w:rsidP="00F52F7A">
      <w:pPr>
        <w:spacing w:after="0" w:line="240" w:lineRule="auto"/>
        <w:ind w:left="567" w:hanging="567"/>
        <w:rPr>
          <w:bCs/>
        </w:rPr>
      </w:pPr>
      <w:r>
        <w:rPr>
          <w:bCs/>
        </w:rPr>
        <w:t>14</w:t>
      </w:r>
      <w:r w:rsidR="00D30017" w:rsidRPr="00214CBC">
        <w:rPr>
          <w:bCs/>
        </w:rPr>
        <w:t>.</w:t>
      </w:r>
      <w:r w:rsidR="00D30017" w:rsidRPr="00214CBC">
        <w:rPr>
          <w:bCs/>
        </w:rPr>
        <w:tab/>
      </w:r>
      <w:r w:rsidR="0020657E" w:rsidRPr="00214CBC">
        <w:rPr>
          <w:bCs/>
        </w:rPr>
        <w:t xml:space="preserve">The </w:t>
      </w:r>
      <w:r w:rsidR="0020657E" w:rsidRPr="00214CBC">
        <w:rPr>
          <w:b/>
          <w:bCs/>
        </w:rPr>
        <w:t xml:space="preserve">Secretariat </w:t>
      </w:r>
      <w:r w:rsidR="0020657E" w:rsidRPr="00214CBC">
        <w:rPr>
          <w:bCs/>
        </w:rPr>
        <w:t>noted that</w:t>
      </w:r>
      <w:r w:rsidR="002A57EC">
        <w:rPr>
          <w:bCs/>
        </w:rPr>
        <w:t xml:space="preserve"> at past COPs</w:t>
      </w:r>
      <w:r w:rsidR="0020657E" w:rsidRPr="00214CBC">
        <w:rPr>
          <w:bCs/>
        </w:rPr>
        <w:t xml:space="preserve"> the Committee on Finance</w:t>
      </w:r>
      <w:r w:rsidR="0019498F" w:rsidRPr="00214CBC">
        <w:rPr>
          <w:bCs/>
        </w:rPr>
        <w:t xml:space="preserve"> </w:t>
      </w:r>
      <w:r w:rsidR="004427F7">
        <w:rPr>
          <w:bCs/>
        </w:rPr>
        <w:t xml:space="preserve">was </w:t>
      </w:r>
      <w:r w:rsidR="000B1589">
        <w:rPr>
          <w:bCs/>
        </w:rPr>
        <w:t xml:space="preserve">composed of </w:t>
      </w:r>
      <w:r w:rsidR="000B1589" w:rsidRPr="00214CBC">
        <w:rPr>
          <w:bCs/>
        </w:rPr>
        <w:t xml:space="preserve">the </w:t>
      </w:r>
      <w:r w:rsidR="000B1589">
        <w:rPr>
          <w:bCs/>
        </w:rPr>
        <w:t xml:space="preserve">members of the </w:t>
      </w:r>
      <w:r w:rsidR="000B1589" w:rsidRPr="00214CBC">
        <w:rPr>
          <w:bCs/>
        </w:rPr>
        <w:t>Subgroup on Finance, with addition</w:t>
      </w:r>
      <w:r w:rsidR="000B1589">
        <w:rPr>
          <w:bCs/>
        </w:rPr>
        <w:t>al</w:t>
      </w:r>
      <w:r w:rsidR="000B1589" w:rsidRPr="00214CBC">
        <w:rPr>
          <w:bCs/>
        </w:rPr>
        <w:t xml:space="preserve"> region</w:t>
      </w:r>
      <w:r w:rsidR="000B1589">
        <w:rPr>
          <w:bCs/>
        </w:rPr>
        <w:t>al representation</w:t>
      </w:r>
      <w:r w:rsidR="0020657E" w:rsidRPr="00214CBC">
        <w:rPr>
          <w:bCs/>
        </w:rPr>
        <w:t xml:space="preserve">. It </w:t>
      </w:r>
      <w:r w:rsidR="000B1589">
        <w:rPr>
          <w:bCs/>
        </w:rPr>
        <w:t xml:space="preserve">suggested </w:t>
      </w:r>
      <w:r w:rsidR="000B1589">
        <w:rPr>
          <w:bCs/>
        </w:rPr>
        <w:lastRenderedPageBreak/>
        <w:t>that</w:t>
      </w:r>
      <w:r w:rsidR="0020657E" w:rsidRPr="00214CBC">
        <w:rPr>
          <w:bCs/>
        </w:rPr>
        <w:t xml:space="preserve"> </w:t>
      </w:r>
      <w:r w:rsidR="000B1589">
        <w:rPr>
          <w:bCs/>
        </w:rPr>
        <w:t>each region</w:t>
      </w:r>
      <w:r w:rsidR="0020657E" w:rsidRPr="00214CBC">
        <w:rPr>
          <w:bCs/>
        </w:rPr>
        <w:t xml:space="preserve"> </w:t>
      </w:r>
      <w:r w:rsidR="000B1589">
        <w:rPr>
          <w:bCs/>
        </w:rPr>
        <w:t>should propose a representative for this purpose</w:t>
      </w:r>
      <w:r w:rsidR="00632CC8">
        <w:rPr>
          <w:bCs/>
        </w:rPr>
        <w:t xml:space="preserve">, for </w:t>
      </w:r>
      <w:r w:rsidR="0057190A" w:rsidRPr="00214CBC">
        <w:rPr>
          <w:bCs/>
        </w:rPr>
        <w:t xml:space="preserve">the </w:t>
      </w:r>
      <w:r w:rsidR="0020657E" w:rsidRPr="00214CBC">
        <w:rPr>
          <w:bCs/>
        </w:rPr>
        <w:t xml:space="preserve">Secretariat </w:t>
      </w:r>
      <w:r w:rsidR="00632CC8">
        <w:rPr>
          <w:bCs/>
        </w:rPr>
        <w:t xml:space="preserve">to forward </w:t>
      </w:r>
      <w:r w:rsidR="0020657E" w:rsidRPr="00214CBC">
        <w:rPr>
          <w:bCs/>
        </w:rPr>
        <w:t>to the Conference Bureau.</w:t>
      </w:r>
    </w:p>
    <w:p w14:paraId="1E5A117E" w14:textId="77777777" w:rsidR="0020657E" w:rsidRPr="00214CBC" w:rsidRDefault="0020657E" w:rsidP="00F52F7A">
      <w:pPr>
        <w:spacing w:after="0" w:line="240" w:lineRule="auto"/>
        <w:ind w:left="567" w:hanging="567"/>
        <w:rPr>
          <w:bCs/>
        </w:rPr>
      </w:pPr>
    </w:p>
    <w:p w14:paraId="005DE28C" w14:textId="77777777" w:rsidR="00632CC8" w:rsidRDefault="00E47662" w:rsidP="00F52F7A">
      <w:pPr>
        <w:spacing w:after="0" w:line="240" w:lineRule="auto"/>
        <w:ind w:left="567" w:hanging="567"/>
        <w:rPr>
          <w:bCs/>
        </w:rPr>
      </w:pPr>
      <w:r>
        <w:rPr>
          <w:bCs/>
        </w:rPr>
        <w:t>15</w:t>
      </w:r>
      <w:r w:rsidR="00D30017" w:rsidRPr="00214CBC">
        <w:rPr>
          <w:bCs/>
        </w:rPr>
        <w:t>.</w:t>
      </w:r>
      <w:r w:rsidR="00D30017" w:rsidRPr="00214CBC">
        <w:rPr>
          <w:bCs/>
        </w:rPr>
        <w:tab/>
      </w:r>
      <w:r w:rsidR="0020657E" w:rsidRPr="00214CBC">
        <w:rPr>
          <w:b/>
          <w:bCs/>
        </w:rPr>
        <w:t>Switzerland</w:t>
      </w:r>
      <w:r w:rsidR="0020657E" w:rsidRPr="00214CBC">
        <w:rPr>
          <w:bCs/>
        </w:rPr>
        <w:t xml:space="preserve">, supported by </w:t>
      </w:r>
      <w:r w:rsidR="006853AA" w:rsidRPr="00214CBC">
        <w:rPr>
          <w:b/>
          <w:bCs/>
        </w:rPr>
        <w:t>Australia</w:t>
      </w:r>
      <w:r w:rsidR="006853AA" w:rsidRPr="00214CBC">
        <w:rPr>
          <w:bCs/>
        </w:rPr>
        <w:t xml:space="preserve">, </w:t>
      </w:r>
      <w:r w:rsidR="006853AA" w:rsidRPr="00214CBC">
        <w:rPr>
          <w:b/>
          <w:bCs/>
        </w:rPr>
        <w:t>Japan</w:t>
      </w:r>
      <w:r w:rsidR="006853AA" w:rsidRPr="00214CBC">
        <w:rPr>
          <w:bCs/>
        </w:rPr>
        <w:t xml:space="preserve">, </w:t>
      </w:r>
      <w:r w:rsidR="006853AA" w:rsidRPr="00214CBC">
        <w:rPr>
          <w:b/>
          <w:bCs/>
        </w:rPr>
        <w:t xml:space="preserve">Mauritania </w:t>
      </w:r>
      <w:r w:rsidR="006853AA" w:rsidRPr="00214CBC">
        <w:rPr>
          <w:bCs/>
        </w:rPr>
        <w:t xml:space="preserve">and the </w:t>
      </w:r>
      <w:r w:rsidR="006853AA" w:rsidRPr="00214CBC">
        <w:rPr>
          <w:b/>
          <w:bCs/>
        </w:rPr>
        <w:t>United States</w:t>
      </w:r>
      <w:r w:rsidR="00D30017" w:rsidRPr="00214CBC">
        <w:rPr>
          <w:b/>
          <w:bCs/>
        </w:rPr>
        <w:t xml:space="preserve"> of America</w:t>
      </w:r>
      <w:r w:rsidR="006853AA" w:rsidRPr="00214CBC">
        <w:rPr>
          <w:bCs/>
        </w:rPr>
        <w:t xml:space="preserve">, requested that membership </w:t>
      </w:r>
      <w:r w:rsidR="00632CC8">
        <w:rPr>
          <w:bCs/>
        </w:rPr>
        <w:t xml:space="preserve">of the Committee </w:t>
      </w:r>
      <w:r w:rsidR="006853AA" w:rsidRPr="00214CBC">
        <w:rPr>
          <w:bCs/>
        </w:rPr>
        <w:t xml:space="preserve">be kept open </w:t>
      </w:r>
      <w:r w:rsidR="00632CC8">
        <w:rPr>
          <w:bCs/>
        </w:rPr>
        <w:t xml:space="preserve">to all Parties </w:t>
      </w:r>
      <w:r w:rsidR="006853AA" w:rsidRPr="00214CBC">
        <w:rPr>
          <w:bCs/>
        </w:rPr>
        <w:t xml:space="preserve">as </w:t>
      </w:r>
      <w:r w:rsidR="00632CC8">
        <w:rPr>
          <w:bCs/>
        </w:rPr>
        <w:t>at</w:t>
      </w:r>
      <w:r w:rsidR="006853AA" w:rsidRPr="00214CBC">
        <w:rPr>
          <w:bCs/>
        </w:rPr>
        <w:t xml:space="preserve"> previous </w:t>
      </w:r>
      <w:r w:rsidR="00632CC8">
        <w:rPr>
          <w:bCs/>
        </w:rPr>
        <w:t>COPs</w:t>
      </w:r>
      <w:r w:rsidR="006853AA" w:rsidRPr="00214CBC">
        <w:rPr>
          <w:bCs/>
        </w:rPr>
        <w:t>.</w:t>
      </w:r>
      <w:r w:rsidR="0019498F" w:rsidRPr="00214CBC">
        <w:rPr>
          <w:bCs/>
        </w:rPr>
        <w:t xml:space="preserve"> </w:t>
      </w:r>
    </w:p>
    <w:p w14:paraId="2CC8CB2F" w14:textId="77777777" w:rsidR="00632CC8" w:rsidRDefault="00632CC8" w:rsidP="00F52F7A">
      <w:pPr>
        <w:spacing w:after="0" w:line="240" w:lineRule="auto"/>
        <w:ind w:left="567" w:hanging="567"/>
        <w:rPr>
          <w:bCs/>
        </w:rPr>
      </w:pPr>
    </w:p>
    <w:p w14:paraId="2E279801" w14:textId="77777777" w:rsidR="006D75F2" w:rsidRPr="00214CBC" w:rsidRDefault="006D75F2" w:rsidP="00F52F7A">
      <w:pPr>
        <w:spacing w:after="0" w:line="240" w:lineRule="auto"/>
        <w:contextualSpacing/>
        <w:rPr>
          <w:b/>
        </w:rPr>
      </w:pPr>
      <w:r w:rsidRPr="00214CBC">
        <w:rPr>
          <w:b/>
        </w:rPr>
        <w:t>Decision SC55-0</w:t>
      </w:r>
      <w:r w:rsidR="000B678B">
        <w:rPr>
          <w:b/>
        </w:rPr>
        <w:t>6</w:t>
      </w:r>
      <w:r w:rsidRPr="00214CBC">
        <w:rPr>
          <w:b/>
        </w:rPr>
        <w:t xml:space="preserve">: The Standing Committee agreed to propose to the Conference Bureau </w:t>
      </w:r>
      <w:r w:rsidR="00632CC8">
        <w:rPr>
          <w:b/>
        </w:rPr>
        <w:t>that</w:t>
      </w:r>
      <w:r w:rsidRPr="00214CBC">
        <w:rPr>
          <w:b/>
        </w:rPr>
        <w:t xml:space="preserve"> membership of the Committee on Finance </w:t>
      </w:r>
      <w:r w:rsidR="00632CC8">
        <w:rPr>
          <w:b/>
        </w:rPr>
        <w:t xml:space="preserve">be open to all Parties, </w:t>
      </w:r>
      <w:r w:rsidRPr="00214CBC">
        <w:rPr>
          <w:b/>
        </w:rPr>
        <w:t xml:space="preserve">and </w:t>
      </w:r>
      <w:r w:rsidR="00632CC8">
        <w:rPr>
          <w:b/>
        </w:rPr>
        <w:t>encouraged all</w:t>
      </w:r>
      <w:r w:rsidRPr="00214CBC">
        <w:rPr>
          <w:b/>
        </w:rPr>
        <w:t xml:space="preserve"> region</w:t>
      </w:r>
      <w:r w:rsidR="00632CC8">
        <w:rPr>
          <w:b/>
        </w:rPr>
        <w:t>s</w:t>
      </w:r>
      <w:r w:rsidRPr="00214CBC">
        <w:rPr>
          <w:b/>
        </w:rPr>
        <w:t xml:space="preserve"> </w:t>
      </w:r>
      <w:r w:rsidR="00632CC8">
        <w:rPr>
          <w:b/>
        </w:rPr>
        <w:t>to ensure appropriate representation.</w:t>
      </w:r>
    </w:p>
    <w:p w14:paraId="3FFF1CA1" w14:textId="77777777" w:rsidR="00D77F3B" w:rsidRPr="00214CBC" w:rsidRDefault="00D77F3B" w:rsidP="00F52F7A">
      <w:pPr>
        <w:spacing w:after="0" w:line="240" w:lineRule="auto"/>
        <w:rPr>
          <w:bCs/>
        </w:rPr>
      </w:pPr>
    </w:p>
    <w:p w14:paraId="38FA2428" w14:textId="77777777" w:rsidR="00D30017" w:rsidRPr="00214CBC" w:rsidRDefault="00D30017" w:rsidP="00F52F7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214CBC">
        <w:rPr>
          <w:rFonts w:cs="Calibri"/>
          <w:bCs/>
        </w:rPr>
        <w:t xml:space="preserve">Agenda item 6.2: Establishment of COP13 committees </w:t>
      </w:r>
      <w:r w:rsidR="005E5A77" w:rsidRPr="00214CBC">
        <w:rPr>
          <w:rFonts w:cs="Calibri"/>
          <w:bCs/>
        </w:rPr>
        <w:t>–</w:t>
      </w:r>
      <w:r w:rsidRPr="00214CBC">
        <w:rPr>
          <w:rFonts w:cs="Calibri"/>
          <w:bCs/>
        </w:rPr>
        <w:t xml:space="preserve"> </w:t>
      </w:r>
      <w:r w:rsidR="005E5A77" w:rsidRPr="00214CBC">
        <w:rPr>
          <w:rFonts w:cs="Calibri"/>
          <w:bCs/>
        </w:rPr>
        <w:t xml:space="preserve">Credentials </w:t>
      </w:r>
      <w:r w:rsidRPr="00214CBC">
        <w:rPr>
          <w:bCs/>
        </w:rPr>
        <w:t xml:space="preserve">Committee </w:t>
      </w:r>
    </w:p>
    <w:p w14:paraId="6F49D9EF" w14:textId="77777777" w:rsidR="00D30017" w:rsidRPr="00214CBC" w:rsidRDefault="00D30017" w:rsidP="00F52F7A">
      <w:pPr>
        <w:spacing w:after="0" w:line="240" w:lineRule="auto"/>
        <w:rPr>
          <w:bCs/>
        </w:rPr>
      </w:pPr>
    </w:p>
    <w:p w14:paraId="7F3AA9FF" w14:textId="77777777" w:rsidR="00D77F3B" w:rsidRPr="00214CBC" w:rsidRDefault="00D30017" w:rsidP="00F52F7A">
      <w:pPr>
        <w:spacing w:after="0" w:line="240" w:lineRule="auto"/>
        <w:ind w:left="567" w:hanging="567"/>
        <w:rPr>
          <w:bCs/>
        </w:rPr>
      </w:pPr>
      <w:r w:rsidRPr="00214CBC">
        <w:rPr>
          <w:bCs/>
        </w:rPr>
        <w:t>1</w:t>
      </w:r>
      <w:r w:rsidR="00E47662">
        <w:rPr>
          <w:bCs/>
        </w:rPr>
        <w:t>6</w:t>
      </w:r>
      <w:r w:rsidRPr="00214CBC">
        <w:rPr>
          <w:bCs/>
        </w:rPr>
        <w:t>.</w:t>
      </w:r>
      <w:r w:rsidRPr="00214CBC">
        <w:rPr>
          <w:bCs/>
        </w:rPr>
        <w:tab/>
      </w:r>
      <w:r w:rsidR="00D77F3B" w:rsidRPr="00214CBC">
        <w:rPr>
          <w:bCs/>
        </w:rPr>
        <w:t xml:space="preserve">The </w:t>
      </w:r>
      <w:r w:rsidR="00D77F3B" w:rsidRPr="00214CBC">
        <w:rPr>
          <w:b/>
          <w:bCs/>
        </w:rPr>
        <w:t>Secretary General</w:t>
      </w:r>
      <w:r w:rsidR="00D77F3B" w:rsidRPr="00214CBC">
        <w:rPr>
          <w:bCs/>
        </w:rPr>
        <w:t xml:space="preserve"> </w:t>
      </w:r>
      <w:r w:rsidR="00E47662">
        <w:rPr>
          <w:bCs/>
        </w:rPr>
        <w:t>recalled that, under</w:t>
      </w:r>
      <w:r w:rsidR="00D77F3B" w:rsidRPr="00214CBC">
        <w:rPr>
          <w:bCs/>
        </w:rPr>
        <w:t xml:space="preserve"> </w:t>
      </w:r>
      <w:r w:rsidR="00E47662">
        <w:rPr>
          <w:bCs/>
        </w:rPr>
        <w:t>Rule</w:t>
      </w:r>
      <w:r w:rsidR="00D77F3B" w:rsidRPr="00214CBC">
        <w:rPr>
          <w:bCs/>
        </w:rPr>
        <w:t xml:space="preserve"> 19 of the Rules of Procedure, each region is required to </w:t>
      </w:r>
      <w:r w:rsidR="00E47662">
        <w:rPr>
          <w:bCs/>
        </w:rPr>
        <w:t xml:space="preserve">make a nomination for election to the </w:t>
      </w:r>
      <w:r w:rsidR="00E47662" w:rsidRPr="00214CBC">
        <w:rPr>
          <w:rFonts w:cs="Calibri"/>
          <w:bCs/>
        </w:rPr>
        <w:t xml:space="preserve">Credentials </w:t>
      </w:r>
      <w:r w:rsidR="00E47662" w:rsidRPr="00214CBC">
        <w:rPr>
          <w:bCs/>
        </w:rPr>
        <w:t>Committee</w:t>
      </w:r>
      <w:r w:rsidR="005E5A77" w:rsidRPr="00214CBC">
        <w:rPr>
          <w:bCs/>
        </w:rPr>
        <w:t xml:space="preserve">, </w:t>
      </w:r>
      <w:r w:rsidR="00E47662">
        <w:rPr>
          <w:bCs/>
        </w:rPr>
        <w:t>for consideration by the</w:t>
      </w:r>
      <w:r w:rsidR="0057190A" w:rsidRPr="00214CBC">
        <w:rPr>
          <w:bCs/>
        </w:rPr>
        <w:t xml:space="preserve"> Conference </w:t>
      </w:r>
      <w:r w:rsidR="00D77F3B" w:rsidRPr="00214CBC">
        <w:rPr>
          <w:bCs/>
        </w:rPr>
        <w:t xml:space="preserve">Bureau. </w:t>
      </w:r>
    </w:p>
    <w:p w14:paraId="0898855D" w14:textId="77777777" w:rsidR="00D77F3B" w:rsidRPr="00214CBC" w:rsidRDefault="00D77F3B" w:rsidP="00F52F7A">
      <w:pPr>
        <w:spacing w:after="0" w:line="240" w:lineRule="auto"/>
        <w:rPr>
          <w:rFonts w:asciiTheme="majorHAnsi" w:hAnsiTheme="majorHAnsi"/>
          <w:bCs/>
        </w:rPr>
      </w:pPr>
    </w:p>
    <w:p w14:paraId="5E40FFA6" w14:textId="77777777" w:rsidR="00C671A7" w:rsidRPr="000B678B" w:rsidRDefault="00C671A7" w:rsidP="00F52F7A">
      <w:pPr>
        <w:spacing w:after="0" w:line="240" w:lineRule="auto"/>
        <w:rPr>
          <w:rFonts w:asciiTheme="majorHAnsi" w:hAnsiTheme="majorHAnsi"/>
          <w:b/>
          <w:bCs/>
          <w:spacing w:val="-4"/>
        </w:rPr>
      </w:pPr>
      <w:r w:rsidRPr="000B678B">
        <w:rPr>
          <w:rFonts w:asciiTheme="majorHAnsi" w:hAnsiTheme="majorHAnsi"/>
          <w:b/>
          <w:bCs/>
          <w:spacing w:val="-4"/>
        </w:rPr>
        <w:t>Decision SC55-0</w:t>
      </w:r>
      <w:r w:rsidR="000B678B">
        <w:rPr>
          <w:rFonts w:asciiTheme="majorHAnsi" w:hAnsiTheme="majorHAnsi"/>
          <w:b/>
          <w:bCs/>
          <w:spacing w:val="-4"/>
        </w:rPr>
        <w:t>7</w:t>
      </w:r>
      <w:r w:rsidRPr="000B678B">
        <w:rPr>
          <w:rFonts w:asciiTheme="majorHAnsi" w:hAnsiTheme="majorHAnsi"/>
          <w:b/>
          <w:bCs/>
          <w:spacing w:val="-4"/>
        </w:rPr>
        <w:t xml:space="preserve">: The Standing Committee agreed that </w:t>
      </w:r>
      <w:r w:rsidR="00DE1C43" w:rsidRPr="000B678B">
        <w:rPr>
          <w:rFonts w:asciiTheme="majorHAnsi" w:hAnsiTheme="majorHAnsi"/>
          <w:b/>
          <w:bCs/>
          <w:spacing w:val="-4"/>
        </w:rPr>
        <w:t xml:space="preserve">the regional groups would </w:t>
      </w:r>
      <w:r w:rsidR="00AB5BF5" w:rsidRPr="000B678B">
        <w:rPr>
          <w:rFonts w:asciiTheme="majorHAnsi" w:hAnsiTheme="majorHAnsi"/>
          <w:b/>
          <w:bCs/>
          <w:spacing w:val="-4"/>
        </w:rPr>
        <w:t>share</w:t>
      </w:r>
      <w:r w:rsidR="00DE1C43" w:rsidRPr="000B678B">
        <w:rPr>
          <w:rFonts w:asciiTheme="majorHAnsi" w:hAnsiTheme="majorHAnsi"/>
          <w:b/>
          <w:bCs/>
          <w:spacing w:val="-4"/>
        </w:rPr>
        <w:t xml:space="preserve"> their nominations </w:t>
      </w:r>
      <w:r w:rsidR="005E5A77" w:rsidRPr="000B678B">
        <w:rPr>
          <w:rFonts w:asciiTheme="majorHAnsi" w:hAnsiTheme="majorHAnsi"/>
          <w:b/>
          <w:bCs/>
          <w:spacing w:val="-4"/>
        </w:rPr>
        <w:t>for the Credentials Committee</w:t>
      </w:r>
      <w:r w:rsidR="00AB5BF5" w:rsidRPr="000B678B">
        <w:rPr>
          <w:rFonts w:asciiTheme="majorHAnsi" w:hAnsiTheme="majorHAnsi"/>
          <w:b/>
          <w:bCs/>
          <w:spacing w:val="-4"/>
        </w:rPr>
        <w:t>, for the Secretariat to forward</w:t>
      </w:r>
      <w:r w:rsidR="005E5A77" w:rsidRPr="000B678B">
        <w:rPr>
          <w:rFonts w:asciiTheme="majorHAnsi" w:hAnsiTheme="majorHAnsi"/>
          <w:b/>
          <w:bCs/>
          <w:spacing w:val="-4"/>
        </w:rPr>
        <w:t xml:space="preserve"> </w:t>
      </w:r>
      <w:r w:rsidR="00DE1C43" w:rsidRPr="000B678B">
        <w:rPr>
          <w:rFonts w:asciiTheme="majorHAnsi" w:hAnsiTheme="majorHAnsi"/>
          <w:b/>
          <w:bCs/>
          <w:spacing w:val="-4"/>
        </w:rPr>
        <w:t>to the Conference Bureau.</w:t>
      </w:r>
    </w:p>
    <w:p w14:paraId="7E9C6C5A" w14:textId="77777777" w:rsidR="00DD109A" w:rsidRPr="00214CBC" w:rsidRDefault="00DD109A" w:rsidP="00F52F7A">
      <w:pPr>
        <w:spacing w:after="0" w:line="240" w:lineRule="auto"/>
        <w:rPr>
          <w:rFonts w:asciiTheme="majorHAnsi" w:hAnsiTheme="majorHAnsi"/>
          <w:b/>
          <w:bCs/>
        </w:rPr>
      </w:pPr>
    </w:p>
    <w:p w14:paraId="51F5ABDC"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Agenda item 7: Review of the financial implications of COP13 draft resolutions</w:t>
      </w:r>
    </w:p>
    <w:p w14:paraId="58CEF7CE" w14:textId="77777777" w:rsidR="00DD109A" w:rsidRPr="00214CBC" w:rsidRDefault="00DD109A" w:rsidP="00F52F7A">
      <w:pPr>
        <w:spacing w:after="0" w:line="240" w:lineRule="auto"/>
        <w:rPr>
          <w:rFonts w:asciiTheme="majorHAnsi" w:hAnsiTheme="majorHAnsi"/>
          <w:bCs/>
        </w:rPr>
      </w:pPr>
    </w:p>
    <w:p w14:paraId="17056E5C" w14:textId="77777777" w:rsidR="00DD109A" w:rsidRPr="00214CBC" w:rsidRDefault="00DD109A" w:rsidP="00F52F7A">
      <w:pPr>
        <w:spacing w:after="0" w:line="240" w:lineRule="auto"/>
        <w:ind w:left="567" w:hanging="567"/>
        <w:rPr>
          <w:rFonts w:asciiTheme="majorHAnsi" w:hAnsiTheme="majorHAnsi"/>
          <w:bCs/>
        </w:rPr>
      </w:pPr>
      <w:r w:rsidRPr="00214CBC">
        <w:rPr>
          <w:rFonts w:asciiTheme="majorHAnsi" w:hAnsiTheme="majorHAnsi"/>
          <w:bCs/>
        </w:rPr>
        <w:t>1</w:t>
      </w:r>
      <w:r w:rsidR="00E47662">
        <w:rPr>
          <w:rFonts w:asciiTheme="majorHAnsi" w:hAnsiTheme="majorHAnsi"/>
          <w:bCs/>
        </w:rPr>
        <w:t>7</w:t>
      </w:r>
      <w:r w:rsidRPr="00214CBC">
        <w:rPr>
          <w:rFonts w:asciiTheme="majorHAnsi" w:hAnsiTheme="majorHAnsi"/>
          <w:bCs/>
        </w:rPr>
        <w:t>.</w:t>
      </w:r>
      <w:r w:rsidRPr="00214CBC">
        <w:rPr>
          <w:rFonts w:asciiTheme="majorHAnsi" w:hAnsiTheme="majorHAnsi"/>
          <w:bCs/>
        </w:rPr>
        <w:tab/>
        <w:t xml:space="preserve">The </w:t>
      </w:r>
      <w:r w:rsidRPr="00214CBC">
        <w:rPr>
          <w:rFonts w:asciiTheme="majorHAnsi" w:hAnsiTheme="majorHAnsi"/>
          <w:b/>
          <w:bCs/>
        </w:rPr>
        <w:t>Secretariat</w:t>
      </w:r>
      <w:r w:rsidRPr="00214CBC">
        <w:rPr>
          <w:rFonts w:asciiTheme="majorHAnsi" w:hAnsiTheme="majorHAnsi"/>
          <w:bCs/>
        </w:rPr>
        <w:t xml:space="preserve"> briefly introduced</w:t>
      </w:r>
      <w:r w:rsidR="005A1CFB">
        <w:rPr>
          <w:rFonts w:asciiTheme="majorHAnsi" w:hAnsiTheme="majorHAnsi"/>
          <w:bCs/>
        </w:rPr>
        <w:t xml:space="preserve"> document</w:t>
      </w:r>
      <w:r w:rsidRPr="00214CBC">
        <w:rPr>
          <w:rFonts w:asciiTheme="majorHAnsi" w:hAnsiTheme="majorHAnsi"/>
          <w:bCs/>
        </w:rPr>
        <w:t xml:space="preserve"> </w:t>
      </w:r>
      <w:r w:rsidR="004B6F17">
        <w:rPr>
          <w:rFonts w:asciiTheme="majorHAnsi" w:hAnsiTheme="majorHAnsi"/>
          <w:bCs/>
        </w:rPr>
        <w:t>COP13 Doc.</w:t>
      </w:r>
      <w:r w:rsidRPr="00214CBC">
        <w:rPr>
          <w:rFonts w:asciiTheme="majorHAnsi" w:hAnsiTheme="majorHAnsi"/>
          <w:bCs/>
        </w:rPr>
        <w:t>17.</w:t>
      </w:r>
    </w:p>
    <w:p w14:paraId="46676EB4" w14:textId="77777777" w:rsidR="00DD109A" w:rsidRPr="00214CBC" w:rsidRDefault="00DD109A" w:rsidP="00F52F7A">
      <w:pPr>
        <w:spacing w:after="0" w:line="240" w:lineRule="auto"/>
        <w:ind w:left="567" w:hanging="567"/>
        <w:rPr>
          <w:rFonts w:asciiTheme="majorHAnsi" w:hAnsiTheme="majorHAnsi"/>
          <w:bCs/>
        </w:rPr>
      </w:pPr>
    </w:p>
    <w:p w14:paraId="090EBA79" w14:textId="77777777" w:rsidR="00DD109A" w:rsidRPr="00214CBC" w:rsidRDefault="00DD109A" w:rsidP="00F52F7A">
      <w:pPr>
        <w:spacing w:after="0" w:line="240" w:lineRule="auto"/>
        <w:ind w:left="567" w:hanging="567"/>
        <w:rPr>
          <w:rFonts w:asciiTheme="majorHAnsi" w:hAnsiTheme="majorHAnsi"/>
          <w:bCs/>
        </w:rPr>
      </w:pPr>
      <w:r w:rsidRPr="00214CBC">
        <w:rPr>
          <w:rFonts w:asciiTheme="majorHAnsi" w:hAnsiTheme="majorHAnsi"/>
          <w:bCs/>
        </w:rPr>
        <w:t>1</w:t>
      </w:r>
      <w:r w:rsidR="00E47662">
        <w:rPr>
          <w:rFonts w:asciiTheme="majorHAnsi" w:hAnsiTheme="majorHAnsi"/>
          <w:bCs/>
        </w:rPr>
        <w:t>8</w:t>
      </w:r>
      <w:r w:rsidRPr="00214CBC">
        <w:rPr>
          <w:rFonts w:asciiTheme="majorHAnsi" w:hAnsiTheme="majorHAnsi"/>
          <w:bCs/>
        </w:rPr>
        <w:t>.</w:t>
      </w:r>
      <w:r w:rsidRPr="00214CBC">
        <w:rPr>
          <w:rFonts w:asciiTheme="majorHAnsi" w:hAnsiTheme="majorHAnsi"/>
          <w:bCs/>
        </w:rPr>
        <w:tab/>
      </w:r>
      <w:r w:rsidRPr="00214CBC">
        <w:rPr>
          <w:rFonts w:asciiTheme="majorHAnsi" w:hAnsiTheme="majorHAnsi"/>
          <w:b/>
          <w:bCs/>
        </w:rPr>
        <w:t>Switzerland</w:t>
      </w:r>
      <w:r w:rsidRPr="00214CBC">
        <w:rPr>
          <w:rFonts w:asciiTheme="majorHAnsi" w:hAnsiTheme="majorHAnsi"/>
          <w:bCs/>
        </w:rPr>
        <w:t xml:space="preserve"> noted that </w:t>
      </w:r>
      <w:r w:rsidR="005A1CFB">
        <w:rPr>
          <w:rFonts w:asciiTheme="majorHAnsi" w:hAnsiTheme="majorHAnsi"/>
          <w:bCs/>
        </w:rPr>
        <w:t>a revised version of d</w:t>
      </w:r>
      <w:r w:rsidRPr="00214CBC">
        <w:rPr>
          <w:rFonts w:asciiTheme="majorHAnsi" w:hAnsiTheme="majorHAnsi"/>
          <w:bCs/>
        </w:rPr>
        <w:t xml:space="preserve">raft </w:t>
      </w:r>
      <w:r w:rsidR="005A1CFB">
        <w:rPr>
          <w:rFonts w:asciiTheme="majorHAnsi" w:hAnsiTheme="majorHAnsi"/>
          <w:bCs/>
        </w:rPr>
        <w:t>r</w:t>
      </w:r>
      <w:r w:rsidRPr="00214CBC">
        <w:rPr>
          <w:rFonts w:asciiTheme="majorHAnsi" w:hAnsiTheme="majorHAnsi"/>
          <w:bCs/>
        </w:rPr>
        <w:t xml:space="preserve">esolution 18.2, </w:t>
      </w:r>
      <w:r w:rsidR="005A1CFB">
        <w:rPr>
          <w:rFonts w:asciiTheme="majorHAnsi" w:hAnsiTheme="majorHAnsi"/>
          <w:bCs/>
        </w:rPr>
        <w:t>which it had transmitted to Contracting Parties</w:t>
      </w:r>
      <w:r w:rsidRPr="00214CBC">
        <w:rPr>
          <w:rFonts w:asciiTheme="majorHAnsi" w:hAnsiTheme="majorHAnsi"/>
          <w:bCs/>
        </w:rPr>
        <w:t xml:space="preserve">, was now cost neutral. The </w:t>
      </w:r>
      <w:r w:rsidRPr="00214CBC">
        <w:rPr>
          <w:rFonts w:asciiTheme="majorHAnsi" w:hAnsiTheme="majorHAnsi"/>
          <w:b/>
          <w:bCs/>
        </w:rPr>
        <w:t>United States of America</w:t>
      </w:r>
      <w:r w:rsidRPr="00214CBC">
        <w:rPr>
          <w:rFonts w:asciiTheme="majorHAnsi" w:hAnsiTheme="majorHAnsi"/>
          <w:bCs/>
        </w:rPr>
        <w:t xml:space="preserve"> welcomed the document but suggested that a more neutral form of words, such as “Resources required”, might be appropriate for the header of the last column in Table 1.</w:t>
      </w:r>
    </w:p>
    <w:p w14:paraId="15146796" w14:textId="77777777" w:rsidR="00DD109A" w:rsidRPr="00214CBC" w:rsidRDefault="00DD109A" w:rsidP="00F52F7A">
      <w:pPr>
        <w:spacing w:after="0" w:line="240" w:lineRule="auto"/>
        <w:ind w:left="567" w:hanging="567"/>
        <w:rPr>
          <w:rFonts w:asciiTheme="majorHAnsi" w:hAnsiTheme="majorHAnsi"/>
          <w:bCs/>
        </w:rPr>
      </w:pPr>
    </w:p>
    <w:p w14:paraId="4AD69EBD" w14:textId="77777777" w:rsidR="00DD109A" w:rsidRPr="00214CBC" w:rsidRDefault="00DD109A" w:rsidP="00F52F7A">
      <w:pPr>
        <w:spacing w:after="0" w:line="240" w:lineRule="auto"/>
        <w:ind w:left="567" w:hanging="567"/>
        <w:rPr>
          <w:rFonts w:asciiTheme="majorHAnsi" w:hAnsiTheme="majorHAnsi"/>
          <w:bCs/>
        </w:rPr>
      </w:pPr>
      <w:r w:rsidRPr="00214CBC">
        <w:rPr>
          <w:rFonts w:asciiTheme="majorHAnsi" w:hAnsiTheme="majorHAnsi"/>
          <w:bCs/>
        </w:rPr>
        <w:t>1</w:t>
      </w:r>
      <w:r w:rsidR="00E47662">
        <w:rPr>
          <w:rFonts w:asciiTheme="majorHAnsi" w:hAnsiTheme="majorHAnsi"/>
          <w:bCs/>
        </w:rPr>
        <w:t>9</w:t>
      </w:r>
      <w:r w:rsidRPr="00214CBC">
        <w:rPr>
          <w:rFonts w:asciiTheme="majorHAnsi" w:hAnsiTheme="majorHAnsi"/>
          <w:bCs/>
        </w:rPr>
        <w:t>.</w:t>
      </w:r>
      <w:r w:rsidRPr="00214CBC">
        <w:rPr>
          <w:rFonts w:asciiTheme="majorHAnsi" w:hAnsiTheme="majorHAnsi"/>
          <w:bCs/>
        </w:rPr>
        <w:tab/>
        <w:t xml:space="preserve">The </w:t>
      </w:r>
      <w:r w:rsidRPr="00214CBC">
        <w:rPr>
          <w:rFonts w:asciiTheme="majorHAnsi" w:hAnsiTheme="majorHAnsi"/>
          <w:b/>
          <w:bCs/>
        </w:rPr>
        <w:t>Secretary General</w:t>
      </w:r>
      <w:r w:rsidRPr="00214CBC">
        <w:rPr>
          <w:rFonts w:asciiTheme="majorHAnsi" w:hAnsiTheme="majorHAnsi"/>
          <w:bCs/>
        </w:rPr>
        <w:t xml:space="preserve"> clarified that the time estimates given in Table 1 were </w:t>
      </w:r>
      <w:r w:rsidRPr="004B6F17">
        <w:rPr>
          <w:rFonts w:asciiTheme="majorHAnsi" w:hAnsiTheme="majorHAnsi"/>
          <w:bCs/>
        </w:rPr>
        <w:t>additional</w:t>
      </w:r>
      <w:r w:rsidRPr="00214CBC">
        <w:rPr>
          <w:rFonts w:asciiTheme="majorHAnsi" w:hAnsiTheme="majorHAnsi"/>
          <w:bCs/>
        </w:rPr>
        <w:t xml:space="preserve"> to the time already allocated by the Secretariat.</w:t>
      </w:r>
    </w:p>
    <w:p w14:paraId="269489CF" w14:textId="77777777" w:rsidR="00DD109A" w:rsidRPr="00214CBC" w:rsidRDefault="00DD109A" w:rsidP="00F52F7A">
      <w:pPr>
        <w:spacing w:after="0" w:line="240" w:lineRule="auto"/>
        <w:rPr>
          <w:rFonts w:asciiTheme="majorHAnsi" w:hAnsiTheme="majorHAnsi"/>
          <w:bCs/>
        </w:rPr>
      </w:pPr>
    </w:p>
    <w:p w14:paraId="2B77992D" w14:textId="77777777" w:rsidR="00DD109A" w:rsidRPr="00214CBC" w:rsidRDefault="00DD109A" w:rsidP="00F52F7A">
      <w:pPr>
        <w:spacing w:after="0" w:line="240" w:lineRule="auto"/>
        <w:contextualSpacing/>
        <w:rPr>
          <w:b/>
        </w:rPr>
      </w:pPr>
      <w:r w:rsidRPr="00214CBC">
        <w:rPr>
          <w:b/>
        </w:rPr>
        <w:t>Decision SC55-0</w:t>
      </w:r>
      <w:r w:rsidR="000B678B">
        <w:rPr>
          <w:b/>
        </w:rPr>
        <w:t>8</w:t>
      </w:r>
      <w:r w:rsidRPr="00214CBC">
        <w:rPr>
          <w:b/>
        </w:rPr>
        <w:t>: The Standing Committee took note of document COP13 Doc.</w:t>
      </w:r>
      <w:r w:rsidR="004B6F17">
        <w:rPr>
          <w:b/>
        </w:rPr>
        <w:t>17</w:t>
      </w:r>
      <w:r w:rsidRPr="00214CBC">
        <w:rPr>
          <w:b/>
        </w:rPr>
        <w:t>.</w:t>
      </w:r>
    </w:p>
    <w:p w14:paraId="263C180F" w14:textId="77777777" w:rsidR="00DD109A" w:rsidRPr="00214CBC" w:rsidRDefault="00DD109A" w:rsidP="00F52F7A">
      <w:pPr>
        <w:spacing w:after="0" w:line="240" w:lineRule="auto"/>
        <w:rPr>
          <w:rFonts w:asciiTheme="majorHAnsi" w:hAnsiTheme="majorHAnsi"/>
          <w:bCs/>
        </w:rPr>
      </w:pPr>
    </w:p>
    <w:p w14:paraId="6A73C094"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Agenda item 8.1: Financial and budgetary matters - Budget update for 2018</w:t>
      </w:r>
    </w:p>
    <w:p w14:paraId="75AFD264" w14:textId="77777777" w:rsidR="00DD109A" w:rsidRPr="00214CBC" w:rsidRDefault="00DD109A" w:rsidP="00F52F7A">
      <w:pPr>
        <w:spacing w:after="0" w:line="240" w:lineRule="auto"/>
        <w:ind w:left="425" w:hanging="425"/>
        <w:rPr>
          <w:rFonts w:asciiTheme="majorHAnsi" w:hAnsiTheme="majorHAnsi"/>
          <w:bCs/>
        </w:rPr>
      </w:pPr>
    </w:p>
    <w:p w14:paraId="7527445B" w14:textId="77777777" w:rsidR="00DD109A" w:rsidRPr="00214CBC" w:rsidRDefault="004B6F17" w:rsidP="00F52F7A">
      <w:pPr>
        <w:spacing w:after="0" w:line="240" w:lineRule="auto"/>
        <w:ind w:left="567" w:hanging="567"/>
        <w:rPr>
          <w:rFonts w:asciiTheme="majorHAnsi" w:hAnsiTheme="majorHAnsi"/>
          <w:bCs/>
        </w:rPr>
      </w:pPr>
      <w:r>
        <w:rPr>
          <w:rFonts w:asciiTheme="majorHAnsi" w:hAnsiTheme="majorHAnsi"/>
          <w:bCs/>
        </w:rPr>
        <w:t>20</w:t>
      </w:r>
      <w:r w:rsidR="00DD109A" w:rsidRPr="00214CBC">
        <w:rPr>
          <w:rFonts w:asciiTheme="majorHAnsi" w:hAnsiTheme="majorHAnsi"/>
          <w:bCs/>
        </w:rPr>
        <w:t>.</w:t>
      </w:r>
      <w:r w:rsidR="00DD109A" w:rsidRPr="00214CBC">
        <w:rPr>
          <w:rFonts w:asciiTheme="majorHAnsi" w:hAnsiTheme="majorHAnsi"/>
          <w:bCs/>
        </w:rPr>
        <w:tab/>
        <w:t xml:space="preserve">The </w:t>
      </w:r>
      <w:r w:rsidR="00DD109A" w:rsidRPr="00214CBC">
        <w:rPr>
          <w:rFonts w:asciiTheme="majorHAnsi" w:hAnsiTheme="majorHAnsi"/>
          <w:b/>
          <w:bCs/>
        </w:rPr>
        <w:t>Secretariat</w:t>
      </w:r>
      <w:r w:rsidR="00DD109A" w:rsidRPr="00214CBC">
        <w:rPr>
          <w:rFonts w:asciiTheme="majorHAnsi" w:hAnsiTheme="majorHAnsi"/>
          <w:bCs/>
        </w:rPr>
        <w:t xml:space="preserve"> briefly introduced document SC55 </w:t>
      </w:r>
      <w:r>
        <w:rPr>
          <w:rFonts w:asciiTheme="majorHAnsi" w:hAnsiTheme="majorHAnsi"/>
          <w:bCs/>
        </w:rPr>
        <w:t>Doc.</w:t>
      </w:r>
      <w:r w:rsidR="00DD109A" w:rsidRPr="00214CBC">
        <w:rPr>
          <w:rFonts w:asciiTheme="majorHAnsi" w:hAnsiTheme="majorHAnsi"/>
          <w:bCs/>
        </w:rPr>
        <w:t xml:space="preserve">8.1. The </w:t>
      </w:r>
      <w:r>
        <w:rPr>
          <w:rFonts w:asciiTheme="majorHAnsi" w:hAnsiTheme="majorHAnsi"/>
          <w:bCs/>
        </w:rPr>
        <w:t>Committee</w:t>
      </w:r>
      <w:r w:rsidR="00DD109A" w:rsidRPr="00214CBC">
        <w:rPr>
          <w:rFonts w:asciiTheme="majorHAnsi" w:hAnsiTheme="majorHAnsi"/>
          <w:bCs/>
        </w:rPr>
        <w:t xml:space="preserve"> was asked to review and approve the proposed reallocation of 2018 core budget, and to approve the use of the remaining non-core balances.</w:t>
      </w:r>
    </w:p>
    <w:p w14:paraId="7E7644FA" w14:textId="77777777" w:rsidR="00DD109A" w:rsidRPr="00214CBC" w:rsidRDefault="00DD109A" w:rsidP="00F52F7A">
      <w:pPr>
        <w:pStyle w:val="ColorfulList-Accent11"/>
        <w:ind w:left="0" w:firstLine="0"/>
        <w:rPr>
          <w:rFonts w:cs="Calibri"/>
        </w:rPr>
      </w:pPr>
    </w:p>
    <w:p w14:paraId="1A4116A5" w14:textId="77777777" w:rsidR="00DD109A" w:rsidRPr="00214CBC" w:rsidRDefault="008A58CF" w:rsidP="00F52F7A">
      <w:pPr>
        <w:spacing w:after="0" w:line="240" w:lineRule="auto"/>
        <w:ind w:left="567" w:hanging="567"/>
        <w:rPr>
          <w:rFonts w:asciiTheme="majorHAnsi" w:hAnsiTheme="majorHAnsi"/>
          <w:bCs/>
        </w:rPr>
      </w:pPr>
      <w:r>
        <w:rPr>
          <w:rFonts w:asciiTheme="majorHAnsi" w:hAnsiTheme="majorHAnsi"/>
          <w:bCs/>
        </w:rPr>
        <w:t>21</w:t>
      </w:r>
      <w:r w:rsidR="00DD109A" w:rsidRPr="00214CBC">
        <w:rPr>
          <w:rFonts w:asciiTheme="majorHAnsi" w:hAnsiTheme="majorHAnsi"/>
          <w:bCs/>
        </w:rPr>
        <w:t>.</w:t>
      </w:r>
      <w:r w:rsidR="00DD109A" w:rsidRPr="00214CBC">
        <w:rPr>
          <w:rFonts w:asciiTheme="majorHAnsi" w:hAnsiTheme="majorHAnsi"/>
          <w:bCs/>
        </w:rPr>
        <w:tab/>
        <w:t xml:space="preserve">The </w:t>
      </w:r>
      <w:r w:rsidR="00DD109A" w:rsidRPr="00214CBC">
        <w:rPr>
          <w:rFonts w:asciiTheme="majorHAnsi" w:hAnsiTheme="majorHAnsi"/>
          <w:b/>
          <w:bCs/>
        </w:rPr>
        <w:t>United States of America</w:t>
      </w:r>
      <w:r w:rsidR="00DD109A" w:rsidRPr="00214CBC">
        <w:rPr>
          <w:rFonts w:asciiTheme="majorHAnsi" w:hAnsiTheme="majorHAnsi"/>
          <w:bCs/>
        </w:rPr>
        <w:t xml:space="preserve"> welcomed the document.</w:t>
      </w:r>
    </w:p>
    <w:p w14:paraId="4E0E7A1A" w14:textId="77777777" w:rsidR="00DD109A" w:rsidRPr="00214CBC" w:rsidRDefault="00DD109A" w:rsidP="00F52F7A">
      <w:pPr>
        <w:spacing w:after="0" w:line="240" w:lineRule="auto"/>
        <w:ind w:left="425" w:hanging="425"/>
        <w:rPr>
          <w:rFonts w:asciiTheme="majorHAnsi" w:hAnsiTheme="majorHAnsi"/>
          <w:bCs/>
        </w:rPr>
      </w:pPr>
    </w:p>
    <w:p w14:paraId="1C6F2033" w14:textId="77777777" w:rsidR="00DD109A" w:rsidRPr="00214CBC" w:rsidRDefault="00DD109A" w:rsidP="00F52F7A">
      <w:pPr>
        <w:spacing w:after="0" w:line="240" w:lineRule="auto"/>
        <w:contextualSpacing/>
        <w:rPr>
          <w:b/>
        </w:rPr>
      </w:pPr>
      <w:r w:rsidRPr="00214CBC">
        <w:rPr>
          <w:b/>
        </w:rPr>
        <w:t>Decision SC55-0</w:t>
      </w:r>
      <w:r w:rsidR="000B678B">
        <w:rPr>
          <w:b/>
        </w:rPr>
        <w:t>9</w:t>
      </w:r>
      <w:r w:rsidRPr="00214CBC">
        <w:rPr>
          <w:b/>
        </w:rPr>
        <w:t>: The Standing Committee approved the reallocation of the 2018 core budget and the use of remaining non-core balances as proposed in document SC55 Doc 8.1.</w:t>
      </w:r>
    </w:p>
    <w:p w14:paraId="6E32F574" w14:textId="77777777" w:rsidR="00F52F7A" w:rsidRPr="00214CBC" w:rsidRDefault="00F52F7A" w:rsidP="00F52F7A">
      <w:pPr>
        <w:spacing w:after="0" w:line="240" w:lineRule="auto"/>
        <w:contextualSpacing/>
        <w:rPr>
          <w:b/>
        </w:rPr>
      </w:pPr>
    </w:p>
    <w:p w14:paraId="33FF546F" w14:textId="77777777" w:rsidR="00F52F7A" w:rsidRPr="00214CBC" w:rsidRDefault="00F52F7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 xml:space="preserve">Agenda item 8.2: Financial and budgetary matters - </w:t>
      </w:r>
      <w:r w:rsidRPr="00214CBC">
        <w:rPr>
          <w:bCs/>
        </w:rPr>
        <w:t>IUCN review of non-core finances</w:t>
      </w:r>
    </w:p>
    <w:p w14:paraId="6556F260" w14:textId="77777777" w:rsidR="00DD109A" w:rsidRPr="00214CBC" w:rsidRDefault="00DD109A" w:rsidP="00F52F7A">
      <w:pPr>
        <w:spacing w:after="0" w:line="240" w:lineRule="auto"/>
        <w:rPr>
          <w:rFonts w:asciiTheme="majorHAnsi" w:hAnsiTheme="majorHAnsi"/>
          <w:bCs/>
        </w:rPr>
      </w:pPr>
    </w:p>
    <w:p w14:paraId="539D34BA" w14:textId="77777777" w:rsidR="00DD109A" w:rsidRPr="00214CBC" w:rsidRDefault="008A58CF" w:rsidP="00F52F7A">
      <w:pPr>
        <w:spacing w:after="0" w:line="240" w:lineRule="auto"/>
        <w:ind w:left="567" w:hanging="567"/>
        <w:rPr>
          <w:rFonts w:asciiTheme="majorHAnsi" w:hAnsiTheme="majorHAnsi"/>
          <w:bCs/>
        </w:rPr>
      </w:pPr>
      <w:r>
        <w:rPr>
          <w:rFonts w:asciiTheme="majorHAnsi" w:hAnsiTheme="majorHAnsi"/>
          <w:bCs/>
        </w:rPr>
        <w:t>22</w:t>
      </w:r>
      <w:r w:rsidR="00F52F7A" w:rsidRPr="00214CBC">
        <w:rPr>
          <w:rFonts w:asciiTheme="majorHAnsi" w:hAnsiTheme="majorHAnsi"/>
          <w:bCs/>
        </w:rPr>
        <w:t>.</w:t>
      </w:r>
      <w:r w:rsidR="00F52F7A"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Secretariat</w:t>
      </w:r>
      <w:r w:rsidR="00DD109A" w:rsidRPr="00214CBC">
        <w:rPr>
          <w:rFonts w:asciiTheme="majorHAnsi" w:hAnsiTheme="majorHAnsi"/>
          <w:bCs/>
        </w:rPr>
        <w:t xml:space="preserve"> briefly introduced document SC55 </w:t>
      </w:r>
      <w:r w:rsidR="004B6F17">
        <w:rPr>
          <w:rFonts w:asciiTheme="majorHAnsi" w:hAnsiTheme="majorHAnsi"/>
          <w:bCs/>
        </w:rPr>
        <w:t>Doc.</w:t>
      </w:r>
      <w:r w:rsidR="00DD109A" w:rsidRPr="00214CBC">
        <w:rPr>
          <w:rFonts w:asciiTheme="majorHAnsi" w:hAnsiTheme="majorHAnsi"/>
          <w:bCs/>
        </w:rPr>
        <w:t>8.2, which had been prepared by IUCN’s Oversight Unit in line with the discussions and decisions of SC54, and which included the Secretariat’s management response. The S</w:t>
      </w:r>
      <w:r w:rsidR="00214CBC">
        <w:rPr>
          <w:rFonts w:asciiTheme="majorHAnsi" w:hAnsiTheme="majorHAnsi"/>
          <w:bCs/>
        </w:rPr>
        <w:t xml:space="preserve">tanding </w:t>
      </w:r>
      <w:r w:rsidR="00DD109A" w:rsidRPr="00214CBC">
        <w:rPr>
          <w:rFonts w:asciiTheme="majorHAnsi" w:hAnsiTheme="majorHAnsi"/>
          <w:bCs/>
        </w:rPr>
        <w:t>C</w:t>
      </w:r>
      <w:r w:rsidR="00214CBC">
        <w:rPr>
          <w:rFonts w:asciiTheme="majorHAnsi" w:hAnsiTheme="majorHAnsi"/>
          <w:bCs/>
        </w:rPr>
        <w:t>ommittee</w:t>
      </w:r>
      <w:r w:rsidR="00DD109A" w:rsidRPr="00214CBC">
        <w:rPr>
          <w:rFonts w:asciiTheme="majorHAnsi" w:hAnsiTheme="majorHAnsi"/>
          <w:bCs/>
        </w:rPr>
        <w:t xml:space="preserve"> was invited to consider the report as an input to COP13</w:t>
      </w:r>
      <w:r w:rsidR="008C22A0">
        <w:rPr>
          <w:rFonts w:asciiTheme="majorHAnsi" w:hAnsiTheme="majorHAnsi"/>
          <w:bCs/>
        </w:rPr>
        <w:t>;</w:t>
      </w:r>
      <w:r w:rsidR="00DD109A" w:rsidRPr="00214CBC">
        <w:rPr>
          <w:rFonts w:asciiTheme="majorHAnsi" w:hAnsiTheme="majorHAnsi"/>
          <w:bCs/>
        </w:rPr>
        <w:t xml:space="preserve"> </w:t>
      </w:r>
      <w:r w:rsidR="00214CBC">
        <w:rPr>
          <w:rFonts w:asciiTheme="majorHAnsi" w:hAnsiTheme="majorHAnsi"/>
          <w:bCs/>
        </w:rPr>
        <w:t>further</w:t>
      </w:r>
      <w:r w:rsidR="00DD109A" w:rsidRPr="00214CBC">
        <w:rPr>
          <w:rFonts w:asciiTheme="majorHAnsi" w:hAnsiTheme="majorHAnsi"/>
          <w:bCs/>
        </w:rPr>
        <w:t xml:space="preserve"> follow</w:t>
      </w:r>
      <w:r w:rsidR="00214CBC">
        <w:rPr>
          <w:rFonts w:asciiTheme="majorHAnsi" w:hAnsiTheme="majorHAnsi"/>
          <w:bCs/>
        </w:rPr>
        <w:t>-</w:t>
      </w:r>
      <w:r w:rsidR="00DD109A" w:rsidRPr="00214CBC">
        <w:rPr>
          <w:rFonts w:asciiTheme="majorHAnsi" w:hAnsiTheme="majorHAnsi"/>
          <w:bCs/>
        </w:rPr>
        <w:t xml:space="preserve">up </w:t>
      </w:r>
      <w:r w:rsidR="008C22A0">
        <w:rPr>
          <w:rFonts w:asciiTheme="majorHAnsi" w:hAnsiTheme="majorHAnsi"/>
          <w:bCs/>
        </w:rPr>
        <w:t>might</w:t>
      </w:r>
      <w:r w:rsidR="00DD109A" w:rsidRPr="00214CBC">
        <w:rPr>
          <w:rFonts w:asciiTheme="majorHAnsi" w:hAnsiTheme="majorHAnsi"/>
          <w:bCs/>
        </w:rPr>
        <w:t xml:space="preserve"> be </w:t>
      </w:r>
      <w:r w:rsidR="008C22A0">
        <w:rPr>
          <w:rFonts w:asciiTheme="majorHAnsi" w:hAnsiTheme="majorHAnsi"/>
          <w:bCs/>
        </w:rPr>
        <w:t>considered</w:t>
      </w:r>
      <w:r w:rsidR="00DD109A" w:rsidRPr="00214CBC">
        <w:rPr>
          <w:rFonts w:asciiTheme="majorHAnsi" w:hAnsiTheme="majorHAnsi"/>
          <w:bCs/>
        </w:rPr>
        <w:t xml:space="preserve"> </w:t>
      </w:r>
      <w:r w:rsidR="00833683">
        <w:rPr>
          <w:rFonts w:asciiTheme="majorHAnsi" w:hAnsiTheme="majorHAnsi"/>
          <w:bCs/>
        </w:rPr>
        <w:t xml:space="preserve">at </w:t>
      </w:r>
      <w:r w:rsidR="00DD109A" w:rsidRPr="00214CBC">
        <w:rPr>
          <w:rFonts w:asciiTheme="majorHAnsi" w:hAnsiTheme="majorHAnsi"/>
          <w:bCs/>
        </w:rPr>
        <w:t>SC57.</w:t>
      </w:r>
    </w:p>
    <w:p w14:paraId="50FC93F8" w14:textId="77777777" w:rsidR="00DD109A" w:rsidRPr="00214CBC" w:rsidRDefault="00DD109A" w:rsidP="00F52F7A">
      <w:pPr>
        <w:spacing w:after="0" w:line="240" w:lineRule="auto"/>
        <w:contextualSpacing/>
        <w:rPr>
          <w:bCs/>
        </w:rPr>
      </w:pPr>
    </w:p>
    <w:p w14:paraId="04C5671E" w14:textId="15DA736A" w:rsidR="00DD109A" w:rsidRPr="000B678B" w:rsidRDefault="008A58CF" w:rsidP="007B4C8F">
      <w:pPr>
        <w:spacing w:after="0" w:line="240" w:lineRule="auto"/>
        <w:ind w:left="567" w:hanging="567"/>
        <w:contextualSpacing/>
        <w:rPr>
          <w:rFonts w:asciiTheme="majorHAnsi" w:hAnsiTheme="majorHAnsi"/>
          <w:b/>
          <w:bCs/>
          <w:spacing w:val="-4"/>
        </w:rPr>
      </w:pPr>
      <w:r w:rsidRPr="00BE074A">
        <w:rPr>
          <w:rFonts w:asciiTheme="majorHAnsi" w:hAnsiTheme="majorHAnsi"/>
          <w:bCs/>
          <w:spacing w:val="-4"/>
        </w:rPr>
        <w:t>23</w:t>
      </w:r>
      <w:r w:rsidR="00F52F7A" w:rsidRPr="00BE074A">
        <w:rPr>
          <w:rFonts w:asciiTheme="majorHAnsi" w:hAnsiTheme="majorHAnsi"/>
          <w:bCs/>
          <w:spacing w:val="-4"/>
        </w:rPr>
        <w:t>.</w:t>
      </w:r>
      <w:r w:rsidR="00F52F7A" w:rsidRPr="000B678B">
        <w:rPr>
          <w:rFonts w:asciiTheme="majorHAnsi" w:hAnsiTheme="majorHAnsi"/>
          <w:b/>
          <w:bCs/>
          <w:spacing w:val="-4"/>
        </w:rPr>
        <w:tab/>
      </w:r>
      <w:r w:rsidR="00DD109A" w:rsidRPr="00F57AE8">
        <w:rPr>
          <w:rFonts w:asciiTheme="majorHAnsi" w:hAnsiTheme="majorHAnsi"/>
          <w:bCs/>
          <w:spacing w:val="-4"/>
        </w:rPr>
        <w:t>The document was welcomed by</w:t>
      </w:r>
      <w:r w:rsidR="00DD109A" w:rsidRPr="000B678B">
        <w:rPr>
          <w:rFonts w:asciiTheme="majorHAnsi" w:hAnsiTheme="majorHAnsi"/>
          <w:b/>
          <w:bCs/>
          <w:spacing w:val="-4"/>
        </w:rPr>
        <w:t xml:space="preserve"> Australia, Japan, Switzerland and</w:t>
      </w:r>
      <w:r w:rsidR="00F52F7A" w:rsidRPr="000B678B">
        <w:rPr>
          <w:rFonts w:asciiTheme="majorHAnsi" w:hAnsiTheme="majorHAnsi"/>
          <w:b/>
          <w:bCs/>
          <w:spacing w:val="-4"/>
        </w:rPr>
        <w:t xml:space="preserve"> the</w:t>
      </w:r>
      <w:r w:rsidR="00DD109A" w:rsidRPr="000B678B">
        <w:rPr>
          <w:rFonts w:asciiTheme="majorHAnsi" w:hAnsiTheme="majorHAnsi"/>
          <w:b/>
          <w:bCs/>
          <w:spacing w:val="-4"/>
        </w:rPr>
        <w:t xml:space="preserve"> United States of America.</w:t>
      </w:r>
      <w:r w:rsidR="007B4C8F">
        <w:rPr>
          <w:rFonts w:asciiTheme="majorHAnsi" w:hAnsiTheme="majorHAnsi"/>
          <w:b/>
          <w:bCs/>
          <w:spacing w:val="-4"/>
        </w:rPr>
        <w:t xml:space="preserve"> </w:t>
      </w:r>
      <w:r w:rsidR="007B4C8F">
        <w:rPr>
          <w:rFonts w:asciiTheme="majorHAnsi" w:hAnsiTheme="majorHAnsi"/>
          <w:bCs/>
          <w:spacing w:val="-4"/>
        </w:rPr>
        <w:t>The Secretariat was commended for its efforts to ensure greater transparency; something that would reassure both Parties and donors.</w:t>
      </w:r>
    </w:p>
    <w:p w14:paraId="24118B18" w14:textId="77777777" w:rsidR="00DD109A" w:rsidRPr="00214CBC" w:rsidRDefault="00DD109A" w:rsidP="00F52F7A">
      <w:pPr>
        <w:spacing w:after="0" w:line="240" w:lineRule="auto"/>
        <w:contextualSpacing/>
        <w:rPr>
          <w:bCs/>
        </w:rPr>
      </w:pPr>
    </w:p>
    <w:p w14:paraId="5011DD1A" w14:textId="77777777" w:rsidR="00DD109A" w:rsidRPr="00214CBC" w:rsidRDefault="008A58CF" w:rsidP="00F52F7A">
      <w:pPr>
        <w:spacing w:after="0" w:line="240" w:lineRule="auto"/>
        <w:ind w:left="567" w:hanging="567"/>
        <w:rPr>
          <w:rFonts w:asciiTheme="majorHAnsi" w:hAnsiTheme="majorHAnsi"/>
          <w:bCs/>
        </w:rPr>
      </w:pPr>
      <w:r>
        <w:rPr>
          <w:rFonts w:asciiTheme="majorHAnsi" w:hAnsiTheme="majorHAnsi"/>
          <w:bCs/>
        </w:rPr>
        <w:t>24</w:t>
      </w:r>
      <w:r w:rsidR="00F52F7A" w:rsidRPr="00214CBC">
        <w:rPr>
          <w:rFonts w:asciiTheme="majorHAnsi" w:hAnsiTheme="majorHAnsi"/>
          <w:bCs/>
        </w:rPr>
        <w:t>.</w:t>
      </w:r>
      <w:r w:rsidR="00F52F7A" w:rsidRPr="00214CBC">
        <w:rPr>
          <w:rFonts w:asciiTheme="majorHAnsi" w:hAnsiTheme="majorHAnsi"/>
          <w:bCs/>
        </w:rPr>
        <w:tab/>
      </w:r>
      <w:r w:rsidR="00DD109A" w:rsidRPr="00214CBC">
        <w:rPr>
          <w:rFonts w:asciiTheme="majorHAnsi" w:hAnsiTheme="majorHAnsi"/>
          <w:b/>
          <w:bCs/>
        </w:rPr>
        <w:t>Japan</w:t>
      </w:r>
      <w:r w:rsidR="00DD109A" w:rsidRPr="00214CBC">
        <w:rPr>
          <w:rFonts w:asciiTheme="majorHAnsi" w:hAnsiTheme="majorHAnsi"/>
          <w:bCs/>
        </w:rPr>
        <w:t xml:space="preserve"> suggested that the Secretariat should </w:t>
      </w:r>
      <w:r w:rsidR="008C22A0">
        <w:rPr>
          <w:rFonts w:asciiTheme="majorHAnsi" w:hAnsiTheme="majorHAnsi"/>
          <w:bCs/>
        </w:rPr>
        <w:t>pay</w:t>
      </w:r>
      <w:r w:rsidR="00DD109A" w:rsidRPr="00214CBC">
        <w:rPr>
          <w:rFonts w:asciiTheme="majorHAnsi" w:hAnsiTheme="majorHAnsi"/>
          <w:bCs/>
        </w:rPr>
        <w:t xml:space="preserve"> particular attention to pursuing recommendation 9 of the report.</w:t>
      </w:r>
    </w:p>
    <w:p w14:paraId="585C0FED" w14:textId="77777777" w:rsidR="00DD109A" w:rsidRPr="00214CBC" w:rsidRDefault="00DD109A" w:rsidP="00F52F7A">
      <w:pPr>
        <w:spacing w:after="0" w:line="240" w:lineRule="auto"/>
        <w:contextualSpacing/>
        <w:rPr>
          <w:bCs/>
        </w:rPr>
      </w:pPr>
    </w:p>
    <w:p w14:paraId="5EDBDD00" w14:textId="77777777" w:rsidR="00DD109A" w:rsidRPr="00214CBC" w:rsidRDefault="00DD109A" w:rsidP="00F52F7A">
      <w:pPr>
        <w:spacing w:after="0" w:line="240" w:lineRule="auto"/>
        <w:contextualSpacing/>
        <w:rPr>
          <w:b/>
        </w:rPr>
      </w:pPr>
      <w:r w:rsidRPr="00214CBC">
        <w:rPr>
          <w:b/>
        </w:rPr>
        <w:t xml:space="preserve">Decision </w:t>
      </w:r>
      <w:r w:rsidR="00F52F7A" w:rsidRPr="00214CBC">
        <w:rPr>
          <w:b/>
        </w:rPr>
        <w:t>SC55-</w:t>
      </w:r>
      <w:r w:rsidR="000B678B">
        <w:rPr>
          <w:b/>
        </w:rPr>
        <w:t>10</w:t>
      </w:r>
      <w:r w:rsidRPr="00214CBC">
        <w:rPr>
          <w:b/>
        </w:rPr>
        <w:t>: The Standing Committee welco</w:t>
      </w:r>
      <w:r w:rsidR="00F52F7A" w:rsidRPr="00214CBC">
        <w:rPr>
          <w:b/>
        </w:rPr>
        <w:t>med and took note of document S</w:t>
      </w:r>
      <w:r w:rsidRPr="00214CBC">
        <w:rPr>
          <w:b/>
        </w:rPr>
        <w:t>C55 Doc 8.2.</w:t>
      </w:r>
    </w:p>
    <w:p w14:paraId="33BA240A" w14:textId="77777777" w:rsidR="00DD109A" w:rsidRPr="00214CBC" w:rsidRDefault="00DD109A" w:rsidP="00F52F7A">
      <w:pPr>
        <w:spacing w:after="0" w:line="240" w:lineRule="auto"/>
        <w:rPr>
          <w:rFonts w:asciiTheme="majorHAnsi" w:hAnsiTheme="majorHAnsi"/>
          <w:bCs/>
        </w:rPr>
      </w:pPr>
    </w:p>
    <w:p w14:paraId="070561B6"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 xml:space="preserve">Agenda item 9: </w:t>
      </w:r>
      <w:r w:rsidRPr="00214CBC">
        <w:rPr>
          <w:bCs/>
        </w:rPr>
        <w:t>Review of the legal status of Ramsar Regional Initiatives and the implications for the Convention</w:t>
      </w:r>
    </w:p>
    <w:p w14:paraId="748240EE" w14:textId="77777777" w:rsidR="00DD109A" w:rsidRPr="00214CBC" w:rsidRDefault="00DD109A" w:rsidP="00F52F7A">
      <w:pPr>
        <w:spacing w:after="0" w:line="240" w:lineRule="auto"/>
        <w:ind w:left="425" w:hanging="425"/>
        <w:rPr>
          <w:rFonts w:asciiTheme="majorHAnsi" w:hAnsiTheme="majorHAnsi"/>
          <w:bCs/>
        </w:rPr>
      </w:pPr>
    </w:p>
    <w:p w14:paraId="4401E50B" w14:textId="77777777" w:rsidR="00DD109A" w:rsidRPr="00214CBC" w:rsidRDefault="008A58CF" w:rsidP="00F52F7A">
      <w:pPr>
        <w:spacing w:after="0" w:line="240" w:lineRule="auto"/>
        <w:ind w:left="567" w:hanging="567"/>
        <w:rPr>
          <w:rFonts w:asciiTheme="majorHAnsi" w:hAnsiTheme="majorHAnsi"/>
          <w:bCs/>
        </w:rPr>
      </w:pPr>
      <w:r>
        <w:rPr>
          <w:rFonts w:asciiTheme="majorHAnsi" w:hAnsiTheme="majorHAnsi"/>
          <w:bCs/>
        </w:rPr>
        <w:t>25</w:t>
      </w:r>
      <w:r w:rsidR="00F52F7A" w:rsidRPr="00214CBC">
        <w:rPr>
          <w:rFonts w:asciiTheme="majorHAnsi" w:hAnsiTheme="majorHAnsi"/>
          <w:bCs/>
        </w:rPr>
        <w:t>.</w:t>
      </w:r>
      <w:r w:rsidR="00F52F7A"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Secretariat</w:t>
      </w:r>
      <w:r w:rsidR="00DD109A" w:rsidRPr="00214CBC">
        <w:rPr>
          <w:rFonts w:asciiTheme="majorHAnsi" w:hAnsiTheme="majorHAnsi"/>
          <w:bCs/>
        </w:rPr>
        <w:t xml:space="preserve"> recalled that document </w:t>
      </w:r>
      <w:r w:rsidR="00F52F7A" w:rsidRPr="00214CBC">
        <w:rPr>
          <w:rFonts w:asciiTheme="majorHAnsi" w:hAnsiTheme="majorHAnsi"/>
          <w:bCs/>
        </w:rPr>
        <w:t>SC55 Doc.</w:t>
      </w:r>
      <w:r w:rsidR="00DD109A" w:rsidRPr="00214CBC">
        <w:rPr>
          <w:rFonts w:asciiTheme="majorHAnsi" w:hAnsiTheme="majorHAnsi"/>
          <w:bCs/>
        </w:rPr>
        <w:t>9 had been prepared in response to Decision SC54-30.</w:t>
      </w:r>
    </w:p>
    <w:p w14:paraId="17BCB722" w14:textId="77777777" w:rsidR="00DD109A" w:rsidRPr="00214CBC" w:rsidRDefault="00DD109A" w:rsidP="00F52F7A">
      <w:pPr>
        <w:spacing w:after="0" w:line="240" w:lineRule="auto"/>
        <w:ind w:left="567" w:hanging="567"/>
        <w:rPr>
          <w:rFonts w:asciiTheme="majorHAnsi" w:hAnsiTheme="majorHAnsi"/>
          <w:bCs/>
        </w:rPr>
      </w:pPr>
    </w:p>
    <w:p w14:paraId="3DCA488D" w14:textId="77777777" w:rsidR="00DD109A" w:rsidRPr="00214CBC" w:rsidRDefault="008A58CF" w:rsidP="00F52F7A">
      <w:pPr>
        <w:spacing w:after="0" w:line="240" w:lineRule="auto"/>
        <w:ind w:left="567" w:hanging="567"/>
        <w:rPr>
          <w:rFonts w:asciiTheme="majorHAnsi" w:hAnsiTheme="majorHAnsi"/>
          <w:bCs/>
        </w:rPr>
      </w:pPr>
      <w:r>
        <w:rPr>
          <w:rFonts w:asciiTheme="majorHAnsi" w:hAnsiTheme="majorHAnsi"/>
          <w:bCs/>
        </w:rPr>
        <w:t>26</w:t>
      </w:r>
      <w:r w:rsidR="00F52F7A" w:rsidRPr="00214CBC">
        <w:rPr>
          <w:rFonts w:asciiTheme="majorHAnsi" w:hAnsiTheme="majorHAnsi"/>
          <w:bCs/>
        </w:rPr>
        <w:t>.</w:t>
      </w:r>
      <w:r w:rsidR="00F52F7A"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Legal Adviser</w:t>
      </w:r>
      <w:r w:rsidR="00DD109A" w:rsidRPr="00214CBC">
        <w:rPr>
          <w:rFonts w:asciiTheme="majorHAnsi" w:hAnsiTheme="majorHAnsi"/>
          <w:bCs/>
        </w:rPr>
        <w:t xml:space="preserve"> presented the</w:t>
      </w:r>
      <w:r w:rsidR="00F52F7A" w:rsidRPr="00214CBC">
        <w:rPr>
          <w:rFonts w:asciiTheme="majorHAnsi" w:hAnsiTheme="majorHAnsi"/>
          <w:bCs/>
        </w:rPr>
        <w:t xml:space="preserve"> Executive Summary of </w:t>
      </w:r>
      <w:r w:rsidR="000B50EA">
        <w:rPr>
          <w:rFonts w:asciiTheme="majorHAnsi" w:hAnsiTheme="majorHAnsi"/>
          <w:bCs/>
        </w:rPr>
        <w:t xml:space="preserve">document </w:t>
      </w:r>
      <w:r w:rsidR="00F52F7A" w:rsidRPr="00214CBC">
        <w:rPr>
          <w:rFonts w:asciiTheme="majorHAnsi" w:hAnsiTheme="majorHAnsi"/>
          <w:bCs/>
        </w:rPr>
        <w:t>SC55 Doc.</w:t>
      </w:r>
      <w:r w:rsidR="00DD109A" w:rsidRPr="00214CBC">
        <w:rPr>
          <w:rFonts w:asciiTheme="majorHAnsi" w:hAnsiTheme="majorHAnsi"/>
          <w:bCs/>
        </w:rPr>
        <w:t>9.</w:t>
      </w:r>
    </w:p>
    <w:p w14:paraId="144E21B7" w14:textId="77777777" w:rsidR="00DD109A" w:rsidRPr="00214CBC" w:rsidRDefault="00DD109A" w:rsidP="00F52F7A">
      <w:pPr>
        <w:spacing w:after="0" w:line="240" w:lineRule="auto"/>
        <w:rPr>
          <w:rFonts w:asciiTheme="majorHAnsi" w:hAnsiTheme="majorHAnsi"/>
          <w:bCs/>
        </w:rPr>
      </w:pPr>
    </w:p>
    <w:p w14:paraId="147030D1" w14:textId="77777777"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t>27</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France</w:t>
      </w:r>
      <w:r w:rsidR="00DD109A" w:rsidRPr="00214CBC">
        <w:rPr>
          <w:rFonts w:asciiTheme="majorHAnsi" w:hAnsiTheme="majorHAnsi"/>
          <w:bCs/>
        </w:rPr>
        <w:t xml:space="preserve"> clarified that it was not the overall </w:t>
      </w:r>
      <w:r w:rsidR="008C22A0" w:rsidRPr="008C22A0">
        <w:rPr>
          <w:rFonts w:asciiTheme="majorHAnsi" w:hAnsiTheme="majorHAnsi"/>
          <w:bCs/>
        </w:rPr>
        <w:t xml:space="preserve">Mediterranean Wetlands Initiative </w:t>
      </w:r>
      <w:r w:rsidR="00DD109A" w:rsidRPr="00214CBC">
        <w:rPr>
          <w:rFonts w:asciiTheme="majorHAnsi" w:hAnsiTheme="majorHAnsi"/>
          <w:bCs/>
        </w:rPr>
        <w:t xml:space="preserve">that had </w:t>
      </w:r>
      <w:r w:rsidR="004B6F17">
        <w:rPr>
          <w:rFonts w:asciiTheme="majorHAnsi" w:hAnsiTheme="majorHAnsi"/>
          <w:bCs/>
        </w:rPr>
        <w:t xml:space="preserve">national </w:t>
      </w:r>
      <w:r w:rsidR="00DD109A" w:rsidRPr="00214CBC">
        <w:rPr>
          <w:rFonts w:asciiTheme="majorHAnsi" w:hAnsiTheme="majorHAnsi"/>
          <w:bCs/>
        </w:rPr>
        <w:t>legal status, but rather the Initiative’s secretariat.</w:t>
      </w:r>
    </w:p>
    <w:p w14:paraId="2F0D7268" w14:textId="77777777" w:rsidR="00DD109A" w:rsidRPr="00214CBC" w:rsidRDefault="00DD109A" w:rsidP="005665AE">
      <w:pPr>
        <w:spacing w:after="0" w:line="240" w:lineRule="auto"/>
        <w:ind w:left="567" w:hanging="567"/>
        <w:rPr>
          <w:rFonts w:asciiTheme="majorHAnsi" w:hAnsiTheme="majorHAnsi"/>
          <w:bCs/>
        </w:rPr>
      </w:pPr>
    </w:p>
    <w:p w14:paraId="31EAC744" w14:textId="77777777" w:rsidR="00DD109A" w:rsidRPr="00214CBC" w:rsidRDefault="005665AE" w:rsidP="005665AE">
      <w:pPr>
        <w:spacing w:after="0" w:line="240" w:lineRule="auto"/>
        <w:ind w:left="567" w:hanging="567"/>
        <w:rPr>
          <w:rFonts w:asciiTheme="majorHAnsi" w:hAnsiTheme="majorHAnsi"/>
          <w:bCs/>
        </w:rPr>
      </w:pPr>
      <w:r w:rsidRPr="00214CBC">
        <w:rPr>
          <w:rFonts w:asciiTheme="majorHAnsi" w:hAnsiTheme="majorHAnsi"/>
          <w:bCs/>
        </w:rPr>
        <w:t>2</w:t>
      </w:r>
      <w:r w:rsidR="008A58CF">
        <w:rPr>
          <w:rFonts w:asciiTheme="majorHAnsi" w:hAnsiTheme="majorHAnsi"/>
          <w:bCs/>
        </w:rPr>
        <w:t>8</w:t>
      </w:r>
      <w:r w:rsidRPr="00214CBC">
        <w:rPr>
          <w:rFonts w:asciiTheme="majorHAnsi" w:hAnsiTheme="majorHAnsi"/>
          <w:bCs/>
        </w:rPr>
        <w:t>.</w:t>
      </w:r>
      <w:r w:rsidRPr="00214CBC">
        <w:rPr>
          <w:rFonts w:asciiTheme="majorHAnsi" w:hAnsiTheme="majorHAnsi"/>
          <w:bCs/>
        </w:rPr>
        <w:tab/>
      </w:r>
      <w:r w:rsidR="00DD109A" w:rsidRPr="00214CBC">
        <w:rPr>
          <w:rFonts w:asciiTheme="majorHAnsi" w:hAnsiTheme="majorHAnsi"/>
          <w:b/>
          <w:bCs/>
        </w:rPr>
        <w:t>Australia</w:t>
      </w:r>
      <w:r w:rsidR="00DD109A" w:rsidRPr="00214CBC">
        <w:rPr>
          <w:rFonts w:asciiTheme="majorHAnsi" w:hAnsiTheme="majorHAnsi"/>
          <w:bCs/>
        </w:rPr>
        <w:t xml:space="preserve">, </w:t>
      </w:r>
      <w:r w:rsidR="00DD109A" w:rsidRPr="00214CBC">
        <w:rPr>
          <w:rFonts w:asciiTheme="majorHAnsi" w:hAnsiTheme="majorHAnsi"/>
          <w:b/>
          <w:bCs/>
        </w:rPr>
        <w:t>Honduras</w:t>
      </w:r>
      <w:r w:rsidR="00DD109A" w:rsidRPr="00214CBC">
        <w:rPr>
          <w:rFonts w:asciiTheme="majorHAnsi" w:hAnsiTheme="majorHAnsi"/>
          <w:bCs/>
        </w:rPr>
        <w:t xml:space="preserve"> and </w:t>
      </w:r>
      <w:r w:rsidR="00DD109A" w:rsidRPr="00214CBC">
        <w:rPr>
          <w:rFonts w:asciiTheme="majorHAnsi" w:hAnsiTheme="majorHAnsi"/>
          <w:b/>
          <w:bCs/>
        </w:rPr>
        <w:t>Uruguay</w:t>
      </w:r>
      <w:r w:rsidR="00DD109A" w:rsidRPr="00214CBC">
        <w:rPr>
          <w:rFonts w:asciiTheme="majorHAnsi" w:hAnsiTheme="majorHAnsi"/>
          <w:bCs/>
        </w:rPr>
        <w:t xml:space="preserve"> broadly welcomed the review, noting that it raised a number of important issues requiring further consideration.</w:t>
      </w:r>
    </w:p>
    <w:p w14:paraId="16EB3A1F" w14:textId="77777777" w:rsidR="00DD109A" w:rsidRPr="00214CBC" w:rsidRDefault="00DD109A" w:rsidP="005665AE">
      <w:pPr>
        <w:spacing w:after="0" w:line="240" w:lineRule="auto"/>
        <w:ind w:left="567" w:hanging="567"/>
        <w:rPr>
          <w:rFonts w:asciiTheme="majorHAnsi" w:hAnsiTheme="majorHAnsi"/>
          <w:bCs/>
        </w:rPr>
      </w:pPr>
    </w:p>
    <w:p w14:paraId="59217680" w14:textId="77777777" w:rsidR="00DD109A" w:rsidRPr="00214CBC" w:rsidRDefault="005665AE" w:rsidP="005665AE">
      <w:pPr>
        <w:spacing w:after="0" w:line="240" w:lineRule="auto"/>
        <w:ind w:left="567" w:hanging="567"/>
        <w:rPr>
          <w:rFonts w:asciiTheme="majorHAnsi" w:hAnsiTheme="majorHAnsi"/>
          <w:bCs/>
        </w:rPr>
      </w:pPr>
      <w:r w:rsidRPr="00214CBC">
        <w:rPr>
          <w:rFonts w:asciiTheme="majorHAnsi" w:hAnsiTheme="majorHAnsi"/>
          <w:bCs/>
        </w:rPr>
        <w:t>2</w:t>
      </w:r>
      <w:r w:rsidR="008A58CF">
        <w:rPr>
          <w:rFonts w:asciiTheme="majorHAnsi" w:hAnsiTheme="majorHAnsi"/>
          <w:bCs/>
        </w:rPr>
        <w:t>9</w:t>
      </w:r>
      <w:r w:rsidRPr="00214CBC">
        <w:rPr>
          <w:rFonts w:asciiTheme="majorHAnsi" w:hAnsiTheme="majorHAnsi"/>
          <w:bCs/>
        </w:rPr>
        <w:t>.</w:t>
      </w:r>
      <w:r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Secretary General</w:t>
      </w:r>
      <w:r w:rsidR="00DD109A" w:rsidRPr="00214CBC">
        <w:rPr>
          <w:rFonts w:asciiTheme="majorHAnsi" w:hAnsiTheme="majorHAnsi"/>
          <w:bCs/>
        </w:rPr>
        <w:t xml:space="preserve"> confirmed that the document was for information only; it was not being submitted for approval by the S</w:t>
      </w:r>
      <w:r w:rsidR="008C22A0">
        <w:rPr>
          <w:rFonts w:asciiTheme="majorHAnsi" w:hAnsiTheme="majorHAnsi"/>
          <w:bCs/>
        </w:rPr>
        <w:t xml:space="preserve">tanding </w:t>
      </w:r>
      <w:r w:rsidR="00DD109A" w:rsidRPr="00214CBC">
        <w:rPr>
          <w:rFonts w:asciiTheme="majorHAnsi" w:hAnsiTheme="majorHAnsi"/>
          <w:bCs/>
        </w:rPr>
        <w:t>C</w:t>
      </w:r>
      <w:r w:rsidR="008C22A0">
        <w:rPr>
          <w:rFonts w:asciiTheme="majorHAnsi" w:hAnsiTheme="majorHAnsi"/>
          <w:bCs/>
        </w:rPr>
        <w:t>ommittee</w:t>
      </w:r>
      <w:r w:rsidR="00DD109A" w:rsidRPr="00214CBC">
        <w:rPr>
          <w:rFonts w:asciiTheme="majorHAnsi" w:hAnsiTheme="majorHAnsi"/>
          <w:bCs/>
        </w:rPr>
        <w:t>.</w:t>
      </w:r>
    </w:p>
    <w:p w14:paraId="73CBF206" w14:textId="77777777" w:rsidR="00DD109A" w:rsidRPr="00214CBC" w:rsidRDefault="00DD109A" w:rsidP="00F52F7A">
      <w:pPr>
        <w:spacing w:after="0" w:line="240" w:lineRule="auto"/>
        <w:rPr>
          <w:rFonts w:asciiTheme="majorHAnsi" w:hAnsiTheme="majorHAnsi"/>
          <w:bCs/>
        </w:rPr>
      </w:pPr>
    </w:p>
    <w:p w14:paraId="7210D51A" w14:textId="77777777" w:rsidR="00DD109A" w:rsidRPr="00214CBC" w:rsidRDefault="00DD109A" w:rsidP="00F52F7A">
      <w:pPr>
        <w:spacing w:after="0" w:line="240" w:lineRule="auto"/>
        <w:contextualSpacing/>
        <w:rPr>
          <w:b/>
        </w:rPr>
      </w:pPr>
      <w:r w:rsidRPr="00214CBC">
        <w:rPr>
          <w:b/>
        </w:rPr>
        <w:t xml:space="preserve">Decision </w:t>
      </w:r>
      <w:r w:rsidR="005665AE" w:rsidRPr="00214CBC">
        <w:rPr>
          <w:b/>
        </w:rPr>
        <w:t>SC55-1</w:t>
      </w:r>
      <w:r w:rsidR="000B678B">
        <w:rPr>
          <w:b/>
        </w:rPr>
        <w:t>1</w:t>
      </w:r>
      <w:r w:rsidRPr="00214CBC">
        <w:rPr>
          <w:b/>
        </w:rPr>
        <w:t xml:space="preserve">: The Standing Committee </w:t>
      </w:r>
      <w:r w:rsidR="005665AE" w:rsidRPr="00214CBC">
        <w:rPr>
          <w:b/>
        </w:rPr>
        <w:t>took note of document SC55 Doc.</w:t>
      </w:r>
      <w:r w:rsidRPr="00214CBC">
        <w:rPr>
          <w:b/>
        </w:rPr>
        <w:t>9.</w:t>
      </w:r>
    </w:p>
    <w:p w14:paraId="0ACC2948" w14:textId="77777777" w:rsidR="00DD109A" w:rsidRPr="00214CBC" w:rsidRDefault="00DD109A" w:rsidP="00F52F7A">
      <w:pPr>
        <w:spacing w:after="0" w:line="240" w:lineRule="auto"/>
        <w:rPr>
          <w:rFonts w:asciiTheme="majorHAnsi" w:hAnsiTheme="majorHAnsi"/>
          <w:bCs/>
        </w:rPr>
      </w:pPr>
    </w:p>
    <w:p w14:paraId="555852BF"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 xml:space="preserve">Agenda item 10: </w:t>
      </w:r>
      <w:r w:rsidRPr="00214CBC">
        <w:rPr>
          <w:bCs/>
        </w:rPr>
        <w:t>Observer status in the United Nations General Assembly</w:t>
      </w:r>
    </w:p>
    <w:p w14:paraId="386B4DF1" w14:textId="77777777" w:rsidR="00DD109A" w:rsidRPr="00214CBC" w:rsidRDefault="00DD109A" w:rsidP="00F52F7A">
      <w:pPr>
        <w:spacing w:after="0" w:line="240" w:lineRule="auto"/>
        <w:ind w:left="425" w:hanging="425"/>
        <w:rPr>
          <w:rFonts w:asciiTheme="majorHAnsi" w:hAnsiTheme="majorHAnsi"/>
          <w:bCs/>
        </w:rPr>
      </w:pPr>
    </w:p>
    <w:p w14:paraId="0799E741" w14:textId="70EFB0C2" w:rsidR="00DD109A" w:rsidRPr="00E74747" w:rsidRDefault="008A58CF" w:rsidP="005665AE">
      <w:pPr>
        <w:spacing w:after="0" w:line="240" w:lineRule="auto"/>
        <w:ind w:left="567" w:hanging="567"/>
        <w:rPr>
          <w:rFonts w:asciiTheme="majorHAnsi" w:hAnsiTheme="majorHAnsi"/>
          <w:bCs/>
          <w:spacing w:val="-2"/>
        </w:rPr>
      </w:pPr>
      <w:r w:rsidRPr="00E74747">
        <w:rPr>
          <w:rFonts w:asciiTheme="majorHAnsi" w:hAnsiTheme="majorHAnsi"/>
          <w:bCs/>
          <w:spacing w:val="-2"/>
        </w:rPr>
        <w:t>30</w:t>
      </w:r>
      <w:r w:rsidR="005665AE" w:rsidRPr="00E74747">
        <w:rPr>
          <w:rFonts w:asciiTheme="majorHAnsi" w:hAnsiTheme="majorHAnsi"/>
          <w:bCs/>
          <w:spacing w:val="-2"/>
        </w:rPr>
        <w:t>.</w:t>
      </w:r>
      <w:r w:rsidR="005665AE" w:rsidRPr="00E74747">
        <w:rPr>
          <w:rFonts w:asciiTheme="majorHAnsi" w:hAnsiTheme="majorHAnsi"/>
          <w:bCs/>
          <w:spacing w:val="-2"/>
        </w:rPr>
        <w:tab/>
      </w:r>
      <w:r w:rsidR="00DD109A" w:rsidRPr="00E74747">
        <w:rPr>
          <w:rFonts w:asciiTheme="majorHAnsi" w:hAnsiTheme="majorHAnsi"/>
          <w:bCs/>
          <w:spacing w:val="-2"/>
        </w:rPr>
        <w:t xml:space="preserve">The </w:t>
      </w:r>
      <w:r w:rsidR="00DD109A" w:rsidRPr="00E74747">
        <w:rPr>
          <w:rFonts w:asciiTheme="majorHAnsi" w:hAnsiTheme="majorHAnsi"/>
          <w:b/>
          <w:bCs/>
          <w:spacing w:val="-2"/>
        </w:rPr>
        <w:t>Chair</w:t>
      </w:r>
      <w:r w:rsidR="00DD109A" w:rsidRPr="00E74747">
        <w:rPr>
          <w:rFonts w:asciiTheme="majorHAnsi" w:hAnsiTheme="majorHAnsi"/>
          <w:bCs/>
          <w:spacing w:val="-2"/>
        </w:rPr>
        <w:t xml:space="preserve"> </w:t>
      </w:r>
      <w:r w:rsidR="002107FC">
        <w:rPr>
          <w:rFonts w:asciiTheme="majorHAnsi" w:hAnsiTheme="majorHAnsi"/>
          <w:bCs/>
          <w:spacing w:val="-2"/>
        </w:rPr>
        <w:t xml:space="preserve">reported on the steps taken so far and </w:t>
      </w:r>
      <w:r w:rsidR="00DD109A" w:rsidRPr="00E74747">
        <w:rPr>
          <w:rFonts w:asciiTheme="majorHAnsi" w:hAnsiTheme="majorHAnsi"/>
          <w:bCs/>
          <w:spacing w:val="-2"/>
        </w:rPr>
        <w:t xml:space="preserve">noted thatthis matter had  been postponed for consideration </w:t>
      </w:r>
      <w:r w:rsidR="00D646FA">
        <w:rPr>
          <w:rFonts w:asciiTheme="majorHAnsi" w:hAnsiTheme="majorHAnsi"/>
          <w:bCs/>
          <w:spacing w:val="-2"/>
        </w:rPr>
        <w:t>at</w:t>
      </w:r>
      <w:r w:rsidR="00DD109A" w:rsidRPr="00E74747">
        <w:rPr>
          <w:rFonts w:asciiTheme="majorHAnsi" w:hAnsiTheme="majorHAnsi"/>
          <w:bCs/>
          <w:spacing w:val="-2"/>
        </w:rPr>
        <w:t xml:space="preserve"> the 74th Session of the United Nations General Assembly</w:t>
      </w:r>
      <w:r w:rsidR="008C22A0" w:rsidRPr="00E74747">
        <w:rPr>
          <w:rFonts w:asciiTheme="majorHAnsi" w:hAnsiTheme="majorHAnsi"/>
          <w:bCs/>
          <w:spacing w:val="-2"/>
        </w:rPr>
        <w:t xml:space="preserve"> (UNGA)</w:t>
      </w:r>
      <w:r w:rsidR="00A54E11">
        <w:rPr>
          <w:rFonts w:asciiTheme="majorHAnsi" w:hAnsiTheme="majorHAnsi"/>
          <w:bCs/>
          <w:spacing w:val="-2"/>
        </w:rPr>
        <w:t xml:space="preserve"> in 2019</w:t>
      </w:r>
      <w:r w:rsidR="002107FC">
        <w:rPr>
          <w:rFonts w:asciiTheme="majorHAnsi" w:hAnsiTheme="majorHAnsi"/>
          <w:bCs/>
          <w:spacing w:val="-2"/>
        </w:rPr>
        <w:t>, since there was still no consensus among Contracting Parties</w:t>
      </w:r>
      <w:r w:rsidR="00DD109A" w:rsidRPr="00E74747">
        <w:rPr>
          <w:rFonts w:asciiTheme="majorHAnsi" w:hAnsiTheme="majorHAnsi"/>
          <w:bCs/>
          <w:spacing w:val="-2"/>
        </w:rPr>
        <w:t>.</w:t>
      </w:r>
    </w:p>
    <w:p w14:paraId="36494DC7" w14:textId="77777777" w:rsidR="00DD109A" w:rsidRPr="00214CBC" w:rsidRDefault="00DD109A" w:rsidP="005665AE">
      <w:pPr>
        <w:spacing w:after="0" w:line="240" w:lineRule="auto"/>
        <w:ind w:left="567" w:hanging="567"/>
        <w:rPr>
          <w:rFonts w:asciiTheme="majorHAnsi" w:hAnsiTheme="majorHAnsi"/>
          <w:bCs/>
        </w:rPr>
      </w:pPr>
    </w:p>
    <w:p w14:paraId="3539A8BB" w14:textId="77777777"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t>31</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Secretary General</w:t>
      </w:r>
      <w:r w:rsidR="00DD109A" w:rsidRPr="00214CBC">
        <w:rPr>
          <w:rFonts w:asciiTheme="majorHAnsi" w:hAnsiTheme="majorHAnsi"/>
          <w:bCs/>
        </w:rPr>
        <w:t xml:space="preserve"> briefly reported on the Secretariat’s experience</w:t>
      </w:r>
      <w:r w:rsidR="001953B9">
        <w:rPr>
          <w:rFonts w:asciiTheme="majorHAnsi" w:hAnsiTheme="majorHAnsi"/>
          <w:bCs/>
        </w:rPr>
        <w:t>s</w:t>
      </w:r>
      <w:r w:rsidR="00DD109A" w:rsidRPr="00214CBC">
        <w:rPr>
          <w:rFonts w:asciiTheme="majorHAnsi" w:hAnsiTheme="majorHAnsi"/>
          <w:bCs/>
        </w:rPr>
        <w:t>, as part of the IUCN delegation at the July 2018 meeting of the High Level Political Forum</w:t>
      </w:r>
      <w:r w:rsidR="00D646FA">
        <w:rPr>
          <w:rFonts w:asciiTheme="majorHAnsi" w:hAnsiTheme="majorHAnsi"/>
          <w:bCs/>
        </w:rPr>
        <w:t>, which</w:t>
      </w:r>
      <w:r w:rsidR="00DD109A" w:rsidRPr="00214CBC">
        <w:rPr>
          <w:rFonts w:asciiTheme="majorHAnsi" w:hAnsiTheme="majorHAnsi"/>
          <w:bCs/>
        </w:rPr>
        <w:t xml:space="preserve"> discussed Sustainable Development Goals 6 and 15, and when attending the 2017 UN Ocean Conference, representing the Ramsar Convention in its own right. She recalled the various options that had been pursued to try to raise the visibility of the Convention within the UNGA.</w:t>
      </w:r>
    </w:p>
    <w:p w14:paraId="000AD4D2" w14:textId="77777777" w:rsidR="00DD109A" w:rsidRPr="00214CBC" w:rsidRDefault="00DD109A" w:rsidP="00F52F7A">
      <w:pPr>
        <w:spacing w:after="0" w:line="240" w:lineRule="auto"/>
        <w:rPr>
          <w:rFonts w:asciiTheme="majorHAnsi" w:hAnsiTheme="majorHAnsi"/>
          <w:bCs/>
        </w:rPr>
      </w:pPr>
    </w:p>
    <w:p w14:paraId="3A932952" w14:textId="77777777"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t>32</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Switzerland</w:t>
      </w:r>
      <w:r w:rsidR="00DD109A" w:rsidRPr="00214CBC">
        <w:rPr>
          <w:rFonts w:asciiTheme="majorHAnsi" w:hAnsiTheme="majorHAnsi"/>
          <w:bCs/>
        </w:rPr>
        <w:t xml:space="preserve"> and</w:t>
      </w:r>
      <w:r w:rsidR="00F135F9">
        <w:rPr>
          <w:rFonts w:asciiTheme="majorHAnsi" w:hAnsiTheme="majorHAnsi"/>
          <w:bCs/>
        </w:rPr>
        <w:t xml:space="preserve"> the</w:t>
      </w:r>
      <w:r w:rsidR="00DD109A" w:rsidRPr="00214CBC">
        <w:rPr>
          <w:rFonts w:asciiTheme="majorHAnsi" w:hAnsiTheme="majorHAnsi"/>
          <w:bCs/>
        </w:rPr>
        <w:t xml:space="preserve"> </w:t>
      </w:r>
      <w:r w:rsidR="00DD109A" w:rsidRPr="00214CBC">
        <w:rPr>
          <w:rFonts w:asciiTheme="majorHAnsi" w:hAnsiTheme="majorHAnsi"/>
          <w:b/>
          <w:bCs/>
        </w:rPr>
        <w:t>United States of America</w:t>
      </w:r>
      <w:r w:rsidR="00DD109A" w:rsidRPr="00214CBC">
        <w:rPr>
          <w:rFonts w:asciiTheme="majorHAnsi" w:hAnsiTheme="majorHAnsi"/>
          <w:bCs/>
        </w:rPr>
        <w:t xml:space="preserve"> favoured furthering engagement through the UN Economic and Social Council (ECOSOC).</w:t>
      </w:r>
    </w:p>
    <w:p w14:paraId="3AA50F00" w14:textId="77777777" w:rsidR="00DD109A" w:rsidRPr="00214CBC" w:rsidRDefault="00DD109A" w:rsidP="005665AE">
      <w:pPr>
        <w:spacing w:after="0" w:line="240" w:lineRule="auto"/>
        <w:ind w:left="567" w:hanging="567"/>
        <w:rPr>
          <w:rFonts w:asciiTheme="majorHAnsi" w:hAnsiTheme="majorHAnsi"/>
          <w:bCs/>
        </w:rPr>
      </w:pPr>
    </w:p>
    <w:p w14:paraId="693D3CCD" w14:textId="77777777"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t>33</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Switzerland</w:t>
      </w:r>
      <w:r w:rsidR="00DD109A" w:rsidRPr="00214CBC">
        <w:rPr>
          <w:rFonts w:asciiTheme="majorHAnsi" w:hAnsiTheme="majorHAnsi"/>
          <w:bCs/>
        </w:rPr>
        <w:t xml:space="preserve"> noted that independent legal status for Ramsar under Swiss law would require complete separation from IUCN</w:t>
      </w:r>
      <w:r w:rsidR="0034427A">
        <w:rPr>
          <w:rFonts w:asciiTheme="majorHAnsi" w:hAnsiTheme="majorHAnsi"/>
          <w:bCs/>
        </w:rPr>
        <w:t xml:space="preserve"> and that t</w:t>
      </w:r>
      <w:r w:rsidR="00DD109A" w:rsidRPr="00214CBC">
        <w:rPr>
          <w:rFonts w:asciiTheme="majorHAnsi" w:hAnsiTheme="majorHAnsi"/>
          <w:bCs/>
        </w:rPr>
        <w:t>his would have onerous financial implications.</w:t>
      </w:r>
    </w:p>
    <w:p w14:paraId="6D528173" w14:textId="77777777" w:rsidR="00DD109A" w:rsidRPr="00214CBC" w:rsidRDefault="00DD109A" w:rsidP="005665AE">
      <w:pPr>
        <w:spacing w:after="0" w:line="240" w:lineRule="auto"/>
        <w:ind w:left="567" w:hanging="567"/>
        <w:rPr>
          <w:rFonts w:asciiTheme="majorHAnsi" w:hAnsiTheme="majorHAnsi"/>
          <w:bCs/>
        </w:rPr>
      </w:pPr>
    </w:p>
    <w:p w14:paraId="113D1815" w14:textId="77777777"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t>34</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China</w:t>
      </w:r>
      <w:r w:rsidR="00DD109A" w:rsidRPr="00214CBC">
        <w:rPr>
          <w:rFonts w:asciiTheme="majorHAnsi" w:hAnsiTheme="majorHAnsi"/>
          <w:bCs/>
        </w:rPr>
        <w:t xml:space="preserve"> fully supported the goal of securing observer status for the Ramsar Convention within the UNGA.</w:t>
      </w:r>
    </w:p>
    <w:p w14:paraId="6FD1A87B" w14:textId="77777777" w:rsidR="00DD109A" w:rsidRPr="00214CBC" w:rsidRDefault="00DD109A" w:rsidP="005665AE">
      <w:pPr>
        <w:spacing w:after="0" w:line="240" w:lineRule="auto"/>
        <w:ind w:left="567" w:hanging="567"/>
        <w:rPr>
          <w:rFonts w:asciiTheme="majorHAnsi" w:hAnsiTheme="majorHAnsi"/>
          <w:bCs/>
        </w:rPr>
      </w:pPr>
    </w:p>
    <w:p w14:paraId="59396221" w14:textId="691B4552" w:rsidR="00DD109A" w:rsidRPr="00214CBC" w:rsidRDefault="008A58CF" w:rsidP="005665AE">
      <w:pPr>
        <w:spacing w:after="0" w:line="240" w:lineRule="auto"/>
        <w:ind w:left="567" w:hanging="567"/>
        <w:rPr>
          <w:rFonts w:asciiTheme="majorHAnsi" w:hAnsiTheme="majorHAnsi"/>
          <w:bCs/>
        </w:rPr>
      </w:pPr>
      <w:r>
        <w:rPr>
          <w:rFonts w:asciiTheme="majorHAnsi" w:hAnsiTheme="majorHAnsi"/>
          <w:bCs/>
        </w:rPr>
        <w:lastRenderedPageBreak/>
        <w:t>35</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Finland</w:t>
      </w:r>
      <w:r w:rsidR="00DD109A" w:rsidRPr="00214CBC">
        <w:rPr>
          <w:rFonts w:asciiTheme="majorHAnsi" w:hAnsiTheme="majorHAnsi"/>
          <w:bCs/>
        </w:rPr>
        <w:t xml:space="preserve"> </w:t>
      </w:r>
      <w:r w:rsidR="00463492">
        <w:rPr>
          <w:rFonts w:asciiTheme="majorHAnsi" w:hAnsiTheme="majorHAnsi"/>
          <w:bCs/>
        </w:rPr>
        <w:t>sought advice on</w:t>
      </w:r>
      <w:r w:rsidR="002107FC">
        <w:rPr>
          <w:rFonts w:asciiTheme="majorHAnsi" w:hAnsiTheme="majorHAnsi"/>
          <w:bCs/>
        </w:rPr>
        <w:t xml:space="preserve"> w</w:t>
      </w:r>
      <w:r w:rsidR="00463492">
        <w:rPr>
          <w:rFonts w:asciiTheme="majorHAnsi" w:hAnsiTheme="majorHAnsi"/>
          <w:bCs/>
        </w:rPr>
        <w:t>h</w:t>
      </w:r>
      <w:r w:rsidR="002107FC">
        <w:rPr>
          <w:rFonts w:asciiTheme="majorHAnsi" w:hAnsiTheme="majorHAnsi"/>
          <w:bCs/>
        </w:rPr>
        <w:t>ether</w:t>
      </w:r>
      <w:r w:rsidR="00DD109A" w:rsidRPr="00214CBC">
        <w:rPr>
          <w:rFonts w:asciiTheme="majorHAnsi" w:hAnsiTheme="majorHAnsi"/>
          <w:bCs/>
        </w:rPr>
        <w:t xml:space="preserve"> the option of independent status for </w:t>
      </w:r>
      <w:r w:rsidR="00316186">
        <w:rPr>
          <w:rFonts w:asciiTheme="majorHAnsi" w:hAnsiTheme="majorHAnsi"/>
          <w:bCs/>
        </w:rPr>
        <w:t xml:space="preserve">the </w:t>
      </w:r>
      <w:r w:rsidR="00DD109A" w:rsidRPr="00214CBC">
        <w:rPr>
          <w:rFonts w:asciiTheme="majorHAnsi" w:hAnsiTheme="majorHAnsi"/>
          <w:bCs/>
        </w:rPr>
        <w:t>Ramsar</w:t>
      </w:r>
      <w:r w:rsidR="00316186">
        <w:rPr>
          <w:rFonts w:asciiTheme="majorHAnsi" w:hAnsiTheme="majorHAnsi"/>
          <w:bCs/>
        </w:rPr>
        <w:t xml:space="preserve"> Secretariat</w:t>
      </w:r>
      <w:r w:rsidR="00DD109A" w:rsidRPr="00214CBC">
        <w:rPr>
          <w:rFonts w:asciiTheme="majorHAnsi" w:hAnsiTheme="majorHAnsi"/>
          <w:bCs/>
        </w:rPr>
        <w:t xml:space="preserve"> might also require an amendment to the text of the Convention.</w:t>
      </w:r>
    </w:p>
    <w:p w14:paraId="0976781D" w14:textId="77777777" w:rsidR="00DD109A" w:rsidRPr="00214CBC" w:rsidRDefault="00DD109A" w:rsidP="005665AE">
      <w:pPr>
        <w:spacing w:after="0" w:line="240" w:lineRule="auto"/>
        <w:ind w:left="567" w:hanging="567"/>
        <w:rPr>
          <w:rFonts w:asciiTheme="majorHAnsi" w:hAnsiTheme="majorHAnsi"/>
          <w:bCs/>
        </w:rPr>
      </w:pPr>
    </w:p>
    <w:p w14:paraId="4923F0AC" w14:textId="5F43ACBD" w:rsidR="007B4C8F" w:rsidRPr="00214CBC" w:rsidRDefault="008A58CF" w:rsidP="007B4C8F">
      <w:pPr>
        <w:spacing w:after="0" w:line="240" w:lineRule="auto"/>
        <w:ind w:left="567" w:hanging="567"/>
        <w:rPr>
          <w:rFonts w:asciiTheme="majorHAnsi" w:hAnsiTheme="majorHAnsi"/>
          <w:bCs/>
        </w:rPr>
      </w:pPr>
      <w:r>
        <w:rPr>
          <w:rFonts w:asciiTheme="majorHAnsi" w:hAnsiTheme="majorHAnsi"/>
          <w:bCs/>
        </w:rPr>
        <w:t>36</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Colombia</w:t>
      </w:r>
      <w:r w:rsidR="00DD109A" w:rsidRPr="00214CBC">
        <w:rPr>
          <w:rFonts w:asciiTheme="majorHAnsi" w:hAnsiTheme="majorHAnsi"/>
          <w:bCs/>
        </w:rPr>
        <w:t xml:space="preserve"> </w:t>
      </w:r>
      <w:r w:rsidR="00F135F9">
        <w:rPr>
          <w:rFonts w:asciiTheme="majorHAnsi" w:hAnsiTheme="majorHAnsi"/>
          <w:bCs/>
        </w:rPr>
        <w:t>expressed commitment</w:t>
      </w:r>
      <w:r w:rsidR="00DD109A" w:rsidRPr="00214CBC">
        <w:rPr>
          <w:rFonts w:asciiTheme="majorHAnsi" w:hAnsiTheme="majorHAnsi"/>
          <w:bCs/>
        </w:rPr>
        <w:t xml:space="preserve"> to finding a solution, but emphasized that the legal consequences of various options would need </w:t>
      </w:r>
      <w:r w:rsidR="00F135F9">
        <w:rPr>
          <w:rFonts w:asciiTheme="majorHAnsi" w:hAnsiTheme="majorHAnsi"/>
          <w:bCs/>
        </w:rPr>
        <w:t>to be studied</w:t>
      </w:r>
      <w:r w:rsidR="00DD109A" w:rsidRPr="00214CBC">
        <w:rPr>
          <w:rFonts w:asciiTheme="majorHAnsi" w:hAnsiTheme="majorHAnsi"/>
          <w:bCs/>
        </w:rPr>
        <w:t xml:space="preserve"> in detail, with input from the Legal Adviser.</w:t>
      </w:r>
      <w:r w:rsidR="007B4C8F">
        <w:rPr>
          <w:rFonts w:asciiTheme="majorHAnsi" w:hAnsiTheme="majorHAnsi"/>
          <w:bCs/>
        </w:rPr>
        <w:t xml:space="preserve"> It was important that the Ramsar Convention should be able to participate </w:t>
      </w:r>
      <w:r w:rsidR="00463492">
        <w:rPr>
          <w:rFonts w:asciiTheme="majorHAnsi" w:hAnsiTheme="majorHAnsi"/>
          <w:bCs/>
        </w:rPr>
        <w:t>at</w:t>
      </w:r>
      <w:r w:rsidR="007B4C8F">
        <w:rPr>
          <w:rFonts w:asciiTheme="majorHAnsi" w:hAnsiTheme="majorHAnsi"/>
          <w:bCs/>
        </w:rPr>
        <w:t xml:space="preserve"> the UNGA under its own name.</w:t>
      </w:r>
    </w:p>
    <w:p w14:paraId="20EAA822" w14:textId="1A9B65D1" w:rsidR="00DD109A" w:rsidRPr="00214CBC" w:rsidRDefault="00DD109A" w:rsidP="005665AE">
      <w:pPr>
        <w:spacing w:after="0" w:line="240" w:lineRule="auto"/>
        <w:ind w:left="567" w:hanging="567"/>
        <w:rPr>
          <w:rFonts w:asciiTheme="majorHAnsi" w:hAnsiTheme="majorHAnsi"/>
          <w:bCs/>
        </w:rPr>
      </w:pPr>
    </w:p>
    <w:p w14:paraId="07834A38" w14:textId="3B466EE2" w:rsidR="00DD109A" w:rsidRDefault="005665AE" w:rsidP="005665AE">
      <w:pPr>
        <w:spacing w:after="0" w:line="240" w:lineRule="auto"/>
        <w:ind w:left="567" w:hanging="567"/>
        <w:rPr>
          <w:rFonts w:asciiTheme="majorHAnsi" w:hAnsiTheme="majorHAnsi"/>
          <w:bCs/>
        </w:rPr>
      </w:pPr>
      <w:r w:rsidRPr="00214CBC">
        <w:rPr>
          <w:rFonts w:asciiTheme="majorHAnsi" w:hAnsiTheme="majorHAnsi"/>
          <w:bCs/>
        </w:rPr>
        <w:t>3</w:t>
      </w:r>
      <w:r w:rsidR="008A58CF">
        <w:rPr>
          <w:rFonts w:asciiTheme="majorHAnsi" w:hAnsiTheme="majorHAnsi"/>
          <w:bCs/>
        </w:rPr>
        <w:t>7</w:t>
      </w:r>
      <w:r w:rsidRPr="00214CBC">
        <w:rPr>
          <w:rFonts w:asciiTheme="majorHAnsi" w:hAnsiTheme="majorHAnsi"/>
          <w:bCs/>
        </w:rPr>
        <w:t>.</w:t>
      </w:r>
      <w:r w:rsidRPr="00214CBC">
        <w:rPr>
          <w:rFonts w:asciiTheme="majorHAnsi" w:hAnsiTheme="majorHAnsi"/>
          <w:bCs/>
        </w:rPr>
        <w:tab/>
      </w:r>
      <w:r w:rsidR="00DD109A" w:rsidRPr="00214CBC">
        <w:rPr>
          <w:rFonts w:asciiTheme="majorHAnsi" w:hAnsiTheme="majorHAnsi"/>
          <w:b/>
          <w:bCs/>
        </w:rPr>
        <w:t>Mauritania</w:t>
      </w:r>
      <w:r w:rsidR="00DD109A" w:rsidRPr="00214CBC">
        <w:rPr>
          <w:rFonts w:asciiTheme="majorHAnsi" w:hAnsiTheme="majorHAnsi"/>
          <w:bCs/>
        </w:rPr>
        <w:t xml:space="preserve"> called for Ramsar Contracting Parties to make this issue a priority within the UN system and suggested that an </w:t>
      </w:r>
      <w:r w:rsidR="00DD109A" w:rsidRPr="00214CBC">
        <w:rPr>
          <w:rFonts w:asciiTheme="majorHAnsi" w:hAnsiTheme="majorHAnsi"/>
          <w:bCs/>
          <w:i/>
        </w:rPr>
        <w:t>ad hoc</w:t>
      </w:r>
      <w:r w:rsidR="00DD109A" w:rsidRPr="00214CBC">
        <w:rPr>
          <w:rFonts w:asciiTheme="majorHAnsi" w:hAnsiTheme="majorHAnsi"/>
          <w:bCs/>
        </w:rPr>
        <w:t xml:space="preserve"> group of Parties might be established to support the Secretariat.</w:t>
      </w:r>
    </w:p>
    <w:p w14:paraId="24689349" w14:textId="77777777" w:rsidR="00653803" w:rsidRDefault="00653803" w:rsidP="005665AE">
      <w:pPr>
        <w:spacing w:after="0" w:line="240" w:lineRule="auto"/>
        <w:ind w:left="567" w:hanging="567"/>
        <w:rPr>
          <w:rFonts w:asciiTheme="majorHAnsi" w:hAnsiTheme="majorHAnsi"/>
          <w:bCs/>
        </w:rPr>
      </w:pPr>
    </w:p>
    <w:p w14:paraId="5AE725AB" w14:textId="1C7A9AF3" w:rsidR="00653803" w:rsidRDefault="00653803" w:rsidP="005665AE">
      <w:pPr>
        <w:spacing w:after="0" w:line="240" w:lineRule="auto"/>
        <w:ind w:left="567" w:hanging="567"/>
        <w:rPr>
          <w:rFonts w:asciiTheme="majorHAnsi" w:hAnsiTheme="majorHAnsi"/>
          <w:bCs/>
        </w:rPr>
      </w:pPr>
      <w:r>
        <w:rPr>
          <w:rFonts w:asciiTheme="majorHAnsi" w:hAnsiTheme="majorHAnsi"/>
          <w:bCs/>
        </w:rPr>
        <w:t>38.</w:t>
      </w:r>
      <w:r>
        <w:rPr>
          <w:rFonts w:asciiTheme="majorHAnsi" w:hAnsiTheme="majorHAnsi"/>
          <w:bCs/>
        </w:rPr>
        <w:tab/>
        <w:t xml:space="preserve">The </w:t>
      </w:r>
      <w:r w:rsidRPr="00653803">
        <w:rPr>
          <w:rFonts w:asciiTheme="majorHAnsi" w:hAnsiTheme="majorHAnsi"/>
          <w:b/>
          <w:bCs/>
        </w:rPr>
        <w:t>Chair</w:t>
      </w:r>
      <w:r>
        <w:rPr>
          <w:rFonts w:asciiTheme="majorHAnsi" w:hAnsiTheme="majorHAnsi"/>
          <w:bCs/>
        </w:rPr>
        <w:t xml:space="preserve"> informed </w:t>
      </w:r>
      <w:r w:rsidR="00463492">
        <w:rPr>
          <w:rFonts w:asciiTheme="majorHAnsi" w:hAnsiTheme="majorHAnsi"/>
          <w:bCs/>
        </w:rPr>
        <w:t xml:space="preserve">the Committee that </w:t>
      </w:r>
      <w:r>
        <w:rPr>
          <w:rFonts w:asciiTheme="majorHAnsi" w:hAnsiTheme="majorHAnsi"/>
          <w:bCs/>
        </w:rPr>
        <w:t xml:space="preserve">Uruguay </w:t>
      </w:r>
      <w:r w:rsidR="00463492">
        <w:rPr>
          <w:rFonts w:asciiTheme="majorHAnsi" w:hAnsiTheme="majorHAnsi"/>
          <w:bCs/>
        </w:rPr>
        <w:t xml:space="preserve">was interested </w:t>
      </w:r>
      <w:r>
        <w:rPr>
          <w:rFonts w:asciiTheme="majorHAnsi" w:hAnsiTheme="majorHAnsi"/>
          <w:bCs/>
        </w:rPr>
        <w:t>in working to identify alternative solutions</w:t>
      </w:r>
      <w:r w:rsidR="00463492">
        <w:rPr>
          <w:rFonts w:asciiTheme="majorHAnsi" w:hAnsiTheme="majorHAnsi"/>
          <w:bCs/>
        </w:rPr>
        <w:t>,</w:t>
      </w:r>
      <w:r>
        <w:rPr>
          <w:rFonts w:asciiTheme="majorHAnsi" w:hAnsiTheme="majorHAnsi"/>
          <w:bCs/>
        </w:rPr>
        <w:t xml:space="preserve"> in order to ensure the participation of the Secretariat in relevant international events within the United Nations </w:t>
      </w:r>
      <w:r w:rsidR="00463492">
        <w:rPr>
          <w:rFonts w:asciiTheme="majorHAnsi" w:hAnsiTheme="majorHAnsi"/>
          <w:bCs/>
        </w:rPr>
        <w:t>system</w:t>
      </w:r>
      <w:r>
        <w:rPr>
          <w:rFonts w:asciiTheme="majorHAnsi" w:hAnsiTheme="majorHAnsi"/>
          <w:bCs/>
        </w:rPr>
        <w:t>.</w:t>
      </w:r>
    </w:p>
    <w:p w14:paraId="1818ACF8" w14:textId="48979711" w:rsidR="00903820" w:rsidRPr="00214CBC" w:rsidRDefault="00903820" w:rsidP="00653803">
      <w:pPr>
        <w:spacing w:after="0" w:line="240" w:lineRule="auto"/>
        <w:rPr>
          <w:rFonts w:asciiTheme="majorHAnsi" w:hAnsiTheme="majorHAnsi"/>
          <w:bCs/>
        </w:rPr>
      </w:pPr>
    </w:p>
    <w:p w14:paraId="1E4FAF72" w14:textId="0324D51F" w:rsidR="00DD109A" w:rsidRPr="00214CBC" w:rsidRDefault="00DD109A" w:rsidP="00F52F7A">
      <w:pPr>
        <w:spacing w:after="0" w:line="240" w:lineRule="auto"/>
        <w:contextualSpacing/>
        <w:rPr>
          <w:b/>
        </w:rPr>
      </w:pPr>
      <w:r w:rsidRPr="00214CBC">
        <w:rPr>
          <w:b/>
        </w:rPr>
        <w:t xml:space="preserve">Decision </w:t>
      </w:r>
      <w:r w:rsidR="00214CBC" w:rsidRPr="00214CBC">
        <w:rPr>
          <w:b/>
        </w:rPr>
        <w:t>SC55-1</w:t>
      </w:r>
      <w:r w:rsidR="000B678B">
        <w:rPr>
          <w:b/>
        </w:rPr>
        <w:t>2</w:t>
      </w:r>
      <w:r w:rsidRPr="00214CBC">
        <w:rPr>
          <w:b/>
        </w:rPr>
        <w:t xml:space="preserve">: The Standing Committee </w:t>
      </w:r>
      <w:r w:rsidR="001953B9">
        <w:rPr>
          <w:b/>
        </w:rPr>
        <w:t>instructed</w:t>
      </w:r>
      <w:r w:rsidRPr="00214CBC">
        <w:rPr>
          <w:b/>
        </w:rPr>
        <w:t xml:space="preserve"> the Secretariat, with support from </w:t>
      </w:r>
      <w:r w:rsidR="007B4C8F">
        <w:rPr>
          <w:b/>
        </w:rPr>
        <w:t xml:space="preserve">an informal group of </w:t>
      </w:r>
      <w:r w:rsidRPr="00214CBC">
        <w:rPr>
          <w:b/>
        </w:rPr>
        <w:t>interested Contracting Parties, to bring forward a structured proposal</w:t>
      </w:r>
      <w:r w:rsidR="007B4C8F">
        <w:rPr>
          <w:b/>
        </w:rPr>
        <w:t>, taking into account the various options,</w:t>
      </w:r>
      <w:r w:rsidR="007B4C8F" w:rsidRPr="00214CBC">
        <w:rPr>
          <w:b/>
        </w:rPr>
        <w:t xml:space="preserve"> </w:t>
      </w:r>
      <w:r w:rsidRPr="00214CBC">
        <w:rPr>
          <w:b/>
        </w:rPr>
        <w:t xml:space="preserve">for consideration </w:t>
      </w:r>
      <w:r w:rsidR="007B6CE1">
        <w:rPr>
          <w:b/>
        </w:rPr>
        <w:t>at</w:t>
      </w:r>
      <w:r w:rsidRPr="00214CBC">
        <w:rPr>
          <w:b/>
        </w:rPr>
        <w:t xml:space="preserve"> SC57.</w:t>
      </w:r>
    </w:p>
    <w:p w14:paraId="720A5FA2" w14:textId="77777777" w:rsidR="00DD109A" w:rsidRPr="00214CBC" w:rsidRDefault="00DD109A" w:rsidP="00F52F7A">
      <w:pPr>
        <w:spacing w:after="0" w:line="240" w:lineRule="auto"/>
        <w:rPr>
          <w:rFonts w:asciiTheme="majorHAnsi" w:hAnsiTheme="majorHAnsi"/>
          <w:bCs/>
        </w:rPr>
      </w:pPr>
    </w:p>
    <w:p w14:paraId="1303C509"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 xml:space="preserve">Agenda item 11: </w:t>
      </w:r>
      <w:r w:rsidRPr="00214CBC">
        <w:rPr>
          <w:bCs/>
        </w:rPr>
        <w:t>Wetland City Accreditation process</w:t>
      </w:r>
    </w:p>
    <w:p w14:paraId="12AAB56D" w14:textId="77777777" w:rsidR="00DD109A" w:rsidRPr="00214CBC" w:rsidRDefault="00DD109A" w:rsidP="00F52F7A">
      <w:pPr>
        <w:spacing w:after="0" w:line="240" w:lineRule="auto"/>
        <w:ind w:left="425" w:hanging="425"/>
        <w:rPr>
          <w:rFonts w:asciiTheme="majorHAnsi" w:hAnsiTheme="majorHAnsi"/>
          <w:bCs/>
        </w:rPr>
      </w:pPr>
    </w:p>
    <w:p w14:paraId="39FED131" w14:textId="6B8FBAE6" w:rsidR="00DD109A" w:rsidRPr="00214CBC" w:rsidRDefault="007B4C8F" w:rsidP="005665AE">
      <w:pPr>
        <w:pStyle w:val="Default"/>
        <w:ind w:left="567" w:hanging="567"/>
        <w:rPr>
          <w:color w:val="auto"/>
          <w:sz w:val="22"/>
          <w:szCs w:val="22"/>
        </w:rPr>
      </w:pPr>
      <w:r>
        <w:rPr>
          <w:bCs/>
          <w:color w:val="auto"/>
          <w:sz w:val="22"/>
          <w:szCs w:val="22"/>
        </w:rPr>
        <w:t>39</w:t>
      </w:r>
      <w:r w:rsidR="005665AE" w:rsidRPr="00214CBC">
        <w:rPr>
          <w:bCs/>
          <w:color w:val="auto"/>
          <w:sz w:val="22"/>
          <w:szCs w:val="22"/>
        </w:rPr>
        <w:t>.</w:t>
      </w:r>
      <w:r w:rsidR="005665AE" w:rsidRPr="00214CBC">
        <w:rPr>
          <w:bCs/>
          <w:color w:val="auto"/>
          <w:sz w:val="22"/>
          <w:szCs w:val="22"/>
        </w:rPr>
        <w:tab/>
      </w:r>
      <w:r w:rsidR="00DD109A" w:rsidRPr="00214CBC">
        <w:rPr>
          <w:bCs/>
          <w:color w:val="auto"/>
          <w:sz w:val="22"/>
          <w:szCs w:val="22"/>
        </w:rPr>
        <w:t xml:space="preserve">The </w:t>
      </w:r>
      <w:r w:rsidR="00DD109A" w:rsidRPr="00214CBC">
        <w:rPr>
          <w:b/>
          <w:bCs/>
          <w:color w:val="auto"/>
          <w:sz w:val="22"/>
          <w:szCs w:val="22"/>
        </w:rPr>
        <w:t xml:space="preserve">Secretariat </w:t>
      </w:r>
      <w:r w:rsidR="00DD109A" w:rsidRPr="00214CBC">
        <w:rPr>
          <w:bCs/>
          <w:color w:val="auto"/>
          <w:sz w:val="22"/>
          <w:szCs w:val="22"/>
        </w:rPr>
        <w:t xml:space="preserve">briefly recalled decision SC54-24 and introduced document SC55 </w:t>
      </w:r>
      <w:r w:rsidR="004B6F17">
        <w:rPr>
          <w:bCs/>
          <w:color w:val="auto"/>
          <w:sz w:val="22"/>
          <w:szCs w:val="22"/>
        </w:rPr>
        <w:t>Doc.</w:t>
      </w:r>
      <w:r w:rsidR="00DD109A" w:rsidRPr="00214CBC">
        <w:rPr>
          <w:bCs/>
          <w:color w:val="auto"/>
          <w:sz w:val="22"/>
          <w:szCs w:val="22"/>
        </w:rPr>
        <w:t xml:space="preserve">11, noting that </w:t>
      </w:r>
      <w:r w:rsidR="00DD109A" w:rsidRPr="00214CBC">
        <w:rPr>
          <w:color w:val="auto"/>
          <w:sz w:val="22"/>
          <w:szCs w:val="22"/>
        </w:rPr>
        <w:t>the Standing Committee was expected to report to COP13 with regard to: (a) the names of the cities nominated for Wetland City Accreditation</w:t>
      </w:r>
      <w:r w:rsidR="00210D40">
        <w:rPr>
          <w:color w:val="auto"/>
          <w:sz w:val="22"/>
          <w:szCs w:val="22"/>
        </w:rPr>
        <w:t>;</w:t>
      </w:r>
      <w:r w:rsidR="00DD109A" w:rsidRPr="00214CBC">
        <w:rPr>
          <w:color w:val="auto"/>
          <w:sz w:val="22"/>
          <w:szCs w:val="22"/>
        </w:rPr>
        <w:t xml:space="preserve"> and (b) progress in implementation of the Wetland City A</w:t>
      </w:r>
      <w:r w:rsidR="00273AFE">
        <w:rPr>
          <w:color w:val="auto"/>
          <w:sz w:val="22"/>
          <w:szCs w:val="22"/>
        </w:rPr>
        <w:t xml:space="preserve">ccreditation (WCA) </w:t>
      </w:r>
      <w:r w:rsidR="00DD109A" w:rsidRPr="00214CBC">
        <w:rPr>
          <w:color w:val="auto"/>
          <w:sz w:val="22"/>
          <w:szCs w:val="22"/>
        </w:rPr>
        <w:t>scheme and financing.</w:t>
      </w:r>
    </w:p>
    <w:p w14:paraId="7FAC2049" w14:textId="77777777" w:rsidR="00DD109A" w:rsidRPr="00214CBC" w:rsidRDefault="00DD109A" w:rsidP="005665AE">
      <w:pPr>
        <w:spacing w:after="0" w:line="240" w:lineRule="auto"/>
        <w:ind w:left="567" w:hanging="567"/>
        <w:rPr>
          <w:rFonts w:asciiTheme="majorHAnsi" w:hAnsiTheme="majorHAnsi"/>
          <w:bCs/>
        </w:rPr>
      </w:pPr>
    </w:p>
    <w:p w14:paraId="095F8869" w14:textId="2CA701A8" w:rsidR="00DD109A" w:rsidRPr="00214CBC" w:rsidRDefault="007B4C8F" w:rsidP="005665AE">
      <w:pPr>
        <w:spacing w:after="0" w:line="240" w:lineRule="auto"/>
        <w:ind w:left="567" w:hanging="567"/>
        <w:rPr>
          <w:rFonts w:asciiTheme="majorHAnsi" w:hAnsiTheme="majorHAnsi"/>
          <w:bCs/>
        </w:rPr>
      </w:pPr>
      <w:r>
        <w:rPr>
          <w:rFonts w:asciiTheme="majorHAnsi" w:hAnsiTheme="majorHAnsi"/>
          <w:bCs/>
        </w:rPr>
        <w:t>40</w:t>
      </w:r>
      <w:r w:rsidR="005665AE" w:rsidRPr="00214CBC">
        <w:rPr>
          <w:rFonts w:asciiTheme="majorHAnsi" w:hAnsiTheme="majorHAnsi"/>
          <w:bCs/>
        </w:rPr>
        <w:t>.</w:t>
      </w:r>
      <w:r w:rsidR="005665AE" w:rsidRPr="00214CBC">
        <w:rPr>
          <w:rFonts w:asciiTheme="majorHAnsi" w:hAnsiTheme="majorHAnsi"/>
          <w:bCs/>
        </w:rPr>
        <w:tab/>
      </w:r>
      <w:r w:rsidR="00210D40">
        <w:rPr>
          <w:rFonts w:asciiTheme="majorHAnsi" w:hAnsiTheme="majorHAnsi"/>
          <w:bCs/>
        </w:rPr>
        <w:t xml:space="preserve">The </w:t>
      </w:r>
      <w:r w:rsidR="00DD109A" w:rsidRPr="00214CBC">
        <w:rPr>
          <w:rFonts w:asciiTheme="majorHAnsi" w:hAnsiTheme="majorHAnsi"/>
          <w:b/>
          <w:bCs/>
        </w:rPr>
        <w:t>Republic of Korea</w:t>
      </w:r>
      <w:r w:rsidR="00DD109A" w:rsidRPr="00214CBC">
        <w:rPr>
          <w:rFonts w:asciiTheme="majorHAnsi" w:hAnsiTheme="majorHAnsi"/>
          <w:bCs/>
        </w:rPr>
        <w:t xml:space="preserve">, supported by </w:t>
      </w:r>
      <w:r w:rsidR="00DD109A" w:rsidRPr="00214CBC">
        <w:rPr>
          <w:rFonts w:asciiTheme="majorHAnsi" w:hAnsiTheme="majorHAnsi"/>
          <w:b/>
          <w:bCs/>
        </w:rPr>
        <w:t>Cambodia</w:t>
      </w:r>
      <w:r w:rsidR="00DD109A" w:rsidRPr="00214CBC">
        <w:rPr>
          <w:rFonts w:asciiTheme="majorHAnsi" w:hAnsiTheme="majorHAnsi"/>
          <w:bCs/>
        </w:rPr>
        <w:t xml:space="preserve">, </w:t>
      </w:r>
      <w:r w:rsidR="00DD109A" w:rsidRPr="00214CBC">
        <w:rPr>
          <w:rFonts w:asciiTheme="majorHAnsi" w:hAnsiTheme="majorHAnsi"/>
          <w:b/>
          <w:bCs/>
        </w:rPr>
        <w:t>China</w:t>
      </w:r>
      <w:r w:rsidR="00DD109A" w:rsidRPr="00214CBC">
        <w:rPr>
          <w:rFonts w:asciiTheme="majorHAnsi" w:hAnsiTheme="majorHAnsi"/>
          <w:bCs/>
        </w:rPr>
        <w:t xml:space="preserve">, </w:t>
      </w:r>
      <w:r w:rsidR="00DD109A" w:rsidRPr="00214CBC">
        <w:rPr>
          <w:rFonts w:asciiTheme="majorHAnsi" w:hAnsiTheme="majorHAnsi"/>
          <w:b/>
          <w:bCs/>
        </w:rPr>
        <w:t>France</w:t>
      </w:r>
      <w:r w:rsidR="00DD109A" w:rsidRPr="00214CBC">
        <w:rPr>
          <w:rFonts w:asciiTheme="majorHAnsi" w:hAnsiTheme="majorHAnsi"/>
          <w:bCs/>
        </w:rPr>
        <w:t xml:space="preserve">, </w:t>
      </w:r>
      <w:r w:rsidR="00DD109A" w:rsidRPr="00214CBC">
        <w:rPr>
          <w:rFonts w:asciiTheme="majorHAnsi" w:hAnsiTheme="majorHAnsi"/>
          <w:b/>
          <w:bCs/>
        </w:rPr>
        <w:t>Mauritania</w:t>
      </w:r>
      <w:r w:rsidR="00DD109A" w:rsidRPr="00214CBC">
        <w:rPr>
          <w:rFonts w:asciiTheme="majorHAnsi" w:hAnsiTheme="majorHAnsi"/>
          <w:bCs/>
        </w:rPr>
        <w:t xml:space="preserve">, </w:t>
      </w:r>
      <w:r w:rsidR="00DD109A" w:rsidRPr="00214CBC">
        <w:rPr>
          <w:rFonts w:asciiTheme="majorHAnsi" w:hAnsiTheme="majorHAnsi"/>
          <w:b/>
          <w:bCs/>
        </w:rPr>
        <w:t>Switzerland</w:t>
      </w:r>
      <w:r w:rsidR="00DD109A" w:rsidRPr="00214CBC">
        <w:rPr>
          <w:rFonts w:asciiTheme="majorHAnsi" w:hAnsiTheme="majorHAnsi"/>
          <w:bCs/>
        </w:rPr>
        <w:t xml:space="preserve"> and </w:t>
      </w:r>
      <w:r w:rsidR="00DD109A" w:rsidRPr="00214CBC">
        <w:rPr>
          <w:rFonts w:asciiTheme="majorHAnsi" w:hAnsiTheme="majorHAnsi"/>
          <w:b/>
          <w:bCs/>
        </w:rPr>
        <w:t>Tunisia</w:t>
      </w:r>
      <w:r w:rsidR="00DD109A" w:rsidRPr="00214CBC">
        <w:rPr>
          <w:rFonts w:asciiTheme="majorHAnsi" w:hAnsiTheme="majorHAnsi"/>
          <w:bCs/>
        </w:rPr>
        <w:t>, strongly recommended that the Wetland City certificates be presented by the Secretary General directly to the representatives of the accredited cities.</w:t>
      </w:r>
    </w:p>
    <w:p w14:paraId="3100C93C" w14:textId="77777777" w:rsidR="00DD109A" w:rsidRPr="00214CBC" w:rsidRDefault="00DD109A" w:rsidP="005665AE">
      <w:pPr>
        <w:spacing w:after="0" w:line="240" w:lineRule="auto"/>
        <w:ind w:left="567" w:hanging="567"/>
        <w:rPr>
          <w:rFonts w:asciiTheme="majorHAnsi" w:hAnsiTheme="majorHAnsi"/>
          <w:bCs/>
        </w:rPr>
      </w:pPr>
    </w:p>
    <w:p w14:paraId="0634D945" w14:textId="487C20EE" w:rsidR="00DD109A" w:rsidRPr="00214CBC" w:rsidRDefault="007B4C8F" w:rsidP="005665AE">
      <w:pPr>
        <w:spacing w:after="0" w:line="240" w:lineRule="auto"/>
        <w:ind w:left="567" w:hanging="567"/>
        <w:rPr>
          <w:rFonts w:asciiTheme="majorHAnsi" w:hAnsiTheme="majorHAnsi"/>
          <w:bCs/>
        </w:rPr>
      </w:pPr>
      <w:r>
        <w:rPr>
          <w:rFonts w:asciiTheme="majorHAnsi" w:hAnsiTheme="majorHAnsi"/>
          <w:bCs/>
        </w:rPr>
        <w:t>41</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Cs/>
        </w:rPr>
        <w:t xml:space="preserve">In response to a proposal made by the </w:t>
      </w:r>
      <w:r w:rsidR="00DD109A" w:rsidRPr="00214CBC">
        <w:rPr>
          <w:rFonts w:asciiTheme="majorHAnsi" w:hAnsiTheme="majorHAnsi"/>
          <w:b/>
          <w:bCs/>
        </w:rPr>
        <w:t>Republic of Korea</w:t>
      </w:r>
      <w:r w:rsidR="001953B9" w:rsidRPr="001953B9">
        <w:rPr>
          <w:rFonts w:asciiTheme="majorHAnsi" w:hAnsiTheme="majorHAnsi"/>
          <w:bCs/>
        </w:rPr>
        <w:t xml:space="preserve"> </w:t>
      </w:r>
      <w:r w:rsidR="001953B9">
        <w:rPr>
          <w:rFonts w:asciiTheme="majorHAnsi" w:hAnsiTheme="majorHAnsi"/>
          <w:bCs/>
        </w:rPr>
        <w:t xml:space="preserve">that COP13 </w:t>
      </w:r>
      <w:r w:rsidR="001953B9" w:rsidRPr="00214CBC">
        <w:rPr>
          <w:rFonts w:asciiTheme="majorHAnsi" w:hAnsiTheme="majorHAnsi"/>
          <w:bCs/>
        </w:rPr>
        <w:t>address both items 15.1 and 15.2 on 25 October</w:t>
      </w:r>
      <w:r w:rsidR="00DD109A" w:rsidRPr="00214CBC">
        <w:rPr>
          <w:rFonts w:asciiTheme="majorHAnsi" w:hAnsiTheme="majorHAnsi"/>
          <w:bCs/>
        </w:rPr>
        <w:t xml:space="preserve">, </w:t>
      </w:r>
      <w:r w:rsidR="001953B9">
        <w:rPr>
          <w:rFonts w:asciiTheme="majorHAnsi" w:hAnsiTheme="majorHAnsi"/>
          <w:bCs/>
        </w:rPr>
        <w:t xml:space="preserve">the </w:t>
      </w:r>
      <w:r w:rsidR="001953B9" w:rsidRPr="001953B9">
        <w:rPr>
          <w:rFonts w:asciiTheme="majorHAnsi" w:hAnsiTheme="majorHAnsi"/>
          <w:b/>
          <w:bCs/>
        </w:rPr>
        <w:t>Secretariat</w:t>
      </w:r>
      <w:r w:rsidR="001953B9">
        <w:rPr>
          <w:rFonts w:asciiTheme="majorHAnsi" w:hAnsiTheme="majorHAnsi"/>
          <w:bCs/>
        </w:rPr>
        <w:t xml:space="preserve"> noted that</w:t>
      </w:r>
      <w:r w:rsidR="001953B9" w:rsidRPr="00214CBC">
        <w:rPr>
          <w:rFonts w:asciiTheme="majorHAnsi" w:hAnsiTheme="majorHAnsi"/>
          <w:bCs/>
        </w:rPr>
        <w:t xml:space="preserve"> this would provide limited opportunity </w:t>
      </w:r>
      <w:r w:rsidR="001953B9">
        <w:rPr>
          <w:rFonts w:asciiTheme="majorHAnsi" w:hAnsiTheme="majorHAnsi"/>
          <w:bCs/>
        </w:rPr>
        <w:t>to respond</w:t>
      </w:r>
      <w:r w:rsidR="001953B9" w:rsidRPr="00214CBC">
        <w:rPr>
          <w:rFonts w:asciiTheme="majorHAnsi" w:hAnsiTheme="majorHAnsi"/>
          <w:bCs/>
        </w:rPr>
        <w:t xml:space="preserve"> to any requests for further information that might arise under item 15.1</w:t>
      </w:r>
      <w:r w:rsidR="004B3BBD">
        <w:rPr>
          <w:rFonts w:asciiTheme="majorHAnsi" w:hAnsiTheme="majorHAnsi"/>
          <w:bCs/>
        </w:rPr>
        <w:t>; it would nevertheless communicate</w:t>
      </w:r>
      <w:r w:rsidR="00DD109A" w:rsidRPr="00214CBC">
        <w:rPr>
          <w:rFonts w:asciiTheme="majorHAnsi" w:hAnsiTheme="majorHAnsi"/>
          <w:bCs/>
        </w:rPr>
        <w:t xml:space="preserve"> </w:t>
      </w:r>
      <w:r w:rsidR="00322049">
        <w:rPr>
          <w:rFonts w:asciiTheme="majorHAnsi" w:hAnsiTheme="majorHAnsi"/>
          <w:bCs/>
        </w:rPr>
        <w:t xml:space="preserve">to COP13 </w:t>
      </w:r>
      <w:r w:rsidR="00273AFE">
        <w:rPr>
          <w:rFonts w:asciiTheme="majorHAnsi" w:hAnsiTheme="majorHAnsi"/>
          <w:bCs/>
        </w:rPr>
        <w:t xml:space="preserve">the </w:t>
      </w:r>
      <w:r w:rsidR="001953B9">
        <w:rPr>
          <w:rFonts w:asciiTheme="majorHAnsi" w:hAnsiTheme="majorHAnsi"/>
          <w:bCs/>
        </w:rPr>
        <w:t xml:space="preserve">proposed amendment to the </w:t>
      </w:r>
      <w:r w:rsidR="00273AFE">
        <w:rPr>
          <w:rFonts w:asciiTheme="majorHAnsi" w:hAnsiTheme="majorHAnsi"/>
          <w:bCs/>
        </w:rPr>
        <w:t xml:space="preserve">provisional working </w:t>
      </w:r>
      <w:r w:rsidR="00210D40">
        <w:rPr>
          <w:rFonts w:asciiTheme="majorHAnsi" w:hAnsiTheme="majorHAnsi"/>
          <w:bCs/>
        </w:rPr>
        <w:t>programme</w:t>
      </w:r>
      <w:r w:rsidR="00273AFE">
        <w:rPr>
          <w:rFonts w:asciiTheme="majorHAnsi" w:hAnsiTheme="majorHAnsi"/>
          <w:bCs/>
        </w:rPr>
        <w:t xml:space="preserve">. </w:t>
      </w:r>
    </w:p>
    <w:p w14:paraId="347FD0B5" w14:textId="77777777" w:rsidR="00DD109A" w:rsidRPr="00214CBC" w:rsidRDefault="00DD109A" w:rsidP="005665AE">
      <w:pPr>
        <w:spacing w:after="0" w:line="240" w:lineRule="auto"/>
        <w:ind w:left="567" w:hanging="567"/>
        <w:rPr>
          <w:rFonts w:asciiTheme="majorHAnsi" w:hAnsiTheme="majorHAnsi"/>
          <w:bCs/>
        </w:rPr>
      </w:pPr>
    </w:p>
    <w:p w14:paraId="267682C7" w14:textId="463AE465" w:rsidR="00DD109A" w:rsidRPr="00214CBC" w:rsidRDefault="007B4C8F" w:rsidP="005665AE">
      <w:pPr>
        <w:spacing w:after="0" w:line="240" w:lineRule="auto"/>
        <w:ind w:left="567" w:hanging="567"/>
        <w:rPr>
          <w:rFonts w:asciiTheme="majorHAnsi" w:hAnsiTheme="majorHAnsi"/>
          <w:bCs/>
        </w:rPr>
      </w:pPr>
      <w:r>
        <w:rPr>
          <w:rFonts w:asciiTheme="majorHAnsi" w:hAnsiTheme="majorHAnsi"/>
          <w:bCs/>
        </w:rPr>
        <w:t>42</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China</w:t>
      </w:r>
      <w:r w:rsidR="00DD109A" w:rsidRPr="00214CBC">
        <w:rPr>
          <w:rFonts w:asciiTheme="majorHAnsi" w:hAnsiTheme="majorHAnsi"/>
          <w:bCs/>
        </w:rPr>
        <w:t xml:space="preserve"> considered that final approval of</w:t>
      </w:r>
      <w:r w:rsidR="00210D40">
        <w:rPr>
          <w:rFonts w:asciiTheme="majorHAnsi" w:hAnsiTheme="majorHAnsi"/>
          <w:bCs/>
        </w:rPr>
        <w:t xml:space="preserve"> the nominations for the</w:t>
      </w:r>
      <w:r w:rsidR="00DD109A" w:rsidRPr="00214CBC">
        <w:rPr>
          <w:rFonts w:asciiTheme="majorHAnsi" w:hAnsiTheme="majorHAnsi"/>
          <w:bCs/>
        </w:rPr>
        <w:t xml:space="preserve"> Wetland City Accreditation should be made by the </w:t>
      </w:r>
      <w:r w:rsidR="00B45C03">
        <w:rPr>
          <w:rFonts w:asciiTheme="majorHAnsi" w:hAnsiTheme="majorHAnsi"/>
          <w:bCs/>
        </w:rPr>
        <w:t xml:space="preserve">Conference of Contracting </w:t>
      </w:r>
      <w:r w:rsidR="00DD109A" w:rsidRPr="00214CBC">
        <w:rPr>
          <w:rFonts w:asciiTheme="majorHAnsi" w:hAnsiTheme="majorHAnsi"/>
          <w:bCs/>
        </w:rPr>
        <w:t>P</w:t>
      </w:r>
      <w:r w:rsidR="004B3BBD">
        <w:rPr>
          <w:rFonts w:asciiTheme="majorHAnsi" w:hAnsiTheme="majorHAnsi"/>
          <w:bCs/>
        </w:rPr>
        <w:t>arties at C</w:t>
      </w:r>
      <w:r w:rsidR="00B45C03">
        <w:rPr>
          <w:rFonts w:asciiTheme="majorHAnsi" w:hAnsiTheme="majorHAnsi"/>
          <w:bCs/>
        </w:rPr>
        <w:t>O</w:t>
      </w:r>
      <w:r w:rsidR="004B3BBD">
        <w:rPr>
          <w:rFonts w:asciiTheme="majorHAnsi" w:hAnsiTheme="majorHAnsi"/>
          <w:bCs/>
        </w:rPr>
        <w:t>P</w:t>
      </w:r>
      <w:r w:rsidR="00B45C03">
        <w:rPr>
          <w:rFonts w:asciiTheme="majorHAnsi" w:hAnsiTheme="majorHAnsi"/>
          <w:bCs/>
        </w:rPr>
        <w:t>13</w:t>
      </w:r>
      <w:r w:rsidR="00DD109A" w:rsidRPr="00214CBC">
        <w:rPr>
          <w:rFonts w:asciiTheme="majorHAnsi" w:hAnsiTheme="majorHAnsi"/>
          <w:bCs/>
        </w:rPr>
        <w:t>.</w:t>
      </w:r>
    </w:p>
    <w:p w14:paraId="2B83C9A9" w14:textId="77777777" w:rsidR="00DD109A" w:rsidRPr="00214CBC" w:rsidRDefault="00DD109A" w:rsidP="005665AE">
      <w:pPr>
        <w:spacing w:after="0" w:line="240" w:lineRule="auto"/>
        <w:ind w:left="567" w:hanging="567"/>
        <w:rPr>
          <w:rFonts w:asciiTheme="majorHAnsi" w:hAnsiTheme="majorHAnsi"/>
          <w:bCs/>
        </w:rPr>
      </w:pPr>
    </w:p>
    <w:p w14:paraId="79DC292A" w14:textId="628F7306" w:rsidR="00DD109A" w:rsidRPr="00214CBC" w:rsidRDefault="007B4C8F" w:rsidP="005665AE">
      <w:pPr>
        <w:spacing w:after="0" w:line="240" w:lineRule="auto"/>
        <w:ind w:left="567" w:hanging="567"/>
        <w:rPr>
          <w:rFonts w:asciiTheme="majorHAnsi" w:hAnsiTheme="majorHAnsi"/>
          <w:bCs/>
        </w:rPr>
      </w:pPr>
      <w:r>
        <w:rPr>
          <w:rFonts w:asciiTheme="majorHAnsi" w:hAnsiTheme="majorHAnsi"/>
          <w:bCs/>
        </w:rPr>
        <w:t>43</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Switzerland</w:t>
      </w:r>
      <w:r w:rsidR="00DD109A" w:rsidRPr="00214CBC">
        <w:rPr>
          <w:rFonts w:asciiTheme="majorHAnsi" w:hAnsiTheme="majorHAnsi"/>
          <w:bCs/>
        </w:rPr>
        <w:t xml:space="preserve"> suggested that </w:t>
      </w:r>
      <w:r w:rsidR="001C2719">
        <w:rPr>
          <w:rFonts w:asciiTheme="majorHAnsi" w:hAnsiTheme="majorHAnsi"/>
          <w:bCs/>
        </w:rPr>
        <w:t xml:space="preserve">in future </w:t>
      </w:r>
      <w:r w:rsidR="00DD109A" w:rsidRPr="00214CBC">
        <w:rPr>
          <w:rFonts w:asciiTheme="majorHAnsi" w:hAnsiTheme="majorHAnsi"/>
          <w:bCs/>
        </w:rPr>
        <w:t xml:space="preserve">the </w:t>
      </w:r>
      <w:r w:rsidR="00B45C03">
        <w:rPr>
          <w:rFonts w:asciiTheme="majorHAnsi" w:hAnsiTheme="majorHAnsi"/>
          <w:bCs/>
        </w:rPr>
        <w:t>Conference</w:t>
      </w:r>
      <w:r w:rsidR="00DD109A" w:rsidRPr="00214CBC">
        <w:rPr>
          <w:rFonts w:asciiTheme="majorHAnsi" w:hAnsiTheme="majorHAnsi"/>
          <w:bCs/>
        </w:rPr>
        <w:t xml:space="preserve"> might delegate approval to the Standing Committee, as was already the case with the Ramsar Awards. Inserting a paragraph into the </w:t>
      </w:r>
      <w:r w:rsidR="001C2719">
        <w:rPr>
          <w:rFonts w:asciiTheme="majorHAnsi" w:hAnsiTheme="majorHAnsi"/>
          <w:bCs/>
        </w:rPr>
        <w:t>d</w:t>
      </w:r>
      <w:r w:rsidR="00DD109A" w:rsidRPr="00214CBC">
        <w:rPr>
          <w:rFonts w:asciiTheme="majorHAnsi" w:hAnsiTheme="majorHAnsi"/>
          <w:bCs/>
        </w:rPr>
        <w:t xml:space="preserve">raft </w:t>
      </w:r>
      <w:r w:rsidR="001C2719">
        <w:rPr>
          <w:rFonts w:asciiTheme="majorHAnsi" w:hAnsiTheme="majorHAnsi"/>
          <w:bCs/>
        </w:rPr>
        <w:t>r</w:t>
      </w:r>
      <w:r w:rsidR="00DD109A" w:rsidRPr="00214CBC">
        <w:rPr>
          <w:rFonts w:asciiTheme="majorHAnsi" w:hAnsiTheme="majorHAnsi"/>
          <w:bCs/>
        </w:rPr>
        <w:t xml:space="preserve">esolution contained in </w:t>
      </w:r>
      <w:r w:rsidR="001C2719">
        <w:rPr>
          <w:rFonts w:asciiTheme="majorHAnsi" w:hAnsiTheme="majorHAnsi"/>
          <w:bCs/>
        </w:rPr>
        <w:t xml:space="preserve">document </w:t>
      </w:r>
      <w:r w:rsidR="00DD109A" w:rsidRPr="00214CBC">
        <w:rPr>
          <w:rFonts w:asciiTheme="majorHAnsi" w:hAnsiTheme="majorHAnsi"/>
          <w:bCs/>
        </w:rPr>
        <w:t xml:space="preserve">COP13 </w:t>
      </w:r>
      <w:r w:rsidR="004B6F17">
        <w:rPr>
          <w:rFonts w:asciiTheme="majorHAnsi" w:hAnsiTheme="majorHAnsi"/>
          <w:bCs/>
        </w:rPr>
        <w:t>Doc.</w:t>
      </w:r>
      <w:r w:rsidR="00DD109A" w:rsidRPr="00214CBC">
        <w:rPr>
          <w:rFonts w:asciiTheme="majorHAnsi" w:hAnsiTheme="majorHAnsi"/>
          <w:bCs/>
        </w:rPr>
        <w:t xml:space="preserve">18.7 might be one </w:t>
      </w:r>
      <w:r w:rsidR="00273AFE">
        <w:rPr>
          <w:rFonts w:asciiTheme="majorHAnsi" w:hAnsiTheme="majorHAnsi"/>
          <w:bCs/>
        </w:rPr>
        <w:t>way</w:t>
      </w:r>
      <w:r w:rsidR="00DD109A" w:rsidRPr="00214CBC">
        <w:rPr>
          <w:rFonts w:asciiTheme="majorHAnsi" w:hAnsiTheme="majorHAnsi"/>
          <w:bCs/>
        </w:rPr>
        <w:t xml:space="preserve"> of addressing this issue.</w:t>
      </w:r>
    </w:p>
    <w:p w14:paraId="0E24291F" w14:textId="77777777" w:rsidR="00DD109A" w:rsidRPr="00214CBC" w:rsidRDefault="00DD109A" w:rsidP="005665AE">
      <w:pPr>
        <w:spacing w:after="0" w:line="240" w:lineRule="auto"/>
        <w:ind w:left="567" w:hanging="567"/>
        <w:rPr>
          <w:rFonts w:asciiTheme="majorHAnsi" w:hAnsiTheme="majorHAnsi"/>
          <w:bCs/>
        </w:rPr>
      </w:pPr>
    </w:p>
    <w:p w14:paraId="1C4A3D4A" w14:textId="4A25D1EE" w:rsidR="00DD109A" w:rsidRPr="00214CBC" w:rsidRDefault="007B4C8F" w:rsidP="005665AE">
      <w:pPr>
        <w:spacing w:after="0" w:line="240" w:lineRule="auto"/>
        <w:ind w:left="567" w:hanging="567"/>
        <w:rPr>
          <w:rFonts w:asciiTheme="majorHAnsi" w:hAnsiTheme="majorHAnsi"/>
          <w:bCs/>
        </w:rPr>
      </w:pPr>
      <w:r>
        <w:rPr>
          <w:rFonts w:asciiTheme="majorHAnsi" w:hAnsiTheme="majorHAnsi"/>
          <w:bCs/>
        </w:rPr>
        <w:t>44</w:t>
      </w:r>
      <w:r w:rsidR="005665AE" w:rsidRPr="00214CBC">
        <w:rPr>
          <w:rFonts w:asciiTheme="majorHAnsi" w:hAnsiTheme="majorHAnsi"/>
          <w:bCs/>
        </w:rPr>
        <w:t>.</w:t>
      </w:r>
      <w:r w:rsidR="005665AE" w:rsidRPr="00214CBC">
        <w:rPr>
          <w:rFonts w:asciiTheme="majorHAnsi" w:hAnsiTheme="majorHAnsi"/>
          <w:bCs/>
        </w:rPr>
        <w:tab/>
      </w:r>
      <w:r w:rsidR="00DD109A" w:rsidRPr="00214CBC">
        <w:rPr>
          <w:rFonts w:asciiTheme="majorHAnsi" w:hAnsiTheme="majorHAnsi"/>
          <w:b/>
          <w:bCs/>
        </w:rPr>
        <w:t>France</w:t>
      </w:r>
      <w:r w:rsidR="00DD109A" w:rsidRPr="00214CBC">
        <w:rPr>
          <w:rFonts w:asciiTheme="majorHAnsi" w:hAnsiTheme="majorHAnsi"/>
          <w:bCs/>
        </w:rPr>
        <w:t xml:space="preserve"> called for improvements in the WCA process prior to COP14.</w:t>
      </w:r>
    </w:p>
    <w:p w14:paraId="671E0E1B" w14:textId="77777777" w:rsidR="00DD109A" w:rsidRPr="00214CBC" w:rsidRDefault="00DD109A" w:rsidP="005665AE">
      <w:pPr>
        <w:spacing w:after="0" w:line="240" w:lineRule="auto"/>
        <w:ind w:left="567" w:hanging="567"/>
        <w:rPr>
          <w:rFonts w:asciiTheme="majorHAnsi" w:hAnsiTheme="majorHAnsi"/>
          <w:bCs/>
        </w:rPr>
      </w:pPr>
    </w:p>
    <w:p w14:paraId="071013EE" w14:textId="23E5D72A" w:rsidR="00DD109A" w:rsidRDefault="007B4C8F" w:rsidP="005665AE">
      <w:pPr>
        <w:spacing w:after="0" w:line="240" w:lineRule="auto"/>
        <w:ind w:left="567" w:hanging="567"/>
        <w:rPr>
          <w:rFonts w:asciiTheme="majorHAnsi" w:hAnsiTheme="majorHAnsi"/>
          <w:bCs/>
        </w:rPr>
      </w:pPr>
      <w:r>
        <w:rPr>
          <w:rFonts w:asciiTheme="majorHAnsi" w:hAnsiTheme="majorHAnsi"/>
          <w:bCs/>
        </w:rPr>
        <w:t>45</w:t>
      </w:r>
      <w:r w:rsidR="005665AE" w:rsidRPr="00214CBC">
        <w:rPr>
          <w:rFonts w:asciiTheme="majorHAnsi" w:hAnsiTheme="majorHAnsi"/>
          <w:bCs/>
        </w:rPr>
        <w:t>.</w:t>
      </w:r>
      <w:r w:rsidR="005665AE" w:rsidRPr="00214CBC">
        <w:rPr>
          <w:rFonts w:asciiTheme="majorHAnsi" w:hAnsiTheme="majorHAnsi"/>
          <w:bCs/>
        </w:rPr>
        <w:tab/>
      </w:r>
      <w:r w:rsidR="00854AE3">
        <w:t xml:space="preserve">The </w:t>
      </w:r>
      <w:r w:rsidR="00854AE3" w:rsidRPr="00854AE3">
        <w:rPr>
          <w:b/>
        </w:rPr>
        <w:t>Secretary General</w:t>
      </w:r>
      <w:r w:rsidR="00854AE3">
        <w:t xml:space="preserve"> remarked that it would be helpful to clarify the various aspects of the Wetland City Accreditation scheme to ensure a clear mandate for the Secretariat and to overcome some of the difficulties and ambiguities encountered in implementing the decisions adopted at COP12 and SC54.</w:t>
      </w:r>
    </w:p>
    <w:p w14:paraId="5E48030F" w14:textId="433602C5" w:rsidR="00A54E11" w:rsidRPr="00854AE3" w:rsidRDefault="00A54E11" w:rsidP="005665AE">
      <w:pPr>
        <w:spacing w:after="0" w:line="240" w:lineRule="auto"/>
        <w:ind w:left="567" w:hanging="567"/>
        <w:rPr>
          <w:rFonts w:asciiTheme="majorHAnsi" w:hAnsiTheme="majorHAnsi"/>
          <w:b/>
          <w:bCs/>
        </w:rPr>
      </w:pPr>
    </w:p>
    <w:p w14:paraId="77FD81E7" w14:textId="57B27DC0" w:rsidR="00A54E11" w:rsidRPr="00854AE3" w:rsidRDefault="00A54E11" w:rsidP="00A54E11">
      <w:pPr>
        <w:pStyle w:val="PlainText"/>
        <w:rPr>
          <w:b/>
        </w:rPr>
      </w:pPr>
      <w:r w:rsidRPr="00854AE3">
        <w:rPr>
          <w:b/>
        </w:rPr>
        <w:t>Decision SC55-13: The Standing Committee took note of the discussion concerning Wetland City Accreditation, and instructed the Secretariat to bring forward a proposed amendment to the working programme for COP13, with a view to addressing agenda items 15.1 and 15.2 on 25 October. The Committee confirmed that WCA certificates should be received by the relevant city representatives present at COP13.</w:t>
      </w:r>
    </w:p>
    <w:p w14:paraId="0A151643" w14:textId="77777777" w:rsidR="00A54E11" w:rsidRPr="00214CBC" w:rsidRDefault="00A54E11" w:rsidP="005665AE">
      <w:pPr>
        <w:spacing w:after="0" w:line="240" w:lineRule="auto"/>
        <w:ind w:left="567" w:hanging="567"/>
        <w:rPr>
          <w:rFonts w:asciiTheme="majorHAnsi" w:hAnsiTheme="majorHAnsi"/>
          <w:bCs/>
        </w:rPr>
      </w:pPr>
    </w:p>
    <w:p w14:paraId="3E22B4C9" w14:textId="77777777" w:rsidR="00DD109A" w:rsidRPr="00214CBC" w:rsidRDefault="00DD109A" w:rsidP="00F52F7A">
      <w:pPr>
        <w:pBdr>
          <w:top w:val="single" w:sz="4" w:space="1" w:color="auto"/>
          <w:left w:val="single" w:sz="4" w:space="4" w:color="auto"/>
          <w:bottom w:val="single" w:sz="4" w:space="1" w:color="auto"/>
          <w:right w:val="single" w:sz="4" w:space="4" w:color="auto"/>
        </w:pBdr>
        <w:spacing w:after="0" w:line="240" w:lineRule="auto"/>
        <w:outlineLvl w:val="0"/>
        <w:rPr>
          <w:rFonts w:asciiTheme="majorHAnsi" w:hAnsiTheme="majorHAnsi"/>
          <w:bCs/>
        </w:rPr>
      </w:pPr>
      <w:r w:rsidRPr="00214CBC">
        <w:rPr>
          <w:rFonts w:asciiTheme="majorHAnsi" w:hAnsiTheme="majorHAnsi"/>
          <w:bCs/>
        </w:rPr>
        <w:t xml:space="preserve">Agenda item 12: </w:t>
      </w:r>
      <w:r w:rsidRPr="00214CBC">
        <w:rPr>
          <w:bCs/>
          <w:lang w:val="en-US"/>
        </w:rPr>
        <w:t>Agenda for the 56th meeting of the Standing Committee</w:t>
      </w:r>
    </w:p>
    <w:p w14:paraId="547E578A" w14:textId="77777777" w:rsidR="00DD109A" w:rsidRPr="00214CBC" w:rsidRDefault="00DD109A" w:rsidP="00F52F7A">
      <w:pPr>
        <w:spacing w:after="0" w:line="240" w:lineRule="auto"/>
        <w:ind w:left="425" w:hanging="425"/>
        <w:rPr>
          <w:rFonts w:asciiTheme="majorHAnsi" w:hAnsiTheme="majorHAnsi"/>
          <w:bCs/>
        </w:rPr>
      </w:pPr>
    </w:p>
    <w:p w14:paraId="0DF11EC7" w14:textId="2F237E47"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46</w:t>
      </w:r>
      <w:r w:rsidR="00214CBC" w:rsidRPr="00214CBC">
        <w:rPr>
          <w:rFonts w:asciiTheme="majorHAnsi" w:hAnsiTheme="majorHAnsi"/>
          <w:bCs/>
        </w:rPr>
        <w:t>.</w:t>
      </w:r>
      <w:r w:rsidR="00214CBC"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Chair</w:t>
      </w:r>
      <w:r w:rsidR="00DD109A" w:rsidRPr="00214CBC">
        <w:rPr>
          <w:rFonts w:asciiTheme="majorHAnsi" w:hAnsiTheme="majorHAnsi"/>
          <w:bCs/>
        </w:rPr>
        <w:t xml:space="preserve"> tabled document SC56 Doc.2.</w:t>
      </w:r>
    </w:p>
    <w:p w14:paraId="7636835E" w14:textId="77777777" w:rsidR="00DD109A" w:rsidRPr="00214CBC" w:rsidRDefault="00DD109A" w:rsidP="00214CBC">
      <w:pPr>
        <w:spacing w:after="0" w:line="240" w:lineRule="auto"/>
        <w:ind w:left="567" w:hanging="567"/>
        <w:rPr>
          <w:rFonts w:asciiTheme="majorHAnsi" w:hAnsiTheme="majorHAnsi"/>
          <w:bCs/>
        </w:rPr>
      </w:pPr>
    </w:p>
    <w:p w14:paraId="245AAD81" w14:textId="0938FC3D"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47</w:t>
      </w:r>
      <w:r w:rsidR="00214CBC" w:rsidRPr="00214CBC">
        <w:rPr>
          <w:rFonts w:asciiTheme="majorHAnsi" w:hAnsiTheme="majorHAnsi"/>
          <w:bCs/>
        </w:rPr>
        <w:t>.</w:t>
      </w:r>
      <w:r w:rsidR="00214CBC" w:rsidRPr="00214CBC">
        <w:rPr>
          <w:rFonts w:asciiTheme="majorHAnsi" w:hAnsiTheme="majorHAnsi"/>
          <w:bCs/>
        </w:rPr>
        <w:tab/>
      </w:r>
      <w:r w:rsidR="00B45C03">
        <w:rPr>
          <w:rFonts w:asciiTheme="majorHAnsi" w:hAnsiTheme="majorHAnsi"/>
          <w:bCs/>
        </w:rPr>
        <w:t xml:space="preserve">The </w:t>
      </w:r>
      <w:r w:rsidR="00DD109A" w:rsidRPr="00214CBC">
        <w:rPr>
          <w:rFonts w:asciiTheme="majorHAnsi" w:hAnsiTheme="majorHAnsi"/>
          <w:b/>
          <w:bCs/>
        </w:rPr>
        <w:t>United States of America</w:t>
      </w:r>
      <w:r w:rsidR="00DD109A" w:rsidRPr="00214CBC">
        <w:rPr>
          <w:rFonts w:asciiTheme="majorHAnsi" w:hAnsiTheme="majorHAnsi"/>
          <w:bCs/>
        </w:rPr>
        <w:t xml:space="preserve"> </w:t>
      </w:r>
      <w:r w:rsidR="00B45C03">
        <w:rPr>
          <w:rFonts w:asciiTheme="majorHAnsi" w:hAnsiTheme="majorHAnsi"/>
          <w:bCs/>
        </w:rPr>
        <w:t>observed</w:t>
      </w:r>
      <w:r w:rsidR="00DD109A" w:rsidRPr="00214CBC">
        <w:rPr>
          <w:rFonts w:asciiTheme="majorHAnsi" w:hAnsiTheme="majorHAnsi"/>
          <w:bCs/>
        </w:rPr>
        <w:t xml:space="preserve"> that </w:t>
      </w:r>
      <w:r w:rsidR="00F22F26">
        <w:rPr>
          <w:rFonts w:asciiTheme="majorHAnsi" w:hAnsiTheme="majorHAnsi"/>
          <w:bCs/>
        </w:rPr>
        <w:t xml:space="preserve">at </w:t>
      </w:r>
      <w:r w:rsidR="00DD109A" w:rsidRPr="00214CBC">
        <w:rPr>
          <w:rFonts w:asciiTheme="majorHAnsi" w:hAnsiTheme="majorHAnsi"/>
          <w:bCs/>
        </w:rPr>
        <w:t xml:space="preserve">SC56 </w:t>
      </w:r>
      <w:r w:rsidR="00F22F26">
        <w:rPr>
          <w:rFonts w:asciiTheme="majorHAnsi" w:hAnsiTheme="majorHAnsi"/>
          <w:bCs/>
        </w:rPr>
        <w:t xml:space="preserve">the Standing Committee </w:t>
      </w:r>
      <w:r w:rsidR="00DD109A" w:rsidRPr="00214CBC">
        <w:rPr>
          <w:rFonts w:asciiTheme="majorHAnsi" w:hAnsiTheme="majorHAnsi"/>
          <w:bCs/>
        </w:rPr>
        <w:t xml:space="preserve">might also wish to consider the establishment of any subgroups required to respond to final COP13 </w:t>
      </w:r>
      <w:r w:rsidR="00B45C03">
        <w:rPr>
          <w:rFonts w:asciiTheme="majorHAnsi" w:hAnsiTheme="majorHAnsi"/>
          <w:bCs/>
        </w:rPr>
        <w:t>r</w:t>
      </w:r>
      <w:r w:rsidR="00DD109A" w:rsidRPr="00214CBC">
        <w:rPr>
          <w:rFonts w:asciiTheme="majorHAnsi" w:hAnsiTheme="majorHAnsi"/>
          <w:bCs/>
        </w:rPr>
        <w:t>esolutions.</w:t>
      </w:r>
    </w:p>
    <w:p w14:paraId="45BEE72F" w14:textId="77777777" w:rsidR="00DD109A" w:rsidRPr="00214CBC" w:rsidRDefault="00DD109A" w:rsidP="00F52F7A">
      <w:pPr>
        <w:spacing w:after="0" w:line="240" w:lineRule="auto"/>
        <w:rPr>
          <w:rFonts w:asciiTheme="majorHAnsi" w:hAnsiTheme="majorHAnsi"/>
          <w:bCs/>
        </w:rPr>
      </w:pPr>
    </w:p>
    <w:p w14:paraId="47B7CE31" w14:textId="3D83C505" w:rsidR="00DD109A" w:rsidRPr="00214CBC" w:rsidRDefault="00DD109A" w:rsidP="00F52F7A">
      <w:pPr>
        <w:spacing w:after="0" w:line="240" w:lineRule="auto"/>
        <w:contextualSpacing/>
        <w:rPr>
          <w:b/>
        </w:rPr>
      </w:pPr>
      <w:r w:rsidRPr="00214CBC">
        <w:rPr>
          <w:b/>
        </w:rPr>
        <w:t xml:space="preserve">Decision </w:t>
      </w:r>
      <w:r w:rsidR="00214CBC" w:rsidRPr="00214CBC">
        <w:rPr>
          <w:b/>
        </w:rPr>
        <w:t>SC55-</w:t>
      </w:r>
      <w:r w:rsidR="007B4C8F" w:rsidRPr="00214CBC">
        <w:rPr>
          <w:b/>
        </w:rPr>
        <w:t>1</w:t>
      </w:r>
      <w:r w:rsidR="00A54E11">
        <w:rPr>
          <w:b/>
        </w:rPr>
        <w:t>4</w:t>
      </w:r>
      <w:r w:rsidRPr="00214CBC">
        <w:rPr>
          <w:b/>
        </w:rPr>
        <w:t>: The Standing Committee</w:t>
      </w:r>
      <w:r w:rsidR="00B45C03">
        <w:rPr>
          <w:b/>
        </w:rPr>
        <w:t xml:space="preserve"> </w:t>
      </w:r>
      <w:r w:rsidR="00F22F26">
        <w:rPr>
          <w:b/>
        </w:rPr>
        <w:t xml:space="preserve">noted the observations and </w:t>
      </w:r>
      <w:r w:rsidR="00B45C03">
        <w:rPr>
          <w:b/>
        </w:rPr>
        <w:t>adopted document SC56</w:t>
      </w:r>
      <w:r w:rsidR="00F22F26">
        <w:rPr>
          <w:b/>
        </w:rPr>
        <w:t> </w:t>
      </w:r>
      <w:r w:rsidR="00B45C03">
        <w:rPr>
          <w:b/>
        </w:rPr>
        <w:t>Doc.</w:t>
      </w:r>
      <w:r w:rsidRPr="00214CBC">
        <w:rPr>
          <w:b/>
        </w:rPr>
        <w:t>2.</w:t>
      </w:r>
    </w:p>
    <w:p w14:paraId="716DF8A7" w14:textId="77777777" w:rsidR="00DD109A" w:rsidRPr="00214CBC" w:rsidRDefault="00DD109A" w:rsidP="00F52F7A">
      <w:pPr>
        <w:spacing w:after="0" w:line="240" w:lineRule="auto"/>
        <w:rPr>
          <w:rFonts w:asciiTheme="majorHAnsi" w:hAnsiTheme="majorHAnsi"/>
          <w:bCs/>
        </w:rPr>
      </w:pPr>
    </w:p>
    <w:p w14:paraId="22E90A1E" w14:textId="77777777" w:rsidR="00DD109A" w:rsidRPr="00214CBC" w:rsidRDefault="00DD109A" w:rsidP="00F22F26">
      <w:pPr>
        <w:keepNext/>
        <w:pBdr>
          <w:top w:val="single" w:sz="4" w:space="1" w:color="auto"/>
          <w:left w:val="single" w:sz="4" w:space="4" w:color="auto"/>
          <w:bottom w:val="single" w:sz="4" w:space="1" w:color="auto"/>
          <w:right w:val="single" w:sz="4" w:space="4" w:color="auto"/>
        </w:pBdr>
        <w:spacing w:after="0" w:line="240" w:lineRule="auto"/>
        <w:rPr>
          <w:rFonts w:asciiTheme="majorHAnsi" w:hAnsiTheme="majorHAnsi"/>
          <w:bCs/>
        </w:rPr>
      </w:pPr>
      <w:r w:rsidRPr="00214CBC">
        <w:rPr>
          <w:rFonts w:asciiTheme="majorHAnsi" w:hAnsiTheme="majorHAnsi"/>
          <w:bCs/>
        </w:rPr>
        <w:t>Any Other Business</w:t>
      </w:r>
    </w:p>
    <w:p w14:paraId="6135E6A8" w14:textId="77777777" w:rsidR="00DD109A" w:rsidRPr="00214CBC" w:rsidRDefault="00DD109A" w:rsidP="00F22F26">
      <w:pPr>
        <w:keepNext/>
        <w:spacing w:after="0" w:line="240" w:lineRule="auto"/>
        <w:rPr>
          <w:rFonts w:asciiTheme="majorHAnsi" w:hAnsiTheme="majorHAnsi"/>
          <w:bCs/>
        </w:rPr>
      </w:pPr>
    </w:p>
    <w:p w14:paraId="6BDE98FD" w14:textId="3160AFB8"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48</w:t>
      </w:r>
      <w:r w:rsidR="00214CBC" w:rsidRPr="00214CBC">
        <w:rPr>
          <w:rFonts w:asciiTheme="majorHAnsi" w:hAnsiTheme="majorHAnsi"/>
          <w:bCs/>
        </w:rPr>
        <w:t>.</w:t>
      </w:r>
      <w:r w:rsidR="00214CBC" w:rsidRPr="00214CBC">
        <w:rPr>
          <w:rFonts w:asciiTheme="majorHAnsi" w:hAnsiTheme="majorHAnsi"/>
          <w:bCs/>
        </w:rPr>
        <w:tab/>
      </w:r>
      <w:r w:rsidR="00B45C03">
        <w:rPr>
          <w:rFonts w:asciiTheme="majorHAnsi" w:hAnsiTheme="majorHAnsi"/>
          <w:bCs/>
        </w:rPr>
        <w:t xml:space="preserve">The </w:t>
      </w:r>
      <w:r w:rsidR="00DD109A" w:rsidRPr="00214CBC">
        <w:rPr>
          <w:rFonts w:asciiTheme="majorHAnsi" w:hAnsiTheme="majorHAnsi"/>
          <w:b/>
          <w:bCs/>
        </w:rPr>
        <w:t>United States of America</w:t>
      </w:r>
      <w:r w:rsidR="00DD109A" w:rsidRPr="00214CBC">
        <w:rPr>
          <w:rFonts w:asciiTheme="majorHAnsi" w:hAnsiTheme="majorHAnsi"/>
          <w:bCs/>
        </w:rPr>
        <w:t xml:space="preserve"> thanked the outgoing Chair of the Standing Committee for his stewardship of the Standing Committee since COP12.</w:t>
      </w:r>
    </w:p>
    <w:p w14:paraId="55A01992" w14:textId="77777777" w:rsidR="00DD109A" w:rsidRPr="00214CBC" w:rsidRDefault="00DD109A" w:rsidP="00214CBC">
      <w:pPr>
        <w:spacing w:after="0" w:line="240" w:lineRule="auto"/>
        <w:ind w:left="567" w:hanging="567"/>
        <w:rPr>
          <w:rFonts w:asciiTheme="majorHAnsi" w:hAnsiTheme="majorHAnsi"/>
          <w:bCs/>
        </w:rPr>
      </w:pPr>
    </w:p>
    <w:p w14:paraId="7A01D306" w14:textId="4969846B"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49</w:t>
      </w:r>
      <w:r w:rsidR="00214CBC" w:rsidRPr="00214CBC">
        <w:rPr>
          <w:rFonts w:asciiTheme="majorHAnsi" w:hAnsiTheme="majorHAnsi"/>
          <w:bCs/>
        </w:rPr>
        <w:t>.</w:t>
      </w:r>
      <w:r w:rsidR="00214CBC"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Chair</w:t>
      </w:r>
      <w:r w:rsidR="00DD109A" w:rsidRPr="00214CBC">
        <w:rPr>
          <w:rFonts w:asciiTheme="majorHAnsi" w:hAnsiTheme="majorHAnsi"/>
          <w:bCs/>
        </w:rPr>
        <w:t xml:space="preserve"> recalled that the Standing Committee would reconvene on the morning of 23</w:t>
      </w:r>
      <w:r w:rsidR="00F22F26">
        <w:rPr>
          <w:rFonts w:asciiTheme="majorHAnsi" w:hAnsiTheme="majorHAnsi"/>
          <w:bCs/>
        </w:rPr>
        <w:t> </w:t>
      </w:r>
      <w:r w:rsidR="00DD109A" w:rsidRPr="00214CBC">
        <w:rPr>
          <w:rFonts w:asciiTheme="majorHAnsi" w:hAnsiTheme="majorHAnsi"/>
          <w:bCs/>
        </w:rPr>
        <w:t>October to finalize the nomination of a second COP Vice-President.</w:t>
      </w:r>
    </w:p>
    <w:p w14:paraId="330976FB" w14:textId="77777777" w:rsidR="00DD109A" w:rsidRPr="00214CBC" w:rsidRDefault="00DD109A" w:rsidP="00214CBC">
      <w:pPr>
        <w:spacing w:after="0" w:line="240" w:lineRule="auto"/>
        <w:ind w:left="567" w:hanging="567"/>
        <w:rPr>
          <w:rFonts w:asciiTheme="majorHAnsi" w:hAnsiTheme="majorHAnsi"/>
          <w:bCs/>
        </w:rPr>
      </w:pPr>
    </w:p>
    <w:p w14:paraId="0D2640F2" w14:textId="42611993"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50</w:t>
      </w:r>
      <w:r w:rsidR="00214CBC" w:rsidRPr="00214CBC">
        <w:rPr>
          <w:rFonts w:asciiTheme="majorHAnsi" w:hAnsiTheme="majorHAnsi"/>
          <w:bCs/>
        </w:rPr>
        <w:t>.</w:t>
      </w:r>
      <w:r w:rsidR="00214CBC" w:rsidRPr="00214CBC">
        <w:rPr>
          <w:rFonts w:asciiTheme="majorHAnsi" w:hAnsiTheme="majorHAnsi"/>
          <w:bCs/>
        </w:rPr>
        <w:tab/>
      </w:r>
      <w:r w:rsidR="00DD109A" w:rsidRPr="00214CBC">
        <w:rPr>
          <w:rFonts w:asciiTheme="majorHAnsi" w:hAnsiTheme="majorHAnsi"/>
          <w:bCs/>
        </w:rPr>
        <w:t xml:space="preserve">In response to a question from </w:t>
      </w:r>
      <w:r w:rsidR="00DD109A" w:rsidRPr="00214CBC">
        <w:rPr>
          <w:rFonts w:asciiTheme="majorHAnsi" w:hAnsiTheme="majorHAnsi"/>
          <w:b/>
          <w:bCs/>
        </w:rPr>
        <w:t>Senegal</w:t>
      </w:r>
      <w:r w:rsidR="00DD109A" w:rsidRPr="00214CBC">
        <w:rPr>
          <w:rFonts w:asciiTheme="majorHAnsi" w:hAnsiTheme="majorHAnsi"/>
          <w:bCs/>
        </w:rPr>
        <w:t xml:space="preserve">, the </w:t>
      </w:r>
      <w:r w:rsidR="00DD109A" w:rsidRPr="00214CBC">
        <w:rPr>
          <w:rFonts w:asciiTheme="majorHAnsi" w:hAnsiTheme="majorHAnsi"/>
          <w:b/>
          <w:bCs/>
        </w:rPr>
        <w:t>Secretariat</w:t>
      </w:r>
      <w:r w:rsidR="00DD109A" w:rsidRPr="00214CBC">
        <w:rPr>
          <w:rFonts w:asciiTheme="majorHAnsi" w:hAnsiTheme="majorHAnsi"/>
          <w:bCs/>
        </w:rPr>
        <w:t xml:space="preserve"> confirmed that the </w:t>
      </w:r>
      <w:r w:rsidR="00B45C03" w:rsidRPr="00214CBC">
        <w:rPr>
          <w:rFonts w:asciiTheme="majorHAnsi" w:hAnsiTheme="majorHAnsi"/>
          <w:bCs/>
        </w:rPr>
        <w:t xml:space="preserve">draft resolution </w:t>
      </w:r>
      <w:r w:rsidR="00DD109A" w:rsidRPr="00214CBC">
        <w:rPr>
          <w:rFonts w:asciiTheme="majorHAnsi" w:hAnsiTheme="majorHAnsi"/>
          <w:bCs/>
        </w:rPr>
        <w:t xml:space="preserve">contained in document </w:t>
      </w:r>
      <w:r w:rsidR="00DD109A" w:rsidRPr="00214CBC">
        <w:rPr>
          <w:rFonts w:eastAsia="Times New Roman" w:cstheme="majorHAnsi"/>
          <w:bCs/>
        </w:rPr>
        <w:t xml:space="preserve">COP13 Doc.18.10 would take into account the fact that </w:t>
      </w:r>
      <w:r w:rsidR="00DD109A" w:rsidRPr="00214CBC">
        <w:rPr>
          <w:rFonts w:asciiTheme="majorHAnsi" w:hAnsiTheme="majorHAnsi"/>
          <w:bCs/>
        </w:rPr>
        <w:t>Ramsar Site no. 139, Réserve Spéciale de Faune de Ndiaël, was being removed from the Montreux Record, further to the conclusions of a recent Ramsar Advisory Mission.</w:t>
      </w:r>
    </w:p>
    <w:p w14:paraId="0F963B84" w14:textId="77777777" w:rsidR="00DD109A" w:rsidRPr="00214CBC" w:rsidRDefault="00DD109A" w:rsidP="00214CBC">
      <w:pPr>
        <w:spacing w:after="0" w:line="240" w:lineRule="auto"/>
        <w:ind w:left="567" w:hanging="567"/>
        <w:rPr>
          <w:rFonts w:asciiTheme="majorHAnsi" w:hAnsiTheme="majorHAnsi"/>
          <w:bCs/>
        </w:rPr>
      </w:pPr>
    </w:p>
    <w:p w14:paraId="1175E1E4" w14:textId="7954DACB" w:rsidR="00DD109A" w:rsidRPr="00214CBC" w:rsidRDefault="007B4C8F" w:rsidP="00214CBC">
      <w:pPr>
        <w:spacing w:after="0" w:line="240" w:lineRule="auto"/>
        <w:ind w:left="567" w:hanging="567"/>
        <w:rPr>
          <w:rFonts w:asciiTheme="majorHAnsi" w:hAnsiTheme="majorHAnsi"/>
          <w:bCs/>
        </w:rPr>
      </w:pPr>
      <w:r>
        <w:rPr>
          <w:rFonts w:asciiTheme="majorHAnsi" w:hAnsiTheme="majorHAnsi"/>
          <w:bCs/>
        </w:rPr>
        <w:t>51</w:t>
      </w:r>
      <w:r w:rsidR="00214CBC" w:rsidRPr="00214CBC">
        <w:rPr>
          <w:rFonts w:asciiTheme="majorHAnsi" w:hAnsiTheme="majorHAnsi"/>
          <w:bCs/>
        </w:rPr>
        <w:t>.</w:t>
      </w:r>
      <w:r w:rsidR="00214CBC" w:rsidRPr="00214CBC">
        <w:rPr>
          <w:rFonts w:asciiTheme="majorHAnsi" w:hAnsiTheme="majorHAnsi"/>
          <w:bCs/>
        </w:rPr>
        <w:tab/>
      </w:r>
      <w:r w:rsidR="00DD109A" w:rsidRPr="00214CBC">
        <w:rPr>
          <w:rFonts w:asciiTheme="majorHAnsi" w:hAnsiTheme="majorHAnsi"/>
          <w:bCs/>
        </w:rPr>
        <w:t xml:space="preserve">The </w:t>
      </w:r>
      <w:r w:rsidR="00DD109A" w:rsidRPr="00214CBC">
        <w:rPr>
          <w:rFonts w:asciiTheme="majorHAnsi" w:hAnsiTheme="majorHAnsi"/>
          <w:b/>
          <w:bCs/>
        </w:rPr>
        <w:t>Secretary General</w:t>
      </w:r>
      <w:r w:rsidR="00DD109A" w:rsidRPr="00214CBC">
        <w:rPr>
          <w:rFonts w:asciiTheme="majorHAnsi" w:hAnsiTheme="majorHAnsi"/>
          <w:bCs/>
        </w:rPr>
        <w:t xml:space="preserve"> reported that</w:t>
      </w:r>
      <w:r w:rsidR="004B3BBD">
        <w:rPr>
          <w:rFonts w:asciiTheme="majorHAnsi" w:hAnsiTheme="majorHAnsi"/>
          <w:bCs/>
        </w:rPr>
        <w:t>,</w:t>
      </w:r>
      <w:r w:rsidR="00DD109A" w:rsidRPr="00214CBC">
        <w:rPr>
          <w:rFonts w:asciiTheme="majorHAnsi" w:hAnsiTheme="majorHAnsi"/>
          <w:bCs/>
        </w:rPr>
        <w:t xml:space="preserve"> subsequent to the decision of </w:t>
      </w:r>
      <w:r w:rsidR="00B45C03">
        <w:rPr>
          <w:rFonts w:asciiTheme="majorHAnsi" w:hAnsiTheme="majorHAnsi"/>
          <w:bCs/>
        </w:rPr>
        <w:t xml:space="preserve">the Standing Committee at </w:t>
      </w:r>
      <w:r w:rsidR="00DD109A" w:rsidRPr="00214CBC">
        <w:rPr>
          <w:rFonts w:asciiTheme="majorHAnsi" w:hAnsiTheme="majorHAnsi"/>
          <w:bCs/>
        </w:rPr>
        <w:t>SC54 to present the Ramsar Award for Wetland Innovation to Pro Natura, Mexico, it had emerged that this organi</w:t>
      </w:r>
      <w:r w:rsidR="00C555C1">
        <w:rPr>
          <w:rFonts w:asciiTheme="majorHAnsi" w:hAnsiTheme="majorHAnsi"/>
          <w:bCs/>
        </w:rPr>
        <w:t>z</w:t>
      </w:r>
      <w:r w:rsidR="00DD109A" w:rsidRPr="00214CBC">
        <w:rPr>
          <w:rFonts w:asciiTheme="majorHAnsi" w:hAnsiTheme="majorHAnsi"/>
          <w:bCs/>
        </w:rPr>
        <w:t xml:space="preserve">ation was experiencing </w:t>
      </w:r>
      <w:r w:rsidR="00B45C03" w:rsidRPr="00214CBC">
        <w:rPr>
          <w:rFonts w:asciiTheme="majorHAnsi" w:hAnsiTheme="majorHAnsi"/>
          <w:bCs/>
        </w:rPr>
        <w:t xml:space="preserve">legal </w:t>
      </w:r>
      <w:r w:rsidR="00DD109A" w:rsidRPr="00214CBC">
        <w:rPr>
          <w:rFonts w:asciiTheme="majorHAnsi" w:hAnsiTheme="majorHAnsi"/>
          <w:bCs/>
        </w:rPr>
        <w:t xml:space="preserve">issues. </w:t>
      </w:r>
      <w:r w:rsidR="004B3BBD">
        <w:rPr>
          <w:rFonts w:asciiTheme="majorHAnsi" w:hAnsiTheme="majorHAnsi"/>
          <w:bCs/>
        </w:rPr>
        <w:t>She</w:t>
      </w:r>
      <w:r w:rsidR="00DD109A" w:rsidRPr="00214CBC">
        <w:rPr>
          <w:rFonts w:asciiTheme="majorHAnsi" w:hAnsiTheme="majorHAnsi"/>
          <w:bCs/>
        </w:rPr>
        <w:t xml:space="preserve"> therefore proposed </w:t>
      </w:r>
      <w:r w:rsidR="004B3BBD">
        <w:rPr>
          <w:rFonts w:asciiTheme="majorHAnsi" w:hAnsiTheme="majorHAnsi"/>
          <w:bCs/>
        </w:rPr>
        <w:t>deferring</w:t>
      </w:r>
      <w:r w:rsidR="00B45C03">
        <w:rPr>
          <w:rFonts w:asciiTheme="majorHAnsi" w:hAnsiTheme="majorHAnsi"/>
          <w:bCs/>
        </w:rPr>
        <w:t xml:space="preserve"> presentation of this A</w:t>
      </w:r>
      <w:r w:rsidR="00DD109A" w:rsidRPr="00214CBC">
        <w:rPr>
          <w:rFonts w:asciiTheme="majorHAnsi" w:hAnsiTheme="majorHAnsi"/>
          <w:bCs/>
        </w:rPr>
        <w:t>ward for up to six months, pending clarification of the situation.</w:t>
      </w:r>
    </w:p>
    <w:p w14:paraId="72679E60" w14:textId="77777777" w:rsidR="00DD109A" w:rsidRPr="00214CBC" w:rsidRDefault="00DD109A" w:rsidP="00F52F7A">
      <w:pPr>
        <w:spacing w:after="0" w:line="240" w:lineRule="auto"/>
        <w:rPr>
          <w:rFonts w:asciiTheme="majorHAnsi" w:hAnsiTheme="majorHAnsi"/>
          <w:bCs/>
        </w:rPr>
      </w:pPr>
    </w:p>
    <w:p w14:paraId="0C33ABB5" w14:textId="04665302" w:rsidR="00DD109A" w:rsidRPr="00214CBC" w:rsidRDefault="00DD109A" w:rsidP="00F52F7A">
      <w:pPr>
        <w:spacing w:after="0" w:line="240" w:lineRule="auto"/>
        <w:rPr>
          <w:rFonts w:asciiTheme="majorHAnsi" w:hAnsiTheme="majorHAnsi"/>
          <w:b/>
          <w:bCs/>
        </w:rPr>
      </w:pPr>
      <w:r w:rsidRPr="00214CBC">
        <w:rPr>
          <w:rFonts w:asciiTheme="majorHAnsi" w:hAnsiTheme="majorHAnsi"/>
          <w:b/>
          <w:bCs/>
        </w:rPr>
        <w:t>Decision SC55-</w:t>
      </w:r>
      <w:r w:rsidR="007B4C8F">
        <w:rPr>
          <w:rFonts w:asciiTheme="majorHAnsi" w:hAnsiTheme="majorHAnsi"/>
          <w:b/>
          <w:bCs/>
        </w:rPr>
        <w:t>1</w:t>
      </w:r>
      <w:r w:rsidR="00A54E11">
        <w:rPr>
          <w:rFonts w:asciiTheme="majorHAnsi" w:hAnsiTheme="majorHAnsi"/>
          <w:b/>
          <w:bCs/>
        </w:rPr>
        <w:t>5</w:t>
      </w:r>
      <w:r w:rsidRPr="00214CBC">
        <w:rPr>
          <w:rFonts w:asciiTheme="majorHAnsi" w:hAnsiTheme="majorHAnsi"/>
          <w:b/>
          <w:bCs/>
        </w:rPr>
        <w:t>: The Standing Committee confirmed that presentation of the Ramsar Award for Wetland Innovation should be deferred for six months, pending clarification of legal issues affecting the recipient.</w:t>
      </w:r>
    </w:p>
    <w:sectPr w:rsidR="00DD109A" w:rsidRPr="00214CBC" w:rsidSect="0087449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EC4F" w16cid:durableId="1F77B0EB"/>
  <w16cid:commentId w16cid:paraId="152F6366" w16cid:durableId="1F77B0EC"/>
  <w16cid:commentId w16cid:paraId="56050B95" w16cid:durableId="1F77B0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9B0A" w14:textId="77777777" w:rsidR="00C71CA7" w:rsidRDefault="00C71CA7" w:rsidP="00BB101B">
      <w:pPr>
        <w:spacing w:after="0" w:line="240" w:lineRule="auto"/>
      </w:pPr>
      <w:r>
        <w:separator/>
      </w:r>
    </w:p>
  </w:endnote>
  <w:endnote w:type="continuationSeparator" w:id="0">
    <w:p w14:paraId="3467EE20" w14:textId="77777777" w:rsidR="00C71CA7" w:rsidRDefault="00C71CA7"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B39D" w14:textId="77777777" w:rsidR="00CD04EF" w:rsidRDefault="00CD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80FE" w14:textId="429D2CF5" w:rsidR="004B6F17" w:rsidRPr="00CD04EF" w:rsidRDefault="00430E57" w:rsidP="00BF284D">
    <w:pPr>
      <w:pStyle w:val="Header"/>
      <w:rPr>
        <w:noProof/>
        <w:sz w:val="20"/>
        <w:szCs w:val="20"/>
      </w:rPr>
    </w:pPr>
    <w:sdt>
      <w:sdtPr>
        <w:rPr>
          <w:sz w:val="20"/>
          <w:szCs w:val="20"/>
        </w:rPr>
        <w:id w:val="-1790969534"/>
        <w:docPartObj>
          <w:docPartGallery w:val="Page Numbers (Top of Page)"/>
          <w:docPartUnique/>
        </w:docPartObj>
      </w:sdtPr>
      <w:sdtEndPr>
        <w:rPr>
          <w:noProof/>
        </w:rPr>
      </w:sdtEndPr>
      <w:sdtContent>
        <w:r w:rsidR="00E74747" w:rsidRPr="00CD04EF">
          <w:rPr>
            <w:sz w:val="20"/>
            <w:szCs w:val="20"/>
          </w:rPr>
          <w:t>SC55 report and decisions</w:t>
        </w:r>
        <w:r w:rsidR="00E74747" w:rsidRPr="00CD04EF">
          <w:rPr>
            <w:sz w:val="20"/>
            <w:szCs w:val="20"/>
          </w:rPr>
          <w:tab/>
        </w:r>
        <w:r w:rsidR="00E74747" w:rsidRPr="00CD04EF">
          <w:rPr>
            <w:sz w:val="20"/>
            <w:szCs w:val="20"/>
          </w:rPr>
          <w:tab/>
        </w:r>
        <w:r w:rsidR="00E74747" w:rsidRPr="00CD04EF">
          <w:rPr>
            <w:sz w:val="20"/>
            <w:szCs w:val="20"/>
          </w:rPr>
          <w:fldChar w:fldCharType="begin"/>
        </w:r>
        <w:r w:rsidR="00E74747" w:rsidRPr="00CD04EF">
          <w:rPr>
            <w:sz w:val="20"/>
            <w:szCs w:val="20"/>
          </w:rPr>
          <w:instrText xml:space="preserve"> PAGE   \* MERGEFORMAT </w:instrText>
        </w:r>
        <w:r w:rsidR="00E74747" w:rsidRPr="00CD04EF">
          <w:rPr>
            <w:sz w:val="20"/>
            <w:szCs w:val="20"/>
          </w:rPr>
          <w:fldChar w:fldCharType="separate"/>
        </w:r>
        <w:r>
          <w:rPr>
            <w:noProof/>
            <w:sz w:val="20"/>
            <w:szCs w:val="20"/>
          </w:rPr>
          <w:t>6</w:t>
        </w:r>
        <w:r w:rsidR="00E74747" w:rsidRPr="00CD04EF">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927F" w14:textId="77777777" w:rsidR="00CD04EF" w:rsidRDefault="00CD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8771" w14:textId="77777777" w:rsidR="00C71CA7" w:rsidRDefault="00C71CA7" w:rsidP="00BB101B">
      <w:pPr>
        <w:spacing w:after="0" w:line="240" w:lineRule="auto"/>
      </w:pPr>
      <w:r>
        <w:separator/>
      </w:r>
    </w:p>
  </w:footnote>
  <w:footnote w:type="continuationSeparator" w:id="0">
    <w:p w14:paraId="1E2F0B65" w14:textId="77777777" w:rsidR="00C71CA7" w:rsidRDefault="00C71CA7" w:rsidP="00BB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91BC" w14:textId="77777777" w:rsidR="00CD04EF" w:rsidRDefault="00CD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87FFF" w14:textId="77777777" w:rsidR="00CD04EF" w:rsidRDefault="00CD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6FC8" w14:textId="77777777" w:rsidR="00CD04EF" w:rsidRDefault="00CD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15:restartNumberingAfterBreak="0">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7592CD3"/>
    <w:multiLevelType w:val="hybridMultilevel"/>
    <w:tmpl w:val="3BD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15:restartNumberingAfterBreak="0">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15:restartNumberingAfterBreak="0">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9BD5055"/>
    <w:multiLevelType w:val="hybridMultilevel"/>
    <w:tmpl w:val="55C289B0"/>
    <w:lvl w:ilvl="0" w:tplc="8E327B90">
      <w:start w:val="1"/>
      <w:numFmt w:val="decimal"/>
      <w:lvlText w:val="%1."/>
      <w:lvlJc w:val="left"/>
      <w:pPr>
        <w:ind w:left="475" w:hanging="360"/>
      </w:pPr>
      <w:rPr>
        <w:rFonts w:asciiTheme="majorHAnsi" w:eastAsia="Arial" w:hAnsiTheme="maj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15:restartNumberingAfterBreak="0">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15:restartNumberingAfterBreak="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15:restartNumberingAfterBreak="0">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14"/>
  </w:num>
  <w:num w:numId="30">
    <w:abstractNumId w:val="34"/>
  </w:num>
  <w:num w:numId="31">
    <w:abstractNumId w:val="21"/>
  </w:num>
  <w:num w:numId="32">
    <w:abstractNumId w:val="12"/>
  </w:num>
  <w:num w:numId="33">
    <w:abstractNumId w:val="8"/>
  </w:num>
  <w:num w:numId="34">
    <w:abstractNumId w:val="40"/>
  </w:num>
  <w:num w:numId="35">
    <w:abstractNumId w:val="1"/>
  </w:num>
  <w:num w:numId="36">
    <w:abstractNumId w:val="30"/>
  </w:num>
  <w:num w:numId="37">
    <w:abstractNumId w:val="11"/>
  </w:num>
  <w:num w:numId="38">
    <w:abstractNumId w:val="32"/>
  </w:num>
  <w:num w:numId="39">
    <w:abstractNumId w:val="31"/>
  </w:num>
  <w:num w:numId="40">
    <w:abstractNumId w:val="0"/>
  </w:num>
  <w:num w:numId="41">
    <w:abstractNumId w:val="19"/>
  </w:num>
  <w:num w:numId="42">
    <w:abstractNumId w:val="22"/>
  </w:num>
  <w:num w:numId="43">
    <w:abstractNumId w:val="5"/>
  </w:num>
  <w:num w:numId="44">
    <w:abstractNumId w:val="3"/>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NotTrackFormatting/>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7"/>
    <w:rsid w:val="00004B05"/>
    <w:rsid w:val="000052EA"/>
    <w:rsid w:val="00021664"/>
    <w:rsid w:val="00022ABE"/>
    <w:rsid w:val="0003083B"/>
    <w:rsid w:val="00033C95"/>
    <w:rsid w:val="0003574D"/>
    <w:rsid w:val="000417D0"/>
    <w:rsid w:val="000441B3"/>
    <w:rsid w:val="00046965"/>
    <w:rsid w:val="00047A2B"/>
    <w:rsid w:val="00056A85"/>
    <w:rsid w:val="00064D66"/>
    <w:rsid w:val="00075F34"/>
    <w:rsid w:val="000768F4"/>
    <w:rsid w:val="00082272"/>
    <w:rsid w:val="00083971"/>
    <w:rsid w:val="00087ED6"/>
    <w:rsid w:val="00091754"/>
    <w:rsid w:val="00091CFD"/>
    <w:rsid w:val="000957C3"/>
    <w:rsid w:val="0009610D"/>
    <w:rsid w:val="000A0D2B"/>
    <w:rsid w:val="000A2BB3"/>
    <w:rsid w:val="000B1589"/>
    <w:rsid w:val="000B1C02"/>
    <w:rsid w:val="000B3BED"/>
    <w:rsid w:val="000B3E78"/>
    <w:rsid w:val="000B50EA"/>
    <w:rsid w:val="000B51A6"/>
    <w:rsid w:val="000B678B"/>
    <w:rsid w:val="000B7A0D"/>
    <w:rsid w:val="000B7C77"/>
    <w:rsid w:val="000C23D2"/>
    <w:rsid w:val="000C2AEB"/>
    <w:rsid w:val="000D1705"/>
    <w:rsid w:val="000D5E27"/>
    <w:rsid w:val="000D6BEA"/>
    <w:rsid w:val="000D795F"/>
    <w:rsid w:val="000E7396"/>
    <w:rsid w:val="000E7BA3"/>
    <w:rsid w:val="000F5F52"/>
    <w:rsid w:val="000F61DB"/>
    <w:rsid w:val="000F7A3F"/>
    <w:rsid w:val="00100992"/>
    <w:rsid w:val="001038E7"/>
    <w:rsid w:val="00107404"/>
    <w:rsid w:val="0010769E"/>
    <w:rsid w:val="00112F6F"/>
    <w:rsid w:val="00125529"/>
    <w:rsid w:val="0012782D"/>
    <w:rsid w:val="001306B3"/>
    <w:rsid w:val="00130EC5"/>
    <w:rsid w:val="00134369"/>
    <w:rsid w:val="00142B3A"/>
    <w:rsid w:val="00152ED8"/>
    <w:rsid w:val="00160C78"/>
    <w:rsid w:val="001752CC"/>
    <w:rsid w:val="001800F1"/>
    <w:rsid w:val="001948FE"/>
    <w:rsid w:val="0019498F"/>
    <w:rsid w:val="001953B9"/>
    <w:rsid w:val="00197E4E"/>
    <w:rsid w:val="001A1B44"/>
    <w:rsid w:val="001A5AA0"/>
    <w:rsid w:val="001A5DB1"/>
    <w:rsid w:val="001B740B"/>
    <w:rsid w:val="001C2719"/>
    <w:rsid w:val="001C4DAD"/>
    <w:rsid w:val="001F79B6"/>
    <w:rsid w:val="002006F1"/>
    <w:rsid w:val="0020657E"/>
    <w:rsid w:val="00206F53"/>
    <w:rsid w:val="002107FC"/>
    <w:rsid w:val="00210D40"/>
    <w:rsid w:val="00211F01"/>
    <w:rsid w:val="002129FA"/>
    <w:rsid w:val="00214CBC"/>
    <w:rsid w:val="00216EB7"/>
    <w:rsid w:val="00222C03"/>
    <w:rsid w:val="00230AAE"/>
    <w:rsid w:val="00232115"/>
    <w:rsid w:val="00241DA8"/>
    <w:rsid w:val="00242316"/>
    <w:rsid w:val="00243793"/>
    <w:rsid w:val="00261071"/>
    <w:rsid w:val="00263304"/>
    <w:rsid w:val="0026523B"/>
    <w:rsid w:val="00267CF9"/>
    <w:rsid w:val="00272EF2"/>
    <w:rsid w:val="00273AFE"/>
    <w:rsid w:val="00281D7C"/>
    <w:rsid w:val="0028305E"/>
    <w:rsid w:val="00291CD0"/>
    <w:rsid w:val="00297A94"/>
    <w:rsid w:val="00297E58"/>
    <w:rsid w:val="002A57EC"/>
    <w:rsid w:val="002B1826"/>
    <w:rsid w:val="002B2360"/>
    <w:rsid w:val="002B51D1"/>
    <w:rsid w:val="002B58C5"/>
    <w:rsid w:val="002C2BC6"/>
    <w:rsid w:val="002C3D63"/>
    <w:rsid w:val="002C67EC"/>
    <w:rsid w:val="002C79C3"/>
    <w:rsid w:val="002D1C6C"/>
    <w:rsid w:val="002E2355"/>
    <w:rsid w:val="002E4EE6"/>
    <w:rsid w:val="00300233"/>
    <w:rsid w:val="00301D6D"/>
    <w:rsid w:val="0030565C"/>
    <w:rsid w:val="00305DB6"/>
    <w:rsid w:val="00310235"/>
    <w:rsid w:val="0031445B"/>
    <w:rsid w:val="003145B5"/>
    <w:rsid w:val="00316186"/>
    <w:rsid w:val="00316991"/>
    <w:rsid w:val="00322049"/>
    <w:rsid w:val="00323D93"/>
    <w:rsid w:val="00324ACD"/>
    <w:rsid w:val="003259BE"/>
    <w:rsid w:val="00333428"/>
    <w:rsid w:val="00337435"/>
    <w:rsid w:val="0034427A"/>
    <w:rsid w:val="00347E14"/>
    <w:rsid w:val="003502C2"/>
    <w:rsid w:val="00353D53"/>
    <w:rsid w:val="00354577"/>
    <w:rsid w:val="00362468"/>
    <w:rsid w:val="00374202"/>
    <w:rsid w:val="003755FB"/>
    <w:rsid w:val="00375B9A"/>
    <w:rsid w:val="00377892"/>
    <w:rsid w:val="003842B2"/>
    <w:rsid w:val="00385423"/>
    <w:rsid w:val="00393F1D"/>
    <w:rsid w:val="003978AE"/>
    <w:rsid w:val="003A4BB2"/>
    <w:rsid w:val="003A515D"/>
    <w:rsid w:val="003A7CC7"/>
    <w:rsid w:val="003B005A"/>
    <w:rsid w:val="003B4350"/>
    <w:rsid w:val="003B4C78"/>
    <w:rsid w:val="003B54F6"/>
    <w:rsid w:val="003B7701"/>
    <w:rsid w:val="003C42BC"/>
    <w:rsid w:val="003E188A"/>
    <w:rsid w:val="003E31E3"/>
    <w:rsid w:val="003E6ABC"/>
    <w:rsid w:val="003E6B30"/>
    <w:rsid w:val="003F732C"/>
    <w:rsid w:val="003F7FFE"/>
    <w:rsid w:val="0040034D"/>
    <w:rsid w:val="00400E2C"/>
    <w:rsid w:val="004049B8"/>
    <w:rsid w:val="00407297"/>
    <w:rsid w:val="0041012D"/>
    <w:rsid w:val="00427CF1"/>
    <w:rsid w:val="00430E57"/>
    <w:rsid w:val="00436A8C"/>
    <w:rsid w:val="004376AA"/>
    <w:rsid w:val="004427F7"/>
    <w:rsid w:val="00442BB4"/>
    <w:rsid w:val="00445516"/>
    <w:rsid w:val="00445813"/>
    <w:rsid w:val="00447668"/>
    <w:rsid w:val="00463492"/>
    <w:rsid w:val="00467AA0"/>
    <w:rsid w:val="00470E98"/>
    <w:rsid w:val="00474E0A"/>
    <w:rsid w:val="00480A64"/>
    <w:rsid w:val="00485B29"/>
    <w:rsid w:val="00485D30"/>
    <w:rsid w:val="00492618"/>
    <w:rsid w:val="0049315B"/>
    <w:rsid w:val="004931A4"/>
    <w:rsid w:val="0049366C"/>
    <w:rsid w:val="00495BA2"/>
    <w:rsid w:val="00497733"/>
    <w:rsid w:val="004A026A"/>
    <w:rsid w:val="004A3730"/>
    <w:rsid w:val="004B3BBD"/>
    <w:rsid w:val="004B6F17"/>
    <w:rsid w:val="004C73C5"/>
    <w:rsid w:val="004E1076"/>
    <w:rsid w:val="004F4A71"/>
    <w:rsid w:val="00502F78"/>
    <w:rsid w:val="005055C1"/>
    <w:rsid w:val="0050658E"/>
    <w:rsid w:val="00512476"/>
    <w:rsid w:val="00517B5B"/>
    <w:rsid w:val="0052386F"/>
    <w:rsid w:val="00523B7B"/>
    <w:rsid w:val="0052614B"/>
    <w:rsid w:val="00527B18"/>
    <w:rsid w:val="005319E3"/>
    <w:rsid w:val="005329EF"/>
    <w:rsid w:val="0053700E"/>
    <w:rsid w:val="00537C6A"/>
    <w:rsid w:val="005400A5"/>
    <w:rsid w:val="005401EE"/>
    <w:rsid w:val="00545A3E"/>
    <w:rsid w:val="005541E6"/>
    <w:rsid w:val="005545D8"/>
    <w:rsid w:val="00557F91"/>
    <w:rsid w:val="00561CA2"/>
    <w:rsid w:val="0056319E"/>
    <w:rsid w:val="00566340"/>
    <w:rsid w:val="005664DB"/>
    <w:rsid w:val="005665AE"/>
    <w:rsid w:val="0057190A"/>
    <w:rsid w:val="00571B6E"/>
    <w:rsid w:val="00572874"/>
    <w:rsid w:val="00576B24"/>
    <w:rsid w:val="005776D9"/>
    <w:rsid w:val="00580AAD"/>
    <w:rsid w:val="00581DF8"/>
    <w:rsid w:val="00592333"/>
    <w:rsid w:val="005A05B0"/>
    <w:rsid w:val="005A1CFB"/>
    <w:rsid w:val="005B431C"/>
    <w:rsid w:val="005C202C"/>
    <w:rsid w:val="005E055E"/>
    <w:rsid w:val="005E0FAE"/>
    <w:rsid w:val="005E37C1"/>
    <w:rsid w:val="005E5A77"/>
    <w:rsid w:val="005E6A91"/>
    <w:rsid w:val="005F63FA"/>
    <w:rsid w:val="005F75DA"/>
    <w:rsid w:val="006066C7"/>
    <w:rsid w:val="00616B00"/>
    <w:rsid w:val="00623F5E"/>
    <w:rsid w:val="00632CC8"/>
    <w:rsid w:val="00635351"/>
    <w:rsid w:val="00642D69"/>
    <w:rsid w:val="006459C0"/>
    <w:rsid w:val="00647E93"/>
    <w:rsid w:val="00653803"/>
    <w:rsid w:val="006555A7"/>
    <w:rsid w:val="00657AC5"/>
    <w:rsid w:val="00663657"/>
    <w:rsid w:val="00672651"/>
    <w:rsid w:val="00677B3B"/>
    <w:rsid w:val="00682133"/>
    <w:rsid w:val="00683172"/>
    <w:rsid w:val="006853AA"/>
    <w:rsid w:val="0068619E"/>
    <w:rsid w:val="00686D25"/>
    <w:rsid w:val="006A2026"/>
    <w:rsid w:val="006A3042"/>
    <w:rsid w:val="006A327C"/>
    <w:rsid w:val="006A3D45"/>
    <w:rsid w:val="006A5F9F"/>
    <w:rsid w:val="006B3B1D"/>
    <w:rsid w:val="006B3E2A"/>
    <w:rsid w:val="006C6F6E"/>
    <w:rsid w:val="006D2636"/>
    <w:rsid w:val="006D75F2"/>
    <w:rsid w:val="006F0AF1"/>
    <w:rsid w:val="006F14FF"/>
    <w:rsid w:val="006F273C"/>
    <w:rsid w:val="006F5FBA"/>
    <w:rsid w:val="00704980"/>
    <w:rsid w:val="0072408E"/>
    <w:rsid w:val="00724112"/>
    <w:rsid w:val="00726E94"/>
    <w:rsid w:val="007325BA"/>
    <w:rsid w:val="0073446F"/>
    <w:rsid w:val="00743C32"/>
    <w:rsid w:val="00745643"/>
    <w:rsid w:val="007544DB"/>
    <w:rsid w:val="007644BE"/>
    <w:rsid w:val="0077033F"/>
    <w:rsid w:val="0077282D"/>
    <w:rsid w:val="007804A4"/>
    <w:rsid w:val="007921FB"/>
    <w:rsid w:val="00796EB5"/>
    <w:rsid w:val="007B0061"/>
    <w:rsid w:val="007B4C8F"/>
    <w:rsid w:val="007B6CE1"/>
    <w:rsid w:val="007C192B"/>
    <w:rsid w:val="007C2E93"/>
    <w:rsid w:val="007C4BE8"/>
    <w:rsid w:val="007D70E9"/>
    <w:rsid w:val="007E1F5A"/>
    <w:rsid w:val="007E485A"/>
    <w:rsid w:val="007E686B"/>
    <w:rsid w:val="007F3322"/>
    <w:rsid w:val="007F5F3A"/>
    <w:rsid w:val="007F609D"/>
    <w:rsid w:val="00800166"/>
    <w:rsid w:val="008012DB"/>
    <w:rsid w:val="00811F91"/>
    <w:rsid w:val="00812B1B"/>
    <w:rsid w:val="00821DFD"/>
    <w:rsid w:val="00822296"/>
    <w:rsid w:val="00822B99"/>
    <w:rsid w:val="00830995"/>
    <w:rsid w:val="00832F9D"/>
    <w:rsid w:val="00833683"/>
    <w:rsid w:val="00835325"/>
    <w:rsid w:val="00854AE3"/>
    <w:rsid w:val="008618B6"/>
    <w:rsid w:val="00865144"/>
    <w:rsid w:val="00865551"/>
    <w:rsid w:val="0087047A"/>
    <w:rsid w:val="00874490"/>
    <w:rsid w:val="00895148"/>
    <w:rsid w:val="00896BE1"/>
    <w:rsid w:val="008A1EF1"/>
    <w:rsid w:val="008A578E"/>
    <w:rsid w:val="008A58CF"/>
    <w:rsid w:val="008B6E86"/>
    <w:rsid w:val="008B7F8E"/>
    <w:rsid w:val="008C22A0"/>
    <w:rsid w:val="008C2AA9"/>
    <w:rsid w:val="008D4924"/>
    <w:rsid w:val="008D55D8"/>
    <w:rsid w:val="008E3D56"/>
    <w:rsid w:val="008E5B80"/>
    <w:rsid w:val="008E5C3A"/>
    <w:rsid w:val="008F3B79"/>
    <w:rsid w:val="008F53FE"/>
    <w:rsid w:val="008F74E4"/>
    <w:rsid w:val="00900EDF"/>
    <w:rsid w:val="00903820"/>
    <w:rsid w:val="009042A4"/>
    <w:rsid w:val="00916FB8"/>
    <w:rsid w:val="00917C18"/>
    <w:rsid w:val="0092653E"/>
    <w:rsid w:val="00927A7A"/>
    <w:rsid w:val="00932BD4"/>
    <w:rsid w:val="009401F6"/>
    <w:rsid w:val="0094281E"/>
    <w:rsid w:val="00942DA9"/>
    <w:rsid w:val="0094334C"/>
    <w:rsid w:val="00943DF5"/>
    <w:rsid w:val="00946170"/>
    <w:rsid w:val="00951D5F"/>
    <w:rsid w:val="00956E10"/>
    <w:rsid w:val="00970B1C"/>
    <w:rsid w:val="00974066"/>
    <w:rsid w:val="00976D40"/>
    <w:rsid w:val="00977C24"/>
    <w:rsid w:val="00981CAA"/>
    <w:rsid w:val="00982A31"/>
    <w:rsid w:val="00986A5A"/>
    <w:rsid w:val="00992130"/>
    <w:rsid w:val="00992FC8"/>
    <w:rsid w:val="009978B1"/>
    <w:rsid w:val="00997A48"/>
    <w:rsid w:val="009B07ED"/>
    <w:rsid w:val="009C47B0"/>
    <w:rsid w:val="009C4D69"/>
    <w:rsid w:val="009C688E"/>
    <w:rsid w:val="009E001E"/>
    <w:rsid w:val="009E61F2"/>
    <w:rsid w:val="009E706D"/>
    <w:rsid w:val="009F1E89"/>
    <w:rsid w:val="00A0006A"/>
    <w:rsid w:val="00A00FA5"/>
    <w:rsid w:val="00A03F15"/>
    <w:rsid w:val="00A238A9"/>
    <w:rsid w:val="00A425A1"/>
    <w:rsid w:val="00A43462"/>
    <w:rsid w:val="00A45B60"/>
    <w:rsid w:val="00A5412A"/>
    <w:rsid w:val="00A54E11"/>
    <w:rsid w:val="00A611E7"/>
    <w:rsid w:val="00A64D7B"/>
    <w:rsid w:val="00A7296B"/>
    <w:rsid w:val="00A7388C"/>
    <w:rsid w:val="00A73D00"/>
    <w:rsid w:val="00A7504D"/>
    <w:rsid w:val="00A7563C"/>
    <w:rsid w:val="00A8440D"/>
    <w:rsid w:val="00A97FB8"/>
    <w:rsid w:val="00AA2788"/>
    <w:rsid w:val="00AA3F0D"/>
    <w:rsid w:val="00AA4E64"/>
    <w:rsid w:val="00AA56A8"/>
    <w:rsid w:val="00AB5BF5"/>
    <w:rsid w:val="00AB6DFC"/>
    <w:rsid w:val="00AC1539"/>
    <w:rsid w:val="00AD0C56"/>
    <w:rsid w:val="00AD296F"/>
    <w:rsid w:val="00AE45DC"/>
    <w:rsid w:val="00B00F1A"/>
    <w:rsid w:val="00B046FE"/>
    <w:rsid w:val="00B14587"/>
    <w:rsid w:val="00B22F44"/>
    <w:rsid w:val="00B23CD9"/>
    <w:rsid w:val="00B27BCC"/>
    <w:rsid w:val="00B35ACD"/>
    <w:rsid w:val="00B36C41"/>
    <w:rsid w:val="00B44A0F"/>
    <w:rsid w:val="00B45C03"/>
    <w:rsid w:val="00B56B86"/>
    <w:rsid w:val="00B6110E"/>
    <w:rsid w:val="00B65D35"/>
    <w:rsid w:val="00B67D7F"/>
    <w:rsid w:val="00B7089F"/>
    <w:rsid w:val="00B7101A"/>
    <w:rsid w:val="00B73DBC"/>
    <w:rsid w:val="00B83F72"/>
    <w:rsid w:val="00B873B4"/>
    <w:rsid w:val="00B87BCE"/>
    <w:rsid w:val="00B964B8"/>
    <w:rsid w:val="00BA0D48"/>
    <w:rsid w:val="00BB101B"/>
    <w:rsid w:val="00BB18DF"/>
    <w:rsid w:val="00BC4AB1"/>
    <w:rsid w:val="00BE074A"/>
    <w:rsid w:val="00BE39A3"/>
    <w:rsid w:val="00BE4948"/>
    <w:rsid w:val="00BE7538"/>
    <w:rsid w:val="00BF12AF"/>
    <w:rsid w:val="00BF284D"/>
    <w:rsid w:val="00BF32E6"/>
    <w:rsid w:val="00BF5EB8"/>
    <w:rsid w:val="00BF6972"/>
    <w:rsid w:val="00BF6D2C"/>
    <w:rsid w:val="00BF78D4"/>
    <w:rsid w:val="00C0492E"/>
    <w:rsid w:val="00C050C9"/>
    <w:rsid w:val="00C07B9B"/>
    <w:rsid w:val="00C1132D"/>
    <w:rsid w:val="00C15272"/>
    <w:rsid w:val="00C152A3"/>
    <w:rsid w:val="00C2283F"/>
    <w:rsid w:val="00C2372E"/>
    <w:rsid w:val="00C2427C"/>
    <w:rsid w:val="00C26A96"/>
    <w:rsid w:val="00C342BC"/>
    <w:rsid w:val="00C3448E"/>
    <w:rsid w:val="00C3776F"/>
    <w:rsid w:val="00C37EAE"/>
    <w:rsid w:val="00C40DE1"/>
    <w:rsid w:val="00C45C7F"/>
    <w:rsid w:val="00C476B1"/>
    <w:rsid w:val="00C5012F"/>
    <w:rsid w:val="00C5157E"/>
    <w:rsid w:val="00C51D98"/>
    <w:rsid w:val="00C54AA2"/>
    <w:rsid w:val="00C555C1"/>
    <w:rsid w:val="00C56A2D"/>
    <w:rsid w:val="00C64AFC"/>
    <w:rsid w:val="00C671A7"/>
    <w:rsid w:val="00C701E2"/>
    <w:rsid w:val="00C71CA7"/>
    <w:rsid w:val="00C73E15"/>
    <w:rsid w:val="00C77E72"/>
    <w:rsid w:val="00C805B7"/>
    <w:rsid w:val="00C82A28"/>
    <w:rsid w:val="00C86364"/>
    <w:rsid w:val="00C907E0"/>
    <w:rsid w:val="00C915FC"/>
    <w:rsid w:val="00C93AB0"/>
    <w:rsid w:val="00C942D9"/>
    <w:rsid w:val="00C949AB"/>
    <w:rsid w:val="00C94F48"/>
    <w:rsid w:val="00C970A2"/>
    <w:rsid w:val="00CA2C4B"/>
    <w:rsid w:val="00CB2474"/>
    <w:rsid w:val="00CB525A"/>
    <w:rsid w:val="00CB5D04"/>
    <w:rsid w:val="00CB6CEC"/>
    <w:rsid w:val="00CC1558"/>
    <w:rsid w:val="00CC4F1D"/>
    <w:rsid w:val="00CD04EF"/>
    <w:rsid w:val="00CD0502"/>
    <w:rsid w:val="00CF206F"/>
    <w:rsid w:val="00D04017"/>
    <w:rsid w:val="00D11F2F"/>
    <w:rsid w:val="00D159EB"/>
    <w:rsid w:val="00D20E87"/>
    <w:rsid w:val="00D2726E"/>
    <w:rsid w:val="00D30017"/>
    <w:rsid w:val="00D30531"/>
    <w:rsid w:val="00D3399B"/>
    <w:rsid w:val="00D37ABB"/>
    <w:rsid w:val="00D4052A"/>
    <w:rsid w:val="00D52FCC"/>
    <w:rsid w:val="00D53004"/>
    <w:rsid w:val="00D56E03"/>
    <w:rsid w:val="00D646FA"/>
    <w:rsid w:val="00D7180D"/>
    <w:rsid w:val="00D761E0"/>
    <w:rsid w:val="00D77F3B"/>
    <w:rsid w:val="00D8419F"/>
    <w:rsid w:val="00D86B22"/>
    <w:rsid w:val="00D93652"/>
    <w:rsid w:val="00D94CBA"/>
    <w:rsid w:val="00D97B4E"/>
    <w:rsid w:val="00DA4176"/>
    <w:rsid w:val="00DA4245"/>
    <w:rsid w:val="00DA6A30"/>
    <w:rsid w:val="00DB52C7"/>
    <w:rsid w:val="00DB5749"/>
    <w:rsid w:val="00DC17C2"/>
    <w:rsid w:val="00DC7B58"/>
    <w:rsid w:val="00DD109A"/>
    <w:rsid w:val="00DD1AD1"/>
    <w:rsid w:val="00DD1F78"/>
    <w:rsid w:val="00DD2A4B"/>
    <w:rsid w:val="00DE1C43"/>
    <w:rsid w:val="00DE287C"/>
    <w:rsid w:val="00DE7E6B"/>
    <w:rsid w:val="00DF570A"/>
    <w:rsid w:val="00E14C86"/>
    <w:rsid w:val="00E21F63"/>
    <w:rsid w:val="00E330A2"/>
    <w:rsid w:val="00E3420E"/>
    <w:rsid w:val="00E421B2"/>
    <w:rsid w:val="00E4250A"/>
    <w:rsid w:val="00E42CF3"/>
    <w:rsid w:val="00E46CD5"/>
    <w:rsid w:val="00E47662"/>
    <w:rsid w:val="00E54277"/>
    <w:rsid w:val="00E5494F"/>
    <w:rsid w:val="00E65236"/>
    <w:rsid w:val="00E70327"/>
    <w:rsid w:val="00E70730"/>
    <w:rsid w:val="00E71A9D"/>
    <w:rsid w:val="00E72654"/>
    <w:rsid w:val="00E74747"/>
    <w:rsid w:val="00E774A9"/>
    <w:rsid w:val="00E82AA4"/>
    <w:rsid w:val="00E8316D"/>
    <w:rsid w:val="00E85D62"/>
    <w:rsid w:val="00E869B0"/>
    <w:rsid w:val="00E86C99"/>
    <w:rsid w:val="00E92D2C"/>
    <w:rsid w:val="00EA52A0"/>
    <w:rsid w:val="00EA7A20"/>
    <w:rsid w:val="00EB5FE7"/>
    <w:rsid w:val="00EB63F8"/>
    <w:rsid w:val="00EB6D03"/>
    <w:rsid w:val="00EC2FF7"/>
    <w:rsid w:val="00EC3A02"/>
    <w:rsid w:val="00EC77EE"/>
    <w:rsid w:val="00ED2835"/>
    <w:rsid w:val="00EE4746"/>
    <w:rsid w:val="00EF1483"/>
    <w:rsid w:val="00F00827"/>
    <w:rsid w:val="00F076DC"/>
    <w:rsid w:val="00F11508"/>
    <w:rsid w:val="00F135F9"/>
    <w:rsid w:val="00F14265"/>
    <w:rsid w:val="00F22F26"/>
    <w:rsid w:val="00F2319B"/>
    <w:rsid w:val="00F24F37"/>
    <w:rsid w:val="00F31CEF"/>
    <w:rsid w:val="00F3655B"/>
    <w:rsid w:val="00F36A40"/>
    <w:rsid w:val="00F40B60"/>
    <w:rsid w:val="00F4236B"/>
    <w:rsid w:val="00F43987"/>
    <w:rsid w:val="00F46264"/>
    <w:rsid w:val="00F50E6F"/>
    <w:rsid w:val="00F52F7A"/>
    <w:rsid w:val="00F531FD"/>
    <w:rsid w:val="00F57AE8"/>
    <w:rsid w:val="00F613BD"/>
    <w:rsid w:val="00F61608"/>
    <w:rsid w:val="00F64506"/>
    <w:rsid w:val="00F66709"/>
    <w:rsid w:val="00F771C0"/>
    <w:rsid w:val="00F82834"/>
    <w:rsid w:val="00F8575F"/>
    <w:rsid w:val="00F9110F"/>
    <w:rsid w:val="00F916BF"/>
    <w:rsid w:val="00F929BD"/>
    <w:rsid w:val="00F934CA"/>
    <w:rsid w:val="00F941C1"/>
    <w:rsid w:val="00F95B84"/>
    <w:rsid w:val="00FA6D17"/>
    <w:rsid w:val="00FA794A"/>
    <w:rsid w:val="00FA7BE4"/>
    <w:rsid w:val="00FB1961"/>
    <w:rsid w:val="00FB48ED"/>
    <w:rsid w:val="00FD0DC9"/>
    <w:rsid w:val="00FD1582"/>
    <w:rsid w:val="00FD2CA3"/>
    <w:rsid w:val="00FD75AB"/>
    <w:rsid w:val="00FF0F5B"/>
    <w:rsid w:val="00FF71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47D843"/>
  <w15:docId w15:val="{2652E6D7-11BA-4B28-8145-124EE657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Mencinsinresolver1">
    <w:name w:val="Mención sin resolver1"/>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 w:type="paragraph" w:styleId="PlainText">
    <w:name w:val="Plain Text"/>
    <w:basedOn w:val="Normal"/>
    <w:link w:val="PlainTextChar"/>
    <w:uiPriority w:val="99"/>
    <w:semiHidden/>
    <w:unhideWhenUsed/>
    <w:rsid w:val="00A54E1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A54E11"/>
    <w:rPr>
      <w:rFonts w:ascii="Calibri" w:eastAsia="Times New Roman" w:hAnsi="Calibri" w:cs="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6945">
      <w:bodyDiv w:val="1"/>
      <w:marLeft w:val="0"/>
      <w:marRight w:val="0"/>
      <w:marTop w:val="0"/>
      <w:marBottom w:val="0"/>
      <w:divBdr>
        <w:top w:val="none" w:sz="0" w:space="0" w:color="auto"/>
        <w:left w:val="none" w:sz="0" w:space="0" w:color="auto"/>
        <w:bottom w:val="none" w:sz="0" w:space="0" w:color="auto"/>
        <w:right w:val="none" w:sz="0" w:space="0" w:color="auto"/>
      </w:divBdr>
    </w:div>
    <w:div w:id="526212247">
      <w:bodyDiv w:val="1"/>
      <w:marLeft w:val="0"/>
      <w:marRight w:val="0"/>
      <w:marTop w:val="0"/>
      <w:marBottom w:val="0"/>
      <w:divBdr>
        <w:top w:val="none" w:sz="0" w:space="0" w:color="auto"/>
        <w:left w:val="none" w:sz="0" w:space="0" w:color="auto"/>
        <w:bottom w:val="none" w:sz="0" w:space="0" w:color="auto"/>
        <w:right w:val="none" w:sz="0" w:space="0" w:color="auto"/>
      </w:divBdr>
    </w:div>
    <w:div w:id="703558073">
      <w:bodyDiv w:val="1"/>
      <w:marLeft w:val="0"/>
      <w:marRight w:val="0"/>
      <w:marTop w:val="0"/>
      <w:marBottom w:val="0"/>
      <w:divBdr>
        <w:top w:val="none" w:sz="0" w:space="0" w:color="auto"/>
        <w:left w:val="none" w:sz="0" w:space="0" w:color="auto"/>
        <w:bottom w:val="none" w:sz="0" w:space="0" w:color="auto"/>
        <w:right w:val="none" w:sz="0" w:space="0" w:color="auto"/>
      </w:divBdr>
    </w:div>
    <w:div w:id="962426648">
      <w:bodyDiv w:val="1"/>
      <w:marLeft w:val="0"/>
      <w:marRight w:val="0"/>
      <w:marTop w:val="0"/>
      <w:marBottom w:val="0"/>
      <w:divBdr>
        <w:top w:val="none" w:sz="0" w:space="0" w:color="auto"/>
        <w:left w:val="none" w:sz="0" w:space="0" w:color="auto"/>
        <w:bottom w:val="none" w:sz="0" w:space="0" w:color="auto"/>
        <w:right w:val="none" w:sz="0" w:space="0" w:color="auto"/>
      </w:divBdr>
    </w:div>
    <w:div w:id="1216427558">
      <w:bodyDiv w:val="1"/>
      <w:marLeft w:val="0"/>
      <w:marRight w:val="0"/>
      <w:marTop w:val="0"/>
      <w:marBottom w:val="0"/>
      <w:divBdr>
        <w:top w:val="none" w:sz="0" w:space="0" w:color="auto"/>
        <w:left w:val="none" w:sz="0" w:space="0" w:color="auto"/>
        <w:bottom w:val="none" w:sz="0" w:space="0" w:color="auto"/>
        <w:right w:val="none" w:sz="0" w:space="0" w:color="auto"/>
      </w:divBdr>
    </w:div>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 w:id="1305509077">
      <w:bodyDiv w:val="1"/>
      <w:marLeft w:val="0"/>
      <w:marRight w:val="0"/>
      <w:marTop w:val="0"/>
      <w:marBottom w:val="0"/>
      <w:divBdr>
        <w:top w:val="none" w:sz="0" w:space="0" w:color="auto"/>
        <w:left w:val="none" w:sz="0" w:space="0" w:color="auto"/>
        <w:bottom w:val="none" w:sz="0" w:space="0" w:color="auto"/>
        <w:right w:val="none" w:sz="0" w:space="0" w:color="auto"/>
      </w:divBdr>
    </w:div>
    <w:div w:id="1603881199">
      <w:bodyDiv w:val="1"/>
      <w:marLeft w:val="0"/>
      <w:marRight w:val="0"/>
      <w:marTop w:val="0"/>
      <w:marBottom w:val="0"/>
      <w:divBdr>
        <w:top w:val="none" w:sz="0" w:space="0" w:color="auto"/>
        <w:left w:val="none" w:sz="0" w:space="0" w:color="auto"/>
        <w:bottom w:val="none" w:sz="0" w:space="0" w:color="auto"/>
        <w:right w:val="none" w:sz="0" w:space="0" w:color="auto"/>
      </w:divBdr>
    </w:div>
    <w:div w:id="1727947868">
      <w:bodyDiv w:val="1"/>
      <w:marLeft w:val="0"/>
      <w:marRight w:val="0"/>
      <w:marTop w:val="0"/>
      <w:marBottom w:val="0"/>
      <w:divBdr>
        <w:top w:val="none" w:sz="0" w:space="0" w:color="auto"/>
        <w:left w:val="none" w:sz="0" w:space="0" w:color="auto"/>
        <w:bottom w:val="none" w:sz="0" w:space="0" w:color="auto"/>
        <w:right w:val="none" w:sz="0" w:space="0" w:color="auto"/>
      </w:divBdr>
    </w:div>
    <w:div w:id="1958219688">
      <w:bodyDiv w:val="1"/>
      <w:marLeft w:val="0"/>
      <w:marRight w:val="0"/>
      <w:marTop w:val="0"/>
      <w:marBottom w:val="0"/>
      <w:divBdr>
        <w:top w:val="none" w:sz="0" w:space="0" w:color="auto"/>
        <w:left w:val="none" w:sz="0" w:space="0" w:color="auto"/>
        <w:bottom w:val="none" w:sz="0" w:space="0" w:color="auto"/>
        <w:right w:val="none" w:sz="0" w:space="0" w:color="auto"/>
      </w:divBdr>
    </w:div>
    <w:div w:id="196346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C801D-43CC-4501-807F-D39F2C56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2218</Words>
  <Characters>12649</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DJEnvironmental</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Prepared by Catherine Rutherford</dc:creator>
  <cp:lastModifiedBy>JENNINGS Edmund</cp:lastModifiedBy>
  <cp:revision>5</cp:revision>
  <cp:lastPrinted>2018-05-07T15:58:00Z</cp:lastPrinted>
  <dcterms:created xsi:type="dcterms:W3CDTF">2018-10-22T09:14:00Z</dcterms:created>
  <dcterms:modified xsi:type="dcterms:W3CDTF">2018-10-23T08:57:00Z</dcterms:modified>
</cp:coreProperties>
</file>