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723AB" w14:textId="77777777" w:rsidR="00045FC7" w:rsidRPr="00045FC7" w:rsidRDefault="00045FC7" w:rsidP="00045FC7">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asciiTheme="majorHAnsi" w:hAnsiTheme="majorHAnsi"/>
          <w:bCs/>
          <w:noProof/>
          <w:lang w:val="es-ES_tradnl"/>
        </w:rPr>
      </w:pPr>
      <w:r w:rsidRPr="00045FC7">
        <w:rPr>
          <w:rFonts w:asciiTheme="majorHAnsi" w:hAnsiTheme="majorHAnsi"/>
          <w:bCs/>
          <w:noProof/>
          <w:lang w:val="es-ES_tradnl"/>
        </w:rPr>
        <w:t>CONVENCIÓN DE RAMSAR SOBRE LOS HUMEDALES</w:t>
      </w:r>
    </w:p>
    <w:p w14:paraId="0DF0468B" w14:textId="77777777" w:rsidR="00045FC7" w:rsidRPr="00045FC7" w:rsidRDefault="00045FC7" w:rsidP="00045FC7">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asciiTheme="majorHAnsi" w:hAnsiTheme="majorHAnsi"/>
          <w:bCs/>
          <w:noProof/>
          <w:lang w:val="es-ES_tradnl"/>
        </w:rPr>
      </w:pPr>
      <w:r w:rsidRPr="00045FC7">
        <w:rPr>
          <w:rFonts w:asciiTheme="majorHAnsi" w:hAnsiTheme="majorHAnsi"/>
          <w:bCs/>
          <w:noProof/>
          <w:lang w:val="es-ES_tradnl"/>
        </w:rPr>
        <w:t>54ª Reunión del Comité Permanente</w:t>
      </w:r>
    </w:p>
    <w:p w14:paraId="55CEF9CB" w14:textId="77777777" w:rsidR="00045FC7" w:rsidRPr="00045FC7" w:rsidRDefault="00045FC7" w:rsidP="00045FC7">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asciiTheme="majorHAnsi" w:hAnsiTheme="majorHAnsi"/>
          <w:bCs/>
          <w:noProof/>
          <w:lang w:val="es-ES_tradnl"/>
        </w:rPr>
      </w:pPr>
      <w:r w:rsidRPr="00045FC7">
        <w:rPr>
          <w:rFonts w:asciiTheme="majorHAnsi" w:hAnsiTheme="majorHAnsi"/>
          <w:bCs/>
          <w:noProof/>
          <w:lang w:val="es-ES_tradnl"/>
        </w:rPr>
        <w:t>Gland, Suiza, 23 a 27 de abril de 2018</w:t>
      </w:r>
    </w:p>
    <w:p w14:paraId="08C44235" w14:textId="77777777" w:rsidR="004862E9" w:rsidRPr="00045FC7" w:rsidRDefault="004862E9" w:rsidP="004862E9">
      <w:pPr>
        <w:rPr>
          <w:rFonts w:asciiTheme="majorHAnsi" w:hAnsiTheme="majorHAnsi"/>
          <w:b/>
          <w:noProof/>
          <w:lang w:val="es-ES_tradnl"/>
        </w:rPr>
      </w:pPr>
    </w:p>
    <w:p w14:paraId="2E1BF130" w14:textId="77777777" w:rsidR="000F7939" w:rsidRDefault="000F7939" w:rsidP="000F7939">
      <w:pPr>
        <w:spacing w:after="0" w:line="240" w:lineRule="auto"/>
        <w:jc w:val="right"/>
        <w:rPr>
          <w:b/>
          <w:sz w:val="28"/>
          <w:szCs w:val="28"/>
        </w:rPr>
      </w:pPr>
      <w:r>
        <w:rPr>
          <w:b/>
          <w:sz w:val="28"/>
          <w:szCs w:val="28"/>
        </w:rPr>
        <w:t>SC54 Rep.2</w:t>
      </w:r>
    </w:p>
    <w:p w14:paraId="5DC6A7C6" w14:textId="77777777" w:rsidR="000F7939" w:rsidRDefault="000F7939" w:rsidP="00045FC7">
      <w:pPr>
        <w:spacing w:after="0" w:line="240" w:lineRule="auto"/>
        <w:jc w:val="center"/>
        <w:rPr>
          <w:b/>
          <w:noProof/>
          <w:sz w:val="28"/>
          <w:szCs w:val="28"/>
          <w:lang w:val="es-ES_tradnl"/>
        </w:rPr>
      </w:pPr>
    </w:p>
    <w:p w14:paraId="5ABA9ACD" w14:textId="77777777" w:rsidR="00045FC7" w:rsidRPr="00045FC7" w:rsidRDefault="00045FC7" w:rsidP="00045FC7">
      <w:pPr>
        <w:spacing w:after="0" w:line="240" w:lineRule="auto"/>
        <w:jc w:val="center"/>
        <w:rPr>
          <w:rFonts w:asciiTheme="majorHAnsi" w:hAnsiTheme="majorHAnsi"/>
          <w:b/>
          <w:noProof/>
          <w:lang w:val="es-ES_tradnl"/>
        </w:rPr>
      </w:pPr>
      <w:r w:rsidRPr="00045FC7">
        <w:rPr>
          <w:b/>
          <w:noProof/>
          <w:sz w:val="28"/>
          <w:szCs w:val="28"/>
          <w:lang w:val="es-ES_tradnl"/>
        </w:rPr>
        <w:t>Informe y decisiones provisionales de la 54ª reunión del Comité Permanente</w:t>
      </w:r>
    </w:p>
    <w:p w14:paraId="4C2E23C2" w14:textId="211E9E86" w:rsidR="00546E9D" w:rsidRPr="00045FC7" w:rsidRDefault="00546E9D" w:rsidP="007644BE">
      <w:pPr>
        <w:spacing w:after="0" w:line="240" w:lineRule="auto"/>
        <w:rPr>
          <w:rFonts w:cs="Calibri"/>
          <w:b/>
          <w:noProof/>
          <w:lang w:val="es-ES_tradnl"/>
        </w:rPr>
      </w:pPr>
    </w:p>
    <w:p w14:paraId="2EB43460" w14:textId="77777777" w:rsidR="00546E9D" w:rsidRPr="00045FC7" w:rsidRDefault="00546E9D" w:rsidP="007644BE">
      <w:pPr>
        <w:spacing w:after="0" w:line="240" w:lineRule="auto"/>
        <w:rPr>
          <w:rFonts w:cs="Calibri"/>
          <w:b/>
          <w:noProof/>
          <w:lang w:val="es-ES_tradnl"/>
        </w:rPr>
      </w:pPr>
    </w:p>
    <w:p w14:paraId="1C0412E9" w14:textId="5A3B5498" w:rsidR="00D04017" w:rsidRPr="00045FC7" w:rsidRDefault="0012386F" w:rsidP="007644BE">
      <w:pPr>
        <w:spacing w:after="0" w:line="240" w:lineRule="auto"/>
        <w:rPr>
          <w:rFonts w:cs="Calibri"/>
          <w:b/>
          <w:noProof/>
          <w:lang w:val="es-ES_tradnl"/>
        </w:rPr>
      </w:pPr>
      <w:r>
        <w:rPr>
          <w:rFonts w:cs="Calibri"/>
          <w:b/>
          <w:noProof/>
          <w:lang w:val="es-ES_tradnl"/>
        </w:rPr>
        <w:t>Miércoles 25 de abril de 2018</w:t>
      </w:r>
    </w:p>
    <w:p w14:paraId="63563515" w14:textId="77777777" w:rsidR="00D04017" w:rsidRPr="00045FC7" w:rsidRDefault="00D04017" w:rsidP="007644BE">
      <w:pPr>
        <w:spacing w:after="0" w:line="240" w:lineRule="auto"/>
        <w:rPr>
          <w:rFonts w:cs="Calibri"/>
          <w:b/>
          <w:noProof/>
          <w:lang w:val="es-ES_tradnl"/>
        </w:rPr>
      </w:pPr>
    </w:p>
    <w:p w14:paraId="7D3F488F" w14:textId="6CB2EE2D" w:rsidR="00D04017" w:rsidRPr="00045FC7" w:rsidRDefault="00577B67" w:rsidP="007644BE">
      <w:pPr>
        <w:spacing w:after="0" w:line="240" w:lineRule="auto"/>
        <w:rPr>
          <w:rFonts w:cs="Calibri"/>
          <w:b/>
          <w:bCs/>
          <w:noProof/>
          <w:lang w:val="es-ES_tradnl"/>
        </w:rPr>
      </w:pPr>
      <w:r w:rsidRPr="00045FC7">
        <w:rPr>
          <w:rFonts w:cs="Calibri"/>
          <w:b/>
          <w:noProof/>
          <w:lang w:val="es-ES_tradnl"/>
        </w:rPr>
        <w:t>10:00</w:t>
      </w:r>
      <w:r w:rsidR="00D04017" w:rsidRPr="00045FC7">
        <w:rPr>
          <w:rFonts w:cs="Calibri"/>
          <w:b/>
          <w:noProof/>
          <w:lang w:val="es-ES_tradnl"/>
        </w:rPr>
        <w:t xml:space="preserve"> – 13:00 </w:t>
      </w:r>
      <w:r w:rsidR="00D04017" w:rsidRPr="00045FC7">
        <w:rPr>
          <w:rFonts w:cs="Calibri"/>
          <w:b/>
          <w:noProof/>
          <w:lang w:val="es-ES_tradnl"/>
        </w:rPr>
        <w:tab/>
      </w:r>
      <w:r w:rsidR="00045FC7" w:rsidRPr="008356B3">
        <w:rPr>
          <w:b/>
          <w:lang w:val="es-ES_tradnl"/>
        </w:rPr>
        <w:t>Sesión plenaria del Comité Permanente</w:t>
      </w:r>
    </w:p>
    <w:p w14:paraId="7FCF7F4B" w14:textId="4C29E36B" w:rsidR="00D04017" w:rsidRPr="00045FC7" w:rsidRDefault="00D04017" w:rsidP="007644BE">
      <w:pPr>
        <w:spacing w:after="0" w:line="240" w:lineRule="auto"/>
        <w:rPr>
          <w:rFonts w:cs="Calibri"/>
          <w:b/>
          <w:bCs/>
          <w:noProof/>
          <w:lang w:val="es-ES_tradnl"/>
        </w:rPr>
      </w:pPr>
    </w:p>
    <w:p w14:paraId="22FF37E5" w14:textId="1B7A9CC6" w:rsidR="001B217F" w:rsidRPr="00045FC7" w:rsidRDefault="008D5B0E" w:rsidP="007644BE">
      <w:pPr>
        <w:spacing w:after="0" w:line="240" w:lineRule="auto"/>
        <w:rPr>
          <w:rFonts w:cs="Calibri"/>
          <w:b/>
          <w:bCs/>
          <w:noProof/>
          <w:lang w:val="es-ES_tradnl"/>
        </w:rPr>
      </w:pPr>
      <w:r>
        <w:rPr>
          <w:rFonts w:cs="Calibri"/>
          <w:bCs/>
          <w:noProof/>
          <w:lang w:val="es-ES_tradnl"/>
        </w:rPr>
        <w:t xml:space="preserve">La </w:t>
      </w:r>
      <w:r>
        <w:rPr>
          <w:rFonts w:cs="Calibri"/>
          <w:b/>
          <w:bCs/>
          <w:noProof/>
          <w:lang w:val="es-ES_tradnl"/>
        </w:rPr>
        <w:t xml:space="preserve">Presidencia </w:t>
      </w:r>
      <w:r>
        <w:rPr>
          <w:rFonts w:cs="Calibri"/>
          <w:bCs/>
          <w:noProof/>
          <w:lang w:val="es-ES_tradnl"/>
        </w:rPr>
        <w:t>declaró abierta la sesión de la mañana a las 10:</w:t>
      </w:r>
      <w:r w:rsidR="001B217F" w:rsidRPr="00045FC7">
        <w:rPr>
          <w:rFonts w:cs="Calibri"/>
          <w:bCs/>
          <w:noProof/>
          <w:lang w:val="es-ES_tradnl"/>
        </w:rPr>
        <w:t>11</w:t>
      </w:r>
      <w:r>
        <w:rPr>
          <w:rFonts w:cs="Calibri"/>
          <w:bCs/>
          <w:noProof/>
          <w:lang w:val="es-ES_tradnl"/>
        </w:rPr>
        <w:t xml:space="preserve"> horas</w:t>
      </w:r>
      <w:r w:rsidR="001B217F" w:rsidRPr="00045FC7">
        <w:rPr>
          <w:rFonts w:cs="Calibri"/>
          <w:bCs/>
          <w:noProof/>
          <w:lang w:val="es-ES_tradnl"/>
        </w:rPr>
        <w:t>.</w:t>
      </w:r>
    </w:p>
    <w:p w14:paraId="65362033" w14:textId="77777777" w:rsidR="001B217F" w:rsidRPr="00045FC7" w:rsidRDefault="001B217F" w:rsidP="007644BE">
      <w:pPr>
        <w:spacing w:after="0" w:line="240" w:lineRule="auto"/>
        <w:rPr>
          <w:rFonts w:cs="Calibri"/>
          <w:b/>
          <w:bCs/>
          <w:noProof/>
          <w:lang w:val="es-ES_tradnl"/>
        </w:rPr>
      </w:pPr>
    </w:p>
    <w:p w14:paraId="3305E6BD" w14:textId="31D5DA02" w:rsidR="000A181E" w:rsidRPr="00045FC7" w:rsidRDefault="008D5B0E" w:rsidP="00B264A0">
      <w:pPr>
        <w:pBdr>
          <w:top w:val="single" w:sz="4" w:space="3" w:color="auto"/>
          <w:left w:val="single" w:sz="4" w:space="4" w:color="auto"/>
          <w:bottom w:val="single" w:sz="4" w:space="3" w:color="auto"/>
          <w:right w:val="single" w:sz="4" w:space="4" w:color="auto"/>
        </w:pBdr>
        <w:spacing w:after="0" w:line="240" w:lineRule="auto"/>
        <w:rPr>
          <w:rFonts w:cs="Calibri"/>
          <w:bCs/>
          <w:noProof/>
          <w:lang w:val="es-ES_tradnl"/>
        </w:rPr>
      </w:pPr>
      <w:r>
        <w:rPr>
          <w:rFonts w:cs="Calibri"/>
          <w:bCs/>
          <w:noProof/>
          <w:lang w:val="es-ES_tradnl"/>
        </w:rPr>
        <w:t xml:space="preserve">Se cerró la sesión sobre cuestiones del Grupo de Trabajo Administrativo </w:t>
      </w:r>
      <w:r w:rsidR="00C972B4">
        <w:rPr>
          <w:rFonts w:cs="Calibri"/>
          <w:bCs/>
          <w:noProof/>
          <w:lang w:val="es-ES_tradnl"/>
        </w:rPr>
        <w:t>(GTA)</w:t>
      </w:r>
    </w:p>
    <w:p w14:paraId="170FF493" w14:textId="77777777" w:rsidR="000A181E" w:rsidRPr="00045FC7" w:rsidRDefault="000A181E" w:rsidP="007644BE">
      <w:pPr>
        <w:spacing w:after="0" w:line="240" w:lineRule="auto"/>
        <w:rPr>
          <w:rFonts w:cs="Calibri"/>
          <w:b/>
          <w:bCs/>
          <w:noProof/>
          <w:lang w:val="es-ES_tradnl"/>
        </w:rPr>
      </w:pPr>
    </w:p>
    <w:p w14:paraId="00457AE4" w14:textId="0541AF4A" w:rsidR="00C972B4" w:rsidRPr="00C972B4" w:rsidRDefault="00C972B4" w:rsidP="00C972B4">
      <w:pPr>
        <w:spacing w:after="0" w:line="240" w:lineRule="auto"/>
        <w:ind w:left="426" w:hanging="426"/>
        <w:rPr>
          <w:rFonts w:cs="Calibri"/>
          <w:bCs/>
          <w:noProof/>
          <w:lang w:val="es-ES_tradnl"/>
        </w:rPr>
      </w:pPr>
      <w:r w:rsidRPr="00C972B4">
        <w:rPr>
          <w:rFonts w:cs="Calibri"/>
          <w:bCs/>
          <w:noProof/>
          <w:lang w:val="es-ES_tradnl"/>
        </w:rPr>
        <w:t xml:space="preserve">59. </w:t>
      </w:r>
      <w:r>
        <w:rPr>
          <w:rFonts w:cs="Calibri"/>
          <w:bCs/>
          <w:noProof/>
          <w:lang w:val="es-ES_tradnl"/>
        </w:rPr>
        <w:tab/>
        <w:t xml:space="preserve">La </w:t>
      </w:r>
      <w:r>
        <w:rPr>
          <w:rFonts w:cs="Calibri"/>
          <w:b/>
          <w:bCs/>
          <w:noProof/>
          <w:lang w:val="es-ES_tradnl"/>
        </w:rPr>
        <w:t>Presidencia</w:t>
      </w:r>
      <w:r w:rsidRPr="00C972B4">
        <w:rPr>
          <w:rFonts w:cs="Calibri"/>
          <w:bCs/>
          <w:noProof/>
          <w:lang w:val="es-ES_tradnl"/>
        </w:rPr>
        <w:t xml:space="preserve"> informó al Comité Permanente de que </w:t>
      </w:r>
      <w:r w:rsidR="0012386F">
        <w:rPr>
          <w:rFonts w:cs="Calibri"/>
          <w:bCs/>
          <w:noProof/>
          <w:lang w:val="es-ES_tradnl"/>
        </w:rPr>
        <w:t xml:space="preserve">se iniciaría </w:t>
      </w:r>
      <w:r w:rsidRPr="00C972B4">
        <w:rPr>
          <w:rFonts w:cs="Calibri"/>
          <w:bCs/>
          <w:noProof/>
          <w:lang w:val="es-ES_tradnl"/>
        </w:rPr>
        <w:t xml:space="preserve">la mañana con una sesión cerrada en el contexto del </w:t>
      </w:r>
      <w:r>
        <w:rPr>
          <w:rFonts w:cs="Calibri"/>
          <w:bCs/>
          <w:noProof/>
          <w:lang w:val="es-ES_tradnl"/>
        </w:rPr>
        <w:t>GTA</w:t>
      </w:r>
      <w:r w:rsidRPr="00C972B4">
        <w:rPr>
          <w:rFonts w:cs="Calibri"/>
          <w:bCs/>
          <w:noProof/>
          <w:lang w:val="es-ES_tradnl"/>
        </w:rPr>
        <w:t xml:space="preserve"> para escuchar a un representante de la UICN sobre cuestiones planteadas en la sesión anterior del </w:t>
      </w:r>
      <w:r>
        <w:rPr>
          <w:rFonts w:cs="Calibri"/>
          <w:bCs/>
          <w:noProof/>
          <w:lang w:val="es-ES_tradnl"/>
        </w:rPr>
        <w:t>GTA</w:t>
      </w:r>
      <w:r w:rsidRPr="00C972B4">
        <w:rPr>
          <w:rFonts w:cs="Calibri"/>
          <w:bCs/>
          <w:noProof/>
          <w:lang w:val="es-ES_tradnl"/>
        </w:rPr>
        <w:t xml:space="preserve">. A </w:t>
      </w:r>
      <w:r w:rsidR="0012386F">
        <w:rPr>
          <w:rFonts w:cs="Calibri"/>
          <w:bCs/>
          <w:noProof/>
          <w:lang w:val="es-ES_tradnl"/>
        </w:rPr>
        <w:t>esta sesión cerrada</w:t>
      </w:r>
      <w:r w:rsidRPr="00C972B4">
        <w:rPr>
          <w:rFonts w:cs="Calibri"/>
          <w:bCs/>
          <w:noProof/>
          <w:lang w:val="es-ES_tradnl"/>
        </w:rPr>
        <w:t xml:space="preserve"> le seguiría un informe del Grupo de trabajo del Comité Permanente sobre cuestiones de</w:t>
      </w:r>
      <w:r>
        <w:rPr>
          <w:rFonts w:cs="Calibri"/>
          <w:bCs/>
          <w:noProof/>
          <w:lang w:val="es-ES_tradnl"/>
        </w:rPr>
        <w:t xml:space="preserve"> dotación de</w:t>
      </w:r>
      <w:r w:rsidRPr="00C972B4">
        <w:rPr>
          <w:rFonts w:cs="Calibri"/>
          <w:bCs/>
          <w:noProof/>
          <w:lang w:val="es-ES_tradnl"/>
        </w:rPr>
        <w:t xml:space="preserve"> personal. </w:t>
      </w:r>
      <w:r>
        <w:rPr>
          <w:rFonts w:cs="Calibri"/>
          <w:bCs/>
          <w:noProof/>
          <w:lang w:val="es-ES_tradnl"/>
        </w:rPr>
        <w:t>Luego el</w:t>
      </w:r>
      <w:r w:rsidRPr="00C972B4">
        <w:rPr>
          <w:rFonts w:cs="Calibri"/>
          <w:bCs/>
          <w:noProof/>
          <w:lang w:val="es-ES_tradnl"/>
        </w:rPr>
        <w:t xml:space="preserve"> Comité reanudaría su programa de trabajo. Se pidió a los observadores y miembros de la Secretaría que abandonaran la sala durante la sesión a puerta cerrada. La sesión plenaria se reanudó a las 11:55</w:t>
      </w:r>
      <w:r>
        <w:rPr>
          <w:rFonts w:cs="Calibri"/>
          <w:bCs/>
          <w:noProof/>
          <w:lang w:val="es-ES_tradnl"/>
        </w:rPr>
        <w:t xml:space="preserve"> horas</w:t>
      </w:r>
      <w:r w:rsidRPr="00C972B4">
        <w:rPr>
          <w:rFonts w:cs="Calibri"/>
          <w:bCs/>
          <w:noProof/>
          <w:lang w:val="es-ES_tradnl"/>
        </w:rPr>
        <w:t>.</w:t>
      </w:r>
    </w:p>
    <w:p w14:paraId="6E5ABC22" w14:textId="5655C318" w:rsidR="009236DC" w:rsidRPr="00045FC7" w:rsidRDefault="009236DC" w:rsidP="007644BE">
      <w:pPr>
        <w:spacing w:after="0" w:line="240" w:lineRule="auto"/>
        <w:rPr>
          <w:rFonts w:cs="Calibri"/>
          <w:b/>
          <w:bCs/>
          <w:noProof/>
          <w:lang w:val="es-ES_tradnl"/>
        </w:rPr>
      </w:pPr>
    </w:p>
    <w:p w14:paraId="56536F6F" w14:textId="793EA154" w:rsidR="00D04017" w:rsidRPr="00045FC7" w:rsidRDefault="00045FC7" w:rsidP="000D03E0">
      <w:pPr>
        <w:pBdr>
          <w:top w:val="single" w:sz="4" w:space="3" w:color="auto"/>
          <w:left w:val="single" w:sz="4" w:space="4" w:color="auto"/>
          <w:bottom w:val="single" w:sz="4" w:space="3" w:color="auto"/>
          <w:right w:val="single" w:sz="4" w:space="4" w:color="auto"/>
        </w:pBdr>
        <w:spacing w:after="0" w:line="240" w:lineRule="auto"/>
        <w:rPr>
          <w:rFonts w:cs="Calibri"/>
          <w:bCs/>
          <w:noProof/>
          <w:lang w:val="es-ES_tradnl"/>
        </w:rPr>
      </w:pPr>
      <w:r>
        <w:rPr>
          <w:rFonts w:asciiTheme="majorHAnsi" w:hAnsiTheme="majorHAnsi"/>
          <w:bCs/>
          <w:lang w:val="es-ES_tradnl"/>
        </w:rPr>
        <w:t>Punto 7</w:t>
      </w:r>
      <w:r w:rsidRPr="008356B3">
        <w:rPr>
          <w:rFonts w:asciiTheme="majorHAnsi" w:hAnsiTheme="majorHAnsi"/>
          <w:bCs/>
          <w:lang w:val="es-ES_tradnl"/>
        </w:rPr>
        <w:t xml:space="preserve"> del orden del día: </w:t>
      </w:r>
      <w:r w:rsidR="00C972B4">
        <w:rPr>
          <w:rFonts w:cs="Calibri"/>
          <w:bCs/>
          <w:noProof/>
          <w:lang w:val="es-ES_tradnl"/>
        </w:rPr>
        <w:t>Cuestiones financieras y presupuestarias</w:t>
      </w:r>
      <w:r w:rsidR="00410DB7">
        <w:rPr>
          <w:rFonts w:cs="Calibri"/>
          <w:bCs/>
          <w:noProof/>
          <w:lang w:val="es-ES_tradnl"/>
        </w:rPr>
        <w:t>:</w:t>
      </w:r>
      <w:r w:rsidR="008E5D2D" w:rsidRPr="00045FC7">
        <w:rPr>
          <w:rFonts w:cs="Calibri"/>
          <w:bCs/>
          <w:noProof/>
          <w:lang w:val="es-ES_tradnl"/>
        </w:rPr>
        <w:t xml:space="preserve"> </w:t>
      </w:r>
      <w:r w:rsidR="00C972B4">
        <w:rPr>
          <w:rFonts w:cs="Calibri"/>
          <w:bCs/>
          <w:noProof/>
          <w:lang w:val="es-ES_tradnl"/>
        </w:rPr>
        <w:t xml:space="preserve">Informe del Subgrupo de Finanzas </w:t>
      </w:r>
    </w:p>
    <w:p w14:paraId="4F81865E" w14:textId="2446C125" w:rsidR="00255401" w:rsidRPr="00045FC7" w:rsidRDefault="00255401" w:rsidP="007A0368">
      <w:pPr>
        <w:spacing w:after="0" w:line="240" w:lineRule="auto"/>
        <w:contextualSpacing/>
        <w:rPr>
          <w:rFonts w:cs="Calibri"/>
          <w:bCs/>
          <w:noProof/>
          <w:lang w:val="es-ES_tradnl"/>
        </w:rPr>
      </w:pPr>
    </w:p>
    <w:p w14:paraId="592F3F2B" w14:textId="109EE14E" w:rsidR="00C972B4" w:rsidRPr="00C972B4" w:rsidRDefault="00C972B4" w:rsidP="00C972B4">
      <w:pPr>
        <w:spacing w:after="0" w:line="240" w:lineRule="auto"/>
        <w:ind w:left="426" w:hanging="426"/>
        <w:contextualSpacing/>
        <w:rPr>
          <w:rFonts w:cs="Calibri"/>
          <w:bCs/>
          <w:noProof/>
          <w:lang w:val="es-ES_tradnl"/>
        </w:rPr>
      </w:pPr>
      <w:r w:rsidRPr="00C972B4">
        <w:rPr>
          <w:rFonts w:cs="Calibri"/>
          <w:bCs/>
          <w:noProof/>
          <w:lang w:val="es-ES_tradnl"/>
        </w:rPr>
        <w:t xml:space="preserve">60. </w:t>
      </w:r>
      <w:r>
        <w:rPr>
          <w:rFonts w:cs="Calibri"/>
          <w:bCs/>
          <w:noProof/>
          <w:lang w:val="es-ES_tradnl"/>
        </w:rPr>
        <w:tab/>
        <w:t xml:space="preserve">La </w:t>
      </w:r>
      <w:r>
        <w:rPr>
          <w:rFonts w:cs="Calibri"/>
          <w:b/>
          <w:bCs/>
          <w:noProof/>
          <w:lang w:val="es-ES_tradnl"/>
        </w:rPr>
        <w:t>Preside</w:t>
      </w:r>
      <w:r w:rsidRPr="00C972B4">
        <w:rPr>
          <w:rFonts w:cs="Calibri"/>
          <w:b/>
          <w:bCs/>
          <w:noProof/>
          <w:lang w:val="es-ES_tradnl"/>
        </w:rPr>
        <w:t xml:space="preserve">ncia del Subgrupo de Finanzas </w:t>
      </w:r>
      <w:r w:rsidRPr="00C972B4">
        <w:rPr>
          <w:rFonts w:cs="Calibri"/>
          <w:bCs/>
          <w:noProof/>
          <w:lang w:val="es-ES_tradnl"/>
        </w:rPr>
        <w:t xml:space="preserve">presentó un informe provisional sobre el trabajo del Subgrupo hasta la fecha. Esto </w:t>
      </w:r>
      <w:r>
        <w:rPr>
          <w:rFonts w:cs="Calibri"/>
          <w:bCs/>
          <w:noProof/>
          <w:lang w:val="es-ES_tradnl"/>
        </w:rPr>
        <w:t>incluyó lo siguiente</w:t>
      </w:r>
      <w:r w:rsidRPr="00C972B4">
        <w:rPr>
          <w:rFonts w:cs="Calibri"/>
          <w:bCs/>
          <w:noProof/>
          <w:lang w:val="es-ES_tradnl"/>
        </w:rPr>
        <w:t>:</w:t>
      </w:r>
    </w:p>
    <w:p w14:paraId="5887AECB" w14:textId="14C497C9" w:rsidR="00C972B4" w:rsidRDefault="00C972B4" w:rsidP="00C972B4">
      <w:pPr>
        <w:pStyle w:val="ListParagraph"/>
        <w:numPr>
          <w:ilvl w:val="0"/>
          <w:numId w:val="8"/>
        </w:numPr>
        <w:spacing w:after="0" w:line="240" w:lineRule="auto"/>
        <w:rPr>
          <w:rFonts w:cs="Calibri"/>
          <w:bCs/>
          <w:noProof/>
          <w:lang w:val="es-ES_tradnl"/>
        </w:rPr>
      </w:pPr>
      <w:r>
        <w:rPr>
          <w:rFonts w:cs="Calibri"/>
          <w:bCs/>
          <w:noProof/>
          <w:lang w:val="es-ES_tradnl"/>
        </w:rPr>
        <w:t>Examen</w:t>
      </w:r>
      <w:r w:rsidRPr="00C972B4">
        <w:rPr>
          <w:rFonts w:cs="Calibri"/>
          <w:bCs/>
          <w:noProof/>
          <w:lang w:val="es-ES_tradnl"/>
        </w:rPr>
        <w:t xml:space="preserve"> el tra</w:t>
      </w:r>
      <w:r w:rsidR="009C7994">
        <w:rPr>
          <w:rFonts w:cs="Calibri"/>
          <w:bCs/>
          <w:noProof/>
          <w:lang w:val="es-ES_tradnl"/>
        </w:rPr>
        <w:t xml:space="preserve">bajo </w:t>
      </w:r>
      <w:r w:rsidR="006B0E3F">
        <w:rPr>
          <w:rFonts w:cs="Calibri"/>
          <w:bCs/>
          <w:noProof/>
          <w:lang w:val="es-ES_tradnl"/>
        </w:rPr>
        <w:t>realizado por la Unidad de S</w:t>
      </w:r>
      <w:r w:rsidRPr="00C972B4">
        <w:rPr>
          <w:rFonts w:cs="Calibri"/>
          <w:bCs/>
          <w:noProof/>
          <w:lang w:val="es-ES_tradnl"/>
        </w:rPr>
        <w:t>upervisión de la UICN en relación</w:t>
      </w:r>
      <w:r>
        <w:rPr>
          <w:rFonts w:cs="Calibri"/>
          <w:bCs/>
          <w:noProof/>
          <w:lang w:val="es-ES_tradnl"/>
        </w:rPr>
        <w:t xml:space="preserve"> con los fondos complementarios;</w:t>
      </w:r>
    </w:p>
    <w:p w14:paraId="44DE08C3" w14:textId="2F933DDC" w:rsidR="00C972B4" w:rsidRDefault="00C972B4" w:rsidP="00C972B4">
      <w:pPr>
        <w:pStyle w:val="ListParagraph"/>
        <w:numPr>
          <w:ilvl w:val="0"/>
          <w:numId w:val="8"/>
        </w:numPr>
        <w:spacing w:after="0" w:line="240" w:lineRule="auto"/>
        <w:rPr>
          <w:rFonts w:cs="Calibri"/>
          <w:bCs/>
          <w:noProof/>
          <w:lang w:val="es-ES_tradnl"/>
        </w:rPr>
      </w:pPr>
      <w:r>
        <w:rPr>
          <w:rFonts w:cs="Calibri"/>
          <w:bCs/>
          <w:noProof/>
          <w:lang w:val="es-ES_tradnl"/>
        </w:rPr>
        <w:t>Examen</w:t>
      </w:r>
      <w:r w:rsidRPr="00C972B4">
        <w:rPr>
          <w:rFonts w:cs="Calibri"/>
          <w:bCs/>
          <w:noProof/>
          <w:lang w:val="es-ES_tradnl"/>
        </w:rPr>
        <w:t xml:space="preserve"> las cuentas auditadas de 2016 y 2017; y</w:t>
      </w:r>
    </w:p>
    <w:p w14:paraId="094F9655" w14:textId="175B6F62" w:rsidR="00C972B4" w:rsidRPr="00C972B4" w:rsidRDefault="00C972B4" w:rsidP="00C972B4">
      <w:pPr>
        <w:pStyle w:val="ListParagraph"/>
        <w:numPr>
          <w:ilvl w:val="0"/>
          <w:numId w:val="8"/>
        </w:numPr>
        <w:spacing w:after="0" w:line="240" w:lineRule="auto"/>
        <w:rPr>
          <w:rFonts w:cs="Calibri"/>
          <w:bCs/>
          <w:noProof/>
          <w:lang w:val="es-ES_tradnl"/>
        </w:rPr>
      </w:pPr>
      <w:r>
        <w:rPr>
          <w:rFonts w:cs="Calibri"/>
          <w:bCs/>
          <w:noProof/>
          <w:lang w:val="es-ES_tradnl"/>
        </w:rPr>
        <w:t>Examen</w:t>
      </w:r>
      <w:r w:rsidRPr="00C972B4">
        <w:rPr>
          <w:rFonts w:cs="Calibri"/>
          <w:bCs/>
          <w:noProof/>
          <w:lang w:val="es-ES_tradnl"/>
        </w:rPr>
        <w:t xml:space="preserve"> del documento Doc. 7.1 Rev.1</w:t>
      </w:r>
      <w:r w:rsidR="009C7994">
        <w:rPr>
          <w:rFonts w:cs="Calibri"/>
          <w:bCs/>
          <w:noProof/>
          <w:lang w:val="es-ES_tradnl"/>
        </w:rPr>
        <w:t>,</w:t>
      </w:r>
      <w:r w:rsidRPr="00C972B4">
        <w:rPr>
          <w:rFonts w:cs="Calibri"/>
          <w:bCs/>
          <w:noProof/>
          <w:lang w:val="es-ES_tradnl"/>
        </w:rPr>
        <w:t xml:space="preserve"> </w:t>
      </w:r>
      <w:r w:rsidRPr="009C7994">
        <w:rPr>
          <w:rFonts w:cs="Calibri"/>
          <w:bCs/>
          <w:i/>
          <w:noProof/>
          <w:lang w:val="es-ES_tradnl"/>
        </w:rPr>
        <w:t>Asuntos</w:t>
      </w:r>
      <w:r w:rsidR="009C7994">
        <w:rPr>
          <w:rFonts w:cs="Calibri"/>
          <w:bCs/>
          <w:i/>
          <w:noProof/>
          <w:lang w:val="es-ES_tradnl"/>
        </w:rPr>
        <w:t xml:space="preserve"> financieros y presupuestarios:</w:t>
      </w:r>
      <w:r w:rsidRPr="009C7994">
        <w:rPr>
          <w:rFonts w:cs="Calibri"/>
          <w:bCs/>
          <w:i/>
          <w:noProof/>
          <w:lang w:val="es-ES_tradnl"/>
        </w:rPr>
        <w:t xml:space="preserve"> Informe sobre</w:t>
      </w:r>
      <w:r w:rsidR="009C7994">
        <w:rPr>
          <w:rFonts w:cs="Calibri"/>
          <w:bCs/>
          <w:i/>
          <w:noProof/>
          <w:lang w:val="es-ES_tradnl"/>
        </w:rPr>
        <w:t xml:space="preserve"> los</w:t>
      </w:r>
      <w:r w:rsidRPr="009C7994">
        <w:rPr>
          <w:rFonts w:cs="Calibri"/>
          <w:bCs/>
          <w:i/>
          <w:noProof/>
          <w:lang w:val="es-ES_tradnl"/>
        </w:rPr>
        <w:t xml:space="preserve"> asuntos financieros</w:t>
      </w:r>
      <w:r w:rsidR="009C7994">
        <w:rPr>
          <w:rFonts w:cs="Calibri"/>
          <w:bCs/>
          <w:i/>
          <w:noProof/>
          <w:lang w:val="es-ES_tradnl"/>
        </w:rPr>
        <w:t xml:space="preserve"> durante el período</w:t>
      </w:r>
      <w:r w:rsidRPr="009C7994">
        <w:rPr>
          <w:rFonts w:cs="Calibri"/>
          <w:bCs/>
          <w:i/>
          <w:noProof/>
          <w:lang w:val="es-ES_tradnl"/>
        </w:rPr>
        <w:t xml:space="preserve"> 2016-2018</w:t>
      </w:r>
      <w:r w:rsidRPr="00C972B4">
        <w:rPr>
          <w:rFonts w:cs="Calibri"/>
          <w:bCs/>
          <w:noProof/>
          <w:lang w:val="es-ES_tradnl"/>
        </w:rPr>
        <w:t>, incluido el presupuesto básico propuesto para 2018.</w:t>
      </w:r>
    </w:p>
    <w:p w14:paraId="01EF6B96" w14:textId="77777777" w:rsidR="00C972B4" w:rsidRDefault="00C972B4" w:rsidP="00C972B4">
      <w:pPr>
        <w:spacing w:after="0" w:line="240" w:lineRule="auto"/>
        <w:ind w:left="426" w:hanging="426"/>
        <w:contextualSpacing/>
        <w:rPr>
          <w:rFonts w:cs="Calibri"/>
          <w:bCs/>
          <w:noProof/>
          <w:lang w:val="es-ES_tradnl"/>
        </w:rPr>
      </w:pPr>
    </w:p>
    <w:p w14:paraId="1808E948" w14:textId="6BB60C84" w:rsidR="009C7994" w:rsidRDefault="009C7994" w:rsidP="009C7994">
      <w:pPr>
        <w:spacing w:after="0" w:line="240" w:lineRule="auto"/>
        <w:ind w:left="426" w:hanging="426"/>
        <w:contextualSpacing/>
        <w:rPr>
          <w:rFonts w:cs="Calibri"/>
          <w:noProof/>
          <w:lang w:val="es-ES_tradnl"/>
        </w:rPr>
      </w:pPr>
      <w:r w:rsidRPr="009C7994">
        <w:rPr>
          <w:rFonts w:cs="Calibri"/>
          <w:noProof/>
          <w:lang w:val="es-ES_tradnl"/>
        </w:rPr>
        <w:t xml:space="preserve">61. </w:t>
      </w:r>
      <w:r>
        <w:rPr>
          <w:rFonts w:cs="Calibri"/>
          <w:noProof/>
          <w:lang w:val="es-ES_tradnl"/>
        </w:rPr>
        <w:tab/>
      </w:r>
      <w:r w:rsidRPr="009C7994">
        <w:rPr>
          <w:rFonts w:cs="Calibri"/>
          <w:noProof/>
          <w:lang w:val="es-ES_tradnl"/>
        </w:rPr>
        <w:t>El Subgrupo había solicitado que la Secretaría revisara el Anexo 4 del docu</w:t>
      </w:r>
      <w:r w:rsidR="00071916">
        <w:rPr>
          <w:rFonts w:cs="Calibri"/>
          <w:noProof/>
          <w:lang w:val="es-ES_tradnl"/>
        </w:rPr>
        <w:t>mento Doc. SC54-7.1 Rev.1 y este</w:t>
      </w:r>
      <w:r w:rsidRPr="009C7994">
        <w:rPr>
          <w:rFonts w:cs="Calibri"/>
          <w:noProof/>
          <w:lang w:val="es-ES_tradnl"/>
        </w:rPr>
        <w:t xml:space="preserve"> se ha distribuido como Doc. SC54-7.1 Rev.1 Addendum</w:t>
      </w:r>
      <w:r>
        <w:rPr>
          <w:rFonts w:cs="Calibri"/>
          <w:noProof/>
          <w:lang w:val="es-ES_tradnl"/>
        </w:rPr>
        <w:t>,</w:t>
      </w:r>
      <w:r w:rsidRPr="009C7994">
        <w:rPr>
          <w:rFonts w:cs="Calibri"/>
          <w:noProof/>
          <w:lang w:val="es-ES_tradnl"/>
        </w:rPr>
        <w:t xml:space="preserve"> </w:t>
      </w:r>
      <w:r w:rsidRPr="009C7994">
        <w:rPr>
          <w:rFonts w:cs="Calibri"/>
          <w:i/>
          <w:noProof/>
          <w:lang w:val="es-ES_tradnl"/>
        </w:rPr>
        <w:t xml:space="preserve">Anexo 4 (revisado): Presupuesto básico propuesto para 2018 (sin </w:t>
      </w:r>
      <w:r>
        <w:rPr>
          <w:rFonts w:cs="Calibri"/>
          <w:i/>
          <w:noProof/>
          <w:lang w:val="es-ES_tradnl"/>
        </w:rPr>
        <w:t xml:space="preserve">recursos no utilizados en </w:t>
      </w:r>
      <w:r w:rsidRPr="009C7994">
        <w:rPr>
          <w:rFonts w:cs="Calibri"/>
          <w:i/>
          <w:noProof/>
          <w:lang w:val="es-ES_tradnl"/>
        </w:rPr>
        <w:t>2017).</w:t>
      </w:r>
    </w:p>
    <w:p w14:paraId="396D7074" w14:textId="77777777" w:rsidR="009C7994" w:rsidRDefault="009C7994" w:rsidP="009C7994">
      <w:pPr>
        <w:spacing w:after="0" w:line="240" w:lineRule="auto"/>
        <w:ind w:left="426" w:hanging="426"/>
        <w:contextualSpacing/>
        <w:rPr>
          <w:rFonts w:cs="Calibri"/>
          <w:noProof/>
          <w:lang w:val="es-ES_tradnl"/>
        </w:rPr>
      </w:pPr>
    </w:p>
    <w:p w14:paraId="45FCB0D0" w14:textId="77777777" w:rsidR="009C7994" w:rsidRDefault="009C7994" w:rsidP="009C7994">
      <w:pPr>
        <w:spacing w:after="0" w:line="240" w:lineRule="auto"/>
        <w:ind w:left="426" w:hanging="426"/>
        <w:contextualSpacing/>
        <w:rPr>
          <w:rFonts w:cs="Calibri"/>
          <w:noProof/>
          <w:lang w:val="es-ES_tradnl"/>
        </w:rPr>
      </w:pPr>
      <w:r>
        <w:rPr>
          <w:rFonts w:cs="Calibri"/>
          <w:noProof/>
          <w:lang w:val="es-ES_tradnl"/>
        </w:rPr>
        <w:t xml:space="preserve">62. </w:t>
      </w:r>
      <w:r>
        <w:rPr>
          <w:rFonts w:cs="Calibri"/>
          <w:noProof/>
          <w:lang w:val="es-ES_tradnl"/>
        </w:rPr>
        <w:tab/>
      </w:r>
      <w:r w:rsidRPr="009C7994">
        <w:rPr>
          <w:rFonts w:cs="Calibri"/>
          <w:b/>
          <w:noProof/>
          <w:lang w:val="es-ES_tradnl"/>
        </w:rPr>
        <w:t>Finlandia</w:t>
      </w:r>
      <w:r w:rsidRPr="009C7994">
        <w:rPr>
          <w:rFonts w:cs="Calibri"/>
          <w:noProof/>
          <w:lang w:val="es-ES_tradnl"/>
        </w:rPr>
        <w:t>,</w:t>
      </w:r>
      <w:r>
        <w:rPr>
          <w:rFonts w:cs="Calibri"/>
          <w:noProof/>
          <w:lang w:val="es-ES_tradnl"/>
        </w:rPr>
        <w:t xml:space="preserve"> el</w:t>
      </w:r>
      <w:r w:rsidRPr="009C7994">
        <w:rPr>
          <w:rFonts w:cs="Calibri"/>
          <w:noProof/>
          <w:lang w:val="es-ES_tradnl"/>
        </w:rPr>
        <w:t xml:space="preserve"> </w:t>
      </w:r>
      <w:r w:rsidRPr="009C7994">
        <w:rPr>
          <w:rFonts w:cs="Calibri"/>
          <w:b/>
          <w:noProof/>
          <w:lang w:val="es-ES_tradnl"/>
        </w:rPr>
        <w:t>Japón</w:t>
      </w:r>
      <w:r w:rsidRPr="009C7994">
        <w:rPr>
          <w:rFonts w:cs="Calibri"/>
          <w:noProof/>
          <w:lang w:val="es-ES_tradnl"/>
        </w:rPr>
        <w:t xml:space="preserve"> y </w:t>
      </w:r>
      <w:r w:rsidRPr="009C7994">
        <w:rPr>
          <w:rFonts w:cs="Calibri"/>
          <w:b/>
          <w:noProof/>
          <w:lang w:val="es-ES_tradnl"/>
        </w:rPr>
        <w:t>Suiza</w:t>
      </w:r>
      <w:r w:rsidRPr="009C7994">
        <w:rPr>
          <w:rFonts w:cs="Calibri"/>
          <w:noProof/>
          <w:lang w:val="es-ES_tradnl"/>
        </w:rPr>
        <w:t xml:space="preserve"> señalaron que el Subgrupo aún no había concluido su trabajo y consideraron que los elementos del informe provisional se beneficiarían de una aclaración.</w:t>
      </w:r>
    </w:p>
    <w:p w14:paraId="54BDFB9F" w14:textId="77777777" w:rsidR="009C7994" w:rsidRDefault="009C7994" w:rsidP="009C7994">
      <w:pPr>
        <w:spacing w:after="0" w:line="240" w:lineRule="auto"/>
        <w:ind w:left="426" w:hanging="426"/>
        <w:contextualSpacing/>
        <w:rPr>
          <w:rFonts w:cs="Calibri"/>
          <w:noProof/>
          <w:lang w:val="es-ES_tradnl"/>
        </w:rPr>
      </w:pPr>
    </w:p>
    <w:p w14:paraId="26BF7EDE" w14:textId="77777777" w:rsidR="009C7994" w:rsidRDefault="009C7994" w:rsidP="009C7994">
      <w:pPr>
        <w:spacing w:after="0" w:line="240" w:lineRule="auto"/>
        <w:ind w:left="426" w:hanging="426"/>
        <w:contextualSpacing/>
        <w:rPr>
          <w:rFonts w:cs="Calibri"/>
          <w:noProof/>
          <w:lang w:val="es-ES_tradnl"/>
        </w:rPr>
      </w:pPr>
      <w:r>
        <w:rPr>
          <w:rFonts w:cs="Calibri"/>
          <w:noProof/>
          <w:lang w:val="es-ES_tradnl"/>
        </w:rPr>
        <w:t>63.</w:t>
      </w:r>
      <w:r>
        <w:rPr>
          <w:rFonts w:cs="Calibri"/>
          <w:noProof/>
          <w:lang w:val="es-ES_tradnl"/>
        </w:rPr>
        <w:tab/>
      </w:r>
      <w:r w:rsidRPr="009C7994">
        <w:rPr>
          <w:rFonts w:cs="Calibri"/>
          <w:noProof/>
          <w:lang w:val="es-ES_tradnl"/>
        </w:rPr>
        <w:t xml:space="preserve">El </w:t>
      </w:r>
      <w:r w:rsidRPr="009C7994">
        <w:rPr>
          <w:rFonts w:cs="Calibri"/>
          <w:b/>
          <w:noProof/>
          <w:lang w:val="es-ES_tradnl"/>
        </w:rPr>
        <w:t>Canadá</w:t>
      </w:r>
      <w:r w:rsidRPr="009C7994">
        <w:rPr>
          <w:rFonts w:cs="Calibri"/>
          <w:noProof/>
          <w:lang w:val="es-ES_tradnl"/>
        </w:rPr>
        <w:t xml:space="preserve"> y los </w:t>
      </w:r>
      <w:r w:rsidRPr="009C7994">
        <w:rPr>
          <w:rFonts w:cs="Calibri"/>
          <w:b/>
          <w:noProof/>
          <w:lang w:val="es-ES_tradnl"/>
        </w:rPr>
        <w:t>Estados Unidos de América</w:t>
      </w:r>
      <w:r w:rsidRPr="009C7994">
        <w:rPr>
          <w:rFonts w:cs="Calibri"/>
          <w:noProof/>
          <w:lang w:val="es-ES_tradnl"/>
        </w:rPr>
        <w:t xml:space="preserve"> apoyaron la continuación de </w:t>
      </w:r>
      <w:r>
        <w:rPr>
          <w:rFonts w:cs="Calibri"/>
          <w:noProof/>
          <w:lang w:val="es-ES_tradnl"/>
        </w:rPr>
        <w:t>las deliberaciones</w:t>
      </w:r>
      <w:r w:rsidRPr="009C7994">
        <w:rPr>
          <w:rFonts w:cs="Calibri"/>
          <w:noProof/>
          <w:lang w:val="es-ES_tradnl"/>
        </w:rPr>
        <w:t xml:space="preserve"> del Subgrupo.</w:t>
      </w:r>
    </w:p>
    <w:p w14:paraId="1DAF4F62" w14:textId="77777777" w:rsidR="009C7994" w:rsidRDefault="009C7994" w:rsidP="009C7994">
      <w:pPr>
        <w:spacing w:after="0" w:line="240" w:lineRule="auto"/>
        <w:ind w:left="426" w:hanging="426"/>
        <w:contextualSpacing/>
        <w:rPr>
          <w:rFonts w:cs="Calibri"/>
          <w:noProof/>
          <w:lang w:val="es-ES_tradnl"/>
        </w:rPr>
      </w:pPr>
    </w:p>
    <w:p w14:paraId="3C2116E6" w14:textId="420B1518" w:rsidR="009C7994" w:rsidRPr="009C7994" w:rsidRDefault="009C7994" w:rsidP="009C7994">
      <w:pPr>
        <w:spacing w:after="0" w:line="240" w:lineRule="auto"/>
        <w:ind w:left="426" w:hanging="426"/>
        <w:contextualSpacing/>
        <w:rPr>
          <w:rFonts w:cs="Calibri"/>
          <w:noProof/>
          <w:lang w:val="es-ES_tradnl"/>
        </w:rPr>
      </w:pPr>
      <w:r>
        <w:rPr>
          <w:rFonts w:cs="Calibri"/>
          <w:noProof/>
          <w:lang w:val="es-ES_tradnl"/>
        </w:rPr>
        <w:lastRenderedPageBreak/>
        <w:t>64.</w:t>
      </w:r>
      <w:r>
        <w:rPr>
          <w:rFonts w:cs="Calibri"/>
          <w:noProof/>
          <w:lang w:val="es-ES_tradnl"/>
        </w:rPr>
        <w:tab/>
        <w:t xml:space="preserve">La </w:t>
      </w:r>
      <w:r>
        <w:rPr>
          <w:rFonts w:cs="Calibri"/>
          <w:b/>
          <w:noProof/>
          <w:lang w:val="es-ES_tradnl"/>
        </w:rPr>
        <w:t xml:space="preserve">Presidencia </w:t>
      </w:r>
      <w:r>
        <w:rPr>
          <w:rFonts w:cs="Calibri"/>
          <w:bCs/>
          <w:noProof/>
          <w:lang w:val="es-ES_tradnl"/>
        </w:rPr>
        <w:t>pidió</w:t>
      </w:r>
      <w:r w:rsidRPr="009C7994">
        <w:rPr>
          <w:rFonts w:cs="Calibri"/>
          <w:bCs/>
          <w:noProof/>
          <w:lang w:val="es-ES_tradnl"/>
        </w:rPr>
        <w:t xml:space="preserve"> que </w:t>
      </w:r>
      <w:r>
        <w:rPr>
          <w:rFonts w:cs="Calibri"/>
          <w:bCs/>
          <w:noProof/>
          <w:lang w:val="es-ES_tradnl"/>
        </w:rPr>
        <w:t>el Subgrupo de Finanzas continuara</w:t>
      </w:r>
      <w:r w:rsidRPr="009C7994">
        <w:rPr>
          <w:rFonts w:cs="Calibri"/>
          <w:bCs/>
          <w:noProof/>
          <w:lang w:val="es-ES_tradnl"/>
        </w:rPr>
        <w:t xml:space="preserve"> sus deliberaciones </w:t>
      </w:r>
      <w:r>
        <w:rPr>
          <w:rFonts w:cs="Calibri"/>
          <w:bCs/>
          <w:noProof/>
          <w:lang w:val="es-ES_tradnl"/>
        </w:rPr>
        <w:t>y que informara</w:t>
      </w:r>
      <w:r w:rsidRPr="009C7994">
        <w:rPr>
          <w:rFonts w:cs="Calibri"/>
          <w:bCs/>
          <w:noProof/>
          <w:lang w:val="es-ES_tradnl"/>
        </w:rPr>
        <w:t xml:space="preserve"> al plenario el 27 de abril.</w:t>
      </w:r>
    </w:p>
    <w:p w14:paraId="2A9E272C" w14:textId="10519A6E" w:rsidR="00822639" w:rsidRPr="00045FC7" w:rsidRDefault="00822639" w:rsidP="009C7994">
      <w:pPr>
        <w:spacing w:after="0" w:line="240" w:lineRule="auto"/>
        <w:contextualSpacing/>
        <w:rPr>
          <w:rFonts w:cs="Calibri"/>
          <w:bCs/>
          <w:noProof/>
          <w:lang w:val="es-ES_tradnl"/>
        </w:rPr>
      </w:pPr>
    </w:p>
    <w:p w14:paraId="02D0CA39" w14:textId="1EEA8E34" w:rsidR="00822639" w:rsidRPr="00045FC7" w:rsidRDefault="00822639" w:rsidP="00B23D8D">
      <w:pPr>
        <w:spacing w:after="0" w:line="240" w:lineRule="auto"/>
        <w:ind w:left="426" w:hanging="426"/>
        <w:contextualSpacing/>
        <w:rPr>
          <w:rFonts w:cs="Calibri"/>
          <w:bCs/>
          <w:noProof/>
          <w:lang w:val="es-ES_tradnl"/>
        </w:rPr>
      </w:pPr>
    </w:p>
    <w:p w14:paraId="3054091F" w14:textId="32BAA00B" w:rsidR="005433D2" w:rsidRPr="00045FC7" w:rsidRDefault="009C7994" w:rsidP="00887E85">
      <w:pPr>
        <w:keepNext/>
        <w:pBdr>
          <w:top w:val="single" w:sz="4" w:space="1" w:color="auto"/>
          <w:left w:val="single" w:sz="4" w:space="4" w:color="auto"/>
          <w:bottom w:val="single" w:sz="4" w:space="1" w:color="auto"/>
          <w:right w:val="single" w:sz="4" w:space="4" w:color="auto"/>
        </w:pBdr>
        <w:spacing w:after="0" w:line="240" w:lineRule="auto"/>
        <w:ind w:left="425" w:hanging="425"/>
        <w:rPr>
          <w:rFonts w:asciiTheme="majorHAnsi" w:hAnsiTheme="majorHAnsi"/>
          <w:bCs/>
          <w:noProof/>
          <w:lang w:val="es-ES_tradnl"/>
        </w:rPr>
      </w:pPr>
      <w:r w:rsidRPr="008356B3">
        <w:rPr>
          <w:rFonts w:asciiTheme="majorHAnsi" w:hAnsiTheme="majorHAnsi"/>
          <w:bCs/>
          <w:lang w:val="es-ES_tradnl"/>
        </w:rPr>
        <w:t xml:space="preserve">Punto </w:t>
      </w:r>
      <w:r>
        <w:rPr>
          <w:rFonts w:asciiTheme="majorHAnsi" w:hAnsiTheme="majorHAnsi"/>
          <w:bCs/>
          <w:lang w:val="es-ES_tradnl"/>
        </w:rPr>
        <w:t>8</w:t>
      </w:r>
      <w:r w:rsidRPr="008356B3">
        <w:rPr>
          <w:rFonts w:asciiTheme="majorHAnsi" w:hAnsiTheme="majorHAnsi"/>
          <w:bCs/>
          <w:lang w:val="es-ES_tradnl"/>
        </w:rPr>
        <w:t xml:space="preserve"> del orden del día: </w:t>
      </w:r>
      <w:r w:rsidR="00E622CF">
        <w:rPr>
          <w:rFonts w:asciiTheme="majorHAnsi" w:hAnsiTheme="majorHAnsi"/>
          <w:bCs/>
          <w:lang w:val="es-ES_tradnl"/>
        </w:rPr>
        <w:t xml:space="preserve">Examen del Cuarto Plan Estratégico de la Convención de Ramsar </w:t>
      </w:r>
    </w:p>
    <w:p w14:paraId="531626E2" w14:textId="77777777" w:rsidR="003E4DF4" w:rsidRDefault="003E4DF4" w:rsidP="00E622CF">
      <w:pPr>
        <w:rPr>
          <w:rFonts w:asciiTheme="majorHAnsi" w:hAnsiTheme="majorHAnsi"/>
          <w:bCs/>
          <w:noProof/>
          <w:lang w:val="es-ES_tradnl"/>
        </w:rPr>
      </w:pPr>
    </w:p>
    <w:p w14:paraId="53FE4F02" w14:textId="16DA1400" w:rsidR="00E0349B" w:rsidRDefault="003E4DF4" w:rsidP="00E0349B">
      <w:pPr>
        <w:spacing w:after="0" w:line="240" w:lineRule="auto"/>
        <w:ind w:left="426" w:hanging="426"/>
        <w:rPr>
          <w:rFonts w:asciiTheme="majorHAnsi" w:hAnsiTheme="majorHAnsi"/>
          <w:bCs/>
          <w:noProof/>
          <w:lang w:val="es-ES_tradnl"/>
        </w:rPr>
      </w:pPr>
      <w:r>
        <w:rPr>
          <w:rFonts w:asciiTheme="majorHAnsi" w:hAnsiTheme="majorHAnsi"/>
          <w:bCs/>
          <w:noProof/>
          <w:lang w:val="es-ES_tradnl"/>
        </w:rPr>
        <w:t xml:space="preserve">65. </w:t>
      </w:r>
      <w:r>
        <w:rPr>
          <w:rFonts w:asciiTheme="majorHAnsi" w:hAnsiTheme="majorHAnsi"/>
          <w:bCs/>
          <w:noProof/>
          <w:lang w:val="es-ES_tradnl"/>
        </w:rPr>
        <w:tab/>
      </w:r>
      <w:r w:rsidR="00E622CF" w:rsidRPr="00E622CF">
        <w:rPr>
          <w:rFonts w:asciiTheme="majorHAnsi" w:hAnsiTheme="majorHAnsi"/>
          <w:bCs/>
          <w:noProof/>
          <w:lang w:val="es-ES_tradnl"/>
        </w:rPr>
        <w:t xml:space="preserve">La </w:t>
      </w:r>
      <w:r w:rsidR="00E622CF" w:rsidRPr="003E4DF4">
        <w:rPr>
          <w:rFonts w:asciiTheme="majorHAnsi" w:hAnsiTheme="majorHAnsi"/>
          <w:b/>
          <w:bCs/>
          <w:noProof/>
          <w:lang w:val="es-ES_tradnl"/>
        </w:rPr>
        <w:t>Secretaría</w:t>
      </w:r>
      <w:r w:rsidR="00E622CF" w:rsidRPr="00E622CF">
        <w:rPr>
          <w:rFonts w:asciiTheme="majorHAnsi" w:hAnsiTheme="majorHAnsi"/>
          <w:bCs/>
          <w:noProof/>
          <w:lang w:val="es-ES_tradnl"/>
        </w:rPr>
        <w:t xml:space="preserve"> presentó brevemente el documento Doc. SC54-8</w:t>
      </w:r>
      <w:r>
        <w:rPr>
          <w:rFonts w:asciiTheme="majorHAnsi" w:hAnsiTheme="majorHAnsi"/>
          <w:bCs/>
          <w:noProof/>
          <w:lang w:val="es-ES_tradnl"/>
        </w:rPr>
        <w:t>,</w:t>
      </w:r>
      <w:r w:rsidR="00E622CF" w:rsidRPr="00E622CF">
        <w:rPr>
          <w:rFonts w:asciiTheme="majorHAnsi" w:hAnsiTheme="majorHAnsi"/>
          <w:bCs/>
          <w:noProof/>
          <w:lang w:val="es-ES_tradnl"/>
        </w:rPr>
        <w:t xml:space="preserve"> </w:t>
      </w:r>
      <w:r>
        <w:rPr>
          <w:rFonts w:asciiTheme="majorHAnsi" w:hAnsiTheme="majorHAnsi"/>
          <w:bCs/>
          <w:i/>
          <w:noProof/>
          <w:lang w:val="es-ES_tradnl"/>
        </w:rPr>
        <w:t>Examen del C</w:t>
      </w:r>
      <w:r w:rsidR="00E622CF" w:rsidRPr="003E4DF4">
        <w:rPr>
          <w:rFonts w:asciiTheme="majorHAnsi" w:hAnsiTheme="majorHAnsi"/>
          <w:bCs/>
          <w:i/>
          <w:noProof/>
          <w:lang w:val="es-ES_tradnl"/>
        </w:rPr>
        <w:t>ua</w:t>
      </w:r>
      <w:r w:rsidRPr="003E4DF4">
        <w:rPr>
          <w:rFonts w:asciiTheme="majorHAnsi" w:hAnsiTheme="majorHAnsi"/>
          <w:bCs/>
          <w:i/>
          <w:noProof/>
          <w:lang w:val="es-ES_tradnl"/>
        </w:rPr>
        <w:t xml:space="preserve">rto Plan </w:t>
      </w:r>
      <w:r w:rsidR="00071916">
        <w:rPr>
          <w:rFonts w:asciiTheme="majorHAnsi" w:hAnsiTheme="majorHAnsi"/>
          <w:bCs/>
          <w:i/>
          <w:noProof/>
          <w:lang w:val="es-ES_tradnl"/>
        </w:rPr>
        <w:t>E</w:t>
      </w:r>
      <w:r w:rsidR="00E622CF" w:rsidRPr="003E4DF4">
        <w:rPr>
          <w:rFonts w:asciiTheme="majorHAnsi" w:hAnsiTheme="majorHAnsi"/>
          <w:bCs/>
          <w:i/>
          <w:noProof/>
          <w:lang w:val="es-ES_tradnl"/>
        </w:rPr>
        <w:t>stratégico de la Convención</w:t>
      </w:r>
      <w:r w:rsidR="00E0349B">
        <w:rPr>
          <w:rFonts w:asciiTheme="majorHAnsi" w:hAnsiTheme="majorHAnsi"/>
          <w:bCs/>
          <w:noProof/>
          <w:lang w:val="es-ES_tradnl"/>
        </w:rPr>
        <w:t>. Este</w:t>
      </w:r>
      <w:r>
        <w:rPr>
          <w:rFonts w:asciiTheme="majorHAnsi" w:hAnsiTheme="majorHAnsi"/>
          <w:bCs/>
          <w:noProof/>
          <w:lang w:val="es-ES_tradnl"/>
        </w:rPr>
        <w:t xml:space="preserve"> incluye</w:t>
      </w:r>
      <w:r w:rsidR="00E622CF" w:rsidRPr="00E622CF">
        <w:rPr>
          <w:rFonts w:asciiTheme="majorHAnsi" w:hAnsiTheme="majorHAnsi"/>
          <w:bCs/>
          <w:noProof/>
          <w:lang w:val="es-ES_tradnl"/>
        </w:rPr>
        <w:t xml:space="preserve"> un proyecto de resolución</w:t>
      </w:r>
      <w:r>
        <w:rPr>
          <w:rFonts w:asciiTheme="majorHAnsi" w:hAnsiTheme="majorHAnsi"/>
          <w:bCs/>
          <w:noProof/>
          <w:lang w:val="es-ES_tradnl"/>
        </w:rPr>
        <w:t xml:space="preserve"> de la</w:t>
      </w:r>
      <w:r w:rsidR="00E622CF" w:rsidRPr="00E622CF">
        <w:rPr>
          <w:rFonts w:asciiTheme="majorHAnsi" w:hAnsiTheme="majorHAnsi"/>
          <w:bCs/>
          <w:noProof/>
          <w:lang w:val="es-ES_tradnl"/>
        </w:rPr>
        <w:t xml:space="preserve"> COP13 y un anexo </w:t>
      </w:r>
      <w:r>
        <w:rPr>
          <w:rFonts w:asciiTheme="majorHAnsi" w:hAnsiTheme="majorHAnsi"/>
          <w:bCs/>
          <w:noProof/>
          <w:lang w:val="es-ES_tradnl"/>
        </w:rPr>
        <w:t>relacionado</w:t>
      </w:r>
      <w:r w:rsidR="00E622CF" w:rsidRPr="00E622CF">
        <w:rPr>
          <w:rFonts w:asciiTheme="majorHAnsi" w:hAnsiTheme="majorHAnsi"/>
          <w:bCs/>
          <w:noProof/>
          <w:lang w:val="es-ES_tradnl"/>
        </w:rPr>
        <w:t xml:space="preserve"> que detalla el alcance propuesto, la</w:t>
      </w:r>
      <w:r>
        <w:rPr>
          <w:rFonts w:asciiTheme="majorHAnsi" w:hAnsiTheme="majorHAnsi"/>
          <w:bCs/>
          <w:noProof/>
          <w:lang w:val="es-ES_tradnl"/>
        </w:rPr>
        <w:t>s</w:t>
      </w:r>
      <w:r w:rsidR="00E622CF" w:rsidRPr="00E622CF">
        <w:rPr>
          <w:rFonts w:asciiTheme="majorHAnsi" w:hAnsiTheme="majorHAnsi"/>
          <w:bCs/>
          <w:noProof/>
          <w:lang w:val="es-ES_tradnl"/>
        </w:rPr>
        <w:t xml:space="preserve"> modalidad</w:t>
      </w:r>
      <w:r>
        <w:rPr>
          <w:rFonts w:asciiTheme="majorHAnsi" w:hAnsiTheme="majorHAnsi"/>
          <w:bCs/>
          <w:noProof/>
          <w:lang w:val="es-ES_tradnl"/>
        </w:rPr>
        <w:t>es</w:t>
      </w:r>
      <w:r w:rsidR="00E622CF" w:rsidRPr="00E622CF">
        <w:rPr>
          <w:rFonts w:asciiTheme="majorHAnsi" w:hAnsiTheme="majorHAnsi"/>
          <w:bCs/>
          <w:noProof/>
          <w:lang w:val="es-ES_tradnl"/>
        </w:rPr>
        <w:t xml:space="preserve"> y el </w:t>
      </w:r>
      <w:r>
        <w:rPr>
          <w:rFonts w:asciiTheme="majorHAnsi" w:hAnsiTheme="majorHAnsi"/>
          <w:bCs/>
          <w:noProof/>
          <w:lang w:val="es-ES_tradnl"/>
        </w:rPr>
        <w:t>calendario orientativo</w:t>
      </w:r>
      <w:r w:rsidR="00E622CF" w:rsidRPr="00E622CF">
        <w:rPr>
          <w:rFonts w:asciiTheme="majorHAnsi" w:hAnsiTheme="majorHAnsi"/>
          <w:bCs/>
          <w:noProof/>
          <w:lang w:val="es-ES_tradnl"/>
        </w:rPr>
        <w:t xml:space="preserve"> y el presupuesto para </w:t>
      </w:r>
      <w:r>
        <w:rPr>
          <w:rFonts w:asciiTheme="majorHAnsi" w:hAnsiTheme="majorHAnsi"/>
          <w:bCs/>
          <w:noProof/>
          <w:lang w:val="es-ES_tradnl"/>
        </w:rPr>
        <w:t>el examen</w:t>
      </w:r>
      <w:r w:rsidR="00E622CF" w:rsidRPr="00E622CF">
        <w:rPr>
          <w:rFonts w:asciiTheme="majorHAnsi" w:hAnsiTheme="majorHAnsi"/>
          <w:bCs/>
          <w:noProof/>
          <w:lang w:val="es-ES_tradnl"/>
        </w:rPr>
        <w:t>.</w:t>
      </w:r>
    </w:p>
    <w:p w14:paraId="077536E0" w14:textId="77777777" w:rsidR="00E0349B" w:rsidRDefault="00E0349B" w:rsidP="00E0349B">
      <w:pPr>
        <w:spacing w:after="0" w:line="240" w:lineRule="auto"/>
        <w:ind w:left="426" w:hanging="426"/>
        <w:rPr>
          <w:rFonts w:asciiTheme="majorHAnsi" w:hAnsiTheme="majorHAnsi"/>
          <w:bCs/>
          <w:noProof/>
          <w:lang w:val="es-ES_tradnl"/>
        </w:rPr>
      </w:pPr>
    </w:p>
    <w:p w14:paraId="483C7238" w14:textId="77777777" w:rsidR="00E0349B" w:rsidRDefault="00E0349B" w:rsidP="00E0349B">
      <w:pPr>
        <w:spacing w:after="0" w:line="240" w:lineRule="auto"/>
        <w:ind w:left="426" w:hanging="426"/>
        <w:rPr>
          <w:rFonts w:asciiTheme="majorHAnsi" w:hAnsiTheme="majorHAnsi"/>
          <w:bCs/>
          <w:noProof/>
          <w:lang w:val="es-ES_tradnl"/>
        </w:rPr>
      </w:pPr>
      <w:r>
        <w:rPr>
          <w:rFonts w:asciiTheme="majorHAnsi" w:hAnsiTheme="majorHAnsi"/>
          <w:bCs/>
          <w:noProof/>
          <w:lang w:val="es-ES_tradnl"/>
        </w:rPr>
        <w:t>66.</w:t>
      </w:r>
      <w:r>
        <w:rPr>
          <w:rFonts w:asciiTheme="majorHAnsi" w:hAnsiTheme="majorHAnsi"/>
          <w:bCs/>
          <w:noProof/>
          <w:lang w:val="es-ES_tradnl"/>
        </w:rPr>
        <w:tab/>
        <w:t xml:space="preserve">El </w:t>
      </w:r>
      <w:r w:rsidRPr="00E0349B">
        <w:rPr>
          <w:rFonts w:asciiTheme="majorHAnsi" w:hAnsiTheme="majorHAnsi"/>
          <w:b/>
          <w:bCs/>
          <w:noProof/>
          <w:lang w:val="es-ES_tradnl"/>
        </w:rPr>
        <w:t>Canadá</w:t>
      </w:r>
      <w:r w:rsidRPr="00E0349B">
        <w:rPr>
          <w:rFonts w:asciiTheme="majorHAnsi" w:hAnsiTheme="majorHAnsi"/>
          <w:bCs/>
          <w:noProof/>
          <w:lang w:val="es-ES_tradnl"/>
        </w:rPr>
        <w:t xml:space="preserve">, los </w:t>
      </w:r>
      <w:r w:rsidRPr="00E0349B">
        <w:rPr>
          <w:rFonts w:asciiTheme="majorHAnsi" w:hAnsiTheme="majorHAnsi"/>
          <w:b/>
          <w:bCs/>
          <w:noProof/>
          <w:lang w:val="es-ES_tradnl"/>
        </w:rPr>
        <w:t>Estados Unidos de América</w:t>
      </w:r>
      <w:r w:rsidRPr="00E0349B">
        <w:rPr>
          <w:rFonts w:asciiTheme="majorHAnsi" w:hAnsiTheme="majorHAnsi"/>
          <w:bCs/>
          <w:noProof/>
          <w:lang w:val="es-ES_tradnl"/>
        </w:rPr>
        <w:t>,</w:t>
      </w:r>
      <w:r w:rsidRPr="00E0349B">
        <w:rPr>
          <w:rFonts w:asciiTheme="majorHAnsi" w:hAnsiTheme="majorHAnsi"/>
          <w:b/>
          <w:bCs/>
          <w:noProof/>
          <w:lang w:val="es-ES_tradnl"/>
        </w:rPr>
        <w:t xml:space="preserve"> Estonia</w:t>
      </w:r>
      <w:r w:rsidRPr="00E0349B">
        <w:rPr>
          <w:rFonts w:asciiTheme="majorHAnsi" w:hAnsiTheme="majorHAnsi"/>
          <w:bCs/>
          <w:noProof/>
          <w:lang w:val="es-ES_tradnl"/>
        </w:rPr>
        <w:t xml:space="preserve">, </w:t>
      </w:r>
      <w:r w:rsidRPr="00E0349B">
        <w:rPr>
          <w:rFonts w:asciiTheme="majorHAnsi" w:hAnsiTheme="majorHAnsi"/>
          <w:b/>
          <w:bCs/>
          <w:noProof/>
          <w:lang w:val="es-ES_tradnl"/>
        </w:rPr>
        <w:t>Finlandia</w:t>
      </w:r>
      <w:r w:rsidRPr="00E0349B">
        <w:rPr>
          <w:rFonts w:asciiTheme="majorHAnsi" w:hAnsiTheme="majorHAnsi"/>
          <w:bCs/>
          <w:noProof/>
          <w:lang w:val="es-ES_tradnl"/>
        </w:rPr>
        <w:t xml:space="preserve">, </w:t>
      </w:r>
      <w:r w:rsidRPr="00E0349B">
        <w:rPr>
          <w:rFonts w:asciiTheme="majorHAnsi" w:hAnsiTheme="majorHAnsi"/>
          <w:b/>
          <w:bCs/>
          <w:noProof/>
          <w:lang w:val="es-ES_tradnl"/>
        </w:rPr>
        <w:t>Omán</w:t>
      </w:r>
      <w:r w:rsidRPr="00E0349B">
        <w:rPr>
          <w:rFonts w:asciiTheme="majorHAnsi" w:hAnsiTheme="majorHAnsi"/>
          <w:bCs/>
          <w:noProof/>
          <w:lang w:val="es-ES_tradnl"/>
        </w:rPr>
        <w:t xml:space="preserve">, el </w:t>
      </w:r>
      <w:r w:rsidRPr="00E0349B">
        <w:rPr>
          <w:rFonts w:asciiTheme="majorHAnsi" w:hAnsiTheme="majorHAnsi"/>
          <w:b/>
          <w:bCs/>
          <w:noProof/>
          <w:lang w:val="es-ES_tradnl"/>
        </w:rPr>
        <w:t>Senegal</w:t>
      </w:r>
      <w:r w:rsidRPr="00E0349B">
        <w:rPr>
          <w:rFonts w:asciiTheme="majorHAnsi" w:hAnsiTheme="majorHAnsi"/>
          <w:bCs/>
          <w:noProof/>
          <w:lang w:val="es-ES_tradnl"/>
        </w:rPr>
        <w:t xml:space="preserve">, </w:t>
      </w:r>
      <w:r w:rsidRPr="00E0349B">
        <w:rPr>
          <w:rFonts w:asciiTheme="majorHAnsi" w:hAnsiTheme="majorHAnsi"/>
          <w:b/>
          <w:bCs/>
          <w:noProof/>
          <w:lang w:val="es-ES_tradnl"/>
        </w:rPr>
        <w:t>Sudáfrica</w:t>
      </w:r>
      <w:r w:rsidRPr="00E0349B">
        <w:rPr>
          <w:rFonts w:asciiTheme="majorHAnsi" w:hAnsiTheme="majorHAnsi"/>
          <w:bCs/>
          <w:noProof/>
          <w:lang w:val="es-ES_tradnl"/>
        </w:rPr>
        <w:t xml:space="preserve"> </w:t>
      </w:r>
      <w:r>
        <w:rPr>
          <w:rFonts w:asciiTheme="majorHAnsi" w:hAnsiTheme="majorHAnsi"/>
          <w:bCs/>
          <w:noProof/>
          <w:lang w:val="es-ES_tradnl"/>
        </w:rPr>
        <w:t xml:space="preserve">y </w:t>
      </w:r>
      <w:r w:rsidRPr="00E0349B">
        <w:rPr>
          <w:rFonts w:asciiTheme="majorHAnsi" w:hAnsiTheme="majorHAnsi"/>
          <w:b/>
          <w:bCs/>
          <w:noProof/>
          <w:lang w:val="es-ES_tradnl"/>
        </w:rPr>
        <w:t>Suiza</w:t>
      </w:r>
      <w:r w:rsidRPr="00E0349B">
        <w:rPr>
          <w:rFonts w:asciiTheme="majorHAnsi" w:hAnsiTheme="majorHAnsi"/>
          <w:bCs/>
          <w:noProof/>
          <w:lang w:val="es-ES_tradnl"/>
        </w:rPr>
        <w:t xml:space="preserve"> presentaron observaciones específicas y enmiendas propuestas al proyecto de resolución.</w:t>
      </w:r>
    </w:p>
    <w:p w14:paraId="019E6238" w14:textId="77777777" w:rsidR="00E0349B" w:rsidRDefault="00E0349B" w:rsidP="00E0349B">
      <w:pPr>
        <w:spacing w:after="0" w:line="240" w:lineRule="auto"/>
        <w:ind w:left="426" w:hanging="426"/>
        <w:rPr>
          <w:rFonts w:asciiTheme="majorHAnsi" w:hAnsiTheme="majorHAnsi"/>
          <w:bCs/>
          <w:noProof/>
          <w:lang w:val="es-ES_tradnl"/>
        </w:rPr>
      </w:pPr>
    </w:p>
    <w:p w14:paraId="47EE5103" w14:textId="3CA52E10" w:rsidR="00E0349B" w:rsidRDefault="00E0349B" w:rsidP="00E0349B">
      <w:pPr>
        <w:spacing w:after="0" w:line="240" w:lineRule="auto"/>
        <w:ind w:left="426" w:hanging="426"/>
        <w:rPr>
          <w:rFonts w:asciiTheme="majorHAnsi" w:hAnsiTheme="majorHAnsi"/>
          <w:bCs/>
          <w:noProof/>
          <w:lang w:val="es-ES_tradnl"/>
        </w:rPr>
      </w:pPr>
      <w:r w:rsidRPr="00E0349B">
        <w:rPr>
          <w:rFonts w:asciiTheme="majorHAnsi" w:hAnsiTheme="majorHAnsi"/>
          <w:bCs/>
          <w:noProof/>
          <w:lang w:val="es-ES_tradnl"/>
        </w:rPr>
        <w:t xml:space="preserve">67. </w:t>
      </w:r>
      <w:r>
        <w:rPr>
          <w:rFonts w:asciiTheme="majorHAnsi" w:hAnsiTheme="majorHAnsi"/>
          <w:bCs/>
          <w:noProof/>
          <w:lang w:val="es-ES_tradnl"/>
        </w:rPr>
        <w:t xml:space="preserve">  </w:t>
      </w:r>
      <w:r w:rsidRPr="00E0349B">
        <w:rPr>
          <w:rFonts w:asciiTheme="majorHAnsi" w:hAnsiTheme="majorHAnsi"/>
          <w:bCs/>
          <w:noProof/>
          <w:lang w:val="es-ES_tradnl"/>
        </w:rPr>
        <w:t xml:space="preserve">La </w:t>
      </w:r>
      <w:r w:rsidRPr="00E0349B">
        <w:rPr>
          <w:rFonts w:asciiTheme="majorHAnsi" w:hAnsiTheme="majorHAnsi"/>
          <w:b/>
          <w:bCs/>
          <w:noProof/>
          <w:lang w:val="es-ES_tradnl"/>
        </w:rPr>
        <w:t>Secretaría</w:t>
      </w:r>
      <w:r w:rsidRPr="00E0349B">
        <w:rPr>
          <w:rFonts w:asciiTheme="majorHAnsi" w:hAnsiTheme="majorHAnsi"/>
          <w:bCs/>
          <w:noProof/>
          <w:lang w:val="es-ES_tradnl"/>
        </w:rPr>
        <w:t xml:space="preserve"> respondió a </w:t>
      </w:r>
      <w:r w:rsidR="00071916">
        <w:rPr>
          <w:rFonts w:asciiTheme="majorHAnsi" w:hAnsiTheme="majorHAnsi"/>
          <w:bCs/>
          <w:noProof/>
          <w:lang w:val="es-ES_tradnl"/>
        </w:rPr>
        <w:t>alguna</w:t>
      </w:r>
      <w:r>
        <w:rPr>
          <w:rFonts w:asciiTheme="majorHAnsi" w:hAnsiTheme="majorHAnsi"/>
          <w:bCs/>
          <w:noProof/>
          <w:lang w:val="es-ES_tradnl"/>
        </w:rPr>
        <w:t xml:space="preserve">s de </w:t>
      </w:r>
      <w:r w:rsidR="00071916">
        <w:rPr>
          <w:rFonts w:asciiTheme="majorHAnsi" w:hAnsiTheme="majorHAnsi"/>
          <w:bCs/>
          <w:noProof/>
          <w:lang w:val="es-ES_tradnl"/>
        </w:rPr>
        <w:t>las cuestiones</w:t>
      </w:r>
      <w:r w:rsidRPr="00E0349B">
        <w:rPr>
          <w:rFonts w:asciiTheme="majorHAnsi" w:hAnsiTheme="majorHAnsi"/>
          <w:bCs/>
          <w:noProof/>
          <w:lang w:val="es-ES_tradnl"/>
        </w:rPr>
        <w:t xml:space="preserve"> plantead</w:t>
      </w:r>
      <w:r w:rsidR="00071916">
        <w:rPr>
          <w:rFonts w:asciiTheme="majorHAnsi" w:hAnsiTheme="majorHAnsi"/>
          <w:bCs/>
          <w:noProof/>
          <w:lang w:val="es-ES_tradnl"/>
        </w:rPr>
        <w:t>a</w:t>
      </w:r>
      <w:r w:rsidRPr="00E0349B">
        <w:rPr>
          <w:rFonts w:asciiTheme="majorHAnsi" w:hAnsiTheme="majorHAnsi"/>
          <w:bCs/>
          <w:noProof/>
          <w:lang w:val="es-ES_tradnl"/>
        </w:rPr>
        <w:t>s.</w:t>
      </w:r>
    </w:p>
    <w:p w14:paraId="463A0E79" w14:textId="77777777" w:rsidR="00E0349B" w:rsidRDefault="00E0349B" w:rsidP="00E0349B">
      <w:pPr>
        <w:spacing w:after="0" w:line="240" w:lineRule="auto"/>
        <w:ind w:left="426" w:hanging="426"/>
        <w:rPr>
          <w:rFonts w:asciiTheme="majorHAnsi" w:hAnsiTheme="majorHAnsi"/>
          <w:bCs/>
          <w:noProof/>
          <w:lang w:val="es-ES_tradnl"/>
        </w:rPr>
      </w:pPr>
    </w:p>
    <w:p w14:paraId="67D61C5B" w14:textId="437A2BD9" w:rsidR="00E0349B" w:rsidRPr="00E0349B" w:rsidRDefault="00E0349B" w:rsidP="00E0349B">
      <w:pPr>
        <w:spacing w:after="0" w:line="240" w:lineRule="auto"/>
        <w:ind w:left="426" w:hanging="426"/>
        <w:rPr>
          <w:rFonts w:asciiTheme="majorHAnsi" w:hAnsiTheme="majorHAnsi"/>
          <w:bCs/>
          <w:noProof/>
          <w:lang w:val="es-ES_tradnl"/>
        </w:rPr>
      </w:pPr>
      <w:r>
        <w:rPr>
          <w:rFonts w:asciiTheme="majorHAnsi" w:hAnsiTheme="majorHAnsi"/>
          <w:bCs/>
          <w:noProof/>
          <w:lang w:val="es-ES_tradnl"/>
        </w:rPr>
        <w:t>68.</w:t>
      </w:r>
      <w:r>
        <w:rPr>
          <w:rFonts w:asciiTheme="majorHAnsi" w:hAnsiTheme="majorHAnsi"/>
          <w:bCs/>
          <w:noProof/>
          <w:lang w:val="es-ES_tradnl"/>
        </w:rPr>
        <w:tab/>
        <w:t>La</w:t>
      </w:r>
      <w:r w:rsidRPr="00E0349B">
        <w:rPr>
          <w:rFonts w:asciiTheme="majorHAnsi" w:hAnsiTheme="majorHAnsi"/>
          <w:bCs/>
          <w:noProof/>
          <w:lang w:val="es-ES_tradnl"/>
        </w:rPr>
        <w:t xml:space="preserve"> </w:t>
      </w:r>
      <w:r>
        <w:rPr>
          <w:rFonts w:asciiTheme="majorHAnsi" w:hAnsiTheme="majorHAnsi"/>
          <w:b/>
          <w:bCs/>
          <w:noProof/>
          <w:lang w:val="es-ES_tradnl"/>
        </w:rPr>
        <w:t>Presidencia</w:t>
      </w:r>
      <w:r w:rsidRPr="00E0349B">
        <w:rPr>
          <w:rFonts w:asciiTheme="majorHAnsi" w:hAnsiTheme="majorHAnsi"/>
          <w:bCs/>
          <w:noProof/>
          <w:lang w:val="es-ES_tradnl"/>
        </w:rPr>
        <w:t xml:space="preserve"> pidió a las Partes que habían propuesto enmiendas que las presentaran por escrito a la Secretaría a fin de que pudiera </w:t>
      </w:r>
      <w:r>
        <w:rPr>
          <w:rFonts w:asciiTheme="majorHAnsi" w:hAnsiTheme="majorHAnsi"/>
          <w:bCs/>
          <w:noProof/>
          <w:lang w:val="es-ES_tradnl"/>
        </w:rPr>
        <w:t xml:space="preserve">elaborarse </w:t>
      </w:r>
      <w:r w:rsidRPr="00E0349B">
        <w:rPr>
          <w:rFonts w:asciiTheme="majorHAnsi" w:hAnsiTheme="majorHAnsi"/>
          <w:bCs/>
          <w:noProof/>
          <w:lang w:val="es-ES_tradnl"/>
        </w:rPr>
        <w:t>un documento</w:t>
      </w:r>
      <w:r>
        <w:rPr>
          <w:rFonts w:asciiTheme="majorHAnsi" w:hAnsiTheme="majorHAnsi"/>
          <w:bCs/>
          <w:noProof/>
          <w:lang w:val="es-ES_tradnl"/>
        </w:rPr>
        <w:t xml:space="preserve"> revisado</w:t>
      </w:r>
      <w:r w:rsidRPr="00E0349B">
        <w:rPr>
          <w:rFonts w:asciiTheme="majorHAnsi" w:hAnsiTheme="majorHAnsi"/>
          <w:bCs/>
          <w:noProof/>
          <w:lang w:val="es-ES_tradnl"/>
        </w:rPr>
        <w:t xml:space="preserve"> </w:t>
      </w:r>
      <w:r w:rsidR="00577731">
        <w:rPr>
          <w:rFonts w:asciiTheme="majorHAnsi" w:hAnsiTheme="majorHAnsi"/>
          <w:bCs/>
          <w:noProof/>
          <w:lang w:val="es-ES_tradnl"/>
        </w:rPr>
        <w:t>para</w:t>
      </w:r>
      <w:r>
        <w:rPr>
          <w:rFonts w:asciiTheme="majorHAnsi" w:hAnsiTheme="majorHAnsi"/>
          <w:bCs/>
          <w:noProof/>
          <w:lang w:val="es-ES_tradnl"/>
        </w:rPr>
        <w:t xml:space="preserve"> presentar</w:t>
      </w:r>
      <w:r w:rsidR="00577731">
        <w:rPr>
          <w:rFonts w:asciiTheme="majorHAnsi" w:hAnsiTheme="majorHAnsi"/>
          <w:bCs/>
          <w:noProof/>
          <w:lang w:val="es-ES_tradnl"/>
        </w:rPr>
        <w:t>lo</w:t>
      </w:r>
      <w:r w:rsidRPr="00E0349B">
        <w:rPr>
          <w:rFonts w:asciiTheme="majorHAnsi" w:hAnsiTheme="majorHAnsi"/>
          <w:bCs/>
          <w:noProof/>
          <w:lang w:val="es-ES_tradnl"/>
        </w:rPr>
        <w:t xml:space="preserve"> al Comité Permanente para su consideración.</w:t>
      </w:r>
    </w:p>
    <w:p w14:paraId="318BB8B8" w14:textId="77777777" w:rsidR="005433D2" w:rsidRPr="00045FC7" w:rsidRDefault="005433D2" w:rsidP="00577731">
      <w:pPr>
        <w:spacing w:after="0" w:line="240" w:lineRule="auto"/>
        <w:rPr>
          <w:rFonts w:asciiTheme="majorHAnsi" w:hAnsiTheme="majorHAnsi"/>
          <w:bCs/>
          <w:noProof/>
          <w:lang w:val="es-ES_tradnl"/>
        </w:rPr>
      </w:pPr>
    </w:p>
    <w:p w14:paraId="583A4222" w14:textId="13EE26CA" w:rsidR="005433D2" w:rsidRPr="00045FC7" w:rsidRDefault="00577731" w:rsidP="00B23D8D">
      <w:pPr>
        <w:pBdr>
          <w:top w:val="single" w:sz="4" w:space="1" w:color="auto"/>
          <w:left w:val="single" w:sz="4" w:space="4" w:color="auto"/>
          <w:bottom w:val="single" w:sz="4" w:space="0" w:color="auto"/>
          <w:right w:val="single" w:sz="4" w:space="4" w:color="auto"/>
        </w:pBdr>
        <w:spacing w:after="0" w:line="240" w:lineRule="auto"/>
        <w:ind w:left="426" w:hanging="426"/>
        <w:rPr>
          <w:rFonts w:asciiTheme="majorHAnsi" w:hAnsiTheme="majorHAnsi"/>
          <w:bCs/>
          <w:noProof/>
          <w:lang w:val="es-ES_tradnl"/>
        </w:rPr>
      </w:pPr>
      <w:r w:rsidRPr="008356B3">
        <w:rPr>
          <w:rFonts w:asciiTheme="majorHAnsi" w:hAnsiTheme="majorHAnsi"/>
          <w:bCs/>
          <w:lang w:val="es-ES_tradnl"/>
        </w:rPr>
        <w:t xml:space="preserve">Punto </w:t>
      </w:r>
      <w:r>
        <w:rPr>
          <w:rFonts w:asciiTheme="majorHAnsi" w:hAnsiTheme="majorHAnsi"/>
          <w:bCs/>
          <w:lang w:val="es-ES_tradnl"/>
        </w:rPr>
        <w:t>14</w:t>
      </w:r>
      <w:r w:rsidRPr="008356B3">
        <w:rPr>
          <w:rFonts w:asciiTheme="majorHAnsi" w:hAnsiTheme="majorHAnsi"/>
          <w:bCs/>
          <w:lang w:val="es-ES_tradnl"/>
        </w:rPr>
        <w:t xml:space="preserve"> del orden del día: </w:t>
      </w:r>
      <w:r>
        <w:rPr>
          <w:rFonts w:asciiTheme="majorHAnsi" w:hAnsiTheme="majorHAnsi"/>
          <w:bCs/>
          <w:lang w:val="es-ES_tradnl"/>
        </w:rPr>
        <w:t xml:space="preserve">Mejora de la visibilidad de la Convención y las sinergias con otros AMMA e instituciones internacionales </w:t>
      </w:r>
    </w:p>
    <w:p w14:paraId="759F0CAA" w14:textId="77777777" w:rsidR="003D6A99" w:rsidRPr="00045FC7" w:rsidRDefault="003D6A99" w:rsidP="00B23D8D">
      <w:pPr>
        <w:spacing w:after="0" w:line="240" w:lineRule="auto"/>
        <w:ind w:left="426" w:hanging="426"/>
        <w:rPr>
          <w:rFonts w:asciiTheme="majorHAnsi" w:hAnsiTheme="majorHAnsi"/>
          <w:bCs/>
          <w:noProof/>
          <w:lang w:val="es-ES_tradnl"/>
        </w:rPr>
      </w:pPr>
    </w:p>
    <w:p w14:paraId="387F769E" w14:textId="77777777" w:rsidR="00577731" w:rsidRDefault="00577731" w:rsidP="00577731">
      <w:pPr>
        <w:spacing w:after="0" w:line="240" w:lineRule="auto"/>
        <w:ind w:left="426" w:hanging="426"/>
        <w:rPr>
          <w:rFonts w:asciiTheme="majorHAnsi" w:hAnsiTheme="majorHAnsi"/>
          <w:bCs/>
          <w:noProof/>
          <w:lang w:val="es-ES_tradnl"/>
        </w:rPr>
      </w:pPr>
      <w:r w:rsidRPr="00577731">
        <w:rPr>
          <w:rFonts w:asciiTheme="majorHAnsi" w:hAnsiTheme="majorHAnsi"/>
          <w:bCs/>
          <w:noProof/>
          <w:lang w:val="es-ES_tradnl"/>
        </w:rPr>
        <w:t xml:space="preserve">69. </w:t>
      </w:r>
      <w:r>
        <w:rPr>
          <w:rFonts w:asciiTheme="majorHAnsi" w:hAnsiTheme="majorHAnsi"/>
          <w:bCs/>
          <w:noProof/>
          <w:lang w:val="es-ES_tradnl"/>
        </w:rPr>
        <w:t xml:space="preserve">  </w:t>
      </w:r>
      <w:r w:rsidRPr="00577731">
        <w:rPr>
          <w:rFonts w:asciiTheme="majorHAnsi" w:hAnsiTheme="majorHAnsi"/>
          <w:bCs/>
          <w:noProof/>
          <w:lang w:val="es-ES_tradnl"/>
        </w:rPr>
        <w:t xml:space="preserve">Este tema fue presidido por </w:t>
      </w:r>
      <w:r>
        <w:rPr>
          <w:rFonts w:asciiTheme="majorHAnsi" w:hAnsiTheme="majorHAnsi"/>
          <w:bCs/>
          <w:noProof/>
          <w:lang w:val="es-ES_tradnl"/>
        </w:rPr>
        <w:t xml:space="preserve">la </w:t>
      </w:r>
      <w:r w:rsidRPr="00577731">
        <w:rPr>
          <w:rFonts w:asciiTheme="majorHAnsi" w:hAnsiTheme="majorHAnsi"/>
          <w:bCs/>
          <w:noProof/>
          <w:lang w:val="es-ES_tradnl"/>
        </w:rPr>
        <w:t>Vicepresidencia del Comité Permanente (Australia).</w:t>
      </w:r>
    </w:p>
    <w:p w14:paraId="62BF1088" w14:textId="77777777" w:rsidR="00577731" w:rsidRDefault="00577731" w:rsidP="00577731">
      <w:pPr>
        <w:spacing w:after="0" w:line="240" w:lineRule="auto"/>
        <w:ind w:left="426" w:hanging="426"/>
        <w:rPr>
          <w:rFonts w:asciiTheme="majorHAnsi" w:hAnsiTheme="majorHAnsi"/>
          <w:bCs/>
          <w:noProof/>
          <w:lang w:val="es-ES_tradnl"/>
        </w:rPr>
      </w:pPr>
    </w:p>
    <w:p w14:paraId="2AC53A58" w14:textId="77777777" w:rsidR="00577731" w:rsidRDefault="00577731" w:rsidP="00577731">
      <w:pPr>
        <w:spacing w:after="0" w:line="240" w:lineRule="auto"/>
        <w:ind w:left="426" w:hanging="426"/>
        <w:rPr>
          <w:rFonts w:asciiTheme="majorHAnsi" w:hAnsiTheme="majorHAnsi"/>
          <w:bCs/>
          <w:noProof/>
          <w:lang w:val="es-ES_tradnl"/>
        </w:rPr>
      </w:pPr>
      <w:r>
        <w:rPr>
          <w:rFonts w:asciiTheme="majorHAnsi" w:hAnsiTheme="majorHAnsi"/>
          <w:bCs/>
          <w:noProof/>
          <w:lang w:val="es-ES_tradnl"/>
        </w:rPr>
        <w:t>70.</w:t>
      </w:r>
      <w:r>
        <w:rPr>
          <w:rFonts w:asciiTheme="majorHAnsi" w:hAnsiTheme="majorHAnsi"/>
          <w:bCs/>
          <w:noProof/>
          <w:lang w:val="es-ES_tradnl"/>
        </w:rPr>
        <w:tab/>
      </w:r>
      <w:r w:rsidRPr="00577731">
        <w:rPr>
          <w:rFonts w:asciiTheme="majorHAnsi" w:hAnsiTheme="majorHAnsi"/>
          <w:bCs/>
          <w:noProof/>
          <w:lang w:val="es-ES_tradnl"/>
        </w:rPr>
        <w:t xml:space="preserve">La </w:t>
      </w:r>
      <w:r w:rsidRPr="00577731">
        <w:rPr>
          <w:rFonts w:asciiTheme="majorHAnsi" w:hAnsiTheme="majorHAnsi"/>
          <w:b/>
          <w:bCs/>
          <w:noProof/>
          <w:lang w:val="es-ES_tradnl"/>
        </w:rPr>
        <w:t>Secretaría</w:t>
      </w:r>
      <w:r w:rsidRPr="00577731">
        <w:rPr>
          <w:rFonts w:asciiTheme="majorHAnsi" w:hAnsiTheme="majorHAnsi"/>
          <w:bCs/>
          <w:noProof/>
          <w:lang w:val="es-ES_tradnl"/>
        </w:rPr>
        <w:t xml:space="preserve"> presentó brevemente el documento Doc. SC54-14</w:t>
      </w:r>
      <w:r>
        <w:rPr>
          <w:rFonts w:asciiTheme="majorHAnsi" w:hAnsiTheme="majorHAnsi"/>
          <w:bCs/>
          <w:noProof/>
          <w:lang w:val="es-ES_tradnl"/>
        </w:rPr>
        <w:t>,</w:t>
      </w:r>
      <w:r w:rsidRPr="00577731">
        <w:rPr>
          <w:rFonts w:asciiTheme="majorHAnsi" w:hAnsiTheme="majorHAnsi"/>
          <w:bCs/>
          <w:noProof/>
          <w:lang w:val="es-ES_tradnl"/>
        </w:rPr>
        <w:t xml:space="preserve"> </w:t>
      </w:r>
      <w:r w:rsidRPr="00577731">
        <w:rPr>
          <w:rFonts w:asciiTheme="majorHAnsi" w:hAnsiTheme="majorHAnsi"/>
          <w:bCs/>
          <w:i/>
          <w:lang w:val="es-ES_tradnl"/>
        </w:rPr>
        <w:t>Mejora de la visibilidad de la Convención y las sinergias con otros acuerdos multilaterales sobre el medio ambiente e instituciones internacionales</w:t>
      </w:r>
      <w:r w:rsidRPr="00577731">
        <w:rPr>
          <w:rFonts w:asciiTheme="majorHAnsi" w:hAnsiTheme="majorHAnsi"/>
          <w:bCs/>
          <w:noProof/>
          <w:lang w:val="es-ES_tradnl"/>
        </w:rPr>
        <w:t xml:space="preserve">. Esto comprendió una nota de presentación y un </w:t>
      </w:r>
      <w:r>
        <w:rPr>
          <w:rFonts w:asciiTheme="majorHAnsi" w:hAnsiTheme="majorHAnsi"/>
          <w:bCs/>
          <w:noProof/>
          <w:lang w:val="es-ES_tradnl"/>
        </w:rPr>
        <w:t xml:space="preserve">texto de </w:t>
      </w:r>
      <w:r w:rsidRPr="00577731">
        <w:rPr>
          <w:rFonts w:asciiTheme="majorHAnsi" w:hAnsiTheme="majorHAnsi"/>
          <w:bCs/>
          <w:noProof/>
          <w:lang w:val="es-ES_tradnl"/>
        </w:rPr>
        <w:t>proyecto de resolución.</w:t>
      </w:r>
    </w:p>
    <w:p w14:paraId="4284E0D8" w14:textId="77777777" w:rsidR="00577731" w:rsidRDefault="00577731" w:rsidP="00577731">
      <w:pPr>
        <w:spacing w:after="0" w:line="240" w:lineRule="auto"/>
        <w:ind w:left="426" w:hanging="426"/>
        <w:rPr>
          <w:rFonts w:asciiTheme="majorHAnsi" w:hAnsiTheme="majorHAnsi"/>
          <w:bCs/>
          <w:noProof/>
          <w:lang w:val="es-ES_tradnl"/>
        </w:rPr>
      </w:pPr>
    </w:p>
    <w:p w14:paraId="4D9C1CE5" w14:textId="77777777" w:rsidR="00090612" w:rsidRDefault="00577731" w:rsidP="00090612">
      <w:pPr>
        <w:spacing w:after="0" w:line="240" w:lineRule="auto"/>
        <w:ind w:left="426" w:hanging="426"/>
        <w:rPr>
          <w:rFonts w:asciiTheme="majorHAnsi" w:hAnsiTheme="majorHAnsi"/>
          <w:bCs/>
          <w:noProof/>
          <w:lang w:val="es-ES_tradnl"/>
        </w:rPr>
      </w:pPr>
      <w:r>
        <w:rPr>
          <w:rFonts w:asciiTheme="majorHAnsi" w:hAnsiTheme="majorHAnsi"/>
          <w:bCs/>
          <w:noProof/>
          <w:lang w:val="es-ES_tradnl"/>
        </w:rPr>
        <w:t>71.</w:t>
      </w:r>
      <w:r>
        <w:rPr>
          <w:rFonts w:asciiTheme="majorHAnsi" w:hAnsiTheme="majorHAnsi"/>
          <w:bCs/>
          <w:noProof/>
          <w:lang w:val="es-ES_tradnl"/>
        </w:rPr>
        <w:tab/>
        <w:t xml:space="preserve">El </w:t>
      </w:r>
      <w:r w:rsidRPr="00577731">
        <w:rPr>
          <w:rFonts w:asciiTheme="majorHAnsi" w:hAnsiTheme="majorHAnsi"/>
          <w:b/>
          <w:noProof/>
          <w:lang w:val="es-ES_tradnl"/>
        </w:rPr>
        <w:t>Canadá</w:t>
      </w:r>
      <w:r w:rsidRPr="00577731">
        <w:rPr>
          <w:rFonts w:asciiTheme="majorHAnsi" w:hAnsiTheme="majorHAnsi"/>
          <w:noProof/>
          <w:lang w:val="es-ES_tradnl"/>
        </w:rPr>
        <w:t xml:space="preserve">, </w:t>
      </w:r>
      <w:r w:rsidRPr="00577731">
        <w:rPr>
          <w:rFonts w:asciiTheme="majorHAnsi" w:hAnsiTheme="majorHAnsi"/>
          <w:b/>
          <w:noProof/>
          <w:lang w:val="es-ES_tradnl"/>
        </w:rPr>
        <w:t>Colombia</w:t>
      </w:r>
      <w:r w:rsidRPr="00577731">
        <w:rPr>
          <w:rFonts w:asciiTheme="majorHAnsi" w:hAnsiTheme="majorHAnsi"/>
          <w:noProof/>
          <w:lang w:val="es-ES_tradnl"/>
        </w:rPr>
        <w:t xml:space="preserve">, los </w:t>
      </w:r>
      <w:r w:rsidRPr="00577731">
        <w:rPr>
          <w:rFonts w:asciiTheme="majorHAnsi" w:hAnsiTheme="majorHAnsi"/>
          <w:b/>
          <w:noProof/>
          <w:lang w:val="es-ES_tradnl"/>
        </w:rPr>
        <w:t>Emiratos Árabes Unidos</w:t>
      </w:r>
      <w:r>
        <w:rPr>
          <w:rFonts w:asciiTheme="majorHAnsi" w:hAnsiTheme="majorHAnsi"/>
          <w:noProof/>
          <w:lang w:val="es-ES_tradnl"/>
        </w:rPr>
        <w:t xml:space="preserve">, </w:t>
      </w:r>
      <w:r w:rsidRPr="00577731">
        <w:rPr>
          <w:rFonts w:asciiTheme="majorHAnsi" w:hAnsiTheme="majorHAnsi"/>
          <w:b/>
          <w:noProof/>
          <w:lang w:val="es-ES_tradnl"/>
        </w:rPr>
        <w:t>Eslovenia</w:t>
      </w:r>
      <w:r>
        <w:rPr>
          <w:rFonts w:asciiTheme="majorHAnsi" w:hAnsiTheme="majorHAnsi"/>
          <w:noProof/>
          <w:lang w:val="es-ES_tradnl"/>
        </w:rPr>
        <w:t xml:space="preserve">, los </w:t>
      </w:r>
      <w:r w:rsidRPr="00577731">
        <w:rPr>
          <w:rFonts w:asciiTheme="majorHAnsi" w:hAnsiTheme="majorHAnsi"/>
          <w:b/>
          <w:noProof/>
          <w:lang w:val="es-ES_tradnl"/>
        </w:rPr>
        <w:t>Estados Unidos de América</w:t>
      </w:r>
      <w:r>
        <w:rPr>
          <w:rFonts w:asciiTheme="majorHAnsi" w:hAnsiTheme="majorHAnsi"/>
          <w:noProof/>
          <w:lang w:val="es-ES_tradnl"/>
        </w:rPr>
        <w:t xml:space="preserve">, </w:t>
      </w:r>
      <w:r w:rsidRPr="00577731">
        <w:rPr>
          <w:rFonts w:asciiTheme="majorHAnsi" w:hAnsiTheme="majorHAnsi"/>
          <w:b/>
          <w:noProof/>
          <w:lang w:val="es-ES_tradnl"/>
        </w:rPr>
        <w:t>Finlandia</w:t>
      </w:r>
      <w:r w:rsidRPr="00577731">
        <w:rPr>
          <w:rFonts w:asciiTheme="majorHAnsi" w:hAnsiTheme="majorHAnsi"/>
          <w:noProof/>
          <w:lang w:val="es-ES_tradnl"/>
        </w:rPr>
        <w:t xml:space="preserve">, </w:t>
      </w:r>
      <w:r w:rsidRPr="00577731">
        <w:rPr>
          <w:rFonts w:asciiTheme="majorHAnsi" w:hAnsiTheme="majorHAnsi"/>
          <w:b/>
          <w:noProof/>
          <w:lang w:val="es-ES_tradnl"/>
        </w:rPr>
        <w:t>Francia</w:t>
      </w:r>
      <w:r w:rsidRPr="00577731">
        <w:rPr>
          <w:rFonts w:asciiTheme="majorHAnsi" w:hAnsiTheme="majorHAnsi"/>
          <w:noProof/>
          <w:lang w:val="es-ES_tradnl"/>
        </w:rPr>
        <w:t xml:space="preserve">, el </w:t>
      </w:r>
      <w:r w:rsidRPr="00577731">
        <w:rPr>
          <w:rFonts w:asciiTheme="majorHAnsi" w:hAnsiTheme="majorHAnsi"/>
          <w:b/>
          <w:noProof/>
          <w:lang w:val="es-ES_tradnl"/>
        </w:rPr>
        <w:t>Senegal</w:t>
      </w:r>
      <w:r w:rsidRPr="00577731">
        <w:rPr>
          <w:rFonts w:asciiTheme="majorHAnsi" w:hAnsiTheme="majorHAnsi"/>
          <w:noProof/>
          <w:lang w:val="es-ES_tradnl"/>
        </w:rPr>
        <w:t xml:space="preserve"> </w:t>
      </w:r>
      <w:r>
        <w:rPr>
          <w:rFonts w:asciiTheme="majorHAnsi" w:hAnsiTheme="majorHAnsi"/>
          <w:noProof/>
          <w:lang w:val="es-ES_tradnl"/>
        </w:rPr>
        <w:t>y</w:t>
      </w:r>
      <w:r w:rsidRPr="00577731">
        <w:rPr>
          <w:rFonts w:asciiTheme="majorHAnsi" w:hAnsiTheme="majorHAnsi"/>
          <w:noProof/>
          <w:lang w:val="es-ES_tradnl"/>
        </w:rPr>
        <w:t xml:space="preserve"> </w:t>
      </w:r>
      <w:r w:rsidRPr="00577731">
        <w:rPr>
          <w:rFonts w:asciiTheme="majorHAnsi" w:hAnsiTheme="majorHAnsi"/>
          <w:b/>
          <w:noProof/>
          <w:lang w:val="es-ES_tradnl"/>
        </w:rPr>
        <w:t>Suiza</w:t>
      </w:r>
      <w:r w:rsidRPr="00577731">
        <w:rPr>
          <w:rFonts w:asciiTheme="majorHAnsi" w:hAnsiTheme="majorHAnsi"/>
          <w:noProof/>
          <w:lang w:val="es-ES_tradnl"/>
        </w:rPr>
        <w:t xml:space="preserve">, presentaron comentarios específicos y enmiendas propuestas al proyecto de resolución (incluso en algunos casos en </w:t>
      </w:r>
      <w:r>
        <w:rPr>
          <w:rFonts w:asciiTheme="majorHAnsi" w:hAnsiTheme="majorHAnsi"/>
          <w:noProof/>
          <w:lang w:val="es-ES_tradnl"/>
        </w:rPr>
        <w:t>calidad de Vice</w:t>
      </w:r>
      <w:r w:rsidRPr="00577731">
        <w:rPr>
          <w:rFonts w:asciiTheme="majorHAnsi" w:hAnsiTheme="majorHAnsi"/>
          <w:noProof/>
          <w:lang w:val="es-ES_tradnl"/>
        </w:rPr>
        <w:t xml:space="preserve">presidente del el Grupo de trabajo de facilitación) y </w:t>
      </w:r>
      <w:r w:rsidRPr="00577731">
        <w:rPr>
          <w:rFonts w:asciiTheme="majorHAnsi" w:hAnsiTheme="majorHAnsi"/>
          <w:b/>
          <w:noProof/>
          <w:lang w:val="es-ES_tradnl"/>
        </w:rPr>
        <w:t>Wetlands International</w:t>
      </w:r>
      <w:r w:rsidRPr="00577731">
        <w:rPr>
          <w:rFonts w:asciiTheme="majorHAnsi" w:hAnsiTheme="majorHAnsi"/>
          <w:noProof/>
          <w:lang w:val="es-ES_tradnl"/>
        </w:rPr>
        <w:t>.</w:t>
      </w:r>
    </w:p>
    <w:p w14:paraId="128E0007" w14:textId="77777777" w:rsidR="00090612" w:rsidRDefault="00090612" w:rsidP="00090612">
      <w:pPr>
        <w:spacing w:after="0" w:line="240" w:lineRule="auto"/>
        <w:ind w:left="426" w:hanging="426"/>
        <w:rPr>
          <w:rFonts w:asciiTheme="majorHAnsi" w:hAnsiTheme="majorHAnsi"/>
          <w:bCs/>
          <w:noProof/>
          <w:lang w:val="es-ES_tradnl"/>
        </w:rPr>
      </w:pPr>
    </w:p>
    <w:p w14:paraId="30290F06" w14:textId="4D39D726" w:rsidR="00FB5AC5" w:rsidRDefault="00090612" w:rsidP="00FB5AC5">
      <w:pPr>
        <w:spacing w:after="0" w:line="240" w:lineRule="auto"/>
        <w:ind w:left="426" w:hanging="426"/>
        <w:rPr>
          <w:rFonts w:asciiTheme="majorHAnsi" w:hAnsiTheme="majorHAnsi"/>
          <w:bCs/>
          <w:noProof/>
          <w:lang w:val="es-ES_tradnl"/>
        </w:rPr>
      </w:pPr>
      <w:r>
        <w:rPr>
          <w:rFonts w:asciiTheme="majorHAnsi" w:hAnsiTheme="majorHAnsi"/>
          <w:bCs/>
          <w:noProof/>
          <w:lang w:val="es-ES_tradnl"/>
        </w:rPr>
        <w:t>72.</w:t>
      </w:r>
      <w:r>
        <w:rPr>
          <w:rFonts w:asciiTheme="majorHAnsi" w:hAnsiTheme="majorHAnsi"/>
          <w:bCs/>
          <w:noProof/>
          <w:lang w:val="es-ES_tradnl"/>
        </w:rPr>
        <w:tab/>
      </w:r>
      <w:r w:rsidRPr="00090612">
        <w:rPr>
          <w:rFonts w:asciiTheme="majorHAnsi" w:hAnsiTheme="majorHAnsi"/>
          <w:bCs/>
          <w:noProof/>
          <w:lang w:val="es-ES_tradnl"/>
        </w:rPr>
        <w:t xml:space="preserve">Como complemento de </w:t>
      </w:r>
      <w:r w:rsidR="00DE0F8A">
        <w:rPr>
          <w:rFonts w:asciiTheme="majorHAnsi" w:hAnsiTheme="majorHAnsi"/>
          <w:bCs/>
          <w:noProof/>
          <w:lang w:val="es-ES_tradnl"/>
        </w:rPr>
        <w:t>los</w:t>
      </w:r>
      <w:r w:rsidRPr="00090612">
        <w:rPr>
          <w:rFonts w:asciiTheme="majorHAnsi" w:hAnsiTheme="majorHAnsi"/>
          <w:bCs/>
          <w:noProof/>
          <w:lang w:val="es-ES_tradnl"/>
        </w:rPr>
        <w:t xml:space="preserve"> antecedentes, el </w:t>
      </w:r>
      <w:r w:rsidRPr="00242594">
        <w:rPr>
          <w:rFonts w:asciiTheme="majorHAnsi" w:hAnsiTheme="majorHAnsi"/>
          <w:b/>
          <w:bCs/>
          <w:noProof/>
          <w:lang w:val="es-ES_tradnl"/>
        </w:rPr>
        <w:t>PNUMA</w:t>
      </w:r>
      <w:r w:rsidRPr="00090612">
        <w:rPr>
          <w:rFonts w:asciiTheme="majorHAnsi" w:hAnsiTheme="majorHAnsi"/>
          <w:bCs/>
          <w:noProof/>
          <w:lang w:val="es-ES_tradnl"/>
        </w:rPr>
        <w:t xml:space="preserve"> señaló que la Secretaría de Ramsar había participado en la séptima reunión del Grupo interinstitucional y de exp</w:t>
      </w:r>
      <w:r w:rsidR="00242594">
        <w:rPr>
          <w:rFonts w:asciiTheme="majorHAnsi" w:hAnsiTheme="majorHAnsi"/>
          <w:bCs/>
          <w:noProof/>
          <w:lang w:val="es-ES_tradnl"/>
        </w:rPr>
        <w:t>ertos sobre indicadores de los Objetivos de Desarrollo S</w:t>
      </w:r>
      <w:r w:rsidRPr="00090612">
        <w:rPr>
          <w:rFonts w:asciiTheme="majorHAnsi" w:hAnsiTheme="majorHAnsi"/>
          <w:bCs/>
          <w:noProof/>
          <w:lang w:val="es-ES_tradnl"/>
        </w:rPr>
        <w:t xml:space="preserve">ostenible (IAEG-SDG) </w:t>
      </w:r>
      <w:r w:rsidR="001F4EE9">
        <w:rPr>
          <w:rFonts w:asciiTheme="majorHAnsi" w:hAnsiTheme="majorHAnsi"/>
          <w:bCs/>
          <w:noProof/>
          <w:lang w:val="es-ES_tradnl"/>
        </w:rPr>
        <w:t>que se celebró</w:t>
      </w:r>
      <w:r w:rsidRPr="00090612">
        <w:rPr>
          <w:rFonts w:asciiTheme="majorHAnsi" w:hAnsiTheme="majorHAnsi"/>
          <w:bCs/>
          <w:noProof/>
          <w:lang w:val="es-ES_tradnl"/>
        </w:rPr>
        <w:t xml:space="preserve"> del 9 al </w:t>
      </w:r>
      <w:r w:rsidR="00242594">
        <w:rPr>
          <w:rFonts w:asciiTheme="majorHAnsi" w:hAnsiTheme="majorHAnsi"/>
          <w:bCs/>
          <w:noProof/>
          <w:lang w:val="es-ES_tradnl"/>
        </w:rPr>
        <w:t>12 de abril de 2018 en Viena (</w:t>
      </w:r>
      <w:r w:rsidRPr="00090612">
        <w:rPr>
          <w:rFonts w:asciiTheme="majorHAnsi" w:hAnsiTheme="majorHAnsi"/>
          <w:bCs/>
          <w:noProof/>
          <w:lang w:val="es-ES_tradnl"/>
        </w:rPr>
        <w:t>Austria</w:t>
      </w:r>
      <w:r w:rsidR="00242594">
        <w:rPr>
          <w:rFonts w:asciiTheme="majorHAnsi" w:hAnsiTheme="majorHAnsi"/>
          <w:bCs/>
          <w:noProof/>
          <w:lang w:val="es-ES_tradnl"/>
        </w:rPr>
        <w:t>)</w:t>
      </w:r>
      <w:r w:rsidRPr="00090612">
        <w:rPr>
          <w:rFonts w:asciiTheme="majorHAnsi" w:hAnsiTheme="majorHAnsi"/>
          <w:bCs/>
          <w:noProof/>
          <w:lang w:val="es-ES_tradnl"/>
        </w:rPr>
        <w:t xml:space="preserve">. La metodología del indicador 6.6.1 </w:t>
      </w:r>
      <w:r w:rsidR="00242594">
        <w:rPr>
          <w:rFonts w:asciiTheme="majorHAnsi" w:hAnsiTheme="majorHAnsi"/>
          <w:bCs/>
          <w:noProof/>
          <w:lang w:val="es-ES_tradnl"/>
        </w:rPr>
        <w:t>de los</w:t>
      </w:r>
      <w:r w:rsidRPr="00090612">
        <w:rPr>
          <w:rFonts w:asciiTheme="majorHAnsi" w:hAnsiTheme="majorHAnsi"/>
          <w:bCs/>
          <w:noProof/>
          <w:lang w:val="es-ES_tradnl"/>
        </w:rPr>
        <w:t xml:space="preserve"> ODS </w:t>
      </w:r>
      <w:r w:rsidR="00242594">
        <w:rPr>
          <w:rFonts w:asciiTheme="majorHAnsi" w:hAnsiTheme="majorHAnsi"/>
          <w:bCs/>
          <w:noProof/>
          <w:lang w:val="es-ES_tradnl"/>
        </w:rPr>
        <w:t>que</w:t>
      </w:r>
      <w:r w:rsidRPr="00090612">
        <w:rPr>
          <w:rFonts w:asciiTheme="majorHAnsi" w:hAnsiTheme="majorHAnsi"/>
          <w:bCs/>
          <w:noProof/>
          <w:lang w:val="es-ES_tradnl"/>
        </w:rPr>
        <w:t xml:space="preserve"> el PNUMA</w:t>
      </w:r>
      <w:r w:rsidR="00242594">
        <w:rPr>
          <w:rFonts w:asciiTheme="majorHAnsi" w:hAnsiTheme="majorHAnsi"/>
          <w:bCs/>
          <w:noProof/>
          <w:lang w:val="es-ES_tradnl"/>
        </w:rPr>
        <w:t xml:space="preserve"> presentó</w:t>
      </w:r>
      <w:r w:rsidRPr="00090612">
        <w:rPr>
          <w:rFonts w:asciiTheme="majorHAnsi" w:hAnsiTheme="majorHAnsi"/>
          <w:bCs/>
          <w:noProof/>
          <w:lang w:val="es-ES_tradnl"/>
        </w:rPr>
        <w:t xml:space="preserve"> al IAEG-SDG </w:t>
      </w:r>
      <w:r w:rsidR="00242594">
        <w:rPr>
          <w:rFonts w:asciiTheme="majorHAnsi" w:hAnsiTheme="majorHAnsi"/>
          <w:bCs/>
          <w:noProof/>
          <w:lang w:val="es-ES_tradnl"/>
        </w:rPr>
        <w:t>se aprobó</w:t>
      </w:r>
      <w:r w:rsidRPr="00090612">
        <w:rPr>
          <w:rFonts w:asciiTheme="majorHAnsi" w:hAnsiTheme="majorHAnsi"/>
          <w:bCs/>
          <w:noProof/>
          <w:lang w:val="es-ES_tradnl"/>
        </w:rPr>
        <w:t xml:space="preserve"> y recl</w:t>
      </w:r>
      <w:r w:rsidR="00242594">
        <w:rPr>
          <w:rFonts w:asciiTheme="majorHAnsi" w:hAnsiTheme="majorHAnsi"/>
          <w:bCs/>
          <w:noProof/>
          <w:lang w:val="es-ES_tradnl"/>
        </w:rPr>
        <w:t>asificó</w:t>
      </w:r>
      <w:r w:rsidRPr="00090612">
        <w:rPr>
          <w:rFonts w:asciiTheme="majorHAnsi" w:hAnsiTheme="majorHAnsi"/>
          <w:bCs/>
          <w:noProof/>
          <w:lang w:val="es-ES_tradnl"/>
        </w:rPr>
        <w:t xml:space="preserve"> como indicador de</w:t>
      </w:r>
      <w:r w:rsidR="00242594">
        <w:rPr>
          <w:rFonts w:asciiTheme="majorHAnsi" w:hAnsiTheme="majorHAnsi"/>
          <w:bCs/>
          <w:noProof/>
          <w:lang w:val="es-ES_tradnl"/>
        </w:rPr>
        <w:t>l</w:t>
      </w:r>
      <w:r w:rsidRPr="00090612">
        <w:rPr>
          <w:rFonts w:asciiTheme="majorHAnsi" w:hAnsiTheme="majorHAnsi"/>
          <w:bCs/>
          <w:noProof/>
          <w:lang w:val="es-ES_tradnl"/>
        </w:rPr>
        <w:t xml:space="preserve"> Nivel II. Los miembros de</w:t>
      </w:r>
      <w:r w:rsidR="00F90D82">
        <w:rPr>
          <w:rFonts w:asciiTheme="majorHAnsi" w:hAnsiTheme="majorHAnsi"/>
          <w:bCs/>
          <w:noProof/>
          <w:lang w:val="es-ES_tradnl"/>
        </w:rPr>
        <w:t>l</w:t>
      </w:r>
      <w:r w:rsidRPr="00090612">
        <w:rPr>
          <w:rFonts w:asciiTheme="majorHAnsi" w:hAnsiTheme="majorHAnsi"/>
          <w:bCs/>
          <w:noProof/>
          <w:lang w:val="es-ES_tradnl"/>
        </w:rPr>
        <w:t xml:space="preserve"> IAEG-</w:t>
      </w:r>
      <w:r w:rsidR="00071916">
        <w:rPr>
          <w:rFonts w:asciiTheme="majorHAnsi" w:hAnsiTheme="majorHAnsi"/>
          <w:bCs/>
          <w:noProof/>
          <w:lang w:val="es-ES_tradnl"/>
        </w:rPr>
        <w:t>SDG</w:t>
      </w:r>
      <w:r w:rsidRPr="00090612">
        <w:rPr>
          <w:rFonts w:asciiTheme="majorHAnsi" w:hAnsiTheme="majorHAnsi"/>
          <w:bCs/>
          <w:noProof/>
          <w:lang w:val="es-ES_tradnl"/>
        </w:rPr>
        <w:t xml:space="preserve"> </w:t>
      </w:r>
      <w:r w:rsidR="00242594">
        <w:rPr>
          <w:rFonts w:asciiTheme="majorHAnsi" w:hAnsiTheme="majorHAnsi"/>
          <w:bCs/>
          <w:noProof/>
          <w:lang w:val="es-ES_tradnl"/>
        </w:rPr>
        <w:t>decidieron</w:t>
      </w:r>
      <w:r w:rsidRPr="00090612">
        <w:rPr>
          <w:rFonts w:asciiTheme="majorHAnsi" w:hAnsiTheme="majorHAnsi"/>
          <w:bCs/>
          <w:noProof/>
          <w:lang w:val="es-ES_tradnl"/>
        </w:rPr>
        <w:t xml:space="preserve"> que el PNUMA sería responsable de la metodología comparable</w:t>
      </w:r>
      <w:r w:rsidR="00242594">
        <w:rPr>
          <w:rFonts w:asciiTheme="majorHAnsi" w:hAnsiTheme="majorHAnsi"/>
          <w:bCs/>
          <w:noProof/>
          <w:lang w:val="es-ES_tradnl"/>
        </w:rPr>
        <w:t xml:space="preserve"> internacional</w:t>
      </w:r>
      <w:r w:rsidR="00F90D82">
        <w:rPr>
          <w:rFonts w:asciiTheme="majorHAnsi" w:hAnsiTheme="majorHAnsi"/>
          <w:bCs/>
          <w:noProof/>
          <w:lang w:val="es-ES_tradnl"/>
        </w:rPr>
        <w:t>mente</w:t>
      </w:r>
      <w:r w:rsidRPr="00090612">
        <w:rPr>
          <w:rFonts w:asciiTheme="majorHAnsi" w:hAnsiTheme="majorHAnsi"/>
          <w:bCs/>
          <w:noProof/>
          <w:lang w:val="es-ES_tradnl"/>
        </w:rPr>
        <w:t xml:space="preserve"> con datos nacionales y</w:t>
      </w:r>
      <w:r w:rsidR="001F4EE9">
        <w:rPr>
          <w:rFonts w:asciiTheme="majorHAnsi" w:hAnsiTheme="majorHAnsi"/>
          <w:bCs/>
          <w:noProof/>
          <w:lang w:val="es-ES_tradnl"/>
        </w:rPr>
        <w:t xml:space="preserve"> de</w:t>
      </w:r>
      <w:r w:rsidRPr="00090612">
        <w:rPr>
          <w:rFonts w:asciiTheme="majorHAnsi" w:hAnsiTheme="majorHAnsi"/>
          <w:bCs/>
          <w:noProof/>
          <w:lang w:val="es-ES_tradnl"/>
        </w:rPr>
        <w:t xml:space="preserve"> </w:t>
      </w:r>
      <w:r w:rsidR="00242594">
        <w:rPr>
          <w:rFonts w:asciiTheme="majorHAnsi" w:hAnsiTheme="majorHAnsi"/>
          <w:bCs/>
          <w:noProof/>
          <w:lang w:val="es-ES_tradnl"/>
        </w:rPr>
        <w:t>agrupaciones</w:t>
      </w:r>
      <w:r w:rsidR="001F4EE9">
        <w:rPr>
          <w:rFonts w:asciiTheme="majorHAnsi" w:hAnsiTheme="majorHAnsi"/>
          <w:bCs/>
          <w:noProof/>
          <w:lang w:val="es-ES_tradnl"/>
        </w:rPr>
        <w:t xml:space="preserve"> regionales y mundiales</w:t>
      </w:r>
      <w:r w:rsidRPr="00090612">
        <w:rPr>
          <w:rFonts w:asciiTheme="majorHAnsi" w:hAnsiTheme="majorHAnsi"/>
          <w:bCs/>
          <w:noProof/>
          <w:lang w:val="es-ES_tradnl"/>
        </w:rPr>
        <w:t xml:space="preserve"> para el indicador 6.6.1. </w:t>
      </w:r>
      <w:r w:rsidR="001F4EE9">
        <w:rPr>
          <w:rFonts w:asciiTheme="majorHAnsi" w:hAnsiTheme="majorHAnsi"/>
          <w:bCs/>
          <w:noProof/>
          <w:lang w:val="es-ES_tradnl"/>
        </w:rPr>
        <w:t>Además,</w:t>
      </w:r>
      <w:r w:rsidRPr="00090612">
        <w:rPr>
          <w:rFonts w:asciiTheme="majorHAnsi" w:hAnsiTheme="majorHAnsi"/>
          <w:bCs/>
          <w:noProof/>
          <w:lang w:val="es-ES_tradnl"/>
        </w:rPr>
        <w:t xml:space="preserve"> decidieron que la Secretaría de Ramsar tendría </w:t>
      </w:r>
      <w:r w:rsidR="00242594">
        <w:rPr>
          <w:rFonts w:asciiTheme="majorHAnsi" w:hAnsiTheme="majorHAnsi"/>
          <w:bCs/>
          <w:noProof/>
          <w:lang w:val="es-ES_tradnl"/>
        </w:rPr>
        <w:t>una presentación</w:t>
      </w:r>
      <w:r w:rsidRPr="00090612">
        <w:rPr>
          <w:rFonts w:asciiTheme="majorHAnsi" w:hAnsiTheme="majorHAnsi"/>
          <w:bCs/>
          <w:noProof/>
          <w:lang w:val="es-ES_tradnl"/>
        </w:rPr>
        <w:t xml:space="preserve"> separada</w:t>
      </w:r>
      <w:r w:rsidR="00242594">
        <w:rPr>
          <w:rFonts w:asciiTheme="majorHAnsi" w:hAnsiTheme="majorHAnsi"/>
          <w:bCs/>
          <w:noProof/>
          <w:lang w:val="es-ES_tradnl"/>
        </w:rPr>
        <w:t xml:space="preserve"> de informes</w:t>
      </w:r>
      <w:r w:rsidRPr="00090612">
        <w:rPr>
          <w:rFonts w:asciiTheme="majorHAnsi" w:hAnsiTheme="majorHAnsi"/>
          <w:bCs/>
          <w:noProof/>
          <w:lang w:val="es-ES_tradnl"/>
        </w:rPr>
        <w:t xml:space="preserve"> en la base de datos </w:t>
      </w:r>
      <w:r w:rsidR="00242594">
        <w:rPr>
          <w:rFonts w:asciiTheme="majorHAnsi" w:hAnsiTheme="majorHAnsi"/>
          <w:bCs/>
          <w:noProof/>
          <w:lang w:val="es-ES_tradnl"/>
        </w:rPr>
        <w:t>mundial</w:t>
      </w:r>
      <w:r w:rsidRPr="00090612">
        <w:rPr>
          <w:rFonts w:asciiTheme="majorHAnsi" w:hAnsiTheme="majorHAnsi"/>
          <w:bCs/>
          <w:noProof/>
          <w:lang w:val="es-ES_tradnl"/>
        </w:rPr>
        <w:t xml:space="preserve"> de </w:t>
      </w:r>
      <w:r w:rsidR="00242594">
        <w:rPr>
          <w:rFonts w:asciiTheme="majorHAnsi" w:hAnsiTheme="majorHAnsi"/>
          <w:bCs/>
          <w:noProof/>
          <w:lang w:val="es-ES_tradnl"/>
        </w:rPr>
        <w:t xml:space="preserve">los </w:t>
      </w:r>
      <w:r w:rsidRPr="00090612">
        <w:rPr>
          <w:rFonts w:asciiTheme="majorHAnsi" w:hAnsiTheme="majorHAnsi"/>
          <w:bCs/>
          <w:noProof/>
          <w:lang w:val="es-ES_tradnl"/>
        </w:rPr>
        <w:t xml:space="preserve">ODS auspiciada por la División de Estadística de las Naciones Unidas, y </w:t>
      </w:r>
      <w:r w:rsidR="00242594">
        <w:rPr>
          <w:rFonts w:asciiTheme="majorHAnsi" w:hAnsiTheme="majorHAnsi"/>
          <w:bCs/>
          <w:noProof/>
          <w:lang w:val="es-ES_tradnl"/>
        </w:rPr>
        <w:t xml:space="preserve">que </w:t>
      </w:r>
      <w:r w:rsidRPr="00090612">
        <w:rPr>
          <w:rFonts w:asciiTheme="majorHAnsi" w:hAnsiTheme="majorHAnsi"/>
          <w:bCs/>
          <w:noProof/>
          <w:lang w:val="es-ES_tradnl"/>
        </w:rPr>
        <w:t xml:space="preserve">los informes nacionales de la </w:t>
      </w:r>
      <w:r w:rsidR="00242594">
        <w:rPr>
          <w:rFonts w:asciiTheme="majorHAnsi" w:hAnsiTheme="majorHAnsi"/>
          <w:bCs/>
          <w:noProof/>
          <w:lang w:val="es-ES_tradnl"/>
        </w:rPr>
        <w:t>Convención de Ramsar sobre los H</w:t>
      </w:r>
      <w:r w:rsidRPr="00090612">
        <w:rPr>
          <w:rFonts w:asciiTheme="majorHAnsi" w:hAnsiTheme="majorHAnsi"/>
          <w:bCs/>
          <w:noProof/>
          <w:lang w:val="es-ES_tradnl"/>
        </w:rPr>
        <w:t xml:space="preserve">umedales se basarían en las definiciones y requisitos de Ramsar. </w:t>
      </w:r>
      <w:r w:rsidR="005F1618">
        <w:rPr>
          <w:rFonts w:asciiTheme="majorHAnsi" w:hAnsiTheme="majorHAnsi"/>
          <w:bCs/>
          <w:noProof/>
          <w:lang w:val="es-ES_tradnl"/>
        </w:rPr>
        <w:t>Cada una de las</w:t>
      </w:r>
      <w:r w:rsidRPr="00090612">
        <w:rPr>
          <w:rFonts w:asciiTheme="majorHAnsi" w:hAnsiTheme="majorHAnsi"/>
          <w:bCs/>
          <w:noProof/>
          <w:lang w:val="es-ES_tradnl"/>
        </w:rPr>
        <w:t xml:space="preserve"> dos líneas </w:t>
      </w:r>
      <w:r w:rsidR="00242594">
        <w:rPr>
          <w:rFonts w:asciiTheme="majorHAnsi" w:hAnsiTheme="majorHAnsi"/>
          <w:bCs/>
          <w:noProof/>
          <w:lang w:val="es-ES_tradnl"/>
        </w:rPr>
        <w:t xml:space="preserve">separadas de presentación </w:t>
      </w:r>
      <w:r w:rsidRPr="00090612">
        <w:rPr>
          <w:rFonts w:asciiTheme="majorHAnsi" w:hAnsiTheme="majorHAnsi"/>
          <w:bCs/>
          <w:noProof/>
          <w:lang w:val="es-ES_tradnl"/>
        </w:rPr>
        <w:t>de informes</w:t>
      </w:r>
      <w:r w:rsidR="00242594">
        <w:rPr>
          <w:rFonts w:asciiTheme="majorHAnsi" w:hAnsiTheme="majorHAnsi"/>
          <w:bCs/>
          <w:noProof/>
          <w:lang w:val="es-ES_tradnl"/>
        </w:rPr>
        <w:t xml:space="preserve"> a</w:t>
      </w:r>
      <w:r w:rsidRPr="00090612">
        <w:rPr>
          <w:rFonts w:asciiTheme="majorHAnsi" w:hAnsiTheme="majorHAnsi"/>
          <w:bCs/>
          <w:noProof/>
          <w:lang w:val="es-ES_tradnl"/>
        </w:rPr>
        <w:t xml:space="preserve"> </w:t>
      </w:r>
      <w:r w:rsidR="00242594" w:rsidRPr="00090612">
        <w:rPr>
          <w:rFonts w:asciiTheme="majorHAnsi" w:hAnsiTheme="majorHAnsi"/>
          <w:bCs/>
          <w:noProof/>
          <w:lang w:val="es-ES_tradnl"/>
        </w:rPr>
        <w:t xml:space="preserve">la base de datos </w:t>
      </w:r>
      <w:r w:rsidR="00242594">
        <w:rPr>
          <w:rFonts w:asciiTheme="majorHAnsi" w:hAnsiTheme="majorHAnsi"/>
          <w:bCs/>
          <w:noProof/>
          <w:lang w:val="es-ES_tradnl"/>
        </w:rPr>
        <w:t>mundial</w:t>
      </w:r>
      <w:r w:rsidR="00242594" w:rsidRPr="00090612">
        <w:rPr>
          <w:rFonts w:asciiTheme="majorHAnsi" w:hAnsiTheme="majorHAnsi"/>
          <w:bCs/>
          <w:noProof/>
          <w:lang w:val="es-ES_tradnl"/>
        </w:rPr>
        <w:t xml:space="preserve"> de </w:t>
      </w:r>
      <w:r w:rsidR="00242594">
        <w:rPr>
          <w:rFonts w:asciiTheme="majorHAnsi" w:hAnsiTheme="majorHAnsi"/>
          <w:bCs/>
          <w:noProof/>
          <w:lang w:val="es-ES_tradnl"/>
        </w:rPr>
        <w:t xml:space="preserve">los </w:t>
      </w:r>
      <w:r w:rsidR="00242594" w:rsidRPr="00090612">
        <w:rPr>
          <w:rFonts w:asciiTheme="majorHAnsi" w:hAnsiTheme="majorHAnsi"/>
          <w:bCs/>
          <w:noProof/>
          <w:lang w:val="es-ES_tradnl"/>
        </w:rPr>
        <w:t xml:space="preserve">ODS </w:t>
      </w:r>
      <w:r w:rsidRPr="00090612">
        <w:rPr>
          <w:rFonts w:asciiTheme="majorHAnsi" w:hAnsiTheme="majorHAnsi"/>
          <w:bCs/>
          <w:noProof/>
          <w:lang w:val="es-ES_tradnl"/>
        </w:rPr>
        <w:t xml:space="preserve">para el indicador 6.6.1 tendrían una </w:t>
      </w:r>
      <w:r w:rsidR="001F4EE9">
        <w:rPr>
          <w:rFonts w:asciiTheme="majorHAnsi" w:hAnsiTheme="majorHAnsi"/>
          <w:bCs/>
          <w:noProof/>
          <w:lang w:val="es-ES_tradnl"/>
        </w:rPr>
        <w:t>definición</w:t>
      </w:r>
      <w:r w:rsidRPr="00090612">
        <w:rPr>
          <w:rFonts w:asciiTheme="majorHAnsi" w:hAnsiTheme="majorHAnsi"/>
          <w:bCs/>
          <w:noProof/>
          <w:lang w:val="es-ES_tradnl"/>
        </w:rPr>
        <w:t xml:space="preserve"> clara del tipo de datos. </w:t>
      </w:r>
      <w:r w:rsidR="001F4EE9">
        <w:rPr>
          <w:rFonts w:asciiTheme="majorHAnsi" w:hAnsiTheme="majorHAnsi"/>
          <w:bCs/>
          <w:noProof/>
          <w:lang w:val="es-ES_tradnl"/>
        </w:rPr>
        <w:t>Los</w:t>
      </w:r>
      <w:r w:rsidRPr="00090612">
        <w:rPr>
          <w:rFonts w:asciiTheme="majorHAnsi" w:hAnsiTheme="majorHAnsi"/>
          <w:bCs/>
          <w:noProof/>
          <w:lang w:val="es-ES_tradnl"/>
        </w:rPr>
        <w:t xml:space="preserve"> custodio</w:t>
      </w:r>
      <w:r w:rsidR="001F4EE9">
        <w:rPr>
          <w:rFonts w:asciiTheme="majorHAnsi" w:hAnsiTheme="majorHAnsi"/>
          <w:bCs/>
          <w:noProof/>
          <w:lang w:val="es-ES_tradnl"/>
        </w:rPr>
        <w:t>s</w:t>
      </w:r>
      <w:r w:rsidRPr="00090612">
        <w:rPr>
          <w:rFonts w:asciiTheme="majorHAnsi" w:hAnsiTheme="majorHAnsi"/>
          <w:bCs/>
          <w:noProof/>
          <w:lang w:val="es-ES_tradnl"/>
        </w:rPr>
        <w:t xml:space="preserve"> sería</w:t>
      </w:r>
      <w:r w:rsidR="001F4EE9">
        <w:rPr>
          <w:rFonts w:asciiTheme="majorHAnsi" w:hAnsiTheme="majorHAnsi"/>
          <w:bCs/>
          <w:noProof/>
          <w:lang w:val="es-ES_tradnl"/>
        </w:rPr>
        <w:t>n</w:t>
      </w:r>
      <w:r w:rsidRPr="00090612">
        <w:rPr>
          <w:rFonts w:asciiTheme="majorHAnsi" w:hAnsiTheme="majorHAnsi"/>
          <w:bCs/>
          <w:noProof/>
          <w:lang w:val="es-ES_tradnl"/>
        </w:rPr>
        <w:t xml:space="preserve"> responsable</w:t>
      </w:r>
      <w:r w:rsidR="001F4EE9">
        <w:rPr>
          <w:rFonts w:asciiTheme="majorHAnsi" w:hAnsiTheme="majorHAnsi"/>
          <w:bCs/>
          <w:noProof/>
          <w:lang w:val="es-ES_tradnl"/>
        </w:rPr>
        <w:t>s</w:t>
      </w:r>
      <w:r w:rsidRPr="00090612">
        <w:rPr>
          <w:rFonts w:asciiTheme="majorHAnsi" w:hAnsiTheme="majorHAnsi"/>
          <w:bCs/>
          <w:noProof/>
          <w:lang w:val="es-ES_tradnl"/>
        </w:rPr>
        <w:t xml:space="preserve"> de su</w:t>
      </w:r>
      <w:r w:rsidR="001F4EE9">
        <w:rPr>
          <w:rFonts w:asciiTheme="majorHAnsi" w:hAnsiTheme="majorHAnsi"/>
          <w:bCs/>
          <w:noProof/>
          <w:lang w:val="es-ES_tradnl"/>
        </w:rPr>
        <w:t>s</w:t>
      </w:r>
      <w:r w:rsidRPr="00090612">
        <w:rPr>
          <w:rFonts w:asciiTheme="majorHAnsi" w:hAnsiTheme="majorHAnsi"/>
          <w:bCs/>
          <w:noProof/>
          <w:lang w:val="es-ES_tradnl"/>
        </w:rPr>
        <w:t xml:space="preserve"> respectiva</w:t>
      </w:r>
      <w:r w:rsidR="001F4EE9">
        <w:rPr>
          <w:rFonts w:asciiTheme="majorHAnsi" w:hAnsiTheme="majorHAnsi"/>
          <w:bCs/>
          <w:noProof/>
          <w:lang w:val="es-ES_tradnl"/>
        </w:rPr>
        <w:t>s</w:t>
      </w:r>
      <w:r w:rsidRPr="00090612">
        <w:rPr>
          <w:rFonts w:asciiTheme="majorHAnsi" w:hAnsiTheme="majorHAnsi"/>
          <w:bCs/>
          <w:noProof/>
          <w:lang w:val="es-ES_tradnl"/>
        </w:rPr>
        <w:t xml:space="preserve"> línea</w:t>
      </w:r>
      <w:r w:rsidR="00655CF8">
        <w:rPr>
          <w:rFonts w:asciiTheme="majorHAnsi" w:hAnsiTheme="majorHAnsi"/>
          <w:bCs/>
          <w:noProof/>
          <w:lang w:val="es-ES_tradnl"/>
        </w:rPr>
        <w:t>s</w:t>
      </w:r>
      <w:r w:rsidRPr="00090612">
        <w:rPr>
          <w:rFonts w:asciiTheme="majorHAnsi" w:hAnsiTheme="majorHAnsi"/>
          <w:bCs/>
          <w:noProof/>
          <w:lang w:val="es-ES_tradnl"/>
        </w:rPr>
        <w:t xml:space="preserve"> de</w:t>
      </w:r>
      <w:r w:rsidR="00A23C16">
        <w:rPr>
          <w:rFonts w:asciiTheme="majorHAnsi" w:hAnsiTheme="majorHAnsi"/>
          <w:bCs/>
          <w:noProof/>
          <w:lang w:val="es-ES_tradnl"/>
        </w:rPr>
        <w:t xml:space="preserve"> presentación</w:t>
      </w:r>
      <w:r w:rsidR="001F4EE9">
        <w:rPr>
          <w:rFonts w:asciiTheme="majorHAnsi" w:hAnsiTheme="majorHAnsi"/>
          <w:bCs/>
          <w:noProof/>
          <w:lang w:val="es-ES_tradnl"/>
        </w:rPr>
        <w:t xml:space="preserve"> informes y contribuirían</w:t>
      </w:r>
      <w:r w:rsidRPr="00090612">
        <w:rPr>
          <w:rFonts w:asciiTheme="majorHAnsi" w:hAnsiTheme="majorHAnsi"/>
          <w:bCs/>
          <w:noProof/>
          <w:lang w:val="es-ES_tradnl"/>
        </w:rPr>
        <w:t xml:space="preserve"> conjuntamente a la historia </w:t>
      </w:r>
      <w:r w:rsidR="001F4EE9">
        <w:rPr>
          <w:rFonts w:asciiTheme="majorHAnsi" w:hAnsiTheme="majorHAnsi"/>
          <w:bCs/>
          <w:noProof/>
          <w:lang w:val="es-ES_tradnl"/>
        </w:rPr>
        <w:t>de la meta</w:t>
      </w:r>
      <w:r w:rsidRPr="00090612">
        <w:rPr>
          <w:rFonts w:asciiTheme="majorHAnsi" w:hAnsiTheme="majorHAnsi"/>
          <w:bCs/>
          <w:noProof/>
          <w:lang w:val="es-ES_tradnl"/>
        </w:rPr>
        <w:t xml:space="preserve"> 6.6 de los Objetivos de Desarrollo Sostenible.</w:t>
      </w:r>
    </w:p>
    <w:p w14:paraId="463339A9" w14:textId="77777777" w:rsidR="00FB5AC5" w:rsidRDefault="00FB5AC5" w:rsidP="00FB5AC5">
      <w:pPr>
        <w:spacing w:after="0" w:line="240" w:lineRule="auto"/>
        <w:ind w:left="426" w:hanging="426"/>
        <w:rPr>
          <w:rFonts w:asciiTheme="majorHAnsi" w:hAnsiTheme="majorHAnsi"/>
          <w:bCs/>
          <w:noProof/>
          <w:lang w:val="es-ES_tradnl"/>
        </w:rPr>
      </w:pPr>
    </w:p>
    <w:p w14:paraId="19B7AD99" w14:textId="77777777" w:rsidR="0016440D" w:rsidRDefault="00FB5AC5" w:rsidP="0016440D">
      <w:pPr>
        <w:spacing w:after="0" w:line="240" w:lineRule="auto"/>
        <w:ind w:left="426" w:hanging="426"/>
        <w:rPr>
          <w:rFonts w:asciiTheme="majorHAnsi" w:hAnsiTheme="majorHAnsi"/>
          <w:bCs/>
          <w:noProof/>
          <w:lang w:val="es-ES_tradnl"/>
        </w:rPr>
      </w:pPr>
      <w:r>
        <w:rPr>
          <w:rFonts w:asciiTheme="majorHAnsi" w:hAnsiTheme="majorHAnsi"/>
          <w:bCs/>
          <w:noProof/>
          <w:lang w:val="es-ES_tradnl"/>
        </w:rPr>
        <w:t>73.</w:t>
      </w:r>
      <w:r>
        <w:rPr>
          <w:rFonts w:asciiTheme="majorHAnsi" w:hAnsiTheme="majorHAnsi"/>
          <w:bCs/>
          <w:noProof/>
          <w:lang w:val="es-ES_tradnl"/>
        </w:rPr>
        <w:tab/>
      </w:r>
      <w:r w:rsidRPr="00FB5AC5">
        <w:rPr>
          <w:rFonts w:asciiTheme="majorHAnsi" w:hAnsiTheme="majorHAnsi"/>
          <w:b/>
          <w:bCs/>
          <w:noProof/>
          <w:lang w:val="es-ES_tradnl"/>
        </w:rPr>
        <w:t>Suiza</w:t>
      </w:r>
      <w:r w:rsidRPr="00FB5AC5">
        <w:rPr>
          <w:rFonts w:asciiTheme="majorHAnsi" w:hAnsiTheme="majorHAnsi"/>
          <w:bCs/>
          <w:noProof/>
          <w:lang w:val="es-ES_tradnl"/>
        </w:rPr>
        <w:t xml:space="preserve"> apoyó las enmiendas propuestas presentadas por el observador de Wetlands International.</w:t>
      </w:r>
    </w:p>
    <w:p w14:paraId="22A502CB" w14:textId="77777777" w:rsidR="0016440D" w:rsidRDefault="0016440D" w:rsidP="0016440D">
      <w:pPr>
        <w:spacing w:after="0" w:line="240" w:lineRule="auto"/>
        <w:ind w:left="426" w:hanging="426"/>
        <w:rPr>
          <w:rFonts w:asciiTheme="majorHAnsi" w:hAnsiTheme="majorHAnsi"/>
          <w:bCs/>
          <w:noProof/>
          <w:lang w:val="es-ES_tradnl"/>
        </w:rPr>
      </w:pPr>
    </w:p>
    <w:p w14:paraId="072C3CCE" w14:textId="77777777" w:rsidR="0016440D" w:rsidRDefault="0016440D" w:rsidP="0016440D">
      <w:pPr>
        <w:spacing w:after="0" w:line="240" w:lineRule="auto"/>
        <w:ind w:left="426" w:hanging="426"/>
        <w:rPr>
          <w:rFonts w:asciiTheme="majorHAnsi" w:hAnsiTheme="majorHAnsi"/>
          <w:bCs/>
          <w:noProof/>
          <w:lang w:val="es-ES_tradnl"/>
        </w:rPr>
      </w:pPr>
      <w:r>
        <w:rPr>
          <w:rFonts w:asciiTheme="majorHAnsi" w:hAnsiTheme="majorHAnsi"/>
          <w:bCs/>
          <w:noProof/>
          <w:lang w:val="es-ES_tradnl"/>
        </w:rPr>
        <w:t>74.</w:t>
      </w:r>
      <w:r>
        <w:rPr>
          <w:rFonts w:asciiTheme="majorHAnsi" w:hAnsiTheme="majorHAnsi"/>
          <w:bCs/>
          <w:noProof/>
          <w:lang w:val="es-ES_tradnl"/>
        </w:rPr>
        <w:tab/>
        <w:t xml:space="preserve">La </w:t>
      </w:r>
      <w:r w:rsidRPr="0016440D">
        <w:rPr>
          <w:rFonts w:asciiTheme="majorHAnsi" w:hAnsiTheme="majorHAnsi"/>
          <w:b/>
          <w:bCs/>
          <w:noProof/>
          <w:lang w:val="es-ES_tradnl"/>
        </w:rPr>
        <w:t>Secretaria</w:t>
      </w:r>
      <w:r w:rsidR="0083517F" w:rsidRPr="0016440D">
        <w:rPr>
          <w:rFonts w:asciiTheme="majorHAnsi" w:hAnsiTheme="majorHAnsi"/>
          <w:b/>
          <w:bCs/>
          <w:noProof/>
          <w:lang w:val="es-ES_tradnl"/>
        </w:rPr>
        <w:t xml:space="preserve"> General</w:t>
      </w:r>
      <w:r w:rsidR="0083517F" w:rsidRPr="0083517F">
        <w:rPr>
          <w:rFonts w:asciiTheme="majorHAnsi" w:hAnsiTheme="majorHAnsi"/>
          <w:bCs/>
          <w:noProof/>
          <w:lang w:val="es-ES_tradnl"/>
        </w:rPr>
        <w:t xml:space="preserve"> consideró que </w:t>
      </w:r>
      <w:r>
        <w:rPr>
          <w:rFonts w:asciiTheme="majorHAnsi" w:hAnsiTheme="majorHAnsi"/>
          <w:bCs/>
          <w:noProof/>
          <w:lang w:val="es-ES_tradnl"/>
        </w:rPr>
        <w:t>todas las cuestiones planteadas</w:t>
      </w:r>
      <w:r w:rsidR="0083517F" w:rsidRPr="0083517F">
        <w:rPr>
          <w:rFonts w:asciiTheme="majorHAnsi" w:hAnsiTheme="majorHAnsi"/>
          <w:bCs/>
          <w:noProof/>
          <w:lang w:val="es-ES_tradnl"/>
        </w:rPr>
        <w:t xml:space="preserve"> podían </w:t>
      </w:r>
      <w:r>
        <w:rPr>
          <w:rFonts w:asciiTheme="majorHAnsi" w:hAnsiTheme="majorHAnsi"/>
          <w:bCs/>
          <w:noProof/>
          <w:lang w:val="es-ES_tradnl"/>
        </w:rPr>
        <w:t>incluirse fácilmente en un texto revisado de</w:t>
      </w:r>
      <w:r w:rsidR="0083517F" w:rsidRPr="0083517F">
        <w:rPr>
          <w:rFonts w:asciiTheme="majorHAnsi" w:hAnsiTheme="majorHAnsi"/>
          <w:bCs/>
          <w:noProof/>
          <w:lang w:val="es-ES_tradnl"/>
        </w:rPr>
        <w:t xml:space="preserve"> proyecto de resol</w:t>
      </w:r>
      <w:r>
        <w:rPr>
          <w:rFonts w:asciiTheme="majorHAnsi" w:hAnsiTheme="majorHAnsi"/>
          <w:bCs/>
          <w:noProof/>
          <w:lang w:val="es-ES_tradnl"/>
        </w:rPr>
        <w:t>ución, pero pidió orientaciones</w:t>
      </w:r>
      <w:r w:rsidR="0083517F" w:rsidRPr="0083517F">
        <w:rPr>
          <w:rFonts w:asciiTheme="majorHAnsi" w:hAnsiTheme="majorHAnsi"/>
          <w:bCs/>
          <w:noProof/>
          <w:lang w:val="es-ES_tradnl"/>
        </w:rPr>
        <w:t xml:space="preserve"> sobre si las enmiendas presentadas por el FWG deberían ser incorporadas por la Secretaría o por el propio FWG.</w:t>
      </w:r>
    </w:p>
    <w:p w14:paraId="7FE4F1A0" w14:textId="77777777" w:rsidR="0016440D" w:rsidRDefault="0016440D" w:rsidP="0016440D">
      <w:pPr>
        <w:spacing w:after="0" w:line="240" w:lineRule="auto"/>
        <w:ind w:left="426" w:hanging="426"/>
        <w:rPr>
          <w:rFonts w:asciiTheme="majorHAnsi" w:hAnsiTheme="majorHAnsi"/>
          <w:bCs/>
          <w:noProof/>
          <w:lang w:val="es-ES_tradnl"/>
        </w:rPr>
      </w:pPr>
    </w:p>
    <w:p w14:paraId="0072B81B" w14:textId="5AB7BC7A" w:rsidR="00D4704A" w:rsidRDefault="0016440D" w:rsidP="00D4704A">
      <w:pPr>
        <w:spacing w:after="0" w:line="240" w:lineRule="auto"/>
        <w:ind w:left="426" w:hanging="426"/>
        <w:rPr>
          <w:rFonts w:asciiTheme="majorHAnsi" w:hAnsiTheme="majorHAnsi"/>
          <w:bCs/>
          <w:noProof/>
          <w:lang w:val="es-ES_tradnl"/>
        </w:rPr>
      </w:pPr>
      <w:r>
        <w:rPr>
          <w:rFonts w:asciiTheme="majorHAnsi" w:hAnsiTheme="majorHAnsi"/>
          <w:bCs/>
          <w:noProof/>
          <w:lang w:val="es-ES_tradnl"/>
        </w:rPr>
        <w:t>75.</w:t>
      </w:r>
      <w:r>
        <w:rPr>
          <w:rFonts w:asciiTheme="majorHAnsi" w:hAnsiTheme="majorHAnsi"/>
          <w:bCs/>
          <w:noProof/>
          <w:lang w:val="es-ES_tradnl"/>
        </w:rPr>
        <w:tab/>
      </w:r>
      <w:r>
        <w:rPr>
          <w:rFonts w:asciiTheme="majorHAnsi" w:hAnsiTheme="majorHAnsi"/>
          <w:noProof/>
          <w:lang w:val="es-ES_tradnl"/>
        </w:rPr>
        <w:t xml:space="preserve">La </w:t>
      </w:r>
      <w:r w:rsidRPr="0016440D">
        <w:rPr>
          <w:rFonts w:asciiTheme="majorHAnsi" w:hAnsiTheme="majorHAnsi"/>
          <w:b/>
          <w:noProof/>
          <w:lang w:val="es-ES_tradnl"/>
        </w:rPr>
        <w:t>Vicepresidencia del FWG</w:t>
      </w:r>
      <w:r w:rsidRPr="0016440D">
        <w:rPr>
          <w:rFonts w:asciiTheme="majorHAnsi" w:hAnsiTheme="majorHAnsi"/>
          <w:noProof/>
          <w:lang w:val="es-ES_tradnl"/>
        </w:rPr>
        <w:t xml:space="preserve"> (</w:t>
      </w:r>
      <w:r>
        <w:rPr>
          <w:rFonts w:asciiTheme="majorHAnsi" w:hAnsiTheme="majorHAnsi"/>
          <w:noProof/>
          <w:lang w:val="es-ES_tradnl"/>
        </w:rPr>
        <w:t xml:space="preserve">los </w:t>
      </w:r>
      <w:r w:rsidRPr="0016440D">
        <w:rPr>
          <w:rFonts w:asciiTheme="majorHAnsi" w:hAnsiTheme="majorHAnsi"/>
          <w:noProof/>
          <w:lang w:val="es-ES_tradnl"/>
        </w:rPr>
        <w:t xml:space="preserve">Estados Unidos de América) solicitó a la Secretaría que incluyera las enmiendas pero que compartiera con el FWG el borrador revisado </w:t>
      </w:r>
      <w:r>
        <w:rPr>
          <w:rFonts w:asciiTheme="majorHAnsi" w:hAnsiTheme="majorHAnsi"/>
          <w:noProof/>
          <w:lang w:val="es-ES_tradnl"/>
        </w:rPr>
        <w:t>para su confirmación</w:t>
      </w:r>
      <w:r w:rsidRPr="0016440D">
        <w:rPr>
          <w:rFonts w:asciiTheme="majorHAnsi" w:hAnsiTheme="majorHAnsi"/>
          <w:noProof/>
          <w:lang w:val="es-ES_tradnl"/>
        </w:rPr>
        <w:t xml:space="preserve"> </w:t>
      </w:r>
      <w:r>
        <w:rPr>
          <w:rFonts w:asciiTheme="majorHAnsi" w:hAnsiTheme="majorHAnsi"/>
          <w:noProof/>
          <w:lang w:val="es-ES_tradnl"/>
        </w:rPr>
        <w:t xml:space="preserve">antes </w:t>
      </w:r>
      <w:r w:rsidR="00D4704A">
        <w:rPr>
          <w:rFonts w:asciiTheme="majorHAnsi" w:hAnsiTheme="majorHAnsi"/>
          <w:noProof/>
          <w:lang w:val="es-ES_tradnl"/>
        </w:rPr>
        <w:t>de distribuirlo</w:t>
      </w:r>
      <w:r w:rsidRPr="0016440D">
        <w:rPr>
          <w:rFonts w:asciiTheme="majorHAnsi" w:hAnsiTheme="majorHAnsi"/>
          <w:noProof/>
          <w:lang w:val="es-ES_tradnl"/>
        </w:rPr>
        <w:t xml:space="preserve"> al Comité Permanente </w:t>
      </w:r>
      <w:r w:rsidR="0053647B">
        <w:rPr>
          <w:rFonts w:asciiTheme="majorHAnsi" w:hAnsiTheme="majorHAnsi"/>
          <w:noProof/>
          <w:lang w:val="es-ES_tradnl"/>
        </w:rPr>
        <w:t>en pleno</w:t>
      </w:r>
      <w:r w:rsidRPr="0016440D">
        <w:rPr>
          <w:rFonts w:asciiTheme="majorHAnsi" w:hAnsiTheme="majorHAnsi"/>
          <w:noProof/>
          <w:lang w:val="es-ES_tradnl"/>
        </w:rPr>
        <w:t>.</w:t>
      </w:r>
    </w:p>
    <w:p w14:paraId="3FAB461E" w14:textId="77777777" w:rsidR="00D4704A" w:rsidRDefault="00D4704A" w:rsidP="00D4704A">
      <w:pPr>
        <w:spacing w:after="0" w:line="240" w:lineRule="auto"/>
        <w:ind w:left="426" w:hanging="426"/>
        <w:rPr>
          <w:rFonts w:asciiTheme="majorHAnsi" w:hAnsiTheme="majorHAnsi"/>
          <w:bCs/>
          <w:noProof/>
          <w:lang w:val="es-ES_tradnl"/>
        </w:rPr>
      </w:pPr>
    </w:p>
    <w:p w14:paraId="2D724C42" w14:textId="5CFF160A" w:rsidR="00206033" w:rsidRDefault="00D4704A" w:rsidP="00D4704A">
      <w:pPr>
        <w:spacing w:after="0" w:line="240" w:lineRule="auto"/>
        <w:ind w:left="426" w:hanging="426"/>
        <w:rPr>
          <w:rFonts w:asciiTheme="majorHAnsi" w:hAnsiTheme="majorHAnsi"/>
          <w:bCs/>
          <w:noProof/>
          <w:lang w:val="es-ES_tradnl"/>
        </w:rPr>
      </w:pPr>
      <w:r>
        <w:rPr>
          <w:rFonts w:asciiTheme="majorHAnsi" w:hAnsiTheme="majorHAnsi"/>
          <w:bCs/>
          <w:noProof/>
          <w:lang w:val="es-ES_tradnl"/>
        </w:rPr>
        <w:t>76.</w:t>
      </w:r>
      <w:r>
        <w:rPr>
          <w:rFonts w:asciiTheme="majorHAnsi" w:hAnsiTheme="majorHAnsi"/>
          <w:bCs/>
          <w:noProof/>
          <w:lang w:val="es-ES_tradnl"/>
        </w:rPr>
        <w:tab/>
        <w:t>La</w:t>
      </w:r>
      <w:r w:rsidRPr="00D4704A">
        <w:rPr>
          <w:rFonts w:asciiTheme="majorHAnsi" w:hAnsiTheme="majorHAnsi"/>
          <w:bCs/>
          <w:noProof/>
          <w:lang w:val="es-ES_tradnl"/>
        </w:rPr>
        <w:t xml:space="preserve"> </w:t>
      </w:r>
      <w:r>
        <w:rPr>
          <w:rFonts w:asciiTheme="majorHAnsi" w:hAnsiTheme="majorHAnsi"/>
          <w:b/>
          <w:bCs/>
          <w:noProof/>
          <w:lang w:val="es-ES_tradnl"/>
        </w:rPr>
        <w:t>Presidencia</w:t>
      </w:r>
      <w:r w:rsidRPr="00D4704A">
        <w:rPr>
          <w:rFonts w:asciiTheme="majorHAnsi" w:hAnsiTheme="majorHAnsi"/>
          <w:bCs/>
          <w:noProof/>
          <w:lang w:val="es-ES_tradnl"/>
        </w:rPr>
        <w:t xml:space="preserve"> </w:t>
      </w:r>
      <w:r>
        <w:rPr>
          <w:rFonts w:asciiTheme="majorHAnsi" w:hAnsiTheme="majorHAnsi"/>
          <w:bCs/>
          <w:noProof/>
          <w:lang w:val="es-ES_tradnl"/>
        </w:rPr>
        <w:t>pidió</w:t>
      </w:r>
      <w:r w:rsidRPr="00D4704A">
        <w:rPr>
          <w:rFonts w:asciiTheme="majorHAnsi" w:hAnsiTheme="majorHAnsi"/>
          <w:bCs/>
          <w:noProof/>
          <w:lang w:val="es-ES_tradnl"/>
        </w:rPr>
        <w:t xml:space="preserve"> a las Partes que habían propuesto enmiendas que las presentaran por escrito a la Secretaría a fin de que se </w:t>
      </w:r>
      <w:r>
        <w:rPr>
          <w:rFonts w:asciiTheme="majorHAnsi" w:hAnsiTheme="majorHAnsi"/>
          <w:bCs/>
          <w:noProof/>
          <w:lang w:val="es-ES_tradnl"/>
        </w:rPr>
        <w:t>elaborara</w:t>
      </w:r>
      <w:r w:rsidRPr="00D4704A">
        <w:rPr>
          <w:rFonts w:asciiTheme="majorHAnsi" w:hAnsiTheme="majorHAnsi"/>
          <w:bCs/>
          <w:noProof/>
          <w:lang w:val="es-ES_tradnl"/>
        </w:rPr>
        <w:t xml:space="preserve"> un documento revisado </w:t>
      </w:r>
      <w:r>
        <w:rPr>
          <w:rFonts w:asciiTheme="majorHAnsi" w:hAnsiTheme="majorHAnsi"/>
          <w:bCs/>
          <w:noProof/>
          <w:lang w:val="es-ES_tradnl"/>
        </w:rPr>
        <w:t>que</w:t>
      </w:r>
      <w:r w:rsidRPr="00D4704A">
        <w:rPr>
          <w:rFonts w:asciiTheme="majorHAnsi" w:hAnsiTheme="majorHAnsi"/>
          <w:bCs/>
          <w:noProof/>
          <w:lang w:val="es-ES_tradnl"/>
        </w:rPr>
        <w:t xml:space="preserve"> se sometiera</w:t>
      </w:r>
      <w:r>
        <w:rPr>
          <w:rFonts w:asciiTheme="majorHAnsi" w:hAnsiTheme="majorHAnsi"/>
          <w:bCs/>
          <w:noProof/>
          <w:lang w:val="es-ES_tradnl"/>
        </w:rPr>
        <w:t xml:space="preserve"> al examen posterior del</w:t>
      </w:r>
      <w:r w:rsidRPr="00D4704A">
        <w:rPr>
          <w:rFonts w:asciiTheme="majorHAnsi" w:hAnsiTheme="majorHAnsi"/>
          <w:bCs/>
          <w:noProof/>
          <w:lang w:val="es-ES_tradnl"/>
        </w:rPr>
        <w:t xml:space="preserve"> Comité Permanente.</w:t>
      </w:r>
    </w:p>
    <w:p w14:paraId="43373C93" w14:textId="063D75D6" w:rsidR="003D6A99" w:rsidRPr="00045FC7" w:rsidRDefault="003D6A99" w:rsidP="00D4704A">
      <w:pPr>
        <w:spacing w:after="0" w:line="240" w:lineRule="auto"/>
        <w:rPr>
          <w:rFonts w:asciiTheme="majorHAnsi" w:hAnsiTheme="majorHAnsi"/>
          <w:bCs/>
          <w:noProof/>
          <w:lang w:val="es-ES_tradnl"/>
        </w:rPr>
      </w:pPr>
    </w:p>
    <w:p w14:paraId="3B1D7B42" w14:textId="54F72D43" w:rsidR="008D5B0E" w:rsidRPr="00700ABB" w:rsidRDefault="008D5B0E" w:rsidP="008D5B0E">
      <w:pPr>
        <w:spacing w:after="0" w:line="240" w:lineRule="auto"/>
        <w:ind w:left="425" w:hanging="425"/>
        <w:rPr>
          <w:rFonts w:asciiTheme="majorHAnsi" w:hAnsiTheme="majorHAnsi"/>
          <w:lang w:val="es-ES_tradnl"/>
        </w:rPr>
      </w:pPr>
      <w:r w:rsidRPr="00700ABB">
        <w:rPr>
          <w:rFonts w:asciiTheme="majorHAnsi" w:hAnsiTheme="majorHAnsi"/>
          <w:lang w:val="es-ES_tradnl"/>
        </w:rPr>
        <w:t xml:space="preserve">La </w:t>
      </w:r>
      <w:r w:rsidRPr="008D5B0E">
        <w:rPr>
          <w:rFonts w:asciiTheme="majorHAnsi" w:hAnsiTheme="majorHAnsi"/>
          <w:b/>
          <w:lang w:val="es-ES_tradnl"/>
        </w:rPr>
        <w:t>Presidencia</w:t>
      </w:r>
      <w:r w:rsidRPr="00700ABB">
        <w:rPr>
          <w:rFonts w:asciiTheme="majorHAnsi" w:hAnsiTheme="majorHAnsi"/>
          <w:lang w:val="es-ES_tradnl"/>
        </w:rPr>
        <w:t xml:space="preserve"> levantó la sesión a las </w:t>
      </w:r>
      <w:r w:rsidR="00D4704A">
        <w:rPr>
          <w:rFonts w:asciiTheme="majorHAnsi" w:hAnsiTheme="majorHAnsi"/>
          <w:bCs/>
          <w:noProof/>
          <w:lang w:val="es-ES_tradnl"/>
        </w:rPr>
        <w:t>13:</w:t>
      </w:r>
      <w:r w:rsidRPr="00045FC7">
        <w:rPr>
          <w:rFonts w:asciiTheme="majorHAnsi" w:hAnsiTheme="majorHAnsi"/>
          <w:bCs/>
          <w:noProof/>
          <w:lang w:val="es-ES_tradnl"/>
        </w:rPr>
        <w:t>20</w:t>
      </w:r>
      <w:r>
        <w:rPr>
          <w:rFonts w:asciiTheme="majorHAnsi" w:hAnsiTheme="majorHAnsi"/>
          <w:bCs/>
          <w:noProof/>
          <w:lang w:val="es-ES_tradnl"/>
        </w:rPr>
        <w:t xml:space="preserve"> </w:t>
      </w:r>
      <w:r w:rsidRPr="00700ABB">
        <w:rPr>
          <w:rFonts w:asciiTheme="majorHAnsi" w:hAnsiTheme="majorHAnsi"/>
          <w:lang w:val="es-ES_tradnl"/>
        </w:rPr>
        <w:t>horas.</w:t>
      </w:r>
    </w:p>
    <w:p w14:paraId="6BE2A453" w14:textId="70C6E495" w:rsidR="002E5DBC" w:rsidRPr="00045FC7" w:rsidRDefault="002E5DBC" w:rsidP="00B23D8D">
      <w:pPr>
        <w:spacing w:after="0" w:line="240" w:lineRule="auto"/>
        <w:ind w:left="426" w:hanging="426"/>
        <w:contextualSpacing/>
        <w:rPr>
          <w:rFonts w:cs="Calibri"/>
          <w:bCs/>
          <w:noProof/>
          <w:lang w:val="es-ES_tradnl"/>
        </w:rPr>
      </w:pPr>
    </w:p>
    <w:p w14:paraId="00FFCBA0" w14:textId="77777777" w:rsidR="0078467B" w:rsidRPr="0078467B" w:rsidRDefault="0078467B" w:rsidP="0078467B">
      <w:pPr>
        <w:spacing w:after="0" w:line="240" w:lineRule="auto"/>
        <w:ind w:left="426" w:hanging="426"/>
        <w:contextualSpacing/>
        <w:rPr>
          <w:b/>
          <w:noProof/>
          <w:lang w:val="es-ES_tradnl"/>
        </w:rPr>
      </w:pPr>
      <w:r w:rsidRPr="0078467B">
        <w:rPr>
          <w:rFonts w:cs="Calibri"/>
          <w:b/>
          <w:bCs/>
          <w:noProof/>
          <w:lang w:val="es-ES_tradnl"/>
        </w:rPr>
        <w:t xml:space="preserve">15:00 – 18:00 </w:t>
      </w:r>
      <w:r w:rsidRPr="0078467B">
        <w:rPr>
          <w:rFonts w:cs="Calibri"/>
          <w:b/>
          <w:bCs/>
          <w:noProof/>
          <w:lang w:val="es-ES_tradnl"/>
        </w:rPr>
        <w:tab/>
      </w:r>
      <w:r w:rsidRPr="0078467B">
        <w:rPr>
          <w:b/>
          <w:noProof/>
          <w:lang w:val="es-ES_tradnl"/>
        </w:rPr>
        <w:t>Sesión plenaria del Comité Permanente</w:t>
      </w:r>
    </w:p>
    <w:p w14:paraId="703356DE" w14:textId="77777777" w:rsidR="0078467B" w:rsidRPr="0078467B" w:rsidRDefault="0078467B" w:rsidP="0078467B">
      <w:pPr>
        <w:spacing w:after="0" w:line="240" w:lineRule="auto"/>
        <w:contextualSpacing/>
        <w:rPr>
          <w:rFonts w:cs="Calibri"/>
          <w:b/>
          <w:bCs/>
          <w:noProof/>
          <w:lang w:val="es-ES_tradnl"/>
        </w:rPr>
      </w:pPr>
    </w:p>
    <w:p w14:paraId="7C98871F" w14:textId="77777777" w:rsidR="0078467B" w:rsidRPr="0078467B" w:rsidRDefault="0078467B" w:rsidP="0078467B">
      <w:pPr>
        <w:spacing w:after="0" w:line="240" w:lineRule="auto"/>
        <w:ind w:left="426" w:hanging="426"/>
        <w:rPr>
          <w:rFonts w:cs="Calibri"/>
          <w:bCs/>
          <w:noProof/>
          <w:lang w:val="es-ES_tradnl"/>
        </w:rPr>
      </w:pPr>
      <w:r w:rsidRPr="0078467B">
        <w:rPr>
          <w:rFonts w:cs="Calibri"/>
          <w:bCs/>
          <w:noProof/>
          <w:lang w:val="es-ES_tradnl"/>
        </w:rPr>
        <w:t xml:space="preserve">77. </w:t>
      </w:r>
      <w:r w:rsidRPr="0078467B">
        <w:rPr>
          <w:rFonts w:cs="Calibri"/>
          <w:bCs/>
          <w:noProof/>
          <w:lang w:val="es-ES_tradnl"/>
        </w:rPr>
        <w:tab/>
        <w:t xml:space="preserve">La </w:t>
      </w:r>
      <w:r w:rsidRPr="0078467B">
        <w:rPr>
          <w:rFonts w:cs="Calibri"/>
          <w:b/>
          <w:bCs/>
          <w:noProof/>
          <w:lang w:val="es-ES_tradnl"/>
        </w:rPr>
        <w:t>Presidencia</w:t>
      </w:r>
      <w:r w:rsidRPr="0078467B">
        <w:rPr>
          <w:rFonts w:cs="Calibri"/>
          <w:bCs/>
          <w:noProof/>
          <w:lang w:val="es-ES_tradnl"/>
        </w:rPr>
        <w:t xml:space="preserve"> declaró abierta la sesión de la tarde a las 15:12 horas. Señaló que daría prioridad al tiempo para el debate sustantivo de los documentos en vez de la presentación de antecedentes proporcionados previamente a las Partes Contratantes y las agrupaciones regionales.</w:t>
      </w:r>
    </w:p>
    <w:p w14:paraId="02849B0A" w14:textId="77777777" w:rsidR="0078467B" w:rsidRPr="0078467B" w:rsidRDefault="0078467B" w:rsidP="0078467B">
      <w:pPr>
        <w:spacing w:after="0" w:line="240" w:lineRule="auto"/>
        <w:rPr>
          <w:rFonts w:cs="Calibri"/>
          <w:b/>
          <w:bCs/>
          <w:noProof/>
          <w:lang w:val="es-ES_tradnl"/>
        </w:rPr>
      </w:pPr>
    </w:p>
    <w:p w14:paraId="343C7BF7" w14:textId="77777777" w:rsidR="0078467B" w:rsidRPr="0078467B" w:rsidRDefault="0078467B" w:rsidP="0078467B">
      <w:pPr>
        <w:pBdr>
          <w:top w:val="single" w:sz="4" w:space="1" w:color="auto"/>
          <w:left w:val="single" w:sz="4" w:space="4" w:color="auto"/>
          <w:bottom w:val="single" w:sz="4" w:space="1" w:color="auto"/>
          <w:right w:val="single" w:sz="4" w:space="4" w:color="auto"/>
        </w:pBdr>
        <w:spacing w:after="0" w:line="240" w:lineRule="auto"/>
        <w:ind w:left="426" w:hanging="426"/>
        <w:rPr>
          <w:rFonts w:asciiTheme="majorHAnsi" w:hAnsiTheme="majorHAnsi"/>
          <w:bCs/>
          <w:noProof/>
          <w:lang w:val="es-ES_tradnl"/>
        </w:rPr>
      </w:pPr>
      <w:r w:rsidRPr="0078467B">
        <w:rPr>
          <w:rFonts w:asciiTheme="majorHAnsi" w:hAnsiTheme="majorHAnsi"/>
          <w:bCs/>
          <w:noProof/>
          <w:lang w:val="es-ES_tradnl"/>
        </w:rPr>
        <w:t xml:space="preserve">Punto 19 del orden del día: Actualización sobre el estado de los sitios de la Lista de Humedales de Importancia Internacional </w:t>
      </w:r>
    </w:p>
    <w:p w14:paraId="0F6C8874" w14:textId="77777777" w:rsidR="0078467B" w:rsidRPr="0078467B" w:rsidRDefault="0078467B" w:rsidP="0078467B">
      <w:pPr>
        <w:spacing w:after="0" w:line="240" w:lineRule="auto"/>
        <w:ind w:left="426" w:hanging="426"/>
        <w:rPr>
          <w:rFonts w:asciiTheme="majorHAnsi" w:hAnsiTheme="majorHAnsi"/>
          <w:bCs/>
          <w:noProof/>
          <w:lang w:val="es-ES_tradnl"/>
        </w:rPr>
      </w:pPr>
    </w:p>
    <w:p w14:paraId="51BB8CD3" w14:textId="77777777" w:rsidR="0078467B" w:rsidRPr="0078467B" w:rsidRDefault="0078467B" w:rsidP="0078467B">
      <w:pPr>
        <w:spacing w:after="0" w:line="240" w:lineRule="auto"/>
        <w:ind w:left="426" w:hanging="426"/>
        <w:rPr>
          <w:rFonts w:asciiTheme="majorHAnsi" w:hAnsiTheme="majorHAnsi"/>
          <w:bCs/>
          <w:noProof/>
          <w:lang w:val="es-ES_tradnl"/>
        </w:rPr>
      </w:pPr>
      <w:r w:rsidRPr="0078467B">
        <w:rPr>
          <w:rFonts w:asciiTheme="majorHAnsi" w:hAnsiTheme="majorHAnsi"/>
          <w:bCs/>
          <w:noProof/>
          <w:lang w:val="es-ES_tradnl"/>
        </w:rPr>
        <w:t xml:space="preserve">78. </w:t>
      </w:r>
      <w:r w:rsidRPr="0078467B">
        <w:rPr>
          <w:rFonts w:asciiTheme="majorHAnsi" w:hAnsiTheme="majorHAnsi"/>
          <w:bCs/>
          <w:noProof/>
          <w:lang w:val="es-ES_tradnl"/>
        </w:rPr>
        <w:tab/>
        <w:t xml:space="preserve">La </w:t>
      </w:r>
      <w:r w:rsidRPr="0078467B">
        <w:rPr>
          <w:rFonts w:asciiTheme="majorHAnsi" w:hAnsiTheme="majorHAnsi"/>
          <w:b/>
          <w:bCs/>
          <w:noProof/>
          <w:lang w:val="es-ES_tradnl"/>
        </w:rPr>
        <w:t>Presidencia</w:t>
      </w:r>
      <w:r w:rsidRPr="0078467B">
        <w:rPr>
          <w:rFonts w:asciiTheme="majorHAnsi" w:hAnsiTheme="majorHAnsi"/>
          <w:bCs/>
          <w:noProof/>
          <w:lang w:val="es-ES_tradnl"/>
        </w:rPr>
        <w:t xml:space="preserve"> invitó al debate sobre el documento Doc. SC54-19, </w:t>
      </w:r>
      <w:r w:rsidRPr="0078467B">
        <w:rPr>
          <w:rFonts w:asciiTheme="majorHAnsi" w:hAnsiTheme="majorHAnsi"/>
          <w:bCs/>
          <w:i/>
          <w:noProof/>
          <w:lang w:val="es-ES_tradnl"/>
        </w:rPr>
        <w:t>Actualización sobre el estado de los sitios de la Lista de Humedales de Importancia Internacional</w:t>
      </w:r>
      <w:r w:rsidRPr="0078467B">
        <w:rPr>
          <w:rFonts w:asciiTheme="majorHAnsi" w:hAnsiTheme="majorHAnsi"/>
          <w:bCs/>
          <w:noProof/>
          <w:lang w:val="es-ES_tradnl"/>
        </w:rPr>
        <w:t>, que incluye el Proyecto de informe de la Secretaria General a la COP13 de conformidad con el Artículo 8.2</w:t>
      </w:r>
      <w:r w:rsidRPr="0078467B">
        <w:rPr>
          <w:rFonts w:cs="Calibri"/>
          <w:b/>
          <w:szCs w:val="24"/>
          <w:lang w:val="es-ES_tradnl"/>
        </w:rPr>
        <w:t xml:space="preserve"> </w:t>
      </w:r>
      <w:r w:rsidRPr="0078467B">
        <w:rPr>
          <w:rFonts w:asciiTheme="majorHAnsi" w:hAnsiTheme="majorHAnsi"/>
          <w:bCs/>
          <w:noProof/>
          <w:lang w:val="es-ES_tradnl"/>
        </w:rPr>
        <w:t>(Anexo 1) y el esquema de un proyecto de resolución relacionado (Anexo 2).</w:t>
      </w:r>
    </w:p>
    <w:p w14:paraId="23166DD2" w14:textId="77777777" w:rsidR="0078467B" w:rsidRPr="0078467B" w:rsidRDefault="0078467B" w:rsidP="0078467B">
      <w:pPr>
        <w:spacing w:after="0" w:line="240" w:lineRule="auto"/>
        <w:ind w:left="426" w:hanging="426"/>
        <w:rPr>
          <w:rFonts w:asciiTheme="majorHAnsi" w:hAnsiTheme="majorHAnsi"/>
          <w:bCs/>
          <w:noProof/>
          <w:lang w:val="es-ES_tradnl"/>
        </w:rPr>
      </w:pPr>
    </w:p>
    <w:p w14:paraId="2E7FCBBC" w14:textId="77777777" w:rsidR="0078467B" w:rsidRPr="0078467B" w:rsidRDefault="0078467B" w:rsidP="0078467B">
      <w:pPr>
        <w:spacing w:after="0" w:line="240" w:lineRule="auto"/>
        <w:ind w:left="426" w:hanging="426"/>
        <w:rPr>
          <w:rFonts w:asciiTheme="majorHAnsi" w:hAnsiTheme="majorHAnsi"/>
          <w:bCs/>
          <w:noProof/>
          <w:lang w:val="es-ES_tradnl"/>
        </w:rPr>
      </w:pPr>
      <w:r w:rsidRPr="0078467B">
        <w:rPr>
          <w:rFonts w:asciiTheme="majorHAnsi" w:hAnsiTheme="majorHAnsi"/>
          <w:bCs/>
          <w:noProof/>
          <w:lang w:val="es-ES_tradnl"/>
        </w:rPr>
        <w:t>79.</w:t>
      </w:r>
      <w:r w:rsidRPr="0078467B">
        <w:rPr>
          <w:rFonts w:asciiTheme="majorHAnsi" w:hAnsiTheme="majorHAnsi"/>
          <w:bCs/>
          <w:noProof/>
          <w:lang w:val="es-ES_tradnl"/>
        </w:rPr>
        <w:tab/>
        <w:t xml:space="preserve">Los </w:t>
      </w:r>
      <w:r w:rsidRPr="0078467B">
        <w:rPr>
          <w:rFonts w:asciiTheme="majorHAnsi" w:hAnsiTheme="majorHAnsi"/>
          <w:b/>
          <w:bCs/>
          <w:noProof/>
          <w:lang w:val="es-ES_tradnl"/>
        </w:rPr>
        <w:t>Estados Unidos de América</w:t>
      </w:r>
      <w:r w:rsidRPr="0078467B">
        <w:rPr>
          <w:rFonts w:asciiTheme="majorHAnsi" w:hAnsiTheme="majorHAnsi"/>
          <w:bCs/>
          <w:noProof/>
          <w:lang w:val="es-ES_tradnl"/>
        </w:rPr>
        <w:t xml:space="preserve"> presentaron enmiendas propuestas al proyecto de resolución.</w:t>
      </w:r>
    </w:p>
    <w:p w14:paraId="77B7B8D8" w14:textId="77777777" w:rsidR="0078467B" w:rsidRPr="0078467B" w:rsidRDefault="0078467B" w:rsidP="0078467B">
      <w:pPr>
        <w:spacing w:after="0" w:line="240" w:lineRule="auto"/>
        <w:ind w:left="426" w:hanging="426"/>
        <w:rPr>
          <w:rFonts w:asciiTheme="majorHAnsi" w:hAnsiTheme="majorHAnsi"/>
          <w:bCs/>
          <w:noProof/>
          <w:lang w:val="es-ES_tradnl"/>
        </w:rPr>
      </w:pPr>
    </w:p>
    <w:p w14:paraId="5E3B3698" w14:textId="77777777" w:rsidR="0078467B" w:rsidRPr="0078467B" w:rsidRDefault="0078467B" w:rsidP="0078467B">
      <w:pPr>
        <w:spacing w:after="0" w:line="240" w:lineRule="auto"/>
        <w:ind w:left="426" w:hanging="426"/>
        <w:rPr>
          <w:rFonts w:asciiTheme="majorHAnsi" w:hAnsiTheme="majorHAnsi"/>
          <w:bCs/>
          <w:noProof/>
          <w:lang w:val="es-ES_tradnl"/>
        </w:rPr>
      </w:pPr>
      <w:r w:rsidRPr="0078467B">
        <w:rPr>
          <w:rFonts w:asciiTheme="majorHAnsi" w:hAnsiTheme="majorHAnsi"/>
          <w:bCs/>
          <w:noProof/>
          <w:lang w:val="es-ES_tradnl"/>
        </w:rPr>
        <w:t>80.</w:t>
      </w:r>
      <w:r w:rsidRPr="0078467B">
        <w:rPr>
          <w:rFonts w:asciiTheme="majorHAnsi" w:hAnsiTheme="majorHAnsi"/>
          <w:bCs/>
          <w:noProof/>
          <w:lang w:val="es-ES_tradnl"/>
        </w:rPr>
        <w:tab/>
      </w:r>
      <w:r w:rsidRPr="0078467B">
        <w:rPr>
          <w:rFonts w:asciiTheme="majorHAnsi" w:hAnsiTheme="majorHAnsi"/>
          <w:b/>
          <w:noProof/>
          <w:lang w:val="es-ES_tradnl"/>
        </w:rPr>
        <w:t>Finlandia</w:t>
      </w:r>
      <w:r w:rsidRPr="0078467B">
        <w:rPr>
          <w:rFonts w:asciiTheme="majorHAnsi" w:hAnsiTheme="majorHAnsi"/>
          <w:noProof/>
          <w:lang w:val="es-ES_tradnl"/>
        </w:rPr>
        <w:t xml:space="preserve">, </w:t>
      </w:r>
      <w:r w:rsidRPr="0078467B">
        <w:rPr>
          <w:rFonts w:asciiTheme="majorHAnsi" w:hAnsiTheme="majorHAnsi"/>
          <w:b/>
          <w:noProof/>
          <w:lang w:val="es-ES_tradnl"/>
        </w:rPr>
        <w:t>Francia</w:t>
      </w:r>
      <w:r w:rsidRPr="0078467B">
        <w:rPr>
          <w:rFonts w:asciiTheme="majorHAnsi" w:hAnsiTheme="majorHAnsi"/>
          <w:noProof/>
          <w:lang w:val="es-ES_tradnl"/>
        </w:rPr>
        <w:t xml:space="preserve"> y la </w:t>
      </w:r>
      <w:r w:rsidRPr="0078467B">
        <w:rPr>
          <w:rFonts w:asciiTheme="majorHAnsi" w:hAnsiTheme="majorHAnsi"/>
          <w:b/>
          <w:noProof/>
          <w:lang w:val="es-ES_tradnl"/>
        </w:rPr>
        <w:t>República Islámica del Irán</w:t>
      </w:r>
      <w:r w:rsidRPr="0078467B">
        <w:rPr>
          <w:rFonts w:asciiTheme="majorHAnsi" w:hAnsiTheme="majorHAnsi"/>
          <w:noProof/>
          <w:lang w:val="es-ES_tradnl"/>
        </w:rPr>
        <w:t xml:space="preserve"> se refirieron a los subanexos del Anexo 1 y solicitaron que estos se actualizaran para que reflejaran la información más reciente disponible antes de la COP13.</w:t>
      </w:r>
    </w:p>
    <w:p w14:paraId="20AA5670" w14:textId="77777777" w:rsidR="0078467B" w:rsidRPr="0078467B" w:rsidRDefault="0078467B" w:rsidP="0078467B">
      <w:pPr>
        <w:spacing w:after="0" w:line="240" w:lineRule="auto"/>
        <w:ind w:left="426" w:hanging="426"/>
        <w:rPr>
          <w:rFonts w:asciiTheme="majorHAnsi" w:hAnsiTheme="majorHAnsi"/>
          <w:bCs/>
          <w:noProof/>
          <w:lang w:val="es-ES_tradnl"/>
        </w:rPr>
      </w:pPr>
    </w:p>
    <w:p w14:paraId="41C2CBC6" w14:textId="77777777" w:rsidR="0078467B" w:rsidRPr="0078467B" w:rsidRDefault="0078467B" w:rsidP="0078467B">
      <w:pPr>
        <w:spacing w:after="0" w:line="240" w:lineRule="auto"/>
        <w:ind w:left="426" w:hanging="426"/>
        <w:rPr>
          <w:rFonts w:asciiTheme="majorHAnsi" w:hAnsiTheme="majorHAnsi"/>
          <w:bCs/>
          <w:noProof/>
          <w:lang w:val="es-ES_tradnl"/>
        </w:rPr>
      </w:pPr>
      <w:r w:rsidRPr="0078467B">
        <w:rPr>
          <w:rFonts w:asciiTheme="majorHAnsi" w:hAnsiTheme="majorHAnsi"/>
          <w:noProof/>
          <w:lang w:val="es-ES_tradnl"/>
        </w:rPr>
        <w:t>81.</w:t>
      </w:r>
      <w:r w:rsidRPr="0078467B">
        <w:rPr>
          <w:rFonts w:asciiTheme="majorHAnsi" w:hAnsiTheme="majorHAnsi"/>
          <w:noProof/>
          <w:lang w:val="es-ES_tradnl"/>
        </w:rPr>
        <w:tab/>
        <w:t xml:space="preserve">El </w:t>
      </w:r>
      <w:r w:rsidRPr="0078467B">
        <w:rPr>
          <w:rFonts w:asciiTheme="majorHAnsi" w:hAnsiTheme="majorHAnsi"/>
          <w:b/>
          <w:noProof/>
          <w:lang w:val="es-ES_tradnl"/>
        </w:rPr>
        <w:t>Senegal</w:t>
      </w:r>
      <w:r w:rsidRPr="0078467B">
        <w:rPr>
          <w:rFonts w:asciiTheme="majorHAnsi" w:hAnsiTheme="majorHAnsi"/>
          <w:noProof/>
          <w:lang w:val="es-ES_tradnl"/>
        </w:rPr>
        <w:t xml:space="preserve"> y </w:t>
      </w:r>
      <w:r w:rsidRPr="0078467B">
        <w:rPr>
          <w:rFonts w:asciiTheme="majorHAnsi" w:hAnsiTheme="majorHAnsi"/>
          <w:b/>
          <w:noProof/>
          <w:lang w:val="es-ES_tradnl"/>
        </w:rPr>
        <w:t>Sudáfrica</w:t>
      </w:r>
      <w:r w:rsidRPr="0078467B">
        <w:rPr>
          <w:rFonts w:asciiTheme="majorHAnsi" w:hAnsiTheme="majorHAnsi"/>
          <w:noProof/>
          <w:lang w:val="es-ES_tradnl"/>
        </w:rPr>
        <w:t xml:space="preserve"> proporcionaron información adicional sobre el estado de sitios Ramsar específicos mencionados en los subanexos.</w:t>
      </w:r>
    </w:p>
    <w:p w14:paraId="69103089" w14:textId="77777777" w:rsidR="0078467B" w:rsidRPr="0078467B" w:rsidRDefault="0078467B" w:rsidP="0078467B">
      <w:pPr>
        <w:spacing w:after="0" w:line="240" w:lineRule="auto"/>
        <w:ind w:left="426" w:hanging="426"/>
        <w:rPr>
          <w:rFonts w:asciiTheme="majorHAnsi" w:hAnsiTheme="majorHAnsi"/>
          <w:bCs/>
          <w:noProof/>
          <w:lang w:val="es-ES_tradnl"/>
        </w:rPr>
      </w:pPr>
    </w:p>
    <w:p w14:paraId="2D22EE28" w14:textId="77777777" w:rsidR="0078467B" w:rsidRPr="0078467B" w:rsidRDefault="0078467B" w:rsidP="0078467B">
      <w:pPr>
        <w:spacing w:after="0" w:line="240" w:lineRule="auto"/>
        <w:ind w:left="426" w:hanging="426"/>
        <w:rPr>
          <w:rFonts w:asciiTheme="majorHAnsi" w:hAnsiTheme="majorHAnsi"/>
          <w:bCs/>
          <w:noProof/>
          <w:lang w:val="es-ES_tradnl"/>
        </w:rPr>
      </w:pPr>
      <w:r w:rsidRPr="0078467B">
        <w:rPr>
          <w:rFonts w:asciiTheme="majorHAnsi" w:hAnsiTheme="majorHAnsi"/>
          <w:bCs/>
          <w:noProof/>
          <w:lang w:val="es-ES_tradnl"/>
        </w:rPr>
        <w:t>82.</w:t>
      </w:r>
      <w:r w:rsidRPr="0078467B">
        <w:rPr>
          <w:rFonts w:asciiTheme="majorHAnsi" w:hAnsiTheme="majorHAnsi"/>
          <w:bCs/>
          <w:noProof/>
          <w:lang w:val="es-ES_tradnl"/>
        </w:rPr>
        <w:tab/>
      </w:r>
      <w:r w:rsidRPr="0078467B">
        <w:rPr>
          <w:rFonts w:asciiTheme="majorHAnsi" w:hAnsiTheme="majorHAnsi"/>
          <w:noProof/>
          <w:lang w:val="es-ES_tradnl"/>
        </w:rPr>
        <w:t xml:space="preserve">La </w:t>
      </w:r>
      <w:r w:rsidRPr="0078467B">
        <w:rPr>
          <w:rFonts w:asciiTheme="majorHAnsi" w:hAnsiTheme="majorHAnsi"/>
          <w:b/>
          <w:noProof/>
          <w:lang w:val="es-ES_tradnl"/>
        </w:rPr>
        <w:t>Secretaría</w:t>
      </w:r>
      <w:r w:rsidRPr="0078467B">
        <w:rPr>
          <w:rFonts w:asciiTheme="majorHAnsi" w:hAnsiTheme="majorHAnsi"/>
          <w:noProof/>
          <w:lang w:val="es-ES_tradnl"/>
        </w:rPr>
        <w:t xml:space="preserve"> recordó que el Anexo 1 y sus subanexos abarcaban el período comprendido entre agosto de 2014 y noviembre de 2017, pero que el Servicio de Información sobre Sitios Ramsar (SISR) en línea se actualizaba constantemente. El documento establecía actualmente que la reunión SC57 de 2019 examinara una actualización a finales de 2018.</w:t>
      </w:r>
    </w:p>
    <w:p w14:paraId="30174E12" w14:textId="77777777" w:rsidR="0078467B" w:rsidRPr="0078467B" w:rsidRDefault="0078467B" w:rsidP="0078467B">
      <w:pPr>
        <w:spacing w:after="0" w:line="240" w:lineRule="auto"/>
        <w:ind w:left="426" w:hanging="426"/>
        <w:rPr>
          <w:rFonts w:asciiTheme="majorHAnsi" w:hAnsiTheme="majorHAnsi"/>
          <w:bCs/>
          <w:noProof/>
          <w:lang w:val="es-ES_tradnl"/>
        </w:rPr>
      </w:pPr>
    </w:p>
    <w:p w14:paraId="091AE4B4" w14:textId="77777777" w:rsidR="0078467B" w:rsidRPr="0078467B" w:rsidRDefault="0078467B" w:rsidP="0078467B">
      <w:pPr>
        <w:spacing w:after="0" w:line="240" w:lineRule="auto"/>
        <w:ind w:left="426" w:hanging="426"/>
        <w:rPr>
          <w:rFonts w:asciiTheme="majorHAnsi" w:hAnsiTheme="majorHAnsi"/>
          <w:bCs/>
          <w:noProof/>
          <w:lang w:val="es-ES_tradnl"/>
        </w:rPr>
      </w:pPr>
      <w:r w:rsidRPr="0078467B">
        <w:rPr>
          <w:rFonts w:asciiTheme="majorHAnsi" w:hAnsiTheme="majorHAnsi"/>
          <w:bCs/>
          <w:noProof/>
          <w:lang w:val="es-ES_tradnl"/>
        </w:rPr>
        <w:t>83.</w:t>
      </w:r>
      <w:r w:rsidRPr="0078467B">
        <w:rPr>
          <w:rFonts w:asciiTheme="majorHAnsi" w:hAnsiTheme="majorHAnsi"/>
          <w:bCs/>
          <w:noProof/>
          <w:lang w:val="es-ES_tradnl"/>
        </w:rPr>
        <w:tab/>
      </w:r>
      <w:r w:rsidRPr="0078467B">
        <w:rPr>
          <w:rFonts w:asciiTheme="majorHAnsi" w:hAnsiTheme="majorHAnsi"/>
          <w:noProof/>
          <w:lang w:val="es-ES_tradnl"/>
        </w:rPr>
        <w:t xml:space="preserve">La </w:t>
      </w:r>
      <w:r w:rsidRPr="0078467B">
        <w:rPr>
          <w:rFonts w:asciiTheme="majorHAnsi" w:hAnsiTheme="majorHAnsi"/>
          <w:b/>
          <w:noProof/>
          <w:lang w:val="es-ES_tradnl"/>
        </w:rPr>
        <w:t>Secretaria General</w:t>
      </w:r>
      <w:r w:rsidRPr="0078467B">
        <w:rPr>
          <w:rFonts w:asciiTheme="majorHAnsi" w:hAnsiTheme="majorHAnsi"/>
          <w:noProof/>
          <w:lang w:val="es-ES_tradnl"/>
        </w:rPr>
        <w:t xml:space="preserve"> se comprometió a estudiar la viabilidad de actualizar los subanexos antes de la COP13, teniendo en cuenta los comentarios de las Partes Contratantes. A la Secretaría le </w:t>
      </w:r>
      <w:r w:rsidRPr="0078467B">
        <w:rPr>
          <w:rFonts w:asciiTheme="majorHAnsi" w:hAnsiTheme="majorHAnsi"/>
          <w:noProof/>
          <w:lang w:val="es-ES_tradnl"/>
        </w:rPr>
        <w:lastRenderedPageBreak/>
        <w:t>complacería participar bilateralmente con las Partes que desearan plantear cuestiones para sitios específicos.</w:t>
      </w:r>
    </w:p>
    <w:p w14:paraId="67C490E6" w14:textId="77777777" w:rsidR="0078467B" w:rsidRPr="0078467B" w:rsidRDefault="0078467B" w:rsidP="0078467B">
      <w:pPr>
        <w:spacing w:after="0" w:line="240" w:lineRule="auto"/>
        <w:ind w:left="426" w:hanging="426"/>
        <w:rPr>
          <w:rFonts w:asciiTheme="majorHAnsi" w:hAnsiTheme="majorHAnsi"/>
          <w:noProof/>
          <w:lang w:val="es-ES_tradnl"/>
        </w:rPr>
      </w:pPr>
    </w:p>
    <w:p w14:paraId="7AF7BAA4" w14:textId="77777777" w:rsidR="0078467B" w:rsidRPr="0078467B" w:rsidRDefault="0078467B" w:rsidP="0078467B">
      <w:pPr>
        <w:spacing w:after="0" w:line="240" w:lineRule="auto"/>
        <w:rPr>
          <w:rFonts w:asciiTheme="majorHAnsi" w:hAnsiTheme="majorHAnsi"/>
          <w:bCs/>
          <w:noProof/>
          <w:lang w:val="es-ES_tradnl"/>
        </w:rPr>
      </w:pPr>
    </w:p>
    <w:p w14:paraId="0CC025C9" w14:textId="77777777" w:rsidR="0078467B" w:rsidRPr="0078467B" w:rsidRDefault="0078467B" w:rsidP="0078467B">
      <w:pPr>
        <w:keepNext/>
        <w:pBdr>
          <w:top w:val="single" w:sz="4" w:space="1" w:color="auto"/>
          <w:left w:val="single" w:sz="4" w:space="4" w:color="auto"/>
          <w:bottom w:val="single" w:sz="4" w:space="0" w:color="auto"/>
          <w:right w:val="single" w:sz="4" w:space="4" w:color="auto"/>
        </w:pBdr>
        <w:spacing w:after="0" w:line="240" w:lineRule="auto"/>
        <w:ind w:left="425" w:hanging="425"/>
        <w:rPr>
          <w:rFonts w:asciiTheme="majorHAnsi" w:hAnsiTheme="majorHAnsi"/>
          <w:bCs/>
          <w:noProof/>
          <w:lang w:val="es-ES_tradnl"/>
        </w:rPr>
      </w:pPr>
      <w:r w:rsidRPr="0078467B">
        <w:rPr>
          <w:rFonts w:asciiTheme="majorHAnsi" w:hAnsiTheme="majorHAnsi"/>
          <w:bCs/>
          <w:noProof/>
          <w:lang w:val="es-ES_tradnl"/>
        </w:rPr>
        <w:t xml:space="preserve">Punto 19 del orden del día: Comunicación, fomento de capacidad, educación, concienciación y participación (CECoP) </w:t>
      </w:r>
    </w:p>
    <w:p w14:paraId="42763B67" w14:textId="77777777" w:rsidR="0078467B" w:rsidRPr="0078467B" w:rsidRDefault="0078467B" w:rsidP="0078467B">
      <w:pPr>
        <w:keepNext/>
        <w:pBdr>
          <w:top w:val="single" w:sz="4" w:space="1" w:color="auto"/>
          <w:left w:val="single" w:sz="4" w:space="4" w:color="auto"/>
          <w:bottom w:val="single" w:sz="4" w:space="0" w:color="auto"/>
          <w:right w:val="single" w:sz="4" w:space="4" w:color="auto"/>
        </w:pBdr>
        <w:spacing w:after="0" w:line="240" w:lineRule="auto"/>
        <w:ind w:left="425" w:hanging="425"/>
        <w:rPr>
          <w:rFonts w:asciiTheme="majorHAnsi" w:hAnsiTheme="majorHAnsi"/>
          <w:bCs/>
          <w:noProof/>
          <w:lang w:val="es-ES_tradnl"/>
        </w:rPr>
      </w:pPr>
    </w:p>
    <w:p w14:paraId="4CD1BEC6" w14:textId="77777777" w:rsidR="0078467B" w:rsidRPr="0078467B" w:rsidRDefault="0078467B" w:rsidP="0078467B">
      <w:pPr>
        <w:keepNext/>
        <w:pBdr>
          <w:top w:val="single" w:sz="4" w:space="1" w:color="auto"/>
          <w:left w:val="single" w:sz="4" w:space="4" w:color="auto"/>
          <w:bottom w:val="single" w:sz="4" w:space="0" w:color="auto"/>
          <w:right w:val="single" w:sz="4" w:space="4" w:color="auto"/>
        </w:pBdr>
        <w:spacing w:after="0" w:line="240" w:lineRule="auto"/>
        <w:ind w:left="425" w:hanging="425"/>
        <w:rPr>
          <w:rFonts w:asciiTheme="majorHAnsi" w:hAnsiTheme="majorHAnsi"/>
          <w:bCs/>
          <w:noProof/>
          <w:lang w:val="es-ES_tradnl"/>
        </w:rPr>
      </w:pPr>
      <w:r w:rsidRPr="0078467B">
        <w:rPr>
          <w:rFonts w:asciiTheme="majorHAnsi" w:hAnsiTheme="majorHAnsi"/>
          <w:bCs/>
          <w:noProof/>
          <w:lang w:val="es-ES_tradnl"/>
        </w:rPr>
        <w:t xml:space="preserve">11.1 Informe del Grupo de supervisión de las actividades de CECoP </w:t>
      </w:r>
    </w:p>
    <w:p w14:paraId="2590A266" w14:textId="77777777" w:rsidR="0078467B" w:rsidRPr="0078467B" w:rsidRDefault="0078467B" w:rsidP="0078467B">
      <w:pPr>
        <w:keepNext/>
        <w:pBdr>
          <w:top w:val="single" w:sz="4" w:space="1" w:color="auto"/>
          <w:left w:val="single" w:sz="4" w:space="4" w:color="auto"/>
          <w:bottom w:val="single" w:sz="4" w:space="0" w:color="auto"/>
          <w:right w:val="single" w:sz="4" w:space="4" w:color="auto"/>
        </w:pBdr>
        <w:spacing w:after="0" w:line="240" w:lineRule="auto"/>
        <w:ind w:left="425" w:hanging="425"/>
        <w:rPr>
          <w:rFonts w:asciiTheme="majorHAnsi" w:hAnsiTheme="majorHAnsi"/>
          <w:bCs/>
          <w:noProof/>
          <w:lang w:val="es-ES_tradnl"/>
        </w:rPr>
      </w:pPr>
    </w:p>
    <w:p w14:paraId="38B2EF2F" w14:textId="77777777" w:rsidR="0078467B" w:rsidRPr="0078467B" w:rsidRDefault="0078467B" w:rsidP="0078467B">
      <w:pPr>
        <w:keepNext/>
        <w:pBdr>
          <w:top w:val="single" w:sz="4" w:space="1" w:color="auto"/>
          <w:left w:val="single" w:sz="4" w:space="4" w:color="auto"/>
          <w:bottom w:val="single" w:sz="4" w:space="0" w:color="auto"/>
          <w:right w:val="single" w:sz="4" w:space="4" w:color="auto"/>
        </w:pBdr>
        <w:spacing w:after="0" w:line="240" w:lineRule="auto"/>
        <w:ind w:left="425" w:hanging="425"/>
        <w:rPr>
          <w:rFonts w:asciiTheme="majorHAnsi" w:hAnsiTheme="majorHAnsi"/>
          <w:bCs/>
          <w:noProof/>
          <w:lang w:val="es-ES_tradnl"/>
        </w:rPr>
      </w:pPr>
      <w:r w:rsidRPr="0078467B">
        <w:rPr>
          <w:rFonts w:asciiTheme="majorHAnsi" w:hAnsiTheme="majorHAnsi"/>
          <w:bCs/>
          <w:noProof/>
          <w:lang w:val="es-ES_tradnl"/>
        </w:rPr>
        <w:t xml:space="preserve">11.2 Informe del Grupo de trabajo sobre la aplicación de la CECoP </w:t>
      </w:r>
    </w:p>
    <w:p w14:paraId="438EA688" w14:textId="77777777" w:rsidR="0078467B" w:rsidRPr="0078467B" w:rsidRDefault="0078467B" w:rsidP="0078467B">
      <w:pPr>
        <w:spacing w:after="0" w:line="240" w:lineRule="auto"/>
        <w:rPr>
          <w:rFonts w:asciiTheme="majorHAnsi" w:eastAsiaTheme="minorHAnsi" w:hAnsiTheme="majorHAnsi"/>
          <w:noProof/>
          <w:lang w:val="es-ES_tradnl"/>
        </w:rPr>
      </w:pPr>
    </w:p>
    <w:p w14:paraId="52977BAF" w14:textId="77777777" w:rsidR="0078467B" w:rsidRPr="0078467B" w:rsidRDefault="0078467B" w:rsidP="0078467B">
      <w:pPr>
        <w:spacing w:after="0" w:line="240" w:lineRule="auto"/>
        <w:ind w:left="426" w:hanging="426"/>
        <w:rPr>
          <w:rFonts w:asciiTheme="majorHAnsi" w:eastAsiaTheme="minorHAnsi" w:hAnsiTheme="majorHAnsi"/>
          <w:noProof/>
          <w:lang w:val="es-ES_tradnl"/>
        </w:rPr>
      </w:pPr>
      <w:r w:rsidRPr="0078467B">
        <w:rPr>
          <w:rFonts w:asciiTheme="majorHAnsi" w:eastAsiaTheme="minorHAnsi" w:hAnsiTheme="majorHAnsi"/>
          <w:noProof/>
          <w:lang w:val="es-ES_tradnl"/>
        </w:rPr>
        <w:t>84.</w:t>
      </w:r>
      <w:r w:rsidRPr="0078467B">
        <w:rPr>
          <w:rFonts w:asciiTheme="majorHAnsi" w:eastAsiaTheme="minorHAnsi" w:hAnsiTheme="majorHAnsi"/>
          <w:noProof/>
          <w:lang w:val="es-ES_tradnl"/>
        </w:rPr>
        <w:tab/>
        <w:t xml:space="preserve">La </w:t>
      </w:r>
      <w:r w:rsidRPr="0078467B">
        <w:rPr>
          <w:rFonts w:asciiTheme="majorHAnsi" w:eastAsiaTheme="minorHAnsi" w:hAnsiTheme="majorHAnsi"/>
          <w:b/>
          <w:noProof/>
          <w:lang w:val="es-ES_tradnl"/>
        </w:rPr>
        <w:t>Presidencia del Grupo de supervisión de las actividades de CECoP</w:t>
      </w:r>
      <w:r w:rsidRPr="0078467B">
        <w:rPr>
          <w:rFonts w:asciiTheme="majorHAnsi" w:eastAsiaTheme="minorHAnsi" w:hAnsiTheme="majorHAnsi"/>
          <w:noProof/>
          <w:lang w:val="es-ES_tradnl"/>
        </w:rPr>
        <w:t xml:space="preserve"> (</w:t>
      </w:r>
      <w:r w:rsidRPr="0078467B">
        <w:rPr>
          <w:rFonts w:asciiTheme="majorHAnsi" w:eastAsiaTheme="minorHAnsi" w:hAnsiTheme="majorHAnsi"/>
          <w:b/>
          <w:noProof/>
          <w:lang w:val="es-ES_tradnl"/>
        </w:rPr>
        <w:t>Australia</w:t>
      </w:r>
      <w:r w:rsidRPr="0078467B">
        <w:rPr>
          <w:rFonts w:asciiTheme="majorHAnsi" w:eastAsiaTheme="minorHAnsi" w:hAnsiTheme="majorHAnsi"/>
          <w:noProof/>
          <w:lang w:val="es-ES_tradnl"/>
        </w:rPr>
        <w:t xml:space="preserve">) presentó brevemente el documento Doc. SC54-11.1, </w:t>
      </w:r>
      <w:r w:rsidRPr="0078467B">
        <w:rPr>
          <w:rFonts w:asciiTheme="majorHAnsi" w:eastAsiaTheme="minorHAnsi" w:hAnsiTheme="majorHAnsi"/>
          <w:i/>
          <w:noProof/>
          <w:lang w:val="es-ES_tradnl"/>
        </w:rPr>
        <w:t>C</w:t>
      </w:r>
      <w:r w:rsidRPr="0078467B">
        <w:rPr>
          <w:rFonts w:asciiTheme="majorHAnsi" w:hAnsiTheme="majorHAnsi"/>
          <w:bCs/>
          <w:i/>
          <w:noProof/>
          <w:lang w:val="es-ES_tradnl"/>
        </w:rPr>
        <w:t>omunicación, fomento de capacidad, educación, concienciación y participación (CECoP</w:t>
      </w:r>
      <w:r w:rsidRPr="0078467B">
        <w:rPr>
          <w:rFonts w:asciiTheme="majorHAnsi" w:eastAsiaTheme="minorHAnsi" w:hAnsiTheme="majorHAnsi"/>
          <w:i/>
          <w:noProof/>
          <w:lang w:val="es-ES_tradnl"/>
        </w:rPr>
        <w:t>): Informe de la Presidencia del Grupo de supervisión de las actividades de CECoP</w:t>
      </w:r>
      <w:r w:rsidRPr="0078467B">
        <w:rPr>
          <w:rFonts w:asciiTheme="majorHAnsi" w:eastAsiaTheme="minorHAnsi" w:hAnsiTheme="majorHAnsi"/>
          <w:noProof/>
          <w:lang w:val="es-ES_tradnl"/>
        </w:rPr>
        <w:t>, observando que el día anterior se había reunido con la Presidencia del Grupo de trabajo sobre la aplicación de la CECoP (Sudáfrica).</w:t>
      </w:r>
    </w:p>
    <w:p w14:paraId="1870BEF8" w14:textId="77777777" w:rsidR="0078467B" w:rsidRPr="0078467B" w:rsidRDefault="0078467B" w:rsidP="0078467B">
      <w:pPr>
        <w:spacing w:after="0" w:line="240" w:lineRule="auto"/>
        <w:ind w:left="426" w:hanging="426"/>
        <w:rPr>
          <w:rFonts w:asciiTheme="majorHAnsi" w:eastAsiaTheme="minorHAnsi" w:hAnsiTheme="majorHAnsi"/>
          <w:noProof/>
          <w:lang w:val="es-ES_tradnl"/>
        </w:rPr>
      </w:pPr>
    </w:p>
    <w:p w14:paraId="385AF421" w14:textId="77777777" w:rsidR="0078467B" w:rsidRPr="0078467B" w:rsidRDefault="0078467B" w:rsidP="0078467B">
      <w:pPr>
        <w:spacing w:after="0" w:line="240" w:lineRule="auto"/>
        <w:ind w:left="426" w:hanging="426"/>
        <w:rPr>
          <w:rFonts w:asciiTheme="majorHAnsi" w:eastAsiaTheme="minorHAnsi" w:hAnsiTheme="majorHAnsi"/>
          <w:noProof/>
          <w:lang w:val="es-ES_tradnl"/>
        </w:rPr>
      </w:pPr>
      <w:r w:rsidRPr="0078467B">
        <w:rPr>
          <w:rFonts w:asciiTheme="majorHAnsi" w:eastAsiaTheme="minorHAnsi" w:hAnsiTheme="majorHAnsi"/>
          <w:noProof/>
          <w:lang w:val="es-ES_tradnl"/>
        </w:rPr>
        <w:t>85.</w:t>
      </w:r>
      <w:r w:rsidRPr="0078467B">
        <w:rPr>
          <w:rFonts w:asciiTheme="majorHAnsi" w:eastAsiaTheme="minorHAnsi" w:hAnsiTheme="majorHAnsi"/>
          <w:noProof/>
          <w:lang w:val="es-ES_tradnl"/>
        </w:rPr>
        <w:tab/>
      </w:r>
      <w:r w:rsidRPr="0078467B">
        <w:rPr>
          <w:rFonts w:asciiTheme="majorHAnsi" w:hAnsiTheme="majorHAnsi"/>
          <w:bCs/>
          <w:noProof/>
          <w:lang w:val="es-ES_tradnl"/>
        </w:rPr>
        <w:t xml:space="preserve">La </w:t>
      </w:r>
      <w:r w:rsidRPr="0078467B">
        <w:rPr>
          <w:rFonts w:asciiTheme="majorHAnsi" w:hAnsiTheme="majorHAnsi"/>
          <w:b/>
          <w:bCs/>
          <w:noProof/>
          <w:lang w:val="es-ES_tradnl"/>
        </w:rPr>
        <w:t>Presidencia del Grupo de trabajo sobre la aplicación de la CECoP</w:t>
      </w:r>
      <w:r w:rsidRPr="0078467B">
        <w:rPr>
          <w:rFonts w:asciiTheme="majorHAnsi" w:hAnsiTheme="majorHAnsi"/>
          <w:bCs/>
          <w:noProof/>
          <w:lang w:val="es-ES_tradnl"/>
        </w:rPr>
        <w:t xml:space="preserve"> (</w:t>
      </w:r>
      <w:r w:rsidRPr="0078467B">
        <w:rPr>
          <w:rFonts w:asciiTheme="majorHAnsi" w:hAnsiTheme="majorHAnsi"/>
          <w:b/>
          <w:bCs/>
          <w:noProof/>
          <w:lang w:val="es-ES_tradnl"/>
        </w:rPr>
        <w:t>Sudáfrica</w:t>
      </w:r>
      <w:r w:rsidRPr="0078467B">
        <w:rPr>
          <w:rFonts w:asciiTheme="majorHAnsi" w:hAnsiTheme="majorHAnsi"/>
          <w:bCs/>
          <w:noProof/>
          <w:lang w:val="es-ES_tradnl"/>
        </w:rPr>
        <w:t>) recordó el mandato del grupo establecido en la Resolución XII.9 y resumió brevemente los progresos realizados. Esto incluyó lo siguiente:</w:t>
      </w:r>
    </w:p>
    <w:p w14:paraId="14546D22" w14:textId="77777777" w:rsidR="0078467B" w:rsidRPr="0078467B" w:rsidRDefault="0078467B" w:rsidP="0078467B">
      <w:pPr>
        <w:numPr>
          <w:ilvl w:val="0"/>
          <w:numId w:val="10"/>
        </w:numPr>
        <w:spacing w:after="0" w:line="240" w:lineRule="auto"/>
        <w:ind w:left="851" w:hanging="426"/>
        <w:contextualSpacing/>
        <w:rPr>
          <w:rFonts w:asciiTheme="majorHAnsi" w:hAnsiTheme="majorHAnsi"/>
          <w:bCs/>
          <w:noProof/>
          <w:lang w:val="es-ES_tradnl"/>
        </w:rPr>
      </w:pPr>
      <w:r w:rsidRPr="0078467B">
        <w:rPr>
          <w:rFonts w:asciiTheme="majorHAnsi" w:hAnsiTheme="majorHAnsi"/>
          <w:bCs/>
          <w:noProof/>
          <w:lang w:val="es-ES_tradnl"/>
        </w:rPr>
        <w:t>Desarrollo del Plan de acción de CECoP y su incorporación en el plan de trabajo de la Secretaría. Esa labor se llevó a cabo.</w:t>
      </w:r>
    </w:p>
    <w:p w14:paraId="05EB6E59" w14:textId="77777777" w:rsidR="0078467B" w:rsidRPr="0078467B" w:rsidRDefault="0078467B" w:rsidP="0078467B">
      <w:pPr>
        <w:numPr>
          <w:ilvl w:val="0"/>
          <w:numId w:val="10"/>
        </w:numPr>
        <w:spacing w:after="0" w:line="240" w:lineRule="auto"/>
        <w:ind w:left="851" w:hanging="426"/>
        <w:contextualSpacing/>
        <w:rPr>
          <w:rFonts w:asciiTheme="majorHAnsi" w:hAnsiTheme="majorHAnsi"/>
          <w:bCs/>
          <w:noProof/>
          <w:lang w:val="es-ES_tradnl"/>
        </w:rPr>
      </w:pPr>
      <w:r w:rsidRPr="0078467B">
        <w:rPr>
          <w:rFonts w:asciiTheme="majorHAnsi" w:hAnsiTheme="majorHAnsi"/>
          <w:bCs/>
          <w:noProof/>
          <w:lang w:val="es-ES_tradnl"/>
        </w:rPr>
        <w:t>Desarrollo, con el asesoramiento del GECT, de un nuevo enfoque de apoyo a las actividades de CECoP en la Convención para someterlo a la consideración de la COP13.</w:t>
      </w:r>
    </w:p>
    <w:p w14:paraId="33F4FA44" w14:textId="77777777" w:rsidR="0078467B" w:rsidRPr="0078467B" w:rsidRDefault="0078467B" w:rsidP="0078467B">
      <w:pPr>
        <w:spacing w:after="0" w:line="240" w:lineRule="auto"/>
        <w:ind w:left="426" w:hanging="1"/>
        <w:rPr>
          <w:rFonts w:asciiTheme="majorHAnsi" w:hAnsiTheme="majorHAnsi"/>
          <w:bCs/>
          <w:noProof/>
          <w:lang w:val="es-ES_tradnl"/>
        </w:rPr>
      </w:pPr>
      <w:r w:rsidRPr="0078467B">
        <w:rPr>
          <w:rFonts w:asciiTheme="majorHAnsi" w:hAnsiTheme="majorHAnsi"/>
          <w:bCs/>
          <w:noProof/>
          <w:lang w:val="es-ES_tradnl"/>
        </w:rPr>
        <w:t>El grupo propuso que el Comité Permanente disolviera el Grupo de trabajo sobre la aplicación de la CECoP y que el Grupo de supervisión de las actividades de CECoP concluyera su labor sobre el nuevo enfoque de las actividades de CECoP. Este trabajo tal vez no se habría concluido antes de la COP13, pero podría presentarse a la COP14, teniendo en cuenta la revisión del Plan Estratégico y tras el examen ulterior de la reunión SC57.</w:t>
      </w:r>
    </w:p>
    <w:p w14:paraId="5831C371" w14:textId="77777777" w:rsidR="0078467B" w:rsidRPr="0078467B" w:rsidRDefault="0078467B" w:rsidP="0078467B">
      <w:pPr>
        <w:spacing w:after="0" w:line="240" w:lineRule="auto"/>
        <w:rPr>
          <w:rFonts w:asciiTheme="majorHAnsi" w:hAnsiTheme="majorHAnsi"/>
          <w:bCs/>
          <w:noProof/>
          <w:lang w:val="es-ES_tradnl"/>
        </w:rPr>
      </w:pPr>
    </w:p>
    <w:p w14:paraId="08239D7F" w14:textId="77777777" w:rsidR="0078467B" w:rsidRPr="0078467B" w:rsidRDefault="0078467B" w:rsidP="0078467B">
      <w:pPr>
        <w:spacing w:after="0" w:line="240" w:lineRule="auto"/>
        <w:ind w:left="426" w:hanging="426"/>
        <w:rPr>
          <w:rFonts w:asciiTheme="majorHAnsi" w:hAnsiTheme="majorHAnsi"/>
          <w:bCs/>
          <w:noProof/>
          <w:lang w:val="es-ES_tradnl"/>
        </w:rPr>
      </w:pPr>
      <w:r w:rsidRPr="0078467B">
        <w:rPr>
          <w:rFonts w:asciiTheme="majorHAnsi" w:hAnsiTheme="majorHAnsi"/>
          <w:bCs/>
          <w:noProof/>
          <w:lang w:val="es-ES_tradnl"/>
        </w:rPr>
        <w:t>86.</w:t>
      </w:r>
      <w:r w:rsidRPr="0078467B">
        <w:rPr>
          <w:rFonts w:asciiTheme="majorHAnsi" w:hAnsiTheme="majorHAnsi"/>
          <w:bCs/>
          <w:noProof/>
          <w:lang w:val="es-ES_tradnl"/>
        </w:rPr>
        <w:tab/>
      </w:r>
      <w:r w:rsidRPr="0078467B">
        <w:rPr>
          <w:rFonts w:asciiTheme="majorHAnsi" w:hAnsiTheme="majorHAnsi"/>
          <w:b/>
          <w:bCs/>
          <w:noProof/>
          <w:lang w:val="es-ES_tradnl"/>
        </w:rPr>
        <w:t>Finlandia</w:t>
      </w:r>
      <w:r w:rsidRPr="0078467B">
        <w:rPr>
          <w:rFonts w:asciiTheme="majorHAnsi" w:hAnsiTheme="majorHAnsi"/>
          <w:bCs/>
          <w:noProof/>
          <w:lang w:val="es-ES_tradnl"/>
        </w:rPr>
        <w:t xml:space="preserve"> observó que el texto sobre las actividades de CECoP para su posible inclusión en un proyecto de resolución de la COP13 se había examinado con los Presidentes del Grupo de supervisión de las actividades de CECoP y el Grupo de trabajo sobre la aplicación de la CECoP. Esto había dado lugar a un acuerdo sobre cinco párrafos propuestos para su inserción en un proyecto de resolución pertinente.</w:t>
      </w:r>
    </w:p>
    <w:p w14:paraId="595DC3A3" w14:textId="77777777" w:rsidR="0078467B" w:rsidRPr="0078467B" w:rsidRDefault="0078467B" w:rsidP="0078467B">
      <w:pPr>
        <w:spacing w:after="0" w:line="240" w:lineRule="auto"/>
        <w:ind w:left="426" w:hanging="426"/>
        <w:rPr>
          <w:rFonts w:asciiTheme="majorHAnsi" w:hAnsiTheme="majorHAnsi"/>
          <w:bCs/>
          <w:noProof/>
          <w:lang w:val="es-ES_tradnl"/>
        </w:rPr>
      </w:pPr>
    </w:p>
    <w:p w14:paraId="7D272E63" w14:textId="77777777" w:rsidR="0078467B" w:rsidRPr="0078467B" w:rsidRDefault="0078467B" w:rsidP="0078467B">
      <w:pPr>
        <w:spacing w:after="0" w:line="240" w:lineRule="auto"/>
        <w:ind w:left="426" w:hanging="426"/>
        <w:rPr>
          <w:rFonts w:asciiTheme="majorHAnsi" w:hAnsiTheme="majorHAnsi"/>
          <w:bCs/>
          <w:noProof/>
          <w:lang w:val="es-ES_tradnl"/>
        </w:rPr>
      </w:pPr>
      <w:r w:rsidRPr="0078467B">
        <w:rPr>
          <w:rFonts w:asciiTheme="majorHAnsi" w:hAnsiTheme="majorHAnsi"/>
          <w:bCs/>
          <w:noProof/>
          <w:lang w:val="es-ES_tradnl"/>
        </w:rPr>
        <w:t>87.</w:t>
      </w:r>
      <w:r w:rsidRPr="0078467B">
        <w:rPr>
          <w:rFonts w:asciiTheme="majorHAnsi" w:hAnsiTheme="majorHAnsi"/>
          <w:bCs/>
          <w:noProof/>
          <w:lang w:val="es-ES_tradnl"/>
        </w:rPr>
        <w:tab/>
        <w:t xml:space="preserve">La </w:t>
      </w:r>
      <w:r w:rsidRPr="0078467B">
        <w:rPr>
          <w:rFonts w:asciiTheme="majorHAnsi" w:hAnsiTheme="majorHAnsi"/>
          <w:b/>
          <w:bCs/>
          <w:noProof/>
          <w:lang w:val="es-ES_tradnl"/>
        </w:rPr>
        <w:t>Presidencia del Grupo de supervisión de las actividades de CECoP</w:t>
      </w:r>
      <w:r w:rsidRPr="0078467B">
        <w:rPr>
          <w:rFonts w:asciiTheme="majorHAnsi" w:hAnsiTheme="majorHAnsi"/>
          <w:bCs/>
          <w:noProof/>
          <w:lang w:val="es-ES_tradnl"/>
        </w:rPr>
        <w:t xml:space="preserve"> confirmó el acuerdo del Grupo sobre las cuestiones planteadas por el Presidente del Grupo de trabajo sobre la aplicación de la CECoP y acogió con satisfacción el texto mencionado por Finlandia. El Grupo ayudaría a finalizar el texto y consultaría con la Secretaría sobre cuál sería el proyecto de resolución más apropiado para su inclusión.</w:t>
      </w:r>
    </w:p>
    <w:p w14:paraId="632B7490" w14:textId="77777777" w:rsidR="0078467B" w:rsidRPr="0078467B" w:rsidRDefault="0078467B" w:rsidP="0078467B">
      <w:pPr>
        <w:tabs>
          <w:tab w:val="left" w:pos="4074"/>
        </w:tabs>
        <w:spacing w:after="0" w:line="240" w:lineRule="auto"/>
        <w:ind w:left="426" w:hanging="1"/>
        <w:rPr>
          <w:rFonts w:asciiTheme="majorHAnsi" w:hAnsiTheme="majorHAnsi"/>
          <w:bCs/>
          <w:noProof/>
          <w:lang w:val="es-ES_tradnl"/>
        </w:rPr>
      </w:pPr>
    </w:p>
    <w:p w14:paraId="1523A809" w14:textId="77777777" w:rsidR="0078467B" w:rsidRPr="0078467B" w:rsidRDefault="0078467B" w:rsidP="0078467B">
      <w:pPr>
        <w:spacing w:after="0" w:line="240" w:lineRule="auto"/>
        <w:rPr>
          <w:rFonts w:asciiTheme="majorHAnsi" w:hAnsiTheme="majorHAnsi"/>
          <w:b/>
          <w:bCs/>
          <w:noProof/>
          <w:lang w:val="es-ES_tradnl"/>
        </w:rPr>
      </w:pPr>
      <w:r w:rsidRPr="0078467B">
        <w:rPr>
          <w:rFonts w:asciiTheme="majorHAnsi" w:hAnsiTheme="majorHAnsi"/>
          <w:b/>
          <w:bCs/>
          <w:noProof/>
          <w:lang w:val="es-ES_tradnl"/>
        </w:rPr>
        <w:t xml:space="preserve">Decisión SC54-04: El Comité Permanente aprobó los informes de la Presidencia del </w:t>
      </w:r>
      <w:r w:rsidRPr="0078467B">
        <w:rPr>
          <w:rFonts w:asciiTheme="majorHAnsi" w:eastAsiaTheme="minorHAnsi" w:hAnsiTheme="majorHAnsi"/>
          <w:b/>
          <w:noProof/>
          <w:lang w:val="es-ES_tradnl"/>
        </w:rPr>
        <w:t>Grupo de supervisión de las actividades de CECoP</w:t>
      </w:r>
      <w:r w:rsidRPr="0078467B">
        <w:rPr>
          <w:rFonts w:asciiTheme="majorHAnsi" w:hAnsiTheme="majorHAnsi"/>
          <w:b/>
          <w:bCs/>
          <w:noProof/>
          <w:lang w:val="es-ES_tradnl"/>
        </w:rPr>
        <w:t xml:space="preserve"> y de la Presidencia del Grupo de trabajo sobre la aplicación de la CECoP.</w:t>
      </w:r>
    </w:p>
    <w:p w14:paraId="13F20E14" w14:textId="77777777" w:rsidR="0078467B" w:rsidRPr="0078467B" w:rsidRDefault="0078467B" w:rsidP="0078467B">
      <w:pPr>
        <w:spacing w:after="0" w:line="240" w:lineRule="auto"/>
        <w:rPr>
          <w:rFonts w:asciiTheme="majorHAnsi" w:hAnsiTheme="majorHAnsi"/>
          <w:bCs/>
          <w:noProof/>
          <w:lang w:val="es-ES_tradnl"/>
        </w:rPr>
      </w:pPr>
    </w:p>
    <w:p w14:paraId="4812E092" w14:textId="77777777" w:rsidR="0078467B" w:rsidRPr="0078467B" w:rsidRDefault="0078467B" w:rsidP="0078467B">
      <w:pPr>
        <w:pBdr>
          <w:top w:val="single" w:sz="4" w:space="1" w:color="auto"/>
          <w:left w:val="single" w:sz="4" w:space="4" w:color="auto"/>
          <w:bottom w:val="single" w:sz="4" w:space="0" w:color="auto"/>
          <w:right w:val="single" w:sz="4" w:space="4" w:color="auto"/>
        </w:pBdr>
        <w:spacing w:after="0" w:line="240" w:lineRule="auto"/>
        <w:ind w:left="426" w:hanging="426"/>
        <w:rPr>
          <w:rFonts w:asciiTheme="majorHAnsi" w:hAnsiTheme="majorHAnsi"/>
          <w:bCs/>
          <w:noProof/>
          <w:lang w:val="es-ES_tradnl"/>
        </w:rPr>
      </w:pPr>
      <w:r w:rsidRPr="0078467B">
        <w:rPr>
          <w:rFonts w:asciiTheme="majorHAnsi" w:hAnsiTheme="majorHAnsi"/>
          <w:bCs/>
          <w:noProof/>
          <w:lang w:val="es-ES_tradnl"/>
        </w:rPr>
        <w:t xml:space="preserve">11.3 Actualización sobre el proyecto MAVA “Conservación del patrimonio natural y cultural en los humedales” </w:t>
      </w:r>
    </w:p>
    <w:p w14:paraId="173E0993" w14:textId="77777777" w:rsidR="0078467B" w:rsidRPr="0078467B" w:rsidRDefault="0078467B" w:rsidP="0078467B">
      <w:pPr>
        <w:spacing w:after="0" w:line="240" w:lineRule="auto"/>
        <w:ind w:left="426" w:hanging="426"/>
        <w:rPr>
          <w:rFonts w:asciiTheme="majorHAnsi" w:hAnsiTheme="majorHAnsi"/>
          <w:bCs/>
          <w:noProof/>
          <w:lang w:val="es-ES_tradnl"/>
        </w:rPr>
      </w:pPr>
    </w:p>
    <w:p w14:paraId="4201F949" w14:textId="77777777" w:rsidR="0078467B" w:rsidRPr="0078467B" w:rsidRDefault="0078467B" w:rsidP="0078467B">
      <w:pPr>
        <w:spacing w:after="0" w:line="240" w:lineRule="auto"/>
        <w:ind w:left="426" w:hanging="426"/>
        <w:rPr>
          <w:rFonts w:asciiTheme="majorHAnsi" w:hAnsiTheme="majorHAnsi"/>
          <w:bCs/>
          <w:noProof/>
          <w:lang w:val="es-ES_tradnl"/>
        </w:rPr>
      </w:pPr>
      <w:r w:rsidRPr="0078467B">
        <w:rPr>
          <w:rFonts w:asciiTheme="majorHAnsi" w:hAnsiTheme="majorHAnsi"/>
          <w:bCs/>
          <w:noProof/>
          <w:lang w:val="es-ES_tradnl"/>
        </w:rPr>
        <w:t xml:space="preserve">88. </w:t>
      </w:r>
      <w:r w:rsidRPr="0078467B">
        <w:rPr>
          <w:rFonts w:asciiTheme="majorHAnsi" w:hAnsiTheme="majorHAnsi"/>
          <w:bCs/>
          <w:noProof/>
          <w:lang w:val="es-ES_tradnl"/>
        </w:rPr>
        <w:tab/>
        <w:t xml:space="preserve">La </w:t>
      </w:r>
      <w:r w:rsidRPr="0078467B">
        <w:rPr>
          <w:rFonts w:asciiTheme="majorHAnsi" w:hAnsiTheme="majorHAnsi"/>
          <w:b/>
          <w:bCs/>
          <w:noProof/>
          <w:lang w:val="es-ES_tradnl"/>
        </w:rPr>
        <w:t>Secretaría</w:t>
      </w:r>
      <w:r w:rsidRPr="0078467B">
        <w:rPr>
          <w:rFonts w:asciiTheme="majorHAnsi" w:hAnsiTheme="majorHAnsi"/>
          <w:bCs/>
          <w:noProof/>
          <w:lang w:val="es-ES_tradnl"/>
        </w:rPr>
        <w:t xml:space="preserve"> presentó brevemente el documento Doc. SC54-11.3, </w:t>
      </w:r>
      <w:r w:rsidRPr="0078467B">
        <w:rPr>
          <w:rFonts w:asciiTheme="majorHAnsi" w:eastAsiaTheme="minorHAnsi" w:hAnsiTheme="majorHAnsi"/>
          <w:i/>
          <w:noProof/>
          <w:lang w:val="es-ES_tradnl"/>
        </w:rPr>
        <w:t>C</w:t>
      </w:r>
      <w:r w:rsidRPr="0078467B">
        <w:rPr>
          <w:rFonts w:asciiTheme="majorHAnsi" w:hAnsiTheme="majorHAnsi"/>
          <w:bCs/>
          <w:i/>
          <w:noProof/>
          <w:lang w:val="es-ES_tradnl"/>
        </w:rPr>
        <w:t>omunicación, fomento de capacidad, educación, concienciación y participación (CECoP</w:t>
      </w:r>
      <w:r w:rsidRPr="0078467B">
        <w:rPr>
          <w:rFonts w:asciiTheme="majorHAnsi" w:eastAsiaTheme="minorHAnsi" w:hAnsiTheme="majorHAnsi"/>
          <w:i/>
          <w:noProof/>
          <w:lang w:val="es-ES_tradnl"/>
        </w:rPr>
        <w:t xml:space="preserve">): </w:t>
      </w:r>
      <w:r w:rsidRPr="0078467B">
        <w:rPr>
          <w:rFonts w:asciiTheme="majorHAnsi" w:hAnsiTheme="majorHAnsi"/>
          <w:bCs/>
          <w:i/>
          <w:noProof/>
          <w:lang w:val="es-ES_tradnl"/>
        </w:rPr>
        <w:t xml:space="preserve">Actualización sobre el proyecto </w:t>
      </w:r>
      <w:r w:rsidRPr="0078467B">
        <w:rPr>
          <w:rFonts w:asciiTheme="majorHAnsi" w:hAnsiTheme="majorHAnsi"/>
          <w:bCs/>
          <w:i/>
          <w:noProof/>
          <w:lang w:val="es-ES_tradnl"/>
        </w:rPr>
        <w:lastRenderedPageBreak/>
        <w:t>MAVA “Conservación del patrimonio natural y cultural en los humedales”</w:t>
      </w:r>
      <w:r w:rsidRPr="0078467B">
        <w:rPr>
          <w:rFonts w:asciiTheme="majorHAnsi" w:hAnsiTheme="majorHAnsi"/>
          <w:bCs/>
          <w:noProof/>
          <w:lang w:val="es-ES_tradnl"/>
        </w:rPr>
        <w:t>. Se solicitó específicamente al Comité Permanente que formulara una recomendación para una decisión de la COP13 sobre el camino a seguir con respecto a la Red de cultura de Ramsar.</w:t>
      </w:r>
    </w:p>
    <w:p w14:paraId="60C537CA" w14:textId="77777777" w:rsidR="0078467B" w:rsidRPr="0078467B" w:rsidRDefault="0078467B" w:rsidP="0078467B">
      <w:pPr>
        <w:spacing w:after="0" w:line="240" w:lineRule="auto"/>
        <w:ind w:left="426" w:hanging="426"/>
        <w:rPr>
          <w:rFonts w:asciiTheme="majorHAnsi" w:hAnsiTheme="majorHAnsi"/>
          <w:bCs/>
          <w:noProof/>
          <w:lang w:val="es-ES_tradnl"/>
        </w:rPr>
      </w:pPr>
    </w:p>
    <w:p w14:paraId="08FA2B29" w14:textId="77777777" w:rsidR="0078467B" w:rsidRPr="0078467B" w:rsidRDefault="0078467B" w:rsidP="0078467B">
      <w:pPr>
        <w:spacing w:after="0" w:line="240" w:lineRule="auto"/>
        <w:ind w:left="426" w:hanging="426"/>
        <w:rPr>
          <w:rFonts w:asciiTheme="majorHAnsi" w:hAnsiTheme="majorHAnsi"/>
          <w:bCs/>
          <w:noProof/>
          <w:lang w:val="es-ES_tradnl"/>
        </w:rPr>
      </w:pPr>
      <w:r w:rsidRPr="0078467B">
        <w:rPr>
          <w:rFonts w:asciiTheme="majorHAnsi" w:hAnsiTheme="majorHAnsi"/>
          <w:bCs/>
          <w:noProof/>
          <w:lang w:val="es-ES_tradnl"/>
        </w:rPr>
        <w:t xml:space="preserve">89. </w:t>
      </w:r>
      <w:r w:rsidRPr="0078467B">
        <w:rPr>
          <w:rFonts w:asciiTheme="majorHAnsi" w:hAnsiTheme="majorHAnsi"/>
          <w:bCs/>
          <w:noProof/>
          <w:lang w:val="es-ES_tradnl"/>
        </w:rPr>
        <w:tab/>
        <w:t xml:space="preserve">La </w:t>
      </w:r>
      <w:r w:rsidRPr="0078467B">
        <w:rPr>
          <w:rFonts w:asciiTheme="majorHAnsi" w:hAnsiTheme="majorHAnsi"/>
          <w:b/>
          <w:bCs/>
          <w:noProof/>
          <w:lang w:val="es-ES_tradnl"/>
        </w:rPr>
        <w:t>Secretaria General</w:t>
      </w:r>
      <w:r w:rsidRPr="0078467B">
        <w:rPr>
          <w:rFonts w:asciiTheme="majorHAnsi" w:hAnsiTheme="majorHAnsi"/>
          <w:bCs/>
          <w:noProof/>
          <w:lang w:val="es-ES_tradnl"/>
        </w:rPr>
        <w:t xml:space="preserve"> subrayó que la Secretaría carecía del mandato y los recursos para apoyar la Red tras la conclusión del proyecto MAVA. Habría que abordar esta situación si las Partes Contratantes decidieran mantener la Red.</w:t>
      </w:r>
    </w:p>
    <w:p w14:paraId="00567128" w14:textId="77777777" w:rsidR="0078467B" w:rsidRPr="0078467B" w:rsidRDefault="0078467B" w:rsidP="0078467B">
      <w:pPr>
        <w:spacing w:after="0" w:line="240" w:lineRule="auto"/>
        <w:ind w:left="426" w:hanging="426"/>
        <w:rPr>
          <w:rFonts w:asciiTheme="majorHAnsi" w:hAnsiTheme="majorHAnsi"/>
          <w:bCs/>
          <w:noProof/>
          <w:lang w:val="es-ES_tradnl"/>
        </w:rPr>
      </w:pPr>
    </w:p>
    <w:p w14:paraId="0F3FB3EC" w14:textId="77777777" w:rsidR="0078467B" w:rsidRPr="0078467B" w:rsidRDefault="0078467B" w:rsidP="0078467B">
      <w:pPr>
        <w:spacing w:after="0" w:line="240" w:lineRule="auto"/>
        <w:ind w:left="426" w:hanging="426"/>
        <w:rPr>
          <w:rFonts w:asciiTheme="majorHAnsi" w:hAnsiTheme="majorHAnsi"/>
          <w:bCs/>
          <w:noProof/>
          <w:lang w:val="es-ES_tradnl"/>
        </w:rPr>
      </w:pPr>
      <w:r w:rsidRPr="0078467B">
        <w:rPr>
          <w:rFonts w:asciiTheme="majorHAnsi" w:hAnsiTheme="majorHAnsi"/>
          <w:bCs/>
          <w:noProof/>
          <w:lang w:val="es-ES_tradnl"/>
        </w:rPr>
        <w:t>90.</w:t>
      </w:r>
      <w:r w:rsidRPr="0078467B">
        <w:rPr>
          <w:rFonts w:asciiTheme="majorHAnsi" w:hAnsiTheme="majorHAnsi"/>
          <w:bCs/>
          <w:noProof/>
          <w:lang w:val="es-ES_tradnl"/>
        </w:rPr>
        <w:tab/>
      </w:r>
      <w:r w:rsidRPr="0078467B">
        <w:rPr>
          <w:rFonts w:asciiTheme="majorHAnsi" w:hAnsiTheme="majorHAnsi"/>
          <w:b/>
          <w:bCs/>
          <w:noProof/>
          <w:lang w:val="es-ES_tradnl"/>
        </w:rPr>
        <w:t>Eslovenia</w:t>
      </w:r>
      <w:r w:rsidRPr="0078467B">
        <w:rPr>
          <w:rFonts w:asciiTheme="majorHAnsi" w:hAnsiTheme="majorHAnsi"/>
          <w:bCs/>
          <w:noProof/>
          <w:lang w:val="es-ES_tradnl"/>
        </w:rPr>
        <w:t xml:space="preserve"> consideró que la Red había cumplido una función importante y pidió su continuación, con un mandato y una dirección claros y quizás con un título enmendado. El proyecto de resolución de la COP13 sobre los valores culturales (Doc. SC54-21.2) podría aportar un contexto adecuado para esto.</w:t>
      </w:r>
    </w:p>
    <w:p w14:paraId="19E6148B" w14:textId="77777777" w:rsidR="0078467B" w:rsidRPr="0078467B" w:rsidRDefault="0078467B" w:rsidP="0078467B">
      <w:pPr>
        <w:spacing w:after="0" w:line="240" w:lineRule="auto"/>
        <w:ind w:left="426" w:hanging="426"/>
        <w:rPr>
          <w:rFonts w:asciiTheme="majorHAnsi" w:hAnsiTheme="majorHAnsi"/>
          <w:bCs/>
          <w:noProof/>
          <w:lang w:val="es-ES_tradnl"/>
        </w:rPr>
      </w:pPr>
    </w:p>
    <w:p w14:paraId="2AAED5FF" w14:textId="77777777" w:rsidR="0078467B" w:rsidRPr="0078467B" w:rsidRDefault="0078467B" w:rsidP="0078467B">
      <w:pPr>
        <w:spacing w:after="0" w:line="240" w:lineRule="auto"/>
        <w:ind w:left="426" w:hanging="426"/>
        <w:rPr>
          <w:rFonts w:asciiTheme="majorHAnsi" w:hAnsiTheme="majorHAnsi"/>
          <w:bCs/>
          <w:noProof/>
          <w:lang w:val="es-ES_tradnl"/>
        </w:rPr>
      </w:pPr>
      <w:r w:rsidRPr="0078467B">
        <w:rPr>
          <w:rFonts w:asciiTheme="majorHAnsi" w:hAnsiTheme="majorHAnsi"/>
          <w:bCs/>
          <w:noProof/>
          <w:lang w:val="es-ES_tradnl"/>
        </w:rPr>
        <w:t>91.</w:t>
      </w:r>
      <w:r w:rsidRPr="0078467B">
        <w:rPr>
          <w:rFonts w:asciiTheme="majorHAnsi" w:hAnsiTheme="majorHAnsi"/>
          <w:bCs/>
          <w:noProof/>
          <w:lang w:val="es-ES_tradnl"/>
        </w:rPr>
        <w:tab/>
        <w:t xml:space="preserve">El </w:t>
      </w:r>
      <w:r w:rsidRPr="0078467B">
        <w:rPr>
          <w:rFonts w:asciiTheme="majorHAnsi" w:hAnsiTheme="majorHAnsi"/>
          <w:b/>
          <w:bCs/>
          <w:noProof/>
          <w:lang w:val="es-ES_tradnl"/>
        </w:rPr>
        <w:t>Senegal</w:t>
      </w:r>
      <w:r w:rsidRPr="0078467B">
        <w:rPr>
          <w:rFonts w:asciiTheme="majorHAnsi" w:hAnsiTheme="majorHAnsi"/>
          <w:bCs/>
          <w:noProof/>
          <w:lang w:val="es-ES_tradnl"/>
        </w:rPr>
        <w:t xml:space="preserve"> acogió con agrado el documento Doc. SC54-11.3 que respondía a las inquietudes planteadas en la reunión SC53.</w:t>
      </w:r>
    </w:p>
    <w:p w14:paraId="105457D6" w14:textId="77777777" w:rsidR="0078467B" w:rsidRPr="0078467B" w:rsidRDefault="0078467B" w:rsidP="0078467B">
      <w:pPr>
        <w:spacing w:after="0" w:line="240" w:lineRule="auto"/>
        <w:ind w:left="426" w:hanging="426"/>
        <w:rPr>
          <w:rFonts w:asciiTheme="majorHAnsi" w:hAnsiTheme="majorHAnsi"/>
          <w:bCs/>
          <w:noProof/>
          <w:lang w:val="es-ES_tradnl"/>
        </w:rPr>
      </w:pPr>
    </w:p>
    <w:p w14:paraId="0EBA5B47" w14:textId="77777777" w:rsidR="0078467B" w:rsidRPr="0078467B" w:rsidRDefault="0078467B" w:rsidP="0078467B">
      <w:pPr>
        <w:spacing w:after="0" w:line="240" w:lineRule="auto"/>
        <w:ind w:left="426" w:hanging="426"/>
        <w:rPr>
          <w:rFonts w:asciiTheme="majorHAnsi" w:hAnsiTheme="majorHAnsi"/>
          <w:bCs/>
          <w:noProof/>
          <w:lang w:val="es-ES_tradnl"/>
        </w:rPr>
      </w:pPr>
      <w:r w:rsidRPr="0078467B">
        <w:rPr>
          <w:rFonts w:asciiTheme="majorHAnsi" w:hAnsiTheme="majorHAnsi"/>
          <w:bCs/>
          <w:noProof/>
          <w:lang w:val="es-ES_tradnl"/>
        </w:rPr>
        <w:t xml:space="preserve">92. </w:t>
      </w:r>
      <w:r w:rsidRPr="0078467B">
        <w:rPr>
          <w:rFonts w:asciiTheme="majorHAnsi" w:hAnsiTheme="majorHAnsi"/>
          <w:bCs/>
          <w:noProof/>
          <w:lang w:val="es-ES_tradnl"/>
        </w:rPr>
        <w:tab/>
      </w:r>
      <w:r w:rsidRPr="0078467B">
        <w:rPr>
          <w:rFonts w:asciiTheme="majorHAnsi" w:hAnsiTheme="majorHAnsi"/>
          <w:b/>
          <w:bCs/>
          <w:noProof/>
          <w:lang w:val="es-ES_tradnl"/>
        </w:rPr>
        <w:t>Suiza</w:t>
      </w:r>
      <w:r w:rsidRPr="0078467B">
        <w:rPr>
          <w:rFonts w:asciiTheme="majorHAnsi" w:hAnsiTheme="majorHAnsi"/>
          <w:bCs/>
          <w:noProof/>
          <w:lang w:val="es-ES_tradnl"/>
        </w:rPr>
        <w:t xml:space="preserve"> pidió la realización de trabajo interregional sobre la cuestión de los valores culturales de los humedales y sugirió que las Partes Contratantes identificaran ejemplos de tales valores para que se utilizaran en los materiales de comunicación relacionados con la COP13.</w:t>
      </w:r>
    </w:p>
    <w:p w14:paraId="1E4C5E8E" w14:textId="77777777" w:rsidR="0078467B" w:rsidRPr="0078467B" w:rsidRDefault="0078467B" w:rsidP="0078467B">
      <w:pPr>
        <w:spacing w:after="0" w:line="240" w:lineRule="auto"/>
        <w:ind w:left="426" w:hanging="426"/>
        <w:rPr>
          <w:rFonts w:asciiTheme="majorHAnsi" w:hAnsiTheme="majorHAnsi"/>
          <w:bCs/>
          <w:noProof/>
          <w:lang w:val="es-ES_tradnl"/>
        </w:rPr>
      </w:pPr>
    </w:p>
    <w:p w14:paraId="72D4240E" w14:textId="77777777" w:rsidR="0078467B" w:rsidRPr="0078467B" w:rsidRDefault="0078467B" w:rsidP="0078467B">
      <w:pPr>
        <w:spacing w:after="0" w:line="240" w:lineRule="auto"/>
        <w:ind w:left="426" w:hanging="426"/>
        <w:rPr>
          <w:rFonts w:asciiTheme="majorHAnsi" w:hAnsiTheme="majorHAnsi"/>
          <w:bCs/>
          <w:noProof/>
          <w:lang w:val="es-ES_tradnl"/>
        </w:rPr>
      </w:pPr>
      <w:r w:rsidRPr="0078467B">
        <w:rPr>
          <w:rFonts w:asciiTheme="majorHAnsi" w:hAnsiTheme="majorHAnsi"/>
          <w:bCs/>
          <w:noProof/>
          <w:lang w:val="es-ES_tradnl"/>
        </w:rPr>
        <w:t xml:space="preserve">93. </w:t>
      </w:r>
      <w:r w:rsidRPr="0078467B">
        <w:rPr>
          <w:rFonts w:asciiTheme="majorHAnsi" w:hAnsiTheme="majorHAnsi"/>
          <w:bCs/>
          <w:noProof/>
          <w:lang w:val="es-ES_tradnl"/>
        </w:rPr>
        <w:tab/>
        <w:t xml:space="preserve">La </w:t>
      </w:r>
      <w:r w:rsidRPr="0078467B">
        <w:rPr>
          <w:rFonts w:asciiTheme="majorHAnsi" w:hAnsiTheme="majorHAnsi"/>
          <w:b/>
          <w:bCs/>
          <w:noProof/>
          <w:lang w:val="es-ES_tradnl"/>
        </w:rPr>
        <w:t>Presidencia</w:t>
      </w:r>
      <w:r w:rsidRPr="0078467B">
        <w:rPr>
          <w:rFonts w:asciiTheme="majorHAnsi" w:hAnsiTheme="majorHAnsi"/>
          <w:bCs/>
          <w:noProof/>
          <w:lang w:val="es-ES_tradnl"/>
        </w:rPr>
        <w:t xml:space="preserve"> solicitó a Eslovenia que colaborara con los patrocinadores del proyecto de resolución contenido en el documento Doc. SC54-21.2 y otras Partes Contratantes interesadas para que presentaran una propuesta específica para su consideración posterior por el Comité Permanente.</w:t>
      </w:r>
    </w:p>
    <w:p w14:paraId="4F782F50" w14:textId="77777777" w:rsidR="0078467B" w:rsidRPr="0078467B" w:rsidRDefault="0078467B" w:rsidP="0078467B">
      <w:pPr>
        <w:spacing w:after="0" w:line="240" w:lineRule="auto"/>
        <w:rPr>
          <w:rFonts w:asciiTheme="majorHAnsi" w:hAnsiTheme="majorHAnsi"/>
          <w:bCs/>
          <w:noProof/>
          <w:lang w:val="es-ES_tradnl"/>
        </w:rPr>
      </w:pPr>
    </w:p>
    <w:p w14:paraId="50BBDE36" w14:textId="77777777" w:rsidR="0078467B" w:rsidRPr="0078467B" w:rsidRDefault="0078467B" w:rsidP="0078467B">
      <w:pPr>
        <w:pBdr>
          <w:top w:val="single" w:sz="4" w:space="3" w:color="auto"/>
          <w:left w:val="single" w:sz="4" w:space="4" w:color="auto"/>
          <w:bottom w:val="single" w:sz="4" w:space="3" w:color="auto"/>
          <w:right w:val="single" w:sz="4" w:space="4" w:color="auto"/>
        </w:pBdr>
        <w:spacing w:after="0" w:line="240" w:lineRule="auto"/>
        <w:ind w:left="426" w:hanging="426"/>
        <w:contextualSpacing/>
        <w:rPr>
          <w:rFonts w:cs="Calibri"/>
          <w:bCs/>
          <w:noProof/>
          <w:lang w:val="es-ES_tradnl"/>
        </w:rPr>
      </w:pPr>
      <w:r w:rsidRPr="0078467B">
        <w:rPr>
          <w:rFonts w:asciiTheme="majorHAnsi" w:hAnsiTheme="majorHAnsi"/>
          <w:bCs/>
          <w:noProof/>
          <w:lang w:val="es-ES_tradnl"/>
        </w:rPr>
        <w:t xml:space="preserve">Punto 17 del orden del día: Plan de trabajo sobre la movilización de recursos de la Convención de </w:t>
      </w:r>
      <w:r w:rsidRPr="0078467B">
        <w:rPr>
          <w:rFonts w:cs="Calibri"/>
          <w:bCs/>
          <w:noProof/>
          <w:lang w:val="es-ES_tradnl"/>
        </w:rPr>
        <w:t>Ramsar</w:t>
      </w:r>
    </w:p>
    <w:p w14:paraId="5248A8C4" w14:textId="77777777" w:rsidR="0078467B" w:rsidRPr="0078467B" w:rsidRDefault="0078467B" w:rsidP="0078467B">
      <w:pPr>
        <w:spacing w:after="0" w:line="240" w:lineRule="auto"/>
        <w:ind w:left="426" w:hanging="426"/>
        <w:contextualSpacing/>
        <w:rPr>
          <w:rFonts w:cs="Calibri"/>
          <w:bCs/>
          <w:noProof/>
          <w:lang w:val="es-ES_tradnl"/>
        </w:rPr>
      </w:pPr>
    </w:p>
    <w:p w14:paraId="487F374D" w14:textId="77777777" w:rsidR="0078467B" w:rsidRPr="0078467B" w:rsidRDefault="0078467B" w:rsidP="0078467B">
      <w:pPr>
        <w:spacing w:after="0" w:line="240" w:lineRule="auto"/>
        <w:ind w:left="426" w:hanging="426"/>
        <w:contextualSpacing/>
        <w:rPr>
          <w:rFonts w:cs="Calibri"/>
          <w:bCs/>
          <w:noProof/>
          <w:lang w:val="es-ES_tradnl"/>
        </w:rPr>
      </w:pPr>
      <w:r w:rsidRPr="0078467B">
        <w:rPr>
          <w:rFonts w:cs="Calibri"/>
          <w:bCs/>
          <w:noProof/>
          <w:lang w:val="es-ES_tradnl"/>
        </w:rPr>
        <w:t>94.</w:t>
      </w:r>
      <w:r w:rsidRPr="0078467B">
        <w:rPr>
          <w:rFonts w:cs="Calibri"/>
          <w:bCs/>
          <w:noProof/>
          <w:lang w:val="es-ES_tradnl"/>
        </w:rPr>
        <w:tab/>
        <w:t xml:space="preserve">La </w:t>
      </w:r>
      <w:r w:rsidRPr="0078467B">
        <w:rPr>
          <w:rFonts w:cs="Calibri"/>
          <w:b/>
          <w:bCs/>
          <w:noProof/>
          <w:lang w:val="es-ES_tradnl"/>
        </w:rPr>
        <w:t>Presidencia</w:t>
      </w:r>
      <w:r w:rsidRPr="0078467B">
        <w:rPr>
          <w:rFonts w:cs="Calibri"/>
          <w:bCs/>
          <w:noProof/>
          <w:lang w:val="es-ES_tradnl"/>
        </w:rPr>
        <w:t xml:space="preserve"> invitó a que se formularan comentarios sobre el documento Doc. SC54-17, </w:t>
      </w:r>
      <w:r w:rsidRPr="0078467B">
        <w:rPr>
          <w:rFonts w:asciiTheme="majorHAnsi" w:hAnsiTheme="majorHAnsi"/>
          <w:bCs/>
          <w:i/>
          <w:noProof/>
          <w:lang w:val="es-ES_tradnl"/>
        </w:rPr>
        <w:t xml:space="preserve">Plan de trabajo sobre la movilización de recursos de la Convención de </w:t>
      </w:r>
      <w:r w:rsidRPr="0078467B">
        <w:rPr>
          <w:rFonts w:cs="Calibri"/>
          <w:bCs/>
          <w:i/>
          <w:noProof/>
          <w:lang w:val="es-ES_tradnl"/>
        </w:rPr>
        <w:t>Ramsar</w:t>
      </w:r>
      <w:r w:rsidRPr="0078467B">
        <w:rPr>
          <w:rFonts w:cs="Calibri"/>
          <w:bCs/>
          <w:noProof/>
          <w:lang w:val="es-ES_tradnl"/>
        </w:rPr>
        <w:t>. Entre las cuestiones planteadas estaban las siguientes:</w:t>
      </w:r>
    </w:p>
    <w:p w14:paraId="5379657B" w14:textId="77777777" w:rsidR="0078467B" w:rsidRPr="0078467B" w:rsidRDefault="0078467B" w:rsidP="0078467B">
      <w:pPr>
        <w:spacing w:after="0" w:line="240" w:lineRule="auto"/>
        <w:ind w:left="426" w:hanging="426"/>
        <w:contextualSpacing/>
        <w:rPr>
          <w:rFonts w:cs="Calibri"/>
          <w:bCs/>
          <w:noProof/>
          <w:lang w:val="es-ES_tradnl"/>
        </w:rPr>
      </w:pPr>
    </w:p>
    <w:p w14:paraId="7336F7B9" w14:textId="77777777" w:rsidR="0078467B" w:rsidRPr="0078467B" w:rsidRDefault="0078467B" w:rsidP="0078467B">
      <w:pPr>
        <w:numPr>
          <w:ilvl w:val="0"/>
          <w:numId w:val="11"/>
        </w:numPr>
        <w:spacing w:after="0" w:line="240" w:lineRule="auto"/>
        <w:ind w:left="709" w:hanging="283"/>
        <w:contextualSpacing/>
        <w:rPr>
          <w:rFonts w:cs="Calibri"/>
          <w:bCs/>
          <w:noProof/>
          <w:lang w:val="es-ES_tradnl"/>
        </w:rPr>
      </w:pPr>
      <w:r w:rsidRPr="0078467B">
        <w:rPr>
          <w:rFonts w:cs="Calibri"/>
          <w:bCs/>
          <w:noProof/>
          <w:lang w:val="es-ES_tradnl"/>
        </w:rPr>
        <w:t xml:space="preserve">Las Partes Contratantes (el </w:t>
      </w:r>
      <w:r w:rsidRPr="0078467B">
        <w:rPr>
          <w:rFonts w:cs="Calibri"/>
          <w:b/>
          <w:bCs/>
          <w:noProof/>
          <w:lang w:val="es-ES_tradnl"/>
        </w:rPr>
        <w:t>Canadá</w:t>
      </w:r>
      <w:r w:rsidRPr="0078467B">
        <w:rPr>
          <w:rFonts w:cs="Calibri"/>
          <w:bCs/>
          <w:noProof/>
          <w:lang w:val="es-ES_tradnl"/>
        </w:rPr>
        <w:t xml:space="preserve">, los </w:t>
      </w:r>
      <w:r w:rsidRPr="0078467B">
        <w:rPr>
          <w:rFonts w:cs="Calibri"/>
          <w:b/>
          <w:bCs/>
          <w:noProof/>
          <w:lang w:val="es-ES_tradnl"/>
        </w:rPr>
        <w:t>Estados Unidos de América</w:t>
      </w:r>
      <w:r w:rsidRPr="0078467B">
        <w:rPr>
          <w:rFonts w:cs="Calibri"/>
          <w:bCs/>
          <w:noProof/>
          <w:lang w:val="es-ES_tradnl"/>
        </w:rPr>
        <w:t>) todavía tenían que establecer las prioridades del presupuesto complementario para el próximo trienio.</w:t>
      </w:r>
    </w:p>
    <w:p w14:paraId="1ECA5E75" w14:textId="77777777" w:rsidR="0078467B" w:rsidRPr="0078467B" w:rsidRDefault="0078467B" w:rsidP="0078467B">
      <w:pPr>
        <w:spacing w:after="0" w:line="240" w:lineRule="auto"/>
        <w:ind w:left="709"/>
        <w:contextualSpacing/>
        <w:rPr>
          <w:rFonts w:cs="Calibri"/>
          <w:bCs/>
          <w:noProof/>
          <w:lang w:val="es-ES_tradnl"/>
        </w:rPr>
      </w:pPr>
    </w:p>
    <w:p w14:paraId="549677DC" w14:textId="77777777" w:rsidR="0078467B" w:rsidRPr="0078467B" w:rsidRDefault="0078467B" w:rsidP="0078467B">
      <w:pPr>
        <w:numPr>
          <w:ilvl w:val="0"/>
          <w:numId w:val="11"/>
        </w:numPr>
        <w:spacing w:after="0" w:line="240" w:lineRule="auto"/>
        <w:ind w:left="709" w:hanging="283"/>
        <w:contextualSpacing/>
        <w:rPr>
          <w:rFonts w:cs="Calibri"/>
          <w:bCs/>
          <w:noProof/>
          <w:lang w:val="es-ES_tradnl"/>
        </w:rPr>
      </w:pPr>
      <w:r w:rsidRPr="0078467B">
        <w:rPr>
          <w:rFonts w:cs="Calibri"/>
          <w:bCs/>
          <w:noProof/>
          <w:lang w:val="es-ES_tradnl"/>
        </w:rPr>
        <w:t>La inclusión de un proyecto de resolución correspondiente para la COP13 reforzaría el documento (</w:t>
      </w:r>
      <w:r w:rsidRPr="0078467B">
        <w:rPr>
          <w:rFonts w:cs="Calibri"/>
          <w:b/>
          <w:bCs/>
          <w:noProof/>
          <w:lang w:val="es-ES_tradnl"/>
        </w:rPr>
        <w:t>Botswana</w:t>
      </w:r>
      <w:r w:rsidRPr="0078467B">
        <w:rPr>
          <w:rFonts w:cs="Calibri"/>
          <w:bCs/>
          <w:noProof/>
          <w:lang w:val="es-ES_tradnl"/>
        </w:rPr>
        <w:t>).</w:t>
      </w:r>
    </w:p>
    <w:p w14:paraId="2B810618" w14:textId="77777777" w:rsidR="0078467B" w:rsidRPr="0078467B" w:rsidRDefault="0078467B" w:rsidP="0078467B">
      <w:pPr>
        <w:spacing w:after="0" w:line="240" w:lineRule="auto"/>
        <w:rPr>
          <w:rFonts w:cs="Calibri"/>
          <w:bCs/>
          <w:noProof/>
          <w:lang w:val="es-ES_tradnl"/>
        </w:rPr>
      </w:pPr>
    </w:p>
    <w:p w14:paraId="0FD39206" w14:textId="77777777" w:rsidR="0078467B" w:rsidRPr="0078467B" w:rsidRDefault="0078467B" w:rsidP="0078467B">
      <w:pPr>
        <w:numPr>
          <w:ilvl w:val="0"/>
          <w:numId w:val="11"/>
        </w:numPr>
        <w:spacing w:after="0" w:line="240" w:lineRule="auto"/>
        <w:ind w:left="709" w:hanging="283"/>
        <w:contextualSpacing/>
        <w:rPr>
          <w:rFonts w:cs="Calibri"/>
          <w:bCs/>
          <w:noProof/>
          <w:lang w:val="es-ES_tradnl"/>
        </w:rPr>
      </w:pPr>
      <w:r w:rsidRPr="0078467B">
        <w:rPr>
          <w:rFonts w:cs="Calibri"/>
          <w:bCs/>
          <w:noProof/>
          <w:lang w:val="es-ES_tradnl"/>
        </w:rPr>
        <w:t>El documento requería de mayor profundidad y detalle para ser una estrategia de movilización de recursos plenamente desarrollada y se beneficiaría si tuviera más en cuenta el trabajo previo realizado por la Secretaría de Ramsar sobre este tema, la experiencia de otras instituciones y foros, así como los objetivos mundiales post-2020 (</w:t>
      </w:r>
      <w:r w:rsidRPr="0078467B">
        <w:rPr>
          <w:rFonts w:cs="Calibri"/>
          <w:b/>
          <w:bCs/>
          <w:noProof/>
          <w:lang w:val="es-ES_tradnl"/>
        </w:rPr>
        <w:t>Francia</w:t>
      </w:r>
      <w:r w:rsidRPr="0078467B">
        <w:rPr>
          <w:rFonts w:cs="Calibri"/>
          <w:bCs/>
          <w:noProof/>
          <w:lang w:val="es-ES_tradnl"/>
        </w:rPr>
        <w:t xml:space="preserve">, el </w:t>
      </w:r>
      <w:r w:rsidRPr="0078467B">
        <w:rPr>
          <w:rFonts w:cs="Calibri"/>
          <w:b/>
          <w:bCs/>
          <w:noProof/>
          <w:lang w:val="es-ES_tradnl"/>
        </w:rPr>
        <w:t>Senegal</w:t>
      </w:r>
      <w:r w:rsidRPr="0078467B">
        <w:rPr>
          <w:rFonts w:cs="Calibri"/>
          <w:bCs/>
          <w:noProof/>
          <w:lang w:val="es-ES_tradnl"/>
        </w:rPr>
        <w:t xml:space="preserve">, </w:t>
      </w:r>
      <w:r w:rsidRPr="0078467B">
        <w:rPr>
          <w:rFonts w:cs="Calibri"/>
          <w:b/>
          <w:bCs/>
          <w:noProof/>
          <w:lang w:val="es-ES_tradnl"/>
        </w:rPr>
        <w:t>Suiza</w:t>
      </w:r>
      <w:r w:rsidRPr="0078467B">
        <w:rPr>
          <w:rFonts w:cs="Calibri"/>
          <w:bCs/>
          <w:noProof/>
          <w:lang w:val="es-ES_tradnl"/>
        </w:rPr>
        <w:t>).</w:t>
      </w:r>
    </w:p>
    <w:p w14:paraId="4295B8B6" w14:textId="77777777" w:rsidR="0078467B" w:rsidRPr="0078467B" w:rsidRDefault="0078467B" w:rsidP="0078467B">
      <w:pPr>
        <w:spacing w:after="0" w:line="240" w:lineRule="auto"/>
        <w:rPr>
          <w:rFonts w:cs="Calibri"/>
          <w:bCs/>
          <w:noProof/>
          <w:lang w:val="es-ES_tradnl"/>
        </w:rPr>
      </w:pPr>
    </w:p>
    <w:p w14:paraId="04DBF15E" w14:textId="77777777" w:rsidR="0078467B" w:rsidRPr="0078467B" w:rsidRDefault="0078467B" w:rsidP="0078467B">
      <w:pPr>
        <w:numPr>
          <w:ilvl w:val="0"/>
          <w:numId w:val="11"/>
        </w:numPr>
        <w:spacing w:after="0" w:line="240" w:lineRule="auto"/>
        <w:ind w:left="709" w:hanging="283"/>
        <w:contextualSpacing/>
        <w:rPr>
          <w:rFonts w:cs="Calibri"/>
          <w:bCs/>
          <w:noProof/>
          <w:lang w:val="es-ES_tradnl"/>
        </w:rPr>
      </w:pPr>
      <w:r w:rsidRPr="0078467B">
        <w:rPr>
          <w:rFonts w:cs="Calibri"/>
          <w:bCs/>
          <w:noProof/>
          <w:lang w:val="es-ES_tradnl"/>
        </w:rPr>
        <w:t>La cuestión del riesgo para la reputación de la Convención debería considerarse al contemplar la interacción con empresas del sector privado (</w:t>
      </w:r>
      <w:r w:rsidRPr="0078467B">
        <w:rPr>
          <w:rFonts w:cs="Calibri"/>
          <w:b/>
          <w:bCs/>
          <w:noProof/>
          <w:lang w:val="es-ES_tradnl"/>
        </w:rPr>
        <w:t>Francia</w:t>
      </w:r>
      <w:r w:rsidRPr="0078467B">
        <w:rPr>
          <w:rFonts w:cs="Calibri"/>
          <w:bCs/>
          <w:noProof/>
          <w:lang w:val="es-ES_tradnl"/>
        </w:rPr>
        <w:t>).</w:t>
      </w:r>
    </w:p>
    <w:p w14:paraId="04C74F0F" w14:textId="77777777" w:rsidR="0078467B" w:rsidRPr="0078467B" w:rsidRDefault="0078467B" w:rsidP="0078467B">
      <w:pPr>
        <w:spacing w:after="0" w:line="240" w:lineRule="auto"/>
        <w:rPr>
          <w:rFonts w:cs="Calibri"/>
          <w:bCs/>
          <w:noProof/>
          <w:lang w:val="es-ES_tradnl"/>
        </w:rPr>
      </w:pPr>
    </w:p>
    <w:p w14:paraId="6D30B6DB" w14:textId="77777777" w:rsidR="0078467B" w:rsidRPr="0078467B" w:rsidRDefault="0078467B" w:rsidP="0078467B">
      <w:pPr>
        <w:numPr>
          <w:ilvl w:val="0"/>
          <w:numId w:val="11"/>
        </w:numPr>
        <w:spacing w:after="0" w:line="240" w:lineRule="auto"/>
        <w:ind w:left="709" w:hanging="283"/>
        <w:contextualSpacing/>
        <w:rPr>
          <w:rFonts w:cs="Calibri"/>
          <w:bCs/>
          <w:noProof/>
          <w:lang w:val="es-ES_tradnl"/>
        </w:rPr>
      </w:pPr>
      <w:r w:rsidRPr="0078467B">
        <w:rPr>
          <w:rFonts w:cs="Calibri"/>
          <w:bCs/>
          <w:noProof/>
          <w:lang w:val="es-ES_tradnl"/>
        </w:rPr>
        <w:t>Una estrategia de movilización de recursos bien desarrollada sería valiosa para las Partes Contratantes de Oceanía y el Caribe (</w:t>
      </w:r>
      <w:r w:rsidRPr="0078467B">
        <w:rPr>
          <w:rFonts w:cs="Calibri"/>
          <w:b/>
          <w:bCs/>
          <w:noProof/>
          <w:lang w:val="es-ES_tradnl"/>
        </w:rPr>
        <w:t>Australia</w:t>
      </w:r>
      <w:r w:rsidRPr="0078467B">
        <w:rPr>
          <w:rFonts w:cs="Calibri"/>
          <w:bCs/>
          <w:noProof/>
          <w:lang w:val="es-ES_tradnl"/>
        </w:rPr>
        <w:t xml:space="preserve">, </w:t>
      </w:r>
      <w:r w:rsidRPr="0078467B">
        <w:rPr>
          <w:rFonts w:cs="Calibri"/>
          <w:b/>
          <w:bCs/>
          <w:noProof/>
          <w:lang w:val="es-ES_tradnl"/>
        </w:rPr>
        <w:t>Cuba</w:t>
      </w:r>
      <w:r w:rsidRPr="0078467B">
        <w:rPr>
          <w:rFonts w:cs="Calibri"/>
          <w:bCs/>
          <w:noProof/>
          <w:lang w:val="es-ES_tradnl"/>
        </w:rPr>
        <w:t>).</w:t>
      </w:r>
    </w:p>
    <w:p w14:paraId="00E3E98C" w14:textId="77777777" w:rsidR="0078467B" w:rsidRPr="0078467B" w:rsidRDefault="0078467B" w:rsidP="0078467B">
      <w:pPr>
        <w:spacing w:after="0" w:line="240" w:lineRule="auto"/>
        <w:rPr>
          <w:rFonts w:cs="Calibri"/>
          <w:bCs/>
          <w:noProof/>
          <w:lang w:val="es-ES_tradnl"/>
        </w:rPr>
      </w:pPr>
    </w:p>
    <w:p w14:paraId="4283483F" w14:textId="77777777" w:rsidR="0078467B" w:rsidRPr="0078467B" w:rsidRDefault="0078467B" w:rsidP="0078467B">
      <w:pPr>
        <w:numPr>
          <w:ilvl w:val="0"/>
          <w:numId w:val="11"/>
        </w:numPr>
        <w:spacing w:after="0" w:line="240" w:lineRule="auto"/>
        <w:ind w:left="709" w:hanging="283"/>
        <w:contextualSpacing/>
        <w:rPr>
          <w:rFonts w:cs="Calibri"/>
          <w:bCs/>
          <w:noProof/>
          <w:lang w:val="es-ES_tradnl"/>
        </w:rPr>
      </w:pPr>
      <w:r w:rsidRPr="0078467B">
        <w:rPr>
          <w:rFonts w:cs="Calibri"/>
          <w:bCs/>
          <w:noProof/>
          <w:lang w:val="es-ES_tradnl"/>
        </w:rPr>
        <w:lastRenderedPageBreak/>
        <w:t>Se ofrecerían oportunidades de movilización de recursos para el vigésimo aniversario del apoyo del Grupo Danone en 2018 y el 50° aniversario de la Convención en 2021 (</w:t>
      </w:r>
      <w:r w:rsidRPr="0078467B">
        <w:rPr>
          <w:rFonts w:cs="Calibri"/>
          <w:b/>
          <w:bCs/>
          <w:noProof/>
          <w:lang w:val="es-ES_tradnl"/>
        </w:rPr>
        <w:t>WWF</w:t>
      </w:r>
      <w:r w:rsidRPr="0078467B">
        <w:rPr>
          <w:rFonts w:cs="Calibri"/>
          <w:bCs/>
          <w:noProof/>
          <w:lang w:val="es-ES_tradnl"/>
        </w:rPr>
        <w:t>).</w:t>
      </w:r>
    </w:p>
    <w:p w14:paraId="41776F0E" w14:textId="77777777" w:rsidR="0078467B" w:rsidRPr="0078467B" w:rsidRDefault="0078467B" w:rsidP="0078467B">
      <w:pPr>
        <w:spacing w:after="0" w:line="240" w:lineRule="auto"/>
        <w:ind w:left="709"/>
        <w:contextualSpacing/>
        <w:rPr>
          <w:rFonts w:cs="Calibri"/>
          <w:bCs/>
          <w:noProof/>
          <w:lang w:val="es-ES_tradnl"/>
        </w:rPr>
      </w:pPr>
    </w:p>
    <w:p w14:paraId="1DEC4D0C" w14:textId="77777777" w:rsidR="0078467B" w:rsidRPr="0078467B" w:rsidRDefault="0078467B" w:rsidP="0078467B">
      <w:pPr>
        <w:spacing w:after="0" w:line="240" w:lineRule="auto"/>
        <w:ind w:left="426" w:hanging="426"/>
        <w:contextualSpacing/>
        <w:rPr>
          <w:rFonts w:cs="Calibri"/>
          <w:bCs/>
          <w:noProof/>
          <w:lang w:val="es-ES_tradnl"/>
        </w:rPr>
      </w:pPr>
      <w:r w:rsidRPr="0078467B">
        <w:rPr>
          <w:rFonts w:cs="Calibri"/>
          <w:bCs/>
          <w:noProof/>
          <w:lang w:val="es-ES_tradnl"/>
        </w:rPr>
        <w:t xml:space="preserve">95. </w:t>
      </w:r>
      <w:r w:rsidRPr="0078467B">
        <w:rPr>
          <w:rFonts w:cs="Calibri"/>
          <w:bCs/>
          <w:noProof/>
          <w:lang w:val="es-ES_tradnl"/>
        </w:rPr>
        <w:tab/>
        <w:t xml:space="preserve">La </w:t>
      </w:r>
      <w:r w:rsidRPr="0078467B">
        <w:rPr>
          <w:rFonts w:cs="Calibri"/>
          <w:b/>
          <w:bCs/>
          <w:noProof/>
          <w:lang w:val="es-ES_tradnl"/>
        </w:rPr>
        <w:t>Secretaría</w:t>
      </w:r>
      <w:r w:rsidRPr="0078467B">
        <w:rPr>
          <w:rFonts w:cs="Calibri"/>
          <w:bCs/>
          <w:noProof/>
          <w:lang w:val="es-ES_tradnl"/>
        </w:rPr>
        <w:t xml:space="preserve"> respondió a los comentarios de las Partes Contratantes aclarando que el documento objeto de examen era un plan de trabajo de la Secretaría para los meses restantes del trienio actual. Se habían consultado documentos previos de la Secretaría que trataban sobre la movilización de recursos, y la experiencia de los demás ciertamente sería valiosa para desarrollar planes más allá de la COP13. Se reconoció que para realizar un trabajo detallado habría que esperar a que las Partes Contratantes establecieran las prioridades en la COP13, pero esto no debería impedir que se llevara a cabo el trabajo preparatorio según las necesidades previstas de recursos, tales como viajes de delegados, Misiones Ramsar de Asesoramiento o actividades de CECoP.</w:t>
      </w:r>
    </w:p>
    <w:p w14:paraId="0D547A7D" w14:textId="77777777" w:rsidR="0078467B" w:rsidRPr="0078467B" w:rsidRDefault="0078467B" w:rsidP="0078467B">
      <w:pPr>
        <w:spacing w:after="0" w:line="240" w:lineRule="auto"/>
        <w:ind w:left="426" w:hanging="426"/>
        <w:contextualSpacing/>
        <w:rPr>
          <w:rFonts w:cs="Calibri"/>
          <w:bCs/>
          <w:noProof/>
          <w:lang w:val="es-ES_tradnl"/>
        </w:rPr>
      </w:pPr>
    </w:p>
    <w:p w14:paraId="7CEBB891" w14:textId="77777777" w:rsidR="0078467B" w:rsidRPr="0078467B" w:rsidRDefault="0078467B" w:rsidP="0078467B">
      <w:pPr>
        <w:spacing w:after="0" w:line="240" w:lineRule="auto"/>
        <w:ind w:left="426" w:hanging="426"/>
        <w:contextualSpacing/>
        <w:rPr>
          <w:rFonts w:cs="Calibri"/>
          <w:bCs/>
          <w:noProof/>
          <w:lang w:val="es-ES_tradnl"/>
        </w:rPr>
      </w:pPr>
      <w:r w:rsidRPr="0078467B">
        <w:rPr>
          <w:rFonts w:cs="Calibri"/>
          <w:bCs/>
          <w:noProof/>
          <w:lang w:val="es-ES_tradnl"/>
        </w:rPr>
        <w:t xml:space="preserve">96. </w:t>
      </w:r>
      <w:r w:rsidRPr="0078467B">
        <w:rPr>
          <w:rFonts w:cs="Calibri"/>
          <w:bCs/>
          <w:noProof/>
          <w:lang w:val="es-ES_tradnl"/>
        </w:rPr>
        <w:tab/>
        <w:t>La Presidencia concluyó que la Secretaría había tomado nota de todos los comentarios formulados y que elaboraría una versión actualizada que reflejara las decisiones de la COP13, para su consideración en la reunión SC57.</w:t>
      </w:r>
    </w:p>
    <w:p w14:paraId="7A14847D" w14:textId="77777777" w:rsidR="0078467B" w:rsidRPr="0078467B" w:rsidRDefault="0078467B" w:rsidP="0078467B">
      <w:pPr>
        <w:spacing w:after="0" w:line="240" w:lineRule="auto"/>
        <w:contextualSpacing/>
        <w:rPr>
          <w:rFonts w:cs="Calibri"/>
          <w:bCs/>
          <w:noProof/>
          <w:lang w:val="es-ES_tradnl"/>
        </w:rPr>
      </w:pPr>
    </w:p>
    <w:p w14:paraId="002BAC52" w14:textId="77777777" w:rsidR="0078467B" w:rsidRPr="0078467B" w:rsidRDefault="0078467B" w:rsidP="0078467B">
      <w:pPr>
        <w:spacing w:after="0" w:line="240" w:lineRule="auto"/>
        <w:rPr>
          <w:rFonts w:cs="Calibri"/>
          <w:b/>
          <w:bCs/>
          <w:noProof/>
          <w:lang w:val="es-ES_tradnl"/>
        </w:rPr>
      </w:pPr>
      <w:r w:rsidRPr="0078467B">
        <w:rPr>
          <w:rFonts w:cs="Calibri"/>
          <w:b/>
          <w:bCs/>
          <w:noProof/>
          <w:lang w:val="es-ES_tradnl"/>
        </w:rPr>
        <w:t>Decisión SC54-05: El Comité Permanente tomó nota del Plan de trabajo sobre la movilización de recursos y confirmó que la Secretaría debería seguir desarrollando el mismo teniendo en cuenta los comentarios del Comité Permanente y las decisiones de la COP13, y que habría que presentar un texto revisado para su consideración por la reunión SC57.</w:t>
      </w:r>
    </w:p>
    <w:p w14:paraId="267E7179" w14:textId="77777777" w:rsidR="0078467B" w:rsidRPr="0078467B" w:rsidRDefault="0078467B" w:rsidP="0078467B">
      <w:pPr>
        <w:spacing w:after="0" w:line="240" w:lineRule="auto"/>
        <w:contextualSpacing/>
        <w:rPr>
          <w:rFonts w:cs="Calibri"/>
          <w:bCs/>
          <w:noProof/>
          <w:lang w:val="es-ES_tradnl"/>
        </w:rPr>
      </w:pPr>
    </w:p>
    <w:p w14:paraId="5BD404D3" w14:textId="77777777" w:rsidR="0078467B" w:rsidRPr="0078467B" w:rsidRDefault="0078467B" w:rsidP="0078467B">
      <w:pPr>
        <w:pBdr>
          <w:top w:val="single" w:sz="4" w:space="3" w:color="auto"/>
          <w:left w:val="single" w:sz="4" w:space="4" w:color="auto"/>
          <w:bottom w:val="single" w:sz="4" w:space="3" w:color="auto"/>
          <w:right w:val="single" w:sz="4" w:space="4" w:color="auto"/>
        </w:pBdr>
        <w:spacing w:after="0" w:line="240" w:lineRule="auto"/>
        <w:ind w:left="426" w:hanging="426"/>
        <w:contextualSpacing/>
        <w:rPr>
          <w:rFonts w:cs="Calibri"/>
          <w:bCs/>
          <w:noProof/>
          <w:lang w:val="es-ES_tradnl"/>
        </w:rPr>
      </w:pPr>
      <w:r w:rsidRPr="0078467B">
        <w:rPr>
          <w:rFonts w:asciiTheme="majorHAnsi" w:hAnsiTheme="majorHAnsi"/>
          <w:bCs/>
          <w:noProof/>
          <w:lang w:val="es-ES_tradnl"/>
        </w:rPr>
        <w:t xml:space="preserve">Punto 20 del orden del día: Iniciativas regionales de </w:t>
      </w:r>
      <w:r w:rsidRPr="0078467B">
        <w:rPr>
          <w:rFonts w:cs="Calibri"/>
          <w:bCs/>
          <w:noProof/>
          <w:lang w:val="es-ES_tradnl"/>
        </w:rPr>
        <w:t xml:space="preserve">Ramsar </w:t>
      </w:r>
    </w:p>
    <w:p w14:paraId="6FCA0105" w14:textId="77777777" w:rsidR="0078467B" w:rsidRPr="0078467B" w:rsidRDefault="0078467B" w:rsidP="0078467B">
      <w:pPr>
        <w:pBdr>
          <w:top w:val="single" w:sz="4" w:space="3" w:color="auto"/>
          <w:left w:val="single" w:sz="4" w:space="4" w:color="auto"/>
          <w:bottom w:val="single" w:sz="4" w:space="3" w:color="auto"/>
          <w:right w:val="single" w:sz="4" w:space="4" w:color="auto"/>
        </w:pBdr>
        <w:spacing w:after="0" w:line="240" w:lineRule="auto"/>
        <w:ind w:left="426" w:hanging="426"/>
        <w:contextualSpacing/>
        <w:rPr>
          <w:rFonts w:cs="Calibri"/>
          <w:bCs/>
          <w:noProof/>
          <w:lang w:val="es-ES_tradnl"/>
        </w:rPr>
      </w:pPr>
    </w:p>
    <w:p w14:paraId="33960C03" w14:textId="77777777" w:rsidR="0078467B" w:rsidRPr="0078467B" w:rsidRDefault="0078467B" w:rsidP="0078467B">
      <w:pPr>
        <w:pBdr>
          <w:top w:val="single" w:sz="4" w:space="3" w:color="auto"/>
          <w:left w:val="single" w:sz="4" w:space="4" w:color="auto"/>
          <w:bottom w:val="single" w:sz="4" w:space="3" w:color="auto"/>
          <w:right w:val="single" w:sz="4" w:space="4" w:color="auto"/>
        </w:pBdr>
        <w:spacing w:after="0" w:line="240" w:lineRule="auto"/>
        <w:ind w:left="426" w:hanging="426"/>
        <w:contextualSpacing/>
        <w:rPr>
          <w:rFonts w:cs="Calibri"/>
          <w:bCs/>
          <w:noProof/>
          <w:lang w:val="es-ES_tradnl"/>
        </w:rPr>
      </w:pPr>
      <w:r w:rsidRPr="0078467B">
        <w:rPr>
          <w:rFonts w:cs="Calibri"/>
          <w:bCs/>
          <w:noProof/>
          <w:lang w:val="es-ES_tradnl"/>
        </w:rPr>
        <w:t>20.1 Actualización para 2018</w:t>
      </w:r>
    </w:p>
    <w:p w14:paraId="1E5797D9" w14:textId="77777777" w:rsidR="0078467B" w:rsidRPr="0078467B" w:rsidRDefault="0078467B" w:rsidP="0078467B">
      <w:pPr>
        <w:spacing w:after="0" w:line="240" w:lineRule="auto"/>
        <w:ind w:left="426" w:hanging="426"/>
        <w:contextualSpacing/>
        <w:rPr>
          <w:rFonts w:cs="Calibri"/>
          <w:bCs/>
          <w:noProof/>
          <w:lang w:val="es-ES_tradnl"/>
        </w:rPr>
      </w:pPr>
    </w:p>
    <w:p w14:paraId="2169219F" w14:textId="77777777" w:rsidR="0078467B" w:rsidRPr="0078467B" w:rsidRDefault="0078467B" w:rsidP="0078467B">
      <w:pPr>
        <w:spacing w:after="0" w:line="240" w:lineRule="auto"/>
        <w:ind w:left="426" w:hanging="426"/>
        <w:contextualSpacing/>
        <w:rPr>
          <w:rFonts w:cs="Calibri"/>
          <w:bCs/>
          <w:noProof/>
          <w:lang w:val="es-ES_tradnl"/>
        </w:rPr>
      </w:pPr>
      <w:r w:rsidRPr="0078467B">
        <w:rPr>
          <w:rFonts w:cs="Calibri"/>
          <w:bCs/>
          <w:noProof/>
          <w:lang w:val="es-ES_tradnl"/>
        </w:rPr>
        <w:t>97.</w:t>
      </w:r>
      <w:r w:rsidRPr="0078467B">
        <w:rPr>
          <w:rFonts w:cs="Calibri"/>
          <w:bCs/>
          <w:noProof/>
          <w:lang w:val="es-ES_tradnl"/>
        </w:rPr>
        <w:tab/>
        <w:t xml:space="preserve">La </w:t>
      </w:r>
      <w:r w:rsidRPr="0078467B">
        <w:rPr>
          <w:rFonts w:cs="Calibri"/>
          <w:b/>
          <w:bCs/>
          <w:noProof/>
          <w:lang w:val="es-ES_tradnl"/>
        </w:rPr>
        <w:t>Presidencia</w:t>
      </w:r>
      <w:r w:rsidRPr="0078467B">
        <w:rPr>
          <w:rFonts w:cs="Calibri"/>
          <w:bCs/>
          <w:noProof/>
          <w:lang w:val="es-ES_tradnl"/>
        </w:rPr>
        <w:t xml:space="preserve"> invitó a que se formularan comentarios sobre el documento Doc. SC54-20.1, </w:t>
      </w:r>
      <w:r w:rsidRPr="0078467B">
        <w:rPr>
          <w:rFonts w:cs="Calibri"/>
          <w:bCs/>
          <w:i/>
          <w:noProof/>
          <w:lang w:val="es-ES_tradnl"/>
        </w:rPr>
        <w:t xml:space="preserve">Iniciativas regionales de </w:t>
      </w:r>
      <w:r w:rsidRPr="0078467B">
        <w:rPr>
          <w:rFonts w:asciiTheme="majorHAnsi" w:eastAsia="Times New Roman" w:hAnsiTheme="majorHAnsi" w:cstheme="majorHAnsi"/>
          <w:bCs/>
          <w:i/>
          <w:noProof/>
          <w:lang w:val="es-ES_tradnl"/>
        </w:rPr>
        <w:t>Ramsar: Actualización para 2018</w:t>
      </w:r>
      <w:r w:rsidRPr="0078467B">
        <w:rPr>
          <w:rFonts w:asciiTheme="majorHAnsi" w:eastAsia="Times New Roman" w:hAnsiTheme="majorHAnsi" w:cstheme="majorHAnsi"/>
          <w:bCs/>
          <w:noProof/>
          <w:lang w:val="es-ES_tradnl"/>
        </w:rPr>
        <w:t>.</w:t>
      </w:r>
    </w:p>
    <w:p w14:paraId="593B96AB" w14:textId="77777777" w:rsidR="0078467B" w:rsidRPr="0078467B" w:rsidRDefault="0078467B" w:rsidP="0078467B">
      <w:pPr>
        <w:spacing w:after="0" w:line="240" w:lineRule="auto"/>
        <w:ind w:left="426" w:hanging="426"/>
        <w:contextualSpacing/>
        <w:rPr>
          <w:rFonts w:cs="Calibri"/>
          <w:bCs/>
          <w:noProof/>
          <w:lang w:val="es-ES_tradnl"/>
        </w:rPr>
      </w:pPr>
    </w:p>
    <w:p w14:paraId="5E100A04" w14:textId="77777777" w:rsidR="0078467B" w:rsidRPr="0078467B" w:rsidRDefault="0078467B" w:rsidP="0078467B">
      <w:pPr>
        <w:spacing w:after="0" w:line="240" w:lineRule="auto"/>
        <w:ind w:left="426" w:hanging="426"/>
        <w:contextualSpacing/>
        <w:rPr>
          <w:rFonts w:cs="Calibri"/>
          <w:bCs/>
          <w:noProof/>
          <w:lang w:val="es-ES_tradnl"/>
        </w:rPr>
      </w:pPr>
      <w:r w:rsidRPr="0078467B">
        <w:rPr>
          <w:rFonts w:cs="Calibri"/>
          <w:bCs/>
          <w:noProof/>
          <w:lang w:val="es-ES_tradnl"/>
        </w:rPr>
        <w:t>98.</w:t>
      </w:r>
      <w:r w:rsidRPr="0078467B">
        <w:rPr>
          <w:rFonts w:cs="Calibri"/>
          <w:bCs/>
          <w:noProof/>
          <w:lang w:val="es-ES_tradnl"/>
        </w:rPr>
        <w:tab/>
      </w:r>
      <w:r w:rsidRPr="0078467B">
        <w:rPr>
          <w:rFonts w:cs="Calibri"/>
          <w:b/>
          <w:bCs/>
          <w:noProof/>
          <w:lang w:val="es-ES_tradnl"/>
        </w:rPr>
        <w:t>Seychelles</w:t>
      </w:r>
      <w:r w:rsidRPr="0078467B">
        <w:rPr>
          <w:rFonts w:cs="Calibri"/>
          <w:bCs/>
          <w:noProof/>
          <w:lang w:val="es-ES_tradnl"/>
        </w:rPr>
        <w:t xml:space="preserve"> agradeció el apoyo recibido del equipo regional de África, en especial con relación a la reunión regional previa a la COP.</w:t>
      </w:r>
    </w:p>
    <w:p w14:paraId="285D2AE0" w14:textId="77777777" w:rsidR="0078467B" w:rsidRPr="0078467B" w:rsidRDefault="0078467B" w:rsidP="0078467B">
      <w:pPr>
        <w:spacing w:after="0" w:line="240" w:lineRule="auto"/>
        <w:ind w:left="426" w:hanging="426"/>
        <w:contextualSpacing/>
        <w:rPr>
          <w:rFonts w:cs="Calibri"/>
          <w:bCs/>
          <w:noProof/>
          <w:lang w:val="es-ES_tradnl"/>
        </w:rPr>
      </w:pPr>
    </w:p>
    <w:p w14:paraId="19428AAD" w14:textId="77777777" w:rsidR="0078467B" w:rsidRPr="0078467B" w:rsidRDefault="0078467B" w:rsidP="0078467B">
      <w:pPr>
        <w:spacing w:after="0" w:line="240" w:lineRule="auto"/>
        <w:ind w:left="426" w:hanging="426"/>
        <w:contextualSpacing/>
        <w:rPr>
          <w:rFonts w:cs="Calibri"/>
          <w:bCs/>
          <w:noProof/>
          <w:lang w:val="es-ES_tradnl"/>
        </w:rPr>
      </w:pPr>
      <w:r w:rsidRPr="0078467B">
        <w:rPr>
          <w:rFonts w:cs="Calibri"/>
          <w:bCs/>
          <w:noProof/>
          <w:lang w:val="es-ES_tradnl"/>
        </w:rPr>
        <w:t>99.</w:t>
      </w:r>
      <w:r w:rsidRPr="0078467B">
        <w:rPr>
          <w:rFonts w:cs="Calibri"/>
          <w:bCs/>
          <w:noProof/>
          <w:lang w:val="es-ES_tradnl"/>
        </w:rPr>
        <w:tab/>
        <w:t xml:space="preserve">La </w:t>
      </w:r>
      <w:r w:rsidRPr="0078467B">
        <w:rPr>
          <w:rFonts w:cs="Calibri"/>
          <w:b/>
          <w:bCs/>
          <w:noProof/>
          <w:lang w:val="es-ES_tradnl"/>
        </w:rPr>
        <w:t>Secretaria General</w:t>
      </w:r>
      <w:r w:rsidRPr="0078467B">
        <w:rPr>
          <w:rFonts w:cs="Calibri"/>
          <w:bCs/>
          <w:noProof/>
          <w:lang w:val="es-ES_tradnl"/>
        </w:rPr>
        <w:t xml:space="preserve"> señaló que se había invitado al Comité Permanente a asignar fondos iniciales para las cuatro Iniciativas regionales de Ramsar establecidas recientemente, y que esto sería considerado por el Subgrupo de Finanzas.</w:t>
      </w:r>
    </w:p>
    <w:p w14:paraId="28CEC446" w14:textId="77777777" w:rsidR="0078467B" w:rsidRPr="0078467B" w:rsidRDefault="0078467B" w:rsidP="0078467B">
      <w:pPr>
        <w:spacing w:after="0" w:line="240" w:lineRule="auto"/>
        <w:ind w:left="426" w:hanging="426"/>
        <w:contextualSpacing/>
        <w:rPr>
          <w:rFonts w:cs="Calibri"/>
          <w:bCs/>
          <w:noProof/>
          <w:lang w:val="es-ES_tradnl"/>
        </w:rPr>
      </w:pPr>
    </w:p>
    <w:p w14:paraId="1F4C7877" w14:textId="77777777" w:rsidR="0078467B" w:rsidRPr="0078467B" w:rsidRDefault="0078467B" w:rsidP="0078467B">
      <w:pPr>
        <w:spacing w:after="0" w:line="240" w:lineRule="auto"/>
        <w:ind w:left="426" w:hanging="426"/>
        <w:contextualSpacing/>
        <w:rPr>
          <w:rFonts w:cs="Calibri"/>
          <w:bCs/>
          <w:noProof/>
          <w:lang w:val="es-ES_tradnl"/>
        </w:rPr>
      </w:pPr>
      <w:r w:rsidRPr="0078467B">
        <w:rPr>
          <w:rFonts w:cs="Calibri"/>
          <w:bCs/>
          <w:noProof/>
          <w:lang w:val="es-ES_tradnl"/>
        </w:rPr>
        <w:t>100.</w:t>
      </w:r>
      <w:r w:rsidRPr="0078467B">
        <w:rPr>
          <w:rFonts w:cs="Calibri"/>
          <w:bCs/>
          <w:noProof/>
          <w:lang w:val="es-ES_tradnl"/>
        </w:rPr>
        <w:tab/>
        <w:t xml:space="preserve">La </w:t>
      </w:r>
      <w:r w:rsidRPr="0078467B">
        <w:rPr>
          <w:rFonts w:cs="Calibri"/>
          <w:b/>
          <w:bCs/>
          <w:noProof/>
          <w:lang w:val="es-ES_tradnl"/>
        </w:rPr>
        <w:t>Presidencia</w:t>
      </w:r>
      <w:r w:rsidRPr="0078467B">
        <w:rPr>
          <w:rFonts w:cs="Calibri"/>
          <w:bCs/>
          <w:noProof/>
          <w:lang w:val="es-ES_tradnl"/>
        </w:rPr>
        <w:t xml:space="preserve"> solicitó que el Comité Permanente tomara una decisión sobre esta asignación después del informe final del Subgrupo de Finanzas.</w:t>
      </w:r>
    </w:p>
    <w:p w14:paraId="53B62833" w14:textId="77777777" w:rsidR="0078467B" w:rsidRPr="0078467B" w:rsidRDefault="0078467B" w:rsidP="0078467B">
      <w:pPr>
        <w:autoSpaceDE w:val="0"/>
        <w:autoSpaceDN w:val="0"/>
        <w:adjustRightInd w:val="0"/>
        <w:spacing w:after="0" w:line="240" w:lineRule="auto"/>
        <w:jc w:val="both"/>
        <w:rPr>
          <w:rFonts w:cs="Calibri"/>
          <w:bCs/>
          <w:noProof/>
          <w:lang w:val="es-ES_tradnl"/>
        </w:rPr>
      </w:pPr>
    </w:p>
    <w:p w14:paraId="0E31047F" w14:textId="77777777" w:rsidR="0078467B" w:rsidRPr="0078467B" w:rsidRDefault="0078467B" w:rsidP="0078467B">
      <w:pPr>
        <w:pBdr>
          <w:top w:val="single" w:sz="4" w:space="3" w:color="auto"/>
          <w:left w:val="single" w:sz="4" w:space="4" w:color="auto"/>
          <w:bottom w:val="single" w:sz="4" w:space="3" w:color="auto"/>
          <w:right w:val="single" w:sz="4" w:space="4" w:color="auto"/>
        </w:pBdr>
        <w:spacing w:after="0" w:line="240" w:lineRule="auto"/>
        <w:ind w:left="426" w:hanging="426"/>
        <w:contextualSpacing/>
        <w:rPr>
          <w:rFonts w:cs="Calibri"/>
          <w:bCs/>
          <w:noProof/>
          <w:lang w:val="es-ES_tradnl"/>
        </w:rPr>
      </w:pPr>
      <w:r w:rsidRPr="0078467B">
        <w:rPr>
          <w:rFonts w:cs="Calibri"/>
          <w:bCs/>
          <w:noProof/>
          <w:lang w:val="es-ES_tradnl"/>
        </w:rPr>
        <w:t>20.2 Proyecto de resolución para 2019-2021 y marco operativo</w:t>
      </w:r>
    </w:p>
    <w:p w14:paraId="0986390F" w14:textId="77777777" w:rsidR="0078467B" w:rsidRPr="0078467B" w:rsidRDefault="0078467B" w:rsidP="0078467B">
      <w:pPr>
        <w:spacing w:after="0" w:line="240" w:lineRule="auto"/>
        <w:ind w:left="426" w:hanging="426"/>
        <w:contextualSpacing/>
        <w:rPr>
          <w:rFonts w:cs="Calibri"/>
          <w:bCs/>
          <w:noProof/>
          <w:lang w:val="es-ES_tradnl"/>
        </w:rPr>
      </w:pPr>
    </w:p>
    <w:p w14:paraId="7D479B69" w14:textId="7D65A434" w:rsidR="0078467B" w:rsidRPr="0078467B" w:rsidRDefault="0078467B" w:rsidP="0078467B">
      <w:pPr>
        <w:spacing w:after="0" w:line="240" w:lineRule="auto"/>
        <w:ind w:left="426" w:hanging="426"/>
        <w:contextualSpacing/>
        <w:rPr>
          <w:rFonts w:cs="Calibri"/>
          <w:bCs/>
          <w:noProof/>
          <w:lang w:val="es-ES_tradnl"/>
        </w:rPr>
      </w:pPr>
      <w:r w:rsidRPr="0078467B">
        <w:rPr>
          <w:rFonts w:cs="Calibri"/>
          <w:bCs/>
          <w:noProof/>
          <w:lang w:val="es-ES_tradnl"/>
        </w:rPr>
        <w:t>101.</w:t>
      </w:r>
      <w:r w:rsidRPr="0078467B">
        <w:rPr>
          <w:rFonts w:cs="Calibri"/>
          <w:bCs/>
          <w:noProof/>
          <w:lang w:val="es-ES_tradnl"/>
        </w:rPr>
        <w:tab/>
        <w:t xml:space="preserve">La </w:t>
      </w:r>
      <w:r w:rsidRPr="0078467B">
        <w:rPr>
          <w:rFonts w:cs="Calibri"/>
          <w:b/>
          <w:bCs/>
          <w:noProof/>
          <w:lang w:val="es-ES_tradnl"/>
        </w:rPr>
        <w:t>Presidencia</w:t>
      </w:r>
      <w:r w:rsidRPr="0078467B">
        <w:rPr>
          <w:rFonts w:cs="Calibri"/>
          <w:bCs/>
          <w:noProof/>
          <w:lang w:val="es-ES_tradnl"/>
        </w:rPr>
        <w:t xml:space="preserve"> invitó a que se formularan comentarios sobre el documento Doc. SC54-21.2, </w:t>
      </w:r>
      <w:r w:rsidRPr="0078467B">
        <w:rPr>
          <w:rFonts w:cs="Calibri"/>
          <w:bCs/>
          <w:i/>
          <w:noProof/>
          <w:lang w:val="es-ES_tradnl"/>
        </w:rPr>
        <w:t xml:space="preserve">Iniciativas regionales de </w:t>
      </w:r>
      <w:r w:rsidRPr="0078467B">
        <w:rPr>
          <w:rFonts w:asciiTheme="majorHAnsi" w:eastAsia="Times New Roman" w:hAnsiTheme="majorHAnsi" w:cstheme="majorHAnsi"/>
          <w:bCs/>
          <w:i/>
          <w:noProof/>
          <w:lang w:val="es-ES_tradnl"/>
        </w:rPr>
        <w:t>Ramsar:</w:t>
      </w:r>
      <w:r>
        <w:rPr>
          <w:rFonts w:asciiTheme="majorHAnsi" w:eastAsia="Times New Roman" w:hAnsiTheme="majorHAnsi" w:cstheme="majorHAnsi"/>
          <w:bCs/>
          <w:i/>
          <w:noProof/>
          <w:lang w:val="es-ES_tradnl"/>
        </w:rPr>
        <w:t xml:space="preserve"> </w:t>
      </w:r>
      <w:r w:rsidRPr="0078467B">
        <w:rPr>
          <w:rFonts w:asciiTheme="majorHAnsi" w:eastAsia="Times New Roman" w:hAnsiTheme="majorHAnsi" w:cstheme="majorHAnsi"/>
          <w:bCs/>
          <w:i/>
          <w:noProof/>
          <w:lang w:val="es-ES_tradnl"/>
        </w:rPr>
        <w:t>Proyecto de resolución para 2019-2021 y marco operativo</w:t>
      </w:r>
      <w:r w:rsidRPr="0078467B">
        <w:rPr>
          <w:noProof/>
          <w:lang w:val="es-ES_tradnl"/>
        </w:rPr>
        <w:t>.</w:t>
      </w:r>
    </w:p>
    <w:p w14:paraId="3F21F65E" w14:textId="77777777" w:rsidR="0078467B" w:rsidRPr="0078467B" w:rsidRDefault="0078467B" w:rsidP="0078467B">
      <w:pPr>
        <w:spacing w:after="0" w:line="240" w:lineRule="auto"/>
        <w:ind w:left="426" w:hanging="426"/>
        <w:contextualSpacing/>
        <w:rPr>
          <w:rFonts w:cs="Calibri"/>
          <w:bCs/>
          <w:noProof/>
          <w:lang w:val="es-ES_tradnl"/>
        </w:rPr>
      </w:pPr>
    </w:p>
    <w:p w14:paraId="14F54B4B" w14:textId="77777777" w:rsidR="0078467B" w:rsidRPr="0078467B" w:rsidRDefault="0078467B" w:rsidP="0078467B">
      <w:pPr>
        <w:spacing w:after="0" w:line="240" w:lineRule="auto"/>
        <w:ind w:left="426" w:hanging="426"/>
        <w:contextualSpacing/>
        <w:rPr>
          <w:rFonts w:cs="Calibri"/>
          <w:bCs/>
          <w:noProof/>
          <w:lang w:val="es-ES_tradnl"/>
        </w:rPr>
      </w:pPr>
      <w:r w:rsidRPr="0078467B">
        <w:rPr>
          <w:rFonts w:cs="Calibri"/>
          <w:bCs/>
          <w:noProof/>
          <w:lang w:val="es-ES_tradnl"/>
        </w:rPr>
        <w:t>102.</w:t>
      </w:r>
      <w:r w:rsidRPr="0078467B">
        <w:rPr>
          <w:rFonts w:cs="Calibri"/>
          <w:bCs/>
          <w:noProof/>
          <w:lang w:val="es-ES_tradnl"/>
        </w:rPr>
        <w:tab/>
        <w:t xml:space="preserve">El </w:t>
      </w:r>
      <w:r w:rsidRPr="0078467B">
        <w:rPr>
          <w:rFonts w:cs="Calibri"/>
          <w:b/>
          <w:bCs/>
          <w:noProof/>
          <w:lang w:val="es-ES_tradnl"/>
        </w:rPr>
        <w:t>Canadá</w:t>
      </w:r>
      <w:r w:rsidRPr="0078467B">
        <w:rPr>
          <w:rFonts w:cs="Calibri"/>
          <w:bCs/>
          <w:noProof/>
          <w:lang w:val="es-ES_tradnl"/>
        </w:rPr>
        <w:t xml:space="preserve">, </w:t>
      </w:r>
      <w:r w:rsidRPr="0078467B">
        <w:rPr>
          <w:rFonts w:cs="Calibri"/>
          <w:b/>
          <w:bCs/>
          <w:noProof/>
          <w:lang w:val="es-ES_tradnl"/>
        </w:rPr>
        <w:t>China</w:t>
      </w:r>
      <w:r w:rsidRPr="0078467B">
        <w:rPr>
          <w:rFonts w:cs="Calibri"/>
          <w:bCs/>
          <w:noProof/>
          <w:lang w:val="es-ES_tradnl"/>
        </w:rPr>
        <w:t xml:space="preserve">, </w:t>
      </w:r>
      <w:r w:rsidRPr="0078467B">
        <w:rPr>
          <w:rFonts w:cs="Calibri"/>
          <w:b/>
          <w:bCs/>
          <w:noProof/>
          <w:lang w:val="es-ES_tradnl"/>
        </w:rPr>
        <w:t>Colombia</w:t>
      </w:r>
      <w:r w:rsidRPr="0078467B">
        <w:rPr>
          <w:rFonts w:cs="Calibri"/>
          <w:bCs/>
          <w:noProof/>
          <w:lang w:val="es-ES_tradnl"/>
        </w:rPr>
        <w:t xml:space="preserve">, </w:t>
      </w:r>
      <w:r w:rsidRPr="0078467B">
        <w:rPr>
          <w:rFonts w:cs="Calibri"/>
          <w:b/>
          <w:bCs/>
          <w:noProof/>
          <w:lang w:val="es-ES_tradnl"/>
        </w:rPr>
        <w:t>Cuba</w:t>
      </w:r>
      <w:r w:rsidRPr="0078467B">
        <w:rPr>
          <w:rFonts w:cs="Calibri"/>
          <w:bCs/>
          <w:noProof/>
          <w:lang w:val="es-ES_tradnl"/>
        </w:rPr>
        <w:t xml:space="preserve">, los </w:t>
      </w:r>
      <w:r w:rsidRPr="0078467B">
        <w:rPr>
          <w:rFonts w:cs="Calibri"/>
          <w:b/>
          <w:bCs/>
          <w:noProof/>
          <w:lang w:val="es-ES_tradnl"/>
        </w:rPr>
        <w:t>Estados Unidos de América Francia</w:t>
      </w:r>
      <w:r w:rsidRPr="0078467B">
        <w:rPr>
          <w:rFonts w:cs="Calibri"/>
          <w:bCs/>
          <w:noProof/>
          <w:lang w:val="es-ES_tradnl"/>
        </w:rPr>
        <w:t xml:space="preserve">, la </w:t>
      </w:r>
      <w:r w:rsidRPr="0078467B">
        <w:rPr>
          <w:rFonts w:cs="Calibri"/>
          <w:b/>
          <w:bCs/>
          <w:noProof/>
          <w:lang w:val="es-ES_tradnl"/>
        </w:rPr>
        <w:t>República de Corea</w:t>
      </w:r>
      <w:r w:rsidRPr="0078467B">
        <w:rPr>
          <w:rFonts w:cs="Calibri"/>
          <w:bCs/>
          <w:noProof/>
          <w:lang w:val="es-ES_tradnl"/>
        </w:rPr>
        <w:t xml:space="preserve">, el </w:t>
      </w:r>
      <w:r w:rsidRPr="0078467B">
        <w:rPr>
          <w:rFonts w:cs="Calibri"/>
          <w:b/>
          <w:bCs/>
          <w:noProof/>
          <w:lang w:val="es-ES_tradnl"/>
        </w:rPr>
        <w:t>Senegal</w:t>
      </w:r>
      <w:r w:rsidRPr="0078467B">
        <w:rPr>
          <w:rFonts w:cs="Calibri"/>
          <w:bCs/>
          <w:noProof/>
          <w:lang w:val="es-ES_tradnl"/>
        </w:rPr>
        <w:t xml:space="preserve">, </w:t>
      </w:r>
      <w:r w:rsidRPr="0078467B">
        <w:rPr>
          <w:rFonts w:cs="Calibri"/>
          <w:b/>
          <w:bCs/>
          <w:noProof/>
          <w:lang w:val="es-ES_tradnl"/>
        </w:rPr>
        <w:t>Suecia</w:t>
      </w:r>
      <w:r w:rsidRPr="0078467B">
        <w:rPr>
          <w:rFonts w:cs="Calibri"/>
          <w:bCs/>
          <w:noProof/>
          <w:lang w:val="es-ES_tradnl"/>
        </w:rPr>
        <w:t xml:space="preserve"> en nombre de la región europea, el </w:t>
      </w:r>
      <w:r w:rsidRPr="0078467B">
        <w:rPr>
          <w:rFonts w:cs="Calibri"/>
          <w:b/>
          <w:bCs/>
          <w:noProof/>
          <w:lang w:val="es-ES_tradnl"/>
        </w:rPr>
        <w:t>Uruguay</w:t>
      </w:r>
      <w:r w:rsidRPr="0078467B">
        <w:rPr>
          <w:rFonts w:cs="Calibri"/>
          <w:bCs/>
          <w:noProof/>
          <w:lang w:val="es-ES_tradnl"/>
        </w:rPr>
        <w:t xml:space="preserve"> y el </w:t>
      </w:r>
      <w:r w:rsidRPr="0078467B">
        <w:rPr>
          <w:rFonts w:cs="Calibri"/>
          <w:b/>
          <w:bCs/>
          <w:noProof/>
          <w:lang w:val="es-ES_tradnl"/>
        </w:rPr>
        <w:t xml:space="preserve">Centro Regional Ramsar para Asia Oriental </w:t>
      </w:r>
      <w:r w:rsidRPr="0078467B">
        <w:rPr>
          <w:rFonts w:cs="Calibri"/>
          <w:bCs/>
          <w:noProof/>
          <w:lang w:val="es-ES_tradnl"/>
        </w:rPr>
        <w:t>presentaron comentarios específicos y enmiendas propuestas.</w:t>
      </w:r>
    </w:p>
    <w:p w14:paraId="2156393D" w14:textId="77777777" w:rsidR="0078467B" w:rsidRPr="0078467B" w:rsidRDefault="0078467B" w:rsidP="0078467B">
      <w:pPr>
        <w:spacing w:after="0" w:line="240" w:lineRule="auto"/>
        <w:ind w:left="426" w:hanging="426"/>
        <w:contextualSpacing/>
        <w:rPr>
          <w:rFonts w:cs="Calibri"/>
          <w:bCs/>
          <w:noProof/>
          <w:lang w:val="es-ES_tradnl"/>
        </w:rPr>
      </w:pPr>
    </w:p>
    <w:p w14:paraId="03DEAD75" w14:textId="77777777" w:rsidR="0078467B" w:rsidRPr="0078467B" w:rsidRDefault="0078467B" w:rsidP="0078467B">
      <w:pPr>
        <w:spacing w:after="0" w:line="240" w:lineRule="auto"/>
        <w:ind w:left="426" w:hanging="426"/>
        <w:contextualSpacing/>
        <w:rPr>
          <w:rFonts w:cs="Calibri"/>
          <w:bCs/>
          <w:noProof/>
          <w:lang w:val="es-ES_tradnl"/>
        </w:rPr>
      </w:pPr>
      <w:r w:rsidRPr="0078467B">
        <w:rPr>
          <w:rFonts w:cs="Calibri"/>
          <w:bCs/>
          <w:noProof/>
          <w:lang w:val="es-ES_tradnl"/>
        </w:rPr>
        <w:t>103.</w:t>
      </w:r>
      <w:r w:rsidRPr="0078467B">
        <w:rPr>
          <w:rFonts w:cs="Calibri"/>
          <w:bCs/>
          <w:noProof/>
          <w:lang w:val="es-ES_tradnl"/>
        </w:rPr>
        <w:tab/>
        <w:t xml:space="preserve">La </w:t>
      </w:r>
      <w:r w:rsidRPr="0078467B">
        <w:rPr>
          <w:rFonts w:cs="Calibri"/>
          <w:b/>
          <w:bCs/>
          <w:noProof/>
          <w:lang w:val="es-ES_tradnl"/>
        </w:rPr>
        <w:t>Presidencia</w:t>
      </w:r>
      <w:r w:rsidRPr="0078467B">
        <w:rPr>
          <w:rFonts w:cs="Calibri"/>
          <w:bCs/>
          <w:noProof/>
          <w:lang w:val="es-ES_tradnl"/>
        </w:rPr>
        <w:t xml:space="preserve"> solicitó a las Partes Contratantes que enviaran sus comentarios por escrito a la Secretaría al final del día. Muchas de las cuestiones planteadas podrían incluirse fácilmente en </w:t>
      </w:r>
      <w:r w:rsidRPr="0078467B">
        <w:rPr>
          <w:rFonts w:cs="Calibri"/>
          <w:bCs/>
          <w:noProof/>
          <w:lang w:val="es-ES_tradnl"/>
        </w:rPr>
        <w:lastRenderedPageBreak/>
        <w:t>el documento. Sin embargo, algunas enmiendas propuestas no alcanzaron un consenso y deberían ser examinadas más detenidamente por el Comité Permanente y/o la COP13. La Presidencia dio instrucciones a la Secretaría para que elaborara un texto revisado haciendo uso de corchetes cuando fuera necesario para indicar posturas alternativas en las cuestiones en las que había diferencias de opinión significativas, para su posterior consideración por la reunión SC54.</w:t>
      </w:r>
    </w:p>
    <w:p w14:paraId="10B1223F" w14:textId="77777777" w:rsidR="0078467B" w:rsidRPr="0078467B" w:rsidRDefault="0078467B" w:rsidP="0078467B">
      <w:pPr>
        <w:spacing w:after="0" w:line="240" w:lineRule="auto"/>
        <w:contextualSpacing/>
        <w:rPr>
          <w:rFonts w:cs="Calibri"/>
          <w:bCs/>
          <w:noProof/>
          <w:lang w:val="es-ES_tradnl"/>
        </w:rPr>
      </w:pPr>
    </w:p>
    <w:p w14:paraId="767B7BF6" w14:textId="77777777" w:rsidR="0078467B" w:rsidRPr="0078467B" w:rsidRDefault="0078467B" w:rsidP="0078467B">
      <w:pPr>
        <w:pBdr>
          <w:top w:val="single" w:sz="4" w:space="3" w:color="auto"/>
          <w:left w:val="single" w:sz="4" w:space="4" w:color="auto"/>
          <w:bottom w:val="single" w:sz="4" w:space="3" w:color="auto"/>
          <w:right w:val="single" w:sz="4" w:space="4" w:color="auto"/>
        </w:pBdr>
        <w:spacing w:after="0" w:line="240" w:lineRule="auto"/>
        <w:ind w:left="426" w:hanging="426"/>
        <w:contextualSpacing/>
        <w:rPr>
          <w:rFonts w:cs="Calibri"/>
          <w:bCs/>
          <w:noProof/>
          <w:lang w:val="es-ES_tradnl"/>
        </w:rPr>
      </w:pPr>
      <w:r w:rsidRPr="0078467B">
        <w:rPr>
          <w:rFonts w:asciiTheme="majorHAnsi" w:hAnsiTheme="majorHAnsi"/>
          <w:bCs/>
          <w:noProof/>
          <w:lang w:val="es-ES_tradnl"/>
        </w:rPr>
        <w:t xml:space="preserve">Punto 15 del orden del día: Condición de observador en la Asamblea General de las Naciones Unidas </w:t>
      </w:r>
    </w:p>
    <w:p w14:paraId="7A4F8B98" w14:textId="77777777" w:rsidR="0078467B" w:rsidRPr="0078467B" w:rsidRDefault="0078467B" w:rsidP="0078467B">
      <w:pPr>
        <w:spacing w:after="0" w:line="240" w:lineRule="auto"/>
        <w:ind w:left="426" w:hanging="426"/>
        <w:contextualSpacing/>
        <w:rPr>
          <w:rFonts w:cs="Calibri"/>
          <w:bCs/>
          <w:noProof/>
          <w:lang w:val="es-ES_tradnl"/>
        </w:rPr>
      </w:pPr>
    </w:p>
    <w:p w14:paraId="58AB308A" w14:textId="77777777" w:rsidR="0078467B" w:rsidRPr="0078467B" w:rsidRDefault="0078467B" w:rsidP="0078467B">
      <w:pPr>
        <w:spacing w:after="0" w:line="240" w:lineRule="auto"/>
        <w:ind w:left="426" w:hanging="426"/>
        <w:contextualSpacing/>
        <w:rPr>
          <w:rFonts w:cs="Calibri"/>
          <w:bCs/>
          <w:noProof/>
          <w:lang w:val="es-ES_tradnl"/>
        </w:rPr>
      </w:pPr>
      <w:r w:rsidRPr="0078467B">
        <w:rPr>
          <w:rFonts w:cs="Calibri"/>
          <w:bCs/>
          <w:noProof/>
          <w:lang w:val="es-ES_tradnl"/>
        </w:rPr>
        <w:t xml:space="preserve">104. El </w:t>
      </w:r>
      <w:r w:rsidRPr="0078467B">
        <w:rPr>
          <w:rFonts w:cs="Calibri"/>
          <w:b/>
          <w:bCs/>
          <w:noProof/>
          <w:lang w:val="es-ES_tradnl"/>
        </w:rPr>
        <w:t>Uruguay</w:t>
      </w:r>
      <w:r w:rsidRPr="0078467B">
        <w:rPr>
          <w:rFonts w:cs="Calibri"/>
          <w:bCs/>
          <w:noProof/>
          <w:lang w:val="es-ES_tradnl"/>
        </w:rPr>
        <w:t xml:space="preserve"> presentó el documento Doc. SC54-15 Rev.1, </w:t>
      </w:r>
      <w:r w:rsidRPr="0078467B">
        <w:rPr>
          <w:rFonts w:cs="Calibri"/>
          <w:bCs/>
          <w:i/>
          <w:noProof/>
          <w:lang w:val="es-ES_tradnl"/>
        </w:rPr>
        <w:t>Condición de observador en la Asamblea General de las Naciones Unidas</w:t>
      </w:r>
      <w:r w:rsidRPr="0078467B">
        <w:rPr>
          <w:rFonts w:cs="Calibri"/>
          <w:bCs/>
          <w:noProof/>
          <w:lang w:val="es-ES_tradnl"/>
        </w:rPr>
        <w:t>.</w:t>
      </w:r>
    </w:p>
    <w:p w14:paraId="3A7214BF" w14:textId="77777777" w:rsidR="0078467B" w:rsidRPr="0078467B" w:rsidRDefault="0078467B" w:rsidP="0078467B">
      <w:pPr>
        <w:spacing w:after="0" w:line="240" w:lineRule="auto"/>
        <w:ind w:left="426" w:hanging="426"/>
        <w:contextualSpacing/>
        <w:rPr>
          <w:rFonts w:cs="Calibri"/>
          <w:bCs/>
          <w:noProof/>
          <w:lang w:val="es-ES_tradnl"/>
        </w:rPr>
      </w:pPr>
    </w:p>
    <w:p w14:paraId="4592AB78" w14:textId="77777777" w:rsidR="0078467B" w:rsidRPr="0078467B" w:rsidRDefault="0078467B" w:rsidP="0078467B">
      <w:pPr>
        <w:spacing w:after="0" w:line="240" w:lineRule="auto"/>
        <w:ind w:left="426" w:hanging="426"/>
        <w:contextualSpacing/>
        <w:rPr>
          <w:rFonts w:cs="Calibri"/>
          <w:bCs/>
          <w:noProof/>
          <w:lang w:val="es-ES_tradnl"/>
        </w:rPr>
      </w:pPr>
      <w:r w:rsidRPr="0078467B">
        <w:rPr>
          <w:rFonts w:cs="Calibri"/>
          <w:bCs/>
          <w:noProof/>
          <w:lang w:val="es-ES_tradnl"/>
        </w:rPr>
        <w:t xml:space="preserve">106. Los </w:t>
      </w:r>
      <w:r w:rsidRPr="0078467B">
        <w:rPr>
          <w:rFonts w:cs="Calibri"/>
          <w:b/>
          <w:bCs/>
          <w:noProof/>
          <w:lang w:val="es-ES_tradnl"/>
        </w:rPr>
        <w:t>Emiratos Árabes Unidos</w:t>
      </w:r>
      <w:r w:rsidRPr="0078467B">
        <w:rPr>
          <w:rFonts w:cs="Calibri"/>
          <w:bCs/>
          <w:noProof/>
          <w:lang w:val="es-ES_tradnl"/>
        </w:rPr>
        <w:t xml:space="preserve"> se comprometieron a trabajar con la Secretaría para desarrollar una propuesta sobre esta cuestión para su aprobación por la COP13.</w:t>
      </w:r>
    </w:p>
    <w:p w14:paraId="26C8EA65" w14:textId="77777777" w:rsidR="0078467B" w:rsidRPr="0078467B" w:rsidRDefault="0078467B" w:rsidP="0078467B">
      <w:pPr>
        <w:spacing w:after="0" w:line="240" w:lineRule="auto"/>
        <w:ind w:left="426" w:hanging="426"/>
        <w:contextualSpacing/>
        <w:rPr>
          <w:rFonts w:cs="Calibri"/>
          <w:bCs/>
          <w:noProof/>
          <w:lang w:val="es-ES_tradnl"/>
        </w:rPr>
      </w:pPr>
    </w:p>
    <w:p w14:paraId="04D4E954" w14:textId="77777777" w:rsidR="0078467B" w:rsidRPr="0078467B" w:rsidRDefault="0078467B" w:rsidP="0078467B">
      <w:pPr>
        <w:spacing w:after="0" w:line="240" w:lineRule="auto"/>
        <w:ind w:left="426" w:hanging="426"/>
        <w:contextualSpacing/>
        <w:rPr>
          <w:rFonts w:cs="Calibri"/>
          <w:bCs/>
          <w:noProof/>
          <w:lang w:val="es-ES_tradnl"/>
        </w:rPr>
      </w:pPr>
      <w:r w:rsidRPr="0078467B">
        <w:rPr>
          <w:rFonts w:cs="Calibri"/>
          <w:bCs/>
          <w:noProof/>
          <w:lang w:val="es-ES_tradnl"/>
        </w:rPr>
        <w:t xml:space="preserve">107. </w:t>
      </w:r>
      <w:r w:rsidRPr="0078467B">
        <w:rPr>
          <w:rFonts w:cs="Calibri"/>
          <w:b/>
          <w:bCs/>
          <w:noProof/>
          <w:lang w:val="es-ES_tradnl"/>
        </w:rPr>
        <w:t>Colombia</w:t>
      </w:r>
      <w:r w:rsidRPr="0078467B">
        <w:rPr>
          <w:rFonts w:cs="Calibri"/>
          <w:bCs/>
          <w:noProof/>
          <w:lang w:val="es-ES_tradnl"/>
        </w:rPr>
        <w:t xml:space="preserve"> subrayó la importancia de estudiar todas las opciones posibles para garantizar que la Secretaría tuviera acceso a las deliberaciones del Foro Político de Alto Nivel (HLPF) sobre el ODS 6.</w:t>
      </w:r>
    </w:p>
    <w:p w14:paraId="7707FDAD" w14:textId="77777777" w:rsidR="0078467B" w:rsidRPr="0078467B" w:rsidRDefault="0078467B" w:rsidP="0078467B">
      <w:pPr>
        <w:spacing w:after="0" w:line="240" w:lineRule="auto"/>
        <w:ind w:left="426" w:hanging="426"/>
        <w:contextualSpacing/>
        <w:rPr>
          <w:rFonts w:cs="Calibri"/>
          <w:bCs/>
          <w:noProof/>
          <w:lang w:val="es-ES_tradnl"/>
        </w:rPr>
      </w:pPr>
    </w:p>
    <w:p w14:paraId="089BBE9A" w14:textId="77777777" w:rsidR="0078467B" w:rsidRPr="0078467B" w:rsidRDefault="0078467B" w:rsidP="0078467B">
      <w:pPr>
        <w:spacing w:after="0" w:line="240" w:lineRule="auto"/>
        <w:ind w:left="426" w:hanging="426"/>
        <w:contextualSpacing/>
        <w:rPr>
          <w:rFonts w:cs="Calibri"/>
          <w:bCs/>
          <w:noProof/>
          <w:lang w:val="es-ES_tradnl"/>
        </w:rPr>
      </w:pPr>
      <w:r w:rsidRPr="0078467B">
        <w:rPr>
          <w:rFonts w:cs="Calibri"/>
          <w:bCs/>
          <w:noProof/>
          <w:lang w:val="es-ES_tradnl"/>
        </w:rPr>
        <w:t xml:space="preserve">108. </w:t>
      </w:r>
      <w:r w:rsidRPr="0078467B">
        <w:rPr>
          <w:rFonts w:cs="Calibri"/>
          <w:b/>
          <w:bCs/>
          <w:noProof/>
          <w:lang w:val="es-ES_tradnl"/>
        </w:rPr>
        <w:t>Brasil</w:t>
      </w:r>
      <w:r w:rsidRPr="0078467B">
        <w:rPr>
          <w:rFonts w:cs="Calibri"/>
          <w:bCs/>
          <w:noProof/>
          <w:lang w:val="es-ES_tradnl"/>
        </w:rPr>
        <w:t xml:space="preserve"> sugirió que la Secretaría presentara una comunicación por escrito al HLPF, de no ser posible la participación física.</w:t>
      </w:r>
    </w:p>
    <w:p w14:paraId="59EBCB06" w14:textId="77777777" w:rsidR="0078467B" w:rsidRPr="0078467B" w:rsidRDefault="0078467B" w:rsidP="0078467B">
      <w:pPr>
        <w:spacing w:after="0" w:line="240" w:lineRule="auto"/>
        <w:ind w:left="426" w:hanging="426"/>
        <w:contextualSpacing/>
        <w:rPr>
          <w:rFonts w:cs="Calibri"/>
          <w:bCs/>
          <w:noProof/>
          <w:lang w:val="es-ES_tradnl"/>
        </w:rPr>
      </w:pPr>
    </w:p>
    <w:p w14:paraId="45D87E0B" w14:textId="77777777" w:rsidR="0078467B" w:rsidRPr="0078467B" w:rsidRDefault="0078467B" w:rsidP="0078467B">
      <w:pPr>
        <w:spacing w:after="0" w:line="240" w:lineRule="auto"/>
        <w:ind w:left="426" w:hanging="426"/>
        <w:contextualSpacing/>
        <w:rPr>
          <w:rFonts w:cs="Calibri"/>
          <w:bCs/>
          <w:noProof/>
          <w:lang w:val="es-ES_tradnl"/>
        </w:rPr>
      </w:pPr>
      <w:r w:rsidRPr="0078467B">
        <w:rPr>
          <w:rFonts w:cs="Calibri"/>
          <w:bCs/>
          <w:noProof/>
          <w:lang w:val="es-ES_tradnl"/>
        </w:rPr>
        <w:t xml:space="preserve">109. Los </w:t>
      </w:r>
      <w:r w:rsidRPr="0078467B">
        <w:rPr>
          <w:rFonts w:cs="Calibri"/>
          <w:b/>
          <w:bCs/>
          <w:noProof/>
          <w:lang w:val="es-ES_tradnl"/>
        </w:rPr>
        <w:t xml:space="preserve">Estados Unidos de América </w:t>
      </w:r>
      <w:r w:rsidRPr="0078467B">
        <w:rPr>
          <w:rFonts w:cs="Calibri"/>
          <w:bCs/>
          <w:noProof/>
          <w:lang w:val="es-ES_tradnl"/>
        </w:rPr>
        <w:t>también destacaron la necesidad de encontrar soluciones creativas, ya que un reciente examen jurídico en ese país había concluido que las secretarías de los tratados no calificaban como organizaciones intergubernamentales y que, por lo tanto, no podían optar a la condición de Observador Permanente en la Asamblea General. Asimismo, observaron que la UICN había expresado su compromiso con la continuación de la participación de la Secretaría de Ramsar en las delegaciones de la UICN.</w:t>
      </w:r>
    </w:p>
    <w:p w14:paraId="1D68562C" w14:textId="77777777" w:rsidR="0078467B" w:rsidRPr="0078467B" w:rsidRDefault="0078467B" w:rsidP="0078467B">
      <w:pPr>
        <w:spacing w:after="0" w:line="240" w:lineRule="auto"/>
        <w:ind w:left="426" w:hanging="426"/>
        <w:contextualSpacing/>
        <w:rPr>
          <w:rFonts w:cs="Calibri"/>
          <w:bCs/>
          <w:noProof/>
          <w:lang w:val="es-ES_tradnl"/>
        </w:rPr>
      </w:pPr>
    </w:p>
    <w:p w14:paraId="46BE9839" w14:textId="77777777" w:rsidR="0078467B" w:rsidRPr="0078467B" w:rsidRDefault="0078467B" w:rsidP="0078467B">
      <w:pPr>
        <w:spacing w:after="0" w:line="240" w:lineRule="auto"/>
        <w:ind w:left="426" w:hanging="426"/>
        <w:contextualSpacing/>
        <w:rPr>
          <w:rFonts w:cs="Calibri"/>
          <w:bCs/>
          <w:noProof/>
          <w:lang w:val="es-ES_tradnl"/>
        </w:rPr>
      </w:pPr>
      <w:r w:rsidRPr="0078467B">
        <w:rPr>
          <w:rFonts w:cs="Calibri"/>
          <w:bCs/>
          <w:noProof/>
          <w:lang w:val="es-ES_tradnl"/>
        </w:rPr>
        <w:t xml:space="preserve">110. En general, </w:t>
      </w:r>
      <w:r w:rsidRPr="0078467B">
        <w:rPr>
          <w:rFonts w:cs="Calibri"/>
          <w:b/>
          <w:bCs/>
          <w:noProof/>
          <w:lang w:val="es-ES_tradnl"/>
        </w:rPr>
        <w:t>Chile</w:t>
      </w:r>
      <w:r w:rsidRPr="0078467B">
        <w:rPr>
          <w:rFonts w:cs="Calibri"/>
          <w:bCs/>
          <w:noProof/>
          <w:lang w:val="es-ES_tradnl"/>
        </w:rPr>
        <w:t xml:space="preserve"> coincidió con los Estados Unidos de América.</w:t>
      </w:r>
    </w:p>
    <w:p w14:paraId="18E28C11" w14:textId="77777777" w:rsidR="0078467B" w:rsidRPr="0078467B" w:rsidRDefault="0078467B" w:rsidP="0078467B">
      <w:pPr>
        <w:spacing w:after="0" w:line="240" w:lineRule="auto"/>
        <w:ind w:left="426" w:hanging="426"/>
        <w:contextualSpacing/>
        <w:rPr>
          <w:rFonts w:cs="Calibri"/>
          <w:bCs/>
          <w:noProof/>
          <w:lang w:val="es-ES_tradnl"/>
        </w:rPr>
      </w:pPr>
    </w:p>
    <w:p w14:paraId="462414FC" w14:textId="77777777" w:rsidR="0078467B" w:rsidRPr="0078467B" w:rsidRDefault="0078467B" w:rsidP="0078467B">
      <w:pPr>
        <w:spacing w:after="0" w:line="240" w:lineRule="auto"/>
        <w:ind w:left="426" w:hanging="426"/>
        <w:contextualSpacing/>
        <w:rPr>
          <w:rFonts w:cs="Calibri"/>
          <w:bCs/>
          <w:noProof/>
          <w:lang w:val="es-ES_tradnl"/>
        </w:rPr>
      </w:pPr>
      <w:r w:rsidRPr="0078467B">
        <w:rPr>
          <w:rFonts w:cs="Calibri"/>
          <w:bCs/>
          <w:noProof/>
          <w:lang w:val="es-ES_tradnl"/>
        </w:rPr>
        <w:t xml:space="preserve">111. En respuesta a una cuestión planteada por Sudáfrica, los </w:t>
      </w:r>
      <w:r w:rsidRPr="0078467B">
        <w:rPr>
          <w:rFonts w:cs="Calibri"/>
          <w:b/>
          <w:bCs/>
          <w:noProof/>
          <w:lang w:val="es-ES_tradnl"/>
        </w:rPr>
        <w:t>Estados Unidos de América</w:t>
      </w:r>
      <w:r w:rsidRPr="0078467B">
        <w:rPr>
          <w:rFonts w:cs="Calibri"/>
          <w:bCs/>
          <w:noProof/>
          <w:lang w:val="es-ES_tradnl"/>
        </w:rPr>
        <w:t xml:space="preserve"> confirmaron que en la lista de observadores permanentes en la Asamblea General de las Naciones Unidas no figuraban acuerdos multilaterales para el medio ambiente (AMMA) y que las razones de ello no guardaban relación con la cuestión de qué institución acogía un determinado AMMA.</w:t>
      </w:r>
    </w:p>
    <w:p w14:paraId="7145D2D9" w14:textId="77777777" w:rsidR="0078467B" w:rsidRPr="0078467B" w:rsidRDefault="0078467B" w:rsidP="0078467B">
      <w:pPr>
        <w:spacing w:after="0" w:line="240" w:lineRule="auto"/>
        <w:ind w:left="426" w:hanging="426"/>
        <w:contextualSpacing/>
        <w:rPr>
          <w:rFonts w:cs="Calibri"/>
          <w:bCs/>
          <w:noProof/>
          <w:lang w:val="es-ES_tradnl"/>
        </w:rPr>
      </w:pPr>
    </w:p>
    <w:p w14:paraId="1EB6BDBA" w14:textId="77777777" w:rsidR="0078467B" w:rsidRPr="0078467B" w:rsidRDefault="0078467B" w:rsidP="0078467B">
      <w:pPr>
        <w:spacing w:after="0" w:line="240" w:lineRule="auto"/>
        <w:ind w:left="426" w:hanging="426"/>
        <w:contextualSpacing/>
        <w:rPr>
          <w:rFonts w:cs="Calibri"/>
          <w:bCs/>
          <w:noProof/>
          <w:lang w:val="es-ES_tradnl"/>
        </w:rPr>
      </w:pPr>
      <w:r w:rsidRPr="0078467B">
        <w:rPr>
          <w:rFonts w:cs="Calibri"/>
          <w:bCs/>
          <w:noProof/>
          <w:lang w:val="es-ES_tradnl"/>
        </w:rPr>
        <w:t xml:space="preserve">112. </w:t>
      </w:r>
      <w:r w:rsidRPr="0078467B">
        <w:rPr>
          <w:rFonts w:cs="Calibri"/>
          <w:b/>
          <w:bCs/>
          <w:noProof/>
          <w:lang w:val="es-ES_tradnl"/>
        </w:rPr>
        <w:t>Suiza</w:t>
      </w:r>
      <w:r w:rsidRPr="0078467B">
        <w:rPr>
          <w:rFonts w:cs="Calibri"/>
          <w:bCs/>
          <w:noProof/>
          <w:lang w:val="es-ES_tradnl"/>
        </w:rPr>
        <w:t xml:space="preserve"> sugirió efectuar un acercamiento al Consejo Económico y Social de las Naciones Unidas (ECOSOC).</w:t>
      </w:r>
    </w:p>
    <w:p w14:paraId="63995BD0" w14:textId="77777777" w:rsidR="0078467B" w:rsidRPr="0078467B" w:rsidRDefault="0078467B" w:rsidP="0078467B">
      <w:pPr>
        <w:spacing w:after="0" w:line="240" w:lineRule="auto"/>
        <w:ind w:left="426" w:hanging="426"/>
        <w:contextualSpacing/>
        <w:rPr>
          <w:rFonts w:cs="Calibri"/>
          <w:bCs/>
          <w:noProof/>
          <w:lang w:val="es-ES_tradnl"/>
        </w:rPr>
      </w:pPr>
    </w:p>
    <w:p w14:paraId="0D643333" w14:textId="77777777" w:rsidR="0078467B" w:rsidRPr="0078467B" w:rsidRDefault="0078467B" w:rsidP="0078467B">
      <w:pPr>
        <w:spacing w:after="0" w:line="240" w:lineRule="auto"/>
        <w:ind w:left="426" w:hanging="426"/>
        <w:contextualSpacing/>
        <w:rPr>
          <w:rFonts w:cs="Calibri"/>
          <w:bCs/>
          <w:noProof/>
          <w:lang w:val="es-ES_tradnl"/>
        </w:rPr>
      </w:pPr>
      <w:r w:rsidRPr="0078467B">
        <w:rPr>
          <w:rFonts w:cs="Calibri"/>
          <w:bCs/>
          <w:noProof/>
          <w:lang w:val="es-ES_tradnl"/>
        </w:rPr>
        <w:t xml:space="preserve">113. La </w:t>
      </w:r>
      <w:r w:rsidRPr="0078467B">
        <w:rPr>
          <w:rFonts w:cs="Calibri"/>
          <w:b/>
          <w:bCs/>
          <w:noProof/>
          <w:lang w:val="es-ES_tradnl"/>
        </w:rPr>
        <w:t>Secretaría</w:t>
      </w:r>
      <w:r w:rsidRPr="0078467B">
        <w:rPr>
          <w:rFonts w:cs="Calibri"/>
          <w:bCs/>
          <w:noProof/>
          <w:lang w:val="es-ES_tradnl"/>
        </w:rPr>
        <w:t xml:space="preserve"> informó que la Oficina de Asuntos Jurídicos de las Naciones Unidas en Nueva York ya había sugerido ponerse directamente en contacto con el Presidente del ECOSOC. Este enfoque había resultado infructuoso en la década de 1990, pero podría valer la pena volver a intentarlo.</w:t>
      </w:r>
    </w:p>
    <w:p w14:paraId="580CEFF0" w14:textId="77777777" w:rsidR="0078467B" w:rsidRPr="0078467B" w:rsidRDefault="0078467B" w:rsidP="0078467B">
      <w:pPr>
        <w:spacing w:after="0" w:line="240" w:lineRule="auto"/>
        <w:ind w:left="426" w:hanging="426"/>
        <w:contextualSpacing/>
        <w:rPr>
          <w:rFonts w:cs="Calibri"/>
          <w:bCs/>
          <w:noProof/>
          <w:lang w:val="es-ES_tradnl"/>
        </w:rPr>
      </w:pPr>
    </w:p>
    <w:p w14:paraId="035D9DD0" w14:textId="77777777" w:rsidR="0078467B" w:rsidRPr="0078467B" w:rsidRDefault="0078467B" w:rsidP="0078467B">
      <w:pPr>
        <w:spacing w:after="0" w:line="240" w:lineRule="auto"/>
        <w:ind w:left="426" w:hanging="426"/>
        <w:contextualSpacing/>
        <w:rPr>
          <w:rFonts w:cs="Calibri"/>
          <w:bCs/>
          <w:noProof/>
          <w:lang w:val="es-ES_tradnl"/>
        </w:rPr>
      </w:pPr>
      <w:r w:rsidRPr="0078467B">
        <w:rPr>
          <w:rFonts w:cs="Calibri"/>
          <w:bCs/>
          <w:noProof/>
          <w:lang w:val="es-ES_tradnl"/>
        </w:rPr>
        <w:t xml:space="preserve">114. El </w:t>
      </w:r>
      <w:r w:rsidRPr="0078467B">
        <w:rPr>
          <w:rFonts w:cs="Calibri"/>
          <w:b/>
          <w:bCs/>
          <w:noProof/>
          <w:lang w:val="es-ES_tradnl"/>
        </w:rPr>
        <w:t>Asesor Jurídico</w:t>
      </w:r>
      <w:r w:rsidRPr="0078467B">
        <w:rPr>
          <w:rFonts w:cs="Calibri"/>
          <w:bCs/>
          <w:noProof/>
          <w:lang w:val="es-ES_tradnl"/>
        </w:rPr>
        <w:t xml:space="preserve"> proporcionó más contexto y análisis observando que seguía habiendo cierto margen para argumentar que la Secretaría calificaba como organización internacional, por lo que cumplía los criterios de admisión como Observador Permanente.</w:t>
      </w:r>
    </w:p>
    <w:p w14:paraId="397BDCF3" w14:textId="77777777" w:rsidR="0078467B" w:rsidRPr="0078467B" w:rsidRDefault="0078467B" w:rsidP="0078467B">
      <w:pPr>
        <w:spacing w:after="0" w:line="240" w:lineRule="auto"/>
        <w:ind w:left="426" w:hanging="426"/>
        <w:contextualSpacing/>
        <w:rPr>
          <w:rFonts w:cs="Calibri"/>
          <w:bCs/>
          <w:noProof/>
          <w:lang w:val="es-ES_tradnl"/>
        </w:rPr>
      </w:pPr>
    </w:p>
    <w:p w14:paraId="5FD82C71" w14:textId="77777777" w:rsidR="0078467B" w:rsidRPr="0078467B" w:rsidRDefault="0078467B" w:rsidP="0078467B">
      <w:pPr>
        <w:spacing w:after="0" w:line="240" w:lineRule="auto"/>
        <w:ind w:left="426" w:hanging="426"/>
        <w:contextualSpacing/>
        <w:rPr>
          <w:rFonts w:cs="Calibri"/>
          <w:bCs/>
          <w:noProof/>
          <w:lang w:val="es-ES_tradnl"/>
        </w:rPr>
      </w:pPr>
      <w:r w:rsidRPr="0078467B">
        <w:rPr>
          <w:rFonts w:cs="Calibri"/>
          <w:bCs/>
          <w:noProof/>
          <w:lang w:val="es-ES_tradnl"/>
        </w:rPr>
        <w:t xml:space="preserve">115. La </w:t>
      </w:r>
      <w:r w:rsidRPr="0078467B">
        <w:rPr>
          <w:rFonts w:cs="Calibri"/>
          <w:b/>
          <w:bCs/>
          <w:noProof/>
          <w:lang w:val="es-ES_tradnl"/>
        </w:rPr>
        <w:t>Secretaria General</w:t>
      </w:r>
      <w:r w:rsidRPr="0078467B">
        <w:rPr>
          <w:rFonts w:cs="Calibri"/>
          <w:bCs/>
          <w:noProof/>
          <w:lang w:val="es-ES_tradnl"/>
        </w:rPr>
        <w:t xml:space="preserve"> expresó su preocupación por el hecho de que la labor que las Partes le habían encomendado a la Secretaría dependía del acceso a los foros de alto nivel pertinentes. </w:t>
      </w:r>
      <w:r w:rsidRPr="0078467B">
        <w:rPr>
          <w:rFonts w:cs="Calibri"/>
          <w:bCs/>
          <w:noProof/>
          <w:lang w:val="es-ES_tradnl"/>
        </w:rPr>
        <w:lastRenderedPageBreak/>
        <w:t>La Secretaría estaba dispuesta a estudiar todas las opciones, pero si estos esfuerzos fracasaran, ello afectaría la capacidad de la Secretaría para cumplir.</w:t>
      </w:r>
    </w:p>
    <w:p w14:paraId="032DE6E9" w14:textId="77777777" w:rsidR="0078467B" w:rsidRPr="0078467B" w:rsidRDefault="0078467B" w:rsidP="0078467B">
      <w:pPr>
        <w:spacing w:after="0" w:line="240" w:lineRule="auto"/>
        <w:contextualSpacing/>
        <w:rPr>
          <w:rFonts w:cs="Calibri"/>
          <w:bCs/>
          <w:noProof/>
          <w:lang w:val="es-ES_tradnl"/>
        </w:rPr>
      </w:pPr>
    </w:p>
    <w:p w14:paraId="130035CA" w14:textId="26737D9E" w:rsidR="0078467B" w:rsidRPr="0078467B" w:rsidRDefault="00A3305C" w:rsidP="0078467B">
      <w:pPr>
        <w:spacing w:after="0" w:line="240" w:lineRule="auto"/>
        <w:rPr>
          <w:rFonts w:asciiTheme="majorHAnsi" w:hAnsiTheme="majorHAnsi"/>
          <w:b/>
          <w:bCs/>
          <w:noProof/>
          <w:lang w:val="es-ES_tradnl"/>
        </w:rPr>
      </w:pPr>
      <w:r>
        <w:rPr>
          <w:rFonts w:asciiTheme="majorHAnsi" w:hAnsiTheme="majorHAnsi"/>
          <w:b/>
          <w:bCs/>
          <w:noProof/>
          <w:lang w:val="es-ES_tradnl"/>
        </w:rPr>
        <w:t>Decisión SC54-06</w:t>
      </w:r>
      <w:r w:rsidR="0078467B" w:rsidRPr="0078467B">
        <w:rPr>
          <w:rFonts w:asciiTheme="majorHAnsi" w:hAnsiTheme="majorHAnsi"/>
          <w:b/>
          <w:bCs/>
          <w:noProof/>
          <w:lang w:val="es-ES_tradnl"/>
        </w:rPr>
        <w:t>: El Comité Permanente instruyó a la Secretaría, junto con las Partes interesadas, a que continuara estudiando las opciones para obtener acceso a las reuniones de la Asamblea General de las Naciones Unidas y los foros de alto nivel relacionados.</w:t>
      </w:r>
    </w:p>
    <w:p w14:paraId="0A1C4242" w14:textId="77777777" w:rsidR="0078467B" w:rsidRPr="0078467B" w:rsidRDefault="0078467B" w:rsidP="0078467B">
      <w:pPr>
        <w:spacing w:after="0" w:line="240" w:lineRule="auto"/>
        <w:rPr>
          <w:rFonts w:asciiTheme="majorHAnsi" w:hAnsiTheme="majorHAnsi"/>
          <w:b/>
          <w:bCs/>
          <w:noProof/>
          <w:lang w:val="es-ES_tradnl"/>
        </w:rPr>
      </w:pPr>
    </w:p>
    <w:p w14:paraId="7926871C" w14:textId="77777777" w:rsidR="0078467B" w:rsidRPr="0078467B" w:rsidRDefault="0078467B" w:rsidP="0078467B">
      <w:pPr>
        <w:pBdr>
          <w:top w:val="single" w:sz="4" w:space="1" w:color="auto"/>
          <w:left w:val="single" w:sz="4" w:space="4" w:color="auto"/>
          <w:bottom w:val="single" w:sz="4" w:space="1" w:color="auto"/>
          <w:right w:val="single" w:sz="4" w:space="4" w:color="auto"/>
        </w:pBdr>
        <w:spacing w:after="0" w:line="240" w:lineRule="auto"/>
        <w:outlineLvl w:val="0"/>
        <w:rPr>
          <w:rFonts w:asciiTheme="majorHAnsi" w:hAnsiTheme="majorHAnsi"/>
          <w:bCs/>
          <w:noProof/>
          <w:lang w:val="es-ES_tradnl"/>
        </w:rPr>
      </w:pPr>
      <w:r w:rsidRPr="0078467B">
        <w:rPr>
          <w:rFonts w:asciiTheme="majorHAnsi" w:hAnsiTheme="majorHAnsi"/>
          <w:bCs/>
          <w:noProof/>
          <w:lang w:val="es-ES_tradnl"/>
        </w:rPr>
        <w:t>Punto 3 del orden del día: Adopción del programa de trabajo provisional (continuación)</w:t>
      </w:r>
    </w:p>
    <w:p w14:paraId="561A32A9" w14:textId="77777777" w:rsidR="0078467B" w:rsidRPr="0078467B" w:rsidRDefault="0078467B" w:rsidP="0078467B">
      <w:pPr>
        <w:spacing w:after="0" w:line="240" w:lineRule="auto"/>
        <w:ind w:left="426" w:hanging="426"/>
        <w:contextualSpacing/>
        <w:rPr>
          <w:rFonts w:cs="Calibri"/>
          <w:bCs/>
          <w:noProof/>
          <w:lang w:val="es-ES_tradnl"/>
        </w:rPr>
      </w:pPr>
    </w:p>
    <w:p w14:paraId="4616500A" w14:textId="77777777" w:rsidR="0078467B" w:rsidRPr="0078467B" w:rsidRDefault="0078467B" w:rsidP="0078467B">
      <w:pPr>
        <w:spacing w:after="0" w:line="240" w:lineRule="auto"/>
        <w:ind w:left="426" w:hanging="426"/>
        <w:contextualSpacing/>
        <w:rPr>
          <w:rFonts w:cs="Calibri"/>
          <w:bCs/>
          <w:noProof/>
          <w:lang w:val="es-ES_tradnl"/>
        </w:rPr>
      </w:pPr>
      <w:r w:rsidRPr="0078467B">
        <w:rPr>
          <w:rFonts w:cs="Calibri"/>
          <w:bCs/>
          <w:noProof/>
          <w:lang w:val="es-ES_tradnl"/>
        </w:rPr>
        <w:t xml:space="preserve">116. La </w:t>
      </w:r>
      <w:r w:rsidRPr="0078467B">
        <w:rPr>
          <w:rFonts w:cs="Calibri"/>
          <w:b/>
          <w:bCs/>
          <w:noProof/>
          <w:lang w:val="es-ES_tradnl"/>
        </w:rPr>
        <w:t>Secretaría</w:t>
      </w:r>
      <w:r w:rsidRPr="0078467B">
        <w:rPr>
          <w:rFonts w:cs="Calibri"/>
          <w:bCs/>
          <w:noProof/>
          <w:lang w:val="es-ES_tradnl"/>
        </w:rPr>
        <w:t xml:space="preserve"> proporcionó información sobre los horarios y los lugares de las reuniones del Grupo de trabajo de facilitación y el Subgrupo de Finanzas, y confirmó que la secuencia de los proyectos de resolución que aún no se habían examinado seguía siendo la que figuraba en el programa de trabajo.</w:t>
      </w:r>
    </w:p>
    <w:p w14:paraId="610976E2" w14:textId="77777777" w:rsidR="0078467B" w:rsidRPr="0078467B" w:rsidRDefault="0078467B" w:rsidP="0078467B">
      <w:pPr>
        <w:spacing w:after="0" w:line="240" w:lineRule="auto"/>
        <w:ind w:left="426" w:hanging="426"/>
        <w:contextualSpacing/>
        <w:rPr>
          <w:rFonts w:cs="Calibri"/>
          <w:bCs/>
          <w:noProof/>
          <w:lang w:val="es-ES_tradnl"/>
        </w:rPr>
      </w:pPr>
    </w:p>
    <w:p w14:paraId="4322A17B" w14:textId="77777777" w:rsidR="0078467B" w:rsidRPr="0078467B" w:rsidRDefault="0078467B" w:rsidP="0078467B">
      <w:pPr>
        <w:spacing w:after="0" w:line="240" w:lineRule="auto"/>
        <w:ind w:left="426" w:hanging="426"/>
        <w:contextualSpacing/>
        <w:rPr>
          <w:rFonts w:cs="Calibri"/>
          <w:bCs/>
          <w:noProof/>
          <w:lang w:val="es-ES_tradnl"/>
        </w:rPr>
      </w:pPr>
      <w:r w:rsidRPr="0078467B">
        <w:rPr>
          <w:rFonts w:cs="Calibri"/>
          <w:bCs/>
          <w:noProof/>
          <w:lang w:val="es-ES_tradnl"/>
        </w:rPr>
        <w:t xml:space="preserve">117. </w:t>
      </w:r>
      <w:r w:rsidRPr="0078467B">
        <w:rPr>
          <w:rFonts w:cs="Calibri"/>
          <w:b/>
          <w:bCs/>
          <w:noProof/>
          <w:lang w:val="es-ES_tradnl"/>
        </w:rPr>
        <w:t>Estonia</w:t>
      </w:r>
      <w:r w:rsidRPr="0078467B">
        <w:rPr>
          <w:rFonts w:cs="Calibri"/>
          <w:bCs/>
          <w:noProof/>
          <w:lang w:val="es-ES_tradnl"/>
        </w:rPr>
        <w:t xml:space="preserve">, en nombre de la región europea, y </w:t>
      </w:r>
      <w:r w:rsidRPr="0078467B">
        <w:rPr>
          <w:rFonts w:cs="Calibri"/>
          <w:b/>
          <w:bCs/>
          <w:noProof/>
          <w:lang w:val="es-ES_tradnl"/>
        </w:rPr>
        <w:t>Suiza</w:t>
      </w:r>
      <w:r w:rsidRPr="0078467B">
        <w:rPr>
          <w:rFonts w:cs="Calibri"/>
          <w:bCs/>
          <w:noProof/>
          <w:lang w:val="es-ES_tradnl"/>
        </w:rPr>
        <w:t xml:space="preserve"> solicitaron el establecimiento de un grupo de contacto independiente para que examinara el proyecto de resolución contenido en el documento Doc. SC54-21.8, </w:t>
      </w:r>
      <w:r w:rsidRPr="0078467B">
        <w:rPr>
          <w:rFonts w:cs="Calibri"/>
          <w:bCs/>
          <w:i/>
          <w:noProof/>
          <w:lang w:val="es-ES_tradnl"/>
        </w:rPr>
        <w:t>Mejora de la eficacia de las estructuras y los procesos de la Convención</w:t>
      </w:r>
      <w:r w:rsidRPr="0078467B">
        <w:rPr>
          <w:rFonts w:cs="Calibri"/>
          <w:bCs/>
          <w:noProof/>
          <w:lang w:val="es-ES_tradnl"/>
        </w:rPr>
        <w:t>.</w:t>
      </w:r>
    </w:p>
    <w:p w14:paraId="2299BC4F" w14:textId="77777777" w:rsidR="0078467B" w:rsidRPr="0078467B" w:rsidRDefault="0078467B" w:rsidP="0078467B">
      <w:pPr>
        <w:spacing w:after="0" w:line="240" w:lineRule="auto"/>
        <w:ind w:left="426" w:hanging="426"/>
        <w:contextualSpacing/>
        <w:rPr>
          <w:rFonts w:cs="Calibri"/>
          <w:bCs/>
          <w:noProof/>
          <w:lang w:val="es-ES_tradnl"/>
        </w:rPr>
      </w:pPr>
    </w:p>
    <w:p w14:paraId="7ED9E741" w14:textId="77777777" w:rsidR="0078467B" w:rsidRPr="0078467B" w:rsidRDefault="0078467B" w:rsidP="0078467B">
      <w:pPr>
        <w:spacing w:after="0" w:line="240" w:lineRule="auto"/>
        <w:ind w:left="426" w:hanging="426"/>
        <w:contextualSpacing/>
        <w:rPr>
          <w:rFonts w:cs="Calibri"/>
          <w:bCs/>
          <w:noProof/>
          <w:lang w:val="es-ES_tradnl"/>
        </w:rPr>
      </w:pPr>
      <w:r w:rsidRPr="0078467B">
        <w:rPr>
          <w:rFonts w:cs="Calibri"/>
          <w:bCs/>
          <w:noProof/>
          <w:lang w:val="es-ES_tradnl"/>
        </w:rPr>
        <w:t xml:space="preserve">118. La </w:t>
      </w:r>
      <w:r w:rsidRPr="0078467B">
        <w:rPr>
          <w:rFonts w:cs="Calibri"/>
          <w:b/>
          <w:bCs/>
          <w:noProof/>
          <w:lang w:val="es-ES_tradnl"/>
        </w:rPr>
        <w:t>Presidencia</w:t>
      </w:r>
      <w:r w:rsidRPr="0078467B">
        <w:rPr>
          <w:rFonts w:cs="Calibri"/>
          <w:bCs/>
          <w:noProof/>
          <w:lang w:val="es-ES_tradnl"/>
        </w:rPr>
        <w:t xml:space="preserve"> recordó que el Comité Permanente había encomendado al Grupo de trabajo de facilitación el examen de cuestiones relacionadas con los puntos 9, 10 y 21.8 del orden del día. Este asunto quedó cerrado.</w:t>
      </w:r>
    </w:p>
    <w:p w14:paraId="0889B089" w14:textId="77777777" w:rsidR="0078467B" w:rsidRPr="0078467B" w:rsidRDefault="0078467B" w:rsidP="0078467B">
      <w:pPr>
        <w:spacing w:after="0" w:line="240" w:lineRule="auto"/>
        <w:ind w:left="426" w:hanging="426"/>
        <w:contextualSpacing/>
        <w:rPr>
          <w:rFonts w:cs="Calibri"/>
          <w:bCs/>
          <w:noProof/>
          <w:lang w:val="es-ES_tradnl"/>
        </w:rPr>
      </w:pPr>
    </w:p>
    <w:p w14:paraId="25463E6E" w14:textId="77777777" w:rsidR="0078467B" w:rsidRPr="0078467B" w:rsidRDefault="0078467B" w:rsidP="0078467B">
      <w:pPr>
        <w:spacing w:after="0" w:line="240" w:lineRule="auto"/>
        <w:ind w:left="425" w:hanging="425"/>
        <w:rPr>
          <w:rFonts w:asciiTheme="majorHAnsi" w:hAnsiTheme="majorHAnsi"/>
          <w:lang w:val="es-ES_tradnl"/>
        </w:rPr>
      </w:pPr>
      <w:r w:rsidRPr="0078467B">
        <w:rPr>
          <w:rFonts w:asciiTheme="majorHAnsi" w:hAnsiTheme="majorHAnsi"/>
          <w:lang w:val="es-ES_tradnl"/>
        </w:rPr>
        <w:t xml:space="preserve">La </w:t>
      </w:r>
      <w:r w:rsidRPr="0078467B">
        <w:rPr>
          <w:rFonts w:asciiTheme="majorHAnsi" w:hAnsiTheme="majorHAnsi"/>
          <w:b/>
          <w:lang w:val="es-ES_tradnl"/>
        </w:rPr>
        <w:t>Presidencia</w:t>
      </w:r>
      <w:r w:rsidRPr="0078467B">
        <w:rPr>
          <w:rFonts w:asciiTheme="majorHAnsi" w:hAnsiTheme="majorHAnsi"/>
          <w:lang w:val="es-ES_tradnl"/>
        </w:rPr>
        <w:t xml:space="preserve"> levantó la sesión a las 18:28 horas.</w:t>
      </w:r>
    </w:p>
    <w:p w14:paraId="12D5C074" w14:textId="77777777" w:rsidR="0078467B" w:rsidRPr="0078467B" w:rsidRDefault="0078467B" w:rsidP="0078467B">
      <w:pPr>
        <w:spacing w:after="0" w:line="240" w:lineRule="auto"/>
        <w:ind w:left="426" w:hanging="426"/>
        <w:contextualSpacing/>
        <w:rPr>
          <w:rFonts w:cs="Calibri"/>
          <w:bCs/>
          <w:noProof/>
          <w:lang w:val="es-ES_tradnl"/>
        </w:rPr>
      </w:pPr>
    </w:p>
    <w:p w14:paraId="2D44E85A" w14:textId="77777777" w:rsidR="0078467B" w:rsidRPr="0078467B" w:rsidRDefault="0078467B" w:rsidP="0078467B">
      <w:pPr>
        <w:spacing w:after="0" w:line="240" w:lineRule="auto"/>
        <w:ind w:left="426" w:hanging="426"/>
        <w:rPr>
          <w:rFonts w:cs="Calibri"/>
          <w:noProof/>
          <w:lang w:val="es-ES_tradnl"/>
        </w:rPr>
      </w:pPr>
    </w:p>
    <w:p w14:paraId="47927FBD" w14:textId="77777777" w:rsidR="0078467B" w:rsidRPr="0078467B" w:rsidRDefault="0078467B" w:rsidP="0078467B">
      <w:pPr>
        <w:rPr>
          <w:rFonts w:asciiTheme="minorHAnsi" w:eastAsiaTheme="minorEastAsia" w:hAnsiTheme="minorHAnsi" w:cstheme="minorBidi"/>
          <w:sz w:val="24"/>
          <w:szCs w:val="24"/>
          <w:lang w:val="es-ES"/>
        </w:rPr>
      </w:pPr>
    </w:p>
    <w:p w14:paraId="4DC1E674" w14:textId="77777777" w:rsidR="0083517F" w:rsidRPr="0078467B" w:rsidRDefault="0083517F">
      <w:pPr>
        <w:rPr>
          <w:rFonts w:asciiTheme="minorHAnsi" w:eastAsiaTheme="minorEastAsia" w:hAnsiTheme="minorHAnsi" w:cstheme="minorBidi"/>
          <w:sz w:val="24"/>
          <w:szCs w:val="24"/>
          <w:lang w:val="es-ES"/>
        </w:rPr>
      </w:pPr>
    </w:p>
    <w:sectPr w:rsidR="0083517F" w:rsidRPr="0078467B" w:rsidSect="00216EB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35503" w14:textId="77777777" w:rsidR="00071916" w:rsidRDefault="00071916" w:rsidP="00BB101B">
      <w:pPr>
        <w:spacing w:after="0" w:line="240" w:lineRule="auto"/>
      </w:pPr>
      <w:r>
        <w:separator/>
      </w:r>
    </w:p>
  </w:endnote>
  <w:endnote w:type="continuationSeparator" w:id="0">
    <w:p w14:paraId="1354D1EB" w14:textId="77777777" w:rsidR="00071916" w:rsidRDefault="00071916" w:rsidP="00BB1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C5210" w14:textId="77777777" w:rsidR="0078467B" w:rsidRDefault="007846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E2863" w14:textId="4AD337D8" w:rsidR="00071916" w:rsidRPr="00CE20D5" w:rsidRDefault="00071916" w:rsidP="00216EB7">
    <w:pPr>
      <w:pStyle w:val="Header"/>
      <w:rPr>
        <w:noProof/>
        <w:sz w:val="20"/>
        <w:szCs w:val="20"/>
        <w:lang w:val="es-ES_tradnl"/>
      </w:rPr>
    </w:pPr>
    <w:r w:rsidRPr="00CE20D5">
      <w:rPr>
        <w:noProof/>
        <w:sz w:val="20"/>
        <w:szCs w:val="20"/>
        <w:lang w:val="es-ES_tradnl"/>
      </w:rPr>
      <w:t>SC54</w:t>
    </w:r>
    <w:r w:rsidR="000F7939">
      <w:rPr>
        <w:noProof/>
        <w:sz w:val="20"/>
        <w:szCs w:val="20"/>
        <w:lang w:val="es-ES_tradnl"/>
      </w:rPr>
      <w:t xml:space="preserve"> Rep.2</w:t>
    </w:r>
    <w:bookmarkStart w:id="0" w:name="_GoBack"/>
    <w:bookmarkEnd w:id="0"/>
    <w:r w:rsidRPr="00CE20D5">
      <w:rPr>
        <w:noProof/>
        <w:sz w:val="20"/>
        <w:szCs w:val="20"/>
        <w:lang w:val="es-ES_tradnl"/>
      </w:rPr>
      <w:tab/>
    </w:r>
    <w:r w:rsidRPr="00CE20D5">
      <w:rPr>
        <w:noProof/>
        <w:sz w:val="20"/>
        <w:szCs w:val="20"/>
        <w:lang w:val="es-ES_tradnl"/>
      </w:rPr>
      <w:tab/>
    </w:r>
    <w:sdt>
      <w:sdtPr>
        <w:rPr>
          <w:noProof/>
          <w:sz w:val="20"/>
          <w:szCs w:val="20"/>
          <w:lang w:val="es-ES_tradnl"/>
        </w:rPr>
        <w:id w:val="-1790969534"/>
        <w:docPartObj>
          <w:docPartGallery w:val="Page Numbers (Top of Page)"/>
          <w:docPartUnique/>
        </w:docPartObj>
      </w:sdtPr>
      <w:sdtEndPr/>
      <w:sdtContent>
        <w:r w:rsidRPr="00CE20D5">
          <w:rPr>
            <w:noProof/>
            <w:sz w:val="20"/>
            <w:szCs w:val="20"/>
            <w:lang w:val="es-ES_tradnl"/>
          </w:rPr>
          <w:fldChar w:fldCharType="begin"/>
        </w:r>
        <w:r w:rsidRPr="00CE20D5">
          <w:rPr>
            <w:noProof/>
            <w:sz w:val="20"/>
            <w:szCs w:val="20"/>
            <w:lang w:val="es-ES_tradnl"/>
          </w:rPr>
          <w:instrText xml:space="preserve"> PAGE   \* MERGEFORMAT </w:instrText>
        </w:r>
        <w:r w:rsidRPr="00CE20D5">
          <w:rPr>
            <w:noProof/>
            <w:sz w:val="20"/>
            <w:szCs w:val="20"/>
            <w:lang w:val="es-ES_tradnl"/>
          </w:rPr>
          <w:fldChar w:fldCharType="separate"/>
        </w:r>
        <w:r w:rsidR="000F7939">
          <w:rPr>
            <w:noProof/>
            <w:sz w:val="20"/>
            <w:szCs w:val="20"/>
            <w:lang w:val="es-ES_tradnl"/>
          </w:rPr>
          <w:t>2</w:t>
        </w:r>
        <w:r w:rsidRPr="00CE20D5">
          <w:rPr>
            <w:noProof/>
            <w:sz w:val="20"/>
            <w:szCs w:val="20"/>
            <w:lang w:val="es-ES_tradnl"/>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D7B58" w14:textId="77777777" w:rsidR="0078467B" w:rsidRDefault="007846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F2C9E" w14:textId="77777777" w:rsidR="00071916" w:rsidRDefault="00071916" w:rsidP="00BB101B">
      <w:pPr>
        <w:spacing w:after="0" w:line="240" w:lineRule="auto"/>
      </w:pPr>
      <w:r>
        <w:separator/>
      </w:r>
    </w:p>
  </w:footnote>
  <w:footnote w:type="continuationSeparator" w:id="0">
    <w:p w14:paraId="409BCC0E" w14:textId="77777777" w:rsidR="00071916" w:rsidRDefault="00071916" w:rsidP="00BB1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F0EBB" w14:textId="77777777" w:rsidR="0078467B" w:rsidRDefault="007846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8CD26" w14:textId="77777777" w:rsidR="00071916" w:rsidRDefault="00071916">
    <w:pPr>
      <w:pStyle w:val="Header"/>
    </w:pPr>
  </w:p>
  <w:p w14:paraId="4212DDAF" w14:textId="77777777" w:rsidR="00071916" w:rsidRDefault="000719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51C23" w14:textId="77777777" w:rsidR="0078467B" w:rsidRDefault="007846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93B16"/>
    <w:multiLevelType w:val="hybridMultilevel"/>
    <w:tmpl w:val="150E1CF8"/>
    <w:lvl w:ilvl="0" w:tplc="96CCB7D2">
      <w:start w:val="3"/>
      <w:numFmt w:val="bullet"/>
      <w:lvlText w:val="-"/>
      <w:lvlJc w:val="left"/>
      <w:pPr>
        <w:ind w:left="2880" w:hanging="360"/>
      </w:pPr>
      <w:rPr>
        <w:rFonts w:ascii="Calibri" w:eastAsia="Calibri" w:hAnsi="Calibri" w:cs="Times New Roman"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
    <w:nsid w:val="24661E6D"/>
    <w:multiLevelType w:val="hybridMultilevel"/>
    <w:tmpl w:val="059A2D40"/>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
    <w:nsid w:val="2FEC2AE1"/>
    <w:multiLevelType w:val="hybridMultilevel"/>
    <w:tmpl w:val="56487C5A"/>
    <w:lvl w:ilvl="0" w:tplc="241E158C">
      <w:start w:val="27"/>
      <w:numFmt w:val="decimal"/>
      <w:lvlText w:val="%1."/>
      <w:lvlJc w:val="left"/>
      <w:pPr>
        <w:ind w:left="83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F510F4D4">
      <w:start w:val="1"/>
      <w:numFmt w:val="lowerLetter"/>
      <w:lvlText w:val="%2"/>
      <w:lvlJc w:val="left"/>
      <w:pPr>
        <w:ind w:left="120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11486A32">
      <w:start w:val="1"/>
      <w:numFmt w:val="lowerRoman"/>
      <w:lvlText w:val="%3"/>
      <w:lvlJc w:val="left"/>
      <w:pPr>
        <w:ind w:left="192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718C6588">
      <w:start w:val="1"/>
      <w:numFmt w:val="decimal"/>
      <w:lvlText w:val="%4"/>
      <w:lvlJc w:val="left"/>
      <w:pPr>
        <w:ind w:left="264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6E7E74D4">
      <w:start w:val="1"/>
      <w:numFmt w:val="lowerLetter"/>
      <w:lvlText w:val="%5"/>
      <w:lvlJc w:val="left"/>
      <w:pPr>
        <w:ind w:left="336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62D4B598">
      <w:start w:val="1"/>
      <w:numFmt w:val="lowerRoman"/>
      <w:lvlText w:val="%6"/>
      <w:lvlJc w:val="left"/>
      <w:pPr>
        <w:ind w:left="408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FC224E46">
      <w:start w:val="1"/>
      <w:numFmt w:val="decimal"/>
      <w:lvlText w:val="%7"/>
      <w:lvlJc w:val="left"/>
      <w:pPr>
        <w:ind w:left="480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477A636E">
      <w:start w:val="1"/>
      <w:numFmt w:val="lowerLetter"/>
      <w:lvlText w:val="%8"/>
      <w:lvlJc w:val="left"/>
      <w:pPr>
        <w:ind w:left="552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FE46919E">
      <w:start w:val="1"/>
      <w:numFmt w:val="lowerRoman"/>
      <w:lvlText w:val="%9"/>
      <w:lvlJc w:val="left"/>
      <w:pPr>
        <w:ind w:left="624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3">
    <w:nsid w:val="3659407A"/>
    <w:multiLevelType w:val="hybridMultilevel"/>
    <w:tmpl w:val="A6A23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B265A4"/>
    <w:multiLevelType w:val="hybridMultilevel"/>
    <w:tmpl w:val="3C62CEAC"/>
    <w:lvl w:ilvl="0" w:tplc="9E5EE8A2">
      <w:start w:val="1"/>
      <w:numFmt w:val="decimal"/>
      <w:lvlText w:val="%1."/>
      <w:lvlJc w:val="left"/>
      <w:pPr>
        <w:ind w:left="360" w:hanging="360"/>
      </w:pPr>
      <w:rPr>
        <w:b w:val="0"/>
        <w:bCs w:val="0"/>
      </w:rPr>
    </w:lvl>
    <w:lvl w:ilvl="1" w:tplc="04602ABE">
      <w:start w:val="1"/>
      <w:numFmt w:val="lowerLetter"/>
      <w:lvlText w:val="%2."/>
      <w:lvlJc w:val="left"/>
      <w:pPr>
        <w:ind w:left="851" w:hanging="426"/>
      </w:pPr>
      <w:rPr>
        <w:rFonts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nsid w:val="5ED841A8"/>
    <w:multiLevelType w:val="hybridMultilevel"/>
    <w:tmpl w:val="0D1C3D8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nsid w:val="64932F65"/>
    <w:multiLevelType w:val="hybridMultilevel"/>
    <w:tmpl w:val="D5CE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1D5B26"/>
    <w:multiLevelType w:val="hybridMultilevel"/>
    <w:tmpl w:val="24CC083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nsid w:val="722712AD"/>
    <w:multiLevelType w:val="hybridMultilevel"/>
    <w:tmpl w:val="55F033D2"/>
    <w:lvl w:ilvl="0" w:tplc="04090001">
      <w:start w:val="1"/>
      <w:numFmt w:val="bullet"/>
      <w:lvlText w:val=""/>
      <w:lvlJc w:val="left"/>
      <w:pPr>
        <w:ind w:left="2051" w:hanging="360"/>
      </w:pPr>
      <w:rPr>
        <w:rFonts w:ascii="Symbol" w:hAnsi="Symbol" w:hint="default"/>
      </w:rPr>
    </w:lvl>
    <w:lvl w:ilvl="1" w:tplc="04090003" w:tentative="1">
      <w:start w:val="1"/>
      <w:numFmt w:val="bullet"/>
      <w:lvlText w:val="o"/>
      <w:lvlJc w:val="left"/>
      <w:pPr>
        <w:ind w:left="2771" w:hanging="360"/>
      </w:pPr>
      <w:rPr>
        <w:rFonts w:ascii="Courier New" w:hAnsi="Courier New" w:cs="Courier New" w:hint="default"/>
      </w:rPr>
    </w:lvl>
    <w:lvl w:ilvl="2" w:tplc="04090005" w:tentative="1">
      <w:start w:val="1"/>
      <w:numFmt w:val="bullet"/>
      <w:lvlText w:val=""/>
      <w:lvlJc w:val="left"/>
      <w:pPr>
        <w:ind w:left="3491" w:hanging="360"/>
      </w:pPr>
      <w:rPr>
        <w:rFonts w:ascii="Wingdings" w:hAnsi="Wingdings" w:hint="default"/>
      </w:rPr>
    </w:lvl>
    <w:lvl w:ilvl="3" w:tplc="04090001" w:tentative="1">
      <w:start w:val="1"/>
      <w:numFmt w:val="bullet"/>
      <w:lvlText w:val=""/>
      <w:lvlJc w:val="left"/>
      <w:pPr>
        <w:ind w:left="4211" w:hanging="360"/>
      </w:pPr>
      <w:rPr>
        <w:rFonts w:ascii="Symbol" w:hAnsi="Symbol" w:hint="default"/>
      </w:rPr>
    </w:lvl>
    <w:lvl w:ilvl="4" w:tplc="04090003" w:tentative="1">
      <w:start w:val="1"/>
      <w:numFmt w:val="bullet"/>
      <w:lvlText w:val="o"/>
      <w:lvlJc w:val="left"/>
      <w:pPr>
        <w:ind w:left="4931" w:hanging="360"/>
      </w:pPr>
      <w:rPr>
        <w:rFonts w:ascii="Courier New" w:hAnsi="Courier New" w:cs="Courier New" w:hint="default"/>
      </w:rPr>
    </w:lvl>
    <w:lvl w:ilvl="5" w:tplc="04090005" w:tentative="1">
      <w:start w:val="1"/>
      <w:numFmt w:val="bullet"/>
      <w:lvlText w:val=""/>
      <w:lvlJc w:val="left"/>
      <w:pPr>
        <w:ind w:left="5651" w:hanging="360"/>
      </w:pPr>
      <w:rPr>
        <w:rFonts w:ascii="Wingdings" w:hAnsi="Wingdings" w:hint="default"/>
      </w:rPr>
    </w:lvl>
    <w:lvl w:ilvl="6" w:tplc="04090001" w:tentative="1">
      <w:start w:val="1"/>
      <w:numFmt w:val="bullet"/>
      <w:lvlText w:val=""/>
      <w:lvlJc w:val="left"/>
      <w:pPr>
        <w:ind w:left="6371" w:hanging="360"/>
      </w:pPr>
      <w:rPr>
        <w:rFonts w:ascii="Symbol" w:hAnsi="Symbol" w:hint="default"/>
      </w:rPr>
    </w:lvl>
    <w:lvl w:ilvl="7" w:tplc="04090003" w:tentative="1">
      <w:start w:val="1"/>
      <w:numFmt w:val="bullet"/>
      <w:lvlText w:val="o"/>
      <w:lvlJc w:val="left"/>
      <w:pPr>
        <w:ind w:left="7091" w:hanging="360"/>
      </w:pPr>
      <w:rPr>
        <w:rFonts w:ascii="Courier New" w:hAnsi="Courier New" w:cs="Courier New" w:hint="default"/>
      </w:rPr>
    </w:lvl>
    <w:lvl w:ilvl="8" w:tplc="04090005" w:tentative="1">
      <w:start w:val="1"/>
      <w:numFmt w:val="bullet"/>
      <w:lvlText w:val=""/>
      <w:lvlJc w:val="left"/>
      <w:pPr>
        <w:ind w:left="7811" w:hanging="360"/>
      </w:pPr>
      <w:rPr>
        <w:rFonts w:ascii="Wingdings" w:hAnsi="Wingdings" w:hint="default"/>
      </w:rPr>
    </w:lvl>
  </w:abstractNum>
  <w:abstractNum w:abstractNumId="9">
    <w:nsid w:val="7F715757"/>
    <w:multiLevelType w:val="hybridMultilevel"/>
    <w:tmpl w:val="5C6ABED8"/>
    <w:lvl w:ilvl="0" w:tplc="96CCB7D2">
      <w:start w:val="3"/>
      <w:numFmt w:val="bullet"/>
      <w:lvlText w:val="-"/>
      <w:lvlJc w:val="left"/>
      <w:pPr>
        <w:ind w:left="2880" w:hanging="360"/>
      </w:pPr>
      <w:rPr>
        <w:rFonts w:ascii="Calibri" w:eastAsia="Calibri" w:hAnsi="Calibri" w:cs="Times New Roman"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0">
    <w:nsid w:val="7F8F737E"/>
    <w:multiLevelType w:val="hybridMultilevel"/>
    <w:tmpl w:val="F130639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4"/>
  </w:num>
  <w:num w:numId="2">
    <w:abstractNumId w:val="9"/>
  </w:num>
  <w:num w:numId="3">
    <w:abstractNumId w:val="0"/>
  </w:num>
  <w:num w:numId="4">
    <w:abstractNumId w:val="1"/>
  </w:num>
  <w:num w:numId="5">
    <w:abstractNumId w:val="3"/>
  </w:num>
  <w:num w:numId="6">
    <w:abstractNumId w:val="6"/>
  </w:num>
  <w:num w:numId="7">
    <w:abstractNumId w:val="5"/>
  </w:num>
  <w:num w:numId="8">
    <w:abstractNumId w:val="10"/>
  </w:num>
  <w:num w:numId="9">
    <w:abstractNumId w:val="2"/>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017"/>
    <w:rsid w:val="00006B6C"/>
    <w:rsid w:val="00022ABE"/>
    <w:rsid w:val="0003083B"/>
    <w:rsid w:val="00035D5E"/>
    <w:rsid w:val="00045FC7"/>
    <w:rsid w:val="00054851"/>
    <w:rsid w:val="000571A2"/>
    <w:rsid w:val="0006327A"/>
    <w:rsid w:val="00064D66"/>
    <w:rsid w:val="00071916"/>
    <w:rsid w:val="000768F4"/>
    <w:rsid w:val="00083971"/>
    <w:rsid w:val="00087ED6"/>
    <w:rsid w:val="00090612"/>
    <w:rsid w:val="00090676"/>
    <w:rsid w:val="00091754"/>
    <w:rsid w:val="00094A8A"/>
    <w:rsid w:val="0009610D"/>
    <w:rsid w:val="0009785D"/>
    <w:rsid w:val="000A0D2B"/>
    <w:rsid w:val="000A181E"/>
    <w:rsid w:val="000A456B"/>
    <w:rsid w:val="000C2D41"/>
    <w:rsid w:val="000D03E0"/>
    <w:rsid w:val="000D121A"/>
    <w:rsid w:val="000E7396"/>
    <w:rsid w:val="000F37BC"/>
    <w:rsid w:val="000F7939"/>
    <w:rsid w:val="00107404"/>
    <w:rsid w:val="00107D8E"/>
    <w:rsid w:val="00111535"/>
    <w:rsid w:val="0012386F"/>
    <w:rsid w:val="00125529"/>
    <w:rsid w:val="0015358E"/>
    <w:rsid w:val="0016440D"/>
    <w:rsid w:val="00175AFA"/>
    <w:rsid w:val="00182480"/>
    <w:rsid w:val="00184756"/>
    <w:rsid w:val="001A5DB1"/>
    <w:rsid w:val="001B0462"/>
    <w:rsid w:val="001B217F"/>
    <w:rsid w:val="001B6786"/>
    <w:rsid w:val="001B740B"/>
    <w:rsid w:val="001C4DAD"/>
    <w:rsid w:val="001E0472"/>
    <w:rsid w:val="001F4EE9"/>
    <w:rsid w:val="00206033"/>
    <w:rsid w:val="00216EB7"/>
    <w:rsid w:val="00222C03"/>
    <w:rsid w:val="00235097"/>
    <w:rsid w:val="00242594"/>
    <w:rsid w:val="00242E64"/>
    <w:rsid w:val="00254B63"/>
    <w:rsid w:val="00255401"/>
    <w:rsid w:val="002565BD"/>
    <w:rsid w:val="00274CFA"/>
    <w:rsid w:val="00281D7C"/>
    <w:rsid w:val="002D718B"/>
    <w:rsid w:val="002E5DBC"/>
    <w:rsid w:val="00301E59"/>
    <w:rsid w:val="00305DB6"/>
    <w:rsid w:val="0031124F"/>
    <w:rsid w:val="00311BE0"/>
    <w:rsid w:val="0031445B"/>
    <w:rsid w:val="00333428"/>
    <w:rsid w:val="00335BE7"/>
    <w:rsid w:val="003441C2"/>
    <w:rsid w:val="0034579F"/>
    <w:rsid w:val="003842B2"/>
    <w:rsid w:val="003A7ACD"/>
    <w:rsid w:val="003D6A99"/>
    <w:rsid w:val="003E4DF4"/>
    <w:rsid w:val="003F5E17"/>
    <w:rsid w:val="003F732C"/>
    <w:rsid w:val="00407297"/>
    <w:rsid w:val="00410DB7"/>
    <w:rsid w:val="00442BB4"/>
    <w:rsid w:val="004862E9"/>
    <w:rsid w:val="00491CC7"/>
    <w:rsid w:val="00495BA2"/>
    <w:rsid w:val="004A3730"/>
    <w:rsid w:val="004B64C5"/>
    <w:rsid w:val="004C1677"/>
    <w:rsid w:val="00502B7E"/>
    <w:rsid w:val="00504C49"/>
    <w:rsid w:val="00510BCE"/>
    <w:rsid w:val="00512476"/>
    <w:rsid w:val="00517B5B"/>
    <w:rsid w:val="0052386F"/>
    <w:rsid w:val="0053647B"/>
    <w:rsid w:val="0053700E"/>
    <w:rsid w:val="005433D2"/>
    <w:rsid w:val="00546E9D"/>
    <w:rsid w:val="00563494"/>
    <w:rsid w:val="0056444F"/>
    <w:rsid w:val="005667AA"/>
    <w:rsid w:val="00571745"/>
    <w:rsid w:val="00576062"/>
    <w:rsid w:val="00576B24"/>
    <w:rsid w:val="005776D9"/>
    <w:rsid w:val="00577731"/>
    <w:rsid w:val="00577B67"/>
    <w:rsid w:val="00582E93"/>
    <w:rsid w:val="00592333"/>
    <w:rsid w:val="00594A0F"/>
    <w:rsid w:val="005A05B0"/>
    <w:rsid w:val="005B3758"/>
    <w:rsid w:val="005E37C1"/>
    <w:rsid w:val="005F1618"/>
    <w:rsid w:val="005F4B7B"/>
    <w:rsid w:val="005F75DA"/>
    <w:rsid w:val="0060585A"/>
    <w:rsid w:val="00621BAE"/>
    <w:rsid w:val="00627A85"/>
    <w:rsid w:val="00635351"/>
    <w:rsid w:val="00650D97"/>
    <w:rsid w:val="00655CF8"/>
    <w:rsid w:val="00656D2F"/>
    <w:rsid w:val="00666579"/>
    <w:rsid w:val="00682F17"/>
    <w:rsid w:val="006A107C"/>
    <w:rsid w:val="006A3042"/>
    <w:rsid w:val="006A327C"/>
    <w:rsid w:val="006A3D45"/>
    <w:rsid w:val="006B0E3F"/>
    <w:rsid w:val="006B29B6"/>
    <w:rsid w:val="006B384F"/>
    <w:rsid w:val="006C368B"/>
    <w:rsid w:val="006D4281"/>
    <w:rsid w:val="006F5FBA"/>
    <w:rsid w:val="006F66BA"/>
    <w:rsid w:val="00704980"/>
    <w:rsid w:val="007049C9"/>
    <w:rsid w:val="0071059C"/>
    <w:rsid w:val="00715A9B"/>
    <w:rsid w:val="00726E94"/>
    <w:rsid w:val="007309F6"/>
    <w:rsid w:val="007325BA"/>
    <w:rsid w:val="007544DB"/>
    <w:rsid w:val="007644BE"/>
    <w:rsid w:val="007800F5"/>
    <w:rsid w:val="0078467B"/>
    <w:rsid w:val="007A0368"/>
    <w:rsid w:val="007D217D"/>
    <w:rsid w:val="007D70E9"/>
    <w:rsid w:val="007E485A"/>
    <w:rsid w:val="007F5F3A"/>
    <w:rsid w:val="00821DFD"/>
    <w:rsid w:val="00822639"/>
    <w:rsid w:val="0083517F"/>
    <w:rsid w:val="00847116"/>
    <w:rsid w:val="00873A02"/>
    <w:rsid w:val="00887E85"/>
    <w:rsid w:val="008A765E"/>
    <w:rsid w:val="008D5B0E"/>
    <w:rsid w:val="008E5D2D"/>
    <w:rsid w:val="008E7C30"/>
    <w:rsid w:val="008F3B79"/>
    <w:rsid w:val="008F74E4"/>
    <w:rsid w:val="00903EAA"/>
    <w:rsid w:val="00917C18"/>
    <w:rsid w:val="009236DC"/>
    <w:rsid w:val="009279AF"/>
    <w:rsid w:val="0094334C"/>
    <w:rsid w:val="00943F2A"/>
    <w:rsid w:val="00946912"/>
    <w:rsid w:val="00974066"/>
    <w:rsid w:val="009779D8"/>
    <w:rsid w:val="00977C24"/>
    <w:rsid w:val="00986A5A"/>
    <w:rsid w:val="009A5340"/>
    <w:rsid w:val="009C367F"/>
    <w:rsid w:val="009C688E"/>
    <w:rsid w:val="009C7994"/>
    <w:rsid w:val="009E3E95"/>
    <w:rsid w:val="009F6E39"/>
    <w:rsid w:val="00A04D2C"/>
    <w:rsid w:val="00A238A9"/>
    <w:rsid w:val="00A23C16"/>
    <w:rsid w:val="00A3305C"/>
    <w:rsid w:val="00A425A1"/>
    <w:rsid w:val="00A43462"/>
    <w:rsid w:val="00A45B60"/>
    <w:rsid w:val="00A8013C"/>
    <w:rsid w:val="00AA41E3"/>
    <w:rsid w:val="00B018E9"/>
    <w:rsid w:val="00B22F44"/>
    <w:rsid w:val="00B23D8D"/>
    <w:rsid w:val="00B264A0"/>
    <w:rsid w:val="00B277CF"/>
    <w:rsid w:val="00B346AF"/>
    <w:rsid w:val="00B46131"/>
    <w:rsid w:val="00B77BCC"/>
    <w:rsid w:val="00B80B76"/>
    <w:rsid w:val="00B918CB"/>
    <w:rsid w:val="00BA1CF7"/>
    <w:rsid w:val="00BA6494"/>
    <w:rsid w:val="00BB101B"/>
    <w:rsid w:val="00BB546E"/>
    <w:rsid w:val="00BD1776"/>
    <w:rsid w:val="00BD476F"/>
    <w:rsid w:val="00BD6B10"/>
    <w:rsid w:val="00BD77E6"/>
    <w:rsid w:val="00BE6056"/>
    <w:rsid w:val="00BE7538"/>
    <w:rsid w:val="00BF32E6"/>
    <w:rsid w:val="00C2283F"/>
    <w:rsid w:val="00C472C6"/>
    <w:rsid w:val="00C5157E"/>
    <w:rsid w:val="00C54AA2"/>
    <w:rsid w:val="00C57CAC"/>
    <w:rsid w:val="00C701E2"/>
    <w:rsid w:val="00C73E15"/>
    <w:rsid w:val="00C82677"/>
    <w:rsid w:val="00C86364"/>
    <w:rsid w:val="00C915FC"/>
    <w:rsid w:val="00C9418A"/>
    <w:rsid w:val="00C972B4"/>
    <w:rsid w:val="00CC1558"/>
    <w:rsid w:val="00CE20D5"/>
    <w:rsid w:val="00CE2D98"/>
    <w:rsid w:val="00CF7514"/>
    <w:rsid w:val="00D04017"/>
    <w:rsid w:val="00D04BEA"/>
    <w:rsid w:val="00D11FCB"/>
    <w:rsid w:val="00D30531"/>
    <w:rsid w:val="00D4704A"/>
    <w:rsid w:val="00D5680C"/>
    <w:rsid w:val="00D8419F"/>
    <w:rsid w:val="00DA6A30"/>
    <w:rsid w:val="00DB5749"/>
    <w:rsid w:val="00DC17C2"/>
    <w:rsid w:val="00DD4976"/>
    <w:rsid w:val="00DD5624"/>
    <w:rsid w:val="00DE0F8A"/>
    <w:rsid w:val="00DF58B4"/>
    <w:rsid w:val="00E0349B"/>
    <w:rsid w:val="00E05119"/>
    <w:rsid w:val="00E06C8F"/>
    <w:rsid w:val="00E10868"/>
    <w:rsid w:val="00E14C86"/>
    <w:rsid w:val="00E4250A"/>
    <w:rsid w:val="00E42CF3"/>
    <w:rsid w:val="00E622CF"/>
    <w:rsid w:val="00E82CB2"/>
    <w:rsid w:val="00E93BF6"/>
    <w:rsid w:val="00E94339"/>
    <w:rsid w:val="00EC3A02"/>
    <w:rsid w:val="00EF4D79"/>
    <w:rsid w:val="00F14265"/>
    <w:rsid w:val="00F2157F"/>
    <w:rsid w:val="00F3655B"/>
    <w:rsid w:val="00F36EEA"/>
    <w:rsid w:val="00F46264"/>
    <w:rsid w:val="00F50E6F"/>
    <w:rsid w:val="00F66709"/>
    <w:rsid w:val="00F81467"/>
    <w:rsid w:val="00F90D82"/>
    <w:rsid w:val="00F916BF"/>
    <w:rsid w:val="00F95B84"/>
    <w:rsid w:val="00FA7248"/>
    <w:rsid w:val="00FB5AC5"/>
    <w:rsid w:val="00FE0CF9"/>
    <w:rsid w:val="00FF0F5B"/>
    <w:rsid w:val="00FF7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513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017"/>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017"/>
    <w:pPr>
      <w:ind w:left="720"/>
      <w:contextualSpacing/>
    </w:pPr>
  </w:style>
  <w:style w:type="paragraph" w:styleId="Header">
    <w:name w:val="header"/>
    <w:basedOn w:val="Normal"/>
    <w:link w:val="HeaderChar"/>
    <w:uiPriority w:val="99"/>
    <w:unhideWhenUsed/>
    <w:rsid w:val="00D040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017"/>
    <w:rPr>
      <w:rFonts w:ascii="Calibri" w:eastAsia="Calibri" w:hAnsi="Calibri" w:cs="Times New Roman"/>
      <w:sz w:val="22"/>
      <w:szCs w:val="22"/>
      <w:lang w:val="en-GB"/>
    </w:rPr>
  </w:style>
  <w:style w:type="paragraph" w:customStyle="1" w:styleId="Standard">
    <w:name w:val="Standard"/>
    <w:rsid w:val="00BE7538"/>
    <w:pPr>
      <w:widowControl w:val="0"/>
      <w:suppressAutoHyphens/>
      <w:autoSpaceDN w:val="0"/>
      <w:textAlignment w:val="baseline"/>
    </w:pPr>
    <w:rPr>
      <w:rFonts w:ascii="Times New Roman" w:eastAsia="Arial Unicode MS" w:hAnsi="Times New Roman" w:cs="Arial Unicode MS"/>
      <w:kern w:val="3"/>
      <w:lang w:val="en-GB" w:eastAsia="zh-CN" w:bidi="hi-IN"/>
    </w:rPr>
  </w:style>
  <w:style w:type="paragraph" w:styleId="Footer">
    <w:name w:val="footer"/>
    <w:basedOn w:val="Normal"/>
    <w:link w:val="FooterChar"/>
    <w:uiPriority w:val="99"/>
    <w:unhideWhenUsed/>
    <w:rsid w:val="00BB101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B101B"/>
    <w:rPr>
      <w:rFonts w:ascii="Calibri" w:eastAsia="Calibri" w:hAnsi="Calibri" w:cs="Times New Roman"/>
      <w:sz w:val="22"/>
      <w:szCs w:val="22"/>
      <w:lang w:val="en-GB"/>
    </w:rPr>
  </w:style>
  <w:style w:type="character" w:styleId="Hyperlink">
    <w:name w:val="Hyperlink"/>
    <w:basedOn w:val="DefaultParagraphFont"/>
    <w:uiPriority w:val="99"/>
    <w:unhideWhenUsed/>
    <w:rsid w:val="000D03E0"/>
    <w:rPr>
      <w:color w:val="0000FF" w:themeColor="hyperlink"/>
      <w:u w:val="single"/>
    </w:rPr>
  </w:style>
  <w:style w:type="paragraph" w:styleId="BalloonText">
    <w:name w:val="Balloon Text"/>
    <w:basedOn w:val="Normal"/>
    <w:link w:val="BalloonTextChar"/>
    <w:uiPriority w:val="99"/>
    <w:semiHidden/>
    <w:unhideWhenUsed/>
    <w:rsid w:val="00235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097"/>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017"/>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017"/>
    <w:pPr>
      <w:ind w:left="720"/>
      <w:contextualSpacing/>
    </w:pPr>
  </w:style>
  <w:style w:type="paragraph" w:styleId="Header">
    <w:name w:val="header"/>
    <w:basedOn w:val="Normal"/>
    <w:link w:val="HeaderChar"/>
    <w:uiPriority w:val="99"/>
    <w:unhideWhenUsed/>
    <w:rsid w:val="00D040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017"/>
    <w:rPr>
      <w:rFonts w:ascii="Calibri" w:eastAsia="Calibri" w:hAnsi="Calibri" w:cs="Times New Roman"/>
      <w:sz w:val="22"/>
      <w:szCs w:val="22"/>
      <w:lang w:val="en-GB"/>
    </w:rPr>
  </w:style>
  <w:style w:type="paragraph" w:customStyle="1" w:styleId="Standard">
    <w:name w:val="Standard"/>
    <w:rsid w:val="00BE7538"/>
    <w:pPr>
      <w:widowControl w:val="0"/>
      <w:suppressAutoHyphens/>
      <w:autoSpaceDN w:val="0"/>
      <w:textAlignment w:val="baseline"/>
    </w:pPr>
    <w:rPr>
      <w:rFonts w:ascii="Times New Roman" w:eastAsia="Arial Unicode MS" w:hAnsi="Times New Roman" w:cs="Arial Unicode MS"/>
      <w:kern w:val="3"/>
      <w:lang w:val="en-GB" w:eastAsia="zh-CN" w:bidi="hi-IN"/>
    </w:rPr>
  </w:style>
  <w:style w:type="paragraph" w:styleId="Footer">
    <w:name w:val="footer"/>
    <w:basedOn w:val="Normal"/>
    <w:link w:val="FooterChar"/>
    <w:uiPriority w:val="99"/>
    <w:unhideWhenUsed/>
    <w:rsid w:val="00BB101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B101B"/>
    <w:rPr>
      <w:rFonts w:ascii="Calibri" w:eastAsia="Calibri" w:hAnsi="Calibri" w:cs="Times New Roman"/>
      <w:sz w:val="22"/>
      <w:szCs w:val="22"/>
      <w:lang w:val="en-GB"/>
    </w:rPr>
  </w:style>
  <w:style w:type="character" w:styleId="Hyperlink">
    <w:name w:val="Hyperlink"/>
    <w:basedOn w:val="DefaultParagraphFont"/>
    <w:uiPriority w:val="99"/>
    <w:unhideWhenUsed/>
    <w:rsid w:val="000D03E0"/>
    <w:rPr>
      <w:color w:val="0000FF" w:themeColor="hyperlink"/>
      <w:u w:val="single"/>
    </w:rPr>
  </w:style>
  <w:style w:type="paragraph" w:styleId="BalloonText">
    <w:name w:val="Balloon Text"/>
    <w:basedOn w:val="Normal"/>
    <w:link w:val="BalloonTextChar"/>
    <w:uiPriority w:val="99"/>
    <w:semiHidden/>
    <w:unhideWhenUsed/>
    <w:rsid w:val="00235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097"/>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46161">
      <w:bodyDiv w:val="1"/>
      <w:marLeft w:val="0"/>
      <w:marRight w:val="0"/>
      <w:marTop w:val="0"/>
      <w:marBottom w:val="0"/>
      <w:divBdr>
        <w:top w:val="none" w:sz="0" w:space="0" w:color="auto"/>
        <w:left w:val="none" w:sz="0" w:space="0" w:color="auto"/>
        <w:bottom w:val="none" w:sz="0" w:space="0" w:color="auto"/>
        <w:right w:val="none" w:sz="0" w:space="0" w:color="auto"/>
      </w:divBdr>
    </w:div>
    <w:div w:id="4140181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3182</Words>
  <Characters>18142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DJEnvironmental</Company>
  <LinksUpToDate>false</LinksUpToDate>
  <CharactersWithSpaces>21282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Jones</dc:creator>
  <cp:lastModifiedBy>Ramsar\JenningsE</cp:lastModifiedBy>
  <cp:revision>2</cp:revision>
  <dcterms:created xsi:type="dcterms:W3CDTF">2018-04-27T10:32:00Z</dcterms:created>
  <dcterms:modified xsi:type="dcterms:W3CDTF">2018-04-27T10:32:00Z</dcterms:modified>
</cp:coreProperties>
</file>