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112ED" w14:textId="77777777" w:rsidR="004862E9" w:rsidRPr="00682F17" w:rsidRDefault="004862E9" w:rsidP="004862E9">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Calibri"/>
          <w:bCs/>
          <w:sz w:val="24"/>
          <w:szCs w:val="24"/>
        </w:rPr>
      </w:pPr>
      <w:r w:rsidRPr="00682F17">
        <w:rPr>
          <w:rFonts w:cs="Calibri"/>
          <w:bCs/>
          <w:sz w:val="24"/>
          <w:szCs w:val="24"/>
        </w:rPr>
        <w:t>RAMSAR CONVENTION ON WETLANDS</w:t>
      </w:r>
    </w:p>
    <w:p w14:paraId="3EEFE803" w14:textId="77777777" w:rsidR="004862E9" w:rsidRPr="00682F17" w:rsidRDefault="004862E9" w:rsidP="004862E9">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Calibri"/>
          <w:bCs/>
          <w:sz w:val="24"/>
          <w:szCs w:val="24"/>
        </w:rPr>
      </w:pPr>
      <w:r w:rsidRPr="00682F17">
        <w:rPr>
          <w:rFonts w:cs="Calibri"/>
          <w:bCs/>
          <w:sz w:val="24"/>
          <w:szCs w:val="24"/>
        </w:rPr>
        <w:t>54th</w:t>
      </w:r>
      <w:r w:rsidRPr="00682F17">
        <w:rPr>
          <w:rFonts w:cs="Calibri"/>
          <w:bCs/>
          <w:sz w:val="24"/>
          <w:szCs w:val="24"/>
          <w:vertAlign w:val="superscript"/>
        </w:rPr>
        <w:t xml:space="preserve"> </w:t>
      </w:r>
      <w:r w:rsidRPr="00682F17">
        <w:rPr>
          <w:rFonts w:cs="Calibri"/>
          <w:bCs/>
          <w:sz w:val="24"/>
          <w:szCs w:val="24"/>
        </w:rPr>
        <w:t>Meeting of the Standing Committee</w:t>
      </w:r>
    </w:p>
    <w:p w14:paraId="14A493BC" w14:textId="77777777" w:rsidR="004862E9" w:rsidRPr="00682F17" w:rsidRDefault="004862E9" w:rsidP="004862E9">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Calibri"/>
          <w:bCs/>
          <w:sz w:val="24"/>
          <w:szCs w:val="24"/>
        </w:rPr>
      </w:pPr>
      <w:r w:rsidRPr="00682F17">
        <w:rPr>
          <w:rFonts w:cs="Calibri"/>
          <w:bCs/>
          <w:sz w:val="24"/>
          <w:szCs w:val="24"/>
        </w:rPr>
        <w:t>Gland, Switzerland, 23 – 27 April 2018</w:t>
      </w:r>
    </w:p>
    <w:p w14:paraId="08C44235" w14:textId="77777777" w:rsidR="004862E9" w:rsidRPr="00682F17" w:rsidRDefault="004862E9" w:rsidP="004862E9">
      <w:pPr>
        <w:rPr>
          <w:rFonts w:asciiTheme="majorHAnsi" w:hAnsiTheme="majorHAnsi"/>
          <w:b/>
        </w:rPr>
      </w:pPr>
    </w:p>
    <w:p w14:paraId="279D814A" w14:textId="69403F33" w:rsidR="00A91810" w:rsidRDefault="00A91810" w:rsidP="00A91810">
      <w:pPr>
        <w:spacing w:after="0" w:line="240" w:lineRule="auto"/>
        <w:jc w:val="right"/>
        <w:rPr>
          <w:b/>
          <w:sz w:val="28"/>
          <w:szCs w:val="28"/>
        </w:rPr>
      </w:pPr>
      <w:r>
        <w:rPr>
          <w:b/>
          <w:sz w:val="28"/>
          <w:szCs w:val="28"/>
        </w:rPr>
        <w:tab/>
        <w:t>SC54 Rep.2</w:t>
      </w:r>
      <w:bookmarkStart w:id="0" w:name="_GoBack"/>
      <w:bookmarkEnd w:id="0"/>
    </w:p>
    <w:p w14:paraId="1F9C03D3" w14:textId="77777777" w:rsidR="00A91810" w:rsidRDefault="00A91810" w:rsidP="00A91810">
      <w:pPr>
        <w:spacing w:after="0" w:line="240" w:lineRule="auto"/>
        <w:jc w:val="right"/>
        <w:rPr>
          <w:b/>
          <w:sz w:val="28"/>
          <w:szCs w:val="28"/>
        </w:rPr>
      </w:pPr>
    </w:p>
    <w:p w14:paraId="4001B185" w14:textId="783A7373" w:rsidR="00D04017" w:rsidRPr="00682F17" w:rsidRDefault="00546E9D" w:rsidP="00546E9D">
      <w:pPr>
        <w:spacing w:after="0" w:line="240" w:lineRule="auto"/>
        <w:jc w:val="center"/>
        <w:rPr>
          <w:rFonts w:cs="Calibri"/>
          <w:b/>
        </w:rPr>
      </w:pPr>
      <w:r>
        <w:rPr>
          <w:b/>
          <w:sz w:val="28"/>
          <w:szCs w:val="28"/>
        </w:rPr>
        <w:t xml:space="preserve">Provisional </w:t>
      </w:r>
      <w:r w:rsidRPr="001C1AF0">
        <w:rPr>
          <w:b/>
          <w:sz w:val="28"/>
          <w:szCs w:val="28"/>
        </w:rPr>
        <w:t>Report and Decisions of the 5</w:t>
      </w:r>
      <w:r>
        <w:rPr>
          <w:b/>
          <w:sz w:val="28"/>
          <w:szCs w:val="28"/>
        </w:rPr>
        <w:t>4</w:t>
      </w:r>
      <w:r w:rsidRPr="00A7563C">
        <w:rPr>
          <w:b/>
          <w:sz w:val="28"/>
          <w:szCs w:val="28"/>
        </w:rPr>
        <w:t xml:space="preserve">th </w:t>
      </w:r>
      <w:r w:rsidRPr="001C1AF0">
        <w:rPr>
          <w:b/>
          <w:sz w:val="28"/>
          <w:szCs w:val="28"/>
        </w:rPr>
        <w:t xml:space="preserve">Meeting of </w:t>
      </w:r>
      <w:r>
        <w:rPr>
          <w:b/>
          <w:sz w:val="28"/>
          <w:szCs w:val="28"/>
        </w:rPr>
        <w:br/>
      </w:r>
      <w:r w:rsidRPr="001C1AF0">
        <w:rPr>
          <w:b/>
          <w:sz w:val="28"/>
          <w:szCs w:val="28"/>
        </w:rPr>
        <w:t>the Standing Committee</w:t>
      </w:r>
    </w:p>
    <w:p w14:paraId="4C2E23C2" w14:textId="211E9E86" w:rsidR="00546E9D" w:rsidRDefault="00546E9D" w:rsidP="007644BE">
      <w:pPr>
        <w:spacing w:after="0" w:line="240" w:lineRule="auto"/>
        <w:rPr>
          <w:rFonts w:cs="Calibri"/>
          <w:b/>
        </w:rPr>
      </w:pPr>
    </w:p>
    <w:p w14:paraId="2EB43460" w14:textId="77777777" w:rsidR="00546E9D" w:rsidRDefault="00546E9D" w:rsidP="007644BE">
      <w:pPr>
        <w:spacing w:after="0" w:line="240" w:lineRule="auto"/>
        <w:rPr>
          <w:rFonts w:cs="Calibri"/>
          <w:b/>
        </w:rPr>
      </w:pPr>
    </w:p>
    <w:p w14:paraId="1C0412E9" w14:textId="1C6936B4" w:rsidR="00D04017" w:rsidRPr="00682F17" w:rsidRDefault="00656D2F" w:rsidP="007644BE">
      <w:pPr>
        <w:spacing w:after="0" w:line="240" w:lineRule="auto"/>
        <w:rPr>
          <w:rFonts w:cs="Calibri"/>
          <w:b/>
        </w:rPr>
      </w:pPr>
      <w:r w:rsidRPr="00682F17">
        <w:rPr>
          <w:rFonts w:cs="Calibri"/>
          <w:b/>
        </w:rPr>
        <w:t>Wedne</w:t>
      </w:r>
      <w:r w:rsidR="00D04017" w:rsidRPr="00682F17">
        <w:rPr>
          <w:rFonts w:cs="Calibri"/>
          <w:b/>
        </w:rPr>
        <w:t xml:space="preserve">sday </w:t>
      </w:r>
      <w:r w:rsidRPr="00682F17">
        <w:rPr>
          <w:rFonts w:cs="Calibri"/>
          <w:b/>
        </w:rPr>
        <w:t>25</w:t>
      </w:r>
      <w:r w:rsidR="00DB5749" w:rsidRPr="00682F17">
        <w:rPr>
          <w:rFonts w:cs="Calibri"/>
          <w:b/>
        </w:rPr>
        <w:t xml:space="preserve"> April 2018</w:t>
      </w:r>
      <w:r w:rsidR="00D04017" w:rsidRPr="00682F17">
        <w:rPr>
          <w:rFonts w:cs="Calibri"/>
          <w:b/>
        </w:rPr>
        <w:t xml:space="preserve"> </w:t>
      </w:r>
    </w:p>
    <w:p w14:paraId="63563515" w14:textId="77777777" w:rsidR="00D04017" w:rsidRPr="00682F17" w:rsidRDefault="00D04017" w:rsidP="007644BE">
      <w:pPr>
        <w:spacing w:after="0" w:line="240" w:lineRule="auto"/>
        <w:rPr>
          <w:rFonts w:cs="Calibri"/>
          <w:b/>
        </w:rPr>
      </w:pPr>
    </w:p>
    <w:p w14:paraId="7D3F488F" w14:textId="329FA320" w:rsidR="00D04017" w:rsidRPr="00682F17" w:rsidRDefault="00577B67" w:rsidP="007644BE">
      <w:pPr>
        <w:spacing w:after="0" w:line="240" w:lineRule="auto"/>
        <w:rPr>
          <w:rFonts w:cs="Calibri"/>
          <w:b/>
          <w:bCs/>
        </w:rPr>
      </w:pPr>
      <w:r w:rsidRPr="00682F17">
        <w:rPr>
          <w:rFonts w:cs="Calibri"/>
          <w:b/>
        </w:rPr>
        <w:t>10:00</w:t>
      </w:r>
      <w:r w:rsidR="00D04017" w:rsidRPr="00682F17">
        <w:rPr>
          <w:rFonts w:cs="Calibri"/>
          <w:b/>
        </w:rPr>
        <w:t xml:space="preserve"> – 13:00 </w:t>
      </w:r>
      <w:r w:rsidR="00D04017" w:rsidRPr="00682F17">
        <w:rPr>
          <w:rFonts w:cs="Calibri"/>
          <w:b/>
        </w:rPr>
        <w:tab/>
        <w:t>Plenary Session</w:t>
      </w:r>
      <w:r w:rsidR="00D04017" w:rsidRPr="00682F17">
        <w:rPr>
          <w:rFonts w:cs="Calibri"/>
          <w:bCs/>
        </w:rPr>
        <w:t xml:space="preserve"> </w:t>
      </w:r>
      <w:r w:rsidR="00D04017" w:rsidRPr="00682F17">
        <w:rPr>
          <w:rFonts w:cs="Calibri"/>
          <w:b/>
          <w:bCs/>
        </w:rPr>
        <w:t>of the Standing Committee</w:t>
      </w:r>
    </w:p>
    <w:p w14:paraId="7FCF7F4B" w14:textId="4C29E36B" w:rsidR="00D04017" w:rsidRPr="00682F17" w:rsidRDefault="00D04017" w:rsidP="007644BE">
      <w:pPr>
        <w:spacing w:after="0" w:line="240" w:lineRule="auto"/>
        <w:rPr>
          <w:rFonts w:cs="Calibri"/>
          <w:b/>
          <w:bCs/>
        </w:rPr>
      </w:pPr>
    </w:p>
    <w:p w14:paraId="22FF37E5" w14:textId="2E920D26" w:rsidR="001B217F" w:rsidRPr="00682F17" w:rsidRDefault="001B217F" w:rsidP="007644BE">
      <w:pPr>
        <w:spacing w:after="0" w:line="240" w:lineRule="auto"/>
        <w:rPr>
          <w:rFonts w:cs="Calibri"/>
          <w:b/>
          <w:bCs/>
        </w:rPr>
      </w:pPr>
      <w:r w:rsidRPr="00682F17">
        <w:rPr>
          <w:rFonts w:cs="Calibri"/>
          <w:bCs/>
        </w:rPr>
        <w:t>The</w:t>
      </w:r>
      <w:r w:rsidRPr="00682F17">
        <w:rPr>
          <w:rFonts w:cs="Calibri"/>
          <w:b/>
          <w:bCs/>
        </w:rPr>
        <w:t xml:space="preserve"> Chair</w:t>
      </w:r>
      <w:r w:rsidRPr="00682F17">
        <w:rPr>
          <w:rFonts w:cs="Calibri"/>
          <w:bCs/>
        </w:rPr>
        <w:t xml:space="preserve"> called the session to order at 10.11.</w:t>
      </w:r>
    </w:p>
    <w:p w14:paraId="65362033" w14:textId="77777777" w:rsidR="001B217F" w:rsidRPr="00682F17" w:rsidRDefault="001B217F" w:rsidP="007644BE">
      <w:pPr>
        <w:spacing w:after="0" w:line="240" w:lineRule="auto"/>
        <w:rPr>
          <w:rFonts w:cs="Calibri"/>
          <w:b/>
          <w:bCs/>
        </w:rPr>
      </w:pPr>
    </w:p>
    <w:p w14:paraId="3305E6BD" w14:textId="5FE3943D" w:rsidR="000A181E" w:rsidRPr="00682F17" w:rsidRDefault="000A181E" w:rsidP="00B264A0">
      <w:pPr>
        <w:pBdr>
          <w:top w:val="single" w:sz="4" w:space="3" w:color="auto"/>
          <w:left w:val="single" w:sz="4" w:space="4" w:color="auto"/>
          <w:bottom w:val="single" w:sz="4" w:space="3" w:color="auto"/>
          <w:right w:val="single" w:sz="4" w:space="4" w:color="auto"/>
        </w:pBdr>
        <w:spacing w:after="0" w:line="240" w:lineRule="auto"/>
        <w:rPr>
          <w:rFonts w:cs="Calibri"/>
          <w:bCs/>
        </w:rPr>
      </w:pPr>
      <w:r w:rsidRPr="00682F17">
        <w:rPr>
          <w:rFonts w:cs="Calibri"/>
          <w:bCs/>
        </w:rPr>
        <w:t xml:space="preserve">Closed session </w:t>
      </w:r>
      <w:r w:rsidR="007800F5" w:rsidRPr="00682F17">
        <w:rPr>
          <w:rFonts w:cs="Calibri"/>
          <w:bCs/>
        </w:rPr>
        <w:t>on</w:t>
      </w:r>
      <w:r w:rsidRPr="00682F17">
        <w:rPr>
          <w:rFonts w:cs="Calibri"/>
          <w:bCs/>
        </w:rPr>
        <w:t xml:space="preserve"> Management Working Group</w:t>
      </w:r>
      <w:r w:rsidR="007800F5" w:rsidRPr="00682F17">
        <w:rPr>
          <w:rFonts w:cs="Calibri"/>
          <w:bCs/>
        </w:rPr>
        <w:t xml:space="preserve"> matters</w:t>
      </w:r>
    </w:p>
    <w:p w14:paraId="170FF493" w14:textId="77777777" w:rsidR="000A181E" w:rsidRPr="00682F17" w:rsidRDefault="000A181E" w:rsidP="007644BE">
      <w:pPr>
        <w:spacing w:after="0" w:line="240" w:lineRule="auto"/>
        <w:rPr>
          <w:rFonts w:cs="Calibri"/>
          <w:b/>
          <w:bCs/>
        </w:rPr>
      </w:pPr>
    </w:p>
    <w:p w14:paraId="71D09EE5" w14:textId="5DEE3C1D" w:rsidR="00F14265" w:rsidRPr="00682F17" w:rsidRDefault="005F4B7B" w:rsidP="000C2D41">
      <w:pPr>
        <w:spacing w:after="0" w:line="240" w:lineRule="auto"/>
        <w:ind w:left="426" w:hanging="426"/>
        <w:rPr>
          <w:rFonts w:cs="Calibri"/>
          <w:bCs/>
        </w:rPr>
      </w:pPr>
      <w:r w:rsidRPr="00682F17">
        <w:rPr>
          <w:rFonts w:cs="Calibri"/>
          <w:bCs/>
        </w:rPr>
        <w:t xml:space="preserve">59. </w:t>
      </w:r>
      <w:r w:rsidR="000C2D41" w:rsidRPr="00682F17">
        <w:rPr>
          <w:rFonts w:cs="Calibri"/>
          <w:bCs/>
        </w:rPr>
        <w:tab/>
      </w:r>
      <w:r w:rsidR="001B217F" w:rsidRPr="00682F17">
        <w:rPr>
          <w:rFonts w:cs="Calibri"/>
          <w:bCs/>
        </w:rPr>
        <w:t xml:space="preserve">The </w:t>
      </w:r>
      <w:r w:rsidR="001B217F" w:rsidRPr="00682F17">
        <w:rPr>
          <w:rFonts w:cs="Calibri"/>
          <w:b/>
          <w:bCs/>
        </w:rPr>
        <w:t>Chair</w:t>
      </w:r>
      <w:r w:rsidR="009236DC" w:rsidRPr="00682F17">
        <w:rPr>
          <w:rFonts w:cs="Calibri"/>
          <w:bCs/>
        </w:rPr>
        <w:t xml:space="preserve"> informed </w:t>
      </w:r>
      <w:r w:rsidR="007800F5" w:rsidRPr="00682F17">
        <w:rPr>
          <w:rFonts w:cs="Calibri"/>
          <w:bCs/>
        </w:rPr>
        <w:t>the Standing Committee</w:t>
      </w:r>
      <w:r w:rsidR="009236DC" w:rsidRPr="00682F17">
        <w:rPr>
          <w:rFonts w:cs="Calibri"/>
          <w:bCs/>
        </w:rPr>
        <w:t xml:space="preserve"> that</w:t>
      </w:r>
      <w:r w:rsidR="003F5E17" w:rsidRPr="00682F17">
        <w:rPr>
          <w:rFonts w:cs="Calibri"/>
          <w:bCs/>
        </w:rPr>
        <w:t xml:space="preserve"> </w:t>
      </w:r>
      <w:r w:rsidR="000A181E" w:rsidRPr="00682F17">
        <w:rPr>
          <w:rFonts w:cs="Calibri"/>
          <w:bCs/>
        </w:rPr>
        <w:t xml:space="preserve">the </w:t>
      </w:r>
      <w:r w:rsidR="00B918CB" w:rsidRPr="00682F17">
        <w:rPr>
          <w:rFonts w:cs="Calibri"/>
          <w:bCs/>
        </w:rPr>
        <w:t>morning</w:t>
      </w:r>
      <w:r w:rsidR="000A181E" w:rsidRPr="00682F17">
        <w:rPr>
          <w:rFonts w:cs="Calibri"/>
          <w:bCs/>
        </w:rPr>
        <w:t xml:space="preserve"> would</w:t>
      </w:r>
      <w:r w:rsidR="009236DC" w:rsidRPr="00682F17">
        <w:rPr>
          <w:rFonts w:cs="Calibri"/>
          <w:bCs/>
        </w:rPr>
        <w:t xml:space="preserve"> </w:t>
      </w:r>
      <w:r w:rsidR="00B918CB" w:rsidRPr="00682F17">
        <w:rPr>
          <w:rFonts w:cs="Calibri"/>
          <w:bCs/>
        </w:rPr>
        <w:t>commence</w:t>
      </w:r>
      <w:r w:rsidR="009236DC" w:rsidRPr="00682F17">
        <w:rPr>
          <w:rFonts w:cs="Calibri"/>
          <w:bCs/>
        </w:rPr>
        <w:t xml:space="preserve"> </w:t>
      </w:r>
      <w:r w:rsidR="00B918CB" w:rsidRPr="00682F17">
        <w:rPr>
          <w:rFonts w:cs="Calibri"/>
          <w:bCs/>
        </w:rPr>
        <w:t>with</w:t>
      </w:r>
      <w:r w:rsidR="009236DC" w:rsidRPr="00682F17">
        <w:rPr>
          <w:rFonts w:cs="Calibri"/>
          <w:bCs/>
        </w:rPr>
        <w:t xml:space="preserve"> a closed </w:t>
      </w:r>
      <w:r w:rsidR="000A181E" w:rsidRPr="00682F17">
        <w:rPr>
          <w:rFonts w:cs="Calibri"/>
          <w:bCs/>
        </w:rPr>
        <w:t>session</w:t>
      </w:r>
      <w:r w:rsidR="003F5E17" w:rsidRPr="00682F17">
        <w:rPr>
          <w:rFonts w:cs="Calibri"/>
          <w:bCs/>
        </w:rPr>
        <w:t xml:space="preserve"> in the context of the MWG</w:t>
      </w:r>
      <w:r w:rsidR="000A181E" w:rsidRPr="00682F17">
        <w:rPr>
          <w:rFonts w:cs="Calibri"/>
          <w:bCs/>
        </w:rPr>
        <w:t xml:space="preserve"> </w:t>
      </w:r>
      <w:r w:rsidR="00BD6B10" w:rsidRPr="00682F17">
        <w:rPr>
          <w:rFonts w:cs="Calibri"/>
          <w:bCs/>
        </w:rPr>
        <w:t>to</w:t>
      </w:r>
      <w:r w:rsidR="000A181E" w:rsidRPr="00682F17">
        <w:rPr>
          <w:rFonts w:cs="Calibri"/>
          <w:bCs/>
        </w:rPr>
        <w:t xml:space="preserve"> hear from a representative of IUCN on m</w:t>
      </w:r>
      <w:r w:rsidR="00B918CB" w:rsidRPr="00682F17">
        <w:rPr>
          <w:rFonts w:cs="Calibri"/>
          <w:bCs/>
        </w:rPr>
        <w:t xml:space="preserve">atters </w:t>
      </w:r>
      <w:r w:rsidR="00E94339">
        <w:rPr>
          <w:rFonts w:cs="Calibri"/>
          <w:bCs/>
        </w:rPr>
        <w:t>raised in the earlier session of the MWG</w:t>
      </w:r>
      <w:r w:rsidR="00B918CB" w:rsidRPr="00682F17">
        <w:rPr>
          <w:rFonts w:cs="Calibri"/>
          <w:bCs/>
        </w:rPr>
        <w:t>. This</w:t>
      </w:r>
      <w:r w:rsidR="000A181E" w:rsidRPr="00682F17">
        <w:rPr>
          <w:rFonts w:cs="Calibri"/>
          <w:bCs/>
        </w:rPr>
        <w:t xml:space="preserve"> </w:t>
      </w:r>
      <w:r w:rsidR="00B918CB" w:rsidRPr="00682F17">
        <w:rPr>
          <w:rFonts w:cs="Calibri"/>
          <w:bCs/>
        </w:rPr>
        <w:t xml:space="preserve">would </w:t>
      </w:r>
      <w:r w:rsidR="000A181E" w:rsidRPr="00682F17">
        <w:rPr>
          <w:rFonts w:cs="Calibri"/>
          <w:bCs/>
        </w:rPr>
        <w:t xml:space="preserve">be followed by a report from the Standing Committee Working Group on staffing issues. The </w:t>
      </w:r>
      <w:r w:rsidR="0056444F">
        <w:rPr>
          <w:rFonts w:cs="Calibri"/>
          <w:bCs/>
        </w:rPr>
        <w:t>Committee</w:t>
      </w:r>
      <w:r w:rsidR="000A181E" w:rsidRPr="00682F17">
        <w:rPr>
          <w:rFonts w:cs="Calibri"/>
          <w:bCs/>
        </w:rPr>
        <w:t xml:space="preserve"> would then resume</w:t>
      </w:r>
      <w:r w:rsidR="0056444F">
        <w:rPr>
          <w:rFonts w:cs="Calibri"/>
          <w:bCs/>
        </w:rPr>
        <w:t xml:space="preserve"> its working programme</w:t>
      </w:r>
      <w:r w:rsidR="000A181E" w:rsidRPr="00682F17">
        <w:rPr>
          <w:rFonts w:cs="Calibri"/>
          <w:bCs/>
        </w:rPr>
        <w:t xml:space="preserve">. Observers and members of the Secretariat were </w:t>
      </w:r>
      <w:r w:rsidR="007800F5" w:rsidRPr="00682F17">
        <w:rPr>
          <w:rFonts w:cs="Calibri"/>
          <w:bCs/>
        </w:rPr>
        <w:t>requested</w:t>
      </w:r>
      <w:r w:rsidR="000A181E" w:rsidRPr="00682F17">
        <w:rPr>
          <w:rFonts w:cs="Calibri"/>
          <w:bCs/>
        </w:rPr>
        <w:t xml:space="preserve"> to leave the room</w:t>
      </w:r>
      <w:r w:rsidR="00B918CB" w:rsidRPr="00682F17">
        <w:rPr>
          <w:rFonts w:cs="Calibri"/>
          <w:bCs/>
        </w:rPr>
        <w:t xml:space="preserve"> during the closed session</w:t>
      </w:r>
      <w:r w:rsidR="000A181E" w:rsidRPr="00682F17">
        <w:rPr>
          <w:rFonts w:cs="Calibri"/>
          <w:bCs/>
        </w:rPr>
        <w:t>.</w:t>
      </w:r>
      <w:r w:rsidR="009F6E39" w:rsidRPr="00682F17">
        <w:rPr>
          <w:rFonts w:cs="Calibri"/>
          <w:bCs/>
        </w:rPr>
        <w:t xml:space="preserve"> The plenary session resumed at </w:t>
      </w:r>
      <w:r w:rsidR="00B80B76" w:rsidRPr="00682F17">
        <w:rPr>
          <w:rFonts w:cs="Calibri"/>
          <w:bCs/>
        </w:rPr>
        <w:t>11</w:t>
      </w:r>
      <w:r w:rsidR="009F6E39" w:rsidRPr="00682F17">
        <w:rPr>
          <w:rFonts w:cs="Calibri"/>
          <w:bCs/>
        </w:rPr>
        <w:t>:</w:t>
      </w:r>
      <w:r w:rsidR="00B80B76" w:rsidRPr="00682F17">
        <w:rPr>
          <w:rFonts w:cs="Calibri"/>
          <w:bCs/>
        </w:rPr>
        <w:t>55</w:t>
      </w:r>
      <w:r w:rsidR="009F6E39" w:rsidRPr="00682F17">
        <w:rPr>
          <w:rFonts w:cs="Calibri"/>
          <w:bCs/>
        </w:rPr>
        <w:t>.</w:t>
      </w:r>
    </w:p>
    <w:p w14:paraId="6E5ABC22" w14:textId="5655C318" w:rsidR="009236DC" w:rsidRPr="00682F17" w:rsidRDefault="009236DC" w:rsidP="007644BE">
      <w:pPr>
        <w:spacing w:after="0" w:line="240" w:lineRule="auto"/>
        <w:rPr>
          <w:rFonts w:cs="Calibri"/>
          <w:b/>
          <w:bCs/>
        </w:rPr>
      </w:pPr>
    </w:p>
    <w:p w14:paraId="56536F6F" w14:textId="4943334A" w:rsidR="00D04017" w:rsidRPr="00682F17" w:rsidRDefault="00BE7538" w:rsidP="000D03E0">
      <w:pPr>
        <w:pBdr>
          <w:top w:val="single" w:sz="4" w:space="3" w:color="auto"/>
          <w:left w:val="single" w:sz="4" w:space="4" w:color="auto"/>
          <w:bottom w:val="single" w:sz="4" w:space="3" w:color="auto"/>
          <w:right w:val="single" w:sz="4" w:space="4" w:color="auto"/>
        </w:pBdr>
        <w:spacing w:after="0" w:line="240" w:lineRule="auto"/>
        <w:rPr>
          <w:rFonts w:cs="Calibri"/>
          <w:bCs/>
        </w:rPr>
      </w:pPr>
      <w:r w:rsidRPr="00682F17">
        <w:rPr>
          <w:rFonts w:cs="Calibri"/>
          <w:bCs/>
        </w:rPr>
        <w:t xml:space="preserve">Agenda item </w:t>
      </w:r>
      <w:r w:rsidR="000D03E0" w:rsidRPr="00682F17">
        <w:rPr>
          <w:rFonts w:cs="Calibri"/>
          <w:bCs/>
        </w:rPr>
        <w:t>7</w:t>
      </w:r>
      <w:r w:rsidR="00903EAA">
        <w:rPr>
          <w:rFonts w:cs="Calibri"/>
          <w:bCs/>
        </w:rPr>
        <w:t xml:space="preserve">. </w:t>
      </w:r>
      <w:r w:rsidR="000D03E0" w:rsidRPr="00682F17">
        <w:rPr>
          <w:rFonts w:cs="Calibri"/>
          <w:bCs/>
        </w:rPr>
        <w:t>Financial and budgetary matters</w:t>
      </w:r>
      <w:r w:rsidR="008E5D2D" w:rsidRPr="00682F17">
        <w:rPr>
          <w:rFonts w:cs="Calibri"/>
          <w:bCs/>
        </w:rPr>
        <w:t xml:space="preserve"> – Report of the Subgroup on Finance</w:t>
      </w:r>
    </w:p>
    <w:p w14:paraId="4F81865E" w14:textId="2446C125" w:rsidR="00255401" w:rsidRPr="00682F17" w:rsidRDefault="00255401" w:rsidP="007A0368">
      <w:pPr>
        <w:spacing w:after="0" w:line="240" w:lineRule="auto"/>
        <w:contextualSpacing/>
        <w:rPr>
          <w:rFonts w:cs="Calibri"/>
          <w:bCs/>
        </w:rPr>
      </w:pPr>
    </w:p>
    <w:p w14:paraId="25E2CA9D" w14:textId="1B068DC8" w:rsidR="0006327A" w:rsidRPr="00682F17" w:rsidRDefault="00B23D8D" w:rsidP="00B23D8D">
      <w:pPr>
        <w:spacing w:after="0" w:line="240" w:lineRule="auto"/>
        <w:ind w:left="426" w:hanging="426"/>
        <w:contextualSpacing/>
        <w:rPr>
          <w:rFonts w:cs="Calibri"/>
        </w:rPr>
      </w:pPr>
      <w:r w:rsidRPr="00682F17">
        <w:rPr>
          <w:rFonts w:cs="Calibri"/>
          <w:bCs/>
        </w:rPr>
        <w:t>60.</w:t>
      </w:r>
      <w:r w:rsidRPr="00682F17">
        <w:rPr>
          <w:rFonts w:cs="Calibri"/>
          <w:bCs/>
        </w:rPr>
        <w:tab/>
      </w:r>
      <w:r w:rsidR="007A0368" w:rsidRPr="00682F17">
        <w:rPr>
          <w:rFonts w:cs="Calibri"/>
          <w:bCs/>
        </w:rPr>
        <w:t xml:space="preserve">The </w:t>
      </w:r>
      <w:r w:rsidR="007A0368" w:rsidRPr="00682F17">
        <w:rPr>
          <w:rFonts w:cs="Calibri"/>
          <w:b/>
          <w:bCs/>
        </w:rPr>
        <w:t>Chair of the Subgroup on Finance</w:t>
      </w:r>
      <w:r w:rsidR="008E5D2D" w:rsidRPr="00682F17">
        <w:rPr>
          <w:rFonts w:cs="Calibri"/>
          <w:bCs/>
        </w:rPr>
        <w:t xml:space="preserve"> </w:t>
      </w:r>
      <w:r w:rsidR="00B80B76" w:rsidRPr="00682F17">
        <w:rPr>
          <w:rFonts w:cs="Calibri"/>
          <w:bCs/>
        </w:rPr>
        <w:t xml:space="preserve">presented an interim report on the Subgroup’s </w:t>
      </w:r>
      <w:r w:rsidR="005667AA" w:rsidRPr="00682F17">
        <w:rPr>
          <w:rFonts w:cs="Calibri"/>
          <w:bCs/>
        </w:rPr>
        <w:t>work</w:t>
      </w:r>
      <w:r w:rsidR="00B80B76" w:rsidRPr="00682F17">
        <w:rPr>
          <w:rFonts w:cs="Calibri"/>
          <w:bCs/>
        </w:rPr>
        <w:t xml:space="preserve"> to date</w:t>
      </w:r>
      <w:r w:rsidR="00301E59" w:rsidRPr="00682F17">
        <w:rPr>
          <w:rFonts w:cs="Calibri"/>
          <w:i/>
        </w:rPr>
        <w:t>.</w:t>
      </w:r>
      <w:r w:rsidR="00B80B76" w:rsidRPr="00682F17">
        <w:rPr>
          <w:rFonts w:cs="Calibri"/>
        </w:rPr>
        <w:t xml:space="preserve"> This had included:</w:t>
      </w:r>
    </w:p>
    <w:p w14:paraId="5402840E" w14:textId="5948E833" w:rsidR="00B80B76" w:rsidRPr="00682F17" w:rsidRDefault="00B80B76" w:rsidP="00B80B76">
      <w:pPr>
        <w:pStyle w:val="ListParagraph"/>
        <w:numPr>
          <w:ilvl w:val="0"/>
          <w:numId w:val="8"/>
        </w:numPr>
        <w:spacing w:after="0" w:line="240" w:lineRule="auto"/>
        <w:rPr>
          <w:rFonts w:cs="Calibri"/>
        </w:rPr>
      </w:pPr>
      <w:r w:rsidRPr="00682F17">
        <w:rPr>
          <w:rFonts w:cs="Calibri"/>
        </w:rPr>
        <w:t xml:space="preserve">Reviewing the work undertaken by the IUCN Oversight Unit in relation to non-core </w:t>
      </w:r>
      <w:r w:rsidR="005667AA" w:rsidRPr="00682F17">
        <w:rPr>
          <w:rFonts w:cs="Calibri"/>
        </w:rPr>
        <w:t>funds</w:t>
      </w:r>
      <w:r w:rsidRPr="00682F17">
        <w:rPr>
          <w:rFonts w:cs="Calibri"/>
        </w:rPr>
        <w:t>;</w:t>
      </w:r>
    </w:p>
    <w:p w14:paraId="67BC06C1" w14:textId="2B77C53A" w:rsidR="00B80B76" w:rsidRPr="00682F17" w:rsidRDefault="00B80B76" w:rsidP="00B80B76">
      <w:pPr>
        <w:pStyle w:val="ListParagraph"/>
        <w:numPr>
          <w:ilvl w:val="0"/>
          <w:numId w:val="8"/>
        </w:numPr>
        <w:spacing w:after="0" w:line="240" w:lineRule="auto"/>
        <w:rPr>
          <w:rFonts w:cs="Calibri"/>
        </w:rPr>
      </w:pPr>
      <w:r w:rsidRPr="00682F17">
        <w:rPr>
          <w:rFonts w:cs="Calibri"/>
        </w:rPr>
        <w:t>Reviewing the 2016 and 2017 audited accounts</w:t>
      </w:r>
      <w:r w:rsidR="005667AA" w:rsidRPr="00682F17">
        <w:rPr>
          <w:rFonts w:cs="Calibri"/>
        </w:rPr>
        <w:t>; and</w:t>
      </w:r>
    </w:p>
    <w:p w14:paraId="184FD639" w14:textId="49E21D96" w:rsidR="00B80B76" w:rsidRPr="00682F17" w:rsidRDefault="00B80B76" w:rsidP="00B80B76">
      <w:pPr>
        <w:pStyle w:val="ListParagraph"/>
        <w:numPr>
          <w:ilvl w:val="0"/>
          <w:numId w:val="8"/>
        </w:numPr>
        <w:spacing w:after="0" w:line="240" w:lineRule="auto"/>
        <w:rPr>
          <w:rFonts w:cs="Calibri"/>
        </w:rPr>
      </w:pPr>
      <w:r w:rsidRPr="00682F17">
        <w:rPr>
          <w:rFonts w:cs="Calibri"/>
        </w:rPr>
        <w:t>Reviewing document Doc. 7</w:t>
      </w:r>
      <w:r w:rsidR="005667AA" w:rsidRPr="00682F17">
        <w:rPr>
          <w:rFonts w:cs="Calibri"/>
        </w:rPr>
        <w:t xml:space="preserve">.1 Rev.1 </w:t>
      </w:r>
      <w:r w:rsidR="005667AA" w:rsidRPr="00682F17">
        <w:rPr>
          <w:rFonts w:cs="Calibri"/>
          <w:bCs/>
          <w:i/>
        </w:rPr>
        <w:t>Financial and budgetary matters –</w:t>
      </w:r>
      <w:r w:rsidR="005667AA" w:rsidRPr="00682F17">
        <w:rPr>
          <w:rFonts w:cs="Calibri"/>
          <w:bCs/>
        </w:rPr>
        <w:t xml:space="preserve"> </w:t>
      </w:r>
      <w:r w:rsidR="005667AA" w:rsidRPr="00682F17">
        <w:rPr>
          <w:rFonts w:cs="Calibri"/>
          <w:bCs/>
          <w:i/>
        </w:rPr>
        <w:t>Report on financial matters 2016-2018</w:t>
      </w:r>
      <w:r w:rsidR="005667AA" w:rsidRPr="00682F17">
        <w:rPr>
          <w:rFonts w:cs="Calibri"/>
        </w:rPr>
        <w:t xml:space="preserve">, </w:t>
      </w:r>
      <w:r w:rsidRPr="00682F17">
        <w:rPr>
          <w:rFonts w:cs="Calibri"/>
        </w:rPr>
        <w:t>including the proposed core budget for 2018.</w:t>
      </w:r>
    </w:p>
    <w:p w14:paraId="6B1C0519" w14:textId="77777777" w:rsidR="00B264A0" w:rsidRDefault="00B264A0" w:rsidP="00682F17">
      <w:pPr>
        <w:spacing w:after="0" w:line="240" w:lineRule="auto"/>
        <w:ind w:left="426"/>
        <w:contextualSpacing/>
        <w:rPr>
          <w:rFonts w:cs="Calibri"/>
        </w:rPr>
      </w:pPr>
    </w:p>
    <w:p w14:paraId="6760BFAD" w14:textId="770725BB" w:rsidR="00B80B76" w:rsidRPr="00887E85" w:rsidRDefault="00887E85" w:rsidP="00887E85">
      <w:pPr>
        <w:spacing w:after="0" w:line="240" w:lineRule="auto"/>
        <w:ind w:left="426" w:hanging="426"/>
        <w:contextualSpacing/>
        <w:rPr>
          <w:rFonts w:cs="Calibri"/>
        </w:rPr>
      </w:pPr>
      <w:r>
        <w:rPr>
          <w:rFonts w:cs="Calibri"/>
        </w:rPr>
        <w:t>61.</w:t>
      </w:r>
      <w:r>
        <w:rPr>
          <w:rFonts w:cs="Calibri"/>
        </w:rPr>
        <w:tab/>
      </w:r>
      <w:r w:rsidR="00B80B76" w:rsidRPr="00682F17">
        <w:rPr>
          <w:rFonts w:cs="Calibri"/>
        </w:rPr>
        <w:t xml:space="preserve">The Subgroup had requested </w:t>
      </w:r>
      <w:r w:rsidR="00B264A0">
        <w:rPr>
          <w:rFonts w:cs="Calibri"/>
        </w:rPr>
        <w:t xml:space="preserve">that </w:t>
      </w:r>
      <w:r w:rsidR="00B80B76" w:rsidRPr="00682F17">
        <w:rPr>
          <w:rFonts w:cs="Calibri"/>
        </w:rPr>
        <w:t xml:space="preserve">the Secretariat revise Annex 4 to document </w:t>
      </w:r>
      <w:r w:rsidR="00B80B76" w:rsidRPr="00887E85">
        <w:rPr>
          <w:rFonts w:cs="Calibri"/>
        </w:rPr>
        <w:t xml:space="preserve">Doc. SC54-7.1 Rev.1 </w:t>
      </w:r>
      <w:r w:rsidR="005667AA" w:rsidRPr="00887E85">
        <w:rPr>
          <w:rFonts w:cs="Calibri"/>
        </w:rPr>
        <w:t>and t</w:t>
      </w:r>
      <w:r w:rsidR="00B80B76" w:rsidRPr="00887E85">
        <w:rPr>
          <w:rFonts w:cs="Calibri"/>
        </w:rPr>
        <w:t xml:space="preserve">his had now been circulated as Doc. SC54-7.1 Rev.1 Addendum </w:t>
      </w:r>
      <w:r w:rsidR="00B80B76" w:rsidRPr="00DD4976">
        <w:rPr>
          <w:rFonts w:cs="Calibri"/>
          <w:i/>
        </w:rPr>
        <w:t>Annex 4 (revised): Proposed Core Budget 2018 (without 2017 carry-forwards)</w:t>
      </w:r>
      <w:r w:rsidR="005667AA" w:rsidRPr="00887E85">
        <w:rPr>
          <w:rFonts w:cs="Calibri"/>
        </w:rPr>
        <w:t>.</w:t>
      </w:r>
    </w:p>
    <w:p w14:paraId="15DB6273" w14:textId="52AA3930" w:rsidR="00B80B76" w:rsidRPr="00682F17" w:rsidRDefault="00B80B76" w:rsidP="00B23D8D">
      <w:pPr>
        <w:spacing w:after="0" w:line="240" w:lineRule="auto"/>
        <w:ind w:left="426" w:hanging="426"/>
        <w:rPr>
          <w:rFonts w:cs="Calibri"/>
        </w:rPr>
      </w:pPr>
    </w:p>
    <w:p w14:paraId="2FB082C2" w14:textId="5EB789FA" w:rsidR="005667AA" w:rsidRPr="00682F17" w:rsidRDefault="00B23D8D" w:rsidP="00B23D8D">
      <w:pPr>
        <w:spacing w:after="0" w:line="240" w:lineRule="auto"/>
        <w:ind w:left="426" w:hanging="426"/>
        <w:contextualSpacing/>
        <w:rPr>
          <w:rFonts w:cs="Calibri"/>
        </w:rPr>
      </w:pPr>
      <w:r w:rsidRPr="00682F17">
        <w:rPr>
          <w:rFonts w:cs="Calibri"/>
        </w:rPr>
        <w:t>6</w:t>
      </w:r>
      <w:r w:rsidR="00887E85">
        <w:rPr>
          <w:rFonts w:cs="Calibri"/>
        </w:rPr>
        <w:t>2</w:t>
      </w:r>
      <w:r w:rsidRPr="00682F17">
        <w:rPr>
          <w:rFonts w:cs="Calibri"/>
        </w:rPr>
        <w:t>.</w:t>
      </w:r>
      <w:r w:rsidRPr="00682F17">
        <w:rPr>
          <w:rFonts w:cs="Calibri"/>
        </w:rPr>
        <w:tab/>
      </w:r>
      <w:r w:rsidR="005667AA" w:rsidRPr="00682F17">
        <w:rPr>
          <w:rFonts w:cs="Calibri"/>
          <w:b/>
        </w:rPr>
        <w:t>Finland</w:t>
      </w:r>
      <w:r w:rsidR="005667AA" w:rsidRPr="00682F17">
        <w:rPr>
          <w:rFonts w:cs="Calibri"/>
        </w:rPr>
        <w:t xml:space="preserve">, </w:t>
      </w:r>
      <w:r w:rsidR="005667AA" w:rsidRPr="00682F17">
        <w:rPr>
          <w:rFonts w:cs="Calibri"/>
          <w:b/>
        </w:rPr>
        <w:t>Japan</w:t>
      </w:r>
      <w:r w:rsidR="005667AA" w:rsidRPr="00682F17">
        <w:rPr>
          <w:rFonts w:cs="Calibri"/>
        </w:rPr>
        <w:t xml:space="preserve"> and </w:t>
      </w:r>
      <w:r w:rsidR="005667AA" w:rsidRPr="00682F17">
        <w:rPr>
          <w:rFonts w:cs="Calibri"/>
          <w:b/>
        </w:rPr>
        <w:t>Switzerland</w:t>
      </w:r>
      <w:r w:rsidR="005667AA" w:rsidRPr="00682F17">
        <w:rPr>
          <w:rFonts w:cs="Calibri"/>
        </w:rPr>
        <w:t xml:space="preserve"> noted that the Subgroup had not yet concluded its work and considered that elements of the interim report would benefit from clarification.</w:t>
      </w:r>
    </w:p>
    <w:p w14:paraId="6F81BEE6" w14:textId="77777777" w:rsidR="005667AA" w:rsidRPr="00682F17" w:rsidRDefault="005667AA" w:rsidP="00B23D8D">
      <w:pPr>
        <w:spacing w:after="0" w:line="240" w:lineRule="auto"/>
        <w:ind w:left="426" w:hanging="426"/>
        <w:contextualSpacing/>
        <w:rPr>
          <w:rFonts w:cs="Calibri"/>
        </w:rPr>
      </w:pPr>
    </w:p>
    <w:p w14:paraId="03907CA9" w14:textId="0CB1A1DC" w:rsidR="00B80B76" w:rsidRPr="00682F17" w:rsidRDefault="00B23D8D" w:rsidP="00B23D8D">
      <w:pPr>
        <w:spacing w:after="0" w:line="240" w:lineRule="auto"/>
        <w:ind w:left="426" w:hanging="426"/>
        <w:contextualSpacing/>
        <w:rPr>
          <w:rFonts w:cs="Calibri"/>
        </w:rPr>
      </w:pPr>
      <w:r w:rsidRPr="00682F17">
        <w:rPr>
          <w:rFonts w:cs="Calibri"/>
        </w:rPr>
        <w:t>6</w:t>
      </w:r>
      <w:r w:rsidR="00887E85">
        <w:rPr>
          <w:rFonts w:cs="Calibri"/>
        </w:rPr>
        <w:t>3</w:t>
      </w:r>
      <w:r w:rsidRPr="00682F17">
        <w:rPr>
          <w:rFonts w:cs="Calibri"/>
        </w:rPr>
        <w:t>.</w:t>
      </w:r>
      <w:r w:rsidRPr="00682F17">
        <w:rPr>
          <w:rFonts w:cs="Calibri"/>
          <w:b/>
        </w:rPr>
        <w:tab/>
      </w:r>
      <w:r w:rsidR="005667AA" w:rsidRPr="00682F17">
        <w:rPr>
          <w:rFonts w:cs="Calibri"/>
          <w:b/>
        </w:rPr>
        <w:t>Canada</w:t>
      </w:r>
      <w:r w:rsidR="005667AA" w:rsidRPr="00682F17">
        <w:rPr>
          <w:rFonts w:cs="Calibri"/>
        </w:rPr>
        <w:t xml:space="preserve"> and the </w:t>
      </w:r>
      <w:r w:rsidR="005667AA" w:rsidRPr="00682F17">
        <w:rPr>
          <w:rFonts w:cs="Calibri"/>
          <w:b/>
        </w:rPr>
        <w:t>United States of America</w:t>
      </w:r>
      <w:r w:rsidR="005667AA" w:rsidRPr="00682F17">
        <w:rPr>
          <w:rFonts w:cs="Calibri"/>
        </w:rPr>
        <w:t xml:space="preserve"> supported continuation of the Subgroup’s discussions.</w:t>
      </w:r>
    </w:p>
    <w:p w14:paraId="2A9E272C" w14:textId="10519A6E" w:rsidR="00822639" w:rsidRPr="00682F17" w:rsidRDefault="00822639" w:rsidP="00B23D8D">
      <w:pPr>
        <w:spacing w:after="0" w:line="240" w:lineRule="auto"/>
        <w:ind w:left="426" w:hanging="426"/>
        <w:contextualSpacing/>
        <w:rPr>
          <w:rFonts w:cs="Calibri"/>
          <w:bCs/>
        </w:rPr>
      </w:pPr>
    </w:p>
    <w:p w14:paraId="46D289D7" w14:textId="7BE568AC" w:rsidR="00822639" w:rsidRPr="00682F17" w:rsidRDefault="00B23D8D" w:rsidP="00B23D8D">
      <w:pPr>
        <w:spacing w:after="0" w:line="240" w:lineRule="auto"/>
        <w:ind w:left="426" w:hanging="426"/>
        <w:contextualSpacing/>
        <w:rPr>
          <w:rFonts w:cs="Calibri"/>
          <w:bCs/>
        </w:rPr>
      </w:pPr>
      <w:r w:rsidRPr="00682F17">
        <w:rPr>
          <w:rFonts w:cs="Calibri"/>
          <w:bCs/>
        </w:rPr>
        <w:t>6</w:t>
      </w:r>
      <w:r w:rsidR="00887E85">
        <w:rPr>
          <w:rFonts w:cs="Calibri"/>
          <w:bCs/>
        </w:rPr>
        <w:t>4</w:t>
      </w:r>
      <w:r w:rsidRPr="00682F17">
        <w:rPr>
          <w:rFonts w:cs="Calibri"/>
          <w:bCs/>
        </w:rPr>
        <w:t>.</w:t>
      </w:r>
      <w:r w:rsidRPr="00682F17">
        <w:rPr>
          <w:rFonts w:cs="Calibri"/>
          <w:bCs/>
        </w:rPr>
        <w:tab/>
      </w:r>
      <w:r w:rsidR="005667AA" w:rsidRPr="00682F17">
        <w:rPr>
          <w:rFonts w:cs="Calibri"/>
          <w:bCs/>
        </w:rPr>
        <w:t xml:space="preserve">The </w:t>
      </w:r>
      <w:r w:rsidR="005667AA" w:rsidRPr="00682F17">
        <w:rPr>
          <w:rFonts w:cs="Calibri"/>
          <w:b/>
          <w:bCs/>
        </w:rPr>
        <w:t>Chair</w:t>
      </w:r>
      <w:r w:rsidR="005667AA" w:rsidRPr="00682F17">
        <w:rPr>
          <w:rFonts w:cs="Calibri"/>
          <w:bCs/>
        </w:rPr>
        <w:t xml:space="preserve"> requested </w:t>
      </w:r>
      <w:r w:rsidR="00887E85">
        <w:rPr>
          <w:rFonts w:cs="Calibri"/>
          <w:bCs/>
        </w:rPr>
        <w:t xml:space="preserve">that </w:t>
      </w:r>
      <w:r w:rsidR="005667AA" w:rsidRPr="00682F17">
        <w:rPr>
          <w:rFonts w:cs="Calibri"/>
          <w:bCs/>
        </w:rPr>
        <w:t>the Subgroup on Finance continue its deliberations and report to plenary on 27 April.</w:t>
      </w:r>
    </w:p>
    <w:p w14:paraId="02D0CA39" w14:textId="1EEA8E34" w:rsidR="00822639" w:rsidRPr="00682F17" w:rsidRDefault="00822639" w:rsidP="00B23D8D">
      <w:pPr>
        <w:spacing w:after="0" w:line="240" w:lineRule="auto"/>
        <w:ind w:left="426" w:hanging="426"/>
        <w:contextualSpacing/>
        <w:rPr>
          <w:rFonts w:cs="Calibri"/>
          <w:bCs/>
        </w:rPr>
      </w:pPr>
    </w:p>
    <w:p w14:paraId="3054091F" w14:textId="6D54C378" w:rsidR="005433D2" w:rsidRPr="00682F17" w:rsidRDefault="005433D2" w:rsidP="00887E85">
      <w:pPr>
        <w:keepNext/>
        <w:pBdr>
          <w:top w:val="single" w:sz="4" w:space="1" w:color="auto"/>
          <w:left w:val="single" w:sz="4" w:space="4" w:color="auto"/>
          <w:bottom w:val="single" w:sz="4" w:space="1" w:color="auto"/>
          <w:right w:val="single" w:sz="4" w:space="4" w:color="auto"/>
        </w:pBdr>
        <w:spacing w:after="0" w:line="240" w:lineRule="auto"/>
        <w:ind w:left="425" w:hanging="425"/>
        <w:rPr>
          <w:rFonts w:asciiTheme="majorHAnsi" w:hAnsiTheme="majorHAnsi"/>
          <w:bCs/>
        </w:rPr>
      </w:pPr>
      <w:r w:rsidRPr="00682F17">
        <w:rPr>
          <w:rFonts w:asciiTheme="majorHAnsi" w:hAnsiTheme="majorHAnsi"/>
          <w:bCs/>
        </w:rPr>
        <w:lastRenderedPageBreak/>
        <w:t>Agenda item 8. Review of the fourth Strategic Plan of the Ramsar Conventio</w:t>
      </w:r>
      <w:r w:rsidR="003F5E17" w:rsidRPr="00682F17">
        <w:rPr>
          <w:rFonts w:asciiTheme="majorHAnsi" w:hAnsiTheme="majorHAnsi"/>
          <w:bCs/>
        </w:rPr>
        <w:t>n</w:t>
      </w:r>
    </w:p>
    <w:p w14:paraId="4AAD7724" w14:textId="6714D92A" w:rsidR="003D6A99" w:rsidRPr="00682F17" w:rsidRDefault="003D6A99" w:rsidP="00887E85">
      <w:pPr>
        <w:keepNext/>
        <w:spacing w:after="0" w:line="240" w:lineRule="auto"/>
        <w:ind w:left="425" w:hanging="425"/>
        <w:rPr>
          <w:rFonts w:asciiTheme="majorHAnsi" w:hAnsiTheme="majorHAnsi"/>
          <w:bCs/>
        </w:rPr>
      </w:pPr>
    </w:p>
    <w:p w14:paraId="3A340A28" w14:textId="707E9075" w:rsidR="005433D2" w:rsidRPr="00682F17" w:rsidRDefault="00B23D8D" w:rsidP="00B23D8D">
      <w:pPr>
        <w:spacing w:after="0" w:line="240" w:lineRule="auto"/>
        <w:ind w:left="426" w:hanging="426"/>
        <w:rPr>
          <w:rFonts w:asciiTheme="majorHAnsi" w:hAnsiTheme="majorHAnsi"/>
          <w:bCs/>
        </w:rPr>
      </w:pPr>
      <w:r w:rsidRPr="00682F17">
        <w:rPr>
          <w:rFonts w:asciiTheme="majorHAnsi" w:hAnsiTheme="majorHAnsi"/>
          <w:bCs/>
        </w:rPr>
        <w:t>65.</w:t>
      </w:r>
      <w:r w:rsidRPr="00682F17">
        <w:rPr>
          <w:rFonts w:asciiTheme="majorHAnsi" w:hAnsiTheme="majorHAnsi"/>
          <w:bCs/>
        </w:rPr>
        <w:tab/>
      </w:r>
      <w:r w:rsidR="00254B63" w:rsidRPr="00682F17">
        <w:rPr>
          <w:rFonts w:asciiTheme="majorHAnsi" w:hAnsiTheme="majorHAnsi"/>
          <w:bCs/>
        </w:rPr>
        <w:t xml:space="preserve">The </w:t>
      </w:r>
      <w:r w:rsidR="00254B63" w:rsidRPr="00682F17">
        <w:rPr>
          <w:rFonts w:asciiTheme="majorHAnsi" w:hAnsiTheme="majorHAnsi"/>
          <w:b/>
          <w:bCs/>
        </w:rPr>
        <w:t>Secretariat</w:t>
      </w:r>
      <w:r w:rsidR="00254B63" w:rsidRPr="00682F17">
        <w:rPr>
          <w:rFonts w:asciiTheme="majorHAnsi" w:hAnsiTheme="majorHAnsi"/>
          <w:bCs/>
        </w:rPr>
        <w:t xml:space="preserve"> briefly introduced document </w:t>
      </w:r>
      <w:r w:rsidR="005433D2" w:rsidRPr="00682F17">
        <w:rPr>
          <w:rFonts w:asciiTheme="majorHAnsi" w:hAnsiTheme="majorHAnsi"/>
          <w:bCs/>
        </w:rPr>
        <w:t xml:space="preserve">Doc. SC54-8 </w:t>
      </w:r>
      <w:r w:rsidR="005433D2" w:rsidRPr="00682F17">
        <w:rPr>
          <w:rFonts w:asciiTheme="majorHAnsi" w:hAnsiTheme="majorHAnsi"/>
          <w:bCs/>
          <w:i/>
        </w:rPr>
        <w:t>Review of the fourth Strategic Plan of the Convention</w:t>
      </w:r>
      <w:r w:rsidR="009279AF" w:rsidRPr="00682F17">
        <w:rPr>
          <w:rFonts w:asciiTheme="majorHAnsi" w:hAnsiTheme="majorHAnsi"/>
          <w:bCs/>
        </w:rPr>
        <w:t>. This included a draft COP13 resolution</w:t>
      </w:r>
      <w:r w:rsidR="005667AA" w:rsidRPr="00682F17">
        <w:rPr>
          <w:rFonts w:asciiTheme="majorHAnsi" w:hAnsiTheme="majorHAnsi"/>
          <w:bCs/>
        </w:rPr>
        <w:t>,</w:t>
      </w:r>
      <w:r w:rsidR="009279AF" w:rsidRPr="00682F17">
        <w:rPr>
          <w:rFonts w:asciiTheme="majorHAnsi" w:hAnsiTheme="majorHAnsi"/>
          <w:bCs/>
        </w:rPr>
        <w:t xml:space="preserve"> and </w:t>
      </w:r>
      <w:r w:rsidR="00111535" w:rsidRPr="00682F17">
        <w:rPr>
          <w:rFonts w:asciiTheme="majorHAnsi" w:hAnsiTheme="majorHAnsi"/>
          <w:bCs/>
        </w:rPr>
        <w:t xml:space="preserve">an </w:t>
      </w:r>
      <w:r w:rsidR="009279AF" w:rsidRPr="00682F17">
        <w:rPr>
          <w:rFonts w:asciiTheme="majorHAnsi" w:hAnsiTheme="majorHAnsi"/>
          <w:bCs/>
        </w:rPr>
        <w:t xml:space="preserve">associated </w:t>
      </w:r>
      <w:r w:rsidR="00887E85">
        <w:rPr>
          <w:rFonts w:asciiTheme="majorHAnsi" w:hAnsiTheme="majorHAnsi"/>
          <w:bCs/>
        </w:rPr>
        <w:t>a</w:t>
      </w:r>
      <w:r w:rsidR="009279AF" w:rsidRPr="00682F17">
        <w:rPr>
          <w:rFonts w:asciiTheme="majorHAnsi" w:hAnsiTheme="majorHAnsi"/>
          <w:bCs/>
        </w:rPr>
        <w:t>nnex</w:t>
      </w:r>
      <w:r w:rsidR="005667AA" w:rsidRPr="00682F17">
        <w:rPr>
          <w:rFonts w:asciiTheme="majorHAnsi" w:hAnsiTheme="majorHAnsi"/>
          <w:bCs/>
        </w:rPr>
        <w:t>,</w:t>
      </w:r>
      <w:r w:rsidR="009279AF" w:rsidRPr="00682F17">
        <w:rPr>
          <w:rFonts w:asciiTheme="majorHAnsi" w:hAnsiTheme="majorHAnsi"/>
          <w:bCs/>
        </w:rPr>
        <w:t xml:space="preserve"> detailing the proposed scope, modality and indicative timeline</w:t>
      </w:r>
      <w:r w:rsidR="00B018E9" w:rsidRPr="00682F17">
        <w:rPr>
          <w:rFonts w:asciiTheme="majorHAnsi" w:hAnsiTheme="majorHAnsi"/>
          <w:bCs/>
        </w:rPr>
        <w:t xml:space="preserve"> and budget</w:t>
      </w:r>
      <w:r w:rsidR="009279AF" w:rsidRPr="00682F17">
        <w:rPr>
          <w:rFonts w:asciiTheme="majorHAnsi" w:hAnsiTheme="majorHAnsi"/>
          <w:bCs/>
        </w:rPr>
        <w:t xml:space="preserve"> for the review.</w:t>
      </w:r>
    </w:p>
    <w:p w14:paraId="79767187" w14:textId="76F3E444" w:rsidR="005433D2" w:rsidRPr="00682F17" w:rsidRDefault="005433D2" w:rsidP="00B23D8D">
      <w:pPr>
        <w:spacing w:after="0" w:line="240" w:lineRule="auto"/>
        <w:ind w:left="426" w:hanging="426"/>
        <w:rPr>
          <w:rFonts w:asciiTheme="majorHAnsi" w:hAnsiTheme="majorHAnsi"/>
          <w:bCs/>
        </w:rPr>
      </w:pPr>
    </w:p>
    <w:p w14:paraId="3C68BAFB" w14:textId="6A8425B4" w:rsidR="00111535" w:rsidRPr="00682F17" w:rsidRDefault="00B23D8D" w:rsidP="00B23D8D">
      <w:pPr>
        <w:spacing w:after="0" w:line="240" w:lineRule="auto"/>
        <w:ind w:left="426" w:hanging="426"/>
        <w:rPr>
          <w:rFonts w:asciiTheme="majorHAnsi" w:hAnsiTheme="majorHAnsi"/>
          <w:bCs/>
        </w:rPr>
      </w:pPr>
      <w:r w:rsidRPr="00682F17">
        <w:rPr>
          <w:rFonts w:asciiTheme="majorHAnsi" w:hAnsiTheme="majorHAnsi"/>
          <w:bCs/>
        </w:rPr>
        <w:t>6</w:t>
      </w:r>
      <w:r w:rsidR="00887E85">
        <w:rPr>
          <w:rFonts w:asciiTheme="majorHAnsi" w:hAnsiTheme="majorHAnsi"/>
          <w:bCs/>
        </w:rPr>
        <w:t>6</w:t>
      </w:r>
      <w:r w:rsidRPr="00682F17">
        <w:rPr>
          <w:rFonts w:asciiTheme="majorHAnsi" w:hAnsiTheme="majorHAnsi"/>
          <w:bCs/>
        </w:rPr>
        <w:t>.</w:t>
      </w:r>
      <w:r w:rsidRPr="00682F17">
        <w:rPr>
          <w:rFonts w:asciiTheme="majorHAnsi" w:hAnsiTheme="majorHAnsi"/>
          <w:bCs/>
        </w:rPr>
        <w:tab/>
      </w:r>
      <w:r w:rsidR="00111535" w:rsidRPr="00682F17">
        <w:rPr>
          <w:rFonts w:asciiTheme="majorHAnsi" w:hAnsiTheme="majorHAnsi"/>
          <w:bCs/>
        </w:rPr>
        <w:t xml:space="preserve">Specific comments and proposed amendments </w:t>
      </w:r>
      <w:r w:rsidRPr="00682F17">
        <w:rPr>
          <w:rFonts w:asciiTheme="majorHAnsi" w:hAnsiTheme="majorHAnsi"/>
          <w:bCs/>
        </w:rPr>
        <w:t xml:space="preserve">to the draft resolution </w:t>
      </w:r>
      <w:r w:rsidR="00111535" w:rsidRPr="00682F17">
        <w:rPr>
          <w:rFonts w:asciiTheme="majorHAnsi" w:hAnsiTheme="majorHAnsi"/>
          <w:bCs/>
        </w:rPr>
        <w:t xml:space="preserve">were tabled by </w:t>
      </w:r>
      <w:r w:rsidR="00111535" w:rsidRPr="00682F17">
        <w:rPr>
          <w:rFonts w:asciiTheme="majorHAnsi" w:hAnsiTheme="majorHAnsi"/>
          <w:b/>
          <w:bCs/>
        </w:rPr>
        <w:t>Canada</w:t>
      </w:r>
      <w:r w:rsidR="00111535" w:rsidRPr="00682F17">
        <w:rPr>
          <w:rFonts w:asciiTheme="majorHAnsi" w:hAnsiTheme="majorHAnsi"/>
          <w:bCs/>
        </w:rPr>
        <w:t xml:space="preserve">, </w:t>
      </w:r>
      <w:r w:rsidR="00111535" w:rsidRPr="00682F17">
        <w:rPr>
          <w:rFonts w:asciiTheme="majorHAnsi" w:hAnsiTheme="majorHAnsi"/>
          <w:b/>
          <w:bCs/>
        </w:rPr>
        <w:t>Estonia</w:t>
      </w:r>
      <w:r w:rsidR="00111535" w:rsidRPr="00682F17">
        <w:rPr>
          <w:rFonts w:asciiTheme="majorHAnsi" w:hAnsiTheme="majorHAnsi"/>
          <w:bCs/>
        </w:rPr>
        <w:t xml:space="preserve">, </w:t>
      </w:r>
      <w:r w:rsidR="00111535" w:rsidRPr="00682F17">
        <w:rPr>
          <w:rFonts w:asciiTheme="majorHAnsi" w:hAnsiTheme="majorHAnsi"/>
          <w:b/>
          <w:bCs/>
        </w:rPr>
        <w:t>Finland</w:t>
      </w:r>
      <w:r w:rsidR="00111535" w:rsidRPr="00682F17">
        <w:rPr>
          <w:rFonts w:asciiTheme="majorHAnsi" w:hAnsiTheme="majorHAnsi"/>
          <w:bCs/>
        </w:rPr>
        <w:t xml:space="preserve">, </w:t>
      </w:r>
      <w:r w:rsidR="00111535" w:rsidRPr="00682F17">
        <w:rPr>
          <w:rFonts w:asciiTheme="majorHAnsi" w:hAnsiTheme="majorHAnsi"/>
          <w:b/>
          <w:bCs/>
        </w:rPr>
        <w:t>Oman</w:t>
      </w:r>
      <w:r w:rsidR="00111535" w:rsidRPr="00682F17">
        <w:rPr>
          <w:rFonts w:asciiTheme="majorHAnsi" w:hAnsiTheme="majorHAnsi"/>
          <w:bCs/>
        </w:rPr>
        <w:t xml:space="preserve">, </w:t>
      </w:r>
      <w:r w:rsidR="00111535" w:rsidRPr="00682F17">
        <w:rPr>
          <w:rFonts w:asciiTheme="majorHAnsi" w:hAnsiTheme="majorHAnsi"/>
          <w:b/>
          <w:bCs/>
        </w:rPr>
        <w:t>Senegal</w:t>
      </w:r>
      <w:r w:rsidR="00111535" w:rsidRPr="00682F17">
        <w:rPr>
          <w:rFonts w:asciiTheme="majorHAnsi" w:hAnsiTheme="majorHAnsi"/>
          <w:bCs/>
        </w:rPr>
        <w:t xml:space="preserve">, </w:t>
      </w:r>
      <w:r w:rsidR="00111535" w:rsidRPr="00682F17">
        <w:rPr>
          <w:rFonts w:asciiTheme="majorHAnsi" w:hAnsiTheme="majorHAnsi"/>
          <w:b/>
          <w:bCs/>
        </w:rPr>
        <w:t>South Africa</w:t>
      </w:r>
      <w:r w:rsidR="00111535" w:rsidRPr="00682F17">
        <w:rPr>
          <w:rFonts w:asciiTheme="majorHAnsi" w:hAnsiTheme="majorHAnsi"/>
          <w:bCs/>
        </w:rPr>
        <w:t xml:space="preserve">, </w:t>
      </w:r>
      <w:r w:rsidR="00111535" w:rsidRPr="00682F17">
        <w:rPr>
          <w:rFonts w:asciiTheme="majorHAnsi" w:hAnsiTheme="majorHAnsi"/>
          <w:b/>
          <w:bCs/>
        </w:rPr>
        <w:t>Switzerland</w:t>
      </w:r>
      <w:r w:rsidR="00111535" w:rsidRPr="00682F17">
        <w:rPr>
          <w:rFonts w:asciiTheme="majorHAnsi" w:hAnsiTheme="majorHAnsi"/>
          <w:bCs/>
        </w:rPr>
        <w:t xml:space="preserve"> and </w:t>
      </w:r>
      <w:r w:rsidR="00111535" w:rsidRPr="00682F17">
        <w:rPr>
          <w:rFonts w:asciiTheme="majorHAnsi" w:hAnsiTheme="majorHAnsi"/>
          <w:b/>
          <w:bCs/>
        </w:rPr>
        <w:t>United States of America</w:t>
      </w:r>
      <w:r w:rsidR="00111535" w:rsidRPr="00682F17">
        <w:rPr>
          <w:rFonts w:asciiTheme="majorHAnsi" w:hAnsiTheme="majorHAnsi"/>
          <w:bCs/>
        </w:rPr>
        <w:t>.</w:t>
      </w:r>
    </w:p>
    <w:p w14:paraId="7D34CF66" w14:textId="3132F9B6" w:rsidR="00111535" w:rsidRPr="00682F17" w:rsidRDefault="00111535" w:rsidP="00B23D8D">
      <w:pPr>
        <w:spacing w:after="0" w:line="240" w:lineRule="auto"/>
        <w:ind w:left="426" w:hanging="426"/>
        <w:rPr>
          <w:rFonts w:asciiTheme="majorHAnsi" w:hAnsiTheme="majorHAnsi"/>
          <w:bCs/>
        </w:rPr>
      </w:pPr>
    </w:p>
    <w:p w14:paraId="0BA292C9" w14:textId="0A03259C" w:rsidR="00111535" w:rsidRPr="00682F17" w:rsidRDefault="00B23D8D" w:rsidP="00B23D8D">
      <w:pPr>
        <w:spacing w:after="0" w:line="240" w:lineRule="auto"/>
        <w:ind w:left="426" w:hanging="426"/>
        <w:rPr>
          <w:rFonts w:asciiTheme="majorHAnsi" w:hAnsiTheme="majorHAnsi"/>
          <w:bCs/>
        </w:rPr>
      </w:pPr>
      <w:r w:rsidRPr="00682F17">
        <w:rPr>
          <w:rFonts w:asciiTheme="majorHAnsi" w:hAnsiTheme="majorHAnsi"/>
          <w:bCs/>
        </w:rPr>
        <w:t>6</w:t>
      </w:r>
      <w:r w:rsidR="00887E85">
        <w:rPr>
          <w:rFonts w:asciiTheme="majorHAnsi" w:hAnsiTheme="majorHAnsi"/>
          <w:bCs/>
        </w:rPr>
        <w:t>7</w:t>
      </w:r>
      <w:r w:rsidRPr="00682F17">
        <w:rPr>
          <w:rFonts w:asciiTheme="majorHAnsi" w:hAnsiTheme="majorHAnsi"/>
          <w:bCs/>
        </w:rPr>
        <w:t>.</w:t>
      </w:r>
      <w:r w:rsidRPr="00682F17">
        <w:rPr>
          <w:rFonts w:asciiTheme="majorHAnsi" w:hAnsiTheme="majorHAnsi"/>
          <w:bCs/>
        </w:rPr>
        <w:tab/>
      </w:r>
      <w:r w:rsidR="00111535" w:rsidRPr="00682F17">
        <w:rPr>
          <w:rFonts w:asciiTheme="majorHAnsi" w:hAnsiTheme="majorHAnsi"/>
          <w:bCs/>
        </w:rPr>
        <w:t xml:space="preserve">The </w:t>
      </w:r>
      <w:r w:rsidR="00111535" w:rsidRPr="00682F17">
        <w:rPr>
          <w:rFonts w:asciiTheme="majorHAnsi" w:hAnsiTheme="majorHAnsi"/>
          <w:b/>
          <w:bCs/>
        </w:rPr>
        <w:t>Secretariat</w:t>
      </w:r>
      <w:r w:rsidR="00111535" w:rsidRPr="00682F17">
        <w:rPr>
          <w:rFonts w:asciiTheme="majorHAnsi" w:hAnsiTheme="majorHAnsi"/>
          <w:bCs/>
        </w:rPr>
        <w:t xml:space="preserve"> responded to a number of the points raised.</w:t>
      </w:r>
    </w:p>
    <w:p w14:paraId="6870F028" w14:textId="4FBA2F55" w:rsidR="00111535" w:rsidRPr="00682F17" w:rsidRDefault="00111535" w:rsidP="00B23D8D">
      <w:pPr>
        <w:spacing w:after="0" w:line="240" w:lineRule="auto"/>
        <w:ind w:left="426" w:hanging="426"/>
        <w:rPr>
          <w:rFonts w:asciiTheme="majorHAnsi" w:hAnsiTheme="majorHAnsi"/>
          <w:bCs/>
        </w:rPr>
      </w:pPr>
    </w:p>
    <w:p w14:paraId="49055262" w14:textId="1BA137F9" w:rsidR="00715A9B" w:rsidRPr="00682F17" w:rsidRDefault="00B23D8D" w:rsidP="00B23D8D">
      <w:pPr>
        <w:spacing w:after="0" w:line="240" w:lineRule="auto"/>
        <w:ind w:left="426" w:hanging="426"/>
        <w:rPr>
          <w:rFonts w:asciiTheme="majorHAnsi" w:hAnsiTheme="majorHAnsi"/>
          <w:bCs/>
        </w:rPr>
      </w:pPr>
      <w:r w:rsidRPr="00682F17">
        <w:rPr>
          <w:rFonts w:asciiTheme="majorHAnsi" w:hAnsiTheme="majorHAnsi"/>
          <w:bCs/>
        </w:rPr>
        <w:t>6</w:t>
      </w:r>
      <w:r w:rsidR="00887E85">
        <w:rPr>
          <w:rFonts w:asciiTheme="majorHAnsi" w:hAnsiTheme="majorHAnsi"/>
          <w:bCs/>
        </w:rPr>
        <w:t>8</w:t>
      </w:r>
      <w:r w:rsidRPr="00682F17">
        <w:rPr>
          <w:rFonts w:asciiTheme="majorHAnsi" w:hAnsiTheme="majorHAnsi"/>
          <w:bCs/>
        </w:rPr>
        <w:t>.</w:t>
      </w:r>
      <w:r w:rsidRPr="00682F17">
        <w:rPr>
          <w:rFonts w:asciiTheme="majorHAnsi" w:hAnsiTheme="majorHAnsi"/>
          <w:bCs/>
        </w:rPr>
        <w:tab/>
      </w:r>
      <w:r w:rsidR="00111535" w:rsidRPr="00682F17">
        <w:rPr>
          <w:rFonts w:asciiTheme="majorHAnsi" w:hAnsiTheme="majorHAnsi"/>
          <w:bCs/>
        </w:rPr>
        <w:t xml:space="preserve">The </w:t>
      </w:r>
      <w:r w:rsidR="00111535" w:rsidRPr="00682F17">
        <w:rPr>
          <w:rFonts w:asciiTheme="majorHAnsi" w:hAnsiTheme="majorHAnsi"/>
          <w:b/>
          <w:bCs/>
        </w:rPr>
        <w:t>Chair</w:t>
      </w:r>
      <w:r w:rsidR="00111535" w:rsidRPr="00682F17">
        <w:rPr>
          <w:rFonts w:asciiTheme="majorHAnsi" w:hAnsiTheme="majorHAnsi"/>
          <w:bCs/>
        </w:rPr>
        <w:t xml:space="preserve"> requested those Parties that had proposed amendments to submit them in writing to the Secretariat so that a revised document could be prepared and submitted for the Standing Committee’s further consideration.</w:t>
      </w:r>
    </w:p>
    <w:p w14:paraId="318BB8B8" w14:textId="77777777" w:rsidR="005433D2" w:rsidRPr="00682F17" w:rsidRDefault="005433D2" w:rsidP="00B23D8D">
      <w:pPr>
        <w:spacing w:after="0" w:line="240" w:lineRule="auto"/>
        <w:ind w:left="426" w:hanging="426"/>
        <w:rPr>
          <w:rFonts w:asciiTheme="majorHAnsi" w:hAnsiTheme="majorHAnsi"/>
          <w:bCs/>
        </w:rPr>
      </w:pPr>
    </w:p>
    <w:p w14:paraId="583A4222" w14:textId="77777777" w:rsidR="005433D2" w:rsidRPr="00682F17" w:rsidRDefault="005433D2" w:rsidP="00B23D8D">
      <w:pPr>
        <w:pBdr>
          <w:top w:val="single" w:sz="4" w:space="1" w:color="auto"/>
          <w:left w:val="single" w:sz="4" w:space="4" w:color="auto"/>
          <w:bottom w:val="single" w:sz="4" w:space="0" w:color="auto"/>
          <w:right w:val="single" w:sz="4" w:space="4" w:color="auto"/>
        </w:pBdr>
        <w:spacing w:after="0" w:line="240" w:lineRule="auto"/>
        <w:ind w:left="426" w:hanging="426"/>
        <w:rPr>
          <w:rFonts w:asciiTheme="majorHAnsi" w:hAnsiTheme="majorHAnsi"/>
          <w:bCs/>
        </w:rPr>
      </w:pPr>
      <w:r w:rsidRPr="00682F17">
        <w:rPr>
          <w:rFonts w:asciiTheme="majorHAnsi" w:hAnsiTheme="majorHAnsi"/>
          <w:bCs/>
        </w:rPr>
        <w:t>Agenda item 14. Enhancing the Convention’s visibility and synergies with other multilateral environmental agreements and other institutions</w:t>
      </w:r>
    </w:p>
    <w:p w14:paraId="759F0CAA" w14:textId="77777777" w:rsidR="003D6A99" w:rsidRPr="00682F17" w:rsidRDefault="003D6A99" w:rsidP="00B23D8D">
      <w:pPr>
        <w:spacing w:after="0" w:line="240" w:lineRule="auto"/>
        <w:ind w:left="426" w:hanging="426"/>
        <w:rPr>
          <w:rFonts w:asciiTheme="majorHAnsi" w:hAnsiTheme="majorHAnsi"/>
          <w:bCs/>
        </w:rPr>
      </w:pPr>
    </w:p>
    <w:p w14:paraId="4E0803A5" w14:textId="7BC295C1" w:rsidR="005433D2" w:rsidRPr="00682F17" w:rsidRDefault="00887E85" w:rsidP="00B23D8D">
      <w:pPr>
        <w:spacing w:after="0" w:line="240" w:lineRule="auto"/>
        <w:ind w:left="426" w:hanging="426"/>
        <w:rPr>
          <w:rFonts w:asciiTheme="majorHAnsi" w:hAnsiTheme="majorHAnsi"/>
          <w:bCs/>
        </w:rPr>
      </w:pPr>
      <w:r>
        <w:rPr>
          <w:rFonts w:asciiTheme="majorHAnsi" w:hAnsiTheme="majorHAnsi"/>
          <w:bCs/>
        </w:rPr>
        <w:t>69</w:t>
      </w:r>
      <w:r w:rsidR="00B23D8D" w:rsidRPr="00682F17">
        <w:rPr>
          <w:rFonts w:asciiTheme="majorHAnsi" w:hAnsiTheme="majorHAnsi"/>
          <w:bCs/>
        </w:rPr>
        <w:t>.</w:t>
      </w:r>
      <w:r w:rsidR="00B23D8D" w:rsidRPr="00682F17">
        <w:rPr>
          <w:rFonts w:asciiTheme="majorHAnsi" w:hAnsiTheme="majorHAnsi"/>
          <w:bCs/>
        </w:rPr>
        <w:tab/>
      </w:r>
      <w:r w:rsidR="003D6A99" w:rsidRPr="00682F17">
        <w:rPr>
          <w:rFonts w:asciiTheme="majorHAnsi" w:hAnsiTheme="majorHAnsi"/>
          <w:bCs/>
        </w:rPr>
        <w:t>This item was chaired by the Vice-Chair of the Standing Committee (Australia).</w:t>
      </w:r>
    </w:p>
    <w:p w14:paraId="0F4996F9" w14:textId="77777777" w:rsidR="003D6A99" w:rsidRPr="00682F17" w:rsidRDefault="003D6A99" w:rsidP="00B23D8D">
      <w:pPr>
        <w:spacing w:after="0" w:line="240" w:lineRule="auto"/>
        <w:ind w:left="426" w:hanging="426"/>
        <w:rPr>
          <w:rFonts w:asciiTheme="majorHAnsi" w:hAnsiTheme="majorHAnsi"/>
          <w:bCs/>
        </w:rPr>
      </w:pPr>
    </w:p>
    <w:p w14:paraId="24809CFF" w14:textId="426DC62E" w:rsidR="005433D2" w:rsidRPr="00682F17" w:rsidRDefault="00B23D8D" w:rsidP="00B23D8D">
      <w:pPr>
        <w:spacing w:after="0" w:line="240" w:lineRule="auto"/>
        <w:ind w:left="426" w:hanging="426"/>
        <w:rPr>
          <w:rFonts w:asciiTheme="majorHAnsi" w:hAnsiTheme="majorHAnsi"/>
        </w:rPr>
      </w:pPr>
      <w:r w:rsidRPr="00682F17">
        <w:rPr>
          <w:rFonts w:asciiTheme="majorHAnsi" w:hAnsiTheme="majorHAnsi"/>
          <w:bCs/>
        </w:rPr>
        <w:t>7</w:t>
      </w:r>
      <w:r w:rsidR="00887E85">
        <w:rPr>
          <w:rFonts w:asciiTheme="majorHAnsi" w:hAnsiTheme="majorHAnsi"/>
          <w:bCs/>
        </w:rPr>
        <w:t>0</w:t>
      </w:r>
      <w:r w:rsidRPr="00682F17">
        <w:rPr>
          <w:rFonts w:asciiTheme="majorHAnsi" w:hAnsiTheme="majorHAnsi"/>
          <w:bCs/>
        </w:rPr>
        <w:t>.</w:t>
      </w:r>
      <w:r w:rsidRPr="00682F17">
        <w:rPr>
          <w:rFonts w:asciiTheme="majorHAnsi" w:hAnsiTheme="majorHAnsi"/>
          <w:bCs/>
        </w:rPr>
        <w:tab/>
      </w:r>
      <w:r w:rsidR="00F2157F" w:rsidRPr="00682F17">
        <w:rPr>
          <w:rFonts w:asciiTheme="majorHAnsi" w:hAnsiTheme="majorHAnsi"/>
          <w:bCs/>
        </w:rPr>
        <w:t xml:space="preserve">The </w:t>
      </w:r>
      <w:r w:rsidR="00F2157F" w:rsidRPr="00682F17">
        <w:rPr>
          <w:rFonts w:asciiTheme="majorHAnsi" w:hAnsiTheme="majorHAnsi"/>
          <w:b/>
          <w:bCs/>
        </w:rPr>
        <w:t>Secretariat</w:t>
      </w:r>
      <w:r w:rsidR="00F2157F" w:rsidRPr="00682F17">
        <w:rPr>
          <w:rFonts w:asciiTheme="majorHAnsi" w:hAnsiTheme="majorHAnsi"/>
          <w:bCs/>
        </w:rPr>
        <w:t xml:space="preserve"> briefly introduced document </w:t>
      </w:r>
      <w:r w:rsidR="005433D2" w:rsidRPr="00682F17">
        <w:rPr>
          <w:rFonts w:asciiTheme="majorHAnsi" w:hAnsiTheme="majorHAnsi"/>
          <w:bCs/>
        </w:rPr>
        <w:t xml:space="preserve">Doc. SC54-14 </w:t>
      </w:r>
      <w:r w:rsidR="005433D2" w:rsidRPr="00682F17">
        <w:rPr>
          <w:rFonts w:asciiTheme="majorHAnsi" w:hAnsiTheme="majorHAnsi"/>
          <w:i/>
        </w:rPr>
        <w:t>Enhancing the Convention’s visibility and synergies with other multilateral environmental agreements and other institutions</w:t>
      </w:r>
      <w:r w:rsidR="00184756" w:rsidRPr="00682F17">
        <w:rPr>
          <w:rFonts w:asciiTheme="majorHAnsi" w:hAnsiTheme="majorHAnsi"/>
        </w:rPr>
        <w:t xml:space="preserve">. </w:t>
      </w:r>
      <w:r w:rsidR="009779D8" w:rsidRPr="00682F17">
        <w:rPr>
          <w:rFonts w:asciiTheme="majorHAnsi" w:hAnsiTheme="majorHAnsi"/>
        </w:rPr>
        <w:t xml:space="preserve">This </w:t>
      </w:r>
      <w:r w:rsidR="009A5340" w:rsidRPr="00682F17">
        <w:rPr>
          <w:rFonts w:asciiTheme="majorHAnsi" w:hAnsiTheme="majorHAnsi"/>
        </w:rPr>
        <w:t>comprised a covering note and</w:t>
      </w:r>
      <w:r w:rsidR="009779D8" w:rsidRPr="00682F17">
        <w:rPr>
          <w:rFonts w:asciiTheme="majorHAnsi" w:hAnsiTheme="majorHAnsi"/>
        </w:rPr>
        <w:t xml:space="preserve"> draft resolution</w:t>
      </w:r>
      <w:r w:rsidR="00887E85" w:rsidRPr="00887E85">
        <w:rPr>
          <w:rFonts w:asciiTheme="majorHAnsi" w:hAnsiTheme="majorHAnsi"/>
        </w:rPr>
        <w:t xml:space="preserve"> </w:t>
      </w:r>
      <w:r w:rsidR="00887E85">
        <w:rPr>
          <w:rFonts w:asciiTheme="majorHAnsi" w:hAnsiTheme="majorHAnsi"/>
        </w:rPr>
        <w:t>text</w:t>
      </w:r>
      <w:r w:rsidR="009779D8" w:rsidRPr="00682F17">
        <w:rPr>
          <w:rFonts w:asciiTheme="majorHAnsi" w:hAnsiTheme="majorHAnsi"/>
        </w:rPr>
        <w:t>.</w:t>
      </w:r>
    </w:p>
    <w:p w14:paraId="6E86EA6A" w14:textId="48DBE5AF" w:rsidR="009779D8" w:rsidRPr="00682F17" w:rsidRDefault="009779D8" w:rsidP="00B23D8D">
      <w:pPr>
        <w:spacing w:after="0" w:line="240" w:lineRule="auto"/>
        <w:ind w:left="426" w:hanging="426"/>
        <w:rPr>
          <w:rFonts w:asciiTheme="majorHAnsi" w:hAnsiTheme="majorHAnsi"/>
        </w:rPr>
      </w:pPr>
    </w:p>
    <w:p w14:paraId="1CF5F347" w14:textId="3453436F" w:rsidR="00235097" w:rsidRDefault="00B23D8D" w:rsidP="00B23D8D">
      <w:pPr>
        <w:spacing w:after="0" w:line="240" w:lineRule="auto"/>
        <w:ind w:left="426" w:hanging="426"/>
        <w:rPr>
          <w:rFonts w:asciiTheme="majorHAnsi" w:hAnsiTheme="majorHAnsi"/>
          <w:bCs/>
        </w:rPr>
      </w:pPr>
      <w:r w:rsidRPr="00682F17">
        <w:rPr>
          <w:rFonts w:asciiTheme="majorHAnsi" w:hAnsiTheme="majorHAnsi"/>
          <w:bCs/>
        </w:rPr>
        <w:t>7</w:t>
      </w:r>
      <w:r w:rsidR="00887E85">
        <w:rPr>
          <w:rFonts w:asciiTheme="majorHAnsi" w:hAnsiTheme="majorHAnsi"/>
          <w:bCs/>
        </w:rPr>
        <w:t>1</w:t>
      </w:r>
      <w:r w:rsidRPr="00682F17">
        <w:rPr>
          <w:rFonts w:asciiTheme="majorHAnsi" w:hAnsiTheme="majorHAnsi"/>
          <w:bCs/>
        </w:rPr>
        <w:t>.</w:t>
      </w:r>
      <w:r w:rsidRPr="00682F17">
        <w:rPr>
          <w:rFonts w:asciiTheme="majorHAnsi" w:hAnsiTheme="majorHAnsi"/>
          <w:bCs/>
        </w:rPr>
        <w:tab/>
      </w:r>
      <w:r w:rsidR="009A5340" w:rsidRPr="00682F17">
        <w:rPr>
          <w:rFonts w:asciiTheme="majorHAnsi" w:hAnsiTheme="majorHAnsi"/>
          <w:bCs/>
        </w:rPr>
        <w:t xml:space="preserve">Specific comments and proposed amendments </w:t>
      </w:r>
      <w:r w:rsidRPr="00682F17">
        <w:rPr>
          <w:rFonts w:asciiTheme="majorHAnsi" w:hAnsiTheme="majorHAnsi"/>
          <w:bCs/>
        </w:rPr>
        <w:t xml:space="preserve">to the draft resolution </w:t>
      </w:r>
      <w:r w:rsidR="009A5340" w:rsidRPr="00682F17">
        <w:rPr>
          <w:rFonts w:asciiTheme="majorHAnsi" w:hAnsiTheme="majorHAnsi"/>
          <w:bCs/>
        </w:rPr>
        <w:t xml:space="preserve">were tabled by </w:t>
      </w:r>
      <w:r w:rsidR="009A5340" w:rsidRPr="00682F17">
        <w:rPr>
          <w:rFonts w:asciiTheme="majorHAnsi" w:hAnsiTheme="majorHAnsi"/>
          <w:b/>
          <w:bCs/>
        </w:rPr>
        <w:t>Canada</w:t>
      </w:r>
      <w:r w:rsidR="009A5340" w:rsidRPr="00682F17">
        <w:rPr>
          <w:rFonts w:asciiTheme="majorHAnsi" w:hAnsiTheme="majorHAnsi"/>
          <w:bCs/>
        </w:rPr>
        <w:t xml:space="preserve">, </w:t>
      </w:r>
      <w:r w:rsidR="009A5340" w:rsidRPr="00682F17">
        <w:rPr>
          <w:rFonts w:asciiTheme="majorHAnsi" w:hAnsiTheme="majorHAnsi"/>
          <w:b/>
          <w:bCs/>
        </w:rPr>
        <w:t>Colombia</w:t>
      </w:r>
      <w:r w:rsidR="009A5340" w:rsidRPr="00682F17">
        <w:rPr>
          <w:rFonts w:asciiTheme="majorHAnsi" w:hAnsiTheme="majorHAnsi"/>
          <w:bCs/>
        </w:rPr>
        <w:t xml:space="preserve">, </w:t>
      </w:r>
      <w:r w:rsidR="009A5340" w:rsidRPr="00682F17">
        <w:rPr>
          <w:rFonts w:asciiTheme="majorHAnsi" w:hAnsiTheme="majorHAnsi"/>
          <w:b/>
          <w:bCs/>
        </w:rPr>
        <w:t>Finland</w:t>
      </w:r>
      <w:r w:rsidR="009A5340" w:rsidRPr="00682F17">
        <w:rPr>
          <w:rFonts w:asciiTheme="majorHAnsi" w:hAnsiTheme="majorHAnsi"/>
          <w:bCs/>
        </w:rPr>
        <w:t xml:space="preserve">, </w:t>
      </w:r>
      <w:r w:rsidR="009A5340" w:rsidRPr="00682F17">
        <w:rPr>
          <w:rFonts w:asciiTheme="majorHAnsi" w:hAnsiTheme="majorHAnsi"/>
          <w:b/>
          <w:bCs/>
        </w:rPr>
        <w:t>France</w:t>
      </w:r>
      <w:r w:rsidR="009A5340" w:rsidRPr="00682F17">
        <w:rPr>
          <w:rFonts w:asciiTheme="majorHAnsi" w:hAnsiTheme="majorHAnsi"/>
          <w:bCs/>
        </w:rPr>
        <w:t xml:space="preserve">, </w:t>
      </w:r>
      <w:r w:rsidR="009A5340" w:rsidRPr="00887E85">
        <w:rPr>
          <w:rFonts w:asciiTheme="majorHAnsi" w:hAnsiTheme="majorHAnsi"/>
          <w:b/>
          <w:bCs/>
        </w:rPr>
        <w:t>Senegal</w:t>
      </w:r>
      <w:r w:rsidR="009A5340" w:rsidRPr="00682F17">
        <w:rPr>
          <w:rFonts w:asciiTheme="majorHAnsi" w:hAnsiTheme="majorHAnsi"/>
          <w:bCs/>
        </w:rPr>
        <w:t xml:space="preserve">, </w:t>
      </w:r>
      <w:r w:rsidR="009A5340" w:rsidRPr="00887E85">
        <w:rPr>
          <w:rFonts w:asciiTheme="majorHAnsi" w:hAnsiTheme="majorHAnsi"/>
          <w:b/>
          <w:bCs/>
        </w:rPr>
        <w:t>Slovenia</w:t>
      </w:r>
      <w:r w:rsidR="009A5340" w:rsidRPr="00682F17">
        <w:rPr>
          <w:rFonts w:asciiTheme="majorHAnsi" w:hAnsiTheme="majorHAnsi"/>
          <w:bCs/>
        </w:rPr>
        <w:t xml:space="preserve">, </w:t>
      </w:r>
      <w:r w:rsidR="009A5340" w:rsidRPr="00682F17">
        <w:rPr>
          <w:rFonts w:asciiTheme="majorHAnsi" w:hAnsiTheme="majorHAnsi"/>
          <w:b/>
          <w:bCs/>
        </w:rPr>
        <w:t>Switzerland</w:t>
      </w:r>
      <w:r w:rsidR="009A5340" w:rsidRPr="00682F17">
        <w:rPr>
          <w:rFonts w:asciiTheme="majorHAnsi" w:hAnsiTheme="majorHAnsi"/>
          <w:bCs/>
        </w:rPr>
        <w:t xml:space="preserve">, </w:t>
      </w:r>
      <w:r w:rsidR="009A5340" w:rsidRPr="00682F17">
        <w:rPr>
          <w:rFonts w:asciiTheme="majorHAnsi" w:hAnsiTheme="majorHAnsi"/>
          <w:b/>
          <w:bCs/>
        </w:rPr>
        <w:t>United Arab Emirates</w:t>
      </w:r>
      <w:r w:rsidR="009A5340" w:rsidRPr="00682F17">
        <w:rPr>
          <w:rFonts w:asciiTheme="majorHAnsi" w:hAnsiTheme="majorHAnsi"/>
          <w:bCs/>
        </w:rPr>
        <w:t xml:space="preserve">, </w:t>
      </w:r>
      <w:r w:rsidR="009A5340" w:rsidRPr="00682F17">
        <w:rPr>
          <w:rFonts w:asciiTheme="majorHAnsi" w:hAnsiTheme="majorHAnsi"/>
          <w:b/>
          <w:bCs/>
        </w:rPr>
        <w:t xml:space="preserve">United States of America </w:t>
      </w:r>
      <w:r w:rsidR="009A5340" w:rsidRPr="00682F17">
        <w:rPr>
          <w:rFonts w:asciiTheme="majorHAnsi" w:hAnsiTheme="majorHAnsi"/>
          <w:bCs/>
        </w:rPr>
        <w:t xml:space="preserve">(including in certain cases in its capacity as the co-Chair of the </w:t>
      </w:r>
      <w:r w:rsidRPr="00682F17">
        <w:rPr>
          <w:rFonts w:asciiTheme="majorHAnsi" w:hAnsiTheme="majorHAnsi"/>
          <w:bCs/>
        </w:rPr>
        <w:t>F</w:t>
      </w:r>
      <w:r w:rsidR="00235097">
        <w:rPr>
          <w:rFonts w:asciiTheme="majorHAnsi" w:hAnsiTheme="majorHAnsi"/>
          <w:bCs/>
        </w:rPr>
        <w:t xml:space="preserve">acilitation </w:t>
      </w:r>
      <w:r w:rsidRPr="00682F17">
        <w:rPr>
          <w:rFonts w:asciiTheme="majorHAnsi" w:hAnsiTheme="majorHAnsi"/>
          <w:bCs/>
        </w:rPr>
        <w:t>W</w:t>
      </w:r>
      <w:r w:rsidR="00235097">
        <w:rPr>
          <w:rFonts w:asciiTheme="majorHAnsi" w:hAnsiTheme="majorHAnsi"/>
          <w:bCs/>
        </w:rPr>
        <w:t xml:space="preserve">orking </w:t>
      </w:r>
      <w:r w:rsidRPr="00682F17">
        <w:rPr>
          <w:rFonts w:asciiTheme="majorHAnsi" w:hAnsiTheme="majorHAnsi"/>
          <w:bCs/>
        </w:rPr>
        <w:t>G</w:t>
      </w:r>
      <w:r w:rsidR="00235097">
        <w:rPr>
          <w:rFonts w:asciiTheme="majorHAnsi" w:hAnsiTheme="majorHAnsi"/>
          <w:bCs/>
        </w:rPr>
        <w:t>roup</w:t>
      </w:r>
      <w:r w:rsidR="009A5340" w:rsidRPr="00682F17">
        <w:rPr>
          <w:rFonts w:asciiTheme="majorHAnsi" w:hAnsiTheme="majorHAnsi"/>
          <w:bCs/>
        </w:rPr>
        <w:t xml:space="preserve">) and </w:t>
      </w:r>
      <w:r w:rsidR="009A5340" w:rsidRPr="00682F17">
        <w:rPr>
          <w:rFonts w:asciiTheme="majorHAnsi" w:hAnsiTheme="majorHAnsi"/>
          <w:b/>
          <w:bCs/>
        </w:rPr>
        <w:t>Wetlands International</w:t>
      </w:r>
      <w:r w:rsidR="009A5340" w:rsidRPr="00682F17">
        <w:rPr>
          <w:rFonts w:asciiTheme="majorHAnsi" w:hAnsiTheme="majorHAnsi"/>
          <w:bCs/>
        </w:rPr>
        <w:t>.</w:t>
      </w:r>
      <w:r w:rsidR="00235097">
        <w:rPr>
          <w:rFonts w:asciiTheme="majorHAnsi" w:hAnsiTheme="majorHAnsi"/>
          <w:bCs/>
        </w:rPr>
        <w:t xml:space="preserve"> </w:t>
      </w:r>
    </w:p>
    <w:p w14:paraId="0B48C8D9" w14:textId="77777777" w:rsidR="00235097" w:rsidRDefault="00235097" w:rsidP="00B23D8D">
      <w:pPr>
        <w:spacing w:after="0" w:line="240" w:lineRule="auto"/>
        <w:ind w:left="426" w:hanging="426"/>
        <w:rPr>
          <w:rFonts w:asciiTheme="majorHAnsi" w:hAnsiTheme="majorHAnsi"/>
          <w:bCs/>
        </w:rPr>
      </w:pPr>
    </w:p>
    <w:p w14:paraId="36CF1DCE" w14:textId="61E115DF" w:rsidR="00235097" w:rsidRPr="00682F17" w:rsidRDefault="00235097" w:rsidP="00B23D8D">
      <w:pPr>
        <w:spacing w:after="0" w:line="240" w:lineRule="auto"/>
        <w:ind w:left="426" w:hanging="426"/>
        <w:rPr>
          <w:rFonts w:asciiTheme="majorHAnsi" w:hAnsiTheme="majorHAnsi"/>
          <w:bCs/>
        </w:rPr>
      </w:pPr>
      <w:r>
        <w:rPr>
          <w:rFonts w:asciiTheme="majorHAnsi" w:hAnsiTheme="majorHAnsi"/>
          <w:bCs/>
        </w:rPr>
        <w:t>72.</w:t>
      </w:r>
      <w:r>
        <w:rPr>
          <w:rFonts w:asciiTheme="majorHAnsi" w:hAnsiTheme="majorHAnsi"/>
          <w:bCs/>
        </w:rPr>
        <w:tab/>
        <w:t>As an addition to the background information</w:t>
      </w:r>
      <w:r w:rsidR="00582E93">
        <w:rPr>
          <w:rFonts w:asciiTheme="majorHAnsi" w:hAnsiTheme="majorHAnsi"/>
          <w:bCs/>
        </w:rPr>
        <w:t>,</w:t>
      </w:r>
      <w:r>
        <w:rPr>
          <w:rFonts w:asciiTheme="majorHAnsi" w:hAnsiTheme="majorHAnsi"/>
          <w:bCs/>
        </w:rPr>
        <w:t xml:space="preserve"> </w:t>
      </w:r>
      <w:r w:rsidRPr="00235097">
        <w:rPr>
          <w:rFonts w:asciiTheme="majorHAnsi" w:hAnsiTheme="majorHAnsi"/>
          <w:b/>
          <w:bCs/>
        </w:rPr>
        <w:t>UNEP</w:t>
      </w:r>
      <w:r>
        <w:rPr>
          <w:rFonts w:asciiTheme="majorHAnsi" w:hAnsiTheme="majorHAnsi"/>
          <w:bCs/>
        </w:rPr>
        <w:t xml:space="preserve"> noted that t</w:t>
      </w:r>
      <w:r>
        <w:t>he Ramsar Secretariat had participated in the seventh meeting of the Inter-Agency and Expert Group on Sustainable Development Goal indicators (IAEG-SDG) held from 9 to</w:t>
      </w:r>
      <w:r w:rsidR="00903EAA">
        <w:t xml:space="preserve"> </w:t>
      </w:r>
      <w:r>
        <w:t>12 April 2018, in Vienna, Austria. The SDG indicator 6.6.1 methodology submitted by UNEP to the IAEG-SDG</w:t>
      </w:r>
      <w:r w:rsidR="00903EAA">
        <w:t xml:space="preserve"> had been</w:t>
      </w:r>
      <w:r>
        <w:t xml:space="preserve"> approved and reclassified as a Tier II indicator. The IAEG-SDG members </w:t>
      </w:r>
      <w:r w:rsidR="00903EAA">
        <w:t xml:space="preserve">had </w:t>
      </w:r>
      <w:r>
        <w:t xml:space="preserve">decided that UNEP would </w:t>
      </w:r>
      <w:r w:rsidR="00903EAA">
        <w:t xml:space="preserve">be </w:t>
      </w:r>
      <w:r>
        <w:t xml:space="preserve">responsible for the internationally comparable methodology with national data, </w:t>
      </w:r>
      <w:r w:rsidR="00903EAA">
        <w:t xml:space="preserve">and </w:t>
      </w:r>
      <w:r>
        <w:t>regional and global aggregations</w:t>
      </w:r>
      <w:r w:rsidR="00903EAA">
        <w:t>,</w:t>
      </w:r>
      <w:r>
        <w:t xml:space="preserve"> for indicator 6.6.1. They </w:t>
      </w:r>
      <w:r w:rsidR="00903EAA">
        <w:t xml:space="preserve">had </w:t>
      </w:r>
      <w:r>
        <w:t>also decided that the Ramsar Secretariat would have a separate reporting line in the global SDG database hosted by the UN Statistics Division, with the national reporting from the Ramsar Convention on Wetlands based on Ramsar definitions and requirements. The two separate reporting lines to the SDG Global Data base for indicator 6.6.1 would have a clear delineation of the type of data in each stream. Each co-custodian would be responsible for its respective reporting line and they would jointly contribute to the SDG target 6.6 storyline.</w:t>
      </w:r>
    </w:p>
    <w:p w14:paraId="1AA1AADB" w14:textId="47244709" w:rsidR="009A5340" w:rsidRPr="00682F17" w:rsidRDefault="009A5340" w:rsidP="00B23D8D">
      <w:pPr>
        <w:spacing w:after="0" w:line="240" w:lineRule="auto"/>
        <w:ind w:left="426" w:hanging="426"/>
        <w:rPr>
          <w:rFonts w:asciiTheme="majorHAnsi" w:hAnsiTheme="majorHAnsi"/>
          <w:bCs/>
        </w:rPr>
      </w:pPr>
    </w:p>
    <w:p w14:paraId="55C5F5F1" w14:textId="38C30855" w:rsidR="009A5340" w:rsidRPr="00682F17" w:rsidRDefault="00B23D8D" w:rsidP="00B23D8D">
      <w:pPr>
        <w:spacing w:after="0" w:line="240" w:lineRule="auto"/>
        <w:ind w:left="426" w:hanging="426"/>
        <w:rPr>
          <w:rFonts w:asciiTheme="majorHAnsi" w:hAnsiTheme="majorHAnsi"/>
        </w:rPr>
      </w:pPr>
      <w:r w:rsidRPr="00682F17">
        <w:rPr>
          <w:rFonts w:asciiTheme="majorHAnsi" w:hAnsiTheme="majorHAnsi"/>
          <w:bCs/>
        </w:rPr>
        <w:t>7</w:t>
      </w:r>
      <w:r w:rsidR="00582E93">
        <w:rPr>
          <w:rFonts w:asciiTheme="majorHAnsi" w:hAnsiTheme="majorHAnsi"/>
          <w:bCs/>
        </w:rPr>
        <w:t>3</w:t>
      </w:r>
      <w:r w:rsidRPr="00682F17">
        <w:rPr>
          <w:rFonts w:asciiTheme="majorHAnsi" w:hAnsiTheme="majorHAnsi"/>
          <w:bCs/>
        </w:rPr>
        <w:t>.</w:t>
      </w:r>
      <w:r w:rsidRPr="00682F17">
        <w:rPr>
          <w:rFonts w:asciiTheme="majorHAnsi" w:hAnsiTheme="majorHAnsi"/>
          <w:b/>
          <w:bCs/>
        </w:rPr>
        <w:tab/>
      </w:r>
      <w:r w:rsidR="009A5340" w:rsidRPr="00682F17">
        <w:rPr>
          <w:rFonts w:asciiTheme="majorHAnsi" w:hAnsiTheme="majorHAnsi"/>
          <w:b/>
          <w:bCs/>
        </w:rPr>
        <w:t>Switzerland</w:t>
      </w:r>
      <w:r w:rsidR="009A5340" w:rsidRPr="00682F17">
        <w:rPr>
          <w:rFonts w:asciiTheme="majorHAnsi" w:hAnsiTheme="majorHAnsi"/>
          <w:bCs/>
        </w:rPr>
        <w:t xml:space="preserve"> supported the </w:t>
      </w:r>
      <w:r w:rsidRPr="00682F17">
        <w:rPr>
          <w:rFonts w:asciiTheme="majorHAnsi" w:hAnsiTheme="majorHAnsi"/>
          <w:bCs/>
        </w:rPr>
        <w:t xml:space="preserve">proposed </w:t>
      </w:r>
      <w:r w:rsidR="009A5340" w:rsidRPr="00682F17">
        <w:rPr>
          <w:rFonts w:asciiTheme="majorHAnsi" w:hAnsiTheme="majorHAnsi"/>
          <w:bCs/>
        </w:rPr>
        <w:t>amendments tabled by the observer from Wetlands International.</w:t>
      </w:r>
    </w:p>
    <w:p w14:paraId="2A5DC25C" w14:textId="77777777" w:rsidR="009A5340" w:rsidRPr="00682F17" w:rsidRDefault="009A5340" w:rsidP="00B23D8D">
      <w:pPr>
        <w:spacing w:after="0" w:line="240" w:lineRule="auto"/>
        <w:ind w:left="426" w:hanging="426"/>
        <w:rPr>
          <w:rFonts w:asciiTheme="majorHAnsi" w:hAnsiTheme="majorHAnsi"/>
        </w:rPr>
      </w:pPr>
    </w:p>
    <w:p w14:paraId="05523361" w14:textId="2D237547" w:rsidR="00627A85" w:rsidRPr="00682F17" w:rsidRDefault="00B23D8D" w:rsidP="00B23D8D">
      <w:pPr>
        <w:spacing w:after="0" w:line="240" w:lineRule="auto"/>
        <w:ind w:left="426" w:hanging="426"/>
        <w:rPr>
          <w:rFonts w:asciiTheme="majorHAnsi" w:hAnsiTheme="majorHAnsi"/>
        </w:rPr>
      </w:pPr>
      <w:r w:rsidRPr="00682F17">
        <w:rPr>
          <w:rFonts w:asciiTheme="majorHAnsi" w:hAnsiTheme="majorHAnsi"/>
        </w:rPr>
        <w:t>7</w:t>
      </w:r>
      <w:r w:rsidR="00582E93">
        <w:rPr>
          <w:rFonts w:asciiTheme="majorHAnsi" w:hAnsiTheme="majorHAnsi"/>
        </w:rPr>
        <w:t>4</w:t>
      </w:r>
      <w:r w:rsidRPr="00682F17">
        <w:rPr>
          <w:rFonts w:asciiTheme="majorHAnsi" w:hAnsiTheme="majorHAnsi"/>
        </w:rPr>
        <w:t>.</w:t>
      </w:r>
      <w:r w:rsidRPr="00682F17">
        <w:rPr>
          <w:rFonts w:asciiTheme="majorHAnsi" w:hAnsiTheme="majorHAnsi"/>
        </w:rPr>
        <w:tab/>
      </w:r>
      <w:r w:rsidR="009A5340" w:rsidRPr="00682F17">
        <w:rPr>
          <w:rFonts w:asciiTheme="majorHAnsi" w:hAnsiTheme="majorHAnsi"/>
        </w:rPr>
        <w:t xml:space="preserve">The </w:t>
      </w:r>
      <w:r w:rsidR="009A5340" w:rsidRPr="00682F17">
        <w:rPr>
          <w:rFonts w:asciiTheme="majorHAnsi" w:hAnsiTheme="majorHAnsi"/>
          <w:b/>
        </w:rPr>
        <w:t>Secretary General</w:t>
      </w:r>
      <w:r w:rsidR="009A5340" w:rsidRPr="00682F17">
        <w:rPr>
          <w:rFonts w:asciiTheme="majorHAnsi" w:hAnsiTheme="majorHAnsi"/>
        </w:rPr>
        <w:t xml:space="preserve"> considered that all of the points raised could readily be accommodated in a revised text</w:t>
      </w:r>
      <w:r w:rsidRPr="00682F17">
        <w:rPr>
          <w:rFonts w:asciiTheme="majorHAnsi" w:hAnsiTheme="majorHAnsi"/>
        </w:rPr>
        <w:t xml:space="preserve"> of the draft resolution</w:t>
      </w:r>
      <w:r w:rsidR="009A5340" w:rsidRPr="00682F17">
        <w:rPr>
          <w:rFonts w:asciiTheme="majorHAnsi" w:hAnsiTheme="majorHAnsi"/>
        </w:rPr>
        <w:t>, but sought guidance on whether the</w:t>
      </w:r>
      <w:r w:rsidRPr="00682F17">
        <w:rPr>
          <w:rFonts w:asciiTheme="majorHAnsi" w:hAnsiTheme="majorHAnsi"/>
        </w:rPr>
        <w:t xml:space="preserve"> amendments tabled by the FWG should be incorporated by the Secretariat or by the FWG itself.</w:t>
      </w:r>
    </w:p>
    <w:p w14:paraId="5C7AD3A5" w14:textId="6F164917" w:rsidR="00B23D8D" w:rsidRPr="00682F17" w:rsidRDefault="00B23D8D" w:rsidP="00B23D8D">
      <w:pPr>
        <w:spacing w:after="0" w:line="240" w:lineRule="auto"/>
        <w:ind w:left="426" w:hanging="426"/>
        <w:rPr>
          <w:rFonts w:asciiTheme="majorHAnsi" w:hAnsiTheme="majorHAnsi"/>
        </w:rPr>
      </w:pPr>
    </w:p>
    <w:p w14:paraId="44FEE3A0" w14:textId="4D669CDF" w:rsidR="00B23D8D" w:rsidRPr="00682F17" w:rsidRDefault="00903EAA" w:rsidP="00B23D8D">
      <w:pPr>
        <w:spacing w:after="0" w:line="240" w:lineRule="auto"/>
        <w:ind w:left="426" w:hanging="426"/>
        <w:rPr>
          <w:rFonts w:asciiTheme="majorHAnsi" w:hAnsiTheme="majorHAnsi"/>
        </w:rPr>
      </w:pPr>
      <w:r w:rsidRPr="00682F17">
        <w:rPr>
          <w:rFonts w:asciiTheme="majorHAnsi" w:hAnsiTheme="majorHAnsi"/>
        </w:rPr>
        <w:lastRenderedPageBreak/>
        <w:t>7</w:t>
      </w:r>
      <w:r>
        <w:rPr>
          <w:rFonts w:asciiTheme="majorHAnsi" w:hAnsiTheme="majorHAnsi"/>
        </w:rPr>
        <w:t>5</w:t>
      </w:r>
      <w:r w:rsidR="00B23D8D" w:rsidRPr="00682F17">
        <w:rPr>
          <w:rFonts w:asciiTheme="majorHAnsi" w:hAnsiTheme="majorHAnsi"/>
        </w:rPr>
        <w:t>.</w:t>
      </w:r>
      <w:r w:rsidR="00B23D8D" w:rsidRPr="00682F17">
        <w:rPr>
          <w:rFonts w:asciiTheme="majorHAnsi" w:hAnsiTheme="majorHAnsi"/>
        </w:rPr>
        <w:tab/>
        <w:t xml:space="preserve">The </w:t>
      </w:r>
      <w:r w:rsidR="00B23D8D" w:rsidRPr="00682F17">
        <w:rPr>
          <w:rFonts w:asciiTheme="majorHAnsi" w:hAnsiTheme="majorHAnsi"/>
          <w:b/>
        </w:rPr>
        <w:t>co-Chair of the FWG</w:t>
      </w:r>
      <w:r w:rsidR="00B23D8D" w:rsidRPr="00682F17">
        <w:rPr>
          <w:rFonts w:asciiTheme="majorHAnsi" w:hAnsiTheme="majorHAnsi"/>
        </w:rPr>
        <w:t xml:space="preserve"> (United States of America) asked the Secretariat to include the amendments but to share the revised draft with the FWG for confirmation, prior to circulation to the full Standing Committee.</w:t>
      </w:r>
    </w:p>
    <w:p w14:paraId="2D724C42" w14:textId="14E45459" w:rsidR="00206033" w:rsidRPr="00682F17" w:rsidRDefault="00206033" w:rsidP="00B23D8D">
      <w:pPr>
        <w:spacing w:after="0" w:line="240" w:lineRule="auto"/>
        <w:ind w:left="426" w:hanging="426"/>
        <w:rPr>
          <w:rFonts w:asciiTheme="majorHAnsi" w:hAnsiTheme="majorHAnsi"/>
          <w:bCs/>
        </w:rPr>
      </w:pPr>
    </w:p>
    <w:p w14:paraId="30DFCA07" w14:textId="41D9A380" w:rsidR="00335BE7" w:rsidRPr="00682F17" w:rsidRDefault="00903EAA" w:rsidP="00B23D8D">
      <w:pPr>
        <w:spacing w:after="0" w:line="240" w:lineRule="auto"/>
        <w:ind w:left="426" w:hanging="426"/>
        <w:rPr>
          <w:rFonts w:asciiTheme="majorHAnsi" w:hAnsiTheme="majorHAnsi"/>
          <w:bCs/>
        </w:rPr>
      </w:pPr>
      <w:r w:rsidRPr="00682F17">
        <w:rPr>
          <w:rFonts w:asciiTheme="majorHAnsi" w:hAnsiTheme="majorHAnsi"/>
          <w:bCs/>
        </w:rPr>
        <w:t>7</w:t>
      </w:r>
      <w:r>
        <w:rPr>
          <w:rFonts w:asciiTheme="majorHAnsi" w:hAnsiTheme="majorHAnsi"/>
          <w:bCs/>
        </w:rPr>
        <w:t>6</w:t>
      </w:r>
      <w:r w:rsidR="00B23D8D" w:rsidRPr="00682F17">
        <w:rPr>
          <w:rFonts w:asciiTheme="majorHAnsi" w:hAnsiTheme="majorHAnsi"/>
          <w:bCs/>
        </w:rPr>
        <w:t>.</w:t>
      </w:r>
      <w:r w:rsidR="00B23D8D" w:rsidRPr="00682F17">
        <w:rPr>
          <w:rFonts w:asciiTheme="majorHAnsi" w:hAnsiTheme="majorHAnsi"/>
          <w:bCs/>
        </w:rPr>
        <w:tab/>
        <w:t xml:space="preserve">The </w:t>
      </w:r>
      <w:r w:rsidR="00B23D8D" w:rsidRPr="00682F17">
        <w:rPr>
          <w:rFonts w:asciiTheme="majorHAnsi" w:hAnsiTheme="majorHAnsi"/>
          <w:b/>
          <w:bCs/>
        </w:rPr>
        <w:t>Chair</w:t>
      </w:r>
      <w:r w:rsidR="00B23D8D" w:rsidRPr="00682F17">
        <w:rPr>
          <w:rFonts w:asciiTheme="majorHAnsi" w:hAnsiTheme="majorHAnsi"/>
          <w:bCs/>
        </w:rPr>
        <w:t xml:space="preserve"> requested </w:t>
      </w:r>
      <w:r w:rsidR="00887E85">
        <w:rPr>
          <w:rFonts w:asciiTheme="majorHAnsi" w:hAnsiTheme="majorHAnsi"/>
          <w:bCs/>
        </w:rPr>
        <w:t xml:space="preserve">that </w:t>
      </w:r>
      <w:r w:rsidR="00B23D8D" w:rsidRPr="00682F17">
        <w:rPr>
          <w:rFonts w:asciiTheme="majorHAnsi" w:hAnsiTheme="majorHAnsi"/>
          <w:bCs/>
        </w:rPr>
        <w:t>Parties that had proposed amendments submit them in writing to the Secretariat so that a revised document could be prepared and submitted for the Standing Committee’s further consideration.</w:t>
      </w:r>
    </w:p>
    <w:p w14:paraId="43373C93" w14:textId="063D75D6" w:rsidR="003D6A99" w:rsidRPr="00682F17" w:rsidRDefault="003D6A99" w:rsidP="00B23D8D">
      <w:pPr>
        <w:spacing w:after="0" w:line="240" w:lineRule="auto"/>
        <w:ind w:left="426" w:hanging="426"/>
        <w:rPr>
          <w:rFonts w:asciiTheme="majorHAnsi" w:hAnsiTheme="majorHAnsi"/>
          <w:bCs/>
        </w:rPr>
      </w:pPr>
    </w:p>
    <w:p w14:paraId="0B53FF03" w14:textId="25A843A1" w:rsidR="00571745" w:rsidRPr="00682F17" w:rsidRDefault="003D6A99" w:rsidP="00B23D8D">
      <w:pPr>
        <w:spacing w:after="0" w:line="240" w:lineRule="auto"/>
        <w:ind w:left="426" w:hanging="426"/>
        <w:rPr>
          <w:rFonts w:asciiTheme="majorHAnsi" w:hAnsiTheme="majorHAnsi"/>
          <w:bCs/>
        </w:rPr>
      </w:pPr>
      <w:r w:rsidRPr="00682F17">
        <w:rPr>
          <w:rFonts w:asciiTheme="majorHAnsi" w:hAnsiTheme="majorHAnsi"/>
          <w:bCs/>
        </w:rPr>
        <w:t xml:space="preserve">The </w:t>
      </w:r>
      <w:r w:rsidRPr="00682F17">
        <w:rPr>
          <w:rFonts w:asciiTheme="majorHAnsi" w:hAnsiTheme="majorHAnsi"/>
          <w:b/>
          <w:bCs/>
        </w:rPr>
        <w:t>Chair</w:t>
      </w:r>
      <w:r w:rsidRPr="00682F17">
        <w:rPr>
          <w:rFonts w:asciiTheme="majorHAnsi" w:hAnsiTheme="majorHAnsi"/>
          <w:bCs/>
        </w:rPr>
        <w:t xml:space="preserve"> closed the session at 13.20.</w:t>
      </w:r>
    </w:p>
    <w:p w14:paraId="1E506233" w14:textId="77777777" w:rsidR="00BF15C7" w:rsidRPr="00567193" w:rsidRDefault="00BF15C7" w:rsidP="00BF15C7">
      <w:pPr>
        <w:spacing w:after="0" w:line="240" w:lineRule="auto"/>
        <w:ind w:left="426" w:hanging="426"/>
        <w:rPr>
          <w:rFonts w:cs="Calibri"/>
          <w:b/>
        </w:rPr>
      </w:pPr>
    </w:p>
    <w:p w14:paraId="0CD40557" w14:textId="77777777" w:rsidR="00BF15C7" w:rsidRPr="00567193" w:rsidRDefault="00BF15C7" w:rsidP="00BF15C7">
      <w:pPr>
        <w:spacing w:after="0" w:line="240" w:lineRule="auto"/>
        <w:ind w:left="426" w:hanging="426"/>
        <w:contextualSpacing/>
        <w:rPr>
          <w:rFonts w:cs="Calibri"/>
          <w:bCs/>
        </w:rPr>
      </w:pPr>
      <w:r w:rsidRPr="00567193">
        <w:rPr>
          <w:rFonts w:cs="Calibri"/>
          <w:b/>
          <w:bCs/>
        </w:rPr>
        <w:t>15:00 – 18:00 Plenary Session of the Standing Committee</w:t>
      </w:r>
    </w:p>
    <w:p w14:paraId="3CDD80AB" w14:textId="77777777" w:rsidR="00BF15C7" w:rsidRPr="00567193" w:rsidRDefault="00BF15C7" w:rsidP="00BF15C7">
      <w:pPr>
        <w:spacing w:after="0" w:line="240" w:lineRule="auto"/>
        <w:ind w:left="426" w:hanging="426"/>
        <w:rPr>
          <w:rFonts w:cs="Calibri"/>
          <w:b/>
          <w:bCs/>
        </w:rPr>
      </w:pPr>
    </w:p>
    <w:p w14:paraId="189E0474" w14:textId="77777777" w:rsidR="00BF15C7" w:rsidRPr="00567193" w:rsidRDefault="00BF15C7" w:rsidP="00BF15C7">
      <w:pPr>
        <w:spacing w:after="0" w:line="240" w:lineRule="auto"/>
        <w:ind w:left="426" w:hanging="426"/>
        <w:rPr>
          <w:rFonts w:cs="Calibri"/>
          <w:b/>
          <w:bCs/>
        </w:rPr>
      </w:pPr>
      <w:r w:rsidRPr="00567193">
        <w:rPr>
          <w:rFonts w:cs="Calibri"/>
          <w:bCs/>
        </w:rPr>
        <w:t>7</w:t>
      </w:r>
      <w:r>
        <w:rPr>
          <w:rFonts w:cs="Calibri"/>
          <w:bCs/>
        </w:rPr>
        <w:t>7</w:t>
      </w:r>
      <w:r w:rsidRPr="00567193">
        <w:rPr>
          <w:rFonts w:cs="Calibri"/>
          <w:bCs/>
        </w:rPr>
        <w:t>.</w:t>
      </w:r>
      <w:r w:rsidRPr="00567193">
        <w:rPr>
          <w:rFonts w:cs="Calibri"/>
          <w:bCs/>
        </w:rPr>
        <w:tab/>
        <w:t>The</w:t>
      </w:r>
      <w:r w:rsidRPr="00567193">
        <w:rPr>
          <w:rFonts w:cs="Calibri"/>
          <w:b/>
          <w:bCs/>
        </w:rPr>
        <w:t xml:space="preserve"> Chair </w:t>
      </w:r>
      <w:r w:rsidRPr="00567193">
        <w:rPr>
          <w:rFonts w:cs="Calibri"/>
          <w:bCs/>
        </w:rPr>
        <w:t xml:space="preserve">called the session to order at 15.12. He noted that he would prioritize time for substantive discussion of documents rather than the introduction of background information previously provided to </w:t>
      </w:r>
      <w:r>
        <w:rPr>
          <w:rFonts w:cs="Calibri"/>
          <w:bCs/>
        </w:rPr>
        <w:t>Contracting Parties</w:t>
      </w:r>
      <w:r w:rsidRPr="00567193">
        <w:rPr>
          <w:rFonts w:cs="Calibri"/>
          <w:bCs/>
        </w:rPr>
        <w:t xml:space="preserve"> and regional groupings.</w:t>
      </w:r>
    </w:p>
    <w:p w14:paraId="011D91F0" w14:textId="77777777" w:rsidR="00BF15C7" w:rsidRPr="00567193" w:rsidRDefault="00BF15C7" w:rsidP="00BF15C7">
      <w:pPr>
        <w:spacing w:after="0" w:line="240" w:lineRule="auto"/>
        <w:ind w:left="426" w:hanging="426"/>
        <w:rPr>
          <w:rFonts w:cs="Calibri"/>
          <w:b/>
          <w:bCs/>
        </w:rPr>
      </w:pPr>
    </w:p>
    <w:p w14:paraId="667455B7" w14:textId="77777777" w:rsidR="00BF15C7" w:rsidRPr="00567193" w:rsidRDefault="00BF15C7" w:rsidP="00BF15C7">
      <w:pPr>
        <w:pBdr>
          <w:top w:val="single" w:sz="4" w:space="1" w:color="auto"/>
          <w:left w:val="single" w:sz="4" w:space="4" w:color="auto"/>
          <w:bottom w:val="single" w:sz="4" w:space="1" w:color="auto"/>
          <w:right w:val="single" w:sz="4" w:space="4" w:color="auto"/>
        </w:pBdr>
        <w:spacing w:after="0" w:line="240" w:lineRule="auto"/>
        <w:ind w:left="426" w:hanging="426"/>
        <w:rPr>
          <w:rFonts w:asciiTheme="majorHAnsi" w:hAnsiTheme="majorHAnsi"/>
          <w:bCs/>
        </w:rPr>
      </w:pPr>
      <w:r w:rsidRPr="00567193">
        <w:rPr>
          <w:rFonts w:asciiTheme="majorHAnsi" w:hAnsiTheme="majorHAnsi"/>
          <w:bCs/>
        </w:rPr>
        <w:t>Agenda item 19. Update on the status of Sites on the List of Wetlands of International Importance</w:t>
      </w:r>
    </w:p>
    <w:p w14:paraId="180929CC" w14:textId="77777777" w:rsidR="00BF15C7" w:rsidRPr="00567193" w:rsidRDefault="00BF15C7" w:rsidP="00BF15C7">
      <w:pPr>
        <w:spacing w:after="0" w:line="240" w:lineRule="auto"/>
        <w:ind w:left="426" w:hanging="426"/>
        <w:rPr>
          <w:rFonts w:asciiTheme="majorHAnsi" w:hAnsiTheme="majorHAnsi"/>
          <w:bCs/>
        </w:rPr>
      </w:pPr>
    </w:p>
    <w:p w14:paraId="32952DA9" w14:textId="77777777" w:rsidR="00BF15C7" w:rsidRPr="00567193" w:rsidRDefault="00BF15C7" w:rsidP="00BF15C7">
      <w:pPr>
        <w:spacing w:after="0" w:line="240" w:lineRule="auto"/>
        <w:ind w:left="426" w:hanging="426"/>
        <w:rPr>
          <w:rFonts w:asciiTheme="majorHAnsi" w:hAnsiTheme="majorHAnsi"/>
          <w:bCs/>
        </w:rPr>
      </w:pPr>
      <w:r w:rsidRPr="00567193">
        <w:rPr>
          <w:rFonts w:asciiTheme="majorHAnsi" w:hAnsiTheme="majorHAnsi"/>
          <w:bCs/>
        </w:rPr>
        <w:t>7</w:t>
      </w:r>
      <w:r>
        <w:rPr>
          <w:rFonts w:asciiTheme="majorHAnsi" w:hAnsiTheme="majorHAnsi"/>
          <w:bCs/>
        </w:rPr>
        <w:t>8</w:t>
      </w:r>
      <w:r w:rsidRPr="00567193">
        <w:rPr>
          <w:rFonts w:asciiTheme="majorHAnsi" w:hAnsiTheme="majorHAnsi"/>
          <w:bCs/>
        </w:rPr>
        <w:t>.</w:t>
      </w:r>
      <w:r w:rsidRPr="00567193">
        <w:rPr>
          <w:rFonts w:asciiTheme="majorHAnsi" w:hAnsiTheme="majorHAnsi"/>
          <w:bCs/>
        </w:rPr>
        <w:tab/>
        <w:t xml:space="preserve">The </w:t>
      </w:r>
      <w:r w:rsidRPr="00567193">
        <w:rPr>
          <w:rFonts w:asciiTheme="majorHAnsi" w:hAnsiTheme="majorHAnsi"/>
          <w:b/>
          <w:bCs/>
        </w:rPr>
        <w:t>Chair</w:t>
      </w:r>
      <w:r w:rsidRPr="00567193">
        <w:rPr>
          <w:rFonts w:asciiTheme="majorHAnsi" w:hAnsiTheme="majorHAnsi"/>
          <w:bCs/>
        </w:rPr>
        <w:t xml:space="preserve"> opened the floor to discussion on document Doc. SC54-19 </w:t>
      </w:r>
      <w:r w:rsidRPr="00567193">
        <w:rPr>
          <w:rFonts w:asciiTheme="majorHAnsi" w:hAnsiTheme="majorHAnsi" w:cs="Calibri"/>
          <w:i/>
        </w:rPr>
        <w:t>Update on the status of Sites on the List of Wetlands of International Importance</w:t>
      </w:r>
      <w:r w:rsidRPr="00567193">
        <w:rPr>
          <w:rFonts w:asciiTheme="majorHAnsi" w:hAnsiTheme="majorHAnsi" w:cs="Calibri"/>
        </w:rPr>
        <w:t>, which included the Draft Report of the Secretary General to COP13 pursuant to Article 8.2 (Annex 1) and the outline of an associated draft resolution (Annex 2).</w:t>
      </w:r>
    </w:p>
    <w:p w14:paraId="200568DD" w14:textId="77777777" w:rsidR="00BF15C7" w:rsidRPr="00567193" w:rsidRDefault="00BF15C7" w:rsidP="00BF15C7">
      <w:pPr>
        <w:spacing w:after="0" w:line="240" w:lineRule="auto"/>
        <w:ind w:left="426" w:hanging="426"/>
        <w:rPr>
          <w:rFonts w:asciiTheme="majorHAnsi" w:hAnsiTheme="majorHAnsi"/>
        </w:rPr>
      </w:pPr>
    </w:p>
    <w:p w14:paraId="0A94B02B" w14:textId="77777777" w:rsidR="00BF15C7" w:rsidRPr="00567193" w:rsidRDefault="00BF15C7" w:rsidP="00BF15C7">
      <w:pPr>
        <w:spacing w:after="0" w:line="240" w:lineRule="auto"/>
        <w:ind w:left="426" w:hanging="426"/>
        <w:rPr>
          <w:rFonts w:asciiTheme="majorHAnsi" w:hAnsiTheme="majorHAnsi"/>
        </w:rPr>
      </w:pPr>
      <w:r w:rsidRPr="00567193">
        <w:rPr>
          <w:rFonts w:asciiTheme="majorHAnsi" w:hAnsiTheme="majorHAnsi"/>
        </w:rPr>
        <w:t>7</w:t>
      </w:r>
      <w:r>
        <w:rPr>
          <w:rFonts w:asciiTheme="majorHAnsi" w:hAnsiTheme="majorHAnsi"/>
        </w:rPr>
        <w:t>9</w:t>
      </w:r>
      <w:r w:rsidRPr="00567193">
        <w:rPr>
          <w:rFonts w:asciiTheme="majorHAnsi" w:hAnsiTheme="majorHAnsi"/>
        </w:rPr>
        <w:t>.</w:t>
      </w:r>
      <w:r w:rsidRPr="00567193">
        <w:rPr>
          <w:rFonts w:asciiTheme="majorHAnsi" w:hAnsiTheme="majorHAnsi"/>
        </w:rPr>
        <w:tab/>
        <w:t xml:space="preserve">Proposed amendments to the draft resolution were tabled by the </w:t>
      </w:r>
      <w:r w:rsidRPr="00567193">
        <w:rPr>
          <w:rFonts w:asciiTheme="majorHAnsi" w:hAnsiTheme="majorHAnsi"/>
          <w:b/>
        </w:rPr>
        <w:t>United States of America</w:t>
      </w:r>
      <w:r w:rsidRPr="00567193">
        <w:rPr>
          <w:rFonts w:asciiTheme="majorHAnsi" w:hAnsiTheme="majorHAnsi"/>
        </w:rPr>
        <w:t xml:space="preserve">. </w:t>
      </w:r>
    </w:p>
    <w:p w14:paraId="053718D9" w14:textId="77777777" w:rsidR="00BF15C7" w:rsidRPr="00567193" w:rsidRDefault="00BF15C7" w:rsidP="00BF15C7">
      <w:pPr>
        <w:spacing w:after="0" w:line="240" w:lineRule="auto"/>
        <w:ind w:left="426" w:hanging="426"/>
        <w:rPr>
          <w:rFonts w:asciiTheme="majorHAnsi" w:hAnsiTheme="majorHAnsi"/>
        </w:rPr>
      </w:pPr>
    </w:p>
    <w:p w14:paraId="2DC0EB4A" w14:textId="77777777" w:rsidR="00BF15C7" w:rsidRPr="00567193" w:rsidRDefault="00BF15C7" w:rsidP="00BF15C7">
      <w:pPr>
        <w:spacing w:after="0" w:line="240" w:lineRule="auto"/>
        <w:ind w:left="426" w:hanging="426"/>
        <w:rPr>
          <w:rFonts w:asciiTheme="majorHAnsi" w:hAnsiTheme="majorHAnsi"/>
        </w:rPr>
      </w:pPr>
      <w:r>
        <w:rPr>
          <w:rFonts w:asciiTheme="majorHAnsi" w:hAnsiTheme="majorHAnsi"/>
        </w:rPr>
        <w:t>80</w:t>
      </w:r>
      <w:r w:rsidRPr="00567193">
        <w:rPr>
          <w:rFonts w:asciiTheme="majorHAnsi" w:hAnsiTheme="majorHAnsi"/>
        </w:rPr>
        <w:t>.</w:t>
      </w:r>
      <w:r w:rsidRPr="00567193">
        <w:rPr>
          <w:rFonts w:asciiTheme="majorHAnsi" w:hAnsiTheme="majorHAnsi"/>
        </w:rPr>
        <w:tab/>
      </w:r>
      <w:r w:rsidRPr="00567193">
        <w:rPr>
          <w:rFonts w:asciiTheme="majorHAnsi" w:hAnsiTheme="majorHAnsi"/>
          <w:b/>
        </w:rPr>
        <w:t>Finland</w:t>
      </w:r>
      <w:r w:rsidRPr="00567193">
        <w:rPr>
          <w:rFonts w:asciiTheme="majorHAnsi" w:hAnsiTheme="majorHAnsi"/>
        </w:rPr>
        <w:t xml:space="preserve">, </w:t>
      </w:r>
      <w:r w:rsidRPr="00567193">
        <w:rPr>
          <w:rFonts w:asciiTheme="majorHAnsi" w:hAnsiTheme="majorHAnsi"/>
          <w:b/>
        </w:rPr>
        <w:t>France</w:t>
      </w:r>
      <w:r w:rsidRPr="00567193">
        <w:rPr>
          <w:rFonts w:asciiTheme="majorHAnsi" w:hAnsiTheme="majorHAnsi"/>
        </w:rPr>
        <w:t xml:space="preserve"> and</w:t>
      </w:r>
      <w:r>
        <w:rPr>
          <w:rFonts w:asciiTheme="majorHAnsi" w:hAnsiTheme="majorHAnsi"/>
        </w:rPr>
        <w:t xml:space="preserve"> the</w:t>
      </w:r>
      <w:r w:rsidRPr="00567193">
        <w:rPr>
          <w:rFonts w:asciiTheme="majorHAnsi" w:hAnsiTheme="majorHAnsi"/>
          <w:b/>
        </w:rPr>
        <w:t xml:space="preserve"> Islamic Republic of Iran</w:t>
      </w:r>
      <w:r w:rsidRPr="00567193">
        <w:rPr>
          <w:rFonts w:asciiTheme="majorHAnsi" w:hAnsiTheme="majorHAnsi"/>
        </w:rPr>
        <w:t xml:space="preserve"> referred to the sub-Annexes of Annex 1 and requested that these be updated to reflect the most recent information available ahead of COP13.</w:t>
      </w:r>
    </w:p>
    <w:p w14:paraId="5D0F4109" w14:textId="77777777" w:rsidR="00BF15C7" w:rsidRPr="00567193" w:rsidRDefault="00BF15C7" w:rsidP="00BF15C7">
      <w:pPr>
        <w:spacing w:after="0" w:line="240" w:lineRule="auto"/>
        <w:ind w:left="426" w:hanging="426"/>
        <w:rPr>
          <w:rFonts w:asciiTheme="majorHAnsi" w:hAnsiTheme="majorHAnsi"/>
        </w:rPr>
      </w:pPr>
    </w:p>
    <w:p w14:paraId="2D3ED73A" w14:textId="77777777" w:rsidR="00BF15C7" w:rsidRPr="00567193" w:rsidRDefault="00BF15C7" w:rsidP="00BF15C7">
      <w:pPr>
        <w:spacing w:after="0" w:line="240" w:lineRule="auto"/>
        <w:ind w:left="426" w:hanging="426"/>
        <w:rPr>
          <w:rFonts w:asciiTheme="majorHAnsi" w:hAnsiTheme="majorHAnsi"/>
        </w:rPr>
      </w:pPr>
      <w:r w:rsidRPr="00567193">
        <w:rPr>
          <w:rFonts w:asciiTheme="majorHAnsi" w:hAnsiTheme="majorHAnsi"/>
        </w:rPr>
        <w:t>8</w:t>
      </w:r>
      <w:r>
        <w:rPr>
          <w:rFonts w:asciiTheme="majorHAnsi" w:hAnsiTheme="majorHAnsi"/>
        </w:rPr>
        <w:t>1</w:t>
      </w:r>
      <w:r w:rsidRPr="00567193">
        <w:rPr>
          <w:rFonts w:asciiTheme="majorHAnsi" w:hAnsiTheme="majorHAnsi"/>
        </w:rPr>
        <w:t>.</w:t>
      </w:r>
      <w:r w:rsidRPr="00567193">
        <w:rPr>
          <w:rFonts w:asciiTheme="majorHAnsi" w:hAnsiTheme="majorHAnsi"/>
          <w:b/>
        </w:rPr>
        <w:tab/>
        <w:t>Senegal</w:t>
      </w:r>
      <w:r w:rsidRPr="00567193">
        <w:rPr>
          <w:rFonts w:asciiTheme="majorHAnsi" w:hAnsiTheme="majorHAnsi"/>
        </w:rPr>
        <w:t xml:space="preserve"> and </w:t>
      </w:r>
      <w:r w:rsidRPr="00567193">
        <w:rPr>
          <w:rFonts w:asciiTheme="majorHAnsi" w:hAnsiTheme="majorHAnsi"/>
          <w:b/>
        </w:rPr>
        <w:t>South Africa</w:t>
      </w:r>
      <w:r w:rsidRPr="00567193">
        <w:rPr>
          <w:rFonts w:asciiTheme="majorHAnsi" w:hAnsiTheme="majorHAnsi"/>
        </w:rPr>
        <w:t xml:space="preserve"> provided additional informa</w:t>
      </w:r>
      <w:r>
        <w:rPr>
          <w:rFonts w:asciiTheme="majorHAnsi" w:hAnsiTheme="majorHAnsi"/>
        </w:rPr>
        <w:t>tion on the status of specific Ramsar S</w:t>
      </w:r>
      <w:r w:rsidRPr="00567193">
        <w:rPr>
          <w:rFonts w:asciiTheme="majorHAnsi" w:hAnsiTheme="majorHAnsi"/>
        </w:rPr>
        <w:t>ites mentioned in the sub-Annexes.</w:t>
      </w:r>
    </w:p>
    <w:p w14:paraId="5ED3A78E" w14:textId="77777777" w:rsidR="00BF15C7" w:rsidRPr="00567193" w:rsidRDefault="00BF15C7" w:rsidP="00BF15C7">
      <w:pPr>
        <w:spacing w:after="0" w:line="240" w:lineRule="auto"/>
        <w:ind w:left="426" w:hanging="426"/>
        <w:rPr>
          <w:rFonts w:asciiTheme="majorHAnsi" w:hAnsiTheme="majorHAnsi"/>
        </w:rPr>
      </w:pPr>
    </w:p>
    <w:p w14:paraId="78CFEA78" w14:textId="77777777" w:rsidR="00BF15C7" w:rsidRPr="00567193" w:rsidRDefault="00BF15C7" w:rsidP="00BF15C7">
      <w:pPr>
        <w:spacing w:after="0" w:line="240" w:lineRule="auto"/>
        <w:ind w:left="426" w:hanging="426"/>
        <w:rPr>
          <w:rFonts w:asciiTheme="majorHAnsi" w:hAnsiTheme="majorHAnsi"/>
        </w:rPr>
      </w:pPr>
      <w:r w:rsidRPr="00567193">
        <w:rPr>
          <w:rFonts w:asciiTheme="majorHAnsi" w:hAnsiTheme="majorHAnsi"/>
        </w:rPr>
        <w:t>8</w:t>
      </w:r>
      <w:r>
        <w:rPr>
          <w:rFonts w:asciiTheme="majorHAnsi" w:hAnsiTheme="majorHAnsi"/>
        </w:rPr>
        <w:t>2.</w:t>
      </w:r>
      <w:r w:rsidRPr="00567193">
        <w:rPr>
          <w:rFonts w:asciiTheme="majorHAnsi" w:hAnsiTheme="majorHAnsi"/>
        </w:rPr>
        <w:tab/>
        <w:t xml:space="preserve">The </w:t>
      </w:r>
      <w:r w:rsidRPr="00567193">
        <w:rPr>
          <w:rFonts w:asciiTheme="majorHAnsi" w:hAnsiTheme="majorHAnsi"/>
          <w:b/>
        </w:rPr>
        <w:t>Secretariat</w:t>
      </w:r>
      <w:r w:rsidRPr="00567193">
        <w:rPr>
          <w:rFonts w:asciiTheme="majorHAnsi" w:hAnsiTheme="majorHAnsi"/>
        </w:rPr>
        <w:t xml:space="preserve"> recalled that Annex 1 and its sub-Annexes covered the period August 2014 to November 2017 but that the online Ramsar Sites Information Service (RSIS) was continually updated. The document currently provided for SC57 in 2019 to review an update to the end of 2018. </w:t>
      </w:r>
    </w:p>
    <w:p w14:paraId="5B62EF69" w14:textId="77777777" w:rsidR="00BF15C7" w:rsidRPr="00567193" w:rsidRDefault="00BF15C7" w:rsidP="00BF15C7">
      <w:pPr>
        <w:spacing w:after="0" w:line="240" w:lineRule="auto"/>
        <w:ind w:left="426" w:hanging="426"/>
        <w:rPr>
          <w:rFonts w:asciiTheme="majorHAnsi" w:hAnsiTheme="majorHAnsi"/>
        </w:rPr>
      </w:pPr>
    </w:p>
    <w:p w14:paraId="7D8765AF" w14:textId="77777777" w:rsidR="00BF15C7" w:rsidRPr="00567193" w:rsidRDefault="00BF15C7" w:rsidP="00BF15C7">
      <w:pPr>
        <w:spacing w:after="0" w:line="240" w:lineRule="auto"/>
        <w:ind w:left="426" w:hanging="426"/>
        <w:rPr>
          <w:rFonts w:asciiTheme="majorHAnsi" w:hAnsiTheme="majorHAnsi"/>
        </w:rPr>
      </w:pPr>
      <w:r w:rsidRPr="00567193">
        <w:rPr>
          <w:rFonts w:asciiTheme="majorHAnsi" w:hAnsiTheme="majorHAnsi"/>
        </w:rPr>
        <w:t>8</w:t>
      </w:r>
      <w:r>
        <w:rPr>
          <w:rFonts w:asciiTheme="majorHAnsi" w:hAnsiTheme="majorHAnsi"/>
        </w:rPr>
        <w:t>3</w:t>
      </w:r>
      <w:r w:rsidRPr="00567193">
        <w:rPr>
          <w:rFonts w:asciiTheme="majorHAnsi" w:hAnsiTheme="majorHAnsi"/>
        </w:rPr>
        <w:t>.</w:t>
      </w:r>
      <w:r w:rsidRPr="00567193">
        <w:rPr>
          <w:rFonts w:asciiTheme="majorHAnsi" w:hAnsiTheme="majorHAnsi"/>
        </w:rPr>
        <w:tab/>
        <w:t xml:space="preserve">The </w:t>
      </w:r>
      <w:r w:rsidRPr="00567193">
        <w:rPr>
          <w:rFonts w:asciiTheme="majorHAnsi" w:hAnsiTheme="majorHAnsi"/>
          <w:b/>
        </w:rPr>
        <w:t>Secretary General</w:t>
      </w:r>
      <w:r w:rsidRPr="00567193">
        <w:rPr>
          <w:rFonts w:asciiTheme="majorHAnsi" w:hAnsiTheme="majorHAnsi"/>
        </w:rPr>
        <w:t xml:space="preserve"> undertook to look into the feasibility of updating the sub-Annexes ahead of COP13, taking into account </w:t>
      </w:r>
      <w:r>
        <w:rPr>
          <w:rFonts w:asciiTheme="majorHAnsi" w:hAnsiTheme="majorHAnsi"/>
        </w:rPr>
        <w:t>Contracting Parties</w:t>
      </w:r>
      <w:r w:rsidRPr="00567193">
        <w:rPr>
          <w:rFonts w:asciiTheme="majorHAnsi" w:hAnsiTheme="majorHAnsi"/>
        </w:rPr>
        <w:t>’ comments. The Secretariat would be pleased to engage bilaterally with Parties that wished to raise site-specific issues.</w:t>
      </w:r>
    </w:p>
    <w:p w14:paraId="4E54E2E9" w14:textId="77777777" w:rsidR="00BF15C7" w:rsidRPr="00567193" w:rsidRDefault="00BF15C7" w:rsidP="00BF15C7">
      <w:pPr>
        <w:spacing w:after="0" w:line="240" w:lineRule="auto"/>
        <w:ind w:left="426" w:hanging="426"/>
        <w:rPr>
          <w:rFonts w:asciiTheme="majorHAnsi" w:hAnsiTheme="majorHAnsi"/>
          <w:bCs/>
        </w:rPr>
      </w:pPr>
    </w:p>
    <w:p w14:paraId="2991D3B2" w14:textId="77777777" w:rsidR="00BF15C7" w:rsidRPr="00567193" w:rsidRDefault="00BF15C7" w:rsidP="00BF15C7">
      <w:pPr>
        <w:keepNext/>
        <w:pBdr>
          <w:top w:val="single" w:sz="4" w:space="1" w:color="auto"/>
          <w:left w:val="single" w:sz="4" w:space="4" w:color="auto"/>
          <w:bottom w:val="single" w:sz="4" w:space="0" w:color="auto"/>
          <w:right w:val="single" w:sz="4" w:space="4" w:color="auto"/>
        </w:pBdr>
        <w:spacing w:after="0" w:line="240" w:lineRule="auto"/>
        <w:ind w:left="425" w:hanging="425"/>
        <w:rPr>
          <w:rFonts w:asciiTheme="majorHAnsi" w:hAnsiTheme="majorHAnsi"/>
          <w:bCs/>
        </w:rPr>
      </w:pPr>
      <w:r w:rsidRPr="00567193">
        <w:rPr>
          <w:rFonts w:asciiTheme="majorHAnsi" w:hAnsiTheme="majorHAnsi"/>
          <w:bCs/>
        </w:rPr>
        <w:t>Agenda item 11. Communication, capacity building, education, participation and awareness (CEPA)</w:t>
      </w:r>
    </w:p>
    <w:p w14:paraId="5A731F57" w14:textId="77777777" w:rsidR="00BF15C7" w:rsidRDefault="00BF15C7" w:rsidP="00BF15C7">
      <w:pPr>
        <w:keepNext/>
        <w:pBdr>
          <w:top w:val="single" w:sz="4" w:space="1" w:color="auto"/>
          <w:left w:val="single" w:sz="4" w:space="4" w:color="auto"/>
          <w:bottom w:val="single" w:sz="4" w:space="0" w:color="auto"/>
          <w:right w:val="single" w:sz="4" w:space="4" w:color="auto"/>
        </w:pBdr>
        <w:spacing w:after="0" w:line="240" w:lineRule="auto"/>
        <w:ind w:left="425" w:hanging="425"/>
        <w:rPr>
          <w:rFonts w:asciiTheme="majorHAnsi" w:hAnsiTheme="majorHAnsi"/>
          <w:bCs/>
        </w:rPr>
      </w:pPr>
    </w:p>
    <w:p w14:paraId="0D8637FB" w14:textId="77777777" w:rsidR="00BF15C7" w:rsidRDefault="00BF15C7" w:rsidP="00BF15C7">
      <w:pPr>
        <w:keepNext/>
        <w:pBdr>
          <w:top w:val="single" w:sz="4" w:space="1" w:color="auto"/>
          <w:left w:val="single" w:sz="4" w:space="4" w:color="auto"/>
          <w:bottom w:val="single" w:sz="4" w:space="0" w:color="auto"/>
          <w:right w:val="single" w:sz="4" w:space="4" w:color="auto"/>
        </w:pBdr>
        <w:spacing w:after="0" w:line="240" w:lineRule="auto"/>
        <w:ind w:left="425" w:hanging="425"/>
        <w:rPr>
          <w:rFonts w:asciiTheme="majorHAnsi" w:hAnsiTheme="majorHAnsi"/>
          <w:bCs/>
        </w:rPr>
      </w:pPr>
      <w:r w:rsidRPr="00567193">
        <w:rPr>
          <w:rFonts w:asciiTheme="majorHAnsi" w:hAnsiTheme="majorHAnsi"/>
          <w:bCs/>
        </w:rPr>
        <w:t>11.1 Report of the Chair of the CEPA Oversight Panel</w:t>
      </w:r>
    </w:p>
    <w:p w14:paraId="711E56D2" w14:textId="77777777" w:rsidR="00BF15C7" w:rsidRDefault="00BF15C7" w:rsidP="00BF15C7">
      <w:pPr>
        <w:keepNext/>
        <w:pBdr>
          <w:top w:val="single" w:sz="4" w:space="1" w:color="auto"/>
          <w:left w:val="single" w:sz="4" w:space="4" w:color="auto"/>
          <w:bottom w:val="single" w:sz="4" w:space="0" w:color="auto"/>
          <w:right w:val="single" w:sz="4" w:space="4" w:color="auto"/>
        </w:pBdr>
        <w:spacing w:after="0" w:line="240" w:lineRule="auto"/>
        <w:ind w:left="425" w:hanging="425"/>
        <w:rPr>
          <w:rFonts w:asciiTheme="majorHAnsi" w:hAnsiTheme="majorHAnsi"/>
          <w:bCs/>
        </w:rPr>
      </w:pPr>
    </w:p>
    <w:p w14:paraId="33F5B0CC" w14:textId="77777777" w:rsidR="00BF15C7" w:rsidRPr="00567193" w:rsidRDefault="00BF15C7" w:rsidP="00BF15C7">
      <w:pPr>
        <w:keepNext/>
        <w:pBdr>
          <w:top w:val="single" w:sz="4" w:space="1" w:color="auto"/>
          <w:left w:val="single" w:sz="4" w:space="4" w:color="auto"/>
          <w:bottom w:val="single" w:sz="4" w:space="0" w:color="auto"/>
          <w:right w:val="single" w:sz="4" w:space="4" w:color="auto"/>
        </w:pBdr>
        <w:spacing w:after="0" w:line="240" w:lineRule="auto"/>
        <w:ind w:left="425" w:hanging="425"/>
        <w:rPr>
          <w:rFonts w:asciiTheme="majorHAnsi" w:hAnsiTheme="majorHAnsi"/>
          <w:bCs/>
        </w:rPr>
      </w:pPr>
      <w:r w:rsidRPr="00567193">
        <w:rPr>
          <w:rFonts w:asciiTheme="majorHAnsi" w:hAnsiTheme="majorHAnsi"/>
          <w:bCs/>
        </w:rPr>
        <w:t>11.2 Report of the CEPA Implementation Working Group</w:t>
      </w:r>
    </w:p>
    <w:p w14:paraId="738C5B59" w14:textId="77777777" w:rsidR="00BF15C7" w:rsidRPr="00567193" w:rsidRDefault="00BF15C7" w:rsidP="00BF15C7">
      <w:pPr>
        <w:keepNext/>
        <w:spacing w:after="0" w:line="240" w:lineRule="auto"/>
        <w:ind w:left="425" w:hanging="425"/>
        <w:rPr>
          <w:rFonts w:asciiTheme="majorHAnsi" w:hAnsiTheme="majorHAnsi"/>
          <w:bCs/>
        </w:rPr>
      </w:pPr>
    </w:p>
    <w:p w14:paraId="6A994BFB" w14:textId="77777777" w:rsidR="00BF15C7" w:rsidRPr="00567193" w:rsidRDefault="00BF15C7" w:rsidP="00BF15C7">
      <w:pPr>
        <w:spacing w:after="0" w:line="240" w:lineRule="auto"/>
        <w:ind w:left="426" w:hanging="426"/>
        <w:rPr>
          <w:rFonts w:asciiTheme="majorHAnsi" w:eastAsiaTheme="minorHAnsi" w:hAnsiTheme="majorHAnsi"/>
        </w:rPr>
      </w:pPr>
      <w:r w:rsidRPr="00567193">
        <w:rPr>
          <w:rFonts w:asciiTheme="majorHAnsi" w:hAnsiTheme="majorHAnsi"/>
          <w:bCs/>
        </w:rPr>
        <w:t>8</w:t>
      </w:r>
      <w:r>
        <w:rPr>
          <w:rFonts w:asciiTheme="majorHAnsi" w:hAnsiTheme="majorHAnsi"/>
          <w:bCs/>
        </w:rPr>
        <w:t>4</w:t>
      </w:r>
      <w:r w:rsidRPr="00567193">
        <w:rPr>
          <w:rFonts w:asciiTheme="majorHAnsi" w:hAnsiTheme="majorHAnsi"/>
          <w:bCs/>
        </w:rPr>
        <w:t>.</w:t>
      </w:r>
      <w:r w:rsidRPr="00567193">
        <w:rPr>
          <w:rFonts w:asciiTheme="majorHAnsi" w:hAnsiTheme="majorHAnsi"/>
          <w:bCs/>
        </w:rPr>
        <w:tab/>
        <w:t xml:space="preserve">The </w:t>
      </w:r>
      <w:r w:rsidRPr="00F426AF">
        <w:rPr>
          <w:rFonts w:asciiTheme="majorHAnsi" w:hAnsiTheme="majorHAnsi"/>
          <w:b/>
          <w:bCs/>
        </w:rPr>
        <w:t>Chair of the CEPA Oversight Panel</w:t>
      </w:r>
      <w:r w:rsidRPr="00567193">
        <w:rPr>
          <w:rFonts w:asciiTheme="majorHAnsi" w:hAnsiTheme="majorHAnsi"/>
          <w:bCs/>
        </w:rPr>
        <w:t xml:space="preserve"> (</w:t>
      </w:r>
      <w:r w:rsidRPr="00F426AF">
        <w:rPr>
          <w:rFonts w:asciiTheme="majorHAnsi" w:hAnsiTheme="majorHAnsi"/>
          <w:b/>
          <w:bCs/>
        </w:rPr>
        <w:t>Australia</w:t>
      </w:r>
      <w:r w:rsidRPr="00567193">
        <w:rPr>
          <w:rFonts w:asciiTheme="majorHAnsi" w:hAnsiTheme="majorHAnsi"/>
          <w:bCs/>
        </w:rPr>
        <w:t xml:space="preserve">) briefly introduced </w:t>
      </w:r>
      <w:r>
        <w:rPr>
          <w:rFonts w:asciiTheme="majorHAnsi" w:hAnsiTheme="majorHAnsi"/>
          <w:bCs/>
        </w:rPr>
        <w:t xml:space="preserve">document </w:t>
      </w:r>
      <w:r w:rsidRPr="00567193">
        <w:rPr>
          <w:rFonts w:asciiTheme="majorHAnsi" w:hAnsiTheme="majorHAnsi"/>
          <w:bCs/>
        </w:rPr>
        <w:t xml:space="preserve">Doc. SC54-11.1 </w:t>
      </w:r>
      <w:r w:rsidRPr="00567193">
        <w:rPr>
          <w:rFonts w:asciiTheme="majorHAnsi" w:eastAsiaTheme="minorHAnsi" w:hAnsiTheme="majorHAnsi"/>
          <w:i/>
        </w:rPr>
        <w:t>Communication, capacity building, education, participation and awareness (CEPA) – Report of the Chair of the CEPA Oversight Panel</w:t>
      </w:r>
      <w:r w:rsidRPr="00567193">
        <w:rPr>
          <w:rFonts w:asciiTheme="majorHAnsi" w:eastAsiaTheme="minorHAnsi" w:hAnsiTheme="majorHAnsi"/>
        </w:rPr>
        <w:t>, noting that he had met the previous day with the Chair of the Working Group on CEPA Implementation (South Africa).</w:t>
      </w:r>
    </w:p>
    <w:p w14:paraId="1604D6B2" w14:textId="77777777" w:rsidR="00BF15C7" w:rsidRPr="00567193" w:rsidRDefault="00BF15C7" w:rsidP="00BF15C7">
      <w:pPr>
        <w:spacing w:after="0" w:line="240" w:lineRule="auto"/>
        <w:ind w:left="426" w:hanging="426"/>
        <w:rPr>
          <w:rFonts w:asciiTheme="majorHAnsi" w:hAnsiTheme="majorHAnsi"/>
          <w:bCs/>
        </w:rPr>
      </w:pPr>
    </w:p>
    <w:p w14:paraId="52AD1D77" w14:textId="77777777" w:rsidR="00BF15C7" w:rsidRPr="00567193" w:rsidRDefault="00BF15C7" w:rsidP="00BF15C7">
      <w:pPr>
        <w:spacing w:after="0" w:line="240" w:lineRule="auto"/>
        <w:ind w:left="426" w:hanging="426"/>
        <w:rPr>
          <w:rFonts w:asciiTheme="majorHAnsi" w:hAnsiTheme="majorHAnsi"/>
          <w:bCs/>
        </w:rPr>
      </w:pPr>
      <w:r w:rsidRPr="00567193">
        <w:rPr>
          <w:rFonts w:asciiTheme="majorHAnsi" w:hAnsiTheme="majorHAnsi"/>
          <w:bCs/>
        </w:rPr>
        <w:t>8</w:t>
      </w:r>
      <w:r>
        <w:rPr>
          <w:rFonts w:asciiTheme="majorHAnsi" w:hAnsiTheme="majorHAnsi"/>
          <w:bCs/>
        </w:rPr>
        <w:t>5</w:t>
      </w:r>
      <w:r w:rsidRPr="00567193">
        <w:rPr>
          <w:rFonts w:asciiTheme="majorHAnsi" w:hAnsiTheme="majorHAnsi"/>
          <w:bCs/>
        </w:rPr>
        <w:t>.</w:t>
      </w:r>
      <w:r w:rsidRPr="00567193">
        <w:rPr>
          <w:rFonts w:asciiTheme="majorHAnsi" w:hAnsiTheme="majorHAnsi"/>
          <w:bCs/>
        </w:rPr>
        <w:tab/>
        <w:t xml:space="preserve">The </w:t>
      </w:r>
      <w:r w:rsidRPr="00567193">
        <w:rPr>
          <w:rFonts w:asciiTheme="majorHAnsi" w:hAnsiTheme="majorHAnsi"/>
          <w:b/>
          <w:bCs/>
        </w:rPr>
        <w:t xml:space="preserve">Chair of the Working Group on CEPA Implementation </w:t>
      </w:r>
      <w:r w:rsidRPr="00567193">
        <w:rPr>
          <w:rFonts w:asciiTheme="majorHAnsi" w:hAnsiTheme="majorHAnsi"/>
          <w:bCs/>
        </w:rPr>
        <w:t>(</w:t>
      </w:r>
      <w:r w:rsidRPr="000A4279">
        <w:rPr>
          <w:rFonts w:asciiTheme="majorHAnsi" w:hAnsiTheme="majorHAnsi"/>
          <w:b/>
          <w:bCs/>
        </w:rPr>
        <w:t>South Africa</w:t>
      </w:r>
      <w:r w:rsidRPr="00567193">
        <w:rPr>
          <w:rFonts w:asciiTheme="majorHAnsi" w:hAnsiTheme="majorHAnsi"/>
          <w:bCs/>
        </w:rPr>
        <w:t>) recalled the group’s mandate as established by Resolution XII.9 and briefly summarized the progress made. This included:</w:t>
      </w:r>
    </w:p>
    <w:p w14:paraId="56503DEA" w14:textId="77777777" w:rsidR="00BF15C7" w:rsidRPr="00567193" w:rsidRDefault="00BF15C7" w:rsidP="00BF15C7">
      <w:pPr>
        <w:pStyle w:val="ListParagraph"/>
        <w:numPr>
          <w:ilvl w:val="0"/>
          <w:numId w:val="10"/>
        </w:numPr>
        <w:spacing w:after="0" w:line="240" w:lineRule="auto"/>
        <w:ind w:left="851" w:hanging="426"/>
        <w:rPr>
          <w:rFonts w:asciiTheme="majorHAnsi" w:hAnsiTheme="majorHAnsi"/>
          <w:bCs/>
        </w:rPr>
      </w:pPr>
      <w:r w:rsidRPr="00567193">
        <w:rPr>
          <w:rFonts w:asciiTheme="majorHAnsi" w:hAnsiTheme="majorHAnsi"/>
          <w:bCs/>
        </w:rPr>
        <w:t>Development of the CEPA Action Plan and its incorporation into the Secretariat’s work plan. That work was done.</w:t>
      </w:r>
    </w:p>
    <w:p w14:paraId="5F64121F" w14:textId="77777777" w:rsidR="00BF15C7" w:rsidRPr="00567193" w:rsidRDefault="00BF15C7" w:rsidP="00BF15C7">
      <w:pPr>
        <w:pStyle w:val="ListParagraph"/>
        <w:numPr>
          <w:ilvl w:val="0"/>
          <w:numId w:val="10"/>
        </w:numPr>
        <w:spacing w:after="0" w:line="240" w:lineRule="auto"/>
        <w:ind w:left="851" w:hanging="426"/>
        <w:rPr>
          <w:rFonts w:asciiTheme="majorHAnsi" w:hAnsiTheme="majorHAnsi"/>
          <w:bCs/>
        </w:rPr>
      </w:pPr>
      <w:r w:rsidRPr="00567193">
        <w:rPr>
          <w:rFonts w:asciiTheme="majorHAnsi" w:hAnsiTheme="majorHAnsi"/>
          <w:bCs/>
        </w:rPr>
        <w:t>Development, with the advice of STRP, of a new approach to supporting CEPA in the Convention to be submitted to COP13</w:t>
      </w:r>
      <w:r>
        <w:rPr>
          <w:rFonts w:asciiTheme="majorHAnsi" w:hAnsiTheme="majorHAnsi"/>
          <w:bCs/>
        </w:rPr>
        <w:t>.</w:t>
      </w:r>
    </w:p>
    <w:p w14:paraId="1D18207B" w14:textId="77777777" w:rsidR="00BF15C7" w:rsidRPr="00567193" w:rsidRDefault="00BF15C7" w:rsidP="00BF15C7">
      <w:pPr>
        <w:spacing w:after="0" w:line="240" w:lineRule="auto"/>
        <w:ind w:left="426" w:hanging="1"/>
        <w:rPr>
          <w:rFonts w:asciiTheme="majorHAnsi" w:hAnsiTheme="majorHAnsi"/>
          <w:bCs/>
        </w:rPr>
      </w:pPr>
      <w:r w:rsidRPr="00567193">
        <w:rPr>
          <w:rFonts w:asciiTheme="majorHAnsi" w:hAnsiTheme="majorHAnsi"/>
          <w:bCs/>
        </w:rPr>
        <w:t>The group was now proposing that the Standing Committee should disband the</w:t>
      </w:r>
      <w:r w:rsidRPr="00567193">
        <w:rPr>
          <w:rFonts w:asciiTheme="majorHAnsi" w:hAnsiTheme="majorHAnsi"/>
          <w:b/>
          <w:bCs/>
        </w:rPr>
        <w:t xml:space="preserve"> </w:t>
      </w:r>
      <w:r w:rsidRPr="00567193">
        <w:rPr>
          <w:rFonts w:asciiTheme="majorHAnsi" w:hAnsiTheme="majorHAnsi"/>
          <w:bCs/>
        </w:rPr>
        <w:t xml:space="preserve">Working Group on CEPA Implementation and that the CEPA Oversight Panel should </w:t>
      </w:r>
      <w:r>
        <w:rPr>
          <w:rFonts w:asciiTheme="majorHAnsi" w:hAnsiTheme="majorHAnsi"/>
          <w:bCs/>
        </w:rPr>
        <w:t>complete its</w:t>
      </w:r>
      <w:r w:rsidRPr="00567193">
        <w:rPr>
          <w:rFonts w:asciiTheme="majorHAnsi" w:hAnsiTheme="majorHAnsi"/>
          <w:bCs/>
        </w:rPr>
        <w:t xml:space="preserve"> work on the new approach to CEPA. This work might not be concluded by COP13, but could be submitted to COP14, taking into account the review of the Strategic Plan and following further consideration at SC57.</w:t>
      </w:r>
    </w:p>
    <w:p w14:paraId="41A2D3C5" w14:textId="77777777" w:rsidR="00BF15C7" w:rsidRPr="00567193" w:rsidRDefault="00BF15C7" w:rsidP="00BF15C7">
      <w:pPr>
        <w:spacing w:after="0" w:line="240" w:lineRule="auto"/>
        <w:ind w:left="426" w:hanging="426"/>
        <w:rPr>
          <w:rFonts w:asciiTheme="majorHAnsi" w:hAnsiTheme="majorHAnsi"/>
          <w:bCs/>
        </w:rPr>
      </w:pPr>
    </w:p>
    <w:p w14:paraId="1EA2F22D" w14:textId="77777777" w:rsidR="00BF15C7" w:rsidRPr="00567193" w:rsidRDefault="00BF15C7" w:rsidP="00BF15C7">
      <w:pPr>
        <w:spacing w:after="0" w:line="240" w:lineRule="auto"/>
        <w:ind w:left="426" w:hanging="426"/>
        <w:rPr>
          <w:rFonts w:asciiTheme="majorHAnsi" w:hAnsiTheme="majorHAnsi"/>
          <w:bCs/>
        </w:rPr>
      </w:pPr>
      <w:r w:rsidRPr="00567193">
        <w:rPr>
          <w:rFonts w:asciiTheme="majorHAnsi" w:hAnsiTheme="majorHAnsi"/>
          <w:bCs/>
        </w:rPr>
        <w:t>8</w:t>
      </w:r>
      <w:r>
        <w:rPr>
          <w:rFonts w:asciiTheme="majorHAnsi" w:hAnsiTheme="majorHAnsi"/>
          <w:bCs/>
        </w:rPr>
        <w:t>6</w:t>
      </w:r>
      <w:r w:rsidRPr="00567193">
        <w:rPr>
          <w:rFonts w:asciiTheme="majorHAnsi" w:hAnsiTheme="majorHAnsi"/>
          <w:bCs/>
        </w:rPr>
        <w:t>.</w:t>
      </w:r>
      <w:r w:rsidRPr="00567193">
        <w:rPr>
          <w:rFonts w:asciiTheme="majorHAnsi" w:hAnsiTheme="majorHAnsi"/>
          <w:bCs/>
        </w:rPr>
        <w:tab/>
      </w:r>
      <w:r w:rsidRPr="00567193">
        <w:rPr>
          <w:rFonts w:asciiTheme="majorHAnsi" w:hAnsiTheme="majorHAnsi"/>
          <w:b/>
          <w:bCs/>
        </w:rPr>
        <w:t>Finland</w:t>
      </w:r>
      <w:r w:rsidRPr="00567193">
        <w:rPr>
          <w:rFonts w:asciiTheme="majorHAnsi" w:hAnsiTheme="majorHAnsi"/>
          <w:bCs/>
        </w:rPr>
        <w:t xml:space="preserve"> noted that text on CEPA for possible inclusion in a COP13 draft resolution had been discussed with the Chairs of the CEPA Oversight Panel and CEPA Implementation Working Group. This had resulted in agreement on five paragraphs proposed for insertion into an appropriate draft resolution. </w:t>
      </w:r>
    </w:p>
    <w:p w14:paraId="6C31785E" w14:textId="77777777" w:rsidR="00BF15C7" w:rsidRPr="00567193" w:rsidRDefault="00BF15C7" w:rsidP="00BF15C7">
      <w:pPr>
        <w:spacing w:after="0" w:line="240" w:lineRule="auto"/>
        <w:ind w:left="426" w:hanging="426"/>
        <w:rPr>
          <w:rFonts w:asciiTheme="majorHAnsi" w:hAnsiTheme="majorHAnsi"/>
          <w:bCs/>
        </w:rPr>
      </w:pPr>
    </w:p>
    <w:p w14:paraId="40E3AE0D" w14:textId="77777777" w:rsidR="00BF15C7" w:rsidRPr="00567193" w:rsidRDefault="00BF15C7" w:rsidP="00BF15C7">
      <w:pPr>
        <w:spacing w:after="0" w:line="240" w:lineRule="auto"/>
        <w:ind w:left="426" w:hanging="426"/>
        <w:rPr>
          <w:rFonts w:asciiTheme="majorHAnsi" w:hAnsiTheme="majorHAnsi"/>
          <w:bCs/>
        </w:rPr>
      </w:pPr>
      <w:r w:rsidRPr="00567193">
        <w:rPr>
          <w:rFonts w:asciiTheme="majorHAnsi" w:hAnsiTheme="majorHAnsi"/>
          <w:bCs/>
        </w:rPr>
        <w:t>8</w:t>
      </w:r>
      <w:r>
        <w:rPr>
          <w:rFonts w:asciiTheme="majorHAnsi" w:hAnsiTheme="majorHAnsi"/>
          <w:bCs/>
        </w:rPr>
        <w:t>7</w:t>
      </w:r>
      <w:r w:rsidRPr="00567193">
        <w:rPr>
          <w:rFonts w:asciiTheme="majorHAnsi" w:hAnsiTheme="majorHAnsi"/>
          <w:bCs/>
        </w:rPr>
        <w:t>.</w:t>
      </w:r>
      <w:r w:rsidRPr="00567193">
        <w:rPr>
          <w:rFonts w:asciiTheme="majorHAnsi" w:hAnsiTheme="majorHAnsi"/>
          <w:bCs/>
        </w:rPr>
        <w:tab/>
        <w:t>The</w:t>
      </w:r>
      <w:r w:rsidRPr="00567193">
        <w:rPr>
          <w:rFonts w:asciiTheme="majorHAnsi" w:hAnsiTheme="majorHAnsi"/>
          <w:b/>
          <w:bCs/>
        </w:rPr>
        <w:t xml:space="preserve"> Chair of the CEPA Oversight Panel </w:t>
      </w:r>
      <w:r w:rsidRPr="00567193">
        <w:rPr>
          <w:rFonts w:asciiTheme="majorHAnsi" w:hAnsiTheme="majorHAnsi"/>
          <w:bCs/>
        </w:rPr>
        <w:t xml:space="preserve">confirmed the Panel’s agreement </w:t>
      </w:r>
      <w:r>
        <w:rPr>
          <w:rFonts w:asciiTheme="majorHAnsi" w:hAnsiTheme="majorHAnsi"/>
          <w:bCs/>
        </w:rPr>
        <w:t>to</w:t>
      </w:r>
      <w:r w:rsidRPr="00567193">
        <w:rPr>
          <w:rFonts w:asciiTheme="majorHAnsi" w:hAnsiTheme="majorHAnsi"/>
          <w:bCs/>
        </w:rPr>
        <w:t xml:space="preserve"> the points made by the Chair of the Working Group on CEPA Implementation and welcomed the text referred to by Finland. The Panel would help finalize the text and consult with the Secretariat on which would be the most appropriate draft resolution for its inclusion.</w:t>
      </w:r>
    </w:p>
    <w:p w14:paraId="799904F5" w14:textId="77777777" w:rsidR="00BF15C7" w:rsidRPr="00567193" w:rsidRDefault="00BF15C7" w:rsidP="00BF15C7">
      <w:pPr>
        <w:spacing w:after="0" w:line="240" w:lineRule="auto"/>
        <w:ind w:left="426" w:hanging="426"/>
        <w:rPr>
          <w:rFonts w:asciiTheme="majorHAnsi" w:hAnsiTheme="majorHAnsi"/>
          <w:bCs/>
        </w:rPr>
      </w:pPr>
    </w:p>
    <w:p w14:paraId="7E601BD8" w14:textId="77777777" w:rsidR="00BF15C7" w:rsidRPr="00567193" w:rsidRDefault="00BF15C7" w:rsidP="00BF15C7">
      <w:pPr>
        <w:spacing w:after="0" w:line="240" w:lineRule="auto"/>
        <w:rPr>
          <w:rFonts w:asciiTheme="majorHAnsi" w:hAnsiTheme="majorHAnsi"/>
          <w:b/>
          <w:bCs/>
        </w:rPr>
      </w:pPr>
      <w:r w:rsidRPr="00567193">
        <w:rPr>
          <w:rFonts w:asciiTheme="majorHAnsi" w:hAnsiTheme="majorHAnsi"/>
          <w:b/>
          <w:bCs/>
        </w:rPr>
        <w:t>Decision SC54-0</w:t>
      </w:r>
      <w:r>
        <w:rPr>
          <w:rFonts w:asciiTheme="majorHAnsi" w:hAnsiTheme="majorHAnsi"/>
          <w:b/>
          <w:bCs/>
        </w:rPr>
        <w:t>4:</w:t>
      </w:r>
      <w:r w:rsidRPr="00567193">
        <w:rPr>
          <w:rFonts w:asciiTheme="majorHAnsi" w:hAnsiTheme="majorHAnsi"/>
          <w:b/>
          <w:bCs/>
        </w:rPr>
        <w:t xml:space="preserve"> The Standing Committee approved the reports of the Chair of the CEPA Oversight Panel and the Chair of the Working Group on CEPA Implementation.</w:t>
      </w:r>
    </w:p>
    <w:p w14:paraId="48191C96" w14:textId="77777777" w:rsidR="00BF15C7" w:rsidRPr="00567193" w:rsidRDefault="00BF15C7" w:rsidP="00BF15C7">
      <w:pPr>
        <w:spacing w:after="0" w:line="240" w:lineRule="auto"/>
        <w:ind w:left="426" w:hanging="426"/>
        <w:rPr>
          <w:rFonts w:asciiTheme="majorHAnsi" w:hAnsiTheme="majorHAnsi"/>
          <w:bCs/>
        </w:rPr>
      </w:pPr>
    </w:p>
    <w:p w14:paraId="066A8EB9" w14:textId="77777777" w:rsidR="00BF15C7" w:rsidRPr="00A3523F" w:rsidRDefault="00BF15C7" w:rsidP="00A3523F">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cs="Calibri"/>
          <w:bCs/>
        </w:rPr>
      </w:pPr>
      <w:r w:rsidRPr="00A3523F">
        <w:rPr>
          <w:rFonts w:cs="Calibri"/>
          <w:bCs/>
        </w:rPr>
        <w:t>11.3 Update on the MAVA project “Conservation of the natural and cultural heritage in wetlands”</w:t>
      </w:r>
    </w:p>
    <w:p w14:paraId="40F1F5B8" w14:textId="77777777" w:rsidR="00BF15C7" w:rsidRPr="00567193" w:rsidRDefault="00BF15C7" w:rsidP="00BF15C7">
      <w:pPr>
        <w:spacing w:after="0" w:line="240" w:lineRule="auto"/>
        <w:ind w:left="426" w:hanging="426"/>
        <w:rPr>
          <w:rFonts w:asciiTheme="majorHAnsi" w:hAnsiTheme="majorHAnsi"/>
          <w:bCs/>
        </w:rPr>
      </w:pPr>
    </w:p>
    <w:p w14:paraId="1D6C7B9F" w14:textId="77777777" w:rsidR="00BF15C7" w:rsidRPr="00567193" w:rsidRDefault="00BF15C7" w:rsidP="00BF15C7">
      <w:pPr>
        <w:spacing w:after="0" w:line="240" w:lineRule="auto"/>
        <w:ind w:left="426" w:hanging="426"/>
        <w:rPr>
          <w:rFonts w:asciiTheme="majorHAnsi" w:hAnsiTheme="majorHAnsi"/>
          <w:bCs/>
        </w:rPr>
      </w:pPr>
      <w:r w:rsidRPr="00567193">
        <w:rPr>
          <w:rFonts w:asciiTheme="majorHAnsi" w:hAnsiTheme="majorHAnsi"/>
          <w:bCs/>
        </w:rPr>
        <w:t>8</w:t>
      </w:r>
      <w:r>
        <w:rPr>
          <w:rFonts w:asciiTheme="majorHAnsi" w:hAnsiTheme="majorHAnsi"/>
          <w:bCs/>
        </w:rPr>
        <w:t>8</w:t>
      </w:r>
      <w:r w:rsidRPr="00567193">
        <w:rPr>
          <w:rFonts w:asciiTheme="majorHAnsi" w:hAnsiTheme="majorHAnsi"/>
          <w:bCs/>
        </w:rPr>
        <w:t>.</w:t>
      </w:r>
      <w:r w:rsidRPr="00567193">
        <w:rPr>
          <w:rFonts w:asciiTheme="majorHAnsi" w:hAnsiTheme="majorHAnsi"/>
          <w:bCs/>
        </w:rPr>
        <w:tab/>
        <w:t xml:space="preserve">The </w:t>
      </w:r>
      <w:r w:rsidRPr="00567193">
        <w:rPr>
          <w:rFonts w:asciiTheme="majorHAnsi" w:hAnsiTheme="majorHAnsi"/>
          <w:b/>
          <w:bCs/>
        </w:rPr>
        <w:t>Secretariat</w:t>
      </w:r>
      <w:r w:rsidRPr="00567193">
        <w:rPr>
          <w:rFonts w:asciiTheme="majorHAnsi" w:hAnsiTheme="majorHAnsi"/>
          <w:bCs/>
        </w:rPr>
        <w:t xml:space="preserve"> briefly introduced document Doc. SC54-11.3 </w:t>
      </w:r>
      <w:r w:rsidRPr="00567193">
        <w:rPr>
          <w:rFonts w:asciiTheme="majorHAnsi" w:hAnsiTheme="majorHAnsi" w:cs="Arial"/>
          <w:i/>
        </w:rPr>
        <w:t>Communication, capacity building, education, participation and awareness – Update on the MAVA project “Conservation of the natural and cultural heritage in wetlands”</w:t>
      </w:r>
      <w:r w:rsidRPr="00567193">
        <w:rPr>
          <w:rFonts w:asciiTheme="majorHAnsi" w:hAnsiTheme="majorHAnsi" w:cs="Arial"/>
        </w:rPr>
        <w:t>. The Standing Committee was specifically requested to make a recommendation for a COP13 decision on the way forward with respect to the Ramsar Culture Network.</w:t>
      </w:r>
    </w:p>
    <w:p w14:paraId="65CF4C31" w14:textId="77777777" w:rsidR="00BF15C7" w:rsidRPr="00567193" w:rsidRDefault="00BF15C7" w:rsidP="00BF15C7">
      <w:pPr>
        <w:spacing w:after="0" w:line="240" w:lineRule="auto"/>
        <w:ind w:left="426" w:hanging="426"/>
        <w:rPr>
          <w:rFonts w:asciiTheme="majorHAnsi" w:hAnsiTheme="majorHAnsi"/>
          <w:bCs/>
        </w:rPr>
      </w:pPr>
    </w:p>
    <w:p w14:paraId="5CAACDF0" w14:textId="77777777" w:rsidR="00BF15C7" w:rsidRPr="00567193" w:rsidRDefault="00BF15C7" w:rsidP="00BF15C7">
      <w:pPr>
        <w:spacing w:after="0" w:line="240" w:lineRule="auto"/>
        <w:ind w:left="426" w:hanging="426"/>
        <w:rPr>
          <w:rFonts w:asciiTheme="majorHAnsi" w:hAnsiTheme="majorHAnsi"/>
          <w:bCs/>
        </w:rPr>
      </w:pPr>
      <w:r w:rsidRPr="00567193">
        <w:rPr>
          <w:rFonts w:asciiTheme="majorHAnsi" w:hAnsiTheme="majorHAnsi"/>
          <w:bCs/>
        </w:rPr>
        <w:t>8</w:t>
      </w:r>
      <w:r>
        <w:rPr>
          <w:rFonts w:asciiTheme="majorHAnsi" w:hAnsiTheme="majorHAnsi"/>
          <w:bCs/>
        </w:rPr>
        <w:t>9</w:t>
      </w:r>
      <w:r w:rsidRPr="00567193">
        <w:rPr>
          <w:rFonts w:asciiTheme="majorHAnsi" w:hAnsiTheme="majorHAnsi"/>
          <w:bCs/>
        </w:rPr>
        <w:t>.</w:t>
      </w:r>
      <w:r w:rsidRPr="00567193">
        <w:rPr>
          <w:rFonts w:asciiTheme="majorHAnsi" w:hAnsiTheme="majorHAnsi"/>
          <w:bCs/>
        </w:rPr>
        <w:tab/>
        <w:t>The</w:t>
      </w:r>
      <w:r w:rsidRPr="00567193">
        <w:rPr>
          <w:rFonts w:asciiTheme="majorHAnsi" w:hAnsiTheme="majorHAnsi"/>
          <w:b/>
          <w:bCs/>
        </w:rPr>
        <w:t xml:space="preserve"> Secretary General</w:t>
      </w:r>
      <w:r w:rsidRPr="00567193">
        <w:rPr>
          <w:rFonts w:asciiTheme="majorHAnsi" w:hAnsiTheme="majorHAnsi"/>
          <w:bCs/>
        </w:rPr>
        <w:t xml:space="preserve"> underlined that the Secretariat had neither the mandate nor the resources to support the Network following the conclusion of the MAVA project. This situation would need to be addressed should </w:t>
      </w:r>
      <w:r>
        <w:rPr>
          <w:rFonts w:asciiTheme="majorHAnsi" w:hAnsiTheme="majorHAnsi"/>
          <w:bCs/>
        </w:rPr>
        <w:t>Contracting Parties</w:t>
      </w:r>
      <w:r w:rsidRPr="00567193">
        <w:rPr>
          <w:rFonts w:asciiTheme="majorHAnsi" w:hAnsiTheme="majorHAnsi"/>
          <w:bCs/>
        </w:rPr>
        <w:t xml:space="preserve"> decide to maintain the Network.</w:t>
      </w:r>
    </w:p>
    <w:p w14:paraId="1FAB5DBC" w14:textId="77777777" w:rsidR="00BF15C7" w:rsidRPr="00567193" w:rsidRDefault="00BF15C7" w:rsidP="00BF15C7">
      <w:pPr>
        <w:spacing w:after="0" w:line="240" w:lineRule="auto"/>
        <w:ind w:left="426" w:hanging="426"/>
        <w:rPr>
          <w:rFonts w:asciiTheme="majorHAnsi" w:hAnsiTheme="majorHAnsi"/>
          <w:bCs/>
        </w:rPr>
      </w:pPr>
    </w:p>
    <w:p w14:paraId="0C37BE35" w14:textId="77777777" w:rsidR="00BF15C7" w:rsidRPr="00567193" w:rsidRDefault="00BF15C7" w:rsidP="00BF15C7">
      <w:pPr>
        <w:spacing w:after="0" w:line="240" w:lineRule="auto"/>
        <w:ind w:left="426" w:hanging="426"/>
        <w:rPr>
          <w:rFonts w:asciiTheme="majorHAnsi" w:hAnsiTheme="majorHAnsi"/>
          <w:bCs/>
        </w:rPr>
      </w:pPr>
      <w:r>
        <w:rPr>
          <w:rFonts w:asciiTheme="majorHAnsi" w:hAnsiTheme="majorHAnsi"/>
          <w:bCs/>
        </w:rPr>
        <w:t>90</w:t>
      </w:r>
      <w:r w:rsidRPr="00567193">
        <w:rPr>
          <w:rFonts w:asciiTheme="majorHAnsi" w:hAnsiTheme="majorHAnsi"/>
          <w:bCs/>
        </w:rPr>
        <w:t>.</w:t>
      </w:r>
      <w:r w:rsidRPr="00567193">
        <w:rPr>
          <w:rFonts w:asciiTheme="majorHAnsi" w:hAnsiTheme="majorHAnsi"/>
          <w:bCs/>
        </w:rPr>
        <w:tab/>
      </w:r>
      <w:r w:rsidRPr="00567193">
        <w:rPr>
          <w:rFonts w:asciiTheme="majorHAnsi" w:hAnsiTheme="majorHAnsi"/>
          <w:b/>
          <w:bCs/>
        </w:rPr>
        <w:t>Slovenia</w:t>
      </w:r>
      <w:r w:rsidRPr="00567193">
        <w:rPr>
          <w:rFonts w:asciiTheme="majorHAnsi" w:hAnsiTheme="majorHAnsi"/>
          <w:bCs/>
        </w:rPr>
        <w:t xml:space="preserve"> considered that the Network had fulfilled an important role and called for its continuation, with a clear mandate and direction and perhaps an amended title. The draft COP13 resolution dealing with cultural values (Doc. SC54-21.2) might provide a suitable context for this.</w:t>
      </w:r>
    </w:p>
    <w:p w14:paraId="5188A09D" w14:textId="77777777" w:rsidR="00BF15C7" w:rsidRPr="00567193" w:rsidRDefault="00BF15C7" w:rsidP="00BF15C7">
      <w:pPr>
        <w:spacing w:after="0" w:line="240" w:lineRule="auto"/>
        <w:ind w:left="426" w:hanging="426"/>
        <w:rPr>
          <w:rFonts w:asciiTheme="majorHAnsi" w:hAnsiTheme="majorHAnsi"/>
          <w:bCs/>
        </w:rPr>
      </w:pPr>
    </w:p>
    <w:p w14:paraId="01868B12" w14:textId="77777777" w:rsidR="00BF15C7" w:rsidRPr="00567193" w:rsidRDefault="00BF15C7" w:rsidP="00BF15C7">
      <w:pPr>
        <w:spacing w:after="0" w:line="240" w:lineRule="auto"/>
        <w:ind w:left="426" w:hanging="426"/>
        <w:rPr>
          <w:rFonts w:asciiTheme="majorHAnsi" w:hAnsiTheme="majorHAnsi"/>
          <w:bCs/>
        </w:rPr>
      </w:pPr>
      <w:r w:rsidRPr="00567193">
        <w:rPr>
          <w:rFonts w:asciiTheme="majorHAnsi" w:hAnsiTheme="majorHAnsi"/>
          <w:bCs/>
        </w:rPr>
        <w:t>9</w:t>
      </w:r>
      <w:r>
        <w:rPr>
          <w:rFonts w:asciiTheme="majorHAnsi" w:hAnsiTheme="majorHAnsi"/>
          <w:bCs/>
        </w:rPr>
        <w:t>1</w:t>
      </w:r>
      <w:r w:rsidRPr="00567193">
        <w:rPr>
          <w:rFonts w:asciiTheme="majorHAnsi" w:hAnsiTheme="majorHAnsi"/>
          <w:bCs/>
        </w:rPr>
        <w:t>.</w:t>
      </w:r>
      <w:r w:rsidRPr="00567193">
        <w:rPr>
          <w:rFonts w:asciiTheme="majorHAnsi" w:hAnsiTheme="majorHAnsi"/>
          <w:bCs/>
        </w:rPr>
        <w:tab/>
      </w:r>
      <w:r w:rsidRPr="00567193">
        <w:rPr>
          <w:rFonts w:asciiTheme="majorHAnsi" w:hAnsiTheme="majorHAnsi"/>
          <w:b/>
          <w:bCs/>
        </w:rPr>
        <w:t>Senegal</w:t>
      </w:r>
      <w:r w:rsidRPr="00567193">
        <w:rPr>
          <w:rFonts w:asciiTheme="majorHAnsi" w:hAnsiTheme="majorHAnsi"/>
          <w:bCs/>
        </w:rPr>
        <w:t xml:space="preserve"> welcomed</w:t>
      </w:r>
      <w:r>
        <w:rPr>
          <w:rFonts w:asciiTheme="majorHAnsi" w:hAnsiTheme="majorHAnsi"/>
          <w:bCs/>
        </w:rPr>
        <w:t xml:space="preserve"> document</w:t>
      </w:r>
      <w:r w:rsidRPr="00567193">
        <w:rPr>
          <w:rFonts w:asciiTheme="majorHAnsi" w:hAnsiTheme="majorHAnsi"/>
          <w:bCs/>
        </w:rPr>
        <w:t xml:space="preserve"> Doc. SC54-11.3</w:t>
      </w:r>
      <w:r>
        <w:rPr>
          <w:rFonts w:asciiTheme="majorHAnsi" w:hAnsiTheme="majorHAnsi"/>
          <w:bCs/>
        </w:rPr>
        <w:t>,</w:t>
      </w:r>
      <w:r w:rsidRPr="00567193">
        <w:rPr>
          <w:rFonts w:asciiTheme="majorHAnsi" w:hAnsiTheme="majorHAnsi"/>
          <w:bCs/>
        </w:rPr>
        <w:t xml:space="preserve"> which responded to concerns raised at SC53.</w:t>
      </w:r>
    </w:p>
    <w:p w14:paraId="2191D176" w14:textId="77777777" w:rsidR="00BF15C7" w:rsidRPr="00567193" w:rsidRDefault="00BF15C7" w:rsidP="00BF15C7">
      <w:pPr>
        <w:spacing w:after="0" w:line="240" w:lineRule="auto"/>
        <w:ind w:left="426" w:hanging="426"/>
        <w:rPr>
          <w:rFonts w:asciiTheme="majorHAnsi" w:hAnsiTheme="majorHAnsi"/>
          <w:bCs/>
        </w:rPr>
      </w:pPr>
    </w:p>
    <w:p w14:paraId="721D5DE1" w14:textId="77777777" w:rsidR="00BF15C7" w:rsidRPr="00567193" w:rsidRDefault="00BF15C7" w:rsidP="00BF15C7">
      <w:pPr>
        <w:spacing w:after="0" w:line="240" w:lineRule="auto"/>
        <w:ind w:left="426" w:hanging="426"/>
        <w:rPr>
          <w:rFonts w:asciiTheme="majorHAnsi" w:hAnsiTheme="majorHAnsi"/>
          <w:bCs/>
        </w:rPr>
      </w:pPr>
      <w:r w:rsidRPr="00567193">
        <w:rPr>
          <w:rFonts w:asciiTheme="majorHAnsi" w:hAnsiTheme="majorHAnsi"/>
          <w:bCs/>
        </w:rPr>
        <w:t>9</w:t>
      </w:r>
      <w:r>
        <w:rPr>
          <w:rFonts w:asciiTheme="majorHAnsi" w:hAnsiTheme="majorHAnsi"/>
          <w:bCs/>
        </w:rPr>
        <w:t>2</w:t>
      </w:r>
      <w:r w:rsidRPr="00567193">
        <w:rPr>
          <w:rFonts w:asciiTheme="majorHAnsi" w:hAnsiTheme="majorHAnsi"/>
          <w:bCs/>
        </w:rPr>
        <w:t>.</w:t>
      </w:r>
      <w:r w:rsidRPr="00567193">
        <w:rPr>
          <w:rFonts w:asciiTheme="majorHAnsi" w:hAnsiTheme="majorHAnsi"/>
          <w:bCs/>
        </w:rPr>
        <w:tab/>
      </w:r>
      <w:r w:rsidRPr="00567193">
        <w:rPr>
          <w:rFonts w:asciiTheme="majorHAnsi" w:hAnsiTheme="majorHAnsi"/>
          <w:b/>
          <w:bCs/>
        </w:rPr>
        <w:t>Switzerland</w:t>
      </w:r>
      <w:r w:rsidRPr="00567193">
        <w:rPr>
          <w:rFonts w:asciiTheme="majorHAnsi" w:hAnsiTheme="majorHAnsi"/>
          <w:bCs/>
        </w:rPr>
        <w:t xml:space="preserve"> called for inter-regional work on the issue of cultural values of wetlands and suggested that </w:t>
      </w:r>
      <w:r>
        <w:rPr>
          <w:rFonts w:asciiTheme="majorHAnsi" w:hAnsiTheme="majorHAnsi"/>
          <w:bCs/>
        </w:rPr>
        <w:t>Contracting Parties</w:t>
      </w:r>
      <w:r w:rsidRPr="00567193">
        <w:rPr>
          <w:rFonts w:asciiTheme="majorHAnsi" w:hAnsiTheme="majorHAnsi"/>
          <w:bCs/>
        </w:rPr>
        <w:t xml:space="preserve"> could identify examples of such values to be used in communications materials associated with COP13.</w:t>
      </w:r>
    </w:p>
    <w:p w14:paraId="6BA7670D" w14:textId="77777777" w:rsidR="00BF15C7" w:rsidRPr="00567193" w:rsidRDefault="00BF15C7" w:rsidP="00BF15C7">
      <w:pPr>
        <w:spacing w:after="0" w:line="240" w:lineRule="auto"/>
        <w:ind w:left="426" w:hanging="426"/>
        <w:rPr>
          <w:rFonts w:asciiTheme="majorHAnsi" w:hAnsiTheme="majorHAnsi"/>
          <w:bCs/>
        </w:rPr>
      </w:pPr>
    </w:p>
    <w:p w14:paraId="10294BF2" w14:textId="77777777" w:rsidR="00BF15C7" w:rsidRPr="00567193" w:rsidRDefault="00BF15C7" w:rsidP="00BF15C7">
      <w:pPr>
        <w:spacing w:after="0" w:line="240" w:lineRule="auto"/>
        <w:ind w:left="426" w:hanging="426"/>
        <w:rPr>
          <w:rFonts w:asciiTheme="majorHAnsi" w:hAnsiTheme="majorHAnsi"/>
          <w:bCs/>
        </w:rPr>
      </w:pPr>
      <w:r w:rsidRPr="00567193">
        <w:rPr>
          <w:rFonts w:asciiTheme="majorHAnsi" w:hAnsiTheme="majorHAnsi"/>
          <w:bCs/>
        </w:rPr>
        <w:lastRenderedPageBreak/>
        <w:t>9</w:t>
      </w:r>
      <w:r>
        <w:rPr>
          <w:rFonts w:asciiTheme="majorHAnsi" w:hAnsiTheme="majorHAnsi"/>
          <w:bCs/>
        </w:rPr>
        <w:t>3</w:t>
      </w:r>
      <w:r w:rsidRPr="00567193">
        <w:rPr>
          <w:rFonts w:asciiTheme="majorHAnsi" w:hAnsiTheme="majorHAnsi"/>
          <w:bCs/>
        </w:rPr>
        <w:t>.</w:t>
      </w:r>
      <w:r w:rsidRPr="00567193">
        <w:rPr>
          <w:rFonts w:asciiTheme="majorHAnsi" w:hAnsiTheme="majorHAnsi"/>
          <w:bCs/>
        </w:rPr>
        <w:tab/>
        <w:t xml:space="preserve">The </w:t>
      </w:r>
      <w:r w:rsidRPr="00567193">
        <w:rPr>
          <w:rFonts w:asciiTheme="majorHAnsi" w:hAnsiTheme="majorHAnsi"/>
          <w:b/>
          <w:bCs/>
        </w:rPr>
        <w:t>Chair</w:t>
      </w:r>
      <w:r w:rsidRPr="00567193">
        <w:rPr>
          <w:rFonts w:asciiTheme="majorHAnsi" w:hAnsiTheme="majorHAnsi"/>
          <w:bCs/>
        </w:rPr>
        <w:t xml:space="preserve"> requested </w:t>
      </w:r>
      <w:r>
        <w:rPr>
          <w:rFonts w:asciiTheme="majorHAnsi" w:hAnsiTheme="majorHAnsi"/>
          <w:bCs/>
        </w:rPr>
        <w:t xml:space="preserve">that </w:t>
      </w:r>
      <w:r w:rsidRPr="00567193">
        <w:rPr>
          <w:rFonts w:asciiTheme="majorHAnsi" w:hAnsiTheme="majorHAnsi"/>
          <w:bCs/>
        </w:rPr>
        <w:t xml:space="preserve">Slovenia work with the sponsors of the draft resolution contained in document Doc. SC54-21.2 and other interested </w:t>
      </w:r>
      <w:r>
        <w:rPr>
          <w:rFonts w:asciiTheme="majorHAnsi" w:hAnsiTheme="majorHAnsi"/>
          <w:bCs/>
        </w:rPr>
        <w:t>Contracting Parties</w:t>
      </w:r>
      <w:r w:rsidRPr="00567193">
        <w:rPr>
          <w:rFonts w:asciiTheme="majorHAnsi" w:hAnsiTheme="majorHAnsi"/>
          <w:bCs/>
        </w:rPr>
        <w:t xml:space="preserve"> to bring forward a specific proposal for further consideration by the Standing Committee.</w:t>
      </w:r>
    </w:p>
    <w:p w14:paraId="1B533DE3" w14:textId="77777777" w:rsidR="00BF15C7" w:rsidRPr="00567193" w:rsidRDefault="00BF15C7" w:rsidP="00BF15C7">
      <w:pPr>
        <w:spacing w:after="0" w:line="240" w:lineRule="auto"/>
        <w:ind w:left="426" w:hanging="426"/>
        <w:rPr>
          <w:rFonts w:asciiTheme="majorHAnsi" w:hAnsiTheme="majorHAnsi"/>
          <w:bCs/>
        </w:rPr>
      </w:pPr>
    </w:p>
    <w:p w14:paraId="6379DF11" w14:textId="77777777" w:rsidR="00BF15C7" w:rsidRPr="00567193" w:rsidRDefault="00BF15C7" w:rsidP="00BF15C7">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cs="Calibri"/>
          <w:bCs/>
        </w:rPr>
      </w:pPr>
      <w:r w:rsidRPr="00567193">
        <w:rPr>
          <w:rFonts w:cs="Calibri"/>
          <w:bCs/>
        </w:rPr>
        <w:t>Agenda item 17. Ramsar Convention Resource Mobilization Work Plan</w:t>
      </w:r>
    </w:p>
    <w:p w14:paraId="556F7274" w14:textId="77777777" w:rsidR="00BF15C7" w:rsidRPr="00567193" w:rsidRDefault="00BF15C7" w:rsidP="00BF15C7">
      <w:pPr>
        <w:spacing w:after="0" w:line="240" w:lineRule="auto"/>
        <w:ind w:left="426" w:hanging="426"/>
        <w:contextualSpacing/>
        <w:rPr>
          <w:rFonts w:cs="Calibri"/>
          <w:bCs/>
        </w:rPr>
      </w:pPr>
    </w:p>
    <w:p w14:paraId="2F86BFD5" w14:textId="77777777" w:rsidR="00BF15C7" w:rsidRPr="00567193" w:rsidRDefault="00BF15C7" w:rsidP="00BF15C7">
      <w:pPr>
        <w:spacing w:after="0" w:line="240" w:lineRule="auto"/>
        <w:ind w:left="426" w:hanging="426"/>
        <w:contextualSpacing/>
        <w:rPr>
          <w:rFonts w:cs="Calibri"/>
          <w:bCs/>
        </w:rPr>
      </w:pPr>
      <w:r w:rsidRPr="00567193">
        <w:rPr>
          <w:rFonts w:cs="Calibri"/>
          <w:bCs/>
        </w:rPr>
        <w:t>9</w:t>
      </w:r>
      <w:r>
        <w:rPr>
          <w:rFonts w:cs="Calibri"/>
          <w:bCs/>
        </w:rPr>
        <w:t>4</w:t>
      </w:r>
      <w:r w:rsidRPr="00567193">
        <w:rPr>
          <w:rFonts w:cs="Calibri"/>
          <w:bCs/>
        </w:rPr>
        <w:t>.</w:t>
      </w:r>
      <w:r w:rsidRPr="00567193">
        <w:rPr>
          <w:rFonts w:cs="Calibri"/>
          <w:bCs/>
        </w:rPr>
        <w:tab/>
        <w:t xml:space="preserve">The </w:t>
      </w:r>
      <w:r w:rsidRPr="00567193">
        <w:rPr>
          <w:rFonts w:cs="Calibri"/>
          <w:b/>
          <w:bCs/>
        </w:rPr>
        <w:t>Chair</w:t>
      </w:r>
      <w:r w:rsidRPr="00567193">
        <w:rPr>
          <w:rFonts w:cs="Calibri"/>
          <w:bCs/>
        </w:rPr>
        <w:t xml:space="preserve"> opened the floor for comments on document Doc. SC54-17 </w:t>
      </w:r>
      <w:r w:rsidRPr="00567193">
        <w:rPr>
          <w:rFonts w:cs="Calibri"/>
          <w:bCs/>
          <w:i/>
        </w:rPr>
        <w:t>Ramsar Convention Resource Mobilization Work Plan</w:t>
      </w:r>
      <w:r w:rsidRPr="00567193">
        <w:rPr>
          <w:rFonts w:cs="Calibri"/>
          <w:bCs/>
        </w:rPr>
        <w:t>. Among points raised were the following:</w:t>
      </w:r>
    </w:p>
    <w:p w14:paraId="5F7A133D" w14:textId="77777777" w:rsidR="00BF15C7" w:rsidRPr="00567193" w:rsidRDefault="00BF15C7" w:rsidP="00BF15C7">
      <w:pPr>
        <w:spacing w:after="0" w:line="240" w:lineRule="auto"/>
        <w:ind w:left="426" w:hanging="426"/>
        <w:contextualSpacing/>
        <w:rPr>
          <w:rFonts w:cs="Calibri"/>
          <w:bCs/>
        </w:rPr>
      </w:pPr>
    </w:p>
    <w:p w14:paraId="6940E23A" w14:textId="77777777" w:rsidR="00BF15C7" w:rsidRDefault="00BF15C7" w:rsidP="00BF15C7">
      <w:pPr>
        <w:pStyle w:val="ListParagraph"/>
        <w:numPr>
          <w:ilvl w:val="0"/>
          <w:numId w:val="11"/>
        </w:numPr>
        <w:spacing w:after="0" w:line="240" w:lineRule="auto"/>
        <w:ind w:left="709" w:hanging="283"/>
        <w:rPr>
          <w:rFonts w:cs="Calibri"/>
          <w:bCs/>
        </w:rPr>
      </w:pPr>
      <w:r w:rsidRPr="00567193">
        <w:rPr>
          <w:rFonts w:cs="Calibri"/>
          <w:bCs/>
        </w:rPr>
        <w:t xml:space="preserve">The non-core budget priorities for the next triennium had yet to be set by </w:t>
      </w:r>
      <w:r>
        <w:rPr>
          <w:rFonts w:cs="Calibri"/>
          <w:bCs/>
        </w:rPr>
        <w:t>Contracting Parties</w:t>
      </w:r>
      <w:r w:rsidRPr="00567193">
        <w:rPr>
          <w:rFonts w:cs="Calibri"/>
          <w:bCs/>
        </w:rPr>
        <w:t xml:space="preserve"> (</w:t>
      </w:r>
      <w:r w:rsidRPr="00567193">
        <w:rPr>
          <w:rFonts w:cs="Calibri"/>
          <w:b/>
          <w:bCs/>
        </w:rPr>
        <w:t>Canada</w:t>
      </w:r>
      <w:r w:rsidRPr="00567193">
        <w:rPr>
          <w:rFonts w:cs="Calibri"/>
          <w:bCs/>
        </w:rPr>
        <w:t xml:space="preserve">, </w:t>
      </w:r>
      <w:r w:rsidRPr="00567193">
        <w:rPr>
          <w:rFonts w:asciiTheme="majorHAnsi" w:hAnsiTheme="majorHAnsi"/>
          <w:b/>
        </w:rPr>
        <w:t>United States of America</w:t>
      </w:r>
      <w:r w:rsidRPr="00567193">
        <w:rPr>
          <w:rFonts w:cs="Calibri"/>
          <w:bCs/>
        </w:rPr>
        <w:t>)</w:t>
      </w:r>
      <w:r>
        <w:rPr>
          <w:rFonts w:cs="Calibri"/>
          <w:bCs/>
        </w:rPr>
        <w:t>.</w:t>
      </w:r>
    </w:p>
    <w:p w14:paraId="7933A774" w14:textId="77777777" w:rsidR="00BF15C7" w:rsidRPr="00567193" w:rsidRDefault="00BF15C7" w:rsidP="00BF15C7">
      <w:pPr>
        <w:pStyle w:val="ListParagraph"/>
        <w:spacing w:after="0" w:line="240" w:lineRule="auto"/>
        <w:ind w:left="709"/>
        <w:rPr>
          <w:rFonts w:cs="Calibri"/>
          <w:bCs/>
        </w:rPr>
      </w:pPr>
    </w:p>
    <w:p w14:paraId="4DAC0BEB" w14:textId="77777777" w:rsidR="00BF15C7" w:rsidRDefault="00BF15C7" w:rsidP="00BF15C7">
      <w:pPr>
        <w:pStyle w:val="ListParagraph"/>
        <w:numPr>
          <w:ilvl w:val="0"/>
          <w:numId w:val="11"/>
        </w:numPr>
        <w:spacing w:after="0" w:line="240" w:lineRule="auto"/>
        <w:ind w:left="709" w:hanging="283"/>
        <w:rPr>
          <w:rFonts w:cs="Calibri"/>
          <w:bCs/>
        </w:rPr>
      </w:pPr>
      <w:r w:rsidRPr="00567193">
        <w:rPr>
          <w:rFonts w:cs="Calibri"/>
          <w:bCs/>
        </w:rPr>
        <w:t>Inclusion of a corresponding draft COP13 resolution would strengthen the document (</w:t>
      </w:r>
      <w:r w:rsidRPr="00567193">
        <w:rPr>
          <w:rFonts w:cs="Calibri"/>
          <w:b/>
          <w:bCs/>
        </w:rPr>
        <w:t>Botswana</w:t>
      </w:r>
      <w:r w:rsidRPr="00567193">
        <w:rPr>
          <w:rFonts w:cs="Calibri"/>
          <w:bCs/>
        </w:rPr>
        <w:t>)</w:t>
      </w:r>
      <w:r>
        <w:rPr>
          <w:rFonts w:cs="Calibri"/>
          <w:bCs/>
        </w:rPr>
        <w:t>.</w:t>
      </w:r>
    </w:p>
    <w:p w14:paraId="5C521D19" w14:textId="77777777" w:rsidR="00BF15C7" w:rsidRPr="00567193" w:rsidRDefault="00BF15C7" w:rsidP="00BF15C7">
      <w:pPr>
        <w:pStyle w:val="ListParagraph"/>
        <w:spacing w:after="0" w:line="240" w:lineRule="auto"/>
        <w:ind w:left="709"/>
        <w:rPr>
          <w:rFonts w:cs="Calibri"/>
          <w:bCs/>
        </w:rPr>
      </w:pPr>
    </w:p>
    <w:p w14:paraId="5533230B" w14:textId="77777777" w:rsidR="00BF15C7" w:rsidRDefault="00BF15C7" w:rsidP="00BF15C7">
      <w:pPr>
        <w:pStyle w:val="ListParagraph"/>
        <w:numPr>
          <w:ilvl w:val="0"/>
          <w:numId w:val="11"/>
        </w:numPr>
        <w:spacing w:after="0" w:line="240" w:lineRule="auto"/>
        <w:ind w:left="709" w:hanging="283"/>
        <w:rPr>
          <w:rFonts w:cs="Calibri"/>
          <w:bCs/>
        </w:rPr>
      </w:pPr>
      <w:r w:rsidRPr="00567193">
        <w:rPr>
          <w:rFonts w:cs="Calibri"/>
          <w:bCs/>
        </w:rPr>
        <w:t>The document required greater depth and detail to be a fully developed resource mobilization strategy and would benefit from taking greater account of previous work undertaken by the Ramsar Secretariat on this topic, the experience of other institutions and fora, as well as post-2020 global goals (</w:t>
      </w:r>
      <w:r w:rsidRPr="00567193">
        <w:rPr>
          <w:rFonts w:cs="Calibri"/>
          <w:b/>
          <w:bCs/>
        </w:rPr>
        <w:t>France</w:t>
      </w:r>
      <w:r w:rsidRPr="00567193">
        <w:rPr>
          <w:rFonts w:cs="Calibri"/>
          <w:bCs/>
        </w:rPr>
        <w:t xml:space="preserve">, </w:t>
      </w:r>
      <w:r w:rsidRPr="00567193">
        <w:rPr>
          <w:rFonts w:cs="Calibri"/>
          <w:b/>
          <w:bCs/>
        </w:rPr>
        <w:t>Senegal</w:t>
      </w:r>
      <w:r w:rsidRPr="00567193">
        <w:rPr>
          <w:rFonts w:cs="Calibri"/>
          <w:bCs/>
        </w:rPr>
        <w:t xml:space="preserve">, </w:t>
      </w:r>
      <w:r w:rsidRPr="00567193">
        <w:rPr>
          <w:rFonts w:cs="Calibri"/>
          <w:b/>
          <w:bCs/>
        </w:rPr>
        <w:t>Switzerland</w:t>
      </w:r>
      <w:r w:rsidRPr="00567193">
        <w:rPr>
          <w:rFonts w:cs="Calibri"/>
          <w:bCs/>
        </w:rPr>
        <w:t>)</w:t>
      </w:r>
      <w:r>
        <w:rPr>
          <w:rFonts w:cs="Calibri"/>
          <w:bCs/>
        </w:rPr>
        <w:t>.</w:t>
      </w:r>
    </w:p>
    <w:p w14:paraId="25D44A78" w14:textId="77777777" w:rsidR="00BF15C7" w:rsidRPr="00567193" w:rsidRDefault="00BF15C7" w:rsidP="00BF15C7">
      <w:pPr>
        <w:pStyle w:val="ListParagraph"/>
        <w:spacing w:after="0" w:line="240" w:lineRule="auto"/>
        <w:ind w:left="709"/>
        <w:rPr>
          <w:rFonts w:cs="Calibri"/>
          <w:bCs/>
        </w:rPr>
      </w:pPr>
    </w:p>
    <w:p w14:paraId="5C399F87" w14:textId="77777777" w:rsidR="00BF15C7" w:rsidRDefault="00BF15C7" w:rsidP="00BF15C7">
      <w:pPr>
        <w:pStyle w:val="ListParagraph"/>
        <w:numPr>
          <w:ilvl w:val="0"/>
          <w:numId w:val="11"/>
        </w:numPr>
        <w:spacing w:after="0" w:line="240" w:lineRule="auto"/>
        <w:ind w:left="709" w:hanging="283"/>
        <w:rPr>
          <w:rFonts w:cs="Calibri"/>
          <w:bCs/>
        </w:rPr>
      </w:pPr>
      <w:r w:rsidRPr="00567193">
        <w:rPr>
          <w:rFonts w:cs="Calibri"/>
          <w:bCs/>
        </w:rPr>
        <w:t>The issue of reputational risk to the Convention should be considered when contemplating engagement with private sector companies (</w:t>
      </w:r>
      <w:r w:rsidRPr="00567193">
        <w:rPr>
          <w:rFonts w:cs="Calibri"/>
          <w:b/>
          <w:bCs/>
        </w:rPr>
        <w:t>France</w:t>
      </w:r>
      <w:r w:rsidRPr="00567193">
        <w:rPr>
          <w:rFonts w:cs="Calibri"/>
          <w:bCs/>
        </w:rPr>
        <w:t>)</w:t>
      </w:r>
      <w:r>
        <w:rPr>
          <w:rFonts w:cs="Calibri"/>
          <w:bCs/>
        </w:rPr>
        <w:t>.</w:t>
      </w:r>
    </w:p>
    <w:p w14:paraId="29A9F841" w14:textId="77777777" w:rsidR="00BF15C7" w:rsidRPr="00567193" w:rsidRDefault="00BF15C7" w:rsidP="00BF15C7">
      <w:pPr>
        <w:pStyle w:val="ListParagraph"/>
        <w:spacing w:after="0" w:line="240" w:lineRule="auto"/>
        <w:ind w:left="709"/>
        <w:rPr>
          <w:rFonts w:cs="Calibri"/>
          <w:bCs/>
        </w:rPr>
      </w:pPr>
    </w:p>
    <w:p w14:paraId="78A592E7" w14:textId="77777777" w:rsidR="00BF15C7" w:rsidRDefault="00BF15C7" w:rsidP="00BF15C7">
      <w:pPr>
        <w:pStyle w:val="ListParagraph"/>
        <w:numPr>
          <w:ilvl w:val="0"/>
          <w:numId w:val="11"/>
        </w:numPr>
        <w:spacing w:after="0" w:line="240" w:lineRule="auto"/>
        <w:ind w:left="709" w:hanging="283"/>
        <w:rPr>
          <w:rFonts w:cs="Calibri"/>
          <w:bCs/>
        </w:rPr>
      </w:pPr>
      <w:r>
        <w:rPr>
          <w:rFonts w:cs="Calibri"/>
          <w:bCs/>
        </w:rPr>
        <w:t>A</w:t>
      </w:r>
      <w:r w:rsidRPr="00567193">
        <w:rPr>
          <w:rFonts w:cs="Calibri"/>
          <w:bCs/>
        </w:rPr>
        <w:t xml:space="preserve"> well-developed resource mobilization strategy </w:t>
      </w:r>
      <w:r>
        <w:rPr>
          <w:rFonts w:cs="Calibri"/>
          <w:bCs/>
        </w:rPr>
        <w:t xml:space="preserve">would be valuable </w:t>
      </w:r>
      <w:r w:rsidRPr="00567193">
        <w:rPr>
          <w:rFonts w:cs="Calibri"/>
          <w:bCs/>
        </w:rPr>
        <w:t xml:space="preserve">for </w:t>
      </w:r>
      <w:r>
        <w:rPr>
          <w:rFonts w:cs="Calibri"/>
          <w:bCs/>
        </w:rPr>
        <w:t>Contracting Parties</w:t>
      </w:r>
      <w:r w:rsidRPr="00567193">
        <w:rPr>
          <w:rFonts w:cs="Calibri"/>
          <w:bCs/>
        </w:rPr>
        <w:t xml:space="preserve"> in Oceania and the Caribbean (</w:t>
      </w:r>
      <w:r w:rsidRPr="00567193">
        <w:rPr>
          <w:rFonts w:cs="Calibri"/>
          <w:b/>
          <w:bCs/>
        </w:rPr>
        <w:t>Australia</w:t>
      </w:r>
      <w:r w:rsidRPr="00567193">
        <w:rPr>
          <w:rFonts w:cs="Calibri"/>
          <w:bCs/>
        </w:rPr>
        <w:t>,</w:t>
      </w:r>
      <w:r w:rsidRPr="00567193">
        <w:rPr>
          <w:rFonts w:cs="Calibri"/>
          <w:b/>
          <w:bCs/>
        </w:rPr>
        <w:t xml:space="preserve"> Cuba</w:t>
      </w:r>
      <w:r w:rsidRPr="00567193">
        <w:rPr>
          <w:rFonts w:cs="Calibri"/>
          <w:bCs/>
        </w:rPr>
        <w:t>)</w:t>
      </w:r>
      <w:r>
        <w:rPr>
          <w:rFonts w:cs="Calibri"/>
          <w:bCs/>
        </w:rPr>
        <w:t>.</w:t>
      </w:r>
    </w:p>
    <w:p w14:paraId="03019817" w14:textId="77777777" w:rsidR="00BF15C7" w:rsidRPr="00567193" w:rsidRDefault="00BF15C7" w:rsidP="00BF15C7">
      <w:pPr>
        <w:pStyle w:val="ListParagraph"/>
        <w:spacing w:after="0" w:line="240" w:lineRule="auto"/>
        <w:ind w:left="709"/>
        <w:rPr>
          <w:rFonts w:cs="Calibri"/>
          <w:bCs/>
        </w:rPr>
      </w:pPr>
    </w:p>
    <w:p w14:paraId="6F345AAF" w14:textId="77777777" w:rsidR="00BF15C7" w:rsidRPr="00567193" w:rsidRDefault="00BF15C7" w:rsidP="00BF15C7">
      <w:pPr>
        <w:pStyle w:val="ListParagraph"/>
        <w:numPr>
          <w:ilvl w:val="0"/>
          <w:numId w:val="11"/>
        </w:numPr>
        <w:spacing w:after="0" w:line="240" w:lineRule="auto"/>
        <w:ind w:left="709" w:hanging="283"/>
        <w:rPr>
          <w:rFonts w:cs="Calibri"/>
          <w:bCs/>
        </w:rPr>
      </w:pPr>
      <w:r>
        <w:rPr>
          <w:rFonts w:cs="Calibri"/>
          <w:bCs/>
        </w:rPr>
        <w:t>R</w:t>
      </w:r>
      <w:r w:rsidRPr="00567193">
        <w:rPr>
          <w:rFonts w:cs="Calibri"/>
          <w:bCs/>
        </w:rPr>
        <w:t xml:space="preserve">esource mobilization opportunities </w:t>
      </w:r>
      <w:r>
        <w:rPr>
          <w:rFonts w:cs="Calibri"/>
          <w:bCs/>
        </w:rPr>
        <w:t xml:space="preserve">would be </w:t>
      </w:r>
      <w:r w:rsidRPr="00567193">
        <w:rPr>
          <w:rFonts w:cs="Calibri"/>
          <w:bCs/>
        </w:rPr>
        <w:t>offered by the 20</w:t>
      </w:r>
      <w:r w:rsidRPr="00F12E86">
        <w:rPr>
          <w:rFonts w:cs="Calibri"/>
          <w:bCs/>
        </w:rPr>
        <w:t>th</w:t>
      </w:r>
      <w:r w:rsidRPr="00567193">
        <w:rPr>
          <w:rFonts w:cs="Calibri"/>
          <w:bCs/>
        </w:rPr>
        <w:t xml:space="preserve"> anniversary of support from the Danone Group in 2018 and the Convention’s 50</w:t>
      </w:r>
      <w:r w:rsidRPr="00F12E86">
        <w:rPr>
          <w:rFonts w:cs="Calibri"/>
          <w:bCs/>
        </w:rPr>
        <w:t>th</w:t>
      </w:r>
      <w:r w:rsidRPr="00567193">
        <w:rPr>
          <w:rFonts w:cs="Calibri"/>
          <w:bCs/>
        </w:rPr>
        <w:t xml:space="preserve"> anniversary in 2021  (</w:t>
      </w:r>
      <w:r w:rsidRPr="00567193">
        <w:rPr>
          <w:rFonts w:cs="Calibri"/>
          <w:b/>
          <w:bCs/>
        </w:rPr>
        <w:t>WWF</w:t>
      </w:r>
      <w:r w:rsidRPr="00567193">
        <w:rPr>
          <w:rFonts w:cs="Calibri"/>
          <w:bCs/>
        </w:rPr>
        <w:t>)</w:t>
      </w:r>
      <w:r>
        <w:rPr>
          <w:rFonts w:cs="Calibri"/>
          <w:bCs/>
        </w:rPr>
        <w:t>.</w:t>
      </w:r>
    </w:p>
    <w:p w14:paraId="4687CB7C" w14:textId="77777777" w:rsidR="00BF15C7" w:rsidRPr="00567193" w:rsidRDefault="00BF15C7" w:rsidP="00BF15C7">
      <w:pPr>
        <w:spacing w:after="0" w:line="240" w:lineRule="auto"/>
        <w:ind w:left="426" w:hanging="426"/>
        <w:contextualSpacing/>
        <w:rPr>
          <w:rFonts w:cs="Calibri"/>
          <w:bCs/>
        </w:rPr>
      </w:pPr>
    </w:p>
    <w:p w14:paraId="629631C8" w14:textId="77777777" w:rsidR="00BF15C7" w:rsidRPr="00567193" w:rsidRDefault="00BF15C7" w:rsidP="00BF15C7">
      <w:pPr>
        <w:spacing w:after="0" w:line="240" w:lineRule="auto"/>
        <w:ind w:left="426" w:hanging="426"/>
        <w:contextualSpacing/>
        <w:rPr>
          <w:rFonts w:cs="Calibri"/>
          <w:bCs/>
        </w:rPr>
      </w:pPr>
      <w:r w:rsidRPr="00567193">
        <w:rPr>
          <w:rFonts w:cs="Calibri"/>
          <w:bCs/>
        </w:rPr>
        <w:t>9</w:t>
      </w:r>
      <w:r>
        <w:rPr>
          <w:rFonts w:cs="Calibri"/>
          <w:bCs/>
        </w:rPr>
        <w:t>5</w:t>
      </w:r>
      <w:r w:rsidRPr="00567193">
        <w:rPr>
          <w:rFonts w:cs="Calibri"/>
          <w:bCs/>
        </w:rPr>
        <w:t>.</w:t>
      </w:r>
      <w:r w:rsidRPr="00567193">
        <w:rPr>
          <w:rFonts w:cs="Calibri"/>
          <w:bCs/>
        </w:rPr>
        <w:tab/>
        <w:t xml:space="preserve">The </w:t>
      </w:r>
      <w:r w:rsidRPr="00567193">
        <w:rPr>
          <w:rFonts w:cs="Calibri"/>
          <w:b/>
          <w:bCs/>
        </w:rPr>
        <w:t>Secretariat</w:t>
      </w:r>
      <w:r w:rsidRPr="00567193">
        <w:rPr>
          <w:rFonts w:cs="Calibri"/>
          <w:bCs/>
        </w:rPr>
        <w:t xml:space="preserve"> responded to the comments of </w:t>
      </w:r>
      <w:r>
        <w:rPr>
          <w:rFonts w:cs="Calibri"/>
          <w:bCs/>
        </w:rPr>
        <w:t>Contracting Parties</w:t>
      </w:r>
      <w:r w:rsidRPr="00567193">
        <w:rPr>
          <w:rFonts w:cs="Calibri"/>
          <w:bCs/>
        </w:rPr>
        <w:t>, clarifying that the document under di</w:t>
      </w:r>
      <w:r>
        <w:rPr>
          <w:rFonts w:cs="Calibri"/>
          <w:bCs/>
        </w:rPr>
        <w:t>scussion was a Secretariat work</w:t>
      </w:r>
      <w:r w:rsidRPr="00567193">
        <w:rPr>
          <w:rFonts w:cs="Calibri"/>
          <w:bCs/>
        </w:rPr>
        <w:t xml:space="preserve">plan for the remaining months of the current triennium. Previous Secretariat documents dealing with resource mobilization had been consulted and the experience of others would certainly be valuable in developing plans beyond COP13. It was acknowledged that detailed work would need to await priorities to be established by </w:t>
      </w:r>
      <w:r>
        <w:rPr>
          <w:rFonts w:cs="Calibri"/>
          <w:bCs/>
        </w:rPr>
        <w:t>Contracting Parties</w:t>
      </w:r>
      <w:r w:rsidRPr="00567193">
        <w:rPr>
          <w:rFonts w:cs="Calibri"/>
          <w:bCs/>
        </w:rPr>
        <w:t xml:space="preserve"> at COP</w:t>
      </w:r>
      <w:r>
        <w:rPr>
          <w:rFonts w:cs="Calibri"/>
          <w:bCs/>
        </w:rPr>
        <w:t>13</w:t>
      </w:r>
      <w:r w:rsidRPr="00567193">
        <w:rPr>
          <w:rFonts w:cs="Calibri"/>
          <w:bCs/>
        </w:rPr>
        <w:t>, but this should</w:t>
      </w:r>
      <w:r>
        <w:rPr>
          <w:rFonts w:cs="Calibri"/>
          <w:bCs/>
        </w:rPr>
        <w:t xml:space="preserve"> not</w:t>
      </w:r>
      <w:r w:rsidRPr="00567193">
        <w:rPr>
          <w:rFonts w:cs="Calibri"/>
          <w:bCs/>
        </w:rPr>
        <w:t xml:space="preserve"> preclude preparatory work being undertaken on the basis of anticipated resource needs, such as for delegate travel, Ramsar Advisory Missions or CEPA.</w:t>
      </w:r>
    </w:p>
    <w:p w14:paraId="3700A86A" w14:textId="77777777" w:rsidR="00BF15C7" w:rsidRPr="00567193" w:rsidRDefault="00BF15C7" w:rsidP="00BF15C7">
      <w:pPr>
        <w:spacing w:after="0" w:line="240" w:lineRule="auto"/>
        <w:ind w:left="426" w:hanging="426"/>
        <w:contextualSpacing/>
        <w:rPr>
          <w:rFonts w:cs="Calibri"/>
          <w:bCs/>
        </w:rPr>
      </w:pPr>
    </w:p>
    <w:p w14:paraId="2F49AD6C" w14:textId="77777777" w:rsidR="00BF15C7" w:rsidRPr="00567193" w:rsidRDefault="00BF15C7" w:rsidP="00BF15C7">
      <w:pPr>
        <w:spacing w:after="0" w:line="240" w:lineRule="auto"/>
        <w:ind w:left="426" w:hanging="426"/>
        <w:contextualSpacing/>
        <w:rPr>
          <w:rFonts w:cs="Calibri"/>
          <w:bCs/>
        </w:rPr>
      </w:pPr>
      <w:r w:rsidRPr="00567193">
        <w:rPr>
          <w:rFonts w:cs="Calibri"/>
          <w:bCs/>
        </w:rPr>
        <w:t>9</w:t>
      </w:r>
      <w:r>
        <w:rPr>
          <w:rFonts w:cs="Calibri"/>
          <w:bCs/>
        </w:rPr>
        <w:t>6</w:t>
      </w:r>
      <w:r w:rsidRPr="00567193">
        <w:rPr>
          <w:rFonts w:cs="Calibri"/>
          <w:bCs/>
        </w:rPr>
        <w:t>.</w:t>
      </w:r>
      <w:r w:rsidRPr="00567193">
        <w:rPr>
          <w:rFonts w:cs="Calibri"/>
          <w:bCs/>
        </w:rPr>
        <w:tab/>
        <w:t xml:space="preserve">The Chair concluded that the Secretariat had taken note of all of the comments made and would prepare an updated version, reflecting the decisions of COP13, for consideration </w:t>
      </w:r>
      <w:r>
        <w:rPr>
          <w:rFonts w:cs="Calibri"/>
          <w:bCs/>
        </w:rPr>
        <w:t>at</w:t>
      </w:r>
      <w:r w:rsidRPr="00567193">
        <w:rPr>
          <w:rFonts w:cs="Calibri"/>
          <w:bCs/>
        </w:rPr>
        <w:t xml:space="preserve"> SC57.</w:t>
      </w:r>
    </w:p>
    <w:p w14:paraId="388EC394" w14:textId="77777777" w:rsidR="00BF15C7" w:rsidRPr="00567193" w:rsidRDefault="00BF15C7" w:rsidP="00BF15C7">
      <w:pPr>
        <w:spacing w:after="0" w:line="240" w:lineRule="auto"/>
        <w:ind w:left="426" w:hanging="426"/>
        <w:contextualSpacing/>
        <w:rPr>
          <w:rFonts w:cs="Calibri"/>
          <w:bCs/>
        </w:rPr>
      </w:pPr>
    </w:p>
    <w:p w14:paraId="57F1D935" w14:textId="77777777" w:rsidR="00BF15C7" w:rsidRPr="00567193" w:rsidRDefault="00BF15C7" w:rsidP="00BF15C7">
      <w:pPr>
        <w:spacing w:after="0" w:line="240" w:lineRule="auto"/>
        <w:rPr>
          <w:rFonts w:asciiTheme="majorHAnsi" w:hAnsiTheme="majorHAnsi"/>
          <w:b/>
          <w:bCs/>
        </w:rPr>
      </w:pPr>
      <w:r w:rsidRPr="00567193">
        <w:rPr>
          <w:rFonts w:asciiTheme="majorHAnsi" w:hAnsiTheme="majorHAnsi"/>
          <w:b/>
          <w:bCs/>
        </w:rPr>
        <w:t>Decision SC54-0</w:t>
      </w:r>
      <w:r>
        <w:rPr>
          <w:rFonts w:asciiTheme="majorHAnsi" w:hAnsiTheme="majorHAnsi"/>
          <w:b/>
          <w:bCs/>
        </w:rPr>
        <w:t>5:</w:t>
      </w:r>
      <w:r w:rsidRPr="00567193">
        <w:rPr>
          <w:rFonts w:asciiTheme="majorHAnsi" w:hAnsiTheme="majorHAnsi"/>
          <w:b/>
          <w:bCs/>
        </w:rPr>
        <w:t xml:space="preserve"> The Standing Committee noted the Resource Mobilization Work Plan and confirmed that it should be further developed by the Secretariat, taking the Standing Committee’s comments and COP13 decisions into account, and a revised tex</w:t>
      </w:r>
      <w:r>
        <w:rPr>
          <w:rFonts w:asciiTheme="majorHAnsi" w:hAnsiTheme="majorHAnsi"/>
          <w:b/>
          <w:bCs/>
        </w:rPr>
        <w:t>t tabled for consideration by S</w:t>
      </w:r>
      <w:r w:rsidRPr="00567193">
        <w:rPr>
          <w:rFonts w:asciiTheme="majorHAnsi" w:hAnsiTheme="majorHAnsi"/>
          <w:b/>
          <w:bCs/>
        </w:rPr>
        <w:t>C57.</w:t>
      </w:r>
    </w:p>
    <w:p w14:paraId="7426BB4A" w14:textId="77777777" w:rsidR="00BF15C7" w:rsidRPr="00567193" w:rsidRDefault="00BF15C7" w:rsidP="00BF15C7">
      <w:pPr>
        <w:spacing w:after="0" w:line="240" w:lineRule="auto"/>
        <w:ind w:left="426" w:hanging="426"/>
        <w:contextualSpacing/>
        <w:rPr>
          <w:rFonts w:cs="Calibri"/>
          <w:bCs/>
        </w:rPr>
      </w:pPr>
    </w:p>
    <w:p w14:paraId="0CEBFB73" w14:textId="77777777" w:rsidR="00BF15C7" w:rsidRPr="00567193" w:rsidRDefault="00BF15C7" w:rsidP="00A3523F">
      <w:pPr>
        <w:keepNext/>
        <w:pBdr>
          <w:top w:val="single" w:sz="4" w:space="3" w:color="auto"/>
          <w:left w:val="single" w:sz="4" w:space="4" w:color="auto"/>
          <w:bottom w:val="single" w:sz="4" w:space="3" w:color="auto"/>
          <w:right w:val="single" w:sz="4" w:space="4" w:color="auto"/>
        </w:pBdr>
        <w:spacing w:after="0" w:line="240" w:lineRule="auto"/>
        <w:ind w:left="425" w:hanging="425"/>
        <w:contextualSpacing/>
        <w:rPr>
          <w:rFonts w:cs="Calibri"/>
          <w:bCs/>
        </w:rPr>
      </w:pPr>
      <w:r w:rsidRPr="00567193">
        <w:rPr>
          <w:rFonts w:cs="Calibri"/>
          <w:bCs/>
        </w:rPr>
        <w:lastRenderedPageBreak/>
        <w:t>Agenda item 20. Ramsar Regional Initiatives</w:t>
      </w:r>
    </w:p>
    <w:p w14:paraId="541A1E1A" w14:textId="77777777" w:rsidR="00BF15C7" w:rsidRPr="00567193" w:rsidRDefault="00BF15C7" w:rsidP="00A3523F">
      <w:pPr>
        <w:keepNext/>
        <w:pBdr>
          <w:top w:val="single" w:sz="4" w:space="3" w:color="auto"/>
          <w:left w:val="single" w:sz="4" w:space="4" w:color="auto"/>
          <w:bottom w:val="single" w:sz="4" w:space="3" w:color="auto"/>
          <w:right w:val="single" w:sz="4" w:space="4" w:color="auto"/>
        </w:pBdr>
        <w:spacing w:after="0" w:line="240" w:lineRule="auto"/>
        <w:ind w:left="425" w:hanging="425"/>
        <w:contextualSpacing/>
        <w:rPr>
          <w:rFonts w:cs="Calibri"/>
          <w:bCs/>
        </w:rPr>
      </w:pPr>
    </w:p>
    <w:p w14:paraId="0901B58C" w14:textId="77777777" w:rsidR="00BF15C7" w:rsidRPr="00567193" w:rsidRDefault="00BF15C7" w:rsidP="00A3523F">
      <w:pPr>
        <w:keepNext/>
        <w:pBdr>
          <w:top w:val="single" w:sz="4" w:space="3" w:color="auto"/>
          <w:left w:val="single" w:sz="4" w:space="4" w:color="auto"/>
          <w:bottom w:val="single" w:sz="4" w:space="3" w:color="auto"/>
          <w:right w:val="single" w:sz="4" w:space="4" w:color="auto"/>
        </w:pBdr>
        <w:spacing w:after="0" w:line="240" w:lineRule="auto"/>
        <w:ind w:left="425" w:hanging="425"/>
        <w:contextualSpacing/>
        <w:rPr>
          <w:rFonts w:cs="Calibri"/>
          <w:bCs/>
        </w:rPr>
      </w:pPr>
      <w:r w:rsidRPr="00567193">
        <w:rPr>
          <w:rFonts w:cs="Calibri"/>
          <w:bCs/>
        </w:rPr>
        <w:t>20.1 Update for 2018</w:t>
      </w:r>
    </w:p>
    <w:p w14:paraId="219E7721" w14:textId="77777777" w:rsidR="00BF15C7" w:rsidRPr="00567193" w:rsidRDefault="00BF15C7" w:rsidP="00A3523F">
      <w:pPr>
        <w:keepNext/>
        <w:spacing w:after="0" w:line="240" w:lineRule="auto"/>
        <w:ind w:left="425" w:hanging="425"/>
        <w:contextualSpacing/>
        <w:rPr>
          <w:rFonts w:cs="Calibri"/>
          <w:bCs/>
        </w:rPr>
      </w:pPr>
    </w:p>
    <w:p w14:paraId="574CFA77" w14:textId="77777777" w:rsidR="00BF15C7" w:rsidRPr="00567193" w:rsidRDefault="00BF15C7" w:rsidP="00BF15C7">
      <w:pPr>
        <w:spacing w:after="0" w:line="240" w:lineRule="auto"/>
        <w:ind w:left="426" w:hanging="426"/>
        <w:contextualSpacing/>
        <w:rPr>
          <w:rFonts w:cs="Calibri"/>
          <w:bCs/>
        </w:rPr>
      </w:pPr>
      <w:r w:rsidRPr="00567193">
        <w:rPr>
          <w:rFonts w:cs="Calibri"/>
          <w:bCs/>
        </w:rPr>
        <w:t>9</w:t>
      </w:r>
      <w:r>
        <w:rPr>
          <w:rFonts w:cs="Calibri"/>
          <w:bCs/>
        </w:rPr>
        <w:t>7</w:t>
      </w:r>
      <w:r w:rsidRPr="00567193">
        <w:rPr>
          <w:rFonts w:cs="Calibri"/>
          <w:bCs/>
        </w:rPr>
        <w:t>.</w:t>
      </w:r>
      <w:r w:rsidRPr="00567193">
        <w:rPr>
          <w:rFonts w:cs="Calibri"/>
          <w:bCs/>
        </w:rPr>
        <w:tab/>
        <w:t xml:space="preserve">The Chair opened the floor to comments on document Doc. SC54-20.1 </w:t>
      </w:r>
      <w:r w:rsidRPr="00567193">
        <w:rPr>
          <w:rFonts w:asciiTheme="majorHAnsi" w:eastAsia="Times New Roman" w:hAnsiTheme="majorHAnsi" w:cstheme="majorHAnsi"/>
          <w:bCs/>
          <w:i/>
        </w:rPr>
        <w:t>Ramsar Regional Initiatives – Update for 2018</w:t>
      </w:r>
      <w:r w:rsidRPr="00567193">
        <w:rPr>
          <w:rFonts w:asciiTheme="majorHAnsi" w:eastAsia="Times New Roman" w:hAnsiTheme="majorHAnsi" w:cstheme="majorHAnsi"/>
          <w:bCs/>
        </w:rPr>
        <w:t>.</w:t>
      </w:r>
    </w:p>
    <w:p w14:paraId="3F317A07" w14:textId="77777777" w:rsidR="00BF15C7" w:rsidRPr="00567193" w:rsidRDefault="00BF15C7" w:rsidP="00BF15C7">
      <w:pPr>
        <w:autoSpaceDE w:val="0"/>
        <w:autoSpaceDN w:val="0"/>
        <w:adjustRightInd w:val="0"/>
        <w:spacing w:after="0" w:line="240" w:lineRule="auto"/>
        <w:ind w:left="426" w:hanging="426"/>
        <w:jc w:val="both"/>
        <w:rPr>
          <w:rFonts w:cs="Calibri"/>
          <w:bCs/>
        </w:rPr>
      </w:pPr>
    </w:p>
    <w:p w14:paraId="68232D5E" w14:textId="77777777" w:rsidR="00BF15C7" w:rsidRPr="00567193" w:rsidRDefault="00BF15C7" w:rsidP="00BF15C7">
      <w:pPr>
        <w:autoSpaceDE w:val="0"/>
        <w:autoSpaceDN w:val="0"/>
        <w:adjustRightInd w:val="0"/>
        <w:spacing w:after="0" w:line="240" w:lineRule="auto"/>
        <w:ind w:left="426" w:hanging="426"/>
        <w:rPr>
          <w:rFonts w:cs="Calibri"/>
          <w:bCs/>
        </w:rPr>
      </w:pPr>
      <w:r w:rsidRPr="00567193">
        <w:rPr>
          <w:rFonts w:cs="Calibri"/>
          <w:bCs/>
        </w:rPr>
        <w:t>9</w:t>
      </w:r>
      <w:r>
        <w:rPr>
          <w:rFonts w:cs="Calibri"/>
          <w:bCs/>
        </w:rPr>
        <w:t>8</w:t>
      </w:r>
      <w:r w:rsidRPr="00567193">
        <w:rPr>
          <w:rFonts w:cs="Calibri"/>
          <w:bCs/>
        </w:rPr>
        <w:t>.</w:t>
      </w:r>
      <w:r w:rsidRPr="00567193">
        <w:rPr>
          <w:rFonts w:cs="Calibri"/>
          <w:bCs/>
        </w:rPr>
        <w:tab/>
      </w:r>
      <w:r w:rsidRPr="00567193">
        <w:rPr>
          <w:rFonts w:cs="Calibri"/>
          <w:b/>
          <w:bCs/>
        </w:rPr>
        <w:t>Seychelles</w:t>
      </w:r>
      <w:r w:rsidRPr="00567193">
        <w:rPr>
          <w:rFonts w:cs="Calibri"/>
          <w:bCs/>
        </w:rPr>
        <w:t xml:space="preserve"> recorded its thanks for support received from the Africa regional team especially in relation to the pre-COP regional meeting</w:t>
      </w:r>
      <w:r>
        <w:rPr>
          <w:rFonts w:cs="Calibri"/>
          <w:bCs/>
        </w:rPr>
        <w:t>.</w:t>
      </w:r>
    </w:p>
    <w:p w14:paraId="28904C49" w14:textId="77777777" w:rsidR="00BF15C7" w:rsidRPr="00567193" w:rsidRDefault="00BF15C7" w:rsidP="00BF15C7">
      <w:pPr>
        <w:autoSpaceDE w:val="0"/>
        <w:autoSpaceDN w:val="0"/>
        <w:adjustRightInd w:val="0"/>
        <w:spacing w:after="0" w:line="240" w:lineRule="auto"/>
        <w:ind w:left="426" w:hanging="426"/>
        <w:rPr>
          <w:rFonts w:cs="Calibri"/>
          <w:bCs/>
        </w:rPr>
      </w:pPr>
    </w:p>
    <w:p w14:paraId="42CB5DE4" w14:textId="77777777" w:rsidR="00BF15C7" w:rsidRPr="00567193" w:rsidRDefault="00BF15C7" w:rsidP="00BF15C7">
      <w:pPr>
        <w:autoSpaceDE w:val="0"/>
        <w:autoSpaceDN w:val="0"/>
        <w:adjustRightInd w:val="0"/>
        <w:spacing w:after="0" w:line="240" w:lineRule="auto"/>
        <w:ind w:left="426" w:hanging="426"/>
        <w:rPr>
          <w:rFonts w:cs="Calibri"/>
          <w:bCs/>
        </w:rPr>
      </w:pPr>
      <w:r w:rsidRPr="00567193">
        <w:rPr>
          <w:rFonts w:cs="Calibri"/>
          <w:bCs/>
        </w:rPr>
        <w:t>9</w:t>
      </w:r>
      <w:r>
        <w:rPr>
          <w:rFonts w:cs="Calibri"/>
          <w:bCs/>
        </w:rPr>
        <w:t>9</w:t>
      </w:r>
      <w:r w:rsidRPr="00567193">
        <w:rPr>
          <w:rFonts w:cs="Calibri"/>
          <w:bCs/>
        </w:rPr>
        <w:t>.</w:t>
      </w:r>
      <w:r w:rsidRPr="00567193">
        <w:rPr>
          <w:rFonts w:cs="Calibri"/>
          <w:bCs/>
        </w:rPr>
        <w:tab/>
        <w:t xml:space="preserve">The </w:t>
      </w:r>
      <w:r w:rsidRPr="00567193">
        <w:rPr>
          <w:rFonts w:cs="Calibri"/>
          <w:b/>
          <w:bCs/>
        </w:rPr>
        <w:t>Secretary General</w:t>
      </w:r>
      <w:r w:rsidRPr="00567193">
        <w:rPr>
          <w:rFonts w:cs="Calibri"/>
          <w:bCs/>
        </w:rPr>
        <w:t xml:space="preserve"> noted that the Standing Committee was invited to allocate start-up funds for the four newly established Ramsar Regional Initiatives</w:t>
      </w:r>
      <w:r>
        <w:rPr>
          <w:rFonts w:cs="Calibri"/>
          <w:bCs/>
        </w:rPr>
        <w:t>, and that this would be considered by the Subgroup on Finance</w:t>
      </w:r>
      <w:r w:rsidRPr="00567193">
        <w:rPr>
          <w:rFonts w:cs="Calibri"/>
          <w:bCs/>
        </w:rPr>
        <w:t>.</w:t>
      </w:r>
    </w:p>
    <w:p w14:paraId="0EDDD7B6" w14:textId="77777777" w:rsidR="00BF15C7" w:rsidRPr="00567193" w:rsidRDefault="00BF15C7" w:rsidP="00BF15C7">
      <w:pPr>
        <w:autoSpaceDE w:val="0"/>
        <w:autoSpaceDN w:val="0"/>
        <w:adjustRightInd w:val="0"/>
        <w:spacing w:after="0" w:line="240" w:lineRule="auto"/>
        <w:ind w:left="426" w:hanging="426"/>
        <w:jc w:val="both"/>
        <w:rPr>
          <w:rFonts w:cs="Calibri"/>
          <w:bCs/>
        </w:rPr>
      </w:pPr>
    </w:p>
    <w:p w14:paraId="6FA91976" w14:textId="77777777" w:rsidR="00BF15C7" w:rsidRPr="00567193" w:rsidRDefault="00BF15C7" w:rsidP="00BF15C7">
      <w:pPr>
        <w:autoSpaceDE w:val="0"/>
        <w:autoSpaceDN w:val="0"/>
        <w:adjustRightInd w:val="0"/>
        <w:spacing w:after="0" w:line="240" w:lineRule="auto"/>
        <w:ind w:left="426" w:hanging="426"/>
        <w:rPr>
          <w:rFonts w:cs="Calibri"/>
          <w:bCs/>
        </w:rPr>
      </w:pPr>
      <w:r>
        <w:rPr>
          <w:rFonts w:cs="Calibri"/>
          <w:bCs/>
        </w:rPr>
        <w:t>100</w:t>
      </w:r>
      <w:r w:rsidRPr="00567193">
        <w:rPr>
          <w:rFonts w:cs="Calibri"/>
          <w:bCs/>
        </w:rPr>
        <w:t>.</w:t>
      </w:r>
      <w:r w:rsidRPr="00567193">
        <w:rPr>
          <w:rFonts w:cs="Calibri"/>
          <w:bCs/>
        </w:rPr>
        <w:tab/>
      </w:r>
      <w:r>
        <w:rPr>
          <w:rFonts w:cs="Calibri"/>
          <w:bCs/>
        </w:rPr>
        <w:t xml:space="preserve">The </w:t>
      </w:r>
      <w:r w:rsidRPr="0043615A">
        <w:rPr>
          <w:rFonts w:cs="Calibri"/>
          <w:b/>
          <w:bCs/>
        </w:rPr>
        <w:t>Chair</w:t>
      </w:r>
      <w:r>
        <w:rPr>
          <w:rFonts w:cs="Calibri"/>
          <w:bCs/>
        </w:rPr>
        <w:t xml:space="preserve"> requested that the Standing Committee make a decision on this allocation following the final </w:t>
      </w:r>
      <w:r w:rsidRPr="0043615A">
        <w:t>report of the Subgroup on Finance</w:t>
      </w:r>
      <w:r w:rsidRPr="00567193">
        <w:rPr>
          <w:rFonts w:cs="Calibri"/>
          <w:bCs/>
        </w:rPr>
        <w:t>.</w:t>
      </w:r>
    </w:p>
    <w:p w14:paraId="4542B47C" w14:textId="082C45B1" w:rsidR="00BF15C7" w:rsidRPr="00567193" w:rsidRDefault="00556A74" w:rsidP="00556A74">
      <w:pPr>
        <w:tabs>
          <w:tab w:val="left" w:pos="2684"/>
        </w:tabs>
        <w:autoSpaceDE w:val="0"/>
        <w:autoSpaceDN w:val="0"/>
        <w:adjustRightInd w:val="0"/>
        <w:spacing w:after="0" w:line="240" w:lineRule="auto"/>
        <w:ind w:left="426" w:hanging="426"/>
        <w:jc w:val="both"/>
        <w:rPr>
          <w:rFonts w:cs="Calibri"/>
          <w:bCs/>
        </w:rPr>
      </w:pPr>
      <w:r>
        <w:rPr>
          <w:rFonts w:cs="Calibri"/>
          <w:bCs/>
        </w:rPr>
        <w:tab/>
      </w:r>
      <w:r>
        <w:rPr>
          <w:rFonts w:cs="Calibri"/>
          <w:bCs/>
        </w:rPr>
        <w:tab/>
      </w:r>
    </w:p>
    <w:p w14:paraId="2B12D330" w14:textId="77777777" w:rsidR="00BF15C7" w:rsidRPr="00567193" w:rsidRDefault="00BF15C7" w:rsidP="00BF15C7">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cs="Calibri"/>
          <w:bCs/>
        </w:rPr>
      </w:pPr>
      <w:r w:rsidRPr="00567193">
        <w:rPr>
          <w:rFonts w:cs="Calibri"/>
          <w:bCs/>
        </w:rPr>
        <w:t>20.2 Draft resolution for 2019-2021 and operational framework</w:t>
      </w:r>
    </w:p>
    <w:p w14:paraId="0C3C9F9F" w14:textId="77777777" w:rsidR="00BF15C7" w:rsidRPr="00567193" w:rsidRDefault="00BF15C7" w:rsidP="00BF15C7">
      <w:pPr>
        <w:spacing w:after="0" w:line="240" w:lineRule="auto"/>
        <w:ind w:left="426" w:hanging="426"/>
        <w:contextualSpacing/>
        <w:rPr>
          <w:rFonts w:cs="Calibri"/>
          <w:bCs/>
        </w:rPr>
      </w:pPr>
    </w:p>
    <w:p w14:paraId="0CC45FAC" w14:textId="668B56C0" w:rsidR="00BF15C7" w:rsidRPr="00567193" w:rsidRDefault="00BF15C7" w:rsidP="00BF15C7">
      <w:pPr>
        <w:spacing w:after="0" w:line="240" w:lineRule="auto"/>
        <w:ind w:left="426" w:hanging="426"/>
        <w:contextualSpacing/>
        <w:rPr>
          <w:rFonts w:cs="Calibri"/>
          <w:bCs/>
        </w:rPr>
      </w:pPr>
      <w:r w:rsidRPr="00567193">
        <w:rPr>
          <w:rFonts w:cs="Calibri"/>
          <w:bCs/>
        </w:rPr>
        <w:t>10</w:t>
      </w:r>
      <w:r>
        <w:rPr>
          <w:rFonts w:cs="Calibri"/>
          <w:bCs/>
        </w:rPr>
        <w:t>1</w:t>
      </w:r>
      <w:r w:rsidRPr="00567193">
        <w:rPr>
          <w:rFonts w:cs="Calibri"/>
          <w:bCs/>
        </w:rPr>
        <w:t>.</w:t>
      </w:r>
      <w:r w:rsidRPr="00567193">
        <w:rPr>
          <w:rFonts w:cs="Calibri"/>
          <w:bCs/>
        </w:rPr>
        <w:tab/>
        <w:t xml:space="preserve">The Chair opened the floor to comments on document Doc. SC54.20.2 </w:t>
      </w:r>
      <w:r w:rsidR="00556A74" w:rsidRPr="00556A74">
        <w:rPr>
          <w:i/>
        </w:rPr>
        <w:t>Ramsar Regional Initiatives</w:t>
      </w:r>
      <w:r w:rsidR="00556A74">
        <w:rPr>
          <w:i/>
        </w:rPr>
        <w:t xml:space="preserve"> – </w:t>
      </w:r>
      <w:r w:rsidR="00556A74" w:rsidRPr="00556A74">
        <w:rPr>
          <w:i/>
        </w:rPr>
        <w:t>Draft resolution for 2019-2021 and operational framework</w:t>
      </w:r>
      <w:r w:rsidRPr="00567193">
        <w:t>.</w:t>
      </w:r>
    </w:p>
    <w:p w14:paraId="6496F2D8" w14:textId="77777777" w:rsidR="00BF15C7" w:rsidRPr="00567193" w:rsidRDefault="00BF15C7" w:rsidP="00BF15C7">
      <w:pPr>
        <w:autoSpaceDE w:val="0"/>
        <w:autoSpaceDN w:val="0"/>
        <w:adjustRightInd w:val="0"/>
        <w:spacing w:after="0" w:line="240" w:lineRule="auto"/>
        <w:ind w:left="426" w:hanging="426"/>
        <w:jc w:val="both"/>
        <w:rPr>
          <w:rFonts w:cs="Calibri"/>
          <w:bCs/>
        </w:rPr>
      </w:pPr>
    </w:p>
    <w:p w14:paraId="0DEF2C80" w14:textId="77777777" w:rsidR="00BF15C7" w:rsidRPr="00567193" w:rsidRDefault="00BF15C7" w:rsidP="00BF15C7">
      <w:pPr>
        <w:autoSpaceDE w:val="0"/>
        <w:autoSpaceDN w:val="0"/>
        <w:adjustRightInd w:val="0"/>
        <w:spacing w:after="0" w:line="240" w:lineRule="auto"/>
        <w:ind w:left="426" w:hanging="426"/>
        <w:jc w:val="both"/>
        <w:rPr>
          <w:rFonts w:cs="Calibri"/>
          <w:bCs/>
        </w:rPr>
      </w:pPr>
      <w:r w:rsidRPr="00567193">
        <w:rPr>
          <w:rFonts w:cs="Calibri"/>
          <w:bCs/>
        </w:rPr>
        <w:t>10</w:t>
      </w:r>
      <w:r>
        <w:rPr>
          <w:rFonts w:cs="Calibri"/>
          <w:bCs/>
        </w:rPr>
        <w:t>2</w:t>
      </w:r>
      <w:r w:rsidRPr="00567193">
        <w:rPr>
          <w:rFonts w:cs="Calibri"/>
          <w:bCs/>
        </w:rPr>
        <w:t>.</w:t>
      </w:r>
      <w:r w:rsidRPr="00567193">
        <w:rPr>
          <w:rFonts w:cs="Calibri"/>
          <w:bCs/>
        </w:rPr>
        <w:tab/>
        <w:t xml:space="preserve">Specific comments and proposed amendments were tabled by </w:t>
      </w:r>
      <w:r w:rsidRPr="00567193">
        <w:rPr>
          <w:rFonts w:cs="Calibri"/>
          <w:b/>
          <w:bCs/>
        </w:rPr>
        <w:t>Canada</w:t>
      </w:r>
      <w:r w:rsidRPr="00567193">
        <w:rPr>
          <w:rFonts w:cs="Calibri"/>
          <w:bCs/>
        </w:rPr>
        <w:t xml:space="preserve">, </w:t>
      </w:r>
      <w:r w:rsidRPr="00567193">
        <w:rPr>
          <w:rFonts w:cs="Calibri"/>
          <w:b/>
          <w:bCs/>
        </w:rPr>
        <w:t>China</w:t>
      </w:r>
      <w:r w:rsidRPr="00567193">
        <w:rPr>
          <w:rFonts w:cs="Calibri"/>
          <w:bCs/>
        </w:rPr>
        <w:t xml:space="preserve">, </w:t>
      </w:r>
      <w:r w:rsidRPr="00567193">
        <w:rPr>
          <w:rFonts w:cs="Calibri"/>
          <w:b/>
          <w:bCs/>
        </w:rPr>
        <w:t>Colombia</w:t>
      </w:r>
      <w:r w:rsidRPr="00567193">
        <w:rPr>
          <w:rFonts w:cs="Calibri"/>
          <w:bCs/>
        </w:rPr>
        <w:t xml:space="preserve">, </w:t>
      </w:r>
      <w:r w:rsidRPr="00567193">
        <w:rPr>
          <w:rFonts w:cs="Calibri"/>
          <w:b/>
          <w:bCs/>
        </w:rPr>
        <w:t>Cuba</w:t>
      </w:r>
      <w:r w:rsidRPr="00567193">
        <w:rPr>
          <w:rFonts w:cs="Calibri"/>
          <w:bCs/>
        </w:rPr>
        <w:t xml:space="preserve">, </w:t>
      </w:r>
      <w:r w:rsidRPr="00567193">
        <w:rPr>
          <w:rFonts w:cs="Calibri"/>
          <w:b/>
          <w:bCs/>
        </w:rPr>
        <w:t>France</w:t>
      </w:r>
      <w:r w:rsidRPr="00567193">
        <w:rPr>
          <w:rFonts w:cs="Calibri"/>
          <w:bCs/>
        </w:rPr>
        <w:t xml:space="preserve">, </w:t>
      </w:r>
      <w:r w:rsidRPr="00567193">
        <w:rPr>
          <w:rFonts w:cs="Calibri"/>
          <w:b/>
          <w:bCs/>
        </w:rPr>
        <w:t>Republic of Korea</w:t>
      </w:r>
      <w:r w:rsidRPr="00567193">
        <w:rPr>
          <w:rFonts w:cs="Calibri"/>
          <w:bCs/>
        </w:rPr>
        <w:t xml:space="preserve">, </w:t>
      </w:r>
      <w:r w:rsidRPr="00567193">
        <w:rPr>
          <w:rFonts w:cs="Calibri"/>
          <w:b/>
          <w:bCs/>
        </w:rPr>
        <w:t>Senegal</w:t>
      </w:r>
      <w:r w:rsidRPr="00567193">
        <w:rPr>
          <w:rFonts w:cs="Calibri"/>
          <w:bCs/>
        </w:rPr>
        <w:t xml:space="preserve">, </w:t>
      </w:r>
      <w:r w:rsidRPr="00567193">
        <w:rPr>
          <w:rFonts w:cs="Calibri"/>
          <w:b/>
          <w:bCs/>
        </w:rPr>
        <w:t>Sweden</w:t>
      </w:r>
      <w:r w:rsidRPr="00567193">
        <w:rPr>
          <w:rFonts w:cs="Calibri"/>
          <w:bCs/>
        </w:rPr>
        <w:t xml:space="preserve"> on behalf of the European region, </w:t>
      </w:r>
      <w:r w:rsidRPr="00567193">
        <w:rPr>
          <w:rFonts w:cs="Calibri"/>
          <w:b/>
          <w:bCs/>
        </w:rPr>
        <w:t>United States of America</w:t>
      </w:r>
      <w:r w:rsidRPr="00567193">
        <w:rPr>
          <w:rFonts w:cs="Calibri"/>
          <w:bCs/>
        </w:rPr>
        <w:t xml:space="preserve">, </w:t>
      </w:r>
      <w:r w:rsidRPr="00567193">
        <w:rPr>
          <w:rFonts w:cs="Calibri"/>
          <w:b/>
          <w:bCs/>
        </w:rPr>
        <w:t>Uruguay</w:t>
      </w:r>
      <w:r w:rsidRPr="00567193">
        <w:rPr>
          <w:rFonts w:cs="Calibri"/>
          <w:bCs/>
        </w:rPr>
        <w:t xml:space="preserve"> and the </w:t>
      </w:r>
      <w:r w:rsidRPr="00567193">
        <w:rPr>
          <w:rFonts w:cs="Calibri"/>
          <w:b/>
          <w:bCs/>
        </w:rPr>
        <w:t>Ramsar Regional Cent</w:t>
      </w:r>
      <w:r>
        <w:rPr>
          <w:rFonts w:cs="Calibri"/>
          <w:b/>
          <w:bCs/>
        </w:rPr>
        <w:t>er</w:t>
      </w:r>
      <w:r w:rsidRPr="00567193">
        <w:rPr>
          <w:rFonts w:cs="Calibri"/>
          <w:b/>
          <w:bCs/>
        </w:rPr>
        <w:t xml:space="preserve"> </w:t>
      </w:r>
      <w:r>
        <w:rPr>
          <w:rFonts w:cs="Calibri"/>
          <w:b/>
          <w:bCs/>
        </w:rPr>
        <w:t>- East</w:t>
      </w:r>
      <w:r w:rsidRPr="00567193">
        <w:rPr>
          <w:rFonts w:cs="Calibri"/>
          <w:b/>
          <w:bCs/>
        </w:rPr>
        <w:t xml:space="preserve"> Asia</w:t>
      </w:r>
      <w:r w:rsidRPr="00567193">
        <w:rPr>
          <w:rFonts w:cs="Calibri"/>
          <w:bCs/>
        </w:rPr>
        <w:t>.</w:t>
      </w:r>
    </w:p>
    <w:p w14:paraId="2B8AF0C9" w14:textId="77777777" w:rsidR="00BF15C7" w:rsidRPr="00567193" w:rsidRDefault="00BF15C7" w:rsidP="00BF15C7">
      <w:pPr>
        <w:autoSpaceDE w:val="0"/>
        <w:autoSpaceDN w:val="0"/>
        <w:adjustRightInd w:val="0"/>
        <w:spacing w:after="0" w:line="240" w:lineRule="auto"/>
        <w:ind w:left="426" w:hanging="426"/>
        <w:jc w:val="both"/>
        <w:rPr>
          <w:rFonts w:cs="Calibri"/>
          <w:bCs/>
        </w:rPr>
      </w:pPr>
    </w:p>
    <w:p w14:paraId="0C441109" w14:textId="77777777" w:rsidR="00BF15C7" w:rsidRPr="00567193" w:rsidRDefault="00BF15C7" w:rsidP="00BF15C7">
      <w:pPr>
        <w:autoSpaceDE w:val="0"/>
        <w:autoSpaceDN w:val="0"/>
        <w:adjustRightInd w:val="0"/>
        <w:spacing w:after="0" w:line="240" w:lineRule="auto"/>
        <w:ind w:left="426" w:hanging="426"/>
        <w:rPr>
          <w:rFonts w:cs="Calibri"/>
          <w:bCs/>
        </w:rPr>
      </w:pPr>
      <w:r w:rsidRPr="00567193">
        <w:rPr>
          <w:rFonts w:cs="Calibri"/>
          <w:bCs/>
        </w:rPr>
        <w:t>10</w:t>
      </w:r>
      <w:r>
        <w:rPr>
          <w:rFonts w:cs="Calibri"/>
          <w:bCs/>
        </w:rPr>
        <w:t>3</w:t>
      </w:r>
      <w:r w:rsidRPr="00567193">
        <w:rPr>
          <w:rFonts w:cs="Calibri"/>
          <w:bCs/>
        </w:rPr>
        <w:t>.</w:t>
      </w:r>
      <w:r w:rsidRPr="00567193">
        <w:rPr>
          <w:rFonts w:cs="Calibri"/>
          <w:bCs/>
        </w:rPr>
        <w:tab/>
        <w:t xml:space="preserve">The </w:t>
      </w:r>
      <w:r w:rsidRPr="00567193">
        <w:rPr>
          <w:rFonts w:cs="Calibri"/>
          <w:b/>
          <w:bCs/>
        </w:rPr>
        <w:t>Chair</w:t>
      </w:r>
      <w:r w:rsidRPr="00567193">
        <w:rPr>
          <w:rFonts w:cs="Calibri"/>
          <w:bCs/>
        </w:rPr>
        <w:t xml:space="preserve"> requested </w:t>
      </w:r>
      <w:r>
        <w:rPr>
          <w:rFonts w:cs="Calibri"/>
          <w:bCs/>
        </w:rPr>
        <w:t>that Contracting Parties</w:t>
      </w:r>
      <w:r w:rsidRPr="00567193">
        <w:rPr>
          <w:rFonts w:cs="Calibri"/>
          <w:bCs/>
        </w:rPr>
        <w:t xml:space="preserve"> submit their comments in writing to the Secretariat by the end of the day. Many of the points raised could readily be accommodated in the document. Some proposed amendments, however, did not command consensus and would require further consideration by the Standing Committee and/or COP13. </w:t>
      </w:r>
      <w:r>
        <w:rPr>
          <w:rFonts w:cs="Calibri"/>
          <w:bCs/>
        </w:rPr>
        <w:t xml:space="preserve">He instructed the </w:t>
      </w:r>
      <w:r w:rsidRPr="00567193">
        <w:rPr>
          <w:rFonts w:cs="Calibri"/>
          <w:bCs/>
        </w:rPr>
        <w:t xml:space="preserve"> Secretariat </w:t>
      </w:r>
      <w:r>
        <w:rPr>
          <w:rFonts w:cs="Calibri"/>
          <w:bCs/>
        </w:rPr>
        <w:t xml:space="preserve">to </w:t>
      </w:r>
      <w:r w:rsidRPr="00567193">
        <w:rPr>
          <w:rFonts w:cs="Calibri"/>
          <w:bCs/>
        </w:rPr>
        <w:t xml:space="preserve">prepare a revised text, using square brackets where </w:t>
      </w:r>
      <w:r>
        <w:rPr>
          <w:rFonts w:cs="Calibri"/>
          <w:bCs/>
        </w:rPr>
        <w:t>necessary</w:t>
      </w:r>
      <w:r w:rsidRPr="00567193">
        <w:rPr>
          <w:rFonts w:cs="Calibri"/>
          <w:bCs/>
        </w:rPr>
        <w:t xml:space="preserve"> to indicate alternative positions for the points where there were significant differences of view</w:t>
      </w:r>
      <w:r>
        <w:rPr>
          <w:rFonts w:cs="Calibri"/>
          <w:bCs/>
        </w:rPr>
        <w:t>, for further consideration</w:t>
      </w:r>
      <w:r w:rsidRPr="00567193">
        <w:rPr>
          <w:rFonts w:cs="Calibri"/>
          <w:bCs/>
        </w:rPr>
        <w:t xml:space="preserve"> </w:t>
      </w:r>
      <w:r>
        <w:rPr>
          <w:rFonts w:cs="Calibri"/>
          <w:bCs/>
        </w:rPr>
        <w:t>at</w:t>
      </w:r>
      <w:r w:rsidRPr="00567193">
        <w:rPr>
          <w:rFonts w:cs="Calibri"/>
          <w:bCs/>
        </w:rPr>
        <w:t xml:space="preserve"> SC54.</w:t>
      </w:r>
    </w:p>
    <w:p w14:paraId="2A4E3AB9" w14:textId="77777777" w:rsidR="00BF15C7" w:rsidRPr="000D03E0" w:rsidRDefault="00BF15C7" w:rsidP="00BF15C7">
      <w:pPr>
        <w:spacing w:after="0" w:line="240" w:lineRule="auto"/>
        <w:ind w:left="426" w:hanging="426"/>
        <w:contextualSpacing/>
        <w:rPr>
          <w:rFonts w:cs="Calibri"/>
          <w:bCs/>
        </w:rPr>
      </w:pPr>
    </w:p>
    <w:p w14:paraId="162F8461" w14:textId="77777777" w:rsidR="00BF15C7" w:rsidRPr="000D03E0" w:rsidRDefault="00BF15C7" w:rsidP="00BF15C7">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cs="Calibri"/>
          <w:bCs/>
        </w:rPr>
      </w:pPr>
      <w:r w:rsidRPr="000D03E0">
        <w:rPr>
          <w:rFonts w:cs="Calibri"/>
          <w:bCs/>
        </w:rPr>
        <w:t>Agenda item 15. Observer status in the United Nations General Assembly</w:t>
      </w:r>
    </w:p>
    <w:p w14:paraId="37F6476B" w14:textId="77777777" w:rsidR="00BF15C7" w:rsidRPr="009A774E" w:rsidRDefault="00BF15C7" w:rsidP="00BF15C7">
      <w:pPr>
        <w:spacing w:after="0" w:line="240" w:lineRule="auto"/>
        <w:ind w:left="426" w:hanging="426"/>
        <w:contextualSpacing/>
        <w:rPr>
          <w:rFonts w:cs="Calibri"/>
          <w:bCs/>
        </w:rPr>
      </w:pPr>
    </w:p>
    <w:p w14:paraId="7E1EA6F7" w14:textId="77777777" w:rsidR="00BF15C7" w:rsidRPr="009A774E" w:rsidRDefault="00BF15C7" w:rsidP="00BF15C7">
      <w:pPr>
        <w:spacing w:after="0" w:line="240" w:lineRule="auto"/>
        <w:ind w:left="426" w:hanging="426"/>
        <w:contextualSpacing/>
        <w:rPr>
          <w:rFonts w:cs="Calibri"/>
          <w:bCs/>
        </w:rPr>
      </w:pPr>
      <w:r w:rsidRPr="009A774E">
        <w:rPr>
          <w:rFonts w:cs="Calibri"/>
          <w:bCs/>
        </w:rPr>
        <w:t>104.</w:t>
      </w:r>
      <w:r w:rsidRPr="009A774E">
        <w:rPr>
          <w:rFonts w:cs="Calibri"/>
          <w:bCs/>
        </w:rPr>
        <w:tab/>
      </w:r>
      <w:r w:rsidRPr="009A774E">
        <w:rPr>
          <w:rFonts w:cs="Calibri"/>
          <w:b/>
          <w:bCs/>
        </w:rPr>
        <w:t>Uruguay</w:t>
      </w:r>
      <w:r w:rsidRPr="009A774E">
        <w:rPr>
          <w:rFonts w:cs="Calibri"/>
          <w:bCs/>
        </w:rPr>
        <w:t xml:space="preserve"> introduced document Doc. SC54-15 Rev.1 </w:t>
      </w:r>
      <w:r w:rsidRPr="009A774E">
        <w:rPr>
          <w:rFonts w:cs="Calibri"/>
          <w:bCs/>
          <w:i/>
        </w:rPr>
        <w:t>Observer status in the United Nations General Assembly</w:t>
      </w:r>
      <w:r w:rsidRPr="009A774E">
        <w:rPr>
          <w:rFonts w:cs="Calibri"/>
          <w:bCs/>
        </w:rPr>
        <w:t>.</w:t>
      </w:r>
    </w:p>
    <w:p w14:paraId="78F83C6D" w14:textId="77777777" w:rsidR="00BF15C7" w:rsidRPr="009A774E" w:rsidRDefault="00BF15C7" w:rsidP="00BF15C7">
      <w:pPr>
        <w:tabs>
          <w:tab w:val="left" w:pos="2038"/>
        </w:tabs>
        <w:spacing w:after="0" w:line="240" w:lineRule="auto"/>
        <w:ind w:left="426" w:hanging="426"/>
        <w:contextualSpacing/>
        <w:rPr>
          <w:rFonts w:cs="Calibri"/>
          <w:bCs/>
        </w:rPr>
      </w:pPr>
      <w:r>
        <w:rPr>
          <w:rFonts w:cs="Calibri"/>
          <w:bCs/>
        </w:rPr>
        <w:tab/>
      </w:r>
      <w:r>
        <w:rPr>
          <w:rFonts w:cs="Calibri"/>
          <w:bCs/>
        </w:rPr>
        <w:tab/>
      </w:r>
    </w:p>
    <w:p w14:paraId="6633149C" w14:textId="77777777" w:rsidR="00BF15C7" w:rsidRPr="009A774E" w:rsidRDefault="00BF15C7" w:rsidP="00BF15C7">
      <w:pPr>
        <w:spacing w:after="0" w:line="240" w:lineRule="auto"/>
        <w:ind w:left="426" w:hanging="426"/>
        <w:contextualSpacing/>
        <w:rPr>
          <w:rFonts w:cs="Calibri"/>
          <w:bCs/>
        </w:rPr>
      </w:pPr>
      <w:r w:rsidRPr="009A774E">
        <w:rPr>
          <w:rFonts w:cs="Calibri"/>
          <w:bCs/>
        </w:rPr>
        <w:t>106.</w:t>
      </w:r>
      <w:r w:rsidRPr="009A774E">
        <w:rPr>
          <w:rFonts w:cs="Calibri"/>
          <w:bCs/>
        </w:rPr>
        <w:tab/>
        <w:t xml:space="preserve">The </w:t>
      </w:r>
      <w:r w:rsidRPr="009A774E">
        <w:rPr>
          <w:rFonts w:cs="Calibri"/>
          <w:b/>
          <w:bCs/>
        </w:rPr>
        <w:t>United Arab Emirates</w:t>
      </w:r>
      <w:r w:rsidRPr="009A774E">
        <w:rPr>
          <w:rFonts w:cs="Calibri"/>
          <w:bCs/>
        </w:rPr>
        <w:t xml:space="preserve"> undertook to work with the Secretariat to develop a proposal on this issue for endorsement by COP13.</w:t>
      </w:r>
    </w:p>
    <w:p w14:paraId="50AA9DFB" w14:textId="77777777" w:rsidR="00BF15C7" w:rsidRPr="009A774E" w:rsidRDefault="00BF15C7" w:rsidP="00BF15C7">
      <w:pPr>
        <w:spacing w:after="0" w:line="240" w:lineRule="auto"/>
        <w:ind w:left="426" w:hanging="426"/>
        <w:contextualSpacing/>
        <w:rPr>
          <w:rFonts w:cs="Calibri"/>
          <w:bCs/>
        </w:rPr>
      </w:pPr>
    </w:p>
    <w:p w14:paraId="3C7B82F2" w14:textId="77777777" w:rsidR="00BF15C7" w:rsidRPr="009A774E" w:rsidRDefault="00BF15C7" w:rsidP="00BF15C7">
      <w:pPr>
        <w:spacing w:after="0" w:line="240" w:lineRule="auto"/>
        <w:ind w:left="426" w:hanging="426"/>
        <w:contextualSpacing/>
        <w:rPr>
          <w:rFonts w:cs="Calibri"/>
          <w:bCs/>
        </w:rPr>
      </w:pPr>
      <w:r w:rsidRPr="009A774E">
        <w:rPr>
          <w:rFonts w:cs="Calibri"/>
          <w:bCs/>
        </w:rPr>
        <w:t>107.</w:t>
      </w:r>
      <w:r w:rsidRPr="009A774E">
        <w:rPr>
          <w:rFonts w:cs="Calibri"/>
          <w:bCs/>
        </w:rPr>
        <w:tab/>
      </w:r>
      <w:r w:rsidRPr="009A774E">
        <w:rPr>
          <w:rFonts w:cs="Calibri"/>
          <w:b/>
          <w:bCs/>
        </w:rPr>
        <w:t>Colombia</w:t>
      </w:r>
      <w:r w:rsidRPr="009A774E">
        <w:rPr>
          <w:rFonts w:cs="Calibri"/>
          <w:bCs/>
        </w:rPr>
        <w:t xml:space="preserve"> underlined the importance of exploring all possible options to ensure that the Secretariat had access to the High Level Political Forum (HLPF) deliberations on SDG 6.</w:t>
      </w:r>
    </w:p>
    <w:p w14:paraId="695B52CE" w14:textId="77777777" w:rsidR="00BF15C7" w:rsidRPr="009A774E" w:rsidRDefault="00BF15C7" w:rsidP="00BF15C7">
      <w:pPr>
        <w:spacing w:after="0" w:line="240" w:lineRule="auto"/>
        <w:ind w:left="426" w:hanging="426"/>
        <w:contextualSpacing/>
        <w:rPr>
          <w:rFonts w:cs="Calibri"/>
          <w:bCs/>
        </w:rPr>
      </w:pPr>
    </w:p>
    <w:p w14:paraId="6F84A151" w14:textId="77777777" w:rsidR="00BF15C7" w:rsidRPr="009A774E" w:rsidRDefault="00BF15C7" w:rsidP="00BF15C7">
      <w:pPr>
        <w:spacing w:after="0" w:line="240" w:lineRule="auto"/>
        <w:ind w:left="426" w:hanging="426"/>
        <w:contextualSpacing/>
        <w:rPr>
          <w:rFonts w:cs="Calibri"/>
          <w:bCs/>
        </w:rPr>
      </w:pPr>
      <w:r w:rsidRPr="009A774E">
        <w:rPr>
          <w:rFonts w:cs="Calibri"/>
          <w:bCs/>
        </w:rPr>
        <w:t>108.</w:t>
      </w:r>
      <w:r w:rsidRPr="009A774E">
        <w:rPr>
          <w:rFonts w:cs="Calibri"/>
          <w:bCs/>
        </w:rPr>
        <w:tab/>
      </w:r>
      <w:r w:rsidRPr="009A774E">
        <w:rPr>
          <w:rFonts w:cs="Calibri"/>
          <w:b/>
          <w:bCs/>
        </w:rPr>
        <w:t>Brazil</w:t>
      </w:r>
      <w:r w:rsidRPr="009A774E">
        <w:rPr>
          <w:rFonts w:cs="Calibri"/>
          <w:bCs/>
        </w:rPr>
        <w:t xml:space="preserve"> suggested that the Secretariat should make a written submission to the HLPF in case physical participation was not possible.</w:t>
      </w:r>
    </w:p>
    <w:p w14:paraId="4E2DA3A0" w14:textId="77777777" w:rsidR="00BF15C7" w:rsidRPr="009A774E" w:rsidRDefault="00BF15C7" w:rsidP="00BF15C7">
      <w:pPr>
        <w:spacing w:after="0" w:line="240" w:lineRule="auto"/>
        <w:ind w:left="426" w:hanging="426"/>
        <w:contextualSpacing/>
        <w:rPr>
          <w:rFonts w:cs="Calibri"/>
          <w:bCs/>
        </w:rPr>
      </w:pPr>
    </w:p>
    <w:p w14:paraId="47EB0D10" w14:textId="77777777" w:rsidR="00BF15C7" w:rsidRPr="009A774E" w:rsidRDefault="00BF15C7" w:rsidP="00BF15C7">
      <w:pPr>
        <w:spacing w:after="0" w:line="240" w:lineRule="auto"/>
        <w:ind w:left="426" w:hanging="426"/>
        <w:contextualSpacing/>
        <w:rPr>
          <w:rFonts w:cs="Calibri"/>
          <w:bCs/>
        </w:rPr>
      </w:pPr>
      <w:r w:rsidRPr="009A774E">
        <w:rPr>
          <w:rFonts w:cs="Calibri"/>
          <w:bCs/>
        </w:rPr>
        <w:t>109.</w:t>
      </w:r>
      <w:r w:rsidRPr="009A774E">
        <w:rPr>
          <w:rFonts w:cs="Calibri"/>
          <w:bCs/>
        </w:rPr>
        <w:tab/>
        <w:t xml:space="preserve">The </w:t>
      </w:r>
      <w:r w:rsidRPr="009A774E">
        <w:rPr>
          <w:rFonts w:cs="Calibri"/>
          <w:b/>
          <w:bCs/>
        </w:rPr>
        <w:t>United States of America</w:t>
      </w:r>
      <w:r w:rsidRPr="009A774E">
        <w:rPr>
          <w:rFonts w:cs="Calibri"/>
          <w:bCs/>
        </w:rPr>
        <w:t xml:space="preserve"> also highlighted the need to look for creative solutions, since a recent United States legal review </w:t>
      </w:r>
      <w:r>
        <w:rPr>
          <w:rFonts w:cs="Calibri"/>
          <w:bCs/>
        </w:rPr>
        <w:t>had</w:t>
      </w:r>
      <w:r w:rsidRPr="009A774E">
        <w:rPr>
          <w:rFonts w:cs="Calibri"/>
          <w:bCs/>
        </w:rPr>
        <w:t xml:space="preserve"> concluded that treaty secretariats did not qualify as </w:t>
      </w:r>
      <w:r w:rsidRPr="009A774E">
        <w:rPr>
          <w:rFonts w:cs="Calibri"/>
          <w:bCs/>
        </w:rPr>
        <w:lastRenderedPageBreak/>
        <w:t>intergovernmental organizations and were therefore not eligible for Permanen</w:t>
      </w:r>
      <w:r>
        <w:rPr>
          <w:rFonts w:cs="Calibri"/>
          <w:bCs/>
        </w:rPr>
        <w:t>t Observer status in the UNGA. She noted that IUCN had expressed commitment to the continuing p</w:t>
      </w:r>
      <w:r w:rsidRPr="009A774E">
        <w:rPr>
          <w:rFonts w:cs="Calibri"/>
          <w:bCs/>
        </w:rPr>
        <w:t>articipation of the Ramsar Secretariat in IUCN delegations.</w:t>
      </w:r>
    </w:p>
    <w:p w14:paraId="1F60F3C9" w14:textId="77777777" w:rsidR="00BF15C7" w:rsidRPr="009A774E" w:rsidRDefault="00BF15C7" w:rsidP="00BF15C7">
      <w:pPr>
        <w:spacing w:after="0" w:line="240" w:lineRule="auto"/>
        <w:ind w:left="426" w:hanging="426"/>
        <w:contextualSpacing/>
        <w:rPr>
          <w:rFonts w:cs="Calibri"/>
          <w:bCs/>
        </w:rPr>
      </w:pPr>
    </w:p>
    <w:p w14:paraId="657518BE" w14:textId="77777777" w:rsidR="00BF15C7" w:rsidRPr="009A774E" w:rsidRDefault="00BF15C7" w:rsidP="00BF15C7">
      <w:pPr>
        <w:spacing w:after="0" w:line="240" w:lineRule="auto"/>
        <w:ind w:left="426" w:hanging="426"/>
        <w:contextualSpacing/>
        <w:rPr>
          <w:rFonts w:cs="Calibri"/>
          <w:bCs/>
        </w:rPr>
      </w:pPr>
      <w:r w:rsidRPr="009A774E">
        <w:rPr>
          <w:rFonts w:cs="Calibri"/>
          <w:bCs/>
        </w:rPr>
        <w:t>110.</w:t>
      </w:r>
      <w:r w:rsidRPr="009A774E">
        <w:rPr>
          <w:rFonts w:cs="Calibri"/>
          <w:bCs/>
        </w:rPr>
        <w:tab/>
      </w:r>
      <w:r w:rsidRPr="009A774E">
        <w:rPr>
          <w:rFonts w:cs="Calibri"/>
          <w:b/>
          <w:bCs/>
        </w:rPr>
        <w:t>Chile</w:t>
      </w:r>
      <w:r w:rsidRPr="009A774E">
        <w:rPr>
          <w:rFonts w:cs="Calibri"/>
          <w:bCs/>
        </w:rPr>
        <w:t xml:space="preserve"> broadly concurred with the United States of America.</w:t>
      </w:r>
    </w:p>
    <w:p w14:paraId="5843301A" w14:textId="77777777" w:rsidR="00BF15C7" w:rsidRPr="009A774E" w:rsidRDefault="00BF15C7" w:rsidP="00BF15C7">
      <w:pPr>
        <w:spacing w:after="0" w:line="240" w:lineRule="auto"/>
        <w:ind w:left="426" w:hanging="426"/>
        <w:contextualSpacing/>
        <w:rPr>
          <w:rFonts w:cs="Calibri"/>
          <w:bCs/>
        </w:rPr>
      </w:pPr>
    </w:p>
    <w:p w14:paraId="249931AF" w14:textId="77777777" w:rsidR="00BF15C7" w:rsidRPr="009A774E" w:rsidRDefault="00BF15C7" w:rsidP="00BF15C7">
      <w:pPr>
        <w:spacing w:after="0" w:line="240" w:lineRule="auto"/>
        <w:ind w:left="426" w:hanging="426"/>
        <w:contextualSpacing/>
        <w:rPr>
          <w:rFonts w:cs="Calibri"/>
          <w:bCs/>
        </w:rPr>
      </w:pPr>
      <w:r w:rsidRPr="009A774E">
        <w:rPr>
          <w:rFonts w:cs="Calibri"/>
          <w:bCs/>
        </w:rPr>
        <w:t>111.</w:t>
      </w:r>
      <w:r w:rsidRPr="009A774E">
        <w:rPr>
          <w:rFonts w:cs="Calibri"/>
          <w:bCs/>
        </w:rPr>
        <w:tab/>
        <w:t xml:space="preserve">In response to a point raised by South Africa, the </w:t>
      </w:r>
      <w:r w:rsidRPr="009A774E">
        <w:rPr>
          <w:rFonts w:cs="Calibri"/>
          <w:b/>
          <w:bCs/>
        </w:rPr>
        <w:t>United States of America</w:t>
      </w:r>
      <w:r w:rsidRPr="009A774E">
        <w:rPr>
          <w:rFonts w:cs="Calibri"/>
          <w:bCs/>
        </w:rPr>
        <w:t xml:space="preserve"> confirmed that there were no MEAs on the list of Permanent Observers at the UNGA and that the reasons for this were unrelated to the issue of which institution hosted any particular MEA.</w:t>
      </w:r>
    </w:p>
    <w:p w14:paraId="2413D10E" w14:textId="77777777" w:rsidR="00BF15C7" w:rsidRPr="009A774E" w:rsidRDefault="00BF15C7" w:rsidP="00BF15C7">
      <w:pPr>
        <w:spacing w:after="0" w:line="240" w:lineRule="auto"/>
        <w:ind w:left="426" w:hanging="426"/>
        <w:contextualSpacing/>
        <w:rPr>
          <w:rFonts w:cs="Calibri"/>
          <w:bCs/>
        </w:rPr>
      </w:pPr>
    </w:p>
    <w:p w14:paraId="2747CEB1" w14:textId="77777777" w:rsidR="00BF15C7" w:rsidRPr="009A774E" w:rsidRDefault="00BF15C7" w:rsidP="00BF15C7">
      <w:pPr>
        <w:spacing w:after="0" w:line="240" w:lineRule="auto"/>
        <w:ind w:left="426" w:hanging="426"/>
        <w:contextualSpacing/>
        <w:rPr>
          <w:rFonts w:cs="Calibri"/>
          <w:bCs/>
        </w:rPr>
      </w:pPr>
      <w:r w:rsidRPr="009A774E">
        <w:rPr>
          <w:rFonts w:cs="Calibri"/>
          <w:bCs/>
        </w:rPr>
        <w:t>112.</w:t>
      </w:r>
      <w:r w:rsidRPr="009A774E">
        <w:rPr>
          <w:rFonts w:cs="Calibri"/>
          <w:bCs/>
        </w:rPr>
        <w:tab/>
      </w:r>
      <w:r w:rsidRPr="009A774E">
        <w:rPr>
          <w:rFonts w:cs="Calibri"/>
          <w:b/>
          <w:bCs/>
        </w:rPr>
        <w:t>Switzerland</w:t>
      </w:r>
      <w:r w:rsidRPr="009A774E">
        <w:rPr>
          <w:rFonts w:cs="Calibri"/>
          <w:bCs/>
        </w:rPr>
        <w:t xml:space="preserve"> suggested making an approach to the UN Economic and Social Council (ECOSOC).</w:t>
      </w:r>
    </w:p>
    <w:p w14:paraId="08D13685" w14:textId="77777777" w:rsidR="00BF15C7" w:rsidRPr="009A774E" w:rsidRDefault="00BF15C7" w:rsidP="00BF15C7">
      <w:pPr>
        <w:spacing w:after="0" w:line="240" w:lineRule="auto"/>
        <w:ind w:left="426" w:hanging="426"/>
        <w:contextualSpacing/>
        <w:rPr>
          <w:rFonts w:cs="Calibri"/>
          <w:bCs/>
        </w:rPr>
      </w:pPr>
    </w:p>
    <w:p w14:paraId="5D25341A" w14:textId="77777777" w:rsidR="00BF15C7" w:rsidRPr="009A774E" w:rsidRDefault="00BF15C7" w:rsidP="00BF15C7">
      <w:pPr>
        <w:spacing w:after="0" w:line="240" w:lineRule="auto"/>
        <w:ind w:left="426" w:hanging="426"/>
        <w:contextualSpacing/>
        <w:rPr>
          <w:rFonts w:cs="Calibri"/>
          <w:bCs/>
        </w:rPr>
      </w:pPr>
      <w:r w:rsidRPr="009A774E">
        <w:rPr>
          <w:rFonts w:cs="Calibri"/>
          <w:bCs/>
        </w:rPr>
        <w:t>113.</w:t>
      </w:r>
      <w:r w:rsidRPr="009A774E">
        <w:rPr>
          <w:rFonts w:cs="Calibri"/>
          <w:bCs/>
        </w:rPr>
        <w:tab/>
        <w:t xml:space="preserve">The </w:t>
      </w:r>
      <w:r w:rsidRPr="009A774E">
        <w:rPr>
          <w:rFonts w:cs="Calibri"/>
          <w:b/>
          <w:bCs/>
        </w:rPr>
        <w:t>Secretariat</w:t>
      </w:r>
      <w:r w:rsidRPr="009A774E">
        <w:rPr>
          <w:rFonts w:cs="Calibri"/>
          <w:bCs/>
        </w:rPr>
        <w:t xml:space="preserve"> advised that the UN Office of Legal Affairs in New York had already suggested contacting </w:t>
      </w:r>
      <w:r>
        <w:rPr>
          <w:rFonts w:cs="Calibri"/>
          <w:bCs/>
        </w:rPr>
        <w:t>the President of ESOSOC</w:t>
      </w:r>
      <w:r w:rsidRPr="009A774E">
        <w:rPr>
          <w:rFonts w:cs="Calibri"/>
          <w:bCs/>
        </w:rPr>
        <w:t xml:space="preserve"> directly. Such an approach had prove</w:t>
      </w:r>
      <w:r>
        <w:rPr>
          <w:rFonts w:cs="Calibri"/>
          <w:bCs/>
        </w:rPr>
        <w:t>n</w:t>
      </w:r>
      <w:r w:rsidRPr="009A774E">
        <w:rPr>
          <w:rFonts w:cs="Calibri"/>
          <w:bCs/>
        </w:rPr>
        <w:t xml:space="preserve"> unsuccessful during the 1990s, but might be worth trying again.</w:t>
      </w:r>
    </w:p>
    <w:p w14:paraId="774CB497" w14:textId="77777777" w:rsidR="00BF15C7" w:rsidRPr="009A774E" w:rsidRDefault="00BF15C7" w:rsidP="00BF15C7">
      <w:pPr>
        <w:spacing w:after="0" w:line="240" w:lineRule="auto"/>
        <w:ind w:left="426" w:hanging="426"/>
        <w:contextualSpacing/>
        <w:rPr>
          <w:rFonts w:cs="Calibri"/>
          <w:bCs/>
        </w:rPr>
      </w:pPr>
    </w:p>
    <w:p w14:paraId="54B8FB51" w14:textId="77777777" w:rsidR="00BF15C7" w:rsidRPr="009A774E" w:rsidRDefault="00BF15C7" w:rsidP="00BF15C7">
      <w:pPr>
        <w:spacing w:after="0" w:line="240" w:lineRule="auto"/>
        <w:ind w:left="426" w:hanging="426"/>
        <w:contextualSpacing/>
        <w:rPr>
          <w:rFonts w:cs="Calibri"/>
          <w:bCs/>
        </w:rPr>
      </w:pPr>
      <w:r w:rsidRPr="009A774E">
        <w:rPr>
          <w:rFonts w:cs="Calibri"/>
          <w:bCs/>
        </w:rPr>
        <w:t>114.</w:t>
      </w:r>
      <w:r w:rsidRPr="009A774E">
        <w:rPr>
          <w:rFonts w:cs="Calibri"/>
          <w:bCs/>
        </w:rPr>
        <w:tab/>
        <w:t xml:space="preserve">The </w:t>
      </w:r>
      <w:r w:rsidRPr="009A774E">
        <w:rPr>
          <w:rFonts w:cs="Calibri"/>
          <w:b/>
          <w:bCs/>
        </w:rPr>
        <w:t>Legal Adviser</w:t>
      </w:r>
      <w:r w:rsidRPr="009A774E">
        <w:rPr>
          <w:rFonts w:cs="Calibri"/>
          <w:bCs/>
        </w:rPr>
        <w:t xml:space="preserve"> provided further context and analysis, noting that there remained some scope for arguing that the Secretariat qualified as an international organization, thus meeting the criteria for admission as a Permanent Observer.</w:t>
      </w:r>
    </w:p>
    <w:p w14:paraId="578E3302" w14:textId="77777777" w:rsidR="00BF15C7" w:rsidRPr="009A774E" w:rsidRDefault="00BF15C7" w:rsidP="00BF15C7">
      <w:pPr>
        <w:spacing w:after="0" w:line="240" w:lineRule="auto"/>
        <w:ind w:left="426" w:hanging="426"/>
        <w:contextualSpacing/>
        <w:rPr>
          <w:rFonts w:cs="Calibri"/>
          <w:bCs/>
        </w:rPr>
      </w:pPr>
    </w:p>
    <w:p w14:paraId="0547B2BD" w14:textId="77777777" w:rsidR="00BF15C7" w:rsidRPr="009A774E" w:rsidRDefault="00BF15C7" w:rsidP="00BF15C7">
      <w:pPr>
        <w:spacing w:after="0" w:line="240" w:lineRule="auto"/>
        <w:ind w:left="426" w:hanging="426"/>
        <w:contextualSpacing/>
        <w:rPr>
          <w:rFonts w:cs="Calibri"/>
          <w:bCs/>
        </w:rPr>
      </w:pPr>
      <w:r w:rsidRPr="009A774E">
        <w:rPr>
          <w:rFonts w:cs="Calibri"/>
          <w:bCs/>
        </w:rPr>
        <w:t>115.</w:t>
      </w:r>
      <w:r w:rsidRPr="009A774E">
        <w:rPr>
          <w:rFonts w:cs="Calibri"/>
          <w:bCs/>
        </w:rPr>
        <w:tab/>
        <w:t xml:space="preserve">The </w:t>
      </w:r>
      <w:r w:rsidRPr="009A774E">
        <w:rPr>
          <w:rFonts w:cs="Calibri"/>
          <w:b/>
          <w:bCs/>
        </w:rPr>
        <w:t>Secretary General</w:t>
      </w:r>
      <w:r w:rsidRPr="009A774E">
        <w:rPr>
          <w:rFonts w:cs="Calibri"/>
          <w:bCs/>
        </w:rPr>
        <w:t xml:space="preserve"> expressed her concern that the work that the Parties had mandated the Secretariat to undertake depended on access to the relevant high-level fora. The Secretariat was read</w:t>
      </w:r>
      <w:r>
        <w:rPr>
          <w:rFonts w:cs="Calibri"/>
          <w:bCs/>
        </w:rPr>
        <w:t>y</w:t>
      </w:r>
      <w:r w:rsidRPr="009A774E">
        <w:rPr>
          <w:rFonts w:cs="Calibri"/>
          <w:bCs/>
        </w:rPr>
        <w:t xml:space="preserve"> to explore all options, but if these efforts failed, it would affect the Secretariat’s ability to deliver.</w:t>
      </w:r>
    </w:p>
    <w:p w14:paraId="2AA0BC6D" w14:textId="77777777" w:rsidR="00BF15C7" w:rsidRPr="009A774E" w:rsidRDefault="00BF15C7" w:rsidP="00BF15C7">
      <w:pPr>
        <w:spacing w:after="0" w:line="240" w:lineRule="auto"/>
        <w:rPr>
          <w:rFonts w:asciiTheme="majorHAnsi" w:hAnsiTheme="majorHAnsi"/>
          <w:b/>
          <w:bCs/>
        </w:rPr>
      </w:pPr>
    </w:p>
    <w:p w14:paraId="73696B2D" w14:textId="08E765D5" w:rsidR="00BF15C7" w:rsidRDefault="00BF15C7" w:rsidP="00BF15C7">
      <w:pPr>
        <w:spacing w:after="0" w:line="240" w:lineRule="auto"/>
        <w:rPr>
          <w:rFonts w:asciiTheme="majorHAnsi" w:hAnsiTheme="majorHAnsi"/>
          <w:b/>
          <w:bCs/>
        </w:rPr>
      </w:pPr>
      <w:r w:rsidRPr="009A774E">
        <w:rPr>
          <w:rFonts w:asciiTheme="majorHAnsi" w:hAnsiTheme="majorHAnsi"/>
          <w:b/>
          <w:bCs/>
        </w:rPr>
        <w:t>Decision SC54-0</w:t>
      </w:r>
      <w:r w:rsidR="00BB45AE">
        <w:rPr>
          <w:rFonts w:asciiTheme="majorHAnsi" w:hAnsiTheme="majorHAnsi"/>
          <w:b/>
          <w:bCs/>
        </w:rPr>
        <w:t>6</w:t>
      </w:r>
      <w:r w:rsidRPr="009A774E">
        <w:rPr>
          <w:rFonts w:asciiTheme="majorHAnsi" w:hAnsiTheme="majorHAnsi"/>
          <w:b/>
          <w:bCs/>
        </w:rPr>
        <w:t>: The Standing Committee instructed the Secretariat, in conjunction with interested Parties, to continue exploring options for gaining access to meetings of the United Nations General Assembly and related high-level fora.</w:t>
      </w:r>
    </w:p>
    <w:p w14:paraId="2E41856D" w14:textId="77777777" w:rsidR="00BF15C7" w:rsidRPr="009A774E" w:rsidRDefault="00BF15C7" w:rsidP="00BF15C7">
      <w:pPr>
        <w:spacing w:after="0" w:line="240" w:lineRule="auto"/>
        <w:rPr>
          <w:rFonts w:asciiTheme="majorHAnsi" w:hAnsiTheme="majorHAnsi"/>
          <w:b/>
          <w:bCs/>
        </w:rPr>
      </w:pPr>
    </w:p>
    <w:p w14:paraId="22A8659D" w14:textId="77777777" w:rsidR="00BF15C7" w:rsidRPr="007644BE" w:rsidRDefault="00BF15C7" w:rsidP="00BF15C7">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r>
        <w:rPr>
          <w:rFonts w:asciiTheme="majorHAnsi" w:hAnsiTheme="majorHAnsi"/>
          <w:bCs/>
        </w:rPr>
        <w:t>Agenda item 3: Adoption of the p</w:t>
      </w:r>
      <w:r w:rsidRPr="007644BE">
        <w:rPr>
          <w:rFonts w:asciiTheme="majorHAnsi" w:hAnsiTheme="majorHAnsi"/>
          <w:bCs/>
        </w:rPr>
        <w:t xml:space="preserve">rovisional </w:t>
      </w:r>
      <w:r>
        <w:rPr>
          <w:rFonts w:asciiTheme="majorHAnsi" w:hAnsiTheme="majorHAnsi"/>
          <w:bCs/>
        </w:rPr>
        <w:t>working p</w:t>
      </w:r>
      <w:r w:rsidRPr="007644BE">
        <w:rPr>
          <w:rFonts w:asciiTheme="majorHAnsi" w:hAnsiTheme="majorHAnsi"/>
          <w:bCs/>
        </w:rPr>
        <w:t>rogramme</w:t>
      </w:r>
      <w:r>
        <w:rPr>
          <w:rFonts w:asciiTheme="majorHAnsi" w:hAnsiTheme="majorHAnsi"/>
          <w:bCs/>
        </w:rPr>
        <w:t xml:space="preserve"> (continued)</w:t>
      </w:r>
    </w:p>
    <w:p w14:paraId="314F08A9" w14:textId="77777777" w:rsidR="00BF15C7" w:rsidRPr="009A774E" w:rsidRDefault="00BF15C7" w:rsidP="00BF15C7">
      <w:pPr>
        <w:spacing w:after="0" w:line="240" w:lineRule="auto"/>
        <w:ind w:left="426" w:hanging="426"/>
        <w:contextualSpacing/>
        <w:rPr>
          <w:rFonts w:cs="Calibri"/>
          <w:bCs/>
        </w:rPr>
      </w:pPr>
    </w:p>
    <w:p w14:paraId="400BFFF4" w14:textId="77777777" w:rsidR="00BF15C7" w:rsidRPr="009A774E" w:rsidRDefault="00BF15C7" w:rsidP="00BF15C7">
      <w:pPr>
        <w:spacing w:after="0" w:line="240" w:lineRule="auto"/>
        <w:ind w:left="426" w:hanging="426"/>
        <w:contextualSpacing/>
        <w:rPr>
          <w:rFonts w:cs="Calibri"/>
          <w:bCs/>
        </w:rPr>
      </w:pPr>
      <w:r w:rsidRPr="009A774E">
        <w:rPr>
          <w:rFonts w:cs="Calibri"/>
          <w:bCs/>
        </w:rPr>
        <w:t>116.</w:t>
      </w:r>
      <w:r w:rsidRPr="009A774E">
        <w:rPr>
          <w:rFonts w:cs="Calibri"/>
          <w:bCs/>
        </w:rPr>
        <w:tab/>
        <w:t xml:space="preserve">The </w:t>
      </w:r>
      <w:r w:rsidRPr="009A774E">
        <w:rPr>
          <w:rFonts w:cs="Calibri"/>
          <w:b/>
          <w:bCs/>
        </w:rPr>
        <w:t>Secretariat</w:t>
      </w:r>
      <w:r w:rsidRPr="009A774E">
        <w:rPr>
          <w:rFonts w:cs="Calibri"/>
          <w:bCs/>
        </w:rPr>
        <w:t xml:space="preserve"> provided information on the timings and venues for meetings of the Facilitation Working Group and Subgroup on Finance, and confirmed that the sequence for draft resolutions that had not yet been considered remained as indicated in the working programme.</w:t>
      </w:r>
    </w:p>
    <w:p w14:paraId="27671533" w14:textId="77777777" w:rsidR="00BF15C7" w:rsidRPr="009A774E" w:rsidRDefault="00BF15C7" w:rsidP="00BF15C7">
      <w:pPr>
        <w:spacing w:after="0" w:line="240" w:lineRule="auto"/>
        <w:ind w:left="426" w:hanging="426"/>
        <w:contextualSpacing/>
        <w:rPr>
          <w:rFonts w:cs="Calibri"/>
          <w:bCs/>
        </w:rPr>
      </w:pPr>
    </w:p>
    <w:p w14:paraId="38A50C09" w14:textId="77777777" w:rsidR="00BF15C7" w:rsidRPr="009A774E" w:rsidRDefault="00BF15C7" w:rsidP="00BF15C7">
      <w:pPr>
        <w:spacing w:after="0" w:line="240" w:lineRule="auto"/>
        <w:ind w:left="426" w:hanging="426"/>
        <w:contextualSpacing/>
        <w:rPr>
          <w:rFonts w:cs="Calibri"/>
          <w:bCs/>
        </w:rPr>
      </w:pPr>
      <w:r w:rsidRPr="009A774E">
        <w:rPr>
          <w:rFonts w:cs="Calibri"/>
          <w:bCs/>
        </w:rPr>
        <w:t>117.</w:t>
      </w:r>
      <w:r w:rsidRPr="009A774E">
        <w:rPr>
          <w:rFonts w:cs="Calibri"/>
          <w:bCs/>
        </w:rPr>
        <w:tab/>
      </w:r>
      <w:r w:rsidRPr="009A774E">
        <w:rPr>
          <w:rFonts w:cs="Calibri"/>
          <w:b/>
          <w:bCs/>
        </w:rPr>
        <w:t>Estonia</w:t>
      </w:r>
      <w:r w:rsidRPr="009A774E">
        <w:rPr>
          <w:rFonts w:cs="Calibri"/>
          <w:bCs/>
        </w:rPr>
        <w:t xml:space="preserve">, on behalf of the European region, and </w:t>
      </w:r>
      <w:r w:rsidRPr="009A774E">
        <w:rPr>
          <w:rFonts w:cs="Calibri"/>
          <w:b/>
          <w:bCs/>
        </w:rPr>
        <w:t>Switzerland</w:t>
      </w:r>
      <w:r w:rsidRPr="009A774E">
        <w:rPr>
          <w:rFonts w:cs="Calibri"/>
          <w:bCs/>
        </w:rPr>
        <w:t xml:space="preserve"> requested the establishment of a stand-alone Contact Group to examine </w:t>
      </w:r>
      <w:r>
        <w:rPr>
          <w:rFonts w:cs="Calibri"/>
          <w:bCs/>
        </w:rPr>
        <w:t xml:space="preserve">the </w:t>
      </w:r>
      <w:r w:rsidRPr="009A774E">
        <w:rPr>
          <w:rFonts w:cs="Calibri"/>
          <w:bCs/>
        </w:rPr>
        <w:t>draf</w:t>
      </w:r>
      <w:r>
        <w:rPr>
          <w:rFonts w:cs="Calibri"/>
          <w:bCs/>
        </w:rPr>
        <w:t xml:space="preserve">t resolution in document Doc. SC54-21.8 on </w:t>
      </w:r>
      <w:r w:rsidRPr="009A774E">
        <w:rPr>
          <w:rFonts w:cs="Calibri"/>
          <w:bCs/>
          <w:i/>
        </w:rPr>
        <w:t>Improving the efficiency of structure and processes of the Convention</w:t>
      </w:r>
      <w:r w:rsidRPr="009A774E">
        <w:rPr>
          <w:rFonts w:cs="Calibri"/>
          <w:bCs/>
        </w:rPr>
        <w:t>.</w:t>
      </w:r>
    </w:p>
    <w:p w14:paraId="2ECB8C30" w14:textId="77777777" w:rsidR="00BF15C7" w:rsidRPr="009A774E" w:rsidRDefault="00BF15C7" w:rsidP="00BF15C7">
      <w:pPr>
        <w:spacing w:after="0" w:line="240" w:lineRule="auto"/>
        <w:ind w:left="426" w:hanging="426"/>
        <w:contextualSpacing/>
        <w:rPr>
          <w:rFonts w:cs="Calibri"/>
          <w:bCs/>
        </w:rPr>
      </w:pPr>
    </w:p>
    <w:p w14:paraId="51CDDBE3" w14:textId="77777777" w:rsidR="00BF15C7" w:rsidRPr="009A774E" w:rsidRDefault="00BF15C7" w:rsidP="00BF15C7">
      <w:pPr>
        <w:spacing w:after="0" w:line="240" w:lineRule="auto"/>
        <w:ind w:left="426" w:hanging="426"/>
        <w:contextualSpacing/>
        <w:rPr>
          <w:rFonts w:cs="Calibri"/>
          <w:bCs/>
        </w:rPr>
      </w:pPr>
      <w:r w:rsidRPr="009A774E">
        <w:rPr>
          <w:rFonts w:cs="Calibri"/>
          <w:bCs/>
        </w:rPr>
        <w:t>118.</w:t>
      </w:r>
      <w:r w:rsidRPr="009A774E">
        <w:rPr>
          <w:rFonts w:cs="Calibri"/>
          <w:bCs/>
        </w:rPr>
        <w:tab/>
        <w:t xml:space="preserve">The </w:t>
      </w:r>
      <w:r w:rsidRPr="009A774E">
        <w:rPr>
          <w:rFonts w:cs="Calibri"/>
          <w:b/>
          <w:bCs/>
        </w:rPr>
        <w:t>Chair</w:t>
      </w:r>
      <w:r w:rsidRPr="009A774E">
        <w:rPr>
          <w:rFonts w:cs="Calibri"/>
          <w:bCs/>
        </w:rPr>
        <w:t xml:space="preserve"> recalled that the Standing Committee had tasked the Facilitation Working Group with consideration of issues related to agenda items 9, 10 and 21.8. This matter was no</w:t>
      </w:r>
      <w:r>
        <w:rPr>
          <w:rFonts w:cs="Calibri"/>
          <w:bCs/>
        </w:rPr>
        <w:t>w</w:t>
      </w:r>
      <w:r w:rsidRPr="009A774E">
        <w:rPr>
          <w:rFonts w:cs="Calibri"/>
          <w:bCs/>
        </w:rPr>
        <w:t xml:space="preserve"> closed. </w:t>
      </w:r>
    </w:p>
    <w:p w14:paraId="6179741F" w14:textId="77777777" w:rsidR="00BF15C7" w:rsidRPr="009A774E" w:rsidRDefault="00BF15C7" w:rsidP="00BF15C7">
      <w:pPr>
        <w:spacing w:after="0" w:line="240" w:lineRule="auto"/>
        <w:ind w:left="426" w:hanging="426"/>
        <w:contextualSpacing/>
        <w:rPr>
          <w:rFonts w:cs="Calibri"/>
          <w:bCs/>
        </w:rPr>
      </w:pPr>
    </w:p>
    <w:p w14:paraId="0B68AF3E" w14:textId="77777777" w:rsidR="00BF15C7" w:rsidRDefault="00BF15C7" w:rsidP="00BF15C7">
      <w:pPr>
        <w:spacing w:after="0" w:line="240" w:lineRule="auto"/>
        <w:ind w:left="426" w:hanging="426"/>
        <w:contextualSpacing/>
        <w:rPr>
          <w:rFonts w:cs="Calibri"/>
          <w:bCs/>
        </w:rPr>
      </w:pPr>
      <w:r>
        <w:rPr>
          <w:rFonts w:cs="Calibri"/>
          <w:bCs/>
        </w:rPr>
        <w:t xml:space="preserve">The </w:t>
      </w:r>
      <w:r w:rsidRPr="009C1F21">
        <w:rPr>
          <w:rFonts w:cs="Calibri"/>
          <w:b/>
          <w:bCs/>
        </w:rPr>
        <w:t>Chair</w:t>
      </w:r>
      <w:r>
        <w:rPr>
          <w:rFonts w:cs="Calibri"/>
          <w:bCs/>
        </w:rPr>
        <w:t xml:space="preserve"> closed the session at </w:t>
      </w:r>
      <w:r w:rsidRPr="00EC1E62">
        <w:rPr>
          <w:rFonts w:cs="Calibri"/>
          <w:bCs/>
        </w:rPr>
        <w:t>18:28.</w:t>
      </w:r>
    </w:p>
    <w:p w14:paraId="4A17992B" w14:textId="77777777" w:rsidR="00BF15C7" w:rsidRDefault="00BF15C7" w:rsidP="00BF15C7">
      <w:pPr>
        <w:spacing w:after="0" w:line="240" w:lineRule="auto"/>
        <w:ind w:left="426" w:hanging="426"/>
        <w:contextualSpacing/>
        <w:rPr>
          <w:rFonts w:cs="Calibri"/>
          <w:bCs/>
        </w:rPr>
      </w:pPr>
    </w:p>
    <w:p w14:paraId="065BD094" w14:textId="77777777" w:rsidR="00BF15C7" w:rsidRDefault="00BF15C7" w:rsidP="00BF15C7">
      <w:pPr>
        <w:spacing w:after="0" w:line="240" w:lineRule="auto"/>
        <w:ind w:left="426" w:hanging="426"/>
        <w:contextualSpacing/>
        <w:rPr>
          <w:rFonts w:cs="Calibri"/>
          <w:bCs/>
        </w:rPr>
      </w:pPr>
    </w:p>
    <w:p w14:paraId="0B5D7BF6" w14:textId="77777777" w:rsidR="00BF15C7" w:rsidRPr="000D03E0" w:rsidRDefault="00BF15C7" w:rsidP="00BF15C7">
      <w:pPr>
        <w:spacing w:after="0" w:line="240" w:lineRule="auto"/>
        <w:ind w:left="426" w:hanging="426"/>
        <w:rPr>
          <w:rFonts w:cs="Calibri"/>
        </w:rPr>
      </w:pPr>
    </w:p>
    <w:p w14:paraId="33342232" w14:textId="77777777" w:rsidR="00BF15C7" w:rsidRPr="00682F17" w:rsidRDefault="00BF15C7" w:rsidP="00B23D8D">
      <w:pPr>
        <w:spacing w:after="0" w:line="240" w:lineRule="auto"/>
        <w:ind w:left="426" w:hanging="426"/>
        <w:contextualSpacing/>
        <w:rPr>
          <w:rFonts w:cs="Calibri"/>
          <w:bCs/>
        </w:rPr>
      </w:pPr>
    </w:p>
    <w:sectPr w:rsidR="00BF15C7" w:rsidRPr="00682F17" w:rsidSect="00216EB7">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35503" w14:textId="77777777" w:rsidR="00A04D2C" w:rsidRDefault="00A04D2C" w:rsidP="00BB101B">
      <w:pPr>
        <w:spacing w:after="0" w:line="240" w:lineRule="auto"/>
      </w:pPr>
      <w:r>
        <w:separator/>
      </w:r>
    </w:p>
  </w:endnote>
  <w:endnote w:type="continuationSeparator" w:id="0">
    <w:p w14:paraId="1354D1EB" w14:textId="77777777" w:rsidR="00A04D2C" w:rsidRDefault="00A04D2C"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2863" w14:textId="686485B5" w:rsidR="007E485A" w:rsidRPr="00227310" w:rsidRDefault="007E485A" w:rsidP="00216EB7">
    <w:pPr>
      <w:pStyle w:val="Header"/>
      <w:rPr>
        <w:noProof/>
        <w:sz w:val="20"/>
        <w:szCs w:val="20"/>
      </w:rPr>
    </w:pPr>
    <w:r w:rsidRPr="00227310">
      <w:rPr>
        <w:sz w:val="20"/>
        <w:szCs w:val="20"/>
      </w:rPr>
      <w:t>SC5</w:t>
    </w:r>
    <w:r w:rsidR="007644BE">
      <w:rPr>
        <w:sz w:val="20"/>
        <w:szCs w:val="20"/>
      </w:rPr>
      <w:t>4</w:t>
    </w:r>
    <w:r w:rsidR="00B264A0">
      <w:rPr>
        <w:sz w:val="20"/>
        <w:szCs w:val="20"/>
      </w:rPr>
      <w:t xml:space="preserve"> </w:t>
    </w:r>
    <w:r w:rsidR="00A91810">
      <w:rPr>
        <w:sz w:val="20"/>
        <w:szCs w:val="20"/>
      </w:rPr>
      <w:t>Rep.2</w:t>
    </w:r>
    <w:r w:rsidR="00B264A0">
      <w:rPr>
        <w:sz w:val="20"/>
        <w:szCs w:val="20"/>
      </w:rPr>
      <w:tab/>
    </w:r>
    <w:r w:rsidRPr="00227310">
      <w:rPr>
        <w:sz w:val="20"/>
        <w:szCs w:val="20"/>
      </w:rPr>
      <w:tab/>
    </w:r>
    <w:sdt>
      <w:sdtPr>
        <w:rPr>
          <w:sz w:val="20"/>
          <w:szCs w:val="20"/>
        </w:rPr>
        <w:id w:val="-1790969534"/>
        <w:docPartObj>
          <w:docPartGallery w:val="Page Numbers (Top of Page)"/>
          <w:docPartUnique/>
        </w:docPartObj>
      </w:sdtPr>
      <w:sdtEndPr>
        <w:rPr>
          <w:noProof/>
        </w:rPr>
      </w:sdtEndPr>
      <w:sdtContent>
        <w:r w:rsidRPr="00227310">
          <w:rPr>
            <w:sz w:val="20"/>
            <w:szCs w:val="20"/>
          </w:rPr>
          <w:fldChar w:fldCharType="begin"/>
        </w:r>
        <w:r w:rsidRPr="00227310">
          <w:rPr>
            <w:sz w:val="20"/>
            <w:szCs w:val="20"/>
          </w:rPr>
          <w:instrText xml:space="preserve"> PAGE   \* MERGEFORMAT </w:instrText>
        </w:r>
        <w:r w:rsidRPr="00227310">
          <w:rPr>
            <w:sz w:val="20"/>
            <w:szCs w:val="20"/>
          </w:rPr>
          <w:fldChar w:fldCharType="separate"/>
        </w:r>
        <w:r w:rsidR="00A91810">
          <w:rPr>
            <w:noProof/>
            <w:sz w:val="20"/>
            <w:szCs w:val="20"/>
          </w:rPr>
          <w:t>3</w:t>
        </w:r>
        <w:r w:rsidRPr="00227310">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F2C9E" w14:textId="77777777" w:rsidR="00A04D2C" w:rsidRDefault="00A04D2C" w:rsidP="00BB101B">
      <w:pPr>
        <w:spacing w:after="0" w:line="240" w:lineRule="auto"/>
      </w:pPr>
      <w:r>
        <w:separator/>
      </w:r>
    </w:p>
  </w:footnote>
  <w:footnote w:type="continuationSeparator" w:id="0">
    <w:p w14:paraId="409BCC0E" w14:textId="77777777" w:rsidR="00A04D2C" w:rsidRDefault="00A04D2C" w:rsidP="00BB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CD26" w14:textId="77777777" w:rsidR="007E485A" w:rsidRDefault="007E485A">
    <w:pPr>
      <w:pStyle w:val="Header"/>
    </w:pPr>
  </w:p>
  <w:p w14:paraId="4212DDAF" w14:textId="77777777" w:rsidR="007E485A" w:rsidRDefault="007E4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2FEC2AE1"/>
    <w:multiLevelType w:val="hybridMultilevel"/>
    <w:tmpl w:val="56487C5A"/>
    <w:lvl w:ilvl="0" w:tplc="241E158C">
      <w:start w:val="27"/>
      <w:numFmt w:val="decimal"/>
      <w:lvlText w:val="%1."/>
      <w:lvlJc w:val="left"/>
      <w:pPr>
        <w:ind w:left="8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510F4D4">
      <w:start w:val="1"/>
      <w:numFmt w:val="lowerLetter"/>
      <w:lvlText w:val="%2"/>
      <w:lvlJc w:val="left"/>
      <w:pPr>
        <w:ind w:left="12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1486A32">
      <w:start w:val="1"/>
      <w:numFmt w:val="lowerRoman"/>
      <w:lvlText w:val="%3"/>
      <w:lvlJc w:val="left"/>
      <w:pPr>
        <w:ind w:left="19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18C6588">
      <w:start w:val="1"/>
      <w:numFmt w:val="decimal"/>
      <w:lvlText w:val="%4"/>
      <w:lvlJc w:val="left"/>
      <w:pPr>
        <w:ind w:left="26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E7E74D4">
      <w:start w:val="1"/>
      <w:numFmt w:val="lowerLetter"/>
      <w:lvlText w:val="%5"/>
      <w:lvlJc w:val="left"/>
      <w:pPr>
        <w:ind w:left="33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2D4B598">
      <w:start w:val="1"/>
      <w:numFmt w:val="lowerRoman"/>
      <w:lvlText w:val="%6"/>
      <w:lvlJc w:val="left"/>
      <w:pPr>
        <w:ind w:left="40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C224E46">
      <w:start w:val="1"/>
      <w:numFmt w:val="decimal"/>
      <w:lvlText w:val="%7"/>
      <w:lvlJc w:val="left"/>
      <w:pPr>
        <w:ind w:left="48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77A636E">
      <w:start w:val="1"/>
      <w:numFmt w:val="lowerLetter"/>
      <w:lvlText w:val="%8"/>
      <w:lvlJc w:val="left"/>
      <w:pPr>
        <w:ind w:left="55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E46919E">
      <w:start w:val="1"/>
      <w:numFmt w:val="lowerRoman"/>
      <w:lvlText w:val="%9"/>
      <w:lvlJc w:val="left"/>
      <w:pPr>
        <w:ind w:left="62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nsid w:val="3659407A"/>
    <w:multiLevelType w:val="hybridMultilevel"/>
    <w:tmpl w:val="A6A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64932F65"/>
    <w:multiLevelType w:val="hybridMultilevel"/>
    <w:tmpl w:val="D5CE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1D5B26"/>
    <w:multiLevelType w:val="hybridMultilevel"/>
    <w:tmpl w:val="24CC08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722712AD"/>
    <w:multiLevelType w:val="hybridMultilevel"/>
    <w:tmpl w:val="55F033D2"/>
    <w:lvl w:ilvl="0" w:tplc="04090001">
      <w:start w:val="1"/>
      <w:numFmt w:val="bullet"/>
      <w:lvlText w:val=""/>
      <w:lvlJc w:val="left"/>
      <w:pPr>
        <w:ind w:left="2051" w:hanging="360"/>
      </w:pPr>
      <w:rPr>
        <w:rFonts w:ascii="Symbol" w:hAnsi="Symbol" w:hint="default"/>
      </w:rPr>
    </w:lvl>
    <w:lvl w:ilvl="1" w:tplc="04090003" w:tentative="1">
      <w:start w:val="1"/>
      <w:numFmt w:val="bullet"/>
      <w:lvlText w:val="o"/>
      <w:lvlJc w:val="left"/>
      <w:pPr>
        <w:ind w:left="2771" w:hanging="360"/>
      </w:pPr>
      <w:rPr>
        <w:rFonts w:ascii="Courier New" w:hAnsi="Courier New" w:cs="Courier New"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9">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nsid w:val="7F8F737E"/>
    <w:multiLevelType w:val="hybridMultilevel"/>
    <w:tmpl w:val="F13063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3"/>
  </w:num>
  <w:num w:numId="6">
    <w:abstractNumId w:val="6"/>
  </w:num>
  <w:num w:numId="7">
    <w:abstractNumId w:val="5"/>
  </w:num>
  <w:num w:numId="8">
    <w:abstractNumId w:val="10"/>
  </w:num>
  <w:num w:numId="9">
    <w:abstractNumId w:val="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06B6C"/>
    <w:rsid w:val="00022ABE"/>
    <w:rsid w:val="0003083B"/>
    <w:rsid w:val="00035D5E"/>
    <w:rsid w:val="00054851"/>
    <w:rsid w:val="000571A2"/>
    <w:rsid w:val="0006327A"/>
    <w:rsid w:val="00064D66"/>
    <w:rsid w:val="000768F4"/>
    <w:rsid w:val="00083971"/>
    <w:rsid w:val="00087ED6"/>
    <w:rsid w:val="00090676"/>
    <w:rsid w:val="00091754"/>
    <w:rsid w:val="00094A8A"/>
    <w:rsid w:val="0009610D"/>
    <w:rsid w:val="000A0D2B"/>
    <w:rsid w:val="000A181E"/>
    <w:rsid w:val="000A456B"/>
    <w:rsid w:val="000C2D41"/>
    <w:rsid w:val="000D03E0"/>
    <w:rsid w:val="000D121A"/>
    <w:rsid w:val="000E7396"/>
    <w:rsid w:val="000F37BC"/>
    <w:rsid w:val="00107404"/>
    <w:rsid w:val="00107D8E"/>
    <w:rsid w:val="00111535"/>
    <w:rsid w:val="00125529"/>
    <w:rsid w:val="0015358E"/>
    <w:rsid w:val="00175AFA"/>
    <w:rsid w:val="00182480"/>
    <w:rsid w:val="00184756"/>
    <w:rsid w:val="001A5DB1"/>
    <w:rsid w:val="001B0462"/>
    <w:rsid w:val="001B217F"/>
    <w:rsid w:val="001B6786"/>
    <w:rsid w:val="001B740B"/>
    <w:rsid w:val="001C4DAD"/>
    <w:rsid w:val="001E0472"/>
    <w:rsid w:val="00206033"/>
    <w:rsid w:val="00216EB7"/>
    <w:rsid w:val="00222C03"/>
    <w:rsid w:val="00235097"/>
    <w:rsid w:val="00242E64"/>
    <w:rsid w:val="00254B63"/>
    <w:rsid w:val="00255401"/>
    <w:rsid w:val="002565BD"/>
    <w:rsid w:val="00281D7C"/>
    <w:rsid w:val="002D718B"/>
    <w:rsid w:val="002E5DBC"/>
    <w:rsid w:val="00301E59"/>
    <w:rsid w:val="00305DB6"/>
    <w:rsid w:val="0031124F"/>
    <w:rsid w:val="00311BE0"/>
    <w:rsid w:val="0031445B"/>
    <w:rsid w:val="00333428"/>
    <w:rsid w:val="00335BE7"/>
    <w:rsid w:val="003441C2"/>
    <w:rsid w:val="0034579F"/>
    <w:rsid w:val="003842B2"/>
    <w:rsid w:val="003D6A99"/>
    <w:rsid w:val="003F5E17"/>
    <w:rsid w:val="003F732C"/>
    <w:rsid w:val="00407297"/>
    <w:rsid w:val="00442BB4"/>
    <w:rsid w:val="004862E9"/>
    <w:rsid w:val="00491CC7"/>
    <w:rsid w:val="00495BA2"/>
    <w:rsid w:val="004A3730"/>
    <w:rsid w:val="004B64C5"/>
    <w:rsid w:val="004C1677"/>
    <w:rsid w:val="00502B7E"/>
    <w:rsid w:val="00504C49"/>
    <w:rsid w:val="00510BCE"/>
    <w:rsid w:val="00512476"/>
    <w:rsid w:val="00517B5B"/>
    <w:rsid w:val="0052386F"/>
    <w:rsid w:val="0053700E"/>
    <w:rsid w:val="005433D2"/>
    <w:rsid w:val="00546E9D"/>
    <w:rsid w:val="00556A74"/>
    <w:rsid w:val="00563494"/>
    <w:rsid w:val="0056444F"/>
    <w:rsid w:val="005667AA"/>
    <w:rsid w:val="00571745"/>
    <w:rsid w:val="00576062"/>
    <w:rsid w:val="00576B24"/>
    <w:rsid w:val="005776D9"/>
    <w:rsid w:val="00577B67"/>
    <w:rsid w:val="00582E93"/>
    <w:rsid w:val="00592333"/>
    <w:rsid w:val="00594A0F"/>
    <w:rsid w:val="005A05B0"/>
    <w:rsid w:val="005B3758"/>
    <w:rsid w:val="005E37C1"/>
    <w:rsid w:val="005F4B7B"/>
    <w:rsid w:val="005F75DA"/>
    <w:rsid w:val="0060585A"/>
    <w:rsid w:val="00627A85"/>
    <w:rsid w:val="00635351"/>
    <w:rsid w:val="00650D97"/>
    <w:rsid w:val="00656D2F"/>
    <w:rsid w:val="00666579"/>
    <w:rsid w:val="00682F17"/>
    <w:rsid w:val="006A107C"/>
    <w:rsid w:val="006A3042"/>
    <w:rsid w:val="006A327C"/>
    <w:rsid w:val="006A3D45"/>
    <w:rsid w:val="006B29B6"/>
    <w:rsid w:val="006B384F"/>
    <w:rsid w:val="006C368B"/>
    <w:rsid w:val="006D4281"/>
    <w:rsid w:val="006F5FBA"/>
    <w:rsid w:val="006F66BA"/>
    <w:rsid w:val="00704980"/>
    <w:rsid w:val="0071059C"/>
    <w:rsid w:val="00715A9B"/>
    <w:rsid w:val="00726E94"/>
    <w:rsid w:val="007309F6"/>
    <w:rsid w:val="007325BA"/>
    <w:rsid w:val="007544DB"/>
    <w:rsid w:val="007644BE"/>
    <w:rsid w:val="007800F5"/>
    <w:rsid w:val="007A0368"/>
    <w:rsid w:val="007D217D"/>
    <w:rsid w:val="007D70E9"/>
    <w:rsid w:val="007E485A"/>
    <w:rsid w:val="007F5F3A"/>
    <w:rsid w:val="00821DFD"/>
    <w:rsid w:val="00822639"/>
    <w:rsid w:val="00847116"/>
    <w:rsid w:val="00873A02"/>
    <w:rsid w:val="00887E85"/>
    <w:rsid w:val="008A765E"/>
    <w:rsid w:val="008E5D2D"/>
    <w:rsid w:val="008E7C30"/>
    <w:rsid w:val="008F3B79"/>
    <w:rsid w:val="008F74E4"/>
    <w:rsid w:val="00903EAA"/>
    <w:rsid w:val="00917C18"/>
    <w:rsid w:val="009236DC"/>
    <w:rsid w:val="009279AF"/>
    <w:rsid w:val="0094334C"/>
    <w:rsid w:val="00943F2A"/>
    <w:rsid w:val="00946912"/>
    <w:rsid w:val="00974066"/>
    <w:rsid w:val="009779D8"/>
    <w:rsid w:val="00977C24"/>
    <w:rsid w:val="00986A5A"/>
    <w:rsid w:val="009A5340"/>
    <w:rsid w:val="009C367F"/>
    <w:rsid w:val="009C688E"/>
    <w:rsid w:val="009E3E95"/>
    <w:rsid w:val="009F6E39"/>
    <w:rsid w:val="00A04D2C"/>
    <w:rsid w:val="00A238A9"/>
    <w:rsid w:val="00A3523F"/>
    <w:rsid w:val="00A425A1"/>
    <w:rsid w:val="00A43462"/>
    <w:rsid w:val="00A45B60"/>
    <w:rsid w:val="00A8013C"/>
    <w:rsid w:val="00A91810"/>
    <w:rsid w:val="00AA41E3"/>
    <w:rsid w:val="00B018E9"/>
    <w:rsid w:val="00B22F44"/>
    <w:rsid w:val="00B23D8D"/>
    <w:rsid w:val="00B264A0"/>
    <w:rsid w:val="00B277CF"/>
    <w:rsid w:val="00B346AF"/>
    <w:rsid w:val="00B46131"/>
    <w:rsid w:val="00B77BCC"/>
    <w:rsid w:val="00B80B76"/>
    <w:rsid w:val="00B918CB"/>
    <w:rsid w:val="00BA1CF7"/>
    <w:rsid w:val="00BA6494"/>
    <w:rsid w:val="00BB101B"/>
    <w:rsid w:val="00BB45AE"/>
    <w:rsid w:val="00BB546E"/>
    <w:rsid w:val="00BD1776"/>
    <w:rsid w:val="00BD476F"/>
    <w:rsid w:val="00BD6B10"/>
    <w:rsid w:val="00BD77E6"/>
    <w:rsid w:val="00BE6056"/>
    <w:rsid w:val="00BE7538"/>
    <w:rsid w:val="00BF15C7"/>
    <w:rsid w:val="00BF32E6"/>
    <w:rsid w:val="00C2283F"/>
    <w:rsid w:val="00C472C6"/>
    <w:rsid w:val="00C5157E"/>
    <w:rsid w:val="00C54AA2"/>
    <w:rsid w:val="00C57CAC"/>
    <w:rsid w:val="00C701E2"/>
    <w:rsid w:val="00C73E15"/>
    <w:rsid w:val="00C82677"/>
    <w:rsid w:val="00C86364"/>
    <w:rsid w:val="00C915FC"/>
    <w:rsid w:val="00C9418A"/>
    <w:rsid w:val="00CC1558"/>
    <w:rsid w:val="00CE2D98"/>
    <w:rsid w:val="00CF5466"/>
    <w:rsid w:val="00CF7514"/>
    <w:rsid w:val="00D04017"/>
    <w:rsid w:val="00D04BEA"/>
    <w:rsid w:val="00D11FCB"/>
    <w:rsid w:val="00D30531"/>
    <w:rsid w:val="00D5680C"/>
    <w:rsid w:val="00D8419F"/>
    <w:rsid w:val="00DA6A30"/>
    <w:rsid w:val="00DB5749"/>
    <w:rsid w:val="00DC17C2"/>
    <w:rsid w:val="00DD4976"/>
    <w:rsid w:val="00DD5624"/>
    <w:rsid w:val="00DF58B4"/>
    <w:rsid w:val="00E05119"/>
    <w:rsid w:val="00E06C8F"/>
    <w:rsid w:val="00E10868"/>
    <w:rsid w:val="00E14C86"/>
    <w:rsid w:val="00E4250A"/>
    <w:rsid w:val="00E42CF3"/>
    <w:rsid w:val="00E82CB2"/>
    <w:rsid w:val="00E93BF6"/>
    <w:rsid w:val="00E94339"/>
    <w:rsid w:val="00EC3A02"/>
    <w:rsid w:val="00EF4D79"/>
    <w:rsid w:val="00F14265"/>
    <w:rsid w:val="00F2157F"/>
    <w:rsid w:val="00F3655B"/>
    <w:rsid w:val="00F36EEA"/>
    <w:rsid w:val="00F46264"/>
    <w:rsid w:val="00F50E6F"/>
    <w:rsid w:val="00F66709"/>
    <w:rsid w:val="00F81467"/>
    <w:rsid w:val="00F916BF"/>
    <w:rsid w:val="00F95B84"/>
    <w:rsid w:val="00FA7248"/>
    <w:rsid w:val="00FE0CF9"/>
    <w:rsid w:val="00FF0F5B"/>
    <w:rsid w:val="00FF7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13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0D03E0"/>
    <w:rPr>
      <w:color w:val="0000FF" w:themeColor="hyperlink"/>
      <w:u w:val="single"/>
    </w:rPr>
  </w:style>
  <w:style w:type="paragraph" w:styleId="BalloonText">
    <w:name w:val="Balloon Text"/>
    <w:basedOn w:val="Normal"/>
    <w:link w:val="BalloonTextChar"/>
    <w:uiPriority w:val="99"/>
    <w:semiHidden/>
    <w:unhideWhenUsed/>
    <w:rsid w:val="00235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097"/>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0D03E0"/>
    <w:rPr>
      <w:color w:val="0000FF" w:themeColor="hyperlink"/>
      <w:u w:val="single"/>
    </w:rPr>
  </w:style>
  <w:style w:type="paragraph" w:styleId="BalloonText">
    <w:name w:val="Balloon Text"/>
    <w:basedOn w:val="Normal"/>
    <w:link w:val="BalloonTextChar"/>
    <w:uiPriority w:val="99"/>
    <w:semiHidden/>
    <w:unhideWhenUsed/>
    <w:rsid w:val="00235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097"/>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8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2</cp:revision>
  <dcterms:created xsi:type="dcterms:W3CDTF">2018-04-27T10:31:00Z</dcterms:created>
  <dcterms:modified xsi:type="dcterms:W3CDTF">2018-04-27T10:31:00Z</dcterms:modified>
</cp:coreProperties>
</file>